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F3021F" w14:paraId="41315CCA" w14:textId="77777777" w:rsidTr="00127B97">
        <w:trPr>
          <w:cantSplit/>
          <w:trHeight w:val="1134"/>
        </w:trPr>
        <w:tc>
          <w:tcPr>
            <w:tcW w:w="7251" w:type="dxa"/>
          </w:tcPr>
          <w:p w14:paraId="2B8DF0D3" w14:textId="77777777" w:rsidR="0021438F" w:rsidRPr="00F3021F" w:rsidRDefault="0021438F" w:rsidP="00C762CF">
            <w:pPr>
              <w:tabs>
                <w:tab w:val="left" w:pos="1871"/>
                <w:tab w:val="left" w:pos="2268"/>
              </w:tabs>
              <w:spacing w:before="20" w:after="48"/>
              <w:ind w:left="34"/>
              <w:rPr>
                <w:b/>
                <w:bCs/>
                <w:sz w:val="32"/>
                <w:szCs w:val="32"/>
                <w:lang w:val="fr-FR"/>
              </w:rPr>
            </w:pPr>
            <w:r w:rsidRPr="00F3021F">
              <w:rPr>
                <w:b/>
                <w:sz w:val="32"/>
                <w:szCs w:val="32"/>
                <w:lang w:val="fr-FR" w:bidi="fr-FR"/>
              </w:rPr>
              <w:t xml:space="preserve">Groupe consultatif pour le développement </w:t>
            </w:r>
            <w:r w:rsidRPr="00F3021F">
              <w:rPr>
                <w:b/>
                <w:sz w:val="32"/>
                <w:szCs w:val="32"/>
                <w:lang w:val="fr-FR" w:bidi="fr-FR"/>
              </w:rPr>
              <w:br/>
              <w:t>des télécommunications (GCDT)</w:t>
            </w:r>
          </w:p>
          <w:p w14:paraId="7F5C91EF" w14:textId="77777777" w:rsidR="0021438F" w:rsidRPr="00F3021F" w:rsidRDefault="00D87E6C" w:rsidP="00C762CF">
            <w:pPr>
              <w:tabs>
                <w:tab w:val="clear" w:pos="1191"/>
                <w:tab w:val="clear" w:pos="1588"/>
                <w:tab w:val="clear" w:pos="1985"/>
              </w:tabs>
              <w:spacing w:before="100" w:after="120"/>
              <w:ind w:left="34"/>
              <w:rPr>
                <w:rFonts w:ascii="Verdana" w:hAnsi="Verdana"/>
                <w:sz w:val="28"/>
                <w:szCs w:val="28"/>
                <w:lang w:val="fr-FR"/>
              </w:rPr>
            </w:pPr>
            <w:r w:rsidRPr="00F3021F">
              <w:rPr>
                <w:b/>
                <w:sz w:val="26"/>
                <w:szCs w:val="26"/>
                <w:lang w:val="fr-FR" w:bidi="fr-FR"/>
              </w:rPr>
              <w:t>24ème réunion, Genève, 3-5 avril 2019</w:t>
            </w:r>
          </w:p>
        </w:tc>
        <w:tc>
          <w:tcPr>
            <w:tcW w:w="2996" w:type="dxa"/>
          </w:tcPr>
          <w:p w14:paraId="1D578260" w14:textId="77777777" w:rsidR="0021438F" w:rsidRPr="00F3021F" w:rsidRDefault="00D87E6C" w:rsidP="00C762CF">
            <w:pPr>
              <w:spacing w:before="0"/>
              <w:ind w:right="142"/>
              <w:jc w:val="right"/>
              <w:rPr>
                <w:lang w:val="fr-FR"/>
              </w:rPr>
            </w:pPr>
            <w:r w:rsidRPr="00F3021F">
              <w:rPr>
                <w:noProof/>
                <w:color w:val="3399FF"/>
                <w:lang w:val="en-GB" w:eastAsia="zh-CN"/>
              </w:rPr>
              <w:drawing>
                <wp:inline distT="0" distB="0" distL="0" distR="0" wp14:anchorId="6006B287" wp14:editId="7BFBD1F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F3021F" w14:paraId="38941F05" w14:textId="77777777" w:rsidTr="000C61E9">
        <w:trPr>
          <w:cantSplit/>
        </w:trPr>
        <w:tc>
          <w:tcPr>
            <w:tcW w:w="7251" w:type="dxa"/>
            <w:tcBorders>
              <w:top w:val="single" w:sz="12" w:space="0" w:color="auto"/>
            </w:tcBorders>
          </w:tcPr>
          <w:p w14:paraId="1DC188E7" w14:textId="77777777" w:rsidR="00683C32" w:rsidRPr="00F3021F" w:rsidRDefault="00683C32" w:rsidP="00C762CF">
            <w:pPr>
              <w:spacing w:before="0"/>
              <w:rPr>
                <w:rFonts w:cs="Arial"/>
                <w:b/>
                <w:bCs/>
                <w:sz w:val="20"/>
                <w:lang w:val="fr-FR"/>
              </w:rPr>
            </w:pPr>
          </w:p>
        </w:tc>
        <w:tc>
          <w:tcPr>
            <w:tcW w:w="2996" w:type="dxa"/>
            <w:tcBorders>
              <w:top w:val="single" w:sz="12" w:space="0" w:color="auto"/>
            </w:tcBorders>
          </w:tcPr>
          <w:p w14:paraId="24ADBF64" w14:textId="77777777" w:rsidR="00683C32" w:rsidRPr="00F3021F" w:rsidRDefault="00683C32" w:rsidP="00C762CF">
            <w:pPr>
              <w:spacing w:before="0"/>
              <w:rPr>
                <w:b/>
                <w:bCs/>
                <w:sz w:val="20"/>
                <w:lang w:val="fr-FR"/>
              </w:rPr>
            </w:pPr>
          </w:p>
        </w:tc>
      </w:tr>
      <w:tr w:rsidR="00683C32" w:rsidRPr="00F3021F" w14:paraId="61239AAC" w14:textId="77777777" w:rsidTr="000C61E9">
        <w:trPr>
          <w:cantSplit/>
        </w:trPr>
        <w:tc>
          <w:tcPr>
            <w:tcW w:w="7251" w:type="dxa"/>
          </w:tcPr>
          <w:p w14:paraId="2576C56E" w14:textId="77777777" w:rsidR="00683C32" w:rsidRPr="00F3021F" w:rsidRDefault="00683C32" w:rsidP="00C762CF">
            <w:pPr>
              <w:pStyle w:val="Committee"/>
              <w:spacing w:before="0"/>
              <w:rPr>
                <w:b w:val="0"/>
                <w:szCs w:val="24"/>
                <w:lang w:val="fr-FR"/>
              </w:rPr>
            </w:pPr>
            <w:bookmarkStart w:id="0" w:name="_GoBack" w:colFirst="1" w:colLast="1"/>
          </w:p>
        </w:tc>
        <w:tc>
          <w:tcPr>
            <w:tcW w:w="2996" w:type="dxa"/>
          </w:tcPr>
          <w:p w14:paraId="5880D2CB" w14:textId="77777777" w:rsidR="00683C32" w:rsidRPr="000F335B" w:rsidRDefault="00323587" w:rsidP="000D28E9">
            <w:pPr>
              <w:spacing w:before="0"/>
              <w:rPr>
                <w:bCs/>
                <w:szCs w:val="24"/>
                <w:lang w:val="fr-FR"/>
              </w:rPr>
            </w:pPr>
            <w:r w:rsidRPr="000F335B">
              <w:rPr>
                <w:b/>
                <w:szCs w:val="24"/>
                <w:lang w:val="fr-FR" w:bidi="fr-FR"/>
              </w:rPr>
              <w:t xml:space="preserve">Document </w:t>
            </w:r>
            <w:bookmarkStart w:id="1" w:name="DocRef1"/>
            <w:bookmarkEnd w:id="1"/>
            <w:r w:rsidRPr="000F335B">
              <w:rPr>
                <w:b/>
                <w:szCs w:val="24"/>
                <w:lang w:val="fr-FR" w:bidi="fr-FR"/>
              </w:rPr>
              <w:t>TDAG-19/</w:t>
            </w:r>
            <w:bookmarkStart w:id="2" w:name="DocNo1"/>
            <w:bookmarkEnd w:id="2"/>
            <w:r w:rsidRPr="000F335B">
              <w:rPr>
                <w:b/>
                <w:szCs w:val="24"/>
                <w:lang w:val="fr-FR" w:bidi="fr-FR"/>
              </w:rPr>
              <w:t>2-F</w:t>
            </w:r>
          </w:p>
        </w:tc>
      </w:tr>
      <w:tr w:rsidR="00683C32" w:rsidRPr="00F3021F" w14:paraId="4CCC978A" w14:textId="77777777" w:rsidTr="000C61E9">
        <w:trPr>
          <w:cantSplit/>
        </w:trPr>
        <w:tc>
          <w:tcPr>
            <w:tcW w:w="7251" w:type="dxa"/>
          </w:tcPr>
          <w:p w14:paraId="2DF1AC06" w14:textId="77777777" w:rsidR="00683C32" w:rsidRPr="00F3021F" w:rsidRDefault="00683C32" w:rsidP="00C762CF">
            <w:pPr>
              <w:spacing w:before="0"/>
              <w:rPr>
                <w:b/>
                <w:bCs/>
                <w:smallCaps/>
                <w:szCs w:val="24"/>
                <w:lang w:val="fr-FR"/>
              </w:rPr>
            </w:pPr>
          </w:p>
        </w:tc>
        <w:tc>
          <w:tcPr>
            <w:tcW w:w="2996" w:type="dxa"/>
          </w:tcPr>
          <w:p w14:paraId="2B613F78" w14:textId="77777777" w:rsidR="00683C32" w:rsidRPr="000F335B" w:rsidRDefault="00C40791" w:rsidP="000D28E9">
            <w:pPr>
              <w:spacing w:before="0"/>
              <w:rPr>
                <w:b/>
                <w:szCs w:val="24"/>
                <w:lang w:val="fr-FR"/>
              </w:rPr>
            </w:pPr>
            <w:bookmarkStart w:id="3" w:name="CreationDate"/>
            <w:bookmarkEnd w:id="3"/>
            <w:r w:rsidRPr="000F335B">
              <w:rPr>
                <w:b/>
                <w:szCs w:val="24"/>
                <w:lang w:val="fr-FR" w:bidi="fr-FR"/>
              </w:rPr>
              <w:t>25 janvier 2019</w:t>
            </w:r>
          </w:p>
        </w:tc>
      </w:tr>
      <w:tr w:rsidR="00683C32" w:rsidRPr="00F3021F" w14:paraId="55E304C1" w14:textId="77777777" w:rsidTr="000C61E9">
        <w:trPr>
          <w:cantSplit/>
        </w:trPr>
        <w:tc>
          <w:tcPr>
            <w:tcW w:w="7251" w:type="dxa"/>
          </w:tcPr>
          <w:p w14:paraId="5FDE64C5" w14:textId="77777777" w:rsidR="00683C32" w:rsidRPr="00F3021F" w:rsidRDefault="00683C32" w:rsidP="00C762CF">
            <w:pPr>
              <w:spacing w:before="0"/>
              <w:rPr>
                <w:b/>
                <w:bCs/>
                <w:smallCaps/>
                <w:szCs w:val="24"/>
                <w:lang w:val="fr-FR"/>
              </w:rPr>
            </w:pPr>
          </w:p>
        </w:tc>
        <w:tc>
          <w:tcPr>
            <w:tcW w:w="2996" w:type="dxa"/>
          </w:tcPr>
          <w:p w14:paraId="71CCB906" w14:textId="77777777" w:rsidR="00514D2F" w:rsidRPr="000F335B" w:rsidRDefault="00323587" w:rsidP="000D28E9">
            <w:pPr>
              <w:spacing w:before="0"/>
              <w:rPr>
                <w:szCs w:val="24"/>
                <w:lang w:val="fr-FR"/>
              </w:rPr>
            </w:pPr>
            <w:r w:rsidRPr="000F335B">
              <w:rPr>
                <w:b/>
                <w:szCs w:val="24"/>
                <w:lang w:val="fr-FR" w:bidi="fr-FR"/>
              </w:rPr>
              <w:t>Original:</w:t>
            </w:r>
            <w:bookmarkStart w:id="4" w:name="Original"/>
            <w:bookmarkEnd w:id="4"/>
            <w:r w:rsidRPr="000F335B">
              <w:rPr>
                <w:b/>
                <w:szCs w:val="24"/>
                <w:lang w:val="fr-FR" w:bidi="fr-FR"/>
              </w:rPr>
              <w:t xml:space="preserve"> anglais</w:t>
            </w:r>
          </w:p>
        </w:tc>
      </w:tr>
      <w:tr w:rsidR="00A13162" w:rsidRPr="00F3021F" w14:paraId="316C5BB6" w14:textId="77777777" w:rsidTr="000C61E9">
        <w:trPr>
          <w:cantSplit/>
          <w:trHeight w:val="852"/>
        </w:trPr>
        <w:tc>
          <w:tcPr>
            <w:tcW w:w="10247" w:type="dxa"/>
            <w:gridSpan w:val="2"/>
          </w:tcPr>
          <w:p w14:paraId="013A3769" w14:textId="77777777" w:rsidR="00A13162" w:rsidRPr="00F3021F" w:rsidRDefault="00C40791" w:rsidP="00C762CF">
            <w:pPr>
              <w:pStyle w:val="Source"/>
              <w:rPr>
                <w:lang w:val="fr-FR"/>
              </w:rPr>
            </w:pPr>
            <w:bookmarkStart w:id="5" w:name="Source"/>
            <w:bookmarkEnd w:id="5"/>
            <w:bookmarkEnd w:id="0"/>
            <w:r w:rsidRPr="00F3021F">
              <w:rPr>
                <w:lang w:val="fr-FR" w:bidi="fr-FR"/>
              </w:rPr>
              <w:t>Directrice du Bureau de développement des télécommunications</w:t>
            </w:r>
          </w:p>
        </w:tc>
      </w:tr>
      <w:tr w:rsidR="00AC6F14" w:rsidRPr="00F3021F" w14:paraId="1D9061FA" w14:textId="77777777" w:rsidTr="000C61E9">
        <w:trPr>
          <w:cantSplit/>
        </w:trPr>
        <w:tc>
          <w:tcPr>
            <w:tcW w:w="10247" w:type="dxa"/>
            <w:gridSpan w:val="2"/>
          </w:tcPr>
          <w:p w14:paraId="2507212C" w14:textId="682A84B6" w:rsidR="00AC6F14" w:rsidRPr="00F3021F" w:rsidRDefault="00C40791" w:rsidP="00C762CF">
            <w:pPr>
              <w:pStyle w:val="Title1"/>
              <w:rPr>
                <w:lang w:val="fr-FR"/>
              </w:rPr>
            </w:pPr>
            <w:bookmarkStart w:id="6" w:name="Title"/>
            <w:bookmarkEnd w:id="6"/>
            <w:r w:rsidRPr="00F3021F">
              <w:rPr>
                <w:lang w:val="fr-FR" w:bidi="fr-FR"/>
              </w:rPr>
              <w:t>RAPPORT D</w:t>
            </w:r>
            <w:r w:rsidR="000F7A90">
              <w:rPr>
                <w:lang w:val="fr-FR" w:bidi="fr-FR"/>
              </w:rPr>
              <w:t>'</w:t>
            </w:r>
            <w:r w:rsidRPr="00F3021F">
              <w:rPr>
                <w:lang w:val="fr-FR" w:bidi="fr-FR"/>
              </w:rPr>
              <w:t>ACTIVITÉ POUR 2018</w:t>
            </w:r>
          </w:p>
        </w:tc>
      </w:tr>
      <w:tr w:rsidR="00A721F4" w:rsidRPr="00F3021F" w14:paraId="1C4E674C" w14:textId="77777777" w:rsidTr="000C61E9">
        <w:trPr>
          <w:cantSplit/>
        </w:trPr>
        <w:tc>
          <w:tcPr>
            <w:tcW w:w="10247" w:type="dxa"/>
            <w:gridSpan w:val="2"/>
            <w:tcBorders>
              <w:bottom w:val="single" w:sz="4" w:space="0" w:color="auto"/>
            </w:tcBorders>
          </w:tcPr>
          <w:p w14:paraId="470B6C81" w14:textId="77777777" w:rsidR="00A721F4" w:rsidRPr="00F3021F" w:rsidRDefault="00A721F4" w:rsidP="00C762CF">
            <w:pPr>
              <w:rPr>
                <w:lang w:val="fr-FR"/>
              </w:rPr>
            </w:pPr>
          </w:p>
        </w:tc>
      </w:tr>
      <w:tr w:rsidR="00A721F4" w:rsidRPr="00F3021F" w14:paraId="13396D12"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06DD82EA" w14:textId="77777777" w:rsidR="00A721F4" w:rsidRPr="00F3021F" w:rsidRDefault="00156BF6" w:rsidP="00C762CF">
            <w:pPr>
              <w:rPr>
                <w:b/>
                <w:bCs/>
                <w:szCs w:val="24"/>
                <w:lang w:val="fr-FR"/>
              </w:rPr>
            </w:pPr>
            <w:r w:rsidRPr="00F3021F">
              <w:rPr>
                <w:b/>
                <w:szCs w:val="24"/>
                <w:lang w:val="fr-FR" w:bidi="fr-FR"/>
              </w:rPr>
              <w:t>Résumé:</w:t>
            </w:r>
          </w:p>
          <w:p w14:paraId="7AF3F63D" w14:textId="363E22A4" w:rsidR="00C40791" w:rsidRPr="00F3021F" w:rsidRDefault="00C40791" w:rsidP="00C762CF">
            <w:pPr>
              <w:rPr>
                <w:szCs w:val="24"/>
                <w:lang w:val="fr-FR"/>
              </w:rPr>
            </w:pPr>
            <w:r w:rsidRPr="00F3021F">
              <w:rPr>
                <w:szCs w:val="24"/>
                <w:lang w:val="fr-FR" w:bidi="fr-FR"/>
              </w:rPr>
              <w:t>Le rapport d</w:t>
            </w:r>
            <w:r w:rsidR="000F7A90">
              <w:rPr>
                <w:szCs w:val="24"/>
                <w:lang w:val="fr-FR" w:bidi="fr-FR"/>
              </w:rPr>
              <w:t>'</w:t>
            </w:r>
            <w:r w:rsidRPr="00F3021F">
              <w:rPr>
                <w:szCs w:val="24"/>
                <w:lang w:val="fr-FR" w:bidi="fr-FR"/>
              </w:rPr>
              <w:t>activité pour 2018 décrit l</w:t>
            </w:r>
            <w:r w:rsidR="000F7A90">
              <w:rPr>
                <w:szCs w:val="24"/>
                <w:lang w:val="fr-FR" w:bidi="fr-FR"/>
              </w:rPr>
              <w:t>'</w:t>
            </w:r>
            <w:r w:rsidRPr="00F3021F">
              <w:rPr>
                <w:szCs w:val="24"/>
                <w:lang w:val="fr-FR" w:bidi="fr-FR"/>
              </w:rPr>
              <w:t>état d</w:t>
            </w:r>
            <w:r w:rsidR="000F7A90">
              <w:rPr>
                <w:szCs w:val="24"/>
                <w:lang w:val="fr-FR" w:bidi="fr-FR"/>
              </w:rPr>
              <w:t>'</w:t>
            </w:r>
            <w:r w:rsidRPr="00F3021F">
              <w:rPr>
                <w:szCs w:val="24"/>
                <w:lang w:val="fr-FR" w:bidi="fr-FR"/>
              </w:rPr>
              <w:t xml:space="preserve">avancement de la mise en </w:t>
            </w:r>
            <w:r w:rsidR="00C762CF">
              <w:rPr>
                <w:szCs w:val="24"/>
                <w:lang w:val="fr-FR" w:bidi="fr-FR"/>
              </w:rPr>
              <w:t>oe</w:t>
            </w:r>
            <w:r w:rsidRPr="00F3021F">
              <w:rPr>
                <w:szCs w:val="24"/>
                <w:lang w:val="fr-FR" w:bidi="fr-FR"/>
              </w:rPr>
              <w:t>uvre des objectifs, des résultats et des produits définis dans le Plan opérationnel de l</w:t>
            </w:r>
            <w:r w:rsidR="000F7A90">
              <w:rPr>
                <w:szCs w:val="24"/>
                <w:lang w:val="fr-FR" w:bidi="fr-FR"/>
              </w:rPr>
              <w:t>'</w:t>
            </w:r>
            <w:r w:rsidRPr="00F3021F">
              <w:rPr>
                <w:szCs w:val="24"/>
                <w:lang w:val="fr-FR" w:bidi="fr-FR"/>
              </w:rPr>
              <w:t>UIT-D. Il met l</w:t>
            </w:r>
            <w:r w:rsidR="000F7A90">
              <w:rPr>
                <w:szCs w:val="24"/>
                <w:lang w:val="fr-FR" w:bidi="fr-FR"/>
              </w:rPr>
              <w:t>'</w:t>
            </w:r>
            <w:r w:rsidRPr="00F3021F">
              <w:rPr>
                <w:szCs w:val="24"/>
                <w:lang w:val="fr-FR" w:bidi="fr-FR"/>
              </w:rPr>
              <w:t>accent sur les résult</w:t>
            </w:r>
            <w:r w:rsidR="00C762CF">
              <w:rPr>
                <w:szCs w:val="24"/>
                <w:lang w:val="fr-FR" w:bidi="fr-FR"/>
              </w:rPr>
              <w:t>ats obtenus lors de la mise en oe</w:t>
            </w:r>
            <w:r w:rsidRPr="00F3021F">
              <w:rPr>
                <w:szCs w:val="24"/>
                <w:lang w:val="fr-FR" w:bidi="fr-FR"/>
              </w:rPr>
              <w:t>uvre des objectifs, des résultats et des produits du Secteur ainsi que sur les indicateurs de performance.</w:t>
            </w:r>
          </w:p>
          <w:p w14:paraId="7C3A7AF1" w14:textId="1CAAE046" w:rsidR="00A721F4" w:rsidRPr="00F3021F" w:rsidRDefault="00C40791" w:rsidP="003848A2">
            <w:pPr>
              <w:rPr>
                <w:szCs w:val="24"/>
                <w:lang w:val="fr-FR"/>
              </w:rPr>
            </w:pPr>
            <w:r w:rsidRPr="00F3021F">
              <w:rPr>
                <w:szCs w:val="24"/>
                <w:lang w:val="fr-FR" w:bidi="fr-FR"/>
              </w:rPr>
              <w:t>Le rapport dans son intégralité est accessible à l</w:t>
            </w:r>
            <w:r w:rsidR="000F7A90">
              <w:rPr>
                <w:szCs w:val="24"/>
                <w:lang w:val="fr-FR" w:bidi="fr-FR"/>
              </w:rPr>
              <w:t>'</w:t>
            </w:r>
            <w:r w:rsidRPr="00F3021F">
              <w:rPr>
                <w:szCs w:val="24"/>
                <w:lang w:val="fr-FR" w:bidi="fr-FR"/>
              </w:rPr>
              <w:t>adresse:</w:t>
            </w:r>
            <w:r w:rsidR="003848A2">
              <w:rPr>
                <w:szCs w:val="24"/>
                <w:lang w:val="fr-FR" w:bidi="fr-FR"/>
              </w:rPr>
              <w:t xml:space="preserve"> </w:t>
            </w:r>
            <w:hyperlink r:id="rId9" w:history="1">
              <w:r w:rsidRPr="00F3021F">
                <w:rPr>
                  <w:rStyle w:val="Hyperlink"/>
                  <w:szCs w:val="24"/>
                  <w:lang w:val="fr-FR" w:bidi="fr-FR"/>
                </w:rPr>
                <w:t>https://www.itu.int/en/ITU-D/TIES_Protected/PerfReport2018.pdf</w:t>
              </w:r>
            </w:hyperlink>
            <w:r w:rsidR="003848A2" w:rsidRPr="00F3021F">
              <w:rPr>
                <w:szCs w:val="24"/>
                <w:lang w:val="fr-FR" w:bidi="fr-FR"/>
              </w:rPr>
              <w:t>.</w:t>
            </w:r>
          </w:p>
          <w:p w14:paraId="6A8B6842" w14:textId="77777777" w:rsidR="00A721F4" w:rsidRPr="00F3021F" w:rsidRDefault="00156BF6" w:rsidP="00C762CF">
            <w:pPr>
              <w:rPr>
                <w:b/>
                <w:bCs/>
                <w:szCs w:val="24"/>
                <w:lang w:val="fr-FR"/>
              </w:rPr>
            </w:pPr>
            <w:r w:rsidRPr="00F3021F">
              <w:rPr>
                <w:b/>
                <w:szCs w:val="24"/>
                <w:lang w:val="fr-FR" w:bidi="fr-FR"/>
              </w:rPr>
              <w:t>Suite à donner:</w:t>
            </w:r>
          </w:p>
          <w:p w14:paraId="012B9DCC" w14:textId="48B640BA" w:rsidR="00A721F4" w:rsidRPr="00F3021F" w:rsidRDefault="00C40791" w:rsidP="00C762CF">
            <w:pPr>
              <w:rPr>
                <w:szCs w:val="24"/>
                <w:lang w:val="fr-FR"/>
              </w:rPr>
            </w:pPr>
            <w:r w:rsidRPr="00F3021F">
              <w:rPr>
                <w:szCs w:val="24"/>
                <w:lang w:val="fr-FR" w:bidi="fr-FR"/>
              </w:rPr>
              <w:t>Le GCDT est invité à prendre note du présent document et à fournir les indications qu</w:t>
            </w:r>
            <w:r w:rsidR="000F7A90">
              <w:rPr>
                <w:szCs w:val="24"/>
                <w:lang w:val="fr-FR" w:bidi="fr-FR"/>
              </w:rPr>
              <w:t>'</w:t>
            </w:r>
            <w:r w:rsidRPr="00F3021F">
              <w:rPr>
                <w:szCs w:val="24"/>
                <w:lang w:val="fr-FR" w:bidi="fr-FR"/>
              </w:rPr>
              <w:t>il jugera nécessaires.</w:t>
            </w:r>
          </w:p>
          <w:p w14:paraId="01514B38" w14:textId="77777777" w:rsidR="00A721F4" w:rsidRPr="00F3021F" w:rsidRDefault="00156BF6" w:rsidP="00C762CF">
            <w:pPr>
              <w:rPr>
                <w:b/>
                <w:bCs/>
                <w:szCs w:val="24"/>
                <w:lang w:val="fr-FR"/>
              </w:rPr>
            </w:pPr>
            <w:r w:rsidRPr="00F3021F">
              <w:rPr>
                <w:b/>
                <w:szCs w:val="24"/>
                <w:lang w:val="fr-FR" w:bidi="fr-FR"/>
              </w:rPr>
              <w:t>Références:</w:t>
            </w:r>
          </w:p>
          <w:p w14:paraId="26BF47FD" w14:textId="688804E2" w:rsidR="00A721F4" w:rsidRPr="00F3021F" w:rsidRDefault="00C40791" w:rsidP="00C762CF">
            <w:pPr>
              <w:spacing w:after="120"/>
              <w:rPr>
                <w:szCs w:val="24"/>
                <w:lang w:val="fr-FR"/>
              </w:rPr>
            </w:pPr>
            <w:r w:rsidRPr="00F3021F">
              <w:rPr>
                <w:lang w:val="fr-FR" w:bidi="fr-FR"/>
              </w:rPr>
              <w:t>Numéro 215EA de la Convention de l</w:t>
            </w:r>
            <w:r w:rsidR="000F7A90">
              <w:rPr>
                <w:lang w:val="fr-FR" w:bidi="fr-FR"/>
              </w:rPr>
              <w:t>'</w:t>
            </w:r>
            <w:r w:rsidRPr="00F3021F">
              <w:rPr>
                <w:lang w:val="fr-FR" w:bidi="fr-FR"/>
              </w:rPr>
              <w:t>UIT.</w:t>
            </w:r>
          </w:p>
        </w:tc>
      </w:tr>
    </w:tbl>
    <w:p w14:paraId="1D1A008E" w14:textId="77777777" w:rsidR="00C40791" w:rsidRPr="00F3021F" w:rsidRDefault="00C40791" w:rsidP="00C762CF">
      <w:pPr>
        <w:tabs>
          <w:tab w:val="clear" w:pos="794"/>
          <w:tab w:val="clear" w:pos="1191"/>
          <w:tab w:val="clear" w:pos="1588"/>
          <w:tab w:val="clear" w:pos="1985"/>
        </w:tabs>
        <w:spacing w:after="120"/>
        <w:rPr>
          <w:lang w:val="fr-FR"/>
        </w:rPr>
      </w:pPr>
      <w:bookmarkStart w:id="7" w:name="Proposal"/>
      <w:bookmarkEnd w:id="7"/>
    </w:p>
    <w:p w14:paraId="0993FB7A" w14:textId="77777777" w:rsidR="00C40791" w:rsidRPr="00F3021F" w:rsidRDefault="00C40791" w:rsidP="00C762CF">
      <w:pPr>
        <w:tabs>
          <w:tab w:val="clear" w:pos="794"/>
          <w:tab w:val="clear" w:pos="1191"/>
          <w:tab w:val="clear" w:pos="1588"/>
          <w:tab w:val="clear" w:pos="1985"/>
        </w:tabs>
        <w:overflowPunct/>
        <w:autoSpaceDE/>
        <w:autoSpaceDN/>
        <w:adjustRightInd/>
        <w:spacing w:before="0"/>
        <w:textAlignment w:val="auto"/>
        <w:rPr>
          <w:lang w:val="fr-FR"/>
        </w:rPr>
      </w:pPr>
    </w:p>
    <w:p w14:paraId="0D2335C7" w14:textId="77777777" w:rsidR="00C40791" w:rsidRPr="00F3021F" w:rsidRDefault="00C40791" w:rsidP="00C762CF">
      <w:pPr>
        <w:tabs>
          <w:tab w:val="clear" w:pos="794"/>
          <w:tab w:val="clear" w:pos="1191"/>
          <w:tab w:val="clear" w:pos="1588"/>
          <w:tab w:val="clear" w:pos="1985"/>
        </w:tabs>
        <w:overflowPunct/>
        <w:autoSpaceDE/>
        <w:autoSpaceDN/>
        <w:adjustRightInd/>
        <w:spacing w:before="0"/>
        <w:textAlignment w:val="auto"/>
        <w:rPr>
          <w:lang w:val="fr-FR"/>
        </w:rPr>
      </w:pPr>
      <w:r w:rsidRPr="00F3021F">
        <w:rPr>
          <w:lang w:val="fr-FR" w:bidi="fr-FR"/>
        </w:rPr>
        <w:br w:type="page"/>
      </w:r>
    </w:p>
    <w:p w14:paraId="1AD2C2D6" w14:textId="68231F68" w:rsidR="00D0314B" w:rsidRPr="00F3021F" w:rsidRDefault="00D0314B" w:rsidP="00C762CF">
      <w:pPr>
        <w:pStyle w:val="Headingb"/>
        <w:rPr>
          <w:lang w:val="fr-FR"/>
        </w:rPr>
      </w:pPr>
      <w:r w:rsidRPr="00F3021F">
        <w:rPr>
          <w:lang w:val="fr-FR" w:bidi="fr-FR"/>
        </w:rPr>
        <w:lastRenderedPageBreak/>
        <w:t>Présentation du rapport d</w:t>
      </w:r>
      <w:r w:rsidR="000F7A90">
        <w:rPr>
          <w:lang w:val="fr-FR" w:bidi="fr-FR"/>
        </w:rPr>
        <w:t>'</w:t>
      </w:r>
      <w:r w:rsidRPr="00F3021F">
        <w:rPr>
          <w:lang w:val="fr-FR" w:bidi="fr-FR"/>
        </w:rPr>
        <w:t>activité pour 2018</w:t>
      </w:r>
    </w:p>
    <w:p w14:paraId="22895C08" w14:textId="0866F71B" w:rsidR="00836BDB" w:rsidRPr="00F3021F" w:rsidRDefault="00D0314B" w:rsidP="00481267">
      <w:pPr>
        <w:tabs>
          <w:tab w:val="clear" w:pos="794"/>
          <w:tab w:val="clear" w:pos="1191"/>
          <w:tab w:val="clear" w:pos="1588"/>
          <w:tab w:val="clear" w:pos="1985"/>
        </w:tabs>
        <w:spacing w:after="120"/>
        <w:rPr>
          <w:szCs w:val="24"/>
          <w:lang w:val="fr-FR"/>
        </w:rPr>
      </w:pPr>
      <w:r w:rsidRPr="00F3021F">
        <w:rPr>
          <w:szCs w:val="24"/>
          <w:lang w:val="fr-FR" w:bidi="fr-FR"/>
        </w:rPr>
        <w:t>Le rapport d</w:t>
      </w:r>
      <w:r w:rsidR="000F7A90">
        <w:rPr>
          <w:szCs w:val="24"/>
          <w:lang w:val="fr-FR" w:bidi="fr-FR"/>
        </w:rPr>
        <w:t>'</w:t>
      </w:r>
      <w:r w:rsidRPr="00F3021F">
        <w:rPr>
          <w:szCs w:val="24"/>
          <w:lang w:val="fr-FR" w:bidi="fr-FR"/>
        </w:rPr>
        <w:t>activité pour 2018 établit une comparaison entre les prod</w:t>
      </w:r>
      <w:r w:rsidR="00481267">
        <w:rPr>
          <w:szCs w:val="24"/>
          <w:lang w:val="fr-FR" w:bidi="fr-FR"/>
        </w:rPr>
        <w:t>uits et les réalisations, ainsi </w:t>
      </w:r>
      <w:r w:rsidRPr="00F3021F">
        <w:rPr>
          <w:szCs w:val="24"/>
          <w:lang w:val="fr-FR" w:bidi="fr-FR"/>
        </w:rPr>
        <w:t>qu</w:t>
      </w:r>
      <w:r w:rsidR="000F7A90">
        <w:rPr>
          <w:szCs w:val="24"/>
          <w:lang w:val="fr-FR" w:bidi="fr-FR"/>
        </w:rPr>
        <w:t>'</w:t>
      </w:r>
      <w:r w:rsidRPr="00F3021F">
        <w:rPr>
          <w:szCs w:val="24"/>
          <w:lang w:val="fr-FR" w:bidi="fr-FR"/>
        </w:rPr>
        <w:t>entre les résultats attendus et les résultats effectivement obtenus, au regard des indicateurs de performance correspondants. On y trouve également une</w:t>
      </w:r>
      <w:r w:rsidR="00481267">
        <w:rPr>
          <w:szCs w:val="24"/>
          <w:lang w:val="fr-FR" w:bidi="fr-FR"/>
        </w:rPr>
        <w:t xml:space="preserve"> évaluation des dangers et </w:t>
      </w:r>
      <w:r w:rsidRPr="00F3021F">
        <w:rPr>
          <w:szCs w:val="24"/>
          <w:lang w:val="fr-FR" w:bidi="fr-FR"/>
        </w:rPr>
        <w:t>des risques pour 2018. Ces indicateurs sont présentés pour chaque objectif et pour chaque produit correspondant. Le rapport dans son intégralité est accessible à l</w:t>
      </w:r>
      <w:r w:rsidR="000F7A90">
        <w:rPr>
          <w:szCs w:val="24"/>
          <w:lang w:val="fr-FR" w:bidi="fr-FR"/>
        </w:rPr>
        <w:t>'</w:t>
      </w:r>
      <w:r w:rsidRPr="00F3021F">
        <w:rPr>
          <w:szCs w:val="24"/>
          <w:lang w:val="fr-FR" w:bidi="fr-FR"/>
        </w:rPr>
        <w:t xml:space="preserve">adresse </w:t>
      </w:r>
      <w:hyperlink r:id="rId10" w:history="1">
        <w:r w:rsidR="00481267" w:rsidRPr="000B28A7">
          <w:rPr>
            <w:rStyle w:val="Hyperlink"/>
            <w:szCs w:val="24"/>
            <w:shd w:val="clear" w:color="auto" w:fill="FFFFFF" w:themeFill="background1"/>
            <w:lang w:val="fr-FR" w:bidi="fr-FR"/>
          </w:rPr>
          <w:t>https://www.itu.int/en/ITU-D/TIES_Protected/PerfReport2018.pdf</w:t>
        </w:r>
      </w:hyperlink>
      <w:r w:rsidRPr="00F3021F">
        <w:rPr>
          <w:szCs w:val="24"/>
          <w:lang w:val="fr-FR" w:bidi="fr-FR"/>
        </w:rPr>
        <w:t>.</w:t>
      </w:r>
    </w:p>
    <w:p w14:paraId="0A9C574B" w14:textId="50922D05" w:rsidR="00D0314B" w:rsidRPr="00F3021F" w:rsidRDefault="00D0314B" w:rsidP="00C762CF">
      <w:pPr>
        <w:rPr>
          <w:szCs w:val="24"/>
          <w:lang w:val="fr-FR"/>
        </w:rPr>
      </w:pPr>
      <w:r w:rsidRPr="00F3021F">
        <w:rPr>
          <w:szCs w:val="24"/>
          <w:lang w:val="fr-FR" w:bidi="fr-FR"/>
        </w:rPr>
        <w:t>Les principaux résultats obtenus par le BDT au cours de l</w:t>
      </w:r>
      <w:r w:rsidR="000F7A90">
        <w:rPr>
          <w:szCs w:val="24"/>
          <w:lang w:val="fr-FR" w:bidi="fr-FR"/>
        </w:rPr>
        <w:t>'</w:t>
      </w:r>
      <w:r w:rsidRPr="00F3021F">
        <w:rPr>
          <w:szCs w:val="24"/>
          <w:lang w:val="fr-FR" w:bidi="fr-FR"/>
        </w:rPr>
        <w:t>année 2018 dans le cadre de ses objectifs sont exposés ci-après.</w:t>
      </w:r>
    </w:p>
    <w:p w14:paraId="2ACD92CE" w14:textId="77777777" w:rsidR="00D0314B" w:rsidRPr="00C762CF" w:rsidRDefault="00D0314B" w:rsidP="00C762CF">
      <w:pPr>
        <w:pStyle w:val="Heading1"/>
        <w:rPr>
          <w:rFonts w:ascii="Calibri" w:hAnsi="Calibri"/>
          <w:lang w:val="fr-FR"/>
        </w:rPr>
      </w:pPr>
      <w:r w:rsidRPr="00F3021F">
        <w:rPr>
          <w:lang w:val="fr-FR" w:bidi="fr-FR"/>
        </w:rPr>
        <w:t>1</w:t>
      </w:r>
      <w:r w:rsidRPr="00F3021F">
        <w:rPr>
          <w:lang w:val="fr-FR" w:bidi="fr-FR"/>
        </w:rPr>
        <w:tab/>
      </w:r>
      <w:r w:rsidRPr="00C762CF">
        <w:rPr>
          <w:lang w:val="fr-FR" w:bidi="fr-FR"/>
        </w:rPr>
        <w:t xml:space="preserve">Objectif 1: </w:t>
      </w:r>
      <w:r w:rsidRPr="00C762CF">
        <w:rPr>
          <w:rFonts w:ascii="Calibri" w:eastAsia="Calibri" w:hAnsi="Calibri" w:cs="Calibri"/>
          <w:lang w:val="fr-FR" w:bidi="fr-FR"/>
        </w:rPr>
        <w:t>"</w:t>
      </w:r>
      <w:r w:rsidRPr="00C762CF">
        <w:rPr>
          <w:lang w:val="fr-FR" w:bidi="fr-FR"/>
        </w:rPr>
        <w:t>Promouvoir la coopération internationale concernant les questions de développement des télécommunications/TIC"</w:t>
      </w:r>
    </w:p>
    <w:p w14:paraId="2B85ADA9" w14:textId="77777777" w:rsidR="00D0314B" w:rsidRPr="00C762CF" w:rsidRDefault="00D0314B" w:rsidP="00C762CF">
      <w:pPr>
        <w:pStyle w:val="Heading2"/>
        <w:spacing w:after="120"/>
      </w:pPr>
      <w:r w:rsidRPr="00C762CF">
        <w:t>1.1</w:t>
      </w:r>
      <w:r w:rsidRPr="00C762CF">
        <w:tab/>
        <w:t>Conférence mondiale de développement des télécommunications (CMDT)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D0314B" w:rsidRPr="00F3021F" w14:paraId="635A5024" w14:textId="77777777" w:rsidTr="00127B97">
        <w:tc>
          <w:tcPr>
            <w:tcW w:w="5000" w:type="pct"/>
            <w:gridSpan w:val="2"/>
            <w:tcBorders>
              <w:bottom w:val="single" w:sz="4" w:space="0" w:color="auto"/>
            </w:tcBorders>
          </w:tcPr>
          <w:p w14:paraId="4263ECCC" w14:textId="0F2FB6DC" w:rsidR="00D0314B" w:rsidRPr="00F3021F" w:rsidRDefault="00D0314B" w:rsidP="00C762CF">
            <w:pPr>
              <w:rPr>
                <w:color w:val="000000"/>
                <w:lang w:val="fr-FR"/>
              </w:rPr>
            </w:pPr>
            <w:r w:rsidRPr="00F3021F">
              <w:rPr>
                <w:lang w:val="fr-FR" w:bidi="fr-FR"/>
              </w:rPr>
              <w:t>La prochaine Conférence mondiale de développement des télécommunications (CMDT) se tiendra en 2021. Le rapport final de la Conférence mondiale de dével</w:t>
            </w:r>
            <w:r w:rsidR="00C762CF">
              <w:rPr>
                <w:lang w:val="fr-FR" w:bidi="fr-FR"/>
              </w:rPr>
              <w:t xml:space="preserve">oppement des télécommunications </w:t>
            </w:r>
            <w:r w:rsidRPr="00F3021F">
              <w:rPr>
                <w:lang w:val="fr-FR" w:bidi="fr-FR"/>
              </w:rPr>
              <w:t>2017 (CMDT-2017), qui a eu lieu à B</w:t>
            </w:r>
            <w:r w:rsidR="005127AB">
              <w:rPr>
                <w:lang w:val="fr-FR" w:bidi="fr-FR"/>
              </w:rPr>
              <w:t>uenos Aires (Argentine) du 9 au </w:t>
            </w:r>
            <w:r w:rsidRPr="00F3021F">
              <w:rPr>
                <w:lang w:val="fr-FR" w:bidi="fr-FR"/>
              </w:rPr>
              <w:t xml:space="preserve">20 octobre 2017, a été </w:t>
            </w:r>
            <w:hyperlink r:id="rId11" w:history="1">
              <w:r w:rsidRPr="00F3021F">
                <w:rPr>
                  <w:rStyle w:val="Hyperlink"/>
                  <w:szCs w:val="24"/>
                  <w:lang w:val="fr-FR" w:bidi="fr-FR"/>
                </w:rPr>
                <w:t>mis à disposition</w:t>
              </w:r>
            </w:hyperlink>
            <w:r w:rsidRPr="00F3021F">
              <w:rPr>
                <w:rStyle w:val="Emphasis"/>
                <w:color w:val="000000" w:themeColor="text1"/>
                <w:szCs w:val="24"/>
                <w:lang w:val="fr-FR" w:bidi="fr-FR"/>
              </w:rPr>
              <w:t>.</w:t>
            </w:r>
          </w:p>
          <w:p w14:paraId="0E801961" w14:textId="4EB860E3" w:rsidR="00D0314B" w:rsidRPr="00F3021F" w:rsidRDefault="00D0314B" w:rsidP="00C762CF">
            <w:pPr>
              <w:spacing w:after="120"/>
              <w:rPr>
                <w:szCs w:val="24"/>
                <w:lang w:val="fr-FR"/>
              </w:rPr>
            </w:pPr>
            <w:r w:rsidRPr="00F3021F">
              <w:rPr>
                <w:color w:val="000000"/>
                <w:lang w:val="fr-FR" w:bidi="fr-FR"/>
              </w:rPr>
              <w:t>Une retraite a été organisée pour la direction du BDT du 5 au 9 février 2018 à Genève. Les participants ont analysé la situation actuelle dans le secteur des TIC à la lumière des résultats de la CMDT-17. En particulier, ils se sont penchés sur les moyens déployables par le Bureau de développement des télécommunications (BDT) pour s</w:t>
            </w:r>
            <w:r w:rsidR="000F7A90">
              <w:rPr>
                <w:color w:val="000000"/>
                <w:lang w:val="fr-FR" w:bidi="fr-FR"/>
              </w:rPr>
              <w:t>'</w:t>
            </w:r>
            <w:r w:rsidRPr="00F3021F">
              <w:rPr>
                <w:color w:val="000000"/>
                <w:lang w:val="fr-FR" w:bidi="fr-FR"/>
              </w:rPr>
              <w:t>acquitter de son mandat dans un environnement en pleine évolution et de plus en plus complexe et contraignant. Les principaux domaines abordés au cours de cette retraite forment le socle d</w:t>
            </w:r>
            <w:r w:rsidR="000F7A90">
              <w:rPr>
                <w:color w:val="000000"/>
                <w:lang w:val="fr-FR" w:bidi="fr-FR"/>
              </w:rPr>
              <w:t>'</w:t>
            </w:r>
            <w:r w:rsidRPr="00F3021F">
              <w:rPr>
                <w:color w:val="000000"/>
                <w:lang w:val="fr-FR" w:bidi="fr-FR"/>
              </w:rPr>
              <w:t>une stratégie et d</w:t>
            </w:r>
            <w:r w:rsidR="000F7A90">
              <w:rPr>
                <w:color w:val="000000"/>
                <w:lang w:val="fr-FR" w:bidi="fr-FR"/>
              </w:rPr>
              <w:t>'</w:t>
            </w:r>
            <w:r w:rsidRPr="00F3021F">
              <w:rPr>
                <w:color w:val="000000"/>
                <w:lang w:val="fr-FR" w:bidi="fr-FR"/>
              </w:rPr>
              <w:t>un plan d</w:t>
            </w:r>
            <w:r w:rsidR="000F7A90">
              <w:rPr>
                <w:color w:val="000000"/>
                <w:lang w:val="fr-FR" w:bidi="fr-FR"/>
              </w:rPr>
              <w:t>'</w:t>
            </w:r>
            <w:r w:rsidRPr="00F3021F">
              <w:rPr>
                <w:color w:val="000000"/>
                <w:lang w:val="fr-FR" w:bidi="fr-FR"/>
              </w:rPr>
              <w:t>action solides devant aider le BDT à faire face aux transformations majeures qui touchent le secteur et à répondre aux attentes élevées des membres.</w:t>
            </w:r>
          </w:p>
        </w:tc>
      </w:tr>
      <w:tr w:rsidR="00D0314B" w:rsidRPr="00F3021F" w14:paraId="7F5A37EA" w14:textId="77777777" w:rsidTr="00127B97">
        <w:tc>
          <w:tcPr>
            <w:tcW w:w="1617" w:type="pct"/>
            <w:tcBorders>
              <w:top w:val="single" w:sz="4" w:space="0" w:color="auto"/>
              <w:bottom w:val="single" w:sz="4" w:space="0" w:color="auto"/>
              <w:right w:val="single" w:sz="4" w:space="0" w:color="auto"/>
            </w:tcBorders>
          </w:tcPr>
          <w:p w14:paraId="1AC14DDF" w14:textId="77777777" w:rsidR="00D0314B" w:rsidRPr="00F3021F" w:rsidRDefault="00D0314B" w:rsidP="00C762CF">
            <w:pPr>
              <w:spacing w:before="0"/>
              <w:rPr>
                <w:i/>
                <w:iCs/>
                <w:szCs w:val="24"/>
                <w:lang w:val="fr-FR"/>
              </w:rPr>
            </w:pPr>
            <w:r w:rsidRPr="00F3021F">
              <w:rPr>
                <w:i/>
                <w:szCs w:val="24"/>
                <w:lang w:val="fr-FR" w:bidi="fr-FR"/>
              </w:rPr>
              <w:t>CMDT</w:t>
            </w:r>
          </w:p>
        </w:tc>
        <w:tc>
          <w:tcPr>
            <w:tcW w:w="3383" w:type="pct"/>
            <w:tcBorders>
              <w:top w:val="single" w:sz="4" w:space="0" w:color="auto"/>
              <w:left w:val="single" w:sz="4" w:space="0" w:color="auto"/>
              <w:bottom w:val="single" w:sz="4" w:space="0" w:color="auto"/>
            </w:tcBorders>
          </w:tcPr>
          <w:p w14:paraId="04D520DC" w14:textId="77777777" w:rsidR="00D0314B" w:rsidRPr="00F3021F" w:rsidRDefault="00D0314B" w:rsidP="00C762CF">
            <w:pPr>
              <w:spacing w:before="0"/>
              <w:rPr>
                <w:szCs w:val="24"/>
                <w:lang w:val="fr-FR"/>
              </w:rPr>
            </w:pPr>
            <w:bookmarkStart w:id="8" w:name="lt_pId058"/>
            <w:r w:rsidRPr="00F3021F">
              <w:rPr>
                <w:szCs w:val="24"/>
                <w:lang w:val="fr-FR" w:bidi="fr-FR"/>
              </w:rPr>
              <w:t>Résolutions 1, 2, 5, 30, 33, 37, 50, 53, 59, 81, 82</w:t>
            </w:r>
            <w:bookmarkEnd w:id="8"/>
          </w:p>
        </w:tc>
      </w:tr>
      <w:tr w:rsidR="00D0314B" w:rsidRPr="00F3021F" w14:paraId="3E53FED0" w14:textId="77777777" w:rsidTr="00127B97">
        <w:trPr>
          <w:trHeight w:val="397"/>
        </w:trPr>
        <w:tc>
          <w:tcPr>
            <w:tcW w:w="1617" w:type="pct"/>
            <w:tcBorders>
              <w:top w:val="single" w:sz="4" w:space="0" w:color="auto"/>
              <w:bottom w:val="single" w:sz="4" w:space="0" w:color="auto"/>
              <w:right w:val="single" w:sz="4" w:space="0" w:color="auto"/>
            </w:tcBorders>
          </w:tcPr>
          <w:p w14:paraId="431FFB5A" w14:textId="77777777" w:rsidR="00D0314B" w:rsidRPr="00F3021F" w:rsidRDefault="00D0314B" w:rsidP="00C762CF">
            <w:pPr>
              <w:spacing w:before="0"/>
              <w:rPr>
                <w:i/>
                <w:iCs/>
                <w:szCs w:val="24"/>
                <w:lang w:val="fr-FR"/>
              </w:rPr>
            </w:pPr>
            <w:r w:rsidRPr="00F3021F">
              <w:rPr>
                <w:i/>
                <w:szCs w:val="24"/>
                <w:lang w:val="fr-FR" w:bidi="fr-FR"/>
              </w:rPr>
              <w:t>Conférence de plénipotentiaires</w:t>
            </w:r>
          </w:p>
        </w:tc>
        <w:tc>
          <w:tcPr>
            <w:tcW w:w="3383" w:type="pct"/>
            <w:tcBorders>
              <w:top w:val="single" w:sz="4" w:space="0" w:color="auto"/>
              <w:left w:val="single" w:sz="4" w:space="0" w:color="auto"/>
              <w:bottom w:val="single" w:sz="4" w:space="0" w:color="auto"/>
            </w:tcBorders>
          </w:tcPr>
          <w:p w14:paraId="3CFA828A" w14:textId="77777777" w:rsidR="00D0314B" w:rsidRPr="00F3021F" w:rsidRDefault="00D0314B" w:rsidP="00C762CF">
            <w:pPr>
              <w:spacing w:before="0"/>
              <w:rPr>
                <w:szCs w:val="24"/>
                <w:lang w:val="fr-FR"/>
              </w:rPr>
            </w:pPr>
            <w:bookmarkStart w:id="9" w:name="lt_pId060"/>
            <w:r w:rsidRPr="00F3021F">
              <w:rPr>
                <w:szCs w:val="24"/>
                <w:lang w:val="fr-FR" w:bidi="fr-FR"/>
              </w:rPr>
              <w:t>Décisions 5, 13</w:t>
            </w:r>
            <w:bookmarkEnd w:id="9"/>
          </w:p>
          <w:p w14:paraId="716EAF9D" w14:textId="77777777" w:rsidR="00D0314B" w:rsidRPr="00F3021F" w:rsidRDefault="00D0314B" w:rsidP="00C762CF">
            <w:pPr>
              <w:spacing w:before="0"/>
              <w:rPr>
                <w:szCs w:val="24"/>
                <w:lang w:val="fr-FR"/>
              </w:rPr>
            </w:pPr>
            <w:bookmarkStart w:id="10" w:name="lt_pId061"/>
            <w:r w:rsidRPr="00F3021F">
              <w:rPr>
                <w:szCs w:val="24"/>
                <w:lang w:val="fr-FR" w:bidi="fr-FR"/>
              </w:rPr>
              <w:t>Résolutions 25, 71, 72, 77, 111, 131, 133, 135, 139, 140, 151, 154, 165, 167</w:t>
            </w:r>
            <w:bookmarkEnd w:id="10"/>
          </w:p>
        </w:tc>
      </w:tr>
      <w:tr w:rsidR="00D0314B" w:rsidRPr="00F3021F" w14:paraId="75C42677" w14:textId="77777777" w:rsidTr="00127B97">
        <w:trPr>
          <w:trHeight w:val="397"/>
        </w:trPr>
        <w:tc>
          <w:tcPr>
            <w:tcW w:w="1617" w:type="pct"/>
            <w:tcBorders>
              <w:top w:val="single" w:sz="4" w:space="0" w:color="auto"/>
              <w:bottom w:val="single" w:sz="4" w:space="0" w:color="auto"/>
              <w:right w:val="single" w:sz="4" w:space="0" w:color="auto"/>
            </w:tcBorders>
          </w:tcPr>
          <w:p w14:paraId="3763573E" w14:textId="77777777" w:rsidR="00D0314B" w:rsidRPr="00F3021F" w:rsidRDefault="00D0314B" w:rsidP="00C762CF">
            <w:pPr>
              <w:spacing w:before="0"/>
              <w:rPr>
                <w:i/>
                <w:iCs/>
                <w:lang w:val="fr-FR"/>
              </w:rPr>
            </w:pPr>
            <w:r w:rsidRPr="00F3021F">
              <w:rPr>
                <w:i/>
                <w:lang w:val="fr-FR" w:bidi="fr-FR"/>
              </w:rPr>
              <w:t>Conseil</w:t>
            </w:r>
          </w:p>
        </w:tc>
        <w:tc>
          <w:tcPr>
            <w:tcW w:w="3383" w:type="pct"/>
            <w:tcBorders>
              <w:top w:val="single" w:sz="4" w:space="0" w:color="auto"/>
              <w:left w:val="single" w:sz="4" w:space="0" w:color="auto"/>
              <w:bottom w:val="single" w:sz="4" w:space="0" w:color="auto"/>
            </w:tcBorders>
          </w:tcPr>
          <w:p w14:paraId="7916ABA7" w14:textId="77777777" w:rsidR="00D0314B" w:rsidRPr="00F3021F" w:rsidRDefault="00D0314B" w:rsidP="00C762CF">
            <w:pPr>
              <w:spacing w:before="0"/>
              <w:rPr>
                <w:szCs w:val="24"/>
                <w:lang w:val="fr-FR"/>
              </w:rPr>
            </w:pPr>
            <w:bookmarkStart w:id="11" w:name="lt_pId063"/>
            <w:r w:rsidRPr="00F3021F">
              <w:rPr>
                <w:szCs w:val="24"/>
                <w:lang w:val="fr-FR" w:bidi="fr-FR"/>
              </w:rPr>
              <w:t>Résolution 1372</w:t>
            </w:r>
            <w:bookmarkEnd w:id="11"/>
          </w:p>
        </w:tc>
      </w:tr>
      <w:tr w:rsidR="00D0314B" w:rsidRPr="00F3021F" w14:paraId="1410FC58" w14:textId="77777777" w:rsidTr="00127B97">
        <w:trPr>
          <w:trHeight w:val="397"/>
        </w:trPr>
        <w:tc>
          <w:tcPr>
            <w:tcW w:w="1617" w:type="pct"/>
            <w:tcBorders>
              <w:top w:val="single" w:sz="4" w:space="0" w:color="auto"/>
              <w:bottom w:val="single" w:sz="4" w:space="0" w:color="auto"/>
              <w:right w:val="single" w:sz="4" w:space="0" w:color="auto"/>
            </w:tcBorders>
          </w:tcPr>
          <w:p w14:paraId="0104ACBA" w14:textId="77777777" w:rsidR="00D0314B" w:rsidRPr="00F3021F" w:rsidRDefault="00D0314B" w:rsidP="00C762CF">
            <w:pPr>
              <w:spacing w:before="0"/>
              <w:rPr>
                <w:i/>
                <w:iCs/>
                <w:lang w:val="fr-FR"/>
              </w:rPr>
            </w:pPr>
            <w:r w:rsidRPr="00F3021F">
              <w:rPr>
                <w:i/>
                <w:lang w:val="fr-FR" w:bidi="fr-FR"/>
              </w:rPr>
              <w:t>Grandes orientations du SMSI</w:t>
            </w:r>
          </w:p>
        </w:tc>
        <w:tc>
          <w:tcPr>
            <w:tcW w:w="3383" w:type="pct"/>
            <w:tcBorders>
              <w:top w:val="single" w:sz="4" w:space="0" w:color="auto"/>
              <w:left w:val="single" w:sz="4" w:space="0" w:color="auto"/>
              <w:bottom w:val="single" w:sz="4" w:space="0" w:color="auto"/>
            </w:tcBorders>
          </w:tcPr>
          <w:p w14:paraId="2B631B09" w14:textId="77777777" w:rsidR="00D0314B" w:rsidRPr="00F3021F" w:rsidRDefault="00D0314B" w:rsidP="00C762CF">
            <w:pPr>
              <w:spacing w:before="0"/>
              <w:rPr>
                <w:szCs w:val="24"/>
                <w:lang w:val="fr-FR"/>
              </w:rPr>
            </w:pPr>
            <w:bookmarkStart w:id="12" w:name="lt_pId065"/>
            <w:r w:rsidRPr="00F3021F">
              <w:rPr>
                <w:szCs w:val="24"/>
                <w:lang w:val="fr-FR" w:bidi="fr-FR"/>
              </w:rPr>
              <w:t>Grandes orientations C1 et C11</w:t>
            </w:r>
            <w:bookmarkEnd w:id="12"/>
            <w:r w:rsidRPr="00F3021F">
              <w:rPr>
                <w:szCs w:val="24"/>
                <w:lang w:val="fr-FR" w:bidi="fr-FR"/>
              </w:rPr>
              <w:t xml:space="preserve"> du SMSI</w:t>
            </w:r>
          </w:p>
        </w:tc>
      </w:tr>
      <w:tr w:rsidR="00D0314B" w:rsidRPr="00F3021F" w14:paraId="328084B7" w14:textId="77777777" w:rsidTr="00127B97">
        <w:tc>
          <w:tcPr>
            <w:tcW w:w="1617" w:type="pct"/>
            <w:tcBorders>
              <w:top w:val="single" w:sz="4" w:space="0" w:color="auto"/>
              <w:bottom w:val="single" w:sz="4" w:space="0" w:color="auto"/>
              <w:right w:val="single" w:sz="4" w:space="0" w:color="auto"/>
            </w:tcBorders>
          </w:tcPr>
          <w:p w14:paraId="6AAD734D" w14:textId="77777777" w:rsidR="00D0314B" w:rsidRPr="00F3021F" w:rsidRDefault="00D0314B" w:rsidP="00C762CF">
            <w:pPr>
              <w:spacing w:before="0"/>
              <w:rPr>
                <w:i/>
                <w:iCs/>
                <w:szCs w:val="24"/>
                <w:lang w:val="fr-FR"/>
              </w:rPr>
            </w:pPr>
            <w:r w:rsidRPr="00F3021F">
              <w:rPr>
                <w:i/>
                <w:lang w:val="fr-FR" w:bidi="fr-FR"/>
              </w:rPr>
              <w:t>Contribution aux cibles des Objectifs de développement durable</w:t>
            </w:r>
          </w:p>
        </w:tc>
        <w:tc>
          <w:tcPr>
            <w:tcW w:w="3383" w:type="pct"/>
            <w:tcBorders>
              <w:top w:val="single" w:sz="4" w:space="0" w:color="auto"/>
              <w:left w:val="single" w:sz="4" w:space="0" w:color="auto"/>
              <w:bottom w:val="single" w:sz="4" w:space="0" w:color="auto"/>
            </w:tcBorders>
          </w:tcPr>
          <w:p w14:paraId="1B2D436E" w14:textId="77777777" w:rsidR="00D0314B" w:rsidRPr="00F3021F" w:rsidRDefault="00D0314B" w:rsidP="00C762CF">
            <w:pPr>
              <w:spacing w:before="0"/>
              <w:rPr>
                <w:szCs w:val="24"/>
                <w:lang w:val="fr-FR"/>
              </w:rPr>
            </w:pPr>
            <w:bookmarkStart w:id="13" w:name="lt_pId067"/>
            <w:r w:rsidRPr="00F3021F">
              <w:rPr>
                <w:szCs w:val="24"/>
                <w:lang w:val="fr-FR" w:bidi="fr-FR"/>
              </w:rPr>
              <w:t>Objectifs de développement durable:</w:t>
            </w:r>
            <w:bookmarkEnd w:id="13"/>
            <w:r w:rsidRPr="00F3021F">
              <w:rPr>
                <w:szCs w:val="24"/>
                <w:lang w:val="fr-FR" w:bidi="fr-FR"/>
              </w:rPr>
              <w:t xml:space="preserve"> </w:t>
            </w:r>
            <w:bookmarkStart w:id="14" w:name="lt_pId068"/>
            <w:r w:rsidRPr="00F3021F">
              <w:rPr>
                <w:szCs w:val="24"/>
                <w:lang w:val="fr-FR" w:bidi="fr-FR"/>
              </w:rPr>
              <w:t>1, 3, (cible 3.d), 5, 10, 16 (cibles 16.5, 16.6, 16.8), 17 (cibles 17.9, 17.16, 17.17, 17.18, 17.19)</w:t>
            </w:r>
            <w:bookmarkEnd w:id="14"/>
          </w:p>
        </w:tc>
      </w:tr>
    </w:tbl>
    <w:p w14:paraId="7E2C271F" w14:textId="6E84B0C5" w:rsidR="00D0314B" w:rsidRPr="00F3021F" w:rsidRDefault="00D0314B" w:rsidP="00C762CF">
      <w:pPr>
        <w:pStyle w:val="Heading2"/>
        <w:spacing w:after="120"/>
        <w:rPr>
          <w:lang w:val="fr-FR"/>
        </w:rPr>
      </w:pPr>
      <w:r w:rsidRPr="00F3021F">
        <w:rPr>
          <w:lang w:val="fr-FR" w:bidi="fr-FR"/>
        </w:rPr>
        <w:t>1.2</w:t>
      </w:r>
      <w:r w:rsidRPr="00F3021F">
        <w:rPr>
          <w:lang w:val="fr-FR" w:bidi="fr-FR"/>
        </w:rPr>
        <w:tab/>
        <w:t>Réunions préparatoires régionales (RPM)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D0314B" w:rsidRPr="00F3021F" w14:paraId="2196AB86" w14:textId="77777777" w:rsidTr="00127B97">
        <w:tc>
          <w:tcPr>
            <w:tcW w:w="9629" w:type="dxa"/>
            <w:gridSpan w:val="2"/>
            <w:tcBorders>
              <w:bottom w:val="single" w:sz="4" w:space="0" w:color="auto"/>
            </w:tcBorders>
          </w:tcPr>
          <w:p w14:paraId="7EE5C6B8" w14:textId="77777777" w:rsidR="00D0314B" w:rsidRPr="00F3021F" w:rsidRDefault="00D0314B" w:rsidP="00C762CF">
            <w:pPr>
              <w:rPr>
                <w:szCs w:val="24"/>
                <w:lang w:val="fr-FR"/>
              </w:rPr>
            </w:pPr>
            <w:r w:rsidRPr="00F3021F">
              <w:rPr>
                <w:szCs w:val="24"/>
                <w:lang w:val="fr-FR" w:bidi="fr-FR"/>
              </w:rPr>
              <w:t>Les prochaines réunions préparatoires régionales (RPM) se tiendront en 2020 et 2021.</w:t>
            </w:r>
          </w:p>
          <w:p w14:paraId="500587CA" w14:textId="096061CC" w:rsidR="00D0314B" w:rsidRPr="00F3021F" w:rsidRDefault="00D0314B" w:rsidP="00C762CF">
            <w:pPr>
              <w:spacing w:after="120"/>
              <w:rPr>
                <w:szCs w:val="24"/>
                <w:lang w:val="fr-FR"/>
              </w:rPr>
            </w:pPr>
            <w:r w:rsidRPr="00F3021F">
              <w:rPr>
                <w:szCs w:val="24"/>
                <w:lang w:val="fr-FR" w:bidi="fr-FR"/>
              </w:rPr>
              <w:t xml:space="preserve">Plusieurs Forums régionaux sur le développement ont été organisés en 2018 en vue de faciliter la mise en </w:t>
            </w:r>
            <w:r w:rsidR="00C762CF">
              <w:rPr>
                <w:szCs w:val="24"/>
                <w:lang w:val="fr-FR" w:bidi="fr-FR"/>
              </w:rPr>
              <w:t>oe</w:t>
            </w:r>
            <w:r w:rsidRPr="00F3021F">
              <w:rPr>
                <w:szCs w:val="24"/>
                <w:lang w:val="fr-FR" w:bidi="fr-FR"/>
              </w:rPr>
              <w:t>uvre des initiatives régionales</w:t>
            </w:r>
            <w:r w:rsidR="000F7A90">
              <w:rPr>
                <w:szCs w:val="24"/>
                <w:lang w:val="fr-FR" w:bidi="fr-FR"/>
              </w:rPr>
              <w:t>:</w:t>
            </w:r>
          </w:p>
          <w:p w14:paraId="7F372F77" w14:textId="7F31F6EF" w:rsidR="007C7D10" w:rsidRPr="001C16D6" w:rsidRDefault="00B45205" w:rsidP="001C16D6">
            <w:pPr>
              <w:pStyle w:val="enumlev1"/>
            </w:pPr>
            <w:r w:rsidRPr="001C16D6">
              <w:t>–</w:t>
            </w:r>
            <w:r w:rsidRPr="001C16D6">
              <w:tab/>
              <w:t>Forum régional sur le développement pour l</w:t>
            </w:r>
            <w:r w:rsidR="000F7A90" w:rsidRPr="001C16D6">
              <w:t>'</w:t>
            </w:r>
            <w:r w:rsidRPr="001C16D6">
              <w:t xml:space="preserve">Afrique, Accra (Ghana), </w:t>
            </w:r>
            <w:r w:rsidR="007C7D10" w:rsidRPr="001C16D6">
              <w:br/>
            </w:r>
            <w:r w:rsidRPr="001C16D6">
              <w:t>19 et 20 juillet</w:t>
            </w:r>
            <w:r w:rsidR="007C7D10" w:rsidRPr="001C16D6">
              <w:t> </w:t>
            </w:r>
            <w:r w:rsidRPr="001C16D6">
              <w:t>2018.</w:t>
            </w:r>
          </w:p>
          <w:p w14:paraId="0324D555" w14:textId="2903041B" w:rsidR="00B45205" w:rsidRPr="001C16D6" w:rsidRDefault="001C16D6" w:rsidP="001C16D6">
            <w:pPr>
              <w:pStyle w:val="enumlev1"/>
            </w:pPr>
            <w:r w:rsidRPr="001C16D6">
              <w:lastRenderedPageBreak/>
              <w:t>–</w:t>
            </w:r>
            <w:r>
              <w:tab/>
            </w:r>
            <w:r w:rsidR="00B45205" w:rsidRPr="001C16D6">
              <w:t xml:space="preserve">Forum régional sur le développement pour les Etats arabes, Alger (Algérie), </w:t>
            </w:r>
            <w:r w:rsidR="007C7D10" w:rsidRPr="001C16D6">
              <w:br/>
            </w:r>
            <w:r w:rsidR="00B45205" w:rsidRPr="001C16D6">
              <w:t>12 et 13 février 2018.</w:t>
            </w:r>
          </w:p>
          <w:p w14:paraId="3718BCFA" w14:textId="77777777" w:rsidR="00B45205" w:rsidRPr="001C16D6" w:rsidRDefault="00B45205" w:rsidP="001C16D6">
            <w:pPr>
              <w:pStyle w:val="enumlev1"/>
            </w:pPr>
            <w:r w:rsidRPr="001C16D6">
              <w:t>–</w:t>
            </w:r>
            <w:r w:rsidRPr="001C16D6">
              <w:tab/>
              <w:t>Forum régional sur le développement pour les Amériques, Lima (Pérou), 25 mai 2018.</w:t>
            </w:r>
          </w:p>
          <w:p w14:paraId="4B1684E9" w14:textId="048E3DF8" w:rsidR="00B45205" w:rsidRPr="001C16D6" w:rsidRDefault="00B45205" w:rsidP="001C16D6">
            <w:pPr>
              <w:pStyle w:val="enumlev1"/>
            </w:pPr>
            <w:r w:rsidRPr="001C16D6">
              <w:t>–</w:t>
            </w:r>
            <w:r w:rsidRPr="001C16D6">
              <w:tab/>
              <w:t>Forum régional sur le développement pour l</w:t>
            </w:r>
            <w:r w:rsidR="000F7A90" w:rsidRPr="001C16D6">
              <w:t>'</w:t>
            </w:r>
            <w:r w:rsidRPr="001C16D6">
              <w:t xml:space="preserve">Asie-Pacifique, Bangkok (Thaïlande), </w:t>
            </w:r>
            <w:r w:rsidR="007C7D10" w:rsidRPr="001C16D6">
              <w:br/>
            </w:r>
            <w:r w:rsidRPr="001C16D6">
              <w:t>21 et 22 mai 2018.</w:t>
            </w:r>
          </w:p>
          <w:p w14:paraId="39F5B111" w14:textId="7B0754C1" w:rsidR="00D0314B" w:rsidRPr="00F3021F" w:rsidRDefault="00B45205" w:rsidP="001C16D6">
            <w:pPr>
              <w:pStyle w:val="enumlev1"/>
              <w:rPr>
                <w:lang w:val="fr-FR"/>
              </w:rPr>
            </w:pPr>
            <w:r w:rsidRPr="001C16D6">
              <w:t>–</w:t>
            </w:r>
            <w:r w:rsidRPr="001C16D6">
              <w:tab/>
              <w:t>Forum régional sur le développement pour l</w:t>
            </w:r>
            <w:r w:rsidR="000F7A90" w:rsidRPr="001C16D6">
              <w:t>'</w:t>
            </w:r>
            <w:r w:rsidRPr="001C16D6">
              <w:t xml:space="preserve">Europe, Prague (République tchèque), </w:t>
            </w:r>
            <w:r w:rsidR="007C7D10" w:rsidRPr="001C16D6">
              <w:br/>
            </w:r>
            <w:r w:rsidRPr="001C16D6">
              <w:t>19 et 20 juillet 2018.</w:t>
            </w:r>
          </w:p>
        </w:tc>
      </w:tr>
      <w:tr w:rsidR="00D0314B" w:rsidRPr="00F3021F" w14:paraId="2C768667" w14:textId="77777777" w:rsidTr="00127B97">
        <w:tc>
          <w:tcPr>
            <w:tcW w:w="3114" w:type="dxa"/>
            <w:tcBorders>
              <w:top w:val="single" w:sz="4" w:space="0" w:color="auto"/>
              <w:bottom w:val="single" w:sz="4" w:space="0" w:color="auto"/>
              <w:right w:val="single" w:sz="4" w:space="0" w:color="auto"/>
            </w:tcBorders>
          </w:tcPr>
          <w:p w14:paraId="2C3EFF0F" w14:textId="77777777" w:rsidR="00D0314B" w:rsidRPr="00F3021F" w:rsidRDefault="00D0314B" w:rsidP="00C762CF">
            <w:pPr>
              <w:spacing w:before="0"/>
              <w:rPr>
                <w:i/>
                <w:iCs/>
                <w:szCs w:val="24"/>
                <w:lang w:val="fr-FR"/>
              </w:rPr>
            </w:pPr>
            <w:r w:rsidRPr="00F3021F">
              <w:rPr>
                <w:i/>
                <w:szCs w:val="24"/>
                <w:lang w:val="fr-FR" w:bidi="fr-FR"/>
              </w:rPr>
              <w:lastRenderedPageBreak/>
              <w:t>CMDT</w:t>
            </w:r>
          </w:p>
        </w:tc>
        <w:tc>
          <w:tcPr>
            <w:tcW w:w="6515" w:type="dxa"/>
            <w:tcBorders>
              <w:top w:val="single" w:sz="4" w:space="0" w:color="auto"/>
              <w:left w:val="single" w:sz="4" w:space="0" w:color="auto"/>
              <w:bottom w:val="single" w:sz="4" w:space="0" w:color="auto"/>
            </w:tcBorders>
          </w:tcPr>
          <w:p w14:paraId="07CBB1F4" w14:textId="77777777" w:rsidR="00D0314B" w:rsidRPr="00F3021F" w:rsidRDefault="00D0314B" w:rsidP="00C762CF">
            <w:pPr>
              <w:spacing w:before="0"/>
              <w:rPr>
                <w:szCs w:val="24"/>
                <w:lang w:val="fr-FR"/>
              </w:rPr>
            </w:pPr>
            <w:bookmarkStart w:id="15" w:name="lt_pId087"/>
            <w:r w:rsidRPr="00F3021F">
              <w:rPr>
                <w:szCs w:val="24"/>
                <w:lang w:val="fr-FR" w:bidi="fr-FR"/>
              </w:rPr>
              <w:t>Résolutions 1, 5, 17, 25, 30, 31, 33, 37, 48, 50, 59, 61, 81</w:t>
            </w:r>
            <w:bookmarkEnd w:id="15"/>
          </w:p>
        </w:tc>
      </w:tr>
      <w:tr w:rsidR="00D0314B" w:rsidRPr="00F3021F" w14:paraId="706B8C6C" w14:textId="77777777" w:rsidTr="00127B97">
        <w:tc>
          <w:tcPr>
            <w:tcW w:w="3114" w:type="dxa"/>
            <w:tcBorders>
              <w:top w:val="single" w:sz="4" w:space="0" w:color="auto"/>
              <w:bottom w:val="single" w:sz="4" w:space="0" w:color="auto"/>
              <w:right w:val="single" w:sz="4" w:space="0" w:color="auto"/>
            </w:tcBorders>
          </w:tcPr>
          <w:p w14:paraId="5A0EF010" w14:textId="77777777" w:rsidR="00D0314B" w:rsidRPr="00F3021F" w:rsidRDefault="00D0314B" w:rsidP="00C762CF">
            <w:pPr>
              <w:spacing w:before="0"/>
              <w:rPr>
                <w:i/>
                <w:iCs/>
                <w:szCs w:val="24"/>
                <w:lang w:val="fr-FR"/>
              </w:rPr>
            </w:pPr>
            <w:r w:rsidRPr="00F3021F">
              <w:rPr>
                <w:i/>
                <w:szCs w:val="24"/>
                <w:lang w:val="fr-FR" w:bidi="fr-FR"/>
              </w:rPr>
              <w:t>Conférence de plénipotentiaires</w:t>
            </w:r>
          </w:p>
        </w:tc>
        <w:tc>
          <w:tcPr>
            <w:tcW w:w="6515" w:type="dxa"/>
            <w:tcBorders>
              <w:top w:val="single" w:sz="4" w:space="0" w:color="auto"/>
              <w:left w:val="single" w:sz="4" w:space="0" w:color="auto"/>
              <w:bottom w:val="single" w:sz="4" w:space="0" w:color="auto"/>
            </w:tcBorders>
          </w:tcPr>
          <w:p w14:paraId="0A1C7D11" w14:textId="77777777" w:rsidR="00D0314B" w:rsidRPr="00F3021F" w:rsidRDefault="00D0314B" w:rsidP="00C762CF">
            <w:pPr>
              <w:spacing w:before="0"/>
              <w:rPr>
                <w:szCs w:val="24"/>
                <w:lang w:val="fr-FR"/>
              </w:rPr>
            </w:pPr>
            <w:bookmarkStart w:id="16" w:name="lt_pId089"/>
            <w:r w:rsidRPr="00F3021F">
              <w:rPr>
                <w:szCs w:val="24"/>
                <w:lang w:val="fr-FR" w:bidi="fr-FR"/>
              </w:rPr>
              <w:t>Décisions 5, 13</w:t>
            </w:r>
            <w:bookmarkEnd w:id="16"/>
            <w:r w:rsidRPr="00F3021F">
              <w:rPr>
                <w:szCs w:val="24"/>
                <w:lang w:val="fr-FR" w:bidi="fr-FR"/>
              </w:rPr>
              <w:t xml:space="preserve"> </w:t>
            </w:r>
          </w:p>
          <w:p w14:paraId="01F6B432" w14:textId="77777777" w:rsidR="00D0314B" w:rsidRPr="00F3021F" w:rsidRDefault="00D0314B" w:rsidP="00C762CF">
            <w:pPr>
              <w:spacing w:before="0"/>
              <w:rPr>
                <w:szCs w:val="24"/>
                <w:lang w:val="fr-FR"/>
              </w:rPr>
            </w:pPr>
            <w:bookmarkStart w:id="17" w:name="lt_pId090"/>
            <w:r w:rsidRPr="00F3021F">
              <w:rPr>
                <w:szCs w:val="24"/>
                <w:lang w:val="fr-FR" w:bidi="fr-FR"/>
              </w:rPr>
              <w:t>Résolutions 25, 71, 111, 135, 140, 165, 167</w:t>
            </w:r>
            <w:bookmarkEnd w:id="17"/>
          </w:p>
        </w:tc>
      </w:tr>
      <w:tr w:rsidR="00D0314B" w:rsidRPr="00F3021F" w14:paraId="0923372A" w14:textId="77777777" w:rsidTr="00127B97">
        <w:trPr>
          <w:trHeight w:val="397"/>
        </w:trPr>
        <w:tc>
          <w:tcPr>
            <w:tcW w:w="3114" w:type="dxa"/>
            <w:tcBorders>
              <w:top w:val="single" w:sz="4" w:space="0" w:color="auto"/>
              <w:bottom w:val="single" w:sz="4" w:space="0" w:color="auto"/>
              <w:right w:val="single" w:sz="4" w:space="0" w:color="auto"/>
            </w:tcBorders>
          </w:tcPr>
          <w:p w14:paraId="68F6F628" w14:textId="77777777" w:rsidR="00D0314B" w:rsidRPr="00F3021F" w:rsidRDefault="00D0314B" w:rsidP="00C762CF">
            <w:pPr>
              <w:spacing w:before="0"/>
              <w:rPr>
                <w:i/>
                <w:iCs/>
                <w:szCs w:val="24"/>
                <w:lang w:val="fr-FR"/>
              </w:rPr>
            </w:pPr>
            <w:r w:rsidRPr="00F3021F">
              <w:rPr>
                <w:i/>
                <w:lang w:val="fr-FR" w:bidi="fr-FR"/>
              </w:rPr>
              <w:t>Grandes orientations du SMSI</w:t>
            </w:r>
          </w:p>
        </w:tc>
        <w:tc>
          <w:tcPr>
            <w:tcW w:w="6515" w:type="dxa"/>
            <w:tcBorders>
              <w:top w:val="single" w:sz="4" w:space="0" w:color="auto"/>
              <w:left w:val="single" w:sz="4" w:space="0" w:color="auto"/>
              <w:bottom w:val="single" w:sz="4" w:space="0" w:color="auto"/>
            </w:tcBorders>
          </w:tcPr>
          <w:p w14:paraId="654E5517" w14:textId="77777777" w:rsidR="00D0314B" w:rsidRPr="00F3021F" w:rsidRDefault="00D0314B" w:rsidP="00C762CF">
            <w:pPr>
              <w:spacing w:before="0"/>
              <w:rPr>
                <w:szCs w:val="24"/>
                <w:lang w:val="fr-FR"/>
              </w:rPr>
            </w:pPr>
            <w:r w:rsidRPr="00F3021F">
              <w:rPr>
                <w:szCs w:val="24"/>
                <w:lang w:val="fr-FR" w:bidi="fr-FR"/>
              </w:rPr>
              <w:t>Grandes orientations C1 et C11 du SMSI</w:t>
            </w:r>
          </w:p>
        </w:tc>
      </w:tr>
      <w:tr w:rsidR="00D0314B" w:rsidRPr="00F3021F" w14:paraId="4E07D88B" w14:textId="77777777" w:rsidTr="00127B97">
        <w:tc>
          <w:tcPr>
            <w:tcW w:w="3114" w:type="dxa"/>
            <w:tcBorders>
              <w:top w:val="single" w:sz="4" w:space="0" w:color="auto"/>
              <w:bottom w:val="single" w:sz="4" w:space="0" w:color="auto"/>
              <w:right w:val="single" w:sz="4" w:space="0" w:color="auto"/>
            </w:tcBorders>
          </w:tcPr>
          <w:p w14:paraId="2707F7A3" w14:textId="77777777" w:rsidR="00D0314B" w:rsidRPr="00F3021F" w:rsidRDefault="00D0314B" w:rsidP="00C762CF">
            <w:pPr>
              <w:spacing w:before="0"/>
              <w:rPr>
                <w:i/>
                <w:iCs/>
                <w:szCs w:val="24"/>
                <w:lang w:val="fr-FR"/>
              </w:rPr>
            </w:pPr>
            <w:r w:rsidRPr="00F3021F">
              <w:rPr>
                <w:i/>
                <w:lang w:val="fr-FR" w:bidi="fr-FR"/>
              </w:rPr>
              <w:t>Contribution aux cibles des Objectifs de développement durable</w:t>
            </w:r>
          </w:p>
        </w:tc>
        <w:tc>
          <w:tcPr>
            <w:tcW w:w="6515" w:type="dxa"/>
            <w:tcBorders>
              <w:top w:val="single" w:sz="4" w:space="0" w:color="auto"/>
              <w:left w:val="single" w:sz="4" w:space="0" w:color="auto"/>
              <w:bottom w:val="single" w:sz="4" w:space="0" w:color="auto"/>
            </w:tcBorders>
          </w:tcPr>
          <w:p w14:paraId="77B3F696" w14:textId="77777777" w:rsidR="00D0314B" w:rsidRPr="00F3021F" w:rsidRDefault="00D0314B" w:rsidP="00C762CF">
            <w:pPr>
              <w:spacing w:before="0"/>
              <w:rPr>
                <w:szCs w:val="24"/>
                <w:lang w:val="fr-FR"/>
              </w:rPr>
            </w:pPr>
            <w:bookmarkStart w:id="18" w:name="lt_pId094"/>
            <w:r w:rsidRPr="00F3021F">
              <w:rPr>
                <w:szCs w:val="24"/>
                <w:lang w:val="fr-FR" w:bidi="fr-FR"/>
              </w:rPr>
              <w:t>Objectifs de développement durable:</w:t>
            </w:r>
            <w:bookmarkEnd w:id="18"/>
            <w:r w:rsidRPr="00F3021F">
              <w:rPr>
                <w:szCs w:val="24"/>
                <w:lang w:val="fr-FR" w:bidi="fr-FR"/>
              </w:rPr>
              <w:t xml:space="preserve"> </w:t>
            </w:r>
            <w:bookmarkStart w:id="19" w:name="lt_pId095"/>
            <w:r w:rsidRPr="00F3021F">
              <w:rPr>
                <w:szCs w:val="24"/>
                <w:lang w:val="fr-FR" w:bidi="fr-FR"/>
              </w:rPr>
              <w:t>1, 3, (cible 3.d), 5, 10, 16 (cibles 16.5, 16.6, 16.8), 17 (cibles 17.9, 17.16, 17.17, 17.18, 17.19)</w:t>
            </w:r>
            <w:bookmarkEnd w:id="19"/>
          </w:p>
        </w:tc>
      </w:tr>
    </w:tbl>
    <w:p w14:paraId="1E0B36AC" w14:textId="77777777" w:rsidR="00D0314B" w:rsidRPr="00F3021F" w:rsidRDefault="00D0314B" w:rsidP="00C762CF">
      <w:pPr>
        <w:pStyle w:val="Heading2"/>
        <w:spacing w:after="120"/>
        <w:rPr>
          <w:lang w:val="fr-FR"/>
        </w:rPr>
      </w:pPr>
      <w:r w:rsidRPr="00F3021F">
        <w:rPr>
          <w:lang w:val="fr-FR" w:bidi="fr-FR"/>
        </w:rPr>
        <w:t>1.3</w:t>
      </w:r>
      <w:r w:rsidRPr="00F3021F">
        <w:rPr>
          <w:lang w:val="fr-FR" w:bidi="fr-FR"/>
        </w:rPr>
        <w:tab/>
        <w:t>Groupe consultatif pour le développement des télécommunications (GCDT)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D0314B" w:rsidRPr="00F3021F" w14:paraId="7F9CBF59" w14:textId="77777777" w:rsidTr="00127B97">
        <w:tc>
          <w:tcPr>
            <w:tcW w:w="9629" w:type="dxa"/>
            <w:gridSpan w:val="2"/>
            <w:tcBorders>
              <w:bottom w:val="single" w:sz="4" w:space="0" w:color="auto"/>
            </w:tcBorders>
          </w:tcPr>
          <w:p w14:paraId="2F3D26B9" w14:textId="0F8F9374" w:rsidR="000D3A71" w:rsidRPr="00F3021F" w:rsidRDefault="000D3A71" w:rsidP="00C762CF">
            <w:pPr>
              <w:rPr>
                <w:lang w:val="fr-FR"/>
              </w:rPr>
            </w:pPr>
            <w:r w:rsidRPr="00F3021F">
              <w:rPr>
                <w:lang w:val="fr-FR" w:bidi="fr-FR"/>
              </w:rPr>
              <w:t>La vingt-troisième réunion du Groupe consultatif pour le développement des télécommunications s</w:t>
            </w:r>
            <w:r w:rsidR="000F7A90">
              <w:rPr>
                <w:lang w:val="fr-FR" w:bidi="fr-FR"/>
              </w:rPr>
              <w:t>'</w:t>
            </w:r>
            <w:r w:rsidRPr="00F3021F">
              <w:rPr>
                <w:lang w:val="fr-FR" w:bidi="fr-FR"/>
              </w:rPr>
              <w:t>est tenue du 9 au 11 avril 2018 au siège de l</w:t>
            </w:r>
            <w:r w:rsidR="000F7A90">
              <w:rPr>
                <w:lang w:val="fr-FR" w:bidi="fr-FR"/>
              </w:rPr>
              <w:t>'</w:t>
            </w:r>
            <w:r w:rsidRPr="00F3021F">
              <w:rPr>
                <w:lang w:val="fr-FR" w:bidi="fr-FR"/>
              </w:rPr>
              <w:t>UIT à Genève.</w:t>
            </w:r>
          </w:p>
          <w:p w14:paraId="58035090" w14:textId="5417C10A" w:rsidR="00894DB5" w:rsidRPr="00F3021F" w:rsidRDefault="00894DB5" w:rsidP="00481267">
            <w:pPr>
              <w:rPr>
                <w:lang w:val="fr-FR"/>
              </w:rPr>
            </w:pPr>
            <w:r w:rsidRPr="00F3021F">
              <w:rPr>
                <w:lang w:val="fr-FR" w:bidi="fr-FR"/>
              </w:rPr>
              <w:t>L</w:t>
            </w:r>
            <w:r w:rsidR="000F7A90">
              <w:rPr>
                <w:lang w:val="fr-FR" w:bidi="fr-FR"/>
              </w:rPr>
              <w:t>'</w:t>
            </w:r>
            <w:r w:rsidRPr="00F3021F">
              <w:rPr>
                <w:lang w:val="fr-FR" w:bidi="fr-FR"/>
              </w:rPr>
              <w:t>ordre du jour de la 23ème réunion du GCDT était vaste, puisque le Groupe se réunissait pour la</w:t>
            </w:r>
            <w:r w:rsidR="00481267">
              <w:rPr>
                <w:lang w:val="fr-FR" w:bidi="fr-FR"/>
              </w:rPr>
              <w:t> </w:t>
            </w:r>
            <w:r w:rsidRPr="00F3021F">
              <w:rPr>
                <w:lang w:val="fr-FR" w:bidi="fr-FR"/>
              </w:rPr>
              <w:t>première fois depuis la Conférence mondiale de développe</w:t>
            </w:r>
            <w:r w:rsidR="00481267">
              <w:rPr>
                <w:lang w:val="fr-FR" w:bidi="fr-FR"/>
              </w:rPr>
              <w:t>ment des télécommunications de </w:t>
            </w:r>
            <w:r w:rsidRPr="00F3021F">
              <w:rPr>
                <w:lang w:val="fr-FR" w:bidi="fr-FR"/>
              </w:rPr>
              <w:t>2017 (CMDT-17). Les débats ont notamment porté sur les sujets suivants:</w:t>
            </w:r>
          </w:p>
          <w:p w14:paraId="1236777C" w14:textId="201EEC96" w:rsidR="000D3A71" w:rsidRPr="00F3021F" w:rsidRDefault="00894DB5" w:rsidP="00C762CF">
            <w:pPr>
              <w:pStyle w:val="enumlev1"/>
              <w:rPr>
                <w:lang w:val="fr-FR"/>
              </w:rPr>
            </w:pPr>
            <w:r w:rsidRPr="00F3021F">
              <w:rPr>
                <w:lang w:val="fr-FR" w:bidi="fr-FR"/>
              </w:rPr>
              <w:t>–</w:t>
            </w:r>
            <w:r w:rsidRPr="00F3021F">
              <w:rPr>
                <w:lang w:val="fr-FR" w:bidi="fr-FR"/>
              </w:rPr>
              <w:tab/>
              <w:t>Résultats de la CMDT-17 et leurs répercussions sur les travaux de l</w:t>
            </w:r>
            <w:r w:rsidR="000F7A90">
              <w:rPr>
                <w:lang w:val="fr-FR" w:bidi="fr-FR"/>
              </w:rPr>
              <w:t>'</w:t>
            </w:r>
            <w:r w:rsidRPr="00F3021F">
              <w:rPr>
                <w:lang w:val="fr-FR" w:bidi="fr-FR"/>
              </w:rPr>
              <w:t>UIT-D, y compris sur le domaine de compétence du GCDT, la collaboration avec les autres Secteurs, et les incidences financières des initiatives régionales approuvées.</w:t>
            </w:r>
          </w:p>
          <w:p w14:paraId="4E929B59" w14:textId="4C4DB060" w:rsidR="00894DB5" w:rsidRPr="00F3021F" w:rsidRDefault="00D0314B" w:rsidP="00C762CF">
            <w:pPr>
              <w:pStyle w:val="enumlev1"/>
              <w:rPr>
                <w:lang w:val="fr-FR"/>
              </w:rPr>
            </w:pPr>
            <w:r w:rsidRPr="00F3021F">
              <w:rPr>
                <w:lang w:val="fr-FR" w:bidi="fr-FR"/>
              </w:rPr>
              <w:t>–</w:t>
            </w:r>
            <w:r w:rsidRPr="00F3021F">
              <w:rPr>
                <w:lang w:val="fr-FR" w:bidi="fr-FR"/>
              </w:rPr>
              <w:tab/>
              <w:t xml:space="preserve">Mise en </w:t>
            </w:r>
            <w:r w:rsidR="00C762CF">
              <w:rPr>
                <w:lang w:val="fr-FR" w:bidi="fr-FR"/>
              </w:rPr>
              <w:t>oe</w:t>
            </w:r>
            <w:r w:rsidRPr="00F3021F">
              <w:rPr>
                <w:lang w:val="fr-FR" w:bidi="fr-FR"/>
              </w:rPr>
              <w:t>uvre du Plan stratégique et du Plan opérationnel de l</w:t>
            </w:r>
            <w:r w:rsidR="000F7A90">
              <w:rPr>
                <w:lang w:val="fr-FR" w:bidi="fr-FR"/>
              </w:rPr>
              <w:t>'</w:t>
            </w:r>
            <w:r w:rsidRPr="00F3021F">
              <w:rPr>
                <w:lang w:val="fr-FR" w:bidi="fr-FR"/>
              </w:rPr>
              <w:t>UIT-D pour 2017, ainsi que du Plan opérationnel quadriennal glissant de l</w:t>
            </w:r>
            <w:r w:rsidR="000F7A90">
              <w:rPr>
                <w:lang w:val="fr-FR" w:bidi="fr-FR"/>
              </w:rPr>
              <w:t>'</w:t>
            </w:r>
            <w:r w:rsidRPr="00F3021F">
              <w:rPr>
                <w:lang w:val="fr-FR" w:bidi="fr-FR"/>
              </w:rPr>
              <w:t>UIT-D pour 2019-2022.</w:t>
            </w:r>
          </w:p>
          <w:p w14:paraId="695E9439" w14:textId="65A02C4C" w:rsidR="00894DB5" w:rsidRPr="00F3021F" w:rsidRDefault="00894DB5" w:rsidP="00C762CF">
            <w:pPr>
              <w:pStyle w:val="enumlev1"/>
              <w:rPr>
                <w:lang w:val="fr-FR"/>
              </w:rPr>
            </w:pPr>
            <w:r w:rsidRPr="00F3021F">
              <w:rPr>
                <w:lang w:val="fr-FR" w:bidi="fr-FR"/>
              </w:rPr>
              <w:t>–</w:t>
            </w:r>
            <w:r w:rsidRPr="00F3021F">
              <w:rPr>
                <w:lang w:val="fr-FR" w:bidi="fr-FR"/>
              </w:rPr>
              <w:tab/>
              <w:t>Contribution de l</w:t>
            </w:r>
            <w:r w:rsidR="000F7A90">
              <w:rPr>
                <w:lang w:val="fr-FR" w:bidi="fr-FR"/>
              </w:rPr>
              <w:t>'</w:t>
            </w:r>
            <w:r w:rsidRPr="00F3021F">
              <w:rPr>
                <w:lang w:val="fr-FR" w:bidi="fr-FR"/>
              </w:rPr>
              <w:t>UIT-D à la mise en oeuvre des résultats du SMSI et du Programme de développement durable à l</w:t>
            </w:r>
            <w:r w:rsidR="000F7A90">
              <w:rPr>
                <w:lang w:val="fr-FR" w:bidi="fr-FR"/>
              </w:rPr>
              <w:t>'</w:t>
            </w:r>
            <w:r w:rsidRPr="00F3021F">
              <w:rPr>
                <w:lang w:val="fr-FR" w:bidi="fr-FR"/>
              </w:rPr>
              <w:t>horizon 2030.</w:t>
            </w:r>
          </w:p>
          <w:p w14:paraId="6C694850" w14:textId="1085B71C" w:rsidR="00894DB5" w:rsidRPr="00F3021F" w:rsidRDefault="00894DB5" w:rsidP="00C762CF">
            <w:pPr>
              <w:pStyle w:val="enumlev1"/>
              <w:rPr>
                <w:lang w:val="fr-FR"/>
              </w:rPr>
            </w:pPr>
            <w:r w:rsidRPr="00F3021F">
              <w:rPr>
                <w:lang w:val="fr-FR" w:bidi="fr-FR"/>
              </w:rPr>
              <w:t>–</w:t>
            </w:r>
            <w:r w:rsidRPr="00F3021F">
              <w:rPr>
                <w:lang w:val="fr-FR" w:bidi="fr-FR"/>
              </w:rPr>
              <w:tab/>
              <w:t>Questions relatives aux Commissions d</w:t>
            </w:r>
            <w:r w:rsidR="000F7A90">
              <w:rPr>
                <w:lang w:val="fr-FR" w:bidi="fr-FR"/>
              </w:rPr>
              <w:t>'</w:t>
            </w:r>
            <w:r w:rsidRPr="00F3021F">
              <w:rPr>
                <w:lang w:val="fr-FR" w:bidi="fr-FR"/>
              </w:rPr>
              <w:t>études de l</w:t>
            </w:r>
            <w:r w:rsidR="000F7A90">
              <w:rPr>
                <w:lang w:val="fr-FR" w:bidi="fr-FR"/>
              </w:rPr>
              <w:t>'</w:t>
            </w:r>
            <w:r w:rsidRPr="00F3021F">
              <w:rPr>
                <w:lang w:val="fr-FR" w:bidi="fr-FR"/>
              </w:rPr>
              <w:t>UIT-D.</w:t>
            </w:r>
          </w:p>
          <w:p w14:paraId="1E081DB3" w14:textId="77777777" w:rsidR="00894DB5" w:rsidRPr="00F3021F" w:rsidRDefault="00894DB5" w:rsidP="00C762CF">
            <w:pPr>
              <w:pStyle w:val="enumlev1"/>
              <w:rPr>
                <w:lang w:val="fr-FR"/>
              </w:rPr>
            </w:pPr>
            <w:r w:rsidRPr="00F3021F">
              <w:rPr>
                <w:lang w:val="fr-FR" w:bidi="fr-FR"/>
              </w:rPr>
              <w:t>–</w:t>
            </w:r>
            <w:r w:rsidRPr="00F3021F">
              <w:rPr>
                <w:lang w:val="fr-FR" w:bidi="fr-FR"/>
              </w:rPr>
              <w:tab/>
              <w:t>Forums régionaux de développement (RDF).</w:t>
            </w:r>
          </w:p>
          <w:p w14:paraId="38682096" w14:textId="754088AF" w:rsidR="00894DB5" w:rsidRPr="00F3021F" w:rsidRDefault="00894DB5" w:rsidP="00C762CF">
            <w:pPr>
              <w:pStyle w:val="enumlev1"/>
              <w:rPr>
                <w:lang w:val="fr-FR"/>
              </w:rPr>
            </w:pPr>
            <w:r w:rsidRPr="00F3021F">
              <w:rPr>
                <w:lang w:val="fr-FR" w:bidi="fr-FR"/>
              </w:rPr>
              <w:t>–</w:t>
            </w:r>
            <w:r w:rsidRPr="00F3021F">
              <w:rPr>
                <w:lang w:val="fr-FR" w:bidi="fr-FR"/>
              </w:rPr>
              <w:tab/>
              <w:t>Principales manifestations et initiatives de l</w:t>
            </w:r>
            <w:r w:rsidR="000F7A90">
              <w:rPr>
                <w:lang w:val="fr-FR" w:bidi="fr-FR"/>
              </w:rPr>
              <w:t>'</w:t>
            </w:r>
            <w:r w:rsidRPr="00F3021F">
              <w:rPr>
                <w:lang w:val="fr-FR" w:bidi="fr-FR"/>
              </w:rPr>
              <w:t>UIT-D, y compris le Colloque mondial des régulateurs (GSR), les activités de renforcement des capacités, le Colloque sur les indicateurs des télécommunications/TIC dans le monde (WTIS) et les initiatives en matière d</w:t>
            </w:r>
            <w:r w:rsidR="000F7A90">
              <w:rPr>
                <w:lang w:val="fr-FR" w:bidi="fr-FR"/>
              </w:rPr>
              <w:t>'</w:t>
            </w:r>
            <w:r w:rsidRPr="00F3021F">
              <w:rPr>
                <w:lang w:val="fr-FR" w:bidi="fr-FR"/>
              </w:rPr>
              <w:t>innovation.</w:t>
            </w:r>
          </w:p>
          <w:p w14:paraId="0DB6FC0D" w14:textId="77777777" w:rsidR="00894DB5" w:rsidRPr="00F3021F" w:rsidRDefault="00894DB5" w:rsidP="00C762CF">
            <w:pPr>
              <w:pStyle w:val="enumlev1"/>
              <w:rPr>
                <w:lang w:val="fr-FR"/>
              </w:rPr>
            </w:pPr>
            <w:r w:rsidRPr="00F3021F">
              <w:rPr>
                <w:lang w:val="fr-FR" w:bidi="fr-FR"/>
              </w:rPr>
              <w:t>–</w:t>
            </w:r>
            <w:r w:rsidRPr="00F3021F">
              <w:rPr>
                <w:lang w:val="fr-FR" w:bidi="fr-FR"/>
              </w:rPr>
              <w:tab/>
              <w:t>Questions relatives aux membres, aux partenariats et au secteur privé.</w:t>
            </w:r>
          </w:p>
          <w:p w14:paraId="3FF0453B" w14:textId="7435C098" w:rsidR="00D0314B" w:rsidRPr="00F3021F" w:rsidRDefault="00894DB5" w:rsidP="00C762CF">
            <w:pPr>
              <w:pStyle w:val="enumlev1"/>
              <w:spacing w:after="120"/>
              <w:rPr>
                <w:lang w:val="fr-FR"/>
              </w:rPr>
            </w:pPr>
            <w:r w:rsidRPr="00F3021F">
              <w:rPr>
                <w:lang w:val="fr-FR" w:bidi="fr-FR"/>
              </w:rPr>
              <w:t>–</w:t>
            </w:r>
            <w:r w:rsidRPr="00F3021F">
              <w:rPr>
                <w:lang w:val="fr-FR" w:bidi="fr-FR"/>
              </w:rPr>
              <w:tab/>
              <w:t>Calendrier des réunions et manifestations de l</w:t>
            </w:r>
            <w:r w:rsidR="000F7A90">
              <w:rPr>
                <w:lang w:val="fr-FR" w:bidi="fr-FR"/>
              </w:rPr>
              <w:t>'</w:t>
            </w:r>
            <w:r w:rsidRPr="00F3021F">
              <w:rPr>
                <w:lang w:val="fr-FR" w:bidi="fr-FR"/>
              </w:rPr>
              <w:t>UIT-D.</w:t>
            </w:r>
          </w:p>
        </w:tc>
      </w:tr>
      <w:tr w:rsidR="00D0314B" w:rsidRPr="00F3021F" w14:paraId="33185EEE" w14:textId="77777777" w:rsidTr="00127B97">
        <w:tc>
          <w:tcPr>
            <w:tcW w:w="3114" w:type="dxa"/>
            <w:tcBorders>
              <w:top w:val="single" w:sz="4" w:space="0" w:color="auto"/>
              <w:bottom w:val="single" w:sz="4" w:space="0" w:color="auto"/>
              <w:right w:val="single" w:sz="4" w:space="0" w:color="auto"/>
            </w:tcBorders>
          </w:tcPr>
          <w:p w14:paraId="3B65AE25" w14:textId="77777777" w:rsidR="00D0314B" w:rsidRPr="00F3021F" w:rsidRDefault="00D0314B" w:rsidP="00C762CF">
            <w:pPr>
              <w:spacing w:before="0"/>
              <w:rPr>
                <w:i/>
                <w:iCs/>
                <w:szCs w:val="24"/>
                <w:lang w:val="fr-FR"/>
              </w:rPr>
            </w:pPr>
            <w:r w:rsidRPr="00F3021F">
              <w:rPr>
                <w:i/>
                <w:szCs w:val="24"/>
                <w:lang w:val="fr-FR" w:bidi="fr-FR"/>
              </w:rPr>
              <w:t>CMDT</w:t>
            </w:r>
          </w:p>
        </w:tc>
        <w:tc>
          <w:tcPr>
            <w:tcW w:w="6515" w:type="dxa"/>
            <w:tcBorders>
              <w:top w:val="single" w:sz="4" w:space="0" w:color="auto"/>
              <w:left w:val="single" w:sz="4" w:space="0" w:color="auto"/>
              <w:bottom w:val="single" w:sz="4" w:space="0" w:color="auto"/>
            </w:tcBorders>
          </w:tcPr>
          <w:p w14:paraId="46D6A22C" w14:textId="77777777" w:rsidR="00D0314B" w:rsidRPr="00F3021F" w:rsidRDefault="00D0314B" w:rsidP="00C762CF">
            <w:pPr>
              <w:spacing w:before="0"/>
              <w:rPr>
                <w:szCs w:val="24"/>
                <w:lang w:val="fr-FR"/>
              </w:rPr>
            </w:pPr>
            <w:bookmarkStart w:id="20" w:name="lt_pId122"/>
            <w:r w:rsidRPr="00F3021F">
              <w:rPr>
                <w:szCs w:val="24"/>
                <w:lang w:val="fr-FR" w:bidi="fr-FR"/>
              </w:rPr>
              <w:t>Résolutions 1, 5, 17, 24, 30, 33, 37, 50, 59, 61, 81</w:t>
            </w:r>
            <w:bookmarkEnd w:id="20"/>
          </w:p>
        </w:tc>
      </w:tr>
      <w:tr w:rsidR="00D0314B" w:rsidRPr="00F3021F" w14:paraId="63C2A220" w14:textId="77777777" w:rsidTr="00127B97">
        <w:tc>
          <w:tcPr>
            <w:tcW w:w="3114" w:type="dxa"/>
            <w:tcBorders>
              <w:top w:val="single" w:sz="4" w:space="0" w:color="auto"/>
              <w:bottom w:val="single" w:sz="4" w:space="0" w:color="auto"/>
              <w:right w:val="single" w:sz="4" w:space="0" w:color="auto"/>
            </w:tcBorders>
          </w:tcPr>
          <w:p w14:paraId="48FEAE59" w14:textId="77777777" w:rsidR="00D0314B" w:rsidRPr="00F3021F" w:rsidRDefault="00D0314B" w:rsidP="00C762CF">
            <w:pPr>
              <w:spacing w:before="0"/>
              <w:rPr>
                <w:i/>
                <w:iCs/>
                <w:lang w:val="fr-FR"/>
              </w:rPr>
            </w:pPr>
            <w:r w:rsidRPr="00F3021F">
              <w:rPr>
                <w:i/>
                <w:lang w:val="fr-FR" w:bidi="fr-FR"/>
              </w:rPr>
              <w:t>Conférence de plénipotentiaires</w:t>
            </w:r>
          </w:p>
        </w:tc>
        <w:tc>
          <w:tcPr>
            <w:tcW w:w="6515" w:type="dxa"/>
            <w:tcBorders>
              <w:top w:val="single" w:sz="4" w:space="0" w:color="auto"/>
              <w:left w:val="single" w:sz="4" w:space="0" w:color="auto"/>
              <w:bottom w:val="single" w:sz="4" w:space="0" w:color="auto"/>
            </w:tcBorders>
          </w:tcPr>
          <w:p w14:paraId="6D7356A9" w14:textId="77777777" w:rsidR="00D0314B" w:rsidRPr="00F3021F" w:rsidRDefault="00D0314B" w:rsidP="00C762CF">
            <w:pPr>
              <w:spacing w:before="0"/>
              <w:rPr>
                <w:szCs w:val="24"/>
                <w:lang w:val="fr-FR"/>
              </w:rPr>
            </w:pPr>
            <w:bookmarkStart w:id="21" w:name="lt_pId124"/>
            <w:r w:rsidRPr="00F3021F">
              <w:rPr>
                <w:szCs w:val="24"/>
                <w:lang w:val="fr-FR" w:bidi="fr-FR"/>
              </w:rPr>
              <w:t>Décisions 5, 13</w:t>
            </w:r>
            <w:bookmarkEnd w:id="21"/>
            <w:r w:rsidRPr="00F3021F">
              <w:rPr>
                <w:szCs w:val="24"/>
                <w:lang w:val="fr-FR" w:bidi="fr-FR"/>
              </w:rPr>
              <w:t xml:space="preserve"> </w:t>
            </w:r>
          </w:p>
          <w:p w14:paraId="7CD0726C" w14:textId="77777777" w:rsidR="00D0314B" w:rsidRPr="00F3021F" w:rsidRDefault="00D0314B" w:rsidP="00C762CF">
            <w:pPr>
              <w:spacing w:before="0"/>
              <w:rPr>
                <w:szCs w:val="24"/>
                <w:lang w:val="fr-FR"/>
              </w:rPr>
            </w:pPr>
            <w:bookmarkStart w:id="22" w:name="lt_pId125"/>
            <w:r w:rsidRPr="00F3021F">
              <w:rPr>
                <w:szCs w:val="24"/>
                <w:lang w:val="fr-FR" w:bidi="fr-FR"/>
              </w:rPr>
              <w:t>Résolutions 25, 71, 111, 135, 140, 151, 154, 165, 166, 167</w:t>
            </w:r>
            <w:bookmarkEnd w:id="22"/>
          </w:p>
        </w:tc>
      </w:tr>
      <w:tr w:rsidR="00D0314B" w:rsidRPr="00F3021F" w14:paraId="75047C32" w14:textId="77777777" w:rsidTr="00127B97">
        <w:tc>
          <w:tcPr>
            <w:tcW w:w="3114" w:type="dxa"/>
            <w:tcBorders>
              <w:top w:val="single" w:sz="4" w:space="0" w:color="auto"/>
              <w:bottom w:val="single" w:sz="4" w:space="0" w:color="auto"/>
              <w:right w:val="single" w:sz="4" w:space="0" w:color="auto"/>
            </w:tcBorders>
          </w:tcPr>
          <w:p w14:paraId="3CD2A06F" w14:textId="77777777" w:rsidR="00D0314B" w:rsidRPr="00F3021F" w:rsidRDefault="00D0314B" w:rsidP="00C762CF">
            <w:pPr>
              <w:spacing w:before="0"/>
              <w:rPr>
                <w:i/>
                <w:iCs/>
                <w:lang w:val="fr-FR"/>
              </w:rPr>
            </w:pPr>
            <w:r w:rsidRPr="00F3021F">
              <w:rPr>
                <w:i/>
                <w:lang w:val="fr-FR" w:bidi="fr-FR"/>
              </w:rPr>
              <w:t>Conseil</w:t>
            </w:r>
          </w:p>
        </w:tc>
        <w:tc>
          <w:tcPr>
            <w:tcW w:w="6515" w:type="dxa"/>
            <w:tcBorders>
              <w:top w:val="single" w:sz="4" w:space="0" w:color="auto"/>
              <w:left w:val="single" w:sz="4" w:space="0" w:color="auto"/>
              <w:bottom w:val="single" w:sz="4" w:space="0" w:color="auto"/>
            </w:tcBorders>
          </w:tcPr>
          <w:p w14:paraId="776190FF" w14:textId="77777777" w:rsidR="00D0314B" w:rsidRPr="00F3021F" w:rsidRDefault="00D0314B" w:rsidP="00C762CF">
            <w:pPr>
              <w:spacing w:before="0"/>
              <w:rPr>
                <w:szCs w:val="24"/>
                <w:lang w:val="fr-FR"/>
              </w:rPr>
            </w:pPr>
            <w:bookmarkStart w:id="23" w:name="lt_pId127"/>
            <w:r w:rsidRPr="00F3021F">
              <w:rPr>
                <w:szCs w:val="24"/>
                <w:lang w:val="fr-FR" w:bidi="fr-FR"/>
              </w:rPr>
              <w:t>Résolution 1372</w:t>
            </w:r>
            <w:bookmarkEnd w:id="23"/>
          </w:p>
        </w:tc>
      </w:tr>
      <w:tr w:rsidR="00D0314B" w:rsidRPr="00F3021F" w14:paraId="79C5A2C4" w14:textId="77777777" w:rsidTr="00127B97">
        <w:trPr>
          <w:trHeight w:val="397"/>
        </w:trPr>
        <w:tc>
          <w:tcPr>
            <w:tcW w:w="3114" w:type="dxa"/>
            <w:tcBorders>
              <w:top w:val="single" w:sz="4" w:space="0" w:color="auto"/>
              <w:bottom w:val="single" w:sz="4" w:space="0" w:color="auto"/>
              <w:right w:val="single" w:sz="4" w:space="0" w:color="auto"/>
            </w:tcBorders>
          </w:tcPr>
          <w:p w14:paraId="481D8A37" w14:textId="77777777" w:rsidR="00D0314B" w:rsidRPr="00F3021F" w:rsidRDefault="00D0314B" w:rsidP="00C762CF">
            <w:pPr>
              <w:spacing w:before="0"/>
              <w:rPr>
                <w:i/>
                <w:iCs/>
                <w:szCs w:val="24"/>
                <w:lang w:val="fr-FR"/>
              </w:rPr>
            </w:pPr>
            <w:r w:rsidRPr="00F3021F">
              <w:rPr>
                <w:i/>
                <w:lang w:val="fr-FR" w:bidi="fr-FR"/>
              </w:rPr>
              <w:t>Grandes orientations du SMSI</w:t>
            </w:r>
          </w:p>
        </w:tc>
        <w:tc>
          <w:tcPr>
            <w:tcW w:w="6515" w:type="dxa"/>
            <w:tcBorders>
              <w:top w:val="single" w:sz="4" w:space="0" w:color="auto"/>
              <w:left w:val="single" w:sz="4" w:space="0" w:color="auto"/>
              <w:bottom w:val="single" w:sz="4" w:space="0" w:color="auto"/>
            </w:tcBorders>
          </w:tcPr>
          <w:p w14:paraId="304C4A28" w14:textId="77777777" w:rsidR="00D0314B" w:rsidRPr="00F3021F" w:rsidRDefault="00D0314B" w:rsidP="00C762CF">
            <w:pPr>
              <w:spacing w:before="0"/>
              <w:rPr>
                <w:szCs w:val="24"/>
                <w:lang w:val="fr-FR"/>
              </w:rPr>
            </w:pPr>
            <w:r w:rsidRPr="00F3021F">
              <w:rPr>
                <w:szCs w:val="24"/>
                <w:lang w:val="fr-FR" w:bidi="fr-FR"/>
              </w:rPr>
              <w:t>Grandes orientations C1 et C11 du SMSI</w:t>
            </w:r>
          </w:p>
        </w:tc>
      </w:tr>
      <w:tr w:rsidR="00D0314B" w:rsidRPr="00F3021F" w14:paraId="320D4775" w14:textId="77777777" w:rsidTr="00127B97">
        <w:tc>
          <w:tcPr>
            <w:tcW w:w="3114" w:type="dxa"/>
            <w:tcBorders>
              <w:top w:val="single" w:sz="4" w:space="0" w:color="auto"/>
              <w:bottom w:val="single" w:sz="4" w:space="0" w:color="auto"/>
              <w:right w:val="single" w:sz="4" w:space="0" w:color="auto"/>
            </w:tcBorders>
          </w:tcPr>
          <w:p w14:paraId="2E0228EC" w14:textId="77777777" w:rsidR="00D0314B" w:rsidRPr="00F3021F" w:rsidRDefault="00D0314B" w:rsidP="00C762CF">
            <w:pPr>
              <w:spacing w:before="0"/>
              <w:rPr>
                <w:i/>
                <w:iCs/>
                <w:szCs w:val="24"/>
                <w:lang w:val="fr-FR"/>
              </w:rPr>
            </w:pPr>
            <w:r w:rsidRPr="00F3021F">
              <w:rPr>
                <w:i/>
                <w:lang w:val="fr-FR" w:bidi="fr-FR"/>
              </w:rPr>
              <w:lastRenderedPageBreak/>
              <w:t>Contribution aux cibles des Objectifs de développement durable</w:t>
            </w:r>
          </w:p>
        </w:tc>
        <w:tc>
          <w:tcPr>
            <w:tcW w:w="6515" w:type="dxa"/>
            <w:tcBorders>
              <w:top w:val="single" w:sz="4" w:space="0" w:color="auto"/>
              <w:left w:val="single" w:sz="4" w:space="0" w:color="auto"/>
              <w:bottom w:val="single" w:sz="4" w:space="0" w:color="auto"/>
            </w:tcBorders>
          </w:tcPr>
          <w:p w14:paraId="23E8B8FB" w14:textId="77777777" w:rsidR="00D0314B" w:rsidRPr="00F3021F" w:rsidRDefault="00D0314B" w:rsidP="00C762CF">
            <w:pPr>
              <w:spacing w:before="0"/>
              <w:rPr>
                <w:szCs w:val="24"/>
                <w:lang w:val="fr-FR"/>
              </w:rPr>
            </w:pPr>
            <w:bookmarkStart w:id="24" w:name="lt_pId131"/>
            <w:r w:rsidRPr="00F3021F">
              <w:rPr>
                <w:szCs w:val="24"/>
                <w:lang w:val="fr-FR" w:bidi="fr-FR"/>
              </w:rPr>
              <w:t>Objectifs de développement durable:</w:t>
            </w:r>
            <w:bookmarkEnd w:id="24"/>
            <w:r w:rsidRPr="00F3021F">
              <w:rPr>
                <w:szCs w:val="24"/>
                <w:lang w:val="fr-FR" w:bidi="fr-FR"/>
              </w:rPr>
              <w:t xml:space="preserve"> </w:t>
            </w:r>
            <w:bookmarkStart w:id="25" w:name="lt_pId132"/>
            <w:r w:rsidRPr="00F3021F">
              <w:rPr>
                <w:szCs w:val="24"/>
                <w:lang w:val="fr-FR" w:bidi="fr-FR"/>
              </w:rPr>
              <w:t>1, 3, (cible 3.d), 5, 10, 16 (cibles 16.5, 16.6, 16.8), 17 (cibles 17.9, 17.16, 17.17, 17.18, 17.19)</w:t>
            </w:r>
            <w:bookmarkEnd w:id="25"/>
            <w:r w:rsidRPr="00F3021F">
              <w:rPr>
                <w:color w:val="000000"/>
                <w:szCs w:val="24"/>
                <w:lang w:val="fr-FR" w:bidi="fr-FR"/>
              </w:rPr>
              <w:t xml:space="preserve"> </w:t>
            </w:r>
          </w:p>
        </w:tc>
      </w:tr>
    </w:tbl>
    <w:p w14:paraId="427B17EA" w14:textId="700AD50D" w:rsidR="00DA361F" w:rsidRPr="00F3021F" w:rsidRDefault="00DA361F" w:rsidP="00C762CF">
      <w:pPr>
        <w:pStyle w:val="Heading2"/>
        <w:spacing w:after="120"/>
        <w:rPr>
          <w:lang w:val="fr-FR"/>
        </w:rPr>
      </w:pPr>
      <w:r w:rsidRPr="00F3021F">
        <w:rPr>
          <w:lang w:val="fr-FR" w:bidi="fr-FR"/>
        </w:rPr>
        <w:t>1.4</w:t>
      </w:r>
      <w:r w:rsidRPr="00F3021F">
        <w:rPr>
          <w:lang w:val="fr-FR" w:bidi="fr-FR"/>
        </w:rPr>
        <w:tab/>
        <w:t>Commissions d</w:t>
      </w:r>
      <w:r w:rsidR="000F7A90">
        <w:rPr>
          <w:lang w:val="fr-FR" w:bidi="fr-FR"/>
        </w:rPr>
        <w:t>'</w:t>
      </w:r>
      <w:r w:rsidRPr="00F3021F">
        <w:rPr>
          <w:lang w:val="fr-FR" w:bidi="fr-FR"/>
        </w:rPr>
        <w:t>études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DA361F" w:rsidRPr="00F3021F" w14:paraId="6C3B49AA" w14:textId="77777777" w:rsidTr="00127B97">
        <w:tc>
          <w:tcPr>
            <w:tcW w:w="9629" w:type="dxa"/>
            <w:gridSpan w:val="2"/>
            <w:tcBorders>
              <w:bottom w:val="single" w:sz="4" w:space="0" w:color="auto"/>
            </w:tcBorders>
          </w:tcPr>
          <w:p w14:paraId="07513FA2" w14:textId="33919C0E" w:rsidR="00DA361F" w:rsidRPr="00C762CF" w:rsidRDefault="00DA361F" w:rsidP="00C762CF">
            <w:pPr>
              <w:spacing w:after="120"/>
              <w:rPr>
                <w:rStyle w:val="Emphasis"/>
                <w:rFonts w:eastAsia="Batang"/>
                <w:i w:val="0"/>
                <w:iCs w:val="0"/>
                <w:szCs w:val="24"/>
                <w:lang w:val="fr-FR"/>
              </w:rPr>
            </w:pPr>
            <w:r w:rsidRPr="00C762CF">
              <w:rPr>
                <w:rStyle w:val="Emphasis"/>
                <w:i w:val="0"/>
                <w:iCs w:val="0"/>
                <w:szCs w:val="24"/>
                <w:lang w:val="fr-FR" w:bidi="fr-FR"/>
              </w:rPr>
              <w:t>Les Commissions d</w:t>
            </w:r>
            <w:r w:rsidR="000F7A90">
              <w:rPr>
                <w:rStyle w:val="Emphasis"/>
                <w:i w:val="0"/>
                <w:iCs w:val="0"/>
                <w:szCs w:val="24"/>
                <w:lang w:val="fr-FR" w:bidi="fr-FR"/>
              </w:rPr>
              <w:t>'</w:t>
            </w:r>
            <w:r w:rsidRPr="00C762CF">
              <w:rPr>
                <w:rStyle w:val="Emphasis"/>
                <w:i w:val="0"/>
                <w:iCs w:val="0"/>
                <w:szCs w:val="24"/>
                <w:lang w:val="fr-FR" w:bidi="fr-FR"/>
              </w:rPr>
              <w:t>études </w:t>
            </w:r>
            <w:hyperlink r:id="rId12" w:history="1">
              <w:r w:rsidRPr="00C762CF">
                <w:rPr>
                  <w:rStyle w:val="Hyperlink"/>
                  <w:szCs w:val="24"/>
                  <w:lang w:val="fr-FR" w:bidi="fr-FR"/>
                </w:rPr>
                <w:t>1</w:t>
              </w:r>
            </w:hyperlink>
            <w:r w:rsidRPr="00C762CF">
              <w:rPr>
                <w:rStyle w:val="Emphasis"/>
                <w:i w:val="0"/>
                <w:iCs w:val="0"/>
                <w:szCs w:val="24"/>
                <w:lang w:val="fr-FR" w:bidi="fr-FR"/>
              </w:rPr>
              <w:t xml:space="preserve"> et </w:t>
            </w:r>
            <w:hyperlink r:id="rId13" w:history="1">
              <w:r w:rsidRPr="00C762CF">
                <w:rPr>
                  <w:rStyle w:val="Hyperlink"/>
                  <w:szCs w:val="24"/>
                  <w:lang w:val="fr-FR" w:bidi="fr-FR"/>
                </w:rPr>
                <w:t>2</w:t>
              </w:r>
            </w:hyperlink>
            <w:r w:rsidRPr="00C762CF">
              <w:rPr>
                <w:rStyle w:val="Emphasis"/>
                <w:i w:val="0"/>
                <w:iCs w:val="0"/>
                <w:szCs w:val="24"/>
                <w:lang w:val="fr-FR" w:bidi="fr-FR"/>
              </w:rPr>
              <w:t xml:space="preserve"> de l</w:t>
            </w:r>
            <w:r w:rsidR="000F7A90">
              <w:rPr>
                <w:rStyle w:val="Emphasis"/>
                <w:i w:val="0"/>
                <w:iCs w:val="0"/>
                <w:szCs w:val="24"/>
                <w:lang w:val="fr-FR" w:bidi="fr-FR"/>
              </w:rPr>
              <w:t>'</w:t>
            </w:r>
            <w:r w:rsidRPr="00C762CF">
              <w:rPr>
                <w:rStyle w:val="Emphasis"/>
                <w:i w:val="0"/>
                <w:iCs w:val="0"/>
                <w:szCs w:val="24"/>
                <w:lang w:val="fr-FR" w:bidi="fr-FR"/>
              </w:rPr>
              <w:t>UIT-D ont chacune tenu leur première réunion pour la nouvelle période d</w:t>
            </w:r>
            <w:r w:rsidR="000F7A90">
              <w:rPr>
                <w:rStyle w:val="Emphasis"/>
                <w:i w:val="0"/>
                <w:iCs w:val="0"/>
                <w:szCs w:val="24"/>
                <w:lang w:val="fr-FR" w:bidi="fr-FR"/>
              </w:rPr>
              <w:t>'</w:t>
            </w:r>
            <w:r w:rsidRPr="00C762CF">
              <w:rPr>
                <w:rStyle w:val="Emphasis"/>
                <w:i w:val="0"/>
                <w:iCs w:val="0"/>
                <w:szCs w:val="24"/>
                <w:lang w:val="fr-FR" w:bidi="fr-FR"/>
              </w:rPr>
              <w:t>études 2018-2021, respectivement du 30 avril au 4 mai et du 7 au 11 mai. Les réunions se sont déroulées conformément à leur ordre du jour et 139 nouveaux Rapporteurs et Vice-Rapporteurs ont été nommés. Ces derniers sont convenus de plans de travail pour toutes les Questions à l</w:t>
            </w:r>
            <w:r w:rsidR="000F7A90">
              <w:rPr>
                <w:rStyle w:val="Emphasis"/>
                <w:i w:val="0"/>
                <w:iCs w:val="0"/>
                <w:szCs w:val="24"/>
                <w:lang w:val="fr-FR" w:bidi="fr-FR"/>
              </w:rPr>
              <w:t>'</w:t>
            </w:r>
            <w:r w:rsidRPr="00C762CF">
              <w:rPr>
                <w:rStyle w:val="Emphasis"/>
                <w:i w:val="0"/>
                <w:iCs w:val="0"/>
                <w:szCs w:val="24"/>
                <w:lang w:val="fr-FR" w:bidi="fr-FR"/>
              </w:rPr>
              <w:t>étude, dont la plupart disposaient de vues d</w:t>
            </w:r>
            <w:r w:rsidR="000F7A90">
              <w:rPr>
                <w:rStyle w:val="Emphasis"/>
                <w:i w:val="0"/>
                <w:iCs w:val="0"/>
                <w:szCs w:val="24"/>
                <w:lang w:val="fr-FR" w:bidi="fr-FR"/>
              </w:rPr>
              <w:t>'</w:t>
            </w:r>
            <w:r w:rsidRPr="00C762CF">
              <w:rPr>
                <w:rStyle w:val="Emphasis"/>
                <w:i w:val="0"/>
                <w:iCs w:val="0"/>
                <w:szCs w:val="24"/>
                <w:lang w:val="fr-FR" w:bidi="fr-FR"/>
              </w:rPr>
              <w:t>ensemble et d</w:t>
            </w:r>
            <w:r w:rsidR="000F7A90">
              <w:rPr>
                <w:rStyle w:val="Emphasis"/>
                <w:i w:val="0"/>
                <w:iCs w:val="0"/>
                <w:szCs w:val="24"/>
                <w:lang w:val="fr-FR" w:bidi="fr-FR"/>
              </w:rPr>
              <w:t>'</w:t>
            </w:r>
            <w:r w:rsidRPr="00C762CF">
              <w:rPr>
                <w:rStyle w:val="Emphasis"/>
                <w:i w:val="0"/>
                <w:iCs w:val="0"/>
                <w:szCs w:val="24"/>
                <w:lang w:val="fr-FR" w:bidi="fr-FR"/>
              </w:rPr>
              <w:t>une table des matières pour leurs produits.</w:t>
            </w:r>
          </w:p>
          <w:p w14:paraId="5302D23D" w14:textId="063B1C1B" w:rsidR="00DA361F" w:rsidRPr="00C762CF" w:rsidRDefault="00DA361F" w:rsidP="00C762CF">
            <w:pPr>
              <w:spacing w:after="120"/>
              <w:rPr>
                <w:rStyle w:val="Emphasis"/>
                <w:i w:val="0"/>
                <w:iCs w:val="0"/>
                <w:szCs w:val="24"/>
                <w:lang w:val="fr-FR"/>
              </w:rPr>
            </w:pPr>
            <w:r w:rsidRPr="00C762CF">
              <w:rPr>
                <w:rStyle w:val="Emphasis"/>
                <w:i w:val="0"/>
                <w:iCs w:val="0"/>
                <w:szCs w:val="24"/>
                <w:lang w:val="fr-FR" w:bidi="fr-FR"/>
              </w:rPr>
              <w:t xml:space="preserve">Les réunions des Groupes du Rapporteur de la </w:t>
            </w:r>
            <w:hyperlink r:id="rId14" w:history="1">
              <w:r w:rsidRPr="00C762CF">
                <w:rPr>
                  <w:rStyle w:val="Hyperlink"/>
                  <w:szCs w:val="24"/>
                  <w:lang w:val="fr-FR" w:bidi="fr-FR"/>
                </w:rPr>
                <w:t>CE 1</w:t>
              </w:r>
            </w:hyperlink>
            <w:r w:rsidRPr="00C762CF">
              <w:rPr>
                <w:rStyle w:val="Emphasis"/>
                <w:i w:val="0"/>
                <w:iCs w:val="0"/>
                <w:szCs w:val="24"/>
                <w:lang w:val="fr-FR" w:bidi="fr-FR"/>
              </w:rPr>
              <w:t xml:space="preserve"> et de la </w:t>
            </w:r>
            <w:hyperlink r:id="rId15" w:history="1">
              <w:r w:rsidRPr="00C762CF">
                <w:rPr>
                  <w:rStyle w:val="Hyperlink"/>
                  <w:szCs w:val="24"/>
                  <w:lang w:val="fr-FR" w:bidi="fr-FR"/>
                </w:rPr>
                <w:t>CE 2</w:t>
              </w:r>
            </w:hyperlink>
            <w:r w:rsidRPr="00C762CF">
              <w:rPr>
                <w:rStyle w:val="Emphasis"/>
                <w:i w:val="0"/>
                <w:iCs w:val="0"/>
                <w:szCs w:val="24"/>
                <w:lang w:val="fr-FR" w:bidi="fr-FR"/>
              </w:rPr>
              <w:t xml:space="preserve"> de l</w:t>
            </w:r>
            <w:r w:rsidR="000F7A90">
              <w:rPr>
                <w:rStyle w:val="Emphasis"/>
                <w:i w:val="0"/>
                <w:iCs w:val="0"/>
                <w:szCs w:val="24"/>
                <w:lang w:val="fr-FR" w:bidi="fr-FR"/>
              </w:rPr>
              <w:t>'</w:t>
            </w:r>
            <w:r w:rsidRPr="00C762CF">
              <w:rPr>
                <w:rStyle w:val="Emphasis"/>
                <w:i w:val="0"/>
                <w:iCs w:val="0"/>
                <w:szCs w:val="24"/>
                <w:lang w:val="fr-FR" w:bidi="fr-FR"/>
              </w:rPr>
              <w:t>UIT-D pour 2018 se sont tenues du 17 septembre au 11 octobre. Dix séances/ateliers spécialisés et sessions de renforcement des capacités ont été organisés sur différents sujets.</w:t>
            </w:r>
          </w:p>
          <w:p w14:paraId="2E484454" w14:textId="001F29AD" w:rsidR="00DA361F" w:rsidRPr="00C762CF" w:rsidRDefault="00DA361F" w:rsidP="00C762CF">
            <w:pPr>
              <w:spacing w:after="120"/>
              <w:rPr>
                <w:rStyle w:val="Emphasis"/>
                <w:i w:val="0"/>
                <w:iCs w:val="0"/>
                <w:szCs w:val="24"/>
                <w:lang w:val="fr-FR"/>
              </w:rPr>
            </w:pPr>
            <w:r w:rsidRPr="00C762CF">
              <w:rPr>
                <w:rStyle w:val="Emphasis"/>
                <w:i w:val="0"/>
                <w:iCs w:val="0"/>
                <w:szCs w:val="24"/>
                <w:lang w:val="fr-FR" w:bidi="fr-FR"/>
              </w:rPr>
              <w:t>Afin de faciliter la coordination et de renforcer encore la collaboration entre les deux Commissions d</w:t>
            </w:r>
            <w:r w:rsidR="000F7A90">
              <w:rPr>
                <w:rStyle w:val="Emphasis"/>
                <w:i w:val="0"/>
                <w:iCs w:val="0"/>
                <w:szCs w:val="24"/>
                <w:lang w:val="fr-FR" w:bidi="fr-FR"/>
              </w:rPr>
              <w:t>'</w:t>
            </w:r>
            <w:r w:rsidRPr="00C762CF">
              <w:rPr>
                <w:rStyle w:val="Emphasis"/>
                <w:i w:val="0"/>
                <w:iCs w:val="0"/>
                <w:szCs w:val="24"/>
                <w:lang w:val="fr-FR" w:bidi="fr-FR"/>
              </w:rPr>
              <w:t>études de l</w:t>
            </w:r>
            <w:r w:rsidR="000F7A90">
              <w:rPr>
                <w:rStyle w:val="Emphasis"/>
                <w:i w:val="0"/>
                <w:iCs w:val="0"/>
                <w:szCs w:val="24"/>
                <w:lang w:val="fr-FR" w:bidi="fr-FR"/>
              </w:rPr>
              <w:t>'</w:t>
            </w:r>
            <w:r w:rsidRPr="00C762CF">
              <w:rPr>
                <w:rStyle w:val="Emphasis"/>
                <w:i w:val="0"/>
                <w:iCs w:val="0"/>
                <w:szCs w:val="24"/>
                <w:lang w:val="fr-FR" w:bidi="fr-FR"/>
              </w:rPr>
              <w:t>UIT-D et les Commissions d</w:t>
            </w:r>
            <w:r w:rsidR="000F7A90">
              <w:rPr>
                <w:rStyle w:val="Emphasis"/>
                <w:i w:val="0"/>
                <w:iCs w:val="0"/>
                <w:szCs w:val="24"/>
                <w:lang w:val="fr-FR" w:bidi="fr-FR"/>
              </w:rPr>
              <w:t>'</w:t>
            </w:r>
            <w:r w:rsidRPr="00C762CF">
              <w:rPr>
                <w:rStyle w:val="Emphasis"/>
                <w:i w:val="0"/>
                <w:iCs w:val="0"/>
                <w:szCs w:val="24"/>
                <w:lang w:val="fr-FR" w:bidi="fr-FR"/>
              </w:rPr>
              <w:t>études des autres Secteurs, le travail sur les trois tableaux de correspondance a été appro</w:t>
            </w:r>
            <w:r w:rsidR="00481267">
              <w:rPr>
                <w:rStyle w:val="Emphasis"/>
                <w:i w:val="0"/>
                <w:iCs w:val="0"/>
                <w:szCs w:val="24"/>
                <w:lang w:val="fr-FR" w:bidi="fr-FR"/>
              </w:rPr>
              <w:t>fondi lors des réunions des G</w:t>
            </w:r>
            <w:r w:rsidRPr="00C762CF">
              <w:rPr>
                <w:rStyle w:val="Emphasis"/>
                <w:i w:val="0"/>
                <w:iCs w:val="0"/>
                <w:szCs w:val="24"/>
                <w:lang w:val="fr-FR" w:bidi="fr-FR"/>
              </w:rPr>
              <w:t xml:space="preserve">roupes de Rapporteur de la CE 1 et de la CE 2. </w:t>
            </w:r>
            <w:r w:rsidRPr="00C762CF">
              <w:rPr>
                <w:rStyle w:val="Emphasis"/>
                <w:rFonts w:eastAsia="Batang"/>
                <w:i w:val="0"/>
                <w:iCs w:val="0"/>
                <w:szCs w:val="24"/>
                <w:lang w:val="fr-FR" w:bidi="fr-FR"/>
              </w:rPr>
              <w:t>Les synergies entre les thèmes abordés par les Commissions d</w:t>
            </w:r>
            <w:r w:rsidR="000F7A90">
              <w:rPr>
                <w:rStyle w:val="Emphasis"/>
                <w:rFonts w:eastAsia="Batang"/>
                <w:i w:val="0"/>
                <w:iCs w:val="0"/>
                <w:szCs w:val="24"/>
                <w:lang w:val="fr-FR" w:bidi="fr-FR"/>
              </w:rPr>
              <w:t>'</w:t>
            </w:r>
            <w:r w:rsidRPr="00C762CF">
              <w:rPr>
                <w:rStyle w:val="Emphasis"/>
                <w:rFonts w:eastAsia="Batang"/>
                <w:i w:val="0"/>
                <w:iCs w:val="0"/>
                <w:szCs w:val="24"/>
                <w:lang w:val="fr-FR" w:bidi="fr-FR"/>
              </w:rPr>
              <w:t xml:space="preserve">études ont en outre été étudiées en 2018, et des ateliers et séminaires ont été organisés dans les régions. Des exemples prometteurs peuvent être tirés de projets pilotes menés en Hongrie (en collaboration avec le Séminaire régional sur la mise en </w:t>
            </w:r>
            <w:r w:rsidR="00C762CF" w:rsidRPr="00C762CF">
              <w:rPr>
                <w:rStyle w:val="Emphasis"/>
                <w:rFonts w:eastAsia="Batang"/>
                <w:i w:val="0"/>
                <w:iCs w:val="0"/>
                <w:szCs w:val="24"/>
                <w:lang w:val="fr-FR" w:bidi="fr-FR"/>
              </w:rPr>
              <w:t>oe</w:t>
            </w:r>
            <w:r w:rsidRPr="00C762CF">
              <w:rPr>
                <w:rStyle w:val="Emphasis"/>
                <w:rFonts w:eastAsia="Batang"/>
                <w:i w:val="0"/>
                <w:iCs w:val="0"/>
                <w:szCs w:val="24"/>
                <w:lang w:val="fr-FR" w:bidi="fr-FR"/>
              </w:rPr>
              <w:t>uvr</w:t>
            </w:r>
            <w:r w:rsidR="00481267">
              <w:rPr>
                <w:rStyle w:val="Emphasis"/>
                <w:rFonts w:eastAsia="Batang"/>
                <w:i w:val="0"/>
                <w:iCs w:val="0"/>
                <w:szCs w:val="24"/>
                <w:lang w:val="fr-FR" w:bidi="fr-FR"/>
              </w:rPr>
              <w:t>e de la 5G en Europe et dans la </w:t>
            </w:r>
            <w:r w:rsidRPr="00C762CF">
              <w:rPr>
                <w:rStyle w:val="Emphasis"/>
                <w:rFonts w:eastAsia="Batang"/>
                <w:i w:val="0"/>
                <w:iCs w:val="0"/>
                <w:szCs w:val="24"/>
                <w:lang w:val="fr-FR" w:bidi="fr-FR"/>
              </w:rPr>
              <w:t>CEI), au Mexique (en collaboration avec le Dialogue économique régional de l</w:t>
            </w:r>
            <w:r w:rsidR="000F7A90">
              <w:rPr>
                <w:rStyle w:val="Emphasis"/>
                <w:rFonts w:eastAsia="Batang"/>
                <w:i w:val="0"/>
                <w:iCs w:val="0"/>
                <w:szCs w:val="24"/>
                <w:lang w:val="fr-FR" w:bidi="fr-FR"/>
              </w:rPr>
              <w:t>'</w:t>
            </w:r>
            <w:r w:rsidRPr="00C762CF">
              <w:rPr>
                <w:rStyle w:val="Emphasis"/>
                <w:rFonts w:eastAsia="Batang"/>
                <w:i w:val="0"/>
                <w:iCs w:val="0"/>
                <w:szCs w:val="24"/>
                <w:lang w:val="fr-FR" w:bidi="fr-FR"/>
              </w:rPr>
              <w:t>UIT sur les télécommunications/TIC pour l</w:t>
            </w:r>
            <w:r w:rsidR="000F7A90">
              <w:rPr>
                <w:rStyle w:val="Emphasis"/>
                <w:rFonts w:eastAsia="Batang"/>
                <w:i w:val="0"/>
                <w:iCs w:val="0"/>
                <w:szCs w:val="24"/>
                <w:lang w:val="fr-FR" w:bidi="fr-FR"/>
              </w:rPr>
              <w:t>'</w:t>
            </w:r>
            <w:r w:rsidRPr="00C762CF">
              <w:rPr>
                <w:rStyle w:val="Emphasis"/>
                <w:rFonts w:eastAsia="Batang"/>
                <w:i w:val="0"/>
                <w:iCs w:val="0"/>
                <w:szCs w:val="24"/>
                <w:lang w:val="fr-FR" w:bidi="fr-FR"/>
              </w:rPr>
              <w:t>Amérique latine et les Caraïbes) et au Burkina Faso (en collaboration avec le Dialogue économique régional de l</w:t>
            </w:r>
            <w:r w:rsidR="000F7A90">
              <w:rPr>
                <w:rStyle w:val="Emphasis"/>
                <w:rFonts w:eastAsia="Batang"/>
                <w:i w:val="0"/>
                <w:iCs w:val="0"/>
                <w:szCs w:val="24"/>
                <w:lang w:val="fr-FR" w:bidi="fr-FR"/>
              </w:rPr>
              <w:t>'</w:t>
            </w:r>
            <w:r w:rsidRPr="00C762CF">
              <w:rPr>
                <w:rStyle w:val="Emphasis"/>
                <w:rFonts w:eastAsia="Batang"/>
                <w:i w:val="0"/>
                <w:iCs w:val="0"/>
                <w:szCs w:val="24"/>
                <w:lang w:val="fr-FR" w:bidi="fr-FR"/>
              </w:rPr>
              <w:t>UIT sur les télécommunications/TIC pour l</w:t>
            </w:r>
            <w:r w:rsidR="000F7A90">
              <w:rPr>
                <w:rStyle w:val="Emphasis"/>
                <w:rFonts w:eastAsia="Batang"/>
                <w:i w:val="0"/>
                <w:iCs w:val="0"/>
                <w:szCs w:val="24"/>
                <w:lang w:val="fr-FR" w:bidi="fr-FR"/>
              </w:rPr>
              <w:t>'</w:t>
            </w:r>
            <w:r w:rsidRPr="00C762CF">
              <w:rPr>
                <w:rStyle w:val="Emphasis"/>
                <w:rFonts w:eastAsia="Batang"/>
                <w:i w:val="0"/>
                <w:iCs w:val="0"/>
                <w:szCs w:val="24"/>
                <w:lang w:val="fr-FR" w:bidi="fr-FR"/>
              </w:rPr>
              <w:t>Afrique).</w:t>
            </w:r>
          </w:p>
          <w:p w14:paraId="25722003" w14:textId="032B1578" w:rsidR="00DA361F" w:rsidRPr="00F3021F" w:rsidRDefault="00DA361F" w:rsidP="00C762CF">
            <w:pPr>
              <w:spacing w:after="120"/>
              <w:rPr>
                <w:rStyle w:val="Emphasis"/>
                <w:i w:val="0"/>
                <w:iCs w:val="0"/>
                <w:szCs w:val="24"/>
                <w:lang w:val="fr-FR"/>
              </w:rPr>
            </w:pPr>
            <w:r w:rsidRPr="00F3021F">
              <w:rPr>
                <w:szCs w:val="24"/>
                <w:lang w:val="fr-FR" w:bidi="fr-FR"/>
              </w:rPr>
              <w:t>Le Dialogue économique régional de l</w:t>
            </w:r>
            <w:r w:rsidR="000F7A90">
              <w:rPr>
                <w:szCs w:val="24"/>
                <w:lang w:val="fr-FR" w:bidi="fr-FR"/>
              </w:rPr>
              <w:t>'</w:t>
            </w:r>
            <w:r w:rsidRPr="00F3021F">
              <w:rPr>
                <w:szCs w:val="24"/>
                <w:lang w:val="fr-FR" w:bidi="fr-FR"/>
              </w:rPr>
              <w:t>UIT sur les télécommunications/TIC pour l</w:t>
            </w:r>
            <w:r w:rsidR="000F7A90">
              <w:rPr>
                <w:szCs w:val="24"/>
                <w:lang w:val="fr-FR" w:bidi="fr-FR"/>
              </w:rPr>
              <w:t>'</w:t>
            </w:r>
            <w:r w:rsidRPr="00F3021F">
              <w:rPr>
                <w:szCs w:val="24"/>
                <w:lang w:val="fr-FR" w:bidi="fr-FR"/>
              </w:rPr>
              <w:t>Amérique latine et les Caraïbes s</w:t>
            </w:r>
            <w:r w:rsidR="000F7A90">
              <w:rPr>
                <w:szCs w:val="24"/>
                <w:lang w:val="fr-FR" w:bidi="fr-FR"/>
              </w:rPr>
              <w:t>'</w:t>
            </w:r>
            <w:r w:rsidRPr="00F3021F">
              <w:rPr>
                <w:szCs w:val="24"/>
                <w:lang w:val="fr-FR" w:bidi="fr-FR"/>
              </w:rPr>
              <w:t>est tenu du 4 au 6 septembre 2018 à Mexico (Mexique). À cette occasion, un échange de connaissances spécialisées relatif à la Question 4/1 de l</w:t>
            </w:r>
            <w:r w:rsidR="000F7A90">
              <w:rPr>
                <w:szCs w:val="24"/>
                <w:lang w:val="fr-FR" w:bidi="fr-FR"/>
              </w:rPr>
              <w:t>'</w:t>
            </w:r>
            <w:r w:rsidRPr="00F3021F">
              <w:rPr>
                <w:szCs w:val="24"/>
                <w:lang w:val="fr-FR" w:bidi="fr-FR"/>
              </w:rPr>
              <w:t>UIT-D a également eu lieu pour aborder les expériences régionales et rassembler des informations à leur sujet.</w:t>
            </w:r>
          </w:p>
          <w:p w14:paraId="2642D03C" w14:textId="23260F6E" w:rsidR="00DA361F" w:rsidRPr="00F3021F" w:rsidRDefault="00DA361F" w:rsidP="00C762CF">
            <w:pPr>
              <w:spacing w:after="120"/>
              <w:rPr>
                <w:i/>
                <w:iCs/>
                <w:lang w:val="fr-FR"/>
              </w:rPr>
            </w:pPr>
            <w:r w:rsidRPr="00F3021F">
              <w:rPr>
                <w:rStyle w:val="Emphasis"/>
                <w:i w:val="0"/>
                <w:szCs w:val="24"/>
                <w:lang w:val="fr-FR" w:bidi="fr-FR"/>
              </w:rPr>
              <w:t>Les deux Commissions d</w:t>
            </w:r>
            <w:r w:rsidR="000F7A90">
              <w:rPr>
                <w:rStyle w:val="Emphasis"/>
                <w:i w:val="0"/>
                <w:szCs w:val="24"/>
                <w:lang w:val="fr-FR" w:bidi="fr-FR"/>
              </w:rPr>
              <w:t>'</w:t>
            </w:r>
            <w:r w:rsidRPr="00F3021F">
              <w:rPr>
                <w:rStyle w:val="Emphasis"/>
                <w:i w:val="0"/>
                <w:szCs w:val="24"/>
                <w:lang w:val="fr-FR" w:bidi="fr-FR"/>
              </w:rPr>
              <w:t>études de l</w:t>
            </w:r>
            <w:r w:rsidR="000F7A90">
              <w:rPr>
                <w:rStyle w:val="Emphasis"/>
                <w:i w:val="0"/>
                <w:szCs w:val="24"/>
                <w:lang w:val="fr-FR" w:bidi="fr-FR"/>
              </w:rPr>
              <w:t>'</w:t>
            </w:r>
            <w:r w:rsidRPr="00F3021F">
              <w:rPr>
                <w:rStyle w:val="Emphasis"/>
                <w:i w:val="0"/>
                <w:szCs w:val="24"/>
                <w:lang w:val="fr-FR" w:bidi="fr-FR"/>
              </w:rPr>
              <w:t>UIT-D sont convenues de procéder au déploiement du projet pilote initié par le Conseil en 2017 et portant sur la participation des petites et moyennes entreprises (PME) aux Commissions d</w:t>
            </w:r>
            <w:r w:rsidR="000F7A90">
              <w:rPr>
                <w:rStyle w:val="Emphasis"/>
                <w:i w:val="0"/>
                <w:szCs w:val="24"/>
                <w:lang w:val="fr-FR" w:bidi="fr-FR"/>
              </w:rPr>
              <w:t>'</w:t>
            </w:r>
            <w:r w:rsidRPr="00F3021F">
              <w:rPr>
                <w:rStyle w:val="Emphasis"/>
                <w:i w:val="0"/>
                <w:szCs w:val="24"/>
                <w:lang w:val="fr-FR" w:bidi="fr-FR"/>
              </w:rPr>
              <w:t>études de l</w:t>
            </w:r>
            <w:r w:rsidR="000F7A90">
              <w:rPr>
                <w:rStyle w:val="Emphasis"/>
                <w:i w:val="0"/>
                <w:szCs w:val="24"/>
                <w:lang w:val="fr-FR" w:bidi="fr-FR"/>
              </w:rPr>
              <w:t>'</w:t>
            </w:r>
            <w:r w:rsidRPr="00F3021F">
              <w:rPr>
                <w:rStyle w:val="Emphasis"/>
                <w:i w:val="0"/>
                <w:szCs w:val="24"/>
                <w:lang w:val="fr-FR" w:bidi="fr-FR"/>
              </w:rPr>
              <w:t>UIT. En 2018, sept PME ont ainsi participé au projet pilote avec l</w:t>
            </w:r>
            <w:r w:rsidR="000F7A90">
              <w:rPr>
                <w:rStyle w:val="Emphasis"/>
                <w:i w:val="0"/>
                <w:szCs w:val="24"/>
                <w:lang w:val="fr-FR" w:bidi="fr-FR"/>
              </w:rPr>
              <w:t>'</w:t>
            </w:r>
            <w:r w:rsidRPr="00F3021F">
              <w:rPr>
                <w:rStyle w:val="Emphasis"/>
                <w:i w:val="0"/>
                <w:szCs w:val="24"/>
                <w:lang w:val="fr-FR" w:bidi="fr-FR"/>
              </w:rPr>
              <w:t>appui de leur administration respective.</w:t>
            </w:r>
          </w:p>
        </w:tc>
      </w:tr>
      <w:tr w:rsidR="00DA361F" w:rsidRPr="00F3021F" w14:paraId="446F086B" w14:textId="77777777" w:rsidTr="00127B97">
        <w:tc>
          <w:tcPr>
            <w:tcW w:w="3256" w:type="dxa"/>
            <w:tcBorders>
              <w:top w:val="single" w:sz="4" w:space="0" w:color="auto"/>
              <w:bottom w:val="single" w:sz="4" w:space="0" w:color="auto"/>
              <w:right w:val="single" w:sz="4" w:space="0" w:color="auto"/>
            </w:tcBorders>
          </w:tcPr>
          <w:p w14:paraId="3985DD9E" w14:textId="77777777" w:rsidR="00DA361F" w:rsidRPr="00F3021F" w:rsidRDefault="00DA361F" w:rsidP="00C762CF">
            <w:pPr>
              <w:keepNext/>
              <w:keepLines/>
              <w:spacing w:before="0"/>
              <w:rPr>
                <w:i/>
                <w:iCs/>
                <w:szCs w:val="24"/>
                <w:lang w:val="fr-FR"/>
              </w:rPr>
            </w:pPr>
            <w:r w:rsidRPr="00F3021F">
              <w:rPr>
                <w:i/>
                <w:szCs w:val="24"/>
                <w:lang w:val="fr-FR" w:bidi="fr-FR"/>
              </w:rPr>
              <w:t>CMDT</w:t>
            </w:r>
          </w:p>
        </w:tc>
        <w:tc>
          <w:tcPr>
            <w:tcW w:w="6373" w:type="dxa"/>
            <w:tcBorders>
              <w:top w:val="single" w:sz="4" w:space="0" w:color="auto"/>
              <w:left w:val="single" w:sz="4" w:space="0" w:color="auto"/>
              <w:bottom w:val="single" w:sz="4" w:space="0" w:color="auto"/>
            </w:tcBorders>
          </w:tcPr>
          <w:p w14:paraId="5F93CEBD" w14:textId="77777777" w:rsidR="00DA361F" w:rsidRPr="00F3021F" w:rsidRDefault="00DA361F" w:rsidP="00C762CF">
            <w:pPr>
              <w:keepNext/>
              <w:keepLines/>
              <w:spacing w:before="0"/>
              <w:rPr>
                <w:szCs w:val="24"/>
                <w:lang w:val="fr-FR"/>
              </w:rPr>
            </w:pPr>
            <w:bookmarkStart w:id="26" w:name="lt_pId155"/>
            <w:r w:rsidRPr="00F3021F">
              <w:rPr>
                <w:szCs w:val="24"/>
                <w:lang w:val="fr-FR" w:bidi="fr-FR"/>
              </w:rPr>
              <w:t>Résolutions 1, 2, 5, 9, 17, 21, 30, 33, 50, 59, 61, 80, 81</w:t>
            </w:r>
            <w:bookmarkEnd w:id="26"/>
          </w:p>
        </w:tc>
      </w:tr>
      <w:tr w:rsidR="00DA361F" w:rsidRPr="00F3021F" w14:paraId="7A59081E" w14:textId="77777777" w:rsidTr="00127B97">
        <w:trPr>
          <w:trHeight w:val="397"/>
        </w:trPr>
        <w:tc>
          <w:tcPr>
            <w:tcW w:w="3256" w:type="dxa"/>
            <w:tcBorders>
              <w:top w:val="single" w:sz="4" w:space="0" w:color="auto"/>
              <w:bottom w:val="single" w:sz="4" w:space="0" w:color="auto"/>
              <w:right w:val="single" w:sz="4" w:space="0" w:color="auto"/>
            </w:tcBorders>
          </w:tcPr>
          <w:p w14:paraId="72A2CFF4" w14:textId="77777777" w:rsidR="00DA361F" w:rsidRPr="00F3021F" w:rsidRDefault="00DA361F" w:rsidP="00C762CF">
            <w:pPr>
              <w:keepNext/>
              <w:keepLines/>
              <w:spacing w:before="0"/>
              <w:rPr>
                <w:i/>
                <w:iCs/>
                <w:lang w:val="fr-FR"/>
              </w:rPr>
            </w:pPr>
            <w:r w:rsidRPr="00F3021F">
              <w:rPr>
                <w:i/>
                <w:lang w:val="fr-FR" w:bidi="fr-FR"/>
              </w:rPr>
              <w:t>UIT-D</w:t>
            </w:r>
          </w:p>
        </w:tc>
        <w:tc>
          <w:tcPr>
            <w:tcW w:w="6373" w:type="dxa"/>
            <w:tcBorders>
              <w:top w:val="single" w:sz="4" w:space="0" w:color="auto"/>
              <w:left w:val="single" w:sz="4" w:space="0" w:color="auto"/>
              <w:bottom w:val="single" w:sz="4" w:space="0" w:color="auto"/>
            </w:tcBorders>
          </w:tcPr>
          <w:p w14:paraId="6B10B0BC" w14:textId="77777777" w:rsidR="00DA361F" w:rsidRPr="00F3021F" w:rsidRDefault="00DA361F" w:rsidP="00C762CF">
            <w:pPr>
              <w:keepNext/>
              <w:keepLines/>
              <w:spacing w:before="0"/>
              <w:rPr>
                <w:szCs w:val="24"/>
                <w:lang w:val="fr-FR"/>
              </w:rPr>
            </w:pPr>
            <w:bookmarkStart w:id="27" w:name="lt_pId157"/>
            <w:r w:rsidRPr="00F3021F">
              <w:rPr>
                <w:szCs w:val="24"/>
                <w:lang w:val="fr-FR" w:bidi="fr-FR"/>
              </w:rPr>
              <w:t>Recommandations 15, 16, 17, 19, 20, 21, 22</w:t>
            </w:r>
            <w:bookmarkEnd w:id="27"/>
          </w:p>
        </w:tc>
      </w:tr>
      <w:tr w:rsidR="00DA361F" w:rsidRPr="00F3021F" w14:paraId="1439F8ED" w14:textId="77777777" w:rsidTr="00127B97">
        <w:trPr>
          <w:trHeight w:val="397"/>
        </w:trPr>
        <w:tc>
          <w:tcPr>
            <w:tcW w:w="3256" w:type="dxa"/>
            <w:tcBorders>
              <w:top w:val="single" w:sz="4" w:space="0" w:color="auto"/>
              <w:bottom w:val="single" w:sz="4" w:space="0" w:color="auto"/>
              <w:right w:val="single" w:sz="4" w:space="0" w:color="auto"/>
            </w:tcBorders>
          </w:tcPr>
          <w:p w14:paraId="44994F6C" w14:textId="77777777" w:rsidR="00DA361F" w:rsidRPr="00F3021F" w:rsidRDefault="00DA361F"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4888CB0F" w14:textId="77777777" w:rsidR="00DA361F" w:rsidRPr="00F3021F" w:rsidRDefault="00DA361F" w:rsidP="00C762CF">
            <w:pPr>
              <w:spacing w:before="0"/>
              <w:rPr>
                <w:szCs w:val="24"/>
                <w:lang w:val="fr-FR"/>
              </w:rPr>
            </w:pPr>
            <w:bookmarkStart w:id="28" w:name="lt_pId159"/>
            <w:r w:rsidRPr="00F3021F">
              <w:rPr>
                <w:szCs w:val="24"/>
                <w:lang w:val="fr-FR" w:bidi="fr-FR"/>
              </w:rPr>
              <w:t>Décisions 5, 13</w:t>
            </w:r>
            <w:bookmarkEnd w:id="28"/>
          </w:p>
          <w:p w14:paraId="42E2DCB6" w14:textId="77777777" w:rsidR="00DA361F" w:rsidRPr="00F3021F" w:rsidRDefault="00DA361F" w:rsidP="00C762CF">
            <w:pPr>
              <w:spacing w:before="0"/>
              <w:rPr>
                <w:szCs w:val="24"/>
                <w:lang w:val="fr-FR"/>
              </w:rPr>
            </w:pPr>
            <w:bookmarkStart w:id="29" w:name="lt_pId160"/>
            <w:r w:rsidRPr="00F3021F">
              <w:rPr>
                <w:szCs w:val="24"/>
                <w:lang w:val="fr-FR" w:bidi="fr-FR"/>
              </w:rPr>
              <w:t>Résolutions 25, 71, 133, 135, 140, 154, 165, 166, 167</w:t>
            </w:r>
            <w:bookmarkEnd w:id="29"/>
          </w:p>
        </w:tc>
      </w:tr>
      <w:tr w:rsidR="00DA361F" w:rsidRPr="00F3021F" w14:paraId="25DE4BE2" w14:textId="77777777" w:rsidTr="00127B97">
        <w:trPr>
          <w:trHeight w:val="397"/>
        </w:trPr>
        <w:tc>
          <w:tcPr>
            <w:tcW w:w="3256" w:type="dxa"/>
            <w:tcBorders>
              <w:top w:val="single" w:sz="4" w:space="0" w:color="auto"/>
              <w:bottom w:val="single" w:sz="4" w:space="0" w:color="auto"/>
              <w:right w:val="single" w:sz="4" w:space="0" w:color="auto"/>
            </w:tcBorders>
          </w:tcPr>
          <w:p w14:paraId="0F0F6887" w14:textId="77777777" w:rsidR="00DA361F" w:rsidRPr="00F3021F" w:rsidRDefault="00DA361F" w:rsidP="00C762CF">
            <w:pPr>
              <w:spacing w:before="0"/>
              <w:rPr>
                <w:i/>
                <w:iCs/>
                <w:lang w:val="fr-FR"/>
              </w:rPr>
            </w:pPr>
            <w:r w:rsidRPr="00F3021F">
              <w:rPr>
                <w:i/>
                <w:lang w:val="fr-FR" w:bidi="fr-FR"/>
              </w:rPr>
              <w:t>Conseil</w:t>
            </w:r>
          </w:p>
        </w:tc>
        <w:tc>
          <w:tcPr>
            <w:tcW w:w="6373" w:type="dxa"/>
            <w:tcBorders>
              <w:top w:val="single" w:sz="4" w:space="0" w:color="auto"/>
              <w:left w:val="single" w:sz="4" w:space="0" w:color="auto"/>
              <w:bottom w:val="single" w:sz="4" w:space="0" w:color="auto"/>
            </w:tcBorders>
          </w:tcPr>
          <w:p w14:paraId="5D29C102" w14:textId="77777777" w:rsidR="00DA361F" w:rsidRPr="00F3021F" w:rsidRDefault="00DA361F" w:rsidP="00C762CF">
            <w:pPr>
              <w:spacing w:before="0"/>
              <w:rPr>
                <w:szCs w:val="24"/>
                <w:lang w:val="fr-FR"/>
              </w:rPr>
            </w:pPr>
            <w:r w:rsidRPr="00F3021F">
              <w:rPr>
                <w:szCs w:val="24"/>
                <w:lang w:val="fr-FR" w:bidi="fr-FR"/>
              </w:rPr>
              <w:t>1372</w:t>
            </w:r>
          </w:p>
        </w:tc>
      </w:tr>
      <w:tr w:rsidR="00DA361F" w:rsidRPr="00F3021F" w14:paraId="22E79BF1" w14:textId="77777777" w:rsidTr="00127B97">
        <w:trPr>
          <w:trHeight w:val="397"/>
        </w:trPr>
        <w:tc>
          <w:tcPr>
            <w:tcW w:w="3256" w:type="dxa"/>
            <w:tcBorders>
              <w:top w:val="single" w:sz="4" w:space="0" w:color="auto"/>
              <w:bottom w:val="single" w:sz="4" w:space="0" w:color="auto"/>
              <w:right w:val="single" w:sz="4" w:space="0" w:color="auto"/>
            </w:tcBorders>
          </w:tcPr>
          <w:p w14:paraId="5C11F4FE" w14:textId="77777777" w:rsidR="00DA361F" w:rsidRPr="00F3021F" w:rsidRDefault="00DA361F"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37F09096" w14:textId="77777777" w:rsidR="00DA361F" w:rsidRPr="00F3021F" w:rsidRDefault="00DA361F" w:rsidP="00C762CF">
            <w:pPr>
              <w:spacing w:before="0"/>
              <w:rPr>
                <w:szCs w:val="24"/>
                <w:lang w:val="fr-FR"/>
              </w:rPr>
            </w:pPr>
            <w:r w:rsidRPr="00F3021F">
              <w:rPr>
                <w:szCs w:val="24"/>
                <w:lang w:val="fr-FR" w:bidi="fr-FR"/>
              </w:rPr>
              <w:t>Grandes orientations C1 et C11 du SMSI</w:t>
            </w:r>
          </w:p>
        </w:tc>
      </w:tr>
      <w:tr w:rsidR="00DA361F" w:rsidRPr="00F3021F" w14:paraId="79C1C28C" w14:textId="77777777" w:rsidTr="00127B97">
        <w:tc>
          <w:tcPr>
            <w:tcW w:w="3256" w:type="dxa"/>
            <w:tcBorders>
              <w:top w:val="single" w:sz="4" w:space="0" w:color="auto"/>
              <w:bottom w:val="single" w:sz="4" w:space="0" w:color="auto"/>
              <w:right w:val="single" w:sz="4" w:space="0" w:color="auto"/>
            </w:tcBorders>
          </w:tcPr>
          <w:p w14:paraId="2A563109" w14:textId="77777777" w:rsidR="00DA361F" w:rsidRPr="00F3021F" w:rsidRDefault="00DA361F"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47A400DC" w14:textId="77777777" w:rsidR="00DA361F" w:rsidRPr="00F3021F" w:rsidRDefault="00DA361F" w:rsidP="00C762CF">
            <w:pPr>
              <w:spacing w:before="0"/>
              <w:rPr>
                <w:szCs w:val="24"/>
                <w:lang w:val="fr-FR"/>
              </w:rPr>
            </w:pPr>
            <w:bookmarkStart w:id="30" w:name="lt_pId166"/>
            <w:r w:rsidRPr="00F3021F">
              <w:rPr>
                <w:szCs w:val="24"/>
                <w:lang w:val="fr-FR" w:bidi="fr-FR"/>
              </w:rPr>
              <w:t>Objectifs de développement durable:</w:t>
            </w:r>
            <w:bookmarkEnd w:id="30"/>
            <w:r w:rsidRPr="00F3021F">
              <w:rPr>
                <w:szCs w:val="24"/>
                <w:lang w:val="fr-FR" w:bidi="fr-FR"/>
              </w:rPr>
              <w:t xml:space="preserve"> </w:t>
            </w:r>
            <w:bookmarkStart w:id="31" w:name="lt_pId167"/>
            <w:r w:rsidRPr="00F3021F">
              <w:rPr>
                <w:szCs w:val="24"/>
                <w:lang w:val="fr-FR" w:bidi="fr-FR"/>
              </w:rPr>
              <w:t>1 (cible 1.b), 3 (cible 3.d), 5, 10, 16 (cibles 16.5, 16.6, 16.10), 17 (cibles 17.9, 17.16, 17.17, 17.18)</w:t>
            </w:r>
            <w:bookmarkEnd w:id="31"/>
          </w:p>
        </w:tc>
      </w:tr>
    </w:tbl>
    <w:p w14:paraId="195171C4" w14:textId="30E5037A" w:rsidR="00DA361F" w:rsidRPr="00C762CF" w:rsidRDefault="00DA361F" w:rsidP="00C762CF">
      <w:pPr>
        <w:pStyle w:val="Heading1"/>
        <w:rPr>
          <w:lang w:val="fr-FR"/>
        </w:rPr>
      </w:pPr>
      <w:r w:rsidRPr="00F3021F">
        <w:rPr>
          <w:lang w:val="fr-FR" w:bidi="fr-FR"/>
        </w:rPr>
        <w:lastRenderedPageBreak/>
        <w:t>2</w:t>
      </w:r>
      <w:r w:rsidRPr="00C762CF">
        <w:rPr>
          <w:lang w:val="fr-FR" w:bidi="fr-FR"/>
        </w:rPr>
        <w:tab/>
        <w:t>Objectif 2: "Promouvoir un environnement propice au développement des TIC et encourager le développement de réseaux de télécommunication/TIC, ainsi que des applications et des services correspondants, notamment en vue de réduire l</w:t>
      </w:r>
      <w:r w:rsidR="000F7A90">
        <w:rPr>
          <w:lang w:val="fr-FR" w:bidi="fr-FR"/>
        </w:rPr>
        <w:t>'</w:t>
      </w:r>
      <w:r w:rsidRPr="00C762CF">
        <w:rPr>
          <w:lang w:val="fr-FR" w:bidi="fr-FR"/>
        </w:rPr>
        <w:t>écart en matière de normalisation"</w:t>
      </w:r>
    </w:p>
    <w:p w14:paraId="64863E3F" w14:textId="77777777" w:rsidR="00DA361F" w:rsidRPr="00F3021F" w:rsidRDefault="00DA361F" w:rsidP="00C762CF">
      <w:pPr>
        <w:pStyle w:val="Heading2"/>
        <w:spacing w:after="120"/>
        <w:rPr>
          <w:lang w:val="fr-FR"/>
        </w:rPr>
      </w:pPr>
      <w:r w:rsidRPr="00F3021F">
        <w:rPr>
          <w:lang w:val="fr-FR" w:bidi="fr-FR"/>
        </w:rPr>
        <w:t>2.1</w:t>
      </w:r>
      <w:r w:rsidRPr="00F3021F">
        <w:rPr>
          <w:lang w:val="fr-FR" w:bidi="fr-FR"/>
        </w:rPr>
        <w:tab/>
        <w:t>Cadres politiques et réglementaires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2613BA" w:rsidRPr="00F3021F" w14:paraId="0609B2EC" w14:textId="77777777" w:rsidTr="00127B97">
        <w:tc>
          <w:tcPr>
            <w:tcW w:w="9629" w:type="dxa"/>
            <w:gridSpan w:val="2"/>
            <w:tcBorders>
              <w:bottom w:val="single" w:sz="4" w:space="0" w:color="auto"/>
            </w:tcBorders>
          </w:tcPr>
          <w:p w14:paraId="0D0EF31F" w14:textId="0ECE43CC" w:rsidR="002613BA" w:rsidRPr="00F3021F" w:rsidRDefault="002613BA" w:rsidP="00C762CF">
            <w:pPr>
              <w:rPr>
                <w:szCs w:val="24"/>
                <w:lang w:val="fr-FR" w:bidi="fr-FR"/>
              </w:rPr>
            </w:pPr>
            <w:r w:rsidRPr="00F3021F">
              <w:rPr>
                <w:szCs w:val="24"/>
                <w:lang w:val="fr-FR" w:bidi="fr-FR"/>
              </w:rPr>
              <w:t>L</w:t>
            </w:r>
            <w:r w:rsidR="000F7A90">
              <w:rPr>
                <w:szCs w:val="24"/>
                <w:lang w:val="fr-FR" w:bidi="fr-FR"/>
              </w:rPr>
              <w:t>'</w:t>
            </w:r>
            <w:r w:rsidRPr="00F3021F">
              <w:rPr>
                <w:szCs w:val="24"/>
                <w:lang w:val="fr-FR" w:bidi="fr-FR"/>
              </w:rPr>
              <w:t>UIT-D a organisé, à l</w:t>
            </w:r>
            <w:r w:rsidR="000F7A90">
              <w:rPr>
                <w:szCs w:val="24"/>
                <w:lang w:val="fr-FR" w:bidi="fr-FR"/>
              </w:rPr>
              <w:t>'</w:t>
            </w:r>
            <w:r w:rsidRPr="00F3021F">
              <w:rPr>
                <w:szCs w:val="24"/>
                <w:lang w:val="fr-FR" w:bidi="fr-FR"/>
              </w:rPr>
              <w:t>intention des Membres de Secteur et d</w:t>
            </w:r>
            <w:r w:rsidR="000F7A90">
              <w:rPr>
                <w:szCs w:val="24"/>
                <w:lang w:val="fr-FR" w:bidi="fr-FR"/>
              </w:rPr>
              <w:t>'</w:t>
            </w:r>
            <w:r w:rsidRPr="00F3021F">
              <w:rPr>
                <w:szCs w:val="24"/>
                <w:lang w:val="fr-FR" w:bidi="fr-FR"/>
              </w:rPr>
              <w:t>autres parties prenantes d</w:t>
            </w:r>
            <w:r w:rsidR="000F7A90">
              <w:rPr>
                <w:szCs w:val="24"/>
                <w:lang w:val="fr-FR" w:bidi="fr-FR"/>
              </w:rPr>
              <w:t>'</w:t>
            </w:r>
            <w:r w:rsidRPr="00F3021F">
              <w:rPr>
                <w:szCs w:val="24"/>
                <w:lang w:val="fr-FR" w:bidi="fr-FR"/>
              </w:rPr>
              <w:t>envergure nationale ou internationale, des forums régionaux ou internationaux visant à examiner l</w:t>
            </w:r>
            <w:r w:rsidR="000F7A90">
              <w:rPr>
                <w:szCs w:val="24"/>
                <w:lang w:val="fr-FR" w:bidi="fr-FR"/>
              </w:rPr>
              <w:t>'</w:t>
            </w:r>
            <w:r w:rsidRPr="00F3021F">
              <w:rPr>
                <w:szCs w:val="24"/>
                <w:lang w:val="fr-FR" w:bidi="fr-FR"/>
              </w:rPr>
              <w:t>évolution à l</w:t>
            </w:r>
            <w:r w:rsidR="000F7A90">
              <w:rPr>
                <w:szCs w:val="24"/>
                <w:lang w:val="fr-FR" w:bidi="fr-FR"/>
              </w:rPr>
              <w:t>'</w:t>
            </w:r>
            <w:r w:rsidRPr="00F3021F">
              <w:rPr>
                <w:szCs w:val="24"/>
                <w:lang w:val="fr-FR" w:bidi="fr-FR"/>
              </w:rPr>
              <w:t>échelle mondiale de la réglementation, comme le Colloque mondial des régulateurs (GSR) ou des dialogues stratégiques sur les questions d</w:t>
            </w:r>
            <w:r w:rsidR="000F7A90">
              <w:rPr>
                <w:szCs w:val="24"/>
                <w:lang w:val="fr-FR" w:bidi="fr-FR"/>
              </w:rPr>
              <w:t>'</w:t>
            </w:r>
            <w:r w:rsidRPr="00F3021F">
              <w:rPr>
                <w:szCs w:val="24"/>
                <w:lang w:val="fr-FR" w:bidi="fr-FR"/>
              </w:rPr>
              <w:t>actualité en matière de politiques, de législation, de réglementation, d</w:t>
            </w:r>
            <w:r w:rsidR="000F7A90">
              <w:rPr>
                <w:szCs w:val="24"/>
                <w:lang w:val="fr-FR" w:bidi="fr-FR"/>
              </w:rPr>
              <w:t>'</w:t>
            </w:r>
            <w:r w:rsidRPr="00F3021F">
              <w:rPr>
                <w:szCs w:val="24"/>
                <w:lang w:val="fr-FR" w:bidi="fr-FR"/>
              </w:rPr>
              <w:t>économie, de finance et d</w:t>
            </w:r>
            <w:r w:rsidR="000F7A90">
              <w:rPr>
                <w:szCs w:val="24"/>
                <w:lang w:val="fr-FR" w:bidi="fr-FR"/>
              </w:rPr>
              <w:t>'</w:t>
            </w:r>
            <w:r w:rsidRPr="00F3021F">
              <w:rPr>
                <w:szCs w:val="24"/>
                <w:lang w:val="fr-FR" w:bidi="fr-FR"/>
              </w:rPr>
              <w:t>évolution du marché. L</w:t>
            </w:r>
            <w:r w:rsidR="000F7A90">
              <w:rPr>
                <w:szCs w:val="24"/>
                <w:lang w:val="fr-FR" w:bidi="fr-FR"/>
              </w:rPr>
              <w:t>'</w:t>
            </w:r>
            <w:r w:rsidRPr="00F3021F">
              <w:rPr>
                <w:szCs w:val="24"/>
                <w:lang w:val="fr-FR" w:bidi="fr-FR"/>
              </w:rPr>
              <w:t>édition de 2018 du Colloque mondial des régulateurs (GSR-18), qui s</w:t>
            </w:r>
            <w:r w:rsidR="000F7A90">
              <w:rPr>
                <w:szCs w:val="24"/>
                <w:lang w:val="fr-FR" w:bidi="fr-FR"/>
              </w:rPr>
              <w:t>'</w:t>
            </w:r>
            <w:r w:rsidRPr="00F3021F">
              <w:rPr>
                <w:szCs w:val="24"/>
                <w:lang w:val="fr-FR" w:bidi="fr-FR"/>
              </w:rPr>
              <w:t>est tenue à Genève (Suisse) du 9 au 12 juillet 2018, portait sur le thème "Nouvelles frontières réglementaires". Le point d</w:t>
            </w:r>
            <w:r w:rsidR="000F7A90">
              <w:rPr>
                <w:szCs w:val="24"/>
                <w:lang w:val="fr-FR" w:bidi="fr-FR"/>
              </w:rPr>
              <w:t>'</w:t>
            </w:r>
            <w:r w:rsidRPr="00F3021F">
              <w:rPr>
                <w:szCs w:val="24"/>
                <w:lang w:val="fr-FR" w:bidi="fr-FR"/>
              </w:rPr>
              <w:t>orgue du Colloque a été l</w:t>
            </w:r>
            <w:r w:rsidR="000F7A90">
              <w:rPr>
                <w:szCs w:val="24"/>
                <w:lang w:val="fr-FR" w:bidi="fr-FR"/>
              </w:rPr>
              <w:t>'</w:t>
            </w:r>
            <w:r w:rsidRPr="00F3021F">
              <w:rPr>
                <w:szCs w:val="24"/>
                <w:lang w:val="fr-FR" w:bidi="fr-FR"/>
              </w:rPr>
              <w:t>adoption par les régulateurs des technologies de l</w:t>
            </w:r>
            <w:r w:rsidR="000F7A90">
              <w:rPr>
                <w:szCs w:val="24"/>
                <w:lang w:val="fr-FR" w:bidi="fr-FR"/>
              </w:rPr>
              <w:t>'</w:t>
            </w:r>
            <w:r w:rsidRPr="00F3021F">
              <w:rPr>
                <w:szCs w:val="24"/>
                <w:lang w:val="fr-FR" w:bidi="fr-FR"/>
              </w:rPr>
              <w:t>information et de la communication (TIC) d</w:t>
            </w:r>
            <w:r w:rsidR="000F7A90">
              <w:rPr>
                <w:szCs w:val="24"/>
                <w:lang w:val="fr-FR" w:bidi="fr-FR"/>
              </w:rPr>
              <w:t>'</w:t>
            </w:r>
            <w:r w:rsidRPr="00F3021F">
              <w:rPr>
                <w:szCs w:val="24"/>
                <w:lang w:val="fr-FR" w:bidi="fr-FR"/>
              </w:rPr>
              <w:t>un ensemble de lignes directrices sur les bonnes pratiques relatives aux nouvelles frontières réglementaires pour réussir la transformation numérique.</w:t>
            </w:r>
          </w:p>
          <w:p w14:paraId="1191A5E2" w14:textId="343ED99F" w:rsidR="002613BA" w:rsidRPr="00F3021F" w:rsidRDefault="002613BA" w:rsidP="00C762CF">
            <w:pPr>
              <w:rPr>
                <w:szCs w:val="24"/>
                <w:lang w:val="fr-FR"/>
              </w:rPr>
            </w:pPr>
            <w:r w:rsidRPr="00F3021F">
              <w:rPr>
                <w:szCs w:val="24"/>
                <w:lang w:val="fr-FR" w:bidi="fr-FR"/>
              </w:rPr>
              <w:t>L</w:t>
            </w:r>
            <w:r w:rsidR="000F7A90">
              <w:rPr>
                <w:szCs w:val="24"/>
                <w:lang w:val="fr-FR" w:bidi="fr-FR"/>
              </w:rPr>
              <w:t>'</w:t>
            </w:r>
            <w:r w:rsidRPr="00F3021F">
              <w:rPr>
                <w:szCs w:val="24"/>
                <w:lang w:val="fr-FR" w:bidi="fr-FR"/>
              </w:rPr>
              <w:t xml:space="preserve">UIT-D a continué de fournir à ses membres des données, des recherches, des analyses et des outils (documents de travail du GSR, publications, bases de données) de qualité afin de les aider à mettre en </w:t>
            </w:r>
            <w:r w:rsidR="00C762CF">
              <w:rPr>
                <w:szCs w:val="24"/>
                <w:lang w:val="fr-FR" w:bidi="fr-FR"/>
              </w:rPr>
              <w:t>oe</w:t>
            </w:r>
            <w:r w:rsidRPr="00F3021F">
              <w:rPr>
                <w:szCs w:val="24"/>
                <w:lang w:val="fr-FR" w:bidi="fr-FR"/>
              </w:rPr>
              <w:t>uvre et à réviser des stratégies, des politiques et des cadres juridiques et réglementaires. Les éléments fournis par l</w:t>
            </w:r>
            <w:r w:rsidR="000F7A90">
              <w:rPr>
                <w:szCs w:val="24"/>
                <w:lang w:val="fr-FR" w:bidi="fr-FR"/>
              </w:rPr>
              <w:t>'</w:t>
            </w:r>
            <w:r w:rsidRPr="00F3021F">
              <w:rPr>
                <w:szCs w:val="24"/>
                <w:lang w:val="fr-FR" w:bidi="fr-FR"/>
              </w:rPr>
              <w:t>UIT-D permettront en outre aux membres d</w:t>
            </w:r>
            <w:r w:rsidR="000F7A90">
              <w:rPr>
                <w:szCs w:val="24"/>
                <w:lang w:val="fr-FR" w:bidi="fr-FR"/>
              </w:rPr>
              <w:t>'</w:t>
            </w:r>
            <w:r w:rsidRPr="00F3021F">
              <w:rPr>
                <w:szCs w:val="24"/>
                <w:lang w:val="fr-FR" w:bidi="fr-FR"/>
              </w:rPr>
              <w:t>appuyer leurs décisions sur des données probantes. Parmi les publications figuraient le rapport de l</w:t>
            </w:r>
            <w:r w:rsidR="000F7A90">
              <w:rPr>
                <w:szCs w:val="24"/>
                <w:lang w:val="fr-FR" w:bidi="fr-FR"/>
              </w:rPr>
              <w:t>'</w:t>
            </w:r>
            <w:r w:rsidRPr="00F3021F">
              <w:rPr>
                <w:szCs w:val="24"/>
                <w:lang w:val="fr-FR" w:bidi="fr-FR"/>
              </w:rPr>
              <w:t>UIT intitulé "Poser les jalons de la 5G: perspectives et difficultés", un rapport sur la contribution économique du large bande, de la généralisation du numérique et de la réglementation des TIC, ainsi qu</w:t>
            </w:r>
            <w:r w:rsidR="000F7A90">
              <w:rPr>
                <w:szCs w:val="24"/>
                <w:lang w:val="fr-FR" w:bidi="fr-FR"/>
              </w:rPr>
              <w:t>'</w:t>
            </w:r>
            <w:r w:rsidRPr="00F3021F">
              <w:rPr>
                <w:szCs w:val="24"/>
                <w:lang w:val="fr-FR" w:bidi="fr-FR"/>
              </w:rPr>
              <w:t>un rapport sur les enjeux et perspectives en matière de réglementation dans le nouvel écosystème des TIC. L</w:t>
            </w:r>
            <w:r w:rsidR="000F7A90">
              <w:rPr>
                <w:szCs w:val="24"/>
                <w:lang w:val="fr-FR" w:bidi="fr-FR"/>
              </w:rPr>
              <w:t>'</w:t>
            </w:r>
            <w:r w:rsidRPr="00F3021F">
              <w:rPr>
                <w:szCs w:val="24"/>
                <w:lang w:val="fr-FR" w:bidi="fr-FR"/>
              </w:rPr>
              <w:t>édition 2018 des Perspectives d</w:t>
            </w:r>
            <w:r w:rsidR="000F7A90">
              <w:rPr>
                <w:szCs w:val="24"/>
                <w:lang w:val="fr-FR" w:bidi="fr-FR"/>
              </w:rPr>
              <w:t>'</w:t>
            </w:r>
            <w:r w:rsidRPr="00F3021F">
              <w:rPr>
                <w:szCs w:val="24"/>
                <w:lang w:val="fr-FR" w:bidi="fr-FR"/>
              </w:rPr>
              <w:t>évolution de la réglementation des TIC dans le monde a été publiée au quatrième trimestre 2018. Il s</w:t>
            </w:r>
            <w:r w:rsidR="000F7A90">
              <w:rPr>
                <w:szCs w:val="24"/>
                <w:lang w:val="fr-FR" w:bidi="fr-FR"/>
              </w:rPr>
              <w:t>'</w:t>
            </w:r>
            <w:r w:rsidRPr="00F3021F">
              <w:rPr>
                <w:szCs w:val="24"/>
                <w:lang w:val="fr-FR" w:bidi="fr-FR"/>
              </w:rPr>
              <w:t>agit du deuxième rapport de la série annuelle consacrée au suivi du marché, des tendances réglementaires et de leurs implications pour le secteur des TIC. Les données de 2017 relatives à la réglementation et aux politiques ont été publiées sur l</w:t>
            </w:r>
            <w:r w:rsidR="000F7A90">
              <w:rPr>
                <w:szCs w:val="24"/>
                <w:lang w:val="fr-FR" w:bidi="fr-FR"/>
              </w:rPr>
              <w:t>'</w:t>
            </w:r>
            <w:r w:rsidRPr="00F3021F">
              <w:rPr>
                <w:szCs w:val="24"/>
                <w:lang w:val="fr-FR" w:bidi="fr-FR"/>
              </w:rPr>
              <w:t>outil de suivi réglementaire des TIC et mises à disposition sur le site web de l</w:t>
            </w:r>
            <w:r w:rsidR="000F7A90">
              <w:rPr>
                <w:szCs w:val="24"/>
                <w:lang w:val="fr-FR" w:bidi="fr-FR"/>
              </w:rPr>
              <w:t>'</w:t>
            </w:r>
            <w:r w:rsidRPr="00F3021F">
              <w:rPr>
                <w:szCs w:val="24"/>
                <w:lang w:val="fr-FR" w:bidi="fr-FR"/>
              </w:rPr>
              <w:t>UIT.</w:t>
            </w:r>
          </w:p>
          <w:p w14:paraId="1B959CBB" w14:textId="2DFF7DD8" w:rsidR="002613BA" w:rsidRPr="00F3021F" w:rsidRDefault="002613BA" w:rsidP="00C762CF">
            <w:pPr>
              <w:rPr>
                <w:szCs w:val="24"/>
                <w:lang w:val="fr-FR"/>
              </w:rPr>
            </w:pPr>
            <w:r w:rsidRPr="00F3021F">
              <w:rPr>
                <w:szCs w:val="24"/>
                <w:lang w:val="fr-FR" w:bidi="fr-FR"/>
              </w:rPr>
              <w:t>L</w:t>
            </w:r>
            <w:r w:rsidR="000F7A90">
              <w:rPr>
                <w:szCs w:val="24"/>
                <w:lang w:val="fr-FR" w:bidi="fr-FR"/>
              </w:rPr>
              <w:t>'</w:t>
            </w:r>
            <w:r w:rsidRPr="00F3021F">
              <w:rPr>
                <w:szCs w:val="24"/>
                <w:lang w:val="fr-FR" w:bidi="fr-FR"/>
              </w:rPr>
              <w:t>UIT-D a également fourni des outils et des plates-formes de partage des connaissances (portails sur les ressources d</w:t>
            </w:r>
            <w:r w:rsidR="000F7A90">
              <w:rPr>
                <w:szCs w:val="24"/>
                <w:lang w:val="fr-FR" w:bidi="fr-FR"/>
              </w:rPr>
              <w:t>'</w:t>
            </w:r>
            <w:r w:rsidRPr="00F3021F">
              <w:rPr>
                <w:szCs w:val="24"/>
                <w:lang w:val="fr-FR" w:bidi="fr-FR"/>
              </w:rPr>
              <w:t>itinérance mobile internationale, la qualité de service, l</w:t>
            </w:r>
            <w:r w:rsidR="000F7A90">
              <w:rPr>
                <w:szCs w:val="24"/>
                <w:lang w:val="fr-FR" w:bidi="fr-FR"/>
              </w:rPr>
              <w:t>'</w:t>
            </w:r>
            <w:r w:rsidRPr="00F3021F">
              <w:rPr>
                <w:szCs w:val="24"/>
                <w:lang w:val="fr-FR" w:bidi="fr-FR"/>
              </w:rPr>
              <w:t>écosystème numérique, le développement de l</w:t>
            </w:r>
            <w:r w:rsidR="000F7A90">
              <w:rPr>
                <w:szCs w:val="24"/>
                <w:lang w:val="fr-FR" w:bidi="fr-FR"/>
              </w:rPr>
              <w:t>'</w:t>
            </w:r>
            <w:r w:rsidRPr="00F3021F">
              <w:rPr>
                <w:szCs w:val="24"/>
                <w:lang w:val="fr-FR" w:bidi="fr-FR"/>
              </w:rPr>
              <w:t>infrastructure et un portail à l</w:t>
            </w:r>
            <w:r w:rsidR="000F7A90">
              <w:rPr>
                <w:szCs w:val="24"/>
                <w:lang w:val="fr-FR" w:bidi="fr-FR"/>
              </w:rPr>
              <w:t>'</w:t>
            </w:r>
            <w:r w:rsidRPr="00F3021F">
              <w:rPr>
                <w:szCs w:val="24"/>
                <w:lang w:val="fr-FR" w:bidi="fr-FR"/>
              </w:rPr>
              <w:t>intention des associations régionales de régulateurs). Ces instruments facilitent le dialogue inclusif et renforcent la coopération tout en sensibilisant à l</w:t>
            </w:r>
            <w:r w:rsidR="000F7A90">
              <w:rPr>
                <w:szCs w:val="24"/>
                <w:lang w:val="fr-FR" w:bidi="fr-FR"/>
              </w:rPr>
              <w:t>'</w:t>
            </w:r>
            <w:r w:rsidRPr="00F3021F">
              <w:rPr>
                <w:szCs w:val="24"/>
                <w:lang w:val="fr-FR" w:bidi="fr-FR"/>
              </w:rPr>
              <w:t>importance d</w:t>
            </w:r>
            <w:r w:rsidR="000F7A90">
              <w:rPr>
                <w:szCs w:val="24"/>
                <w:lang w:val="fr-FR" w:bidi="fr-FR"/>
              </w:rPr>
              <w:t>'</w:t>
            </w:r>
            <w:r w:rsidRPr="00F3021F">
              <w:rPr>
                <w:szCs w:val="24"/>
                <w:lang w:val="fr-FR" w:bidi="fr-FR"/>
              </w:rPr>
              <w:t>un environnement propice sur le plan national et régional.</w:t>
            </w:r>
          </w:p>
          <w:p w14:paraId="55AA6C4D" w14:textId="5E5787B1" w:rsidR="002613BA" w:rsidRPr="00F3021F" w:rsidRDefault="002613BA" w:rsidP="00C762CF">
            <w:pPr>
              <w:keepLines/>
              <w:spacing w:after="120"/>
              <w:rPr>
                <w:color w:val="000000"/>
                <w:lang w:val="fr-FR"/>
              </w:rPr>
            </w:pPr>
            <w:r w:rsidRPr="00F3021F">
              <w:rPr>
                <w:szCs w:val="24"/>
                <w:lang w:val="fr-FR" w:bidi="fr-FR"/>
              </w:rPr>
              <w:lastRenderedPageBreak/>
              <w:t>L</w:t>
            </w:r>
            <w:r w:rsidR="000F7A90">
              <w:rPr>
                <w:szCs w:val="24"/>
                <w:lang w:val="fr-FR" w:bidi="fr-FR"/>
              </w:rPr>
              <w:t>'</w:t>
            </w:r>
            <w:r w:rsidRPr="00F3021F">
              <w:rPr>
                <w:szCs w:val="24"/>
                <w:lang w:val="fr-FR" w:bidi="fr-FR"/>
              </w:rPr>
              <w:t>UIT-D a continué d</w:t>
            </w:r>
            <w:r w:rsidR="000F7A90">
              <w:rPr>
                <w:szCs w:val="24"/>
                <w:lang w:val="fr-FR" w:bidi="fr-FR"/>
              </w:rPr>
              <w:t>'</w:t>
            </w:r>
            <w:r w:rsidRPr="00F3021F">
              <w:rPr>
                <w:szCs w:val="24"/>
                <w:lang w:val="fr-FR" w:bidi="fr-FR"/>
              </w:rPr>
              <w:t>assister les pays en menant des actions de sensibilisation, de renforcement des capacités et de soutien technique par le biais de projets, de formations, d</w:t>
            </w:r>
            <w:r w:rsidR="000F7A90">
              <w:rPr>
                <w:szCs w:val="24"/>
                <w:lang w:val="fr-FR" w:bidi="fr-FR"/>
              </w:rPr>
              <w:t>'</w:t>
            </w:r>
            <w:r w:rsidRPr="00F3021F">
              <w:rPr>
                <w:szCs w:val="24"/>
                <w:lang w:val="fr-FR" w:bidi="fr-FR"/>
              </w:rPr>
              <w:t>ateliers, de séminaires, de forums et de conférences. Les thèmes suivants ont été abordés: cadres réglementaires, développement des TIC, infrastructure large bande, applications et services, itinérance mobile internationale, 5G, cyberagriculture, cybersanté, technologies émergentes, développement de l</w:t>
            </w:r>
            <w:r w:rsidR="000F7A90">
              <w:rPr>
                <w:szCs w:val="24"/>
                <w:lang w:val="fr-FR" w:bidi="fr-FR"/>
              </w:rPr>
              <w:t>'</w:t>
            </w:r>
            <w:r w:rsidRPr="00F3021F">
              <w:rPr>
                <w:szCs w:val="24"/>
                <w:lang w:val="fr-FR" w:bidi="fr-FR"/>
              </w:rPr>
              <w:t>infrastructure, gestion du spectre, coordination des satellites, accès à l</w:t>
            </w:r>
            <w:r w:rsidR="000F7A90">
              <w:rPr>
                <w:szCs w:val="24"/>
                <w:lang w:val="fr-FR" w:bidi="fr-FR"/>
              </w:rPr>
              <w:t>'</w:t>
            </w:r>
            <w:r w:rsidRPr="00F3021F">
              <w:rPr>
                <w:szCs w:val="24"/>
                <w:lang w:val="fr-FR" w:bidi="fr-FR"/>
              </w:rPr>
              <w:t>Internet, octroi de licences, tarification, collaboration politique et réglementaire et renforcement dans les domaines des services financiers numériques et de l</w:t>
            </w:r>
            <w:r w:rsidR="000F7A90">
              <w:rPr>
                <w:szCs w:val="24"/>
                <w:lang w:val="fr-FR" w:bidi="fr-FR"/>
              </w:rPr>
              <w:t>'</w:t>
            </w:r>
            <w:r w:rsidRPr="00F3021F">
              <w:rPr>
                <w:szCs w:val="24"/>
                <w:lang w:val="fr-FR" w:bidi="fr-FR"/>
              </w:rPr>
              <w:t>inclusion financière numérique, économie numérique, etc.</w:t>
            </w:r>
          </w:p>
        </w:tc>
      </w:tr>
      <w:tr w:rsidR="002613BA" w:rsidRPr="00F3021F" w14:paraId="3AABBE5E" w14:textId="77777777" w:rsidTr="00127B97">
        <w:tc>
          <w:tcPr>
            <w:tcW w:w="3114" w:type="dxa"/>
            <w:tcBorders>
              <w:top w:val="single" w:sz="4" w:space="0" w:color="auto"/>
              <w:bottom w:val="single" w:sz="4" w:space="0" w:color="auto"/>
              <w:right w:val="single" w:sz="4" w:space="0" w:color="auto"/>
            </w:tcBorders>
          </w:tcPr>
          <w:p w14:paraId="3D21BF42" w14:textId="77777777" w:rsidR="002613BA" w:rsidRPr="00F3021F" w:rsidRDefault="002613BA" w:rsidP="00C762CF">
            <w:pPr>
              <w:spacing w:before="0"/>
              <w:rPr>
                <w:i/>
                <w:iCs/>
                <w:szCs w:val="24"/>
                <w:lang w:val="fr-FR"/>
              </w:rPr>
            </w:pPr>
            <w:r w:rsidRPr="00F3021F">
              <w:rPr>
                <w:i/>
                <w:szCs w:val="24"/>
                <w:lang w:val="fr-FR" w:bidi="fr-FR"/>
              </w:rPr>
              <w:lastRenderedPageBreak/>
              <w:t>CMDT</w:t>
            </w:r>
          </w:p>
        </w:tc>
        <w:tc>
          <w:tcPr>
            <w:tcW w:w="6515" w:type="dxa"/>
            <w:tcBorders>
              <w:top w:val="single" w:sz="4" w:space="0" w:color="auto"/>
              <w:left w:val="single" w:sz="4" w:space="0" w:color="auto"/>
              <w:bottom w:val="single" w:sz="4" w:space="0" w:color="auto"/>
            </w:tcBorders>
          </w:tcPr>
          <w:p w14:paraId="52B3114E" w14:textId="77777777" w:rsidR="002613BA" w:rsidRPr="00F3021F" w:rsidRDefault="002613BA" w:rsidP="00C762CF">
            <w:pPr>
              <w:spacing w:before="0"/>
              <w:rPr>
                <w:szCs w:val="24"/>
                <w:lang w:val="fr-FR"/>
              </w:rPr>
            </w:pPr>
            <w:bookmarkStart w:id="32" w:name="lt_pId188"/>
            <w:r w:rsidRPr="00F3021F">
              <w:rPr>
                <w:szCs w:val="24"/>
                <w:lang w:val="fr-FR" w:bidi="fr-FR"/>
              </w:rPr>
              <w:t>Résolutions 1, 9, 17, 21, 23, 30, 32, 43, 48, 62</w:t>
            </w:r>
            <w:bookmarkEnd w:id="32"/>
          </w:p>
        </w:tc>
      </w:tr>
      <w:tr w:rsidR="002613BA" w:rsidRPr="00F3021F" w14:paraId="4DA8B8DC" w14:textId="77777777" w:rsidTr="00127B97">
        <w:trPr>
          <w:trHeight w:val="397"/>
        </w:trPr>
        <w:tc>
          <w:tcPr>
            <w:tcW w:w="3114" w:type="dxa"/>
            <w:tcBorders>
              <w:top w:val="single" w:sz="4" w:space="0" w:color="auto"/>
              <w:bottom w:val="single" w:sz="4" w:space="0" w:color="auto"/>
              <w:right w:val="single" w:sz="4" w:space="0" w:color="auto"/>
            </w:tcBorders>
          </w:tcPr>
          <w:p w14:paraId="69B2FE9A" w14:textId="77777777" w:rsidR="002613BA" w:rsidRPr="00F3021F" w:rsidRDefault="002613BA" w:rsidP="00C762CF">
            <w:pPr>
              <w:spacing w:before="0"/>
              <w:rPr>
                <w:i/>
                <w:iCs/>
                <w:lang w:val="fr-FR"/>
              </w:rPr>
            </w:pPr>
            <w:r w:rsidRPr="00F3021F">
              <w:rPr>
                <w:i/>
                <w:lang w:val="fr-FR" w:bidi="fr-FR"/>
              </w:rPr>
              <w:t>Conférence de plénipotentiaires</w:t>
            </w:r>
          </w:p>
        </w:tc>
        <w:tc>
          <w:tcPr>
            <w:tcW w:w="6515" w:type="dxa"/>
            <w:tcBorders>
              <w:top w:val="single" w:sz="4" w:space="0" w:color="auto"/>
              <w:left w:val="single" w:sz="4" w:space="0" w:color="auto"/>
              <w:bottom w:val="single" w:sz="4" w:space="0" w:color="auto"/>
            </w:tcBorders>
          </w:tcPr>
          <w:p w14:paraId="12DE4DB6" w14:textId="77777777" w:rsidR="002613BA" w:rsidRPr="00F3021F" w:rsidRDefault="002613BA" w:rsidP="00C762CF">
            <w:pPr>
              <w:spacing w:before="0"/>
              <w:rPr>
                <w:szCs w:val="24"/>
                <w:lang w:val="fr-FR"/>
              </w:rPr>
            </w:pPr>
            <w:bookmarkStart w:id="33" w:name="lt_pId190"/>
            <w:r w:rsidRPr="00F3021F">
              <w:rPr>
                <w:szCs w:val="24"/>
                <w:lang w:val="fr-FR" w:bidi="fr-FR"/>
              </w:rPr>
              <w:t>Décisions 5, 13,</w:t>
            </w:r>
            <w:bookmarkEnd w:id="33"/>
            <w:r w:rsidRPr="00F3021F">
              <w:rPr>
                <w:szCs w:val="24"/>
                <w:lang w:val="fr-FR" w:bidi="fr-FR"/>
              </w:rPr>
              <w:t xml:space="preserve"> </w:t>
            </w:r>
          </w:p>
          <w:p w14:paraId="75580AF1" w14:textId="77777777" w:rsidR="002613BA" w:rsidRPr="00F3021F" w:rsidRDefault="002613BA" w:rsidP="00C762CF">
            <w:pPr>
              <w:spacing w:before="0"/>
              <w:rPr>
                <w:szCs w:val="24"/>
                <w:lang w:val="fr-FR"/>
              </w:rPr>
            </w:pPr>
            <w:bookmarkStart w:id="34" w:name="lt_pId191"/>
            <w:r w:rsidRPr="00F3021F">
              <w:rPr>
                <w:szCs w:val="24"/>
                <w:lang w:val="fr-FR" w:bidi="fr-FR"/>
              </w:rPr>
              <w:t>Résolutions 25, 71, 102, 135, 138, 154, 165</w:t>
            </w:r>
            <w:bookmarkEnd w:id="34"/>
          </w:p>
        </w:tc>
      </w:tr>
      <w:tr w:rsidR="002613BA" w:rsidRPr="00F3021F" w14:paraId="0734599C" w14:textId="77777777" w:rsidTr="00127B97">
        <w:trPr>
          <w:trHeight w:val="397"/>
        </w:trPr>
        <w:tc>
          <w:tcPr>
            <w:tcW w:w="3114" w:type="dxa"/>
            <w:tcBorders>
              <w:top w:val="single" w:sz="4" w:space="0" w:color="auto"/>
              <w:bottom w:val="single" w:sz="4" w:space="0" w:color="auto"/>
              <w:right w:val="single" w:sz="4" w:space="0" w:color="auto"/>
            </w:tcBorders>
          </w:tcPr>
          <w:p w14:paraId="5CC8ACC2" w14:textId="77777777" w:rsidR="002613BA" w:rsidRPr="00F3021F" w:rsidRDefault="002613BA" w:rsidP="00C762CF">
            <w:pPr>
              <w:spacing w:before="0"/>
              <w:rPr>
                <w:i/>
                <w:iCs/>
                <w:lang w:val="fr-FR"/>
              </w:rPr>
            </w:pPr>
            <w:r w:rsidRPr="00F3021F">
              <w:rPr>
                <w:i/>
                <w:lang w:val="fr-FR" w:bidi="fr-FR"/>
              </w:rPr>
              <w:t>Conseil</w:t>
            </w:r>
          </w:p>
        </w:tc>
        <w:tc>
          <w:tcPr>
            <w:tcW w:w="6515" w:type="dxa"/>
            <w:tcBorders>
              <w:top w:val="single" w:sz="4" w:space="0" w:color="auto"/>
              <w:left w:val="single" w:sz="4" w:space="0" w:color="auto"/>
              <w:bottom w:val="single" w:sz="4" w:space="0" w:color="auto"/>
            </w:tcBorders>
          </w:tcPr>
          <w:p w14:paraId="19986A57" w14:textId="77777777" w:rsidR="002613BA" w:rsidRPr="00F3021F" w:rsidRDefault="002613BA" w:rsidP="00C762CF">
            <w:pPr>
              <w:spacing w:before="0"/>
              <w:rPr>
                <w:szCs w:val="24"/>
                <w:lang w:val="fr-FR"/>
              </w:rPr>
            </w:pPr>
            <w:bookmarkStart w:id="35" w:name="lt_pId193"/>
            <w:r w:rsidRPr="00F3021F">
              <w:rPr>
                <w:szCs w:val="24"/>
                <w:lang w:val="fr-FR" w:bidi="fr-FR"/>
              </w:rPr>
              <w:t>Résolution 3</w:t>
            </w:r>
            <w:bookmarkEnd w:id="35"/>
          </w:p>
        </w:tc>
      </w:tr>
      <w:tr w:rsidR="002613BA" w:rsidRPr="00F3021F" w14:paraId="5550C6DD" w14:textId="77777777" w:rsidTr="00127B97">
        <w:trPr>
          <w:trHeight w:val="397"/>
        </w:trPr>
        <w:tc>
          <w:tcPr>
            <w:tcW w:w="3114" w:type="dxa"/>
            <w:tcBorders>
              <w:top w:val="single" w:sz="4" w:space="0" w:color="auto"/>
              <w:bottom w:val="single" w:sz="4" w:space="0" w:color="auto"/>
              <w:right w:val="single" w:sz="4" w:space="0" w:color="auto"/>
            </w:tcBorders>
          </w:tcPr>
          <w:p w14:paraId="7E5E6C84" w14:textId="77777777" w:rsidR="002613BA" w:rsidRPr="00F3021F" w:rsidRDefault="002613BA" w:rsidP="00C762CF">
            <w:pPr>
              <w:spacing w:before="0"/>
              <w:rPr>
                <w:i/>
                <w:iCs/>
                <w:szCs w:val="24"/>
                <w:lang w:val="fr-FR"/>
              </w:rPr>
            </w:pPr>
            <w:r w:rsidRPr="00F3021F">
              <w:rPr>
                <w:i/>
                <w:lang w:val="fr-FR" w:bidi="fr-FR"/>
              </w:rPr>
              <w:t>Grandes orientations du SMSI</w:t>
            </w:r>
          </w:p>
        </w:tc>
        <w:tc>
          <w:tcPr>
            <w:tcW w:w="6515" w:type="dxa"/>
            <w:tcBorders>
              <w:top w:val="single" w:sz="4" w:space="0" w:color="auto"/>
              <w:left w:val="single" w:sz="4" w:space="0" w:color="auto"/>
              <w:bottom w:val="single" w:sz="4" w:space="0" w:color="auto"/>
            </w:tcBorders>
          </w:tcPr>
          <w:p w14:paraId="077602A9" w14:textId="47EDE117" w:rsidR="002613BA" w:rsidRPr="00F3021F" w:rsidRDefault="002613BA" w:rsidP="00C762CF">
            <w:pPr>
              <w:spacing w:before="0"/>
              <w:rPr>
                <w:szCs w:val="24"/>
                <w:lang w:val="fr-FR"/>
              </w:rPr>
            </w:pPr>
            <w:r w:rsidRPr="00F3021F">
              <w:rPr>
                <w:color w:val="000000"/>
                <w:lang w:val="fr-FR" w:bidi="fr-FR"/>
              </w:rPr>
              <w:t>Grande orientation C6 du Plan d</w:t>
            </w:r>
            <w:r w:rsidR="000F7A90">
              <w:rPr>
                <w:color w:val="000000"/>
                <w:lang w:val="fr-FR" w:bidi="fr-FR"/>
              </w:rPr>
              <w:t>'</w:t>
            </w:r>
            <w:r w:rsidRPr="00F3021F">
              <w:rPr>
                <w:color w:val="000000"/>
                <w:lang w:val="fr-FR" w:bidi="fr-FR"/>
              </w:rPr>
              <w:t>action de Genève et paragraphes 112 à 119 de l</w:t>
            </w:r>
            <w:r w:rsidR="000F7A90">
              <w:rPr>
                <w:color w:val="000000"/>
                <w:lang w:val="fr-FR" w:bidi="fr-FR"/>
              </w:rPr>
              <w:t>'</w:t>
            </w:r>
            <w:r w:rsidRPr="00F3021F">
              <w:rPr>
                <w:color w:val="000000"/>
                <w:lang w:val="fr-FR" w:bidi="fr-FR"/>
              </w:rPr>
              <w:t>Agenda de Tunis pour la société de l</w:t>
            </w:r>
            <w:r w:rsidR="000F7A90">
              <w:rPr>
                <w:color w:val="000000"/>
                <w:lang w:val="fr-FR" w:bidi="fr-FR"/>
              </w:rPr>
              <w:t>'</w:t>
            </w:r>
            <w:r w:rsidRPr="00F3021F">
              <w:rPr>
                <w:color w:val="000000"/>
                <w:lang w:val="fr-FR" w:bidi="fr-FR"/>
              </w:rPr>
              <w:t>information</w:t>
            </w:r>
          </w:p>
        </w:tc>
      </w:tr>
      <w:tr w:rsidR="002613BA" w:rsidRPr="00F3021F" w14:paraId="0B15482E" w14:textId="77777777" w:rsidTr="00127B97">
        <w:tc>
          <w:tcPr>
            <w:tcW w:w="3114" w:type="dxa"/>
            <w:tcBorders>
              <w:top w:val="single" w:sz="4" w:space="0" w:color="auto"/>
              <w:bottom w:val="single" w:sz="4" w:space="0" w:color="auto"/>
              <w:right w:val="single" w:sz="4" w:space="0" w:color="auto"/>
            </w:tcBorders>
          </w:tcPr>
          <w:p w14:paraId="16E9F257" w14:textId="77777777" w:rsidR="002613BA" w:rsidRPr="00F3021F" w:rsidRDefault="002613BA" w:rsidP="00C762CF">
            <w:pPr>
              <w:spacing w:before="0"/>
              <w:rPr>
                <w:i/>
                <w:iCs/>
                <w:szCs w:val="24"/>
                <w:lang w:val="fr-FR"/>
              </w:rPr>
            </w:pPr>
            <w:r w:rsidRPr="00F3021F">
              <w:rPr>
                <w:i/>
                <w:lang w:val="fr-FR" w:bidi="fr-FR"/>
              </w:rPr>
              <w:t>Contribution aux cibles des Objectifs de développement durable</w:t>
            </w:r>
          </w:p>
        </w:tc>
        <w:tc>
          <w:tcPr>
            <w:tcW w:w="6515" w:type="dxa"/>
            <w:tcBorders>
              <w:top w:val="single" w:sz="4" w:space="0" w:color="auto"/>
              <w:left w:val="single" w:sz="4" w:space="0" w:color="auto"/>
              <w:bottom w:val="single" w:sz="4" w:space="0" w:color="auto"/>
            </w:tcBorders>
          </w:tcPr>
          <w:p w14:paraId="2802B638" w14:textId="77777777" w:rsidR="002613BA" w:rsidRPr="00F3021F" w:rsidRDefault="002613BA" w:rsidP="00C762CF">
            <w:pPr>
              <w:spacing w:before="0"/>
              <w:rPr>
                <w:szCs w:val="24"/>
                <w:lang w:val="fr-FR"/>
              </w:rPr>
            </w:pPr>
            <w:bookmarkStart w:id="36" w:name="lt_pId197"/>
            <w:r w:rsidRPr="00F3021F">
              <w:rPr>
                <w:szCs w:val="24"/>
                <w:lang w:val="fr-FR" w:bidi="fr-FR"/>
              </w:rPr>
              <w:t>Objectifs de développement durable:</w:t>
            </w:r>
            <w:bookmarkEnd w:id="36"/>
            <w:r w:rsidRPr="00F3021F">
              <w:rPr>
                <w:szCs w:val="24"/>
                <w:lang w:val="fr-FR" w:bidi="fr-FR"/>
              </w:rPr>
              <w:t xml:space="preserve"> </w:t>
            </w:r>
            <w:bookmarkStart w:id="37" w:name="lt_pId198"/>
            <w:r w:rsidRPr="00F3021F">
              <w:rPr>
                <w:szCs w:val="24"/>
                <w:lang w:val="fr-FR" w:bidi="fr-FR"/>
              </w:rPr>
              <w:t>1 (cibles 1.1, 1.2, 1.3, 1.4, 1.5, 1.a, 1.b), 2 (cibles 2.3, 2.4, 2.c), 3 (cibles 3.8, 3.d), 4 (cibles 4.3, 4.4, 4.5, 4.7, 4.c), 5 (cibles 5.1, 5.b), 7 (cibles 7.a, 7.b), 8 (cibles 8.2, 8.3, 8.9, 8.10), 9 (cibles 9.1, 9.3, 9.5, 9.a, 9.c), 10 (cibles 10.3, 10.c), 11 (cible 11.1), 12 (cibles 12.8, 12.b), 13 (cible 13.3), 16 (cibles 16.6, 16.7, 16.8, 16.10, 16.b), 17 (cibles 17.6, 17.8, 17.9, 17.14, 17.16, 17.17)</w:t>
            </w:r>
            <w:bookmarkEnd w:id="37"/>
          </w:p>
        </w:tc>
      </w:tr>
    </w:tbl>
    <w:p w14:paraId="4A7ECB47" w14:textId="40A27880" w:rsidR="00B16A86" w:rsidRPr="00F3021F" w:rsidRDefault="00B16A86" w:rsidP="00C762CF">
      <w:pPr>
        <w:pStyle w:val="Heading2"/>
        <w:spacing w:after="120"/>
        <w:rPr>
          <w:lang w:val="fr-FR"/>
        </w:rPr>
      </w:pPr>
      <w:r w:rsidRPr="00F3021F">
        <w:rPr>
          <w:lang w:val="fr-FR" w:bidi="fr-FR"/>
        </w:rPr>
        <w:t>2.2</w:t>
      </w:r>
      <w:r w:rsidRPr="00F3021F">
        <w:rPr>
          <w:lang w:val="fr-FR" w:bidi="fr-FR"/>
        </w:rPr>
        <w:tab/>
        <w:t>Réseaux de télécommunication/TIC, y compris la conformité et l</w:t>
      </w:r>
      <w:r w:rsidR="000F7A90">
        <w:rPr>
          <w:lang w:val="fr-FR" w:bidi="fr-FR"/>
        </w:rPr>
        <w:t>'</w:t>
      </w:r>
      <w:r w:rsidRPr="00F3021F">
        <w:rPr>
          <w:lang w:val="fr-FR" w:bidi="fr-FR"/>
        </w:rPr>
        <w:t>interopérabilité et la réduction de l</w:t>
      </w:r>
      <w:r w:rsidR="000F7A90">
        <w:rPr>
          <w:lang w:val="fr-FR" w:bidi="fr-FR"/>
        </w:rPr>
        <w:t>'</w:t>
      </w:r>
      <w:r w:rsidRPr="00F3021F">
        <w:rPr>
          <w:lang w:val="fr-FR" w:bidi="fr-FR"/>
        </w:rPr>
        <w:t>écart en matière de normalisation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114"/>
        <w:gridCol w:w="6515"/>
      </w:tblGrid>
      <w:tr w:rsidR="00B16A86" w:rsidRPr="00F3021F" w14:paraId="4AA1E189" w14:textId="77777777" w:rsidTr="00127B97">
        <w:tc>
          <w:tcPr>
            <w:tcW w:w="9629" w:type="dxa"/>
            <w:gridSpan w:val="2"/>
            <w:tcBorders>
              <w:bottom w:val="single" w:sz="4" w:space="0" w:color="auto"/>
            </w:tcBorders>
          </w:tcPr>
          <w:p w14:paraId="7D492FF7" w14:textId="7E55F016" w:rsidR="00B16A86" w:rsidRPr="00F3021F" w:rsidRDefault="00B16A86" w:rsidP="00C762CF">
            <w:pPr>
              <w:rPr>
                <w:lang w:val="fr-FR"/>
              </w:rPr>
            </w:pPr>
            <w:r w:rsidRPr="00F3021F">
              <w:rPr>
                <w:lang w:val="fr-FR" w:bidi="fr-FR"/>
              </w:rPr>
              <w:t>L</w:t>
            </w:r>
            <w:r w:rsidR="000F7A90">
              <w:rPr>
                <w:lang w:val="fr-FR" w:bidi="fr-FR"/>
              </w:rPr>
              <w:t>'</w:t>
            </w:r>
            <w:r w:rsidRPr="00F3021F">
              <w:rPr>
                <w:lang w:val="fr-FR" w:bidi="fr-FR"/>
              </w:rPr>
              <w:t>UIT-D met en oeuvre et actualise la cartographie interactive des réseaux de transmission de Terre de l</w:t>
            </w:r>
            <w:r w:rsidR="000F7A90">
              <w:rPr>
                <w:lang w:val="fr-FR" w:bidi="fr-FR"/>
              </w:rPr>
              <w:t>'</w:t>
            </w:r>
            <w:r w:rsidRPr="00F3021F">
              <w:rPr>
                <w:lang w:val="fr-FR" w:bidi="fr-FR"/>
              </w:rPr>
              <w:t>UIT (</w:t>
            </w:r>
            <w:hyperlink r:id="rId16" w:history="1">
              <w:r w:rsidRPr="00F3021F">
                <w:rPr>
                  <w:rStyle w:val="Hyperlink"/>
                  <w:szCs w:val="24"/>
                  <w:lang w:val="fr-FR" w:bidi="fr-FR"/>
                </w:rPr>
                <w:t>http://itu.int/go/Maps</w:t>
              </w:r>
            </w:hyperlink>
            <w:r w:rsidRPr="00F3021F">
              <w:rPr>
                <w:szCs w:val="24"/>
                <w:lang w:val="fr-FR" w:bidi="fr-FR"/>
              </w:rPr>
              <w:t>). Les cartes de l</w:t>
            </w:r>
            <w:r w:rsidR="000F7A90">
              <w:rPr>
                <w:szCs w:val="24"/>
                <w:lang w:val="fr-FR" w:bidi="fr-FR"/>
              </w:rPr>
              <w:t>'</w:t>
            </w:r>
            <w:r w:rsidRPr="00F3021F">
              <w:rPr>
                <w:szCs w:val="24"/>
                <w:lang w:val="fr-FR" w:bidi="fr-FR"/>
              </w:rPr>
              <w:t>UIT présentent des infrastructures TIC essentielles concernant les réseaux dorsaux large bande à fibres optiques, les liaisons hyperfréquences, les stations terriennes par satellites et les câbles sous-marins. L</w:t>
            </w:r>
            <w:r w:rsidR="000F7A90">
              <w:rPr>
                <w:szCs w:val="24"/>
                <w:lang w:val="fr-FR" w:bidi="fr-FR"/>
              </w:rPr>
              <w:t>'</w:t>
            </w:r>
            <w:r w:rsidRPr="00F3021F">
              <w:rPr>
                <w:szCs w:val="24"/>
                <w:lang w:val="fr-FR" w:bidi="fr-FR"/>
              </w:rPr>
              <w:t>interface des cartes a été renouvelée pour permettre la visualisation de nouvelles données et l</w:t>
            </w:r>
            <w:r w:rsidR="000F7A90">
              <w:rPr>
                <w:szCs w:val="24"/>
                <w:lang w:val="fr-FR" w:bidi="fr-FR"/>
              </w:rPr>
              <w:t>'</w:t>
            </w:r>
            <w:r w:rsidRPr="00F3021F">
              <w:rPr>
                <w:szCs w:val="24"/>
                <w:lang w:val="fr-FR" w:bidi="fr-FR"/>
              </w:rPr>
              <w:t>intégration de l</w:t>
            </w:r>
            <w:r w:rsidR="000F7A90">
              <w:rPr>
                <w:szCs w:val="24"/>
                <w:lang w:val="fr-FR" w:bidi="fr-FR"/>
              </w:rPr>
              <w:t>'</w:t>
            </w:r>
            <w:r w:rsidRPr="00F3021F">
              <w:rPr>
                <w:szCs w:val="24"/>
                <w:lang w:val="fr-FR" w:bidi="fr-FR"/>
              </w:rPr>
              <w:t>analyse de données. Les cartes offrent les possibilités suivantes: propositions d</w:t>
            </w:r>
            <w:r w:rsidR="000F7A90">
              <w:rPr>
                <w:szCs w:val="24"/>
                <w:lang w:val="fr-FR" w:bidi="fr-FR"/>
              </w:rPr>
              <w:t>'</w:t>
            </w:r>
            <w:r w:rsidRPr="00F3021F">
              <w:rPr>
                <w:szCs w:val="24"/>
                <w:lang w:val="fr-FR" w:bidi="fr-FR"/>
              </w:rPr>
              <w:t>améliorations graphiques, maquettes fil de fer concernant les applications pour téléphones intelligents et tablettes, ainsi que tableau de bord et statistiques. Des vidéos et des démonstrations destinées aux manifestations ont été élaborées et sont prêtes à être diffusées. A l</w:t>
            </w:r>
            <w:r w:rsidR="000F7A90">
              <w:rPr>
                <w:szCs w:val="24"/>
                <w:lang w:val="fr-FR" w:bidi="fr-FR"/>
              </w:rPr>
              <w:t>'</w:t>
            </w:r>
            <w:r w:rsidRPr="00F3021F">
              <w:rPr>
                <w:szCs w:val="24"/>
                <w:lang w:val="fr-FR" w:bidi="fr-FR"/>
              </w:rPr>
              <w:t>heure où nous rédigeons le présent rapport, la carte englobe des informations relatives à 443 réseaux d</w:t>
            </w:r>
            <w:r w:rsidR="000F7A90">
              <w:rPr>
                <w:szCs w:val="24"/>
                <w:lang w:val="fr-FR" w:bidi="fr-FR"/>
              </w:rPr>
              <w:t>'</w:t>
            </w:r>
            <w:r w:rsidRPr="00F3021F">
              <w:rPr>
                <w:szCs w:val="24"/>
                <w:lang w:val="fr-FR" w:bidi="fr-FR"/>
              </w:rPr>
              <w:t>opérateurs et 21 806 n</w:t>
            </w:r>
            <w:r w:rsidR="00C762CF">
              <w:rPr>
                <w:szCs w:val="24"/>
                <w:lang w:val="fr-FR" w:bidi="fr-FR"/>
              </w:rPr>
              <w:t>oe</w:t>
            </w:r>
            <w:r w:rsidRPr="00F3021F">
              <w:rPr>
                <w:szCs w:val="24"/>
                <w:lang w:val="fr-FR" w:bidi="fr-FR"/>
              </w:rPr>
              <w:t>uds du monde entier. Les travaux de recherche sur les liaisons de transmission ont porté sur 13 726 736 km de câbles, dont 3 546 379 km ont été importés dans la carte. Une nouvelle page web, des couches supplémentaires (points IXP en collaboration avec Telegeography) ainsi que des tableaux de bord ont été ajoutés; les renseignements concernant les câbles sous-marins et les stations terriennes par satellite ont été mis à jour.</w:t>
            </w:r>
          </w:p>
          <w:p w14:paraId="7BC21A60" w14:textId="0BD51FD0" w:rsidR="00B16A86" w:rsidRPr="00F3021F" w:rsidRDefault="00B16A86" w:rsidP="00C762CF">
            <w:pPr>
              <w:keepLines/>
              <w:spacing w:after="120"/>
              <w:rPr>
                <w:szCs w:val="24"/>
                <w:lang w:val="fr-FR"/>
              </w:rPr>
            </w:pPr>
            <w:r w:rsidRPr="00F3021F">
              <w:rPr>
                <w:szCs w:val="24"/>
                <w:lang w:val="fr-FR" w:bidi="fr-FR"/>
              </w:rPr>
              <w:lastRenderedPageBreak/>
              <w:t>Le développement du système de gestion du spectre pour les pays en développement (SMS4DC) se poursuit et porte sur les fonctions administratives et relatives aux radiocommunications. Plusieurs pays et régions ont bénéficié d</w:t>
            </w:r>
            <w:r w:rsidR="000F7A90">
              <w:rPr>
                <w:szCs w:val="24"/>
                <w:lang w:val="fr-FR" w:bidi="fr-FR"/>
              </w:rPr>
              <w:t>'</w:t>
            </w:r>
            <w:r w:rsidRPr="00F3021F">
              <w:rPr>
                <w:szCs w:val="24"/>
                <w:lang w:val="fr-FR" w:bidi="fr-FR"/>
              </w:rPr>
              <w:t xml:space="preserve">une assistance technique et de programmes de formation dans ce domaine. </w:t>
            </w:r>
          </w:p>
          <w:p w14:paraId="607ADA9F" w14:textId="6F62F0F2" w:rsidR="00B16A86" w:rsidRPr="00F3021F" w:rsidRDefault="00B16A86" w:rsidP="00C762CF">
            <w:pPr>
              <w:spacing w:after="120"/>
              <w:rPr>
                <w:szCs w:val="24"/>
                <w:lang w:val="fr-FR"/>
              </w:rPr>
            </w:pPr>
            <w:r w:rsidRPr="00F3021F">
              <w:rPr>
                <w:szCs w:val="24"/>
                <w:lang w:val="fr-FR" w:bidi="fr-FR"/>
              </w:rPr>
              <w:t>L</w:t>
            </w:r>
            <w:r w:rsidR="000F7A90">
              <w:rPr>
                <w:szCs w:val="24"/>
                <w:lang w:val="fr-FR" w:bidi="fr-FR"/>
              </w:rPr>
              <w:t>'</w:t>
            </w:r>
            <w:r w:rsidRPr="00F3021F">
              <w:rPr>
                <w:szCs w:val="24"/>
                <w:lang w:val="fr-FR" w:bidi="fr-FR"/>
              </w:rPr>
              <w:t>UIT-D a continué de fournir une assistance dans les domaines de la connectivité large bande et du développement d</w:t>
            </w:r>
            <w:r w:rsidR="000F7A90">
              <w:rPr>
                <w:szCs w:val="24"/>
                <w:lang w:val="fr-FR" w:bidi="fr-FR"/>
              </w:rPr>
              <w:t>'</w:t>
            </w:r>
            <w:r w:rsidRPr="00F3021F">
              <w:rPr>
                <w:szCs w:val="24"/>
                <w:lang w:val="fr-FR" w:bidi="fr-FR"/>
              </w:rPr>
              <w:t>applications TIC afin de fournir un accès numérique gratuit ou à faible coût aux écoles, aux hôpitaux et aux populations mal desservies des zones rurales et isolées de certains pays. Au Burundi par exemple, le réseau hertzien large bande est pleinement opérationnel, et 437 institutions et utilisateurs y sont reliés. Le réseau hertzien large bande au Burkina Faso est installé dans sa totalité et complètement opérationnel. A Djibouti, les cinq provinces sont raccordées et le réseau large bande est pleinement opérationnel également. Des réseaux hertziens large bande ont en outre été installés au Rwanda, à Antigua-et-Barbuda et à Saint-Kitts-et-Nevis, notamment.</w:t>
            </w:r>
          </w:p>
          <w:p w14:paraId="6421E871" w14:textId="59893044" w:rsidR="00B16A86" w:rsidRPr="00F3021F" w:rsidRDefault="00B16A86" w:rsidP="00C762CF">
            <w:pPr>
              <w:rPr>
                <w:lang w:val="fr-FR"/>
              </w:rPr>
            </w:pPr>
            <w:r w:rsidRPr="00F3021F">
              <w:rPr>
                <w:lang w:val="fr-FR" w:bidi="fr-FR"/>
              </w:rPr>
              <w:t>Conformément à la Résolution 47 de la CMDT (Rév.Dubaï, 2014), des forums et des cours de formation régionaux sur la conformité et l</w:t>
            </w:r>
            <w:r w:rsidR="000F7A90">
              <w:rPr>
                <w:lang w:val="fr-FR" w:bidi="fr-FR"/>
              </w:rPr>
              <w:t>'</w:t>
            </w:r>
            <w:r w:rsidRPr="00F3021F">
              <w:rPr>
                <w:lang w:val="fr-FR" w:bidi="fr-FR"/>
              </w:rPr>
              <w:t>interopérabilité ont ét</w:t>
            </w:r>
            <w:bookmarkStart w:id="38" w:name="lt_pId216"/>
            <w:r w:rsidRPr="00F3021F">
              <w:rPr>
                <w:lang w:val="fr-FR" w:bidi="fr-FR"/>
              </w:rPr>
              <w:t>é organisés dans plusieurs pays et régions.</w:t>
            </w:r>
          </w:p>
          <w:p w14:paraId="03DF195C" w14:textId="2323E5C2" w:rsidR="00B16A86" w:rsidRPr="00F3021F" w:rsidRDefault="00481267" w:rsidP="00C762CF">
            <w:pPr>
              <w:rPr>
                <w:color w:val="000000"/>
                <w:lang w:val="fr-FR"/>
              </w:rPr>
            </w:pPr>
            <w:r>
              <w:rPr>
                <w:lang w:val="fr-FR" w:bidi="fr-FR"/>
              </w:rPr>
              <w:t>Les capacités des M</w:t>
            </w:r>
            <w:r w:rsidR="00B16A86" w:rsidRPr="00F3021F">
              <w:rPr>
                <w:lang w:val="fr-FR" w:bidi="fr-FR"/>
              </w:rPr>
              <w:t>embres de l</w:t>
            </w:r>
            <w:r w:rsidR="000F7A90">
              <w:rPr>
                <w:lang w:val="fr-FR" w:bidi="fr-FR"/>
              </w:rPr>
              <w:t>'</w:t>
            </w:r>
            <w:r w:rsidR="00B16A86" w:rsidRPr="00F3021F">
              <w:rPr>
                <w:lang w:val="fr-FR" w:bidi="fr-FR"/>
              </w:rPr>
              <w:t>UIT ont été renforcées et des programmes de formation ont été organisés sur un ensemble de questions relatives aux réseaux de télécommunication/TIC, et notamment la conformité et l</w:t>
            </w:r>
            <w:r w:rsidR="000F7A90">
              <w:rPr>
                <w:lang w:val="fr-FR" w:bidi="fr-FR"/>
              </w:rPr>
              <w:t>'</w:t>
            </w:r>
            <w:r w:rsidR="00B16A86" w:rsidRPr="00F3021F">
              <w:rPr>
                <w:lang w:val="fr-FR" w:bidi="fr-FR"/>
              </w:rPr>
              <w:t>interopérabilité, la télévision numérique de Terre, le protocole IPv6, le système de gestion du spectre pour les pays en développement (SMS4DC), la gestion et l</w:t>
            </w:r>
            <w:r w:rsidR="000F7A90">
              <w:rPr>
                <w:lang w:val="fr-FR" w:bidi="fr-FR"/>
              </w:rPr>
              <w:t>'</w:t>
            </w:r>
            <w:r w:rsidR="00B16A86" w:rsidRPr="00F3021F">
              <w:rPr>
                <w:lang w:val="fr-FR" w:bidi="fr-FR"/>
              </w:rPr>
              <w:t>attribution du spectre, la planification et la coordination des fréquences, etc.</w:t>
            </w:r>
            <w:bookmarkEnd w:id="38"/>
          </w:p>
          <w:p w14:paraId="20DC9DE3" w14:textId="6A634369" w:rsidR="00B16A86" w:rsidRPr="00F3021F" w:rsidRDefault="00B16A86" w:rsidP="00C762CF">
            <w:pPr>
              <w:spacing w:after="120"/>
              <w:rPr>
                <w:lang w:val="fr-FR"/>
              </w:rPr>
            </w:pPr>
            <w:r w:rsidRPr="00F3021F">
              <w:rPr>
                <w:color w:val="000000"/>
                <w:lang w:val="fr-FR" w:bidi="fr-FR"/>
              </w:rPr>
              <w:t xml:space="preserve">Une assistance directe a été fournie en ce qui concerne notamment la planification des fréquences, les structures et activités liées à la gestion du spectre, le passage de la radiodiffusion télévisuelle analogique à la radiodiffusion télévisuelle numérique de Terre, les futurs échanges Internet et le large bande fondé sur le protocole IPv6, la mise en </w:t>
            </w:r>
            <w:r w:rsidR="00C762CF">
              <w:rPr>
                <w:color w:val="000000"/>
                <w:lang w:val="fr-FR" w:bidi="fr-FR"/>
              </w:rPr>
              <w:t>oe</w:t>
            </w:r>
            <w:r w:rsidRPr="00F3021F">
              <w:rPr>
                <w:color w:val="000000"/>
                <w:lang w:val="fr-FR" w:bidi="fr-FR"/>
              </w:rPr>
              <w:t>uvre de réseaux hertziens large bande, la radiodiffusion sonore, ou encore les points d</w:t>
            </w:r>
            <w:r w:rsidR="000F7A90">
              <w:rPr>
                <w:color w:val="000000"/>
                <w:lang w:val="fr-FR" w:bidi="fr-FR"/>
              </w:rPr>
              <w:t>'</w:t>
            </w:r>
            <w:r w:rsidRPr="00F3021F">
              <w:rPr>
                <w:color w:val="000000"/>
                <w:lang w:val="fr-FR" w:bidi="fr-FR"/>
              </w:rPr>
              <w:t>échange Internet (IXP) nationaux et régionaux.</w:t>
            </w:r>
          </w:p>
        </w:tc>
      </w:tr>
      <w:tr w:rsidR="00B16A86" w:rsidRPr="00F3021F" w14:paraId="14F1BFF8" w14:textId="77777777" w:rsidTr="00127B97">
        <w:tc>
          <w:tcPr>
            <w:tcW w:w="3114" w:type="dxa"/>
            <w:tcBorders>
              <w:right w:val="single" w:sz="4" w:space="0" w:color="auto"/>
            </w:tcBorders>
          </w:tcPr>
          <w:p w14:paraId="3F5616F7" w14:textId="77777777" w:rsidR="00B16A86" w:rsidRPr="00F3021F" w:rsidRDefault="00B16A86" w:rsidP="00C762CF">
            <w:pPr>
              <w:spacing w:before="0"/>
              <w:rPr>
                <w:i/>
                <w:iCs/>
                <w:szCs w:val="24"/>
                <w:lang w:val="fr-FR"/>
              </w:rPr>
            </w:pPr>
            <w:r w:rsidRPr="00F3021F">
              <w:rPr>
                <w:i/>
                <w:szCs w:val="24"/>
                <w:lang w:val="fr-FR" w:bidi="fr-FR"/>
              </w:rPr>
              <w:lastRenderedPageBreak/>
              <w:t>CMDT</w:t>
            </w:r>
          </w:p>
        </w:tc>
        <w:tc>
          <w:tcPr>
            <w:tcW w:w="6515" w:type="dxa"/>
            <w:tcBorders>
              <w:left w:val="single" w:sz="4" w:space="0" w:color="auto"/>
            </w:tcBorders>
          </w:tcPr>
          <w:p w14:paraId="64BBE588" w14:textId="77777777" w:rsidR="00B16A86" w:rsidRPr="00F3021F" w:rsidRDefault="00B16A86" w:rsidP="00C762CF">
            <w:pPr>
              <w:spacing w:before="0"/>
              <w:rPr>
                <w:szCs w:val="24"/>
                <w:lang w:val="fr-FR"/>
              </w:rPr>
            </w:pPr>
            <w:bookmarkStart w:id="39" w:name="lt_pId221"/>
            <w:r w:rsidRPr="00F3021F">
              <w:rPr>
                <w:szCs w:val="24"/>
                <w:lang w:val="fr-FR" w:bidi="fr-FR"/>
              </w:rPr>
              <w:t>Résolutions 1, 9, 10, 11, 13, 17, 18, 20, 21, 22, 23, 25, 30, 32, 35, 37, 39, 43, 47, 48, 50, 51, 52, 57, 62, 63, 77</w:t>
            </w:r>
            <w:bookmarkEnd w:id="39"/>
          </w:p>
          <w:p w14:paraId="17619083" w14:textId="77777777" w:rsidR="00B16A86" w:rsidRPr="00F3021F" w:rsidRDefault="00B16A86" w:rsidP="00C762CF">
            <w:pPr>
              <w:spacing w:before="0"/>
              <w:rPr>
                <w:szCs w:val="24"/>
                <w:lang w:val="fr-FR"/>
              </w:rPr>
            </w:pPr>
            <w:bookmarkStart w:id="40" w:name="lt_pId222"/>
            <w:r w:rsidRPr="00F3021F">
              <w:rPr>
                <w:szCs w:val="24"/>
                <w:lang w:val="fr-FR" w:bidi="fr-FR"/>
              </w:rPr>
              <w:t>Recommandations 17, 19, 22</w:t>
            </w:r>
            <w:bookmarkEnd w:id="40"/>
          </w:p>
        </w:tc>
      </w:tr>
      <w:tr w:rsidR="00B16A86" w:rsidRPr="00F3021F" w14:paraId="0133EE0D" w14:textId="77777777" w:rsidTr="00127B97">
        <w:trPr>
          <w:trHeight w:val="397"/>
        </w:trPr>
        <w:tc>
          <w:tcPr>
            <w:tcW w:w="3114" w:type="dxa"/>
            <w:tcBorders>
              <w:right w:val="single" w:sz="4" w:space="0" w:color="auto"/>
            </w:tcBorders>
          </w:tcPr>
          <w:p w14:paraId="195E406C" w14:textId="77777777" w:rsidR="00B16A86" w:rsidRPr="00F3021F" w:rsidRDefault="00B16A86" w:rsidP="00C762CF">
            <w:pPr>
              <w:spacing w:before="0"/>
              <w:rPr>
                <w:i/>
                <w:iCs/>
                <w:lang w:val="fr-FR"/>
              </w:rPr>
            </w:pPr>
            <w:r w:rsidRPr="00F3021F">
              <w:rPr>
                <w:i/>
                <w:lang w:val="fr-FR" w:bidi="fr-FR"/>
              </w:rPr>
              <w:t>Conférence de plénipotentiaires</w:t>
            </w:r>
          </w:p>
        </w:tc>
        <w:tc>
          <w:tcPr>
            <w:tcW w:w="6515" w:type="dxa"/>
            <w:tcBorders>
              <w:left w:val="single" w:sz="4" w:space="0" w:color="auto"/>
            </w:tcBorders>
          </w:tcPr>
          <w:p w14:paraId="4FDA32F8" w14:textId="77777777" w:rsidR="00B16A86" w:rsidRPr="00F3021F" w:rsidRDefault="00B16A86" w:rsidP="00C762CF">
            <w:pPr>
              <w:spacing w:before="0"/>
              <w:rPr>
                <w:szCs w:val="24"/>
                <w:lang w:val="fr-FR"/>
              </w:rPr>
            </w:pPr>
            <w:bookmarkStart w:id="41" w:name="lt_pId224"/>
            <w:r w:rsidRPr="00F3021F">
              <w:rPr>
                <w:szCs w:val="24"/>
                <w:lang w:val="fr-FR" w:bidi="fr-FR"/>
              </w:rPr>
              <w:t>Décisions 5, 13</w:t>
            </w:r>
            <w:bookmarkEnd w:id="41"/>
          </w:p>
          <w:p w14:paraId="00E235BB" w14:textId="77777777" w:rsidR="00B16A86" w:rsidRPr="00F3021F" w:rsidRDefault="00B16A86" w:rsidP="00C762CF">
            <w:pPr>
              <w:spacing w:before="0"/>
              <w:rPr>
                <w:szCs w:val="24"/>
                <w:lang w:val="fr-FR"/>
              </w:rPr>
            </w:pPr>
            <w:bookmarkStart w:id="42" w:name="lt_pId225"/>
            <w:r w:rsidRPr="00F3021F">
              <w:rPr>
                <w:szCs w:val="24"/>
                <w:lang w:val="fr-FR" w:bidi="fr-FR"/>
              </w:rPr>
              <w:t>Résolutions 25, 71, 101, 123, 176, 177, 178, 203</w:t>
            </w:r>
            <w:bookmarkEnd w:id="42"/>
          </w:p>
        </w:tc>
      </w:tr>
      <w:tr w:rsidR="00B16A86" w:rsidRPr="00F3021F" w14:paraId="3540A364" w14:textId="77777777" w:rsidTr="00127B97">
        <w:trPr>
          <w:trHeight w:val="397"/>
        </w:trPr>
        <w:tc>
          <w:tcPr>
            <w:tcW w:w="3114" w:type="dxa"/>
            <w:tcBorders>
              <w:right w:val="single" w:sz="4" w:space="0" w:color="auto"/>
            </w:tcBorders>
          </w:tcPr>
          <w:p w14:paraId="40401528" w14:textId="77777777" w:rsidR="00B16A86" w:rsidRPr="00F3021F" w:rsidRDefault="00B16A86" w:rsidP="00C762CF">
            <w:pPr>
              <w:spacing w:before="0"/>
              <w:rPr>
                <w:i/>
                <w:iCs/>
                <w:lang w:val="fr-FR"/>
              </w:rPr>
            </w:pPr>
            <w:r w:rsidRPr="00F3021F">
              <w:rPr>
                <w:i/>
                <w:lang w:val="fr-FR" w:bidi="fr-FR"/>
              </w:rPr>
              <w:t>CMR</w:t>
            </w:r>
          </w:p>
        </w:tc>
        <w:tc>
          <w:tcPr>
            <w:tcW w:w="6515" w:type="dxa"/>
            <w:tcBorders>
              <w:left w:val="single" w:sz="4" w:space="0" w:color="auto"/>
            </w:tcBorders>
          </w:tcPr>
          <w:p w14:paraId="757879DA" w14:textId="77777777" w:rsidR="00B16A86" w:rsidRPr="00F3021F" w:rsidRDefault="00B16A86" w:rsidP="00C762CF">
            <w:pPr>
              <w:spacing w:before="0"/>
              <w:rPr>
                <w:szCs w:val="24"/>
                <w:lang w:val="fr-FR"/>
              </w:rPr>
            </w:pPr>
            <w:bookmarkStart w:id="43" w:name="lt_pId227"/>
            <w:r w:rsidRPr="00F3021F">
              <w:rPr>
                <w:szCs w:val="24"/>
                <w:lang w:val="fr-FR" w:bidi="fr-FR"/>
              </w:rPr>
              <w:t>Résolutions 12, 55, 212, 223, 224, 238, 908</w:t>
            </w:r>
            <w:bookmarkEnd w:id="43"/>
          </w:p>
          <w:p w14:paraId="29E79B61" w14:textId="77777777" w:rsidR="00B16A86" w:rsidRPr="00F3021F" w:rsidRDefault="00B16A86" w:rsidP="00C762CF">
            <w:pPr>
              <w:spacing w:before="0"/>
              <w:rPr>
                <w:szCs w:val="24"/>
                <w:lang w:val="fr-FR"/>
              </w:rPr>
            </w:pPr>
            <w:bookmarkStart w:id="44" w:name="lt_pId228"/>
            <w:r w:rsidRPr="00F3021F">
              <w:rPr>
                <w:szCs w:val="24"/>
                <w:lang w:val="fr-FR" w:bidi="fr-FR"/>
              </w:rPr>
              <w:t>Recommandation 207</w:t>
            </w:r>
            <w:bookmarkEnd w:id="44"/>
          </w:p>
        </w:tc>
      </w:tr>
      <w:tr w:rsidR="00B16A86" w:rsidRPr="00F3021F" w14:paraId="1B9EEE40" w14:textId="77777777" w:rsidTr="00127B97">
        <w:trPr>
          <w:trHeight w:val="397"/>
        </w:trPr>
        <w:tc>
          <w:tcPr>
            <w:tcW w:w="3114" w:type="dxa"/>
            <w:tcBorders>
              <w:right w:val="single" w:sz="4" w:space="0" w:color="auto"/>
            </w:tcBorders>
          </w:tcPr>
          <w:p w14:paraId="0BC9144A" w14:textId="77777777" w:rsidR="00B16A86" w:rsidRPr="00F3021F" w:rsidRDefault="00B16A86" w:rsidP="00C762CF">
            <w:pPr>
              <w:spacing w:before="0"/>
              <w:rPr>
                <w:i/>
                <w:iCs/>
                <w:szCs w:val="24"/>
                <w:lang w:val="fr-FR"/>
              </w:rPr>
            </w:pPr>
            <w:r w:rsidRPr="00F3021F">
              <w:rPr>
                <w:i/>
                <w:szCs w:val="24"/>
                <w:lang w:val="fr-FR" w:bidi="fr-FR"/>
              </w:rPr>
              <w:t>AMNT</w:t>
            </w:r>
          </w:p>
        </w:tc>
        <w:tc>
          <w:tcPr>
            <w:tcW w:w="6515" w:type="dxa"/>
            <w:tcBorders>
              <w:left w:val="single" w:sz="4" w:space="0" w:color="auto"/>
            </w:tcBorders>
          </w:tcPr>
          <w:p w14:paraId="3C1C1002" w14:textId="77777777" w:rsidR="00B16A86" w:rsidRPr="00F3021F" w:rsidRDefault="00B16A86" w:rsidP="00C762CF">
            <w:pPr>
              <w:spacing w:before="0"/>
              <w:rPr>
                <w:szCs w:val="24"/>
                <w:lang w:val="fr-FR"/>
              </w:rPr>
            </w:pPr>
            <w:bookmarkStart w:id="45" w:name="lt_pId230"/>
            <w:r w:rsidRPr="00F3021F">
              <w:rPr>
                <w:szCs w:val="24"/>
                <w:lang w:val="fr-FR" w:bidi="fr-FR"/>
              </w:rPr>
              <w:t>Résolutions 17, 20, 29, 44, 64, 72</w:t>
            </w:r>
            <w:bookmarkEnd w:id="45"/>
          </w:p>
        </w:tc>
      </w:tr>
      <w:tr w:rsidR="00B16A86" w:rsidRPr="00F3021F" w14:paraId="28558DED" w14:textId="77777777" w:rsidTr="00127B97">
        <w:trPr>
          <w:trHeight w:val="397"/>
        </w:trPr>
        <w:tc>
          <w:tcPr>
            <w:tcW w:w="3114" w:type="dxa"/>
            <w:tcBorders>
              <w:right w:val="single" w:sz="4" w:space="0" w:color="auto"/>
            </w:tcBorders>
          </w:tcPr>
          <w:p w14:paraId="3B26D8B4" w14:textId="77777777" w:rsidR="00B16A86" w:rsidRPr="00F3021F" w:rsidRDefault="00B16A86" w:rsidP="00C762CF">
            <w:pPr>
              <w:spacing w:before="0"/>
              <w:rPr>
                <w:i/>
                <w:iCs/>
                <w:szCs w:val="24"/>
                <w:lang w:val="fr-FR"/>
              </w:rPr>
            </w:pPr>
            <w:r w:rsidRPr="00F3021F">
              <w:rPr>
                <w:i/>
                <w:szCs w:val="24"/>
                <w:lang w:val="fr-FR" w:bidi="fr-FR"/>
              </w:rPr>
              <w:t>CMTI</w:t>
            </w:r>
          </w:p>
        </w:tc>
        <w:tc>
          <w:tcPr>
            <w:tcW w:w="6515" w:type="dxa"/>
            <w:tcBorders>
              <w:left w:val="single" w:sz="4" w:space="0" w:color="auto"/>
            </w:tcBorders>
          </w:tcPr>
          <w:p w14:paraId="5C5447DB" w14:textId="77777777" w:rsidR="00B16A86" w:rsidRPr="00F3021F" w:rsidRDefault="00B16A86" w:rsidP="00C762CF">
            <w:pPr>
              <w:spacing w:before="0"/>
              <w:rPr>
                <w:szCs w:val="24"/>
                <w:lang w:val="fr-FR"/>
              </w:rPr>
            </w:pPr>
            <w:bookmarkStart w:id="46" w:name="lt_pId232"/>
            <w:r w:rsidRPr="00F3021F">
              <w:rPr>
                <w:szCs w:val="24"/>
                <w:lang w:val="fr-FR" w:bidi="fr-FR"/>
              </w:rPr>
              <w:t>Résolution 5</w:t>
            </w:r>
            <w:bookmarkEnd w:id="46"/>
          </w:p>
        </w:tc>
      </w:tr>
      <w:tr w:rsidR="00B16A86" w:rsidRPr="00F3021F" w14:paraId="4E049B56" w14:textId="77777777" w:rsidTr="00127B97">
        <w:trPr>
          <w:trHeight w:val="397"/>
        </w:trPr>
        <w:tc>
          <w:tcPr>
            <w:tcW w:w="3114" w:type="dxa"/>
            <w:tcBorders>
              <w:right w:val="single" w:sz="4" w:space="0" w:color="auto"/>
            </w:tcBorders>
          </w:tcPr>
          <w:p w14:paraId="7532901E" w14:textId="77777777" w:rsidR="00B16A86" w:rsidRPr="00F3021F" w:rsidRDefault="00B16A86" w:rsidP="00C762CF">
            <w:pPr>
              <w:keepNext/>
              <w:keepLines/>
              <w:spacing w:before="0"/>
              <w:rPr>
                <w:i/>
                <w:iCs/>
                <w:szCs w:val="24"/>
                <w:lang w:val="fr-FR"/>
              </w:rPr>
            </w:pPr>
            <w:r w:rsidRPr="00F3021F">
              <w:rPr>
                <w:i/>
                <w:lang w:val="fr-FR" w:bidi="fr-FR"/>
              </w:rPr>
              <w:t>Grandes orientations du SMSI</w:t>
            </w:r>
          </w:p>
        </w:tc>
        <w:tc>
          <w:tcPr>
            <w:tcW w:w="6515" w:type="dxa"/>
            <w:tcBorders>
              <w:left w:val="single" w:sz="4" w:space="0" w:color="auto"/>
            </w:tcBorders>
          </w:tcPr>
          <w:p w14:paraId="2FCFB2A1" w14:textId="5292F190" w:rsidR="00B16A86" w:rsidRPr="00F3021F" w:rsidRDefault="00B16A86" w:rsidP="00481267">
            <w:pPr>
              <w:keepNext/>
              <w:keepLines/>
              <w:spacing w:before="0"/>
              <w:rPr>
                <w:szCs w:val="24"/>
                <w:lang w:val="fr-FR"/>
              </w:rPr>
            </w:pPr>
            <w:bookmarkStart w:id="47" w:name="lt_pId234"/>
            <w:r w:rsidRPr="00F3021F">
              <w:rPr>
                <w:color w:val="000000"/>
                <w:lang w:val="fr-FR" w:bidi="fr-FR"/>
              </w:rPr>
              <w:t>Grandes orientations C2, C3, C7 et C9 du SMSI figurant dans le Plan d</w:t>
            </w:r>
            <w:r w:rsidR="000F7A90">
              <w:rPr>
                <w:color w:val="000000"/>
                <w:lang w:val="fr-FR" w:bidi="fr-FR"/>
              </w:rPr>
              <w:t>'</w:t>
            </w:r>
            <w:r w:rsidRPr="00F3021F">
              <w:rPr>
                <w:color w:val="000000"/>
                <w:lang w:val="fr-FR" w:bidi="fr-FR"/>
              </w:rPr>
              <w:t>action de Genève et la section de l</w:t>
            </w:r>
            <w:r w:rsidR="000F7A90">
              <w:rPr>
                <w:color w:val="000000"/>
                <w:lang w:val="fr-FR" w:bidi="fr-FR"/>
              </w:rPr>
              <w:t>'</w:t>
            </w:r>
            <w:r w:rsidRPr="00F3021F">
              <w:rPr>
                <w:color w:val="000000"/>
                <w:lang w:val="fr-FR" w:bidi="fr-FR"/>
              </w:rPr>
              <w:t>Agenda de Tunis pour la société de l</w:t>
            </w:r>
            <w:r w:rsidR="000F7A90">
              <w:rPr>
                <w:color w:val="000000"/>
                <w:lang w:val="fr-FR" w:bidi="fr-FR"/>
              </w:rPr>
              <w:t>'</w:t>
            </w:r>
            <w:r w:rsidRPr="00F3021F">
              <w:rPr>
                <w:color w:val="000000"/>
                <w:lang w:val="fr-FR" w:bidi="fr-FR"/>
              </w:rPr>
              <w:t>information intitulée "Mécanismes de financement pour relever le défi que représente l</w:t>
            </w:r>
            <w:r w:rsidR="000F7A90">
              <w:rPr>
                <w:color w:val="000000"/>
                <w:lang w:val="fr-FR" w:bidi="fr-FR"/>
              </w:rPr>
              <w:t>'</w:t>
            </w:r>
            <w:r w:rsidRPr="00F3021F">
              <w:rPr>
                <w:color w:val="000000"/>
                <w:lang w:val="fr-FR" w:bidi="fr-FR"/>
              </w:rPr>
              <w:t>utilisation des</w:t>
            </w:r>
            <w:r w:rsidR="00481267">
              <w:rPr>
                <w:color w:val="000000"/>
                <w:lang w:val="fr-FR" w:bidi="fr-FR"/>
              </w:rPr>
              <w:t> </w:t>
            </w:r>
            <w:r w:rsidRPr="00F3021F">
              <w:rPr>
                <w:color w:val="000000"/>
                <w:lang w:val="fr-FR" w:bidi="fr-FR"/>
              </w:rPr>
              <w:t>TIC au service du développement".</w:t>
            </w:r>
            <w:bookmarkEnd w:id="47"/>
          </w:p>
        </w:tc>
      </w:tr>
    </w:tbl>
    <w:p w14:paraId="14D96464" w14:textId="77777777" w:rsidR="00481267" w:rsidRDefault="004812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114"/>
        <w:gridCol w:w="6515"/>
      </w:tblGrid>
      <w:tr w:rsidR="00B16A86" w:rsidRPr="00F3021F" w14:paraId="521C78E8" w14:textId="77777777" w:rsidTr="00127B97">
        <w:tc>
          <w:tcPr>
            <w:tcW w:w="3114" w:type="dxa"/>
            <w:tcBorders>
              <w:right w:val="single" w:sz="4" w:space="0" w:color="auto"/>
            </w:tcBorders>
          </w:tcPr>
          <w:p w14:paraId="21C80BB5" w14:textId="5F7B3627" w:rsidR="00B16A86" w:rsidRPr="00F3021F" w:rsidRDefault="00B16A86" w:rsidP="00C762CF">
            <w:pPr>
              <w:spacing w:before="0"/>
              <w:rPr>
                <w:i/>
                <w:iCs/>
                <w:szCs w:val="24"/>
                <w:lang w:val="fr-FR"/>
              </w:rPr>
            </w:pPr>
            <w:r w:rsidRPr="00F3021F">
              <w:rPr>
                <w:i/>
                <w:lang w:val="fr-FR" w:bidi="fr-FR"/>
              </w:rPr>
              <w:lastRenderedPageBreak/>
              <w:t>Contribution aux cibles des Objectifs de développement durable</w:t>
            </w:r>
          </w:p>
        </w:tc>
        <w:tc>
          <w:tcPr>
            <w:tcW w:w="6515" w:type="dxa"/>
            <w:tcBorders>
              <w:left w:val="single" w:sz="4" w:space="0" w:color="auto"/>
            </w:tcBorders>
          </w:tcPr>
          <w:p w14:paraId="1275F3F3" w14:textId="77777777" w:rsidR="00B16A86" w:rsidRPr="00F3021F" w:rsidRDefault="00B16A86" w:rsidP="00C762CF">
            <w:pPr>
              <w:spacing w:before="0"/>
              <w:rPr>
                <w:szCs w:val="24"/>
                <w:lang w:val="fr-FR"/>
              </w:rPr>
            </w:pPr>
            <w:bookmarkStart w:id="48" w:name="lt_pId236"/>
            <w:r w:rsidRPr="00F3021F">
              <w:rPr>
                <w:szCs w:val="24"/>
                <w:lang w:val="fr-FR" w:bidi="fr-FR"/>
              </w:rPr>
              <w:t>Objectifs de développement durable:</w:t>
            </w:r>
            <w:bookmarkEnd w:id="48"/>
            <w:r w:rsidRPr="00F3021F">
              <w:rPr>
                <w:szCs w:val="24"/>
                <w:lang w:val="fr-FR" w:bidi="fr-FR"/>
              </w:rPr>
              <w:t xml:space="preserve"> </w:t>
            </w:r>
            <w:bookmarkStart w:id="49" w:name="lt_pId237"/>
            <w:r w:rsidRPr="00F3021F">
              <w:rPr>
                <w:szCs w:val="24"/>
                <w:lang w:val="fr-FR" w:bidi="fr-FR"/>
              </w:rPr>
              <w:t>1 (cibles 1.a, 1.4), 4 (cibles 4.4, 4.6, 4.a, 4.c), 6 (cibles 6.5, 6.a, 6.b), 7 (cibles 7.1, 7.b), 8 (cibles 8.2, 8.5), 9 (cibles 9.1, 9.4, 9.5, 9.a, 9.b, 9.c), 11 (cibles 11.1, 11.5, 11.a, 11.b), 17 (cibles 17.3, 17.5)</w:t>
            </w:r>
            <w:bookmarkEnd w:id="49"/>
            <w:r w:rsidRPr="00F3021F">
              <w:rPr>
                <w:szCs w:val="24"/>
                <w:lang w:val="fr-FR" w:bidi="fr-FR"/>
              </w:rPr>
              <w:t>.</w:t>
            </w:r>
          </w:p>
        </w:tc>
      </w:tr>
    </w:tbl>
    <w:p w14:paraId="29574F00" w14:textId="77777777" w:rsidR="00B16A86" w:rsidRPr="00F3021F" w:rsidRDefault="00B16A86" w:rsidP="00C762CF">
      <w:pPr>
        <w:pStyle w:val="Heading2"/>
        <w:spacing w:after="120"/>
        <w:rPr>
          <w:lang w:val="fr-FR"/>
        </w:rPr>
      </w:pPr>
      <w:r w:rsidRPr="00F3021F">
        <w:rPr>
          <w:lang w:val="fr-FR" w:bidi="fr-FR"/>
        </w:rPr>
        <w:t>2.3</w:t>
      </w:r>
      <w:r w:rsidRPr="00F3021F">
        <w:rPr>
          <w:lang w:val="fr-FR" w:bidi="fr-FR"/>
        </w:rPr>
        <w:tab/>
        <w:t>Innovation et partenariats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B16A86" w:rsidRPr="00F3021F" w14:paraId="069F716C" w14:textId="77777777" w:rsidTr="00127B97">
        <w:tc>
          <w:tcPr>
            <w:tcW w:w="9629" w:type="dxa"/>
            <w:gridSpan w:val="2"/>
            <w:tcBorders>
              <w:bottom w:val="single" w:sz="4" w:space="0" w:color="auto"/>
            </w:tcBorders>
          </w:tcPr>
          <w:p w14:paraId="157E6A00" w14:textId="1ADE3218" w:rsidR="00B16A86" w:rsidRPr="00F3021F" w:rsidRDefault="00B16A86" w:rsidP="00C762CF">
            <w:pPr>
              <w:rPr>
                <w:color w:val="000000"/>
                <w:lang w:val="fr-FR"/>
              </w:rPr>
            </w:pPr>
            <w:bookmarkStart w:id="50" w:name="lt_pId240"/>
            <w:r w:rsidRPr="00F3021F">
              <w:rPr>
                <w:b/>
                <w:szCs w:val="24"/>
                <w:lang w:val="fr-FR" w:bidi="fr-FR"/>
              </w:rPr>
              <w:t>Partenariat dans l</w:t>
            </w:r>
            <w:r w:rsidR="000F7A90">
              <w:rPr>
                <w:b/>
                <w:szCs w:val="24"/>
                <w:lang w:val="fr-FR" w:bidi="fr-FR"/>
              </w:rPr>
              <w:t>'</w:t>
            </w:r>
            <w:r w:rsidRPr="00F3021F">
              <w:rPr>
                <w:b/>
                <w:szCs w:val="24"/>
                <w:lang w:val="fr-FR" w:bidi="fr-FR"/>
              </w:rPr>
              <w:t>écosystème des TIC</w:t>
            </w:r>
            <w:r w:rsidRPr="00F3021F">
              <w:rPr>
                <w:szCs w:val="24"/>
                <w:lang w:val="fr-FR" w:bidi="fr-FR"/>
              </w:rPr>
              <w:t>:</w:t>
            </w:r>
            <w:bookmarkEnd w:id="50"/>
            <w:r w:rsidRPr="00F3021F">
              <w:rPr>
                <w:szCs w:val="24"/>
                <w:lang w:val="fr-FR" w:bidi="fr-FR"/>
              </w:rPr>
              <w:t xml:space="preserve"> </w:t>
            </w:r>
            <w:bookmarkStart w:id="51" w:name="lt_pId241"/>
            <w:r w:rsidRPr="00F3021F">
              <w:rPr>
                <w:szCs w:val="24"/>
                <w:lang w:val="fr-FR" w:bidi="fr-FR"/>
              </w:rPr>
              <w:t>Les partenariats et la mobilisation de ressources ont été renforcés par le biais de contacts directs, de création de réseaux de relations, de conférences téléphoniques, de missions et de réunions. En 2018, 38 nouveaux accords de partenariat ont été signés avec diverses parties prenantes sur: l</w:t>
            </w:r>
            <w:r w:rsidR="000F7A90">
              <w:rPr>
                <w:szCs w:val="24"/>
                <w:lang w:val="fr-FR" w:bidi="fr-FR"/>
              </w:rPr>
              <w:t>'</w:t>
            </w:r>
            <w:r w:rsidRPr="00F3021F">
              <w:rPr>
                <w:szCs w:val="24"/>
                <w:lang w:val="fr-FR" w:bidi="fr-FR"/>
              </w:rPr>
              <w:t>environnement propice (13), l</w:t>
            </w:r>
            <w:r w:rsidR="000F7A90">
              <w:rPr>
                <w:szCs w:val="24"/>
                <w:lang w:val="fr-FR" w:bidi="fr-FR"/>
              </w:rPr>
              <w:t>'</w:t>
            </w:r>
            <w:r w:rsidRPr="00F3021F">
              <w:rPr>
                <w:szCs w:val="24"/>
                <w:lang w:val="fr-FR" w:bidi="fr-FR"/>
              </w:rPr>
              <w:t>infrastructure (6), le renforcement des capacités (4), la cybersécurité (4), des thématiques multiples (4), les télécommunications d</w:t>
            </w:r>
            <w:r w:rsidR="000F7A90">
              <w:rPr>
                <w:szCs w:val="24"/>
                <w:lang w:val="fr-FR" w:bidi="fr-FR"/>
              </w:rPr>
              <w:t>'</w:t>
            </w:r>
            <w:r w:rsidRPr="00F3021F">
              <w:rPr>
                <w:szCs w:val="24"/>
                <w:lang w:val="fr-FR" w:bidi="fr-FR"/>
              </w:rPr>
              <w:t>urgence (2), les applications TIC (2), les déchets d</w:t>
            </w:r>
            <w:r w:rsidR="000F7A90">
              <w:rPr>
                <w:szCs w:val="24"/>
                <w:lang w:val="fr-FR" w:bidi="fr-FR"/>
              </w:rPr>
              <w:t>'</w:t>
            </w:r>
            <w:r w:rsidRPr="00F3021F">
              <w:rPr>
                <w:szCs w:val="24"/>
                <w:lang w:val="fr-FR" w:bidi="fr-FR"/>
              </w:rPr>
              <w:t>équipements électriques et électroniques (2), et enfin l</w:t>
            </w:r>
            <w:r w:rsidR="000F7A90">
              <w:rPr>
                <w:szCs w:val="24"/>
                <w:lang w:val="fr-FR" w:bidi="fr-FR"/>
              </w:rPr>
              <w:t>'</w:t>
            </w:r>
            <w:r w:rsidRPr="00F3021F">
              <w:rPr>
                <w:szCs w:val="24"/>
                <w:lang w:val="fr-FR" w:bidi="fr-FR"/>
              </w:rPr>
              <w:t>inclusion numérique (1). Dix-neuf de ces nouveaux accords ont été signés au niveau international; les régions bénéficiaires des autres accords sont les Amériques (5), l</w:t>
            </w:r>
            <w:r w:rsidR="000F7A90">
              <w:rPr>
                <w:szCs w:val="24"/>
                <w:lang w:val="fr-FR" w:bidi="fr-FR"/>
              </w:rPr>
              <w:t>'</w:t>
            </w:r>
            <w:r w:rsidRPr="00F3021F">
              <w:rPr>
                <w:szCs w:val="24"/>
                <w:lang w:val="fr-FR" w:bidi="fr-FR"/>
              </w:rPr>
              <w:t>Asie-Pacifique (5), l</w:t>
            </w:r>
            <w:r w:rsidR="000F7A90">
              <w:rPr>
                <w:szCs w:val="24"/>
                <w:lang w:val="fr-FR" w:bidi="fr-FR"/>
              </w:rPr>
              <w:t>'</w:t>
            </w:r>
            <w:r w:rsidRPr="00F3021F">
              <w:rPr>
                <w:szCs w:val="24"/>
                <w:lang w:val="fr-FR" w:bidi="fr-FR"/>
              </w:rPr>
              <w:t>Afrique (4), les Etats arabes (3), l</w:t>
            </w:r>
            <w:r w:rsidR="000F7A90">
              <w:rPr>
                <w:szCs w:val="24"/>
                <w:lang w:val="fr-FR" w:bidi="fr-FR"/>
              </w:rPr>
              <w:t>'</w:t>
            </w:r>
            <w:r w:rsidRPr="00F3021F">
              <w:rPr>
                <w:szCs w:val="24"/>
                <w:lang w:val="fr-FR" w:bidi="fr-FR"/>
              </w:rPr>
              <w:t>Europe (1) et la CEI (1).</w:t>
            </w:r>
            <w:bookmarkEnd w:id="51"/>
          </w:p>
          <w:p w14:paraId="2DB541EA" w14:textId="0AAECF67" w:rsidR="00B16A86" w:rsidRPr="00F3021F" w:rsidRDefault="00B16A86" w:rsidP="00C762CF">
            <w:pPr>
              <w:rPr>
                <w:szCs w:val="24"/>
                <w:lang w:val="fr-FR"/>
              </w:rPr>
            </w:pPr>
            <w:r w:rsidRPr="00F3021F">
              <w:rPr>
                <w:b/>
                <w:color w:val="000000"/>
                <w:lang w:val="fr-FR" w:bidi="fr-FR"/>
              </w:rPr>
              <w:t>Possibilités de parrainage</w:t>
            </w:r>
            <w:r w:rsidRPr="00F3021F">
              <w:rPr>
                <w:color w:val="000000"/>
                <w:lang w:val="fr-FR" w:bidi="fr-FR"/>
              </w:rPr>
              <w:t>: depuis janvier 2018, quatre possibilités de parrainage ont été offertes pour les réunions des Commissions d</w:t>
            </w:r>
            <w:r w:rsidR="000F7A90">
              <w:rPr>
                <w:color w:val="000000"/>
                <w:lang w:val="fr-FR" w:bidi="fr-FR"/>
              </w:rPr>
              <w:t>'</w:t>
            </w:r>
            <w:r w:rsidRPr="00F3021F">
              <w:rPr>
                <w:color w:val="000000"/>
                <w:lang w:val="fr-FR" w:bidi="fr-FR"/>
              </w:rPr>
              <w:t>études de l</w:t>
            </w:r>
            <w:r w:rsidR="000F7A90">
              <w:rPr>
                <w:color w:val="000000"/>
                <w:lang w:val="fr-FR" w:bidi="fr-FR"/>
              </w:rPr>
              <w:t>'</w:t>
            </w:r>
            <w:r w:rsidRPr="00F3021F">
              <w:rPr>
                <w:color w:val="000000"/>
                <w:lang w:val="fr-FR" w:bidi="fr-FR"/>
              </w:rPr>
              <w:t>UIT-D, la plate-forme des partenaires universitaires de l</w:t>
            </w:r>
            <w:r w:rsidR="000F7A90">
              <w:rPr>
                <w:color w:val="000000"/>
                <w:lang w:val="fr-FR" w:bidi="fr-FR"/>
              </w:rPr>
              <w:t>'</w:t>
            </w:r>
            <w:r w:rsidRPr="00F3021F">
              <w:rPr>
                <w:color w:val="000000"/>
                <w:lang w:val="fr-FR" w:bidi="fr-FR"/>
              </w:rPr>
              <w:t>UIT (ICT</w:t>
            </w:r>
            <w:r w:rsidRPr="00F3021F">
              <w:rPr>
                <w:szCs w:val="24"/>
                <w:lang w:val="fr-FR" w:bidi="fr-FR"/>
              </w:rPr>
              <w:t>④SDGs), le GSR-18 et les réunions des groupes de Rapporteur des Commissions d</w:t>
            </w:r>
            <w:r w:rsidR="000F7A90">
              <w:rPr>
                <w:szCs w:val="24"/>
                <w:lang w:val="fr-FR" w:bidi="fr-FR"/>
              </w:rPr>
              <w:t>'</w:t>
            </w:r>
            <w:r w:rsidRPr="00F3021F">
              <w:rPr>
                <w:szCs w:val="24"/>
                <w:lang w:val="fr-FR" w:bidi="fr-FR"/>
              </w:rPr>
              <w:t>études de l</w:t>
            </w:r>
            <w:r w:rsidR="000F7A90">
              <w:rPr>
                <w:szCs w:val="24"/>
                <w:lang w:val="fr-FR" w:bidi="fr-FR"/>
              </w:rPr>
              <w:t>'</w:t>
            </w:r>
            <w:r w:rsidRPr="00F3021F">
              <w:rPr>
                <w:szCs w:val="24"/>
                <w:lang w:val="fr-FR" w:bidi="fr-FR"/>
              </w:rPr>
              <w:t>UIT-D. Elles ont été publiées sur la plate-forme interactive (site web) du BDT consacrée aux possibilités de parrainage, lancée en 2017. Sur les 38 nouveaux accords de partenariat signés, dix sont des accords de parrainage.</w:t>
            </w:r>
          </w:p>
          <w:p w14:paraId="1DAE8587" w14:textId="501B80AB" w:rsidR="00B16A86" w:rsidRPr="00F3021F" w:rsidRDefault="00B16A86" w:rsidP="00C762CF">
            <w:pPr>
              <w:rPr>
                <w:color w:val="000000"/>
                <w:lang w:val="fr-FR"/>
              </w:rPr>
            </w:pPr>
            <w:r w:rsidRPr="00F3021F">
              <w:rPr>
                <w:b/>
                <w:color w:val="000000"/>
                <w:lang w:val="fr-FR" w:bidi="fr-FR"/>
              </w:rPr>
              <w:t>Membres de l</w:t>
            </w:r>
            <w:r w:rsidR="000F7A90">
              <w:rPr>
                <w:b/>
                <w:color w:val="000000"/>
                <w:lang w:val="fr-FR" w:bidi="fr-FR"/>
              </w:rPr>
              <w:t>'</w:t>
            </w:r>
            <w:r w:rsidRPr="00F3021F">
              <w:rPr>
                <w:b/>
                <w:color w:val="000000"/>
                <w:lang w:val="fr-FR" w:bidi="fr-FR"/>
              </w:rPr>
              <w:t>UIT-D</w:t>
            </w:r>
            <w:r w:rsidRPr="000F7A90">
              <w:rPr>
                <w:bCs/>
                <w:color w:val="000000"/>
                <w:lang w:val="fr-FR" w:bidi="fr-FR"/>
              </w:rPr>
              <w:t>:</w:t>
            </w:r>
            <w:r w:rsidRPr="00F3021F">
              <w:rPr>
                <w:szCs w:val="24"/>
                <w:lang w:val="fr-FR" w:bidi="fr-FR"/>
              </w:rPr>
              <w:t xml:space="preserve"> huit nouveaux Membres du Secte</w:t>
            </w:r>
            <w:r w:rsidR="000F7A90">
              <w:rPr>
                <w:szCs w:val="24"/>
                <w:lang w:val="fr-FR" w:bidi="fr-FR"/>
              </w:rPr>
              <w:t>ur, quatre nouveaux Associés et </w:t>
            </w:r>
            <w:r w:rsidRPr="00F3021F">
              <w:rPr>
                <w:szCs w:val="24"/>
                <w:lang w:val="fr-FR" w:bidi="fr-FR"/>
              </w:rPr>
              <w:t>37 nouveaux établissements universitaires affiliés ont rej</w:t>
            </w:r>
            <w:r w:rsidR="000F7A90">
              <w:rPr>
                <w:szCs w:val="24"/>
                <w:lang w:val="fr-FR" w:bidi="fr-FR"/>
              </w:rPr>
              <w:t>oint l'UIT-D en 2018; au total, </w:t>
            </w:r>
            <w:r w:rsidRPr="00F3021F">
              <w:rPr>
                <w:szCs w:val="24"/>
                <w:lang w:val="fr-FR" w:bidi="fr-FR"/>
              </w:rPr>
              <w:t>12 Membres du Secteur et Associés ont dénoncé leur participation.</w:t>
            </w:r>
          </w:p>
          <w:p w14:paraId="4B454583" w14:textId="54805B7F" w:rsidR="0003758B" w:rsidRPr="00F3021F" w:rsidRDefault="00B16A86" w:rsidP="00C762CF">
            <w:pPr>
              <w:rPr>
                <w:szCs w:val="24"/>
                <w:lang w:val="fr-FR"/>
              </w:rPr>
            </w:pPr>
            <w:bookmarkStart w:id="52" w:name="lt_pId257"/>
            <w:r w:rsidRPr="00F3021F">
              <w:rPr>
                <w:b/>
                <w:szCs w:val="24"/>
                <w:lang w:val="fr-FR" w:bidi="fr-FR"/>
              </w:rPr>
              <w:t>Innovation</w:t>
            </w:r>
            <w:r w:rsidRPr="00F3021F">
              <w:rPr>
                <w:szCs w:val="24"/>
                <w:lang w:val="fr-FR" w:bidi="fr-FR"/>
              </w:rPr>
              <w:t>:</w:t>
            </w:r>
            <w:bookmarkEnd w:id="52"/>
            <w:r w:rsidRPr="00F3021F">
              <w:rPr>
                <w:szCs w:val="24"/>
                <w:lang w:val="fr-FR" w:bidi="fr-FR"/>
              </w:rPr>
              <w:t xml:space="preserve"> afin d</w:t>
            </w:r>
            <w:r w:rsidR="000F7A90">
              <w:rPr>
                <w:szCs w:val="24"/>
                <w:lang w:val="fr-FR" w:bidi="fr-FR"/>
              </w:rPr>
              <w:t>'</w:t>
            </w:r>
            <w:r w:rsidRPr="00F3021F">
              <w:rPr>
                <w:szCs w:val="24"/>
                <w:lang w:val="fr-FR" w:bidi="fr-FR"/>
              </w:rPr>
              <w:t>accélérer la réalisation du plan d</w:t>
            </w:r>
            <w:r w:rsidR="000F7A90">
              <w:rPr>
                <w:szCs w:val="24"/>
                <w:lang w:val="fr-FR" w:bidi="fr-FR"/>
              </w:rPr>
              <w:t>'</w:t>
            </w:r>
            <w:r w:rsidRPr="00F3021F">
              <w:rPr>
                <w:szCs w:val="24"/>
                <w:lang w:val="fr-FR" w:bidi="fr-FR"/>
              </w:rPr>
              <w:t>action de Buenos Aires, le programme consacré à l</w:t>
            </w:r>
            <w:r w:rsidR="000F7A90">
              <w:rPr>
                <w:szCs w:val="24"/>
                <w:lang w:val="fr-FR" w:bidi="fr-FR"/>
              </w:rPr>
              <w:t>'</w:t>
            </w:r>
            <w:r w:rsidRPr="00F3021F">
              <w:rPr>
                <w:szCs w:val="24"/>
                <w:lang w:val="fr-FR" w:bidi="fr-FR"/>
              </w:rPr>
              <w:t>innovation a consolidé la plate-forme d</w:t>
            </w:r>
            <w:r w:rsidR="000F7A90">
              <w:rPr>
                <w:szCs w:val="24"/>
                <w:lang w:val="fr-FR" w:bidi="fr-FR"/>
              </w:rPr>
              <w:t>'</w:t>
            </w:r>
            <w:r w:rsidRPr="00F3021F">
              <w:rPr>
                <w:szCs w:val="24"/>
                <w:lang w:val="fr-FR" w:bidi="fr-FR"/>
              </w:rPr>
              <w:t>innovation en élaborant de nouveaux produits et services, tels que les profils d</w:t>
            </w:r>
            <w:r w:rsidR="000F7A90">
              <w:rPr>
                <w:szCs w:val="24"/>
                <w:lang w:val="fr-FR" w:bidi="fr-FR"/>
              </w:rPr>
              <w:t>'</w:t>
            </w:r>
            <w:r w:rsidRPr="00F3021F">
              <w:rPr>
                <w:szCs w:val="24"/>
                <w:lang w:val="fr-FR" w:bidi="fr-FR"/>
              </w:rPr>
              <w:t>innovation numérique, les examens des écosystèmes, le défi de l</w:t>
            </w:r>
            <w:r w:rsidR="000F7A90">
              <w:rPr>
                <w:szCs w:val="24"/>
                <w:lang w:val="fr-FR" w:bidi="fr-FR"/>
              </w:rPr>
              <w:t>'</w:t>
            </w:r>
            <w:r w:rsidRPr="00F3021F">
              <w:rPr>
                <w:szCs w:val="24"/>
                <w:lang w:val="fr-FR" w:bidi="fr-FR"/>
              </w:rPr>
              <w:t>innovation et les rapports sur les bonnes pratiques mondiales. Une assistance technique a permis la création et la publication de profils d</w:t>
            </w:r>
            <w:r w:rsidR="000F7A90">
              <w:rPr>
                <w:szCs w:val="24"/>
                <w:lang w:val="fr-FR" w:bidi="fr-FR"/>
              </w:rPr>
              <w:t>'</w:t>
            </w:r>
            <w:r w:rsidRPr="00F3021F">
              <w:rPr>
                <w:szCs w:val="24"/>
                <w:lang w:val="fr-FR" w:bidi="fr-FR"/>
              </w:rPr>
              <w:t>innovation numérique pour la Bosnie-Herzégovine, la Serbie et l</w:t>
            </w:r>
            <w:r w:rsidR="000F7A90">
              <w:rPr>
                <w:szCs w:val="24"/>
                <w:lang w:val="fr-FR" w:bidi="fr-FR"/>
              </w:rPr>
              <w:t>'</w:t>
            </w:r>
            <w:r w:rsidRPr="00F3021F">
              <w:rPr>
                <w:szCs w:val="24"/>
                <w:lang w:val="fr-FR" w:bidi="fr-FR"/>
              </w:rPr>
              <w:t>Afrique du Sud. D</w:t>
            </w:r>
            <w:r w:rsidR="000F7A90">
              <w:rPr>
                <w:szCs w:val="24"/>
                <w:lang w:val="fr-FR" w:bidi="fr-FR"/>
              </w:rPr>
              <w:t>'</w:t>
            </w:r>
            <w:r w:rsidRPr="00F3021F">
              <w:rPr>
                <w:szCs w:val="24"/>
                <w:lang w:val="fr-FR" w:bidi="fr-FR"/>
              </w:rPr>
              <w:t>autres sont en cours de préparation pour l</w:t>
            </w:r>
            <w:r w:rsidR="000F7A90">
              <w:rPr>
                <w:szCs w:val="24"/>
                <w:lang w:val="fr-FR" w:bidi="fr-FR"/>
              </w:rPr>
              <w:t>'</w:t>
            </w:r>
            <w:r w:rsidRPr="00F3021F">
              <w:rPr>
                <w:szCs w:val="24"/>
                <w:lang w:val="fr-FR" w:bidi="fr-FR"/>
              </w:rPr>
              <w:t>ex-République yougoslave de Macédoine, le Monténégro et le Zimbabwe. Du reste, un rapport sur les bonnes pratiques mondiales pour l</w:t>
            </w:r>
            <w:r w:rsidR="000F7A90">
              <w:rPr>
                <w:szCs w:val="24"/>
                <w:lang w:val="fr-FR" w:bidi="fr-FR"/>
              </w:rPr>
              <w:t>'</w:t>
            </w:r>
            <w:r w:rsidRPr="00F3021F">
              <w:rPr>
                <w:szCs w:val="24"/>
                <w:lang w:val="fr-FR" w:bidi="fr-FR"/>
              </w:rPr>
              <w:t>Europe a été présenté à l</w:t>
            </w:r>
            <w:r w:rsidR="000F7A90">
              <w:rPr>
                <w:szCs w:val="24"/>
                <w:lang w:val="fr-FR" w:bidi="fr-FR"/>
              </w:rPr>
              <w:t>'</w:t>
            </w:r>
            <w:r w:rsidRPr="00F3021F">
              <w:rPr>
                <w:szCs w:val="24"/>
                <w:lang w:val="fr-FR" w:bidi="fr-FR"/>
              </w:rPr>
              <w:t>occasion du SMSI 2018; un ancien kit pratique a par ailleurs été republié dans les six langues officielles de l</w:t>
            </w:r>
            <w:r w:rsidR="000F7A90">
              <w:rPr>
                <w:szCs w:val="24"/>
                <w:lang w:val="fr-FR" w:bidi="fr-FR"/>
              </w:rPr>
              <w:t>'</w:t>
            </w:r>
            <w:r w:rsidRPr="00F3021F">
              <w:rPr>
                <w:szCs w:val="24"/>
                <w:lang w:val="fr-FR" w:bidi="fr-FR"/>
              </w:rPr>
              <w:t>ONU.</w:t>
            </w:r>
          </w:p>
          <w:p w14:paraId="3B8898A5" w14:textId="5B562FBC" w:rsidR="0003758B" w:rsidRPr="00F3021F" w:rsidRDefault="0003758B" w:rsidP="00A27449">
            <w:pPr>
              <w:spacing w:after="120"/>
              <w:rPr>
                <w:szCs w:val="24"/>
                <w:lang w:val="fr-FR"/>
              </w:rPr>
            </w:pPr>
            <w:r w:rsidRPr="00F3021F">
              <w:rPr>
                <w:szCs w:val="24"/>
                <w:lang w:val="fr-FR" w:bidi="fr-FR"/>
              </w:rPr>
              <w:t>L</w:t>
            </w:r>
            <w:r w:rsidR="000F7A90">
              <w:rPr>
                <w:szCs w:val="24"/>
                <w:lang w:val="fr-FR" w:bidi="fr-FR"/>
              </w:rPr>
              <w:t>'</w:t>
            </w:r>
            <w:r w:rsidRPr="00F3021F">
              <w:rPr>
                <w:szCs w:val="24"/>
                <w:lang w:val="fr-FR" w:bidi="fr-FR"/>
              </w:rPr>
              <w:t>UIT a poursuivi l</w:t>
            </w:r>
            <w:r w:rsidR="000F7A90">
              <w:rPr>
                <w:szCs w:val="24"/>
                <w:lang w:val="fr-FR" w:bidi="fr-FR"/>
              </w:rPr>
              <w:t>'</w:t>
            </w:r>
            <w:r w:rsidRPr="00F3021F">
              <w:rPr>
                <w:szCs w:val="24"/>
                <w:lang w:val="fr-FR" w:bidi="fr-FR"/>
              </w:rPr>
              <w:t>organisation de dialogues sur l</w:t>
            </w:r>
            <w:r w:rsidR="000F7A90">
              <w:rPr>
                <w:szCs w:val="24"/>
                <w:lang w:val="fr-FR" w:bidi="fr-FR"/>
              </w:rPr>
              <w:t>'</w:t>
            </w:r>
            <w:r w:rsidRPr="00F3021F">
              <w:rPr>
                <w:szCs w:val="24"/>
                <w:lang w:val="fr-FR" w:bidi="fr-FR"/>
              </w:rPr>
              <w:t>innovation en accueillant le volet annuel du SMSI dédié à l</w:t>
            </w:r>
            <w:r w:rsidR="000F7A90">
              <w:rPr>
                <w:szCs w:val="24"/>
                <w:lang w:val="fr-FR" w:bidi="fr-FR"/>
              </w:rPr>
              <w:t>'</w:t>
            </w:r>
            <w:r w:rsidRPr="00F3021F">
              <w:rPr>
                <w:szCs w:val="24"/>
                <w:lang w:val="fr-FR" w:bidi="fr-FR"/>
              </w:rPr>
              <w:t>innovation. En 2018, cinq sessions, dont un dialogue de haut niveau sur le thème "Accelerating Digital Transformation: Building Vibrant ICT Centric Innovation Ecosystems" (Accélérer la transformation numérique: construire des écosystèmes d</w:t>
            </w:r>
            <w:r w:rsidR="000F7A90">
              <w:rPr>
                <w:szCs w:val="24"/>
                <w:lang w:val="fr-FR" w:bidi="fr-FR"/>
              </w:rPr>
              <w:t>'</w:t>
            </w:r>
            <w:r w:rsidRPr="00F3021F">
              <w:rPr>
                <w:szCs w:val="24"/>
                <w:lang w:val="fr-FR" w:bidi="fr-FR"/>
              </w:rPr>
              <w:t>innovation dynamiques centrés sur les TIC), ont abordé trois domaines clés: pratiques en matière d</w:t>
            </w:r>
            <w:r w:rsidR="000F7A90">
              <w:rPr>
                <w:szCs w:val="24"/>
                <w:lang w:val="fr-FR" w:bidi="fr-FR"/>
              </w:rPr>
              <w:t>'</w:t>
            </w:r>
            <w:r w:rsidRPr="00F3021F">
              <w:rPr>
                <w:szCs w:val="24"/>
                <w:lang w:val="fr-FR" w:bidi="fr-FR"/>
              </w:rPr>
              <w:t xml:space="preserve">innovation fondées sur les données probantes, outils de mise en </w:t>
            </w:r>
            <w:r w:rsidR="00C762CF">
              <w:rPr>
                <w:szCs w:val="24"/>
                <w:lang w:val="fr-FR" w:bidi="fr-FR"/>
              </w:rPr>
              <w:t>oe</w:t>
            </w:r>
            <w:r w:rsidRPr="00F3021F">
              <w:rPr>
                <w:szCs w:val="24"/>
                <w:lang w:val="fr-FR" w:bidi="fr-FR"/>
              </w:rPr>
              <w:t>uvre des écosystèmes de l</w:t>
            </w:r>
            <w:r w:rsidR="000F7A90">
              <w:rPr>
                <w:szCs w:val="24"/>
                <w:lang w:val="fr-FR" w:bidi="fr-FR"/>
              </w:rPr>
              <w:t>'</w:t>
            </w:r>
            <w:r w:rsidRPr="00F3021F">
              <w:rPr>
                <w:szCs w:val="24"/>
                <w:lang w:val="fr-FR" w:bidi="fr-FR"/>
              </w:rPr>
              <w:t>innovation, et politiques de financement pour les projets phares à impact élevé. A l</w:t>
            </w:r>
            <w:r w:rsidR="000F7A90">
              <w:rPr>
                <w:szCs w:val="24"/>
                <w:lang w:val="fr-FR" w:bidi="fr-FR"/>
              </w:rPr>
              <w:t>'</w:t>
            </w:r>
            <w:r w:rsidRPr="00F3021F">
              <w:rPr>
                <w:szCs w:val="24"/>
                <w:lang w:val="fr-FR" w:bidi="fr-FR"/>
              </w:rPr>
              <w:t>occasion d</w:t>
            </w:r>
            <w:r w:rsidR="000F7A90">
              <w:rPr>
                <w:szCs w:val="24"/>
                <w:lang w:val="fr-FR" w:bidi="fr-FR"/>
              </w:rPr>
              <w:t>'</w:t>
            </w:r>
            <w:r w:rsidRPr="00F3021F">
              <w:rPr>
                <w:szCs w:val="24"/>
                <w:lang w:val="fr-FR" w:bidi="fr-FR"/>
              </w:rPr>
              <w:t>ITU Telecom 2018, et en marge des réunions des Commissions d</w:t>
            </w:r>
            <w:r w:rsidR="000F7A90">
              <w:rPr>
                <w:szCs w:val="24"/>
                <w:lang w:val="fr-FR" w:bidi="fr-FR"/>
              </w:rPr>
              <w:t>'</w:t>
            </w:r>
            <w:r w:rsidRPr="00F3021F">
              <w:rPr>
                <w:szCs w:val="24"/>
                <w:lang w:val="fr-FR" w:bidi="fr-FR"/>
              </w:rPr>
              <w:t>études, le BDT a en outre collaboré avec l</w:t>
            </w:r>
            <w:r w:rsidR="000F7A90">
              <w:rPr>
                <w:szCs w:val="24"/>
                <w:lang w:val="fr-FR" w:bidi="fr-FR"/>
              </w:rPr>
              <w:t>'</w:t>
            </w:r>
            <w:r w:rsidRPr="00F3021F">
              <w:rPr>
                <w:szCs w:val="24"/>
                <w:lang w:val="fr-FR" w:bidi="fr-FR"/>
              </w:rPr>
              <w:t>Organisation des Nations Unies pour le développement industriel (ONUDI) et le Sommet mondial sur la production industrielle et l</w:t>
            </w:r>
            <w:r w:rsidR="000F7A90">
              <w:rPr>
                <w:szCs w:val="24"/>
                <w:lang w:val="fr-FR" w:bidi="fr-FR"/>
              </w:rPr>
              <w:t>'</w:t>
            </w:r>
            <w:r w:rsidRPr="00F3021F">
              <w:rPr>
                <w:szCs w:val="24"/>
                <w:lang w:val="fr-FR" w:bidi="fr-FR"/>
              </w:rPr>
              <w:t>industrialisation (GMIS) à l</w:t>
            </w:r>
            <w:r w:rsidR="000F7A90">
              <w:rPr>
                <w:szCs w:val="24"/>
                <w:lang w:val="fr-FR" w:bidi="fr-FR"/>
              </w:rPr>
              <w:t>'</w:t>
            </w:r>
            <w:r w:rsidRPr="00F3021F">
              <w:rPr>
                <w:szCs w:val="24"/>
                <w:lang w:val="fr-FR" w:bidi="fr-FR"/>
              </w:rPr>
              <w:t>organisation de plusieurs manifestations consacrées à l</w:t>
            </w:r>
            <w:r w:rsidR="000F7A90">
              <w:rPr>
                <w:szCs w:val="24"/>
                <w:lang w:val="fr-FR" w:bidi="fr-FR"/>
              </w:rPr>
              <w:t>'</w:t>
            </w:r>
            <w:r w:rsidRPr="00F3021F">
              <w:rPr>
                <w:szCs w:val="24"/>
                <w:lang w:val="fr-FR" w:bidi="fr-FR"/>
              </w:rPr>
              <w:t>écosystème de l</w:t>
            </w:r>
            <w:r w:rsidR="000F7A90">
              <w:rPr>
                <w:szCs w:val="24"/>
                <w:lang w:val="fr-FR" w:bidi="fr-FR"/>
              </w:rPr>
              <w:t>'</w:t>
            </w:r>
            <w:r w:rsidRPr="00F3021F">
              <w:rPr>
                <w:szCs w:val="24"/>
                <w:lang w:val="fr-FR" w:bidi="fr-FR"/>
              </w:rPr>
              <w:t>innovation numérique, à l</w:t>
            </w:r>
            <w:r w:rsidR="000F7A90">
              <w:rPr>
                <w:szCs w:val="24"/>
                <w:lang w:val="fr-FR" w:bidi="fr-FR"/>
              </w:rPr>
              <w:t>'</w:t>
            </w:r>
            <w:r w:rsidRPr="00F3021F">
              <w:rPr>
                <w:szCs w:val="24"/>
                <w:lang w:val="fr-FR" w:bidi="fr-FR"/>
              </w:rPr>
              <w:t>industrie 4.</w:t>
            </w:r>
            <w:r w:rsidR="00C762CF">
              <w:rPr>
                <w:szCs w:val="24"/>
                <w:lang w:val="fr-FR" w:bidi="fr-FR"/>
              </w:rPr>
              <w:t>0 et à la société intelligente.</w:t>
            </w:r>
          </w:p>
          <w:p w14:paraId="0254B48F" w14:textId="154F2658" w:rsidR="00B16A86" w:rsidRPr="00F3021F" w:rsidRDefault="0003758B" w:rsidP="00C762CF">
            <w:pPr>
              <w:keepLines/>
              <w:spacing w:after="120"/>
              <w:rPr>
                <w:lang w:val="fr-FR"/>
              </w:rPr>
            </w:pPr>
            <w:r w:rsidRPr="00F3021F">
              <w:rPr>
                <w:szCs w:val="24"/>
                <w:lang w:val="fr-FR" w:bidi="fr-FR"/>
              </w:rPr>
              <w:lastRenderedPageBreak/>
              <w:t>Plus de 90 personnes de plus de 54 pays ont été formées à la mise en place d</w:t>
            </w:r>
            <w:r w:rsidR="000F7A90">
              <w:rPr>
                <w:szCs w:val="24"/>
                <w:lang w:val="fr-FR" w:bidi="fr-FR"/>
              </w:rPr>
              <w:t>'</w:t>
            </w:r>
            <w:r w:rsidRPr="00F3021F">
              <w:rPr>
                <w:szCs w:val="24"/>
                <w:lang w:val="fr-FR" w:bidi="fr-FR"/>
              </w:rPr>
              <w:t>écosystèmes de l</w:t>
            </w:r>
            <w:r w:rsidR="000F7A90">
              <w:rPr>
                <w:szCs w:val="24"/>
                <w:lang w:val="fr-FR" w:bidi="fr-FR"/>
              </w:rPr>
              <w:t>'</w:t>
            </w:r>
            <w:r w:rsidRPr="00F3021F">
              <w:rPr>
                <w:szCs w:val="24"/>
                <w:lang w:val="fr-FR" w:bidi="fr-FR"/>
              </w:rPr>
              <w:t>innovation numérique. Ces formations ont été dispensées lors d</w:t>
            </w:r>
            <w:r w:rsidR="000F7A90">
              <w:rPr>
                <w:szCs w:val="24"/>
                <w:lang w:val="fr-FR" w:bidi="fr-FR"/>
              </w:rPr>
              <w:t>'</w:t>
            </w:r>
            <w:r w:rsidRPr="00F3021F">
              <w:rPr>
                <w:szCs w:val="24"/>
                <w:lang w:val="fr-FR" w:bidi="fr-FR"/>
              </w:rPr>
              <w:t>ateliers de renforcement des capacités dans le domaine de l</w:t>
            </w:r>
            <w:r w:rsidR="000F7A90">
              <w:rPr>
                <w:szCs w:val="24"/>
                <w:lang w:val="fr-FR" w:bidi="fr-FR"/>
              </w:rPr>
              <w:t>'</w:t>
            </w:r>
            <w:r w:rsidRPr="00F3021F">
              <w:rPr>
                <w:szCs w:val="24"/>
                <w:lang w:val="fr-FR" w:bidi="fr-FR"/>
              </w:rPr>
              <w:t>innovation et d</w:t>
            </w:r>
            <w:r w:rsidR="000F7A90">
              <w:rPr>
                <w:szCs w:val="24"/>
                <w:lang w:val="fr-FR" w:bidi="fr-FR"/>
              </w:rPr>
              <w:t>'</w:t>
            </w:r>
            <w:r w:rsidRPr="00F3021F">
              <w:rPr>
                <w:szCs w:val="24"/>
                <w:lang w:val="fr-FR" w:bidi="fr-FR"/>
              </w:rPr>
              <w:t>activités d</w:t>
            </w:r>
            <w:r w:rsidR="000F7A90">
              <w:rPr>
                <w:szCs w:val="24"/>
                <w:lang w:val="fr-FR" w:bidi="fr-FR"/>
              </w:rPr>
              <w:t>'</w:t>
            </w:r>
            <w:r w:rsidRPr="00F3021F">
              <w:rPr>
                <w:szCs w:val="24"/>
                <w:lang w:val="fr-FR" w:bidi="fr-FR"/>
              </w:rPr>
              <w:t>échange de connaissances, notamment à l</w:t>
            </w:r>
            <w:r w:rsidR="000F7A90">
              <w:rPr>
                <w:szCs w:val="24"/>
                <w:lang w:val="fr-FR" w:bidi="fr-FR"/>
              </w:rPr>
              <w:t>'</w:t>
            </w:r>
            <w:r w:rsidRPr="00F3021F">
              <w:rPr>
                <w:szCs w:val="24"/>
                <w:lang w:val="fr-FR" w:bidi="fr-FR"/>
              </w:rPr>
              <w:t>occasion du Forum pour les jeunes dirigeants du secteur des TIC organisé à Busan (République de Corée), du Forum régional de l</w:t>
            </w:r>
            <w:r w:rsidR="000F7A90">
              <w:rPr>
                <w:szCs w:val="24"/>
                <w:lang w:val="fr-FR" w:bidi="fr-FR"/>
              </w:rPr>
              <w:t>'</w:t>
            </w:r>
            <w:r w:rsidRPr="00F3021F">
              <w:rPr>
                <w:szCs w:val="24"/>
                <w:lang w:val="fr-FR" w:bidi="fr-FR"/>
              </w:rPr>
              <w:t>innovation à Oslo (Norvège) et d</w:t>
            </w:r>
            <w:r w:rsidR="000F7A90">
              <w:rPr>
                <w:szCs w:val="24"/>
                <w:lang w:val="fr-FR" w:bidi="fr-FR"/>
              </w:rPr>
              <w:t>'</w:t>
            </w:r>
            <w:r w:rsidRPr="00F3021F">
              <w:rPr>
                <w:szCs w:val="24"/>
                <w:lang w:val="fr-FR" w:bidi="fr-FR"/>
              </w:rPr>
              <w:t>ateliers nationaux en Thaïlande et en Afrique du Sud. Certains de ces ateliers de renforcement des capacités ont conduit à la création</w:t>
            </w:r>
            <w:r w:rsidR="000F7530">
              <w:rPr>
                <w:szCs w:val="24"/>
                <w:lang w:val="fr-FR" w:bidi="fr-FR"/>
              </w:rPr>
              <w:t xml:space="preserve"> conjointe de projets avec les M</w:t>
            </w:r>
            <w:r w:rsidRPr="00F3021F">
              <w:rPr>
                <w:szCs w:val="24"/>
                <w:lang w:val="fr-FR" w:bidi="fr-FR"/>
              </w:rPr>
              <w:t>embres de l</w:t>
            </w:r>
            <w:r w:rsidR="000F7A90">
              <w:rPr>
                <w:szCs w:val="24"/>
                <w:lang w:val="fr-FR" w:bidi="fr-FR"/>
              </w:rPr>
              <w:t>'</w:t>
            </w:r>
            <w:r w:rsidRPr="00F3021F">
              <w:rPr>
                <w:szCs w:val="24"/>
                <w:lang w:val="fr-FR" w:bidi="fr-FR"/>
              </w:rPr>
              <w:t>UIT, tels que l</w:t>
            </w:r>
            <w:r w:rsidR="000F7A90">
              <w:rPr>
                <w:szCs w:val="24"/>
                <w:lang w:val="fr-FR" w:bidi="fr-FR"/>
              </w:rPr>
              <w:t>'</w:t>
            </w:r>
            <w:r w:rsidRPr="00F3021F">
              <w:rPr>
                <w:szCs w:val="24"/>
                <w:lang w:val="fr-FR" w:bidi="fr-FR"/>
              </w:rPr>
              <w:t>initiative du Centre pour la transformation numérique présentée à Durban (Afrique du Sud) ou un projet d</w:t>
            </w:r>
            <w:r w:rsidR="000F7A90">
              <w:rPr>
                <w:szCs w:val="24"/>
                <w:lang w:val="fr-FR" w:bidi="fr-FR"/>
              </w:rPr>
              <w:t>'</w:t>
            </w:r>
            <w:r w:rsidRPr="00F3021F">
              <w:rPr>
                <w:szCs w:val="24"/>
                <w:lang w:val="fr-FR" w:bidi="fr-FR"/>
              </w:rPr>
              <w:t>innovation en cours de réalisation par l</w:t>
            </w:r>
            <w:r w:rsidR="000F7A90">
              <w:rPr>
                <w:szCs w:val="24"/>
                <w:lang w:val="fr-FR" w:bidi="fr-FR"/>
              </w:rPr>
              <w:t>'</w:t>
            </w:r>
            <w:r w:rsidRPr="00F3021F">
              <w:rPr>
                <w:szCs w:val="24"/>
                <w:lang w:val="fr-FR" w:bidi="fr-FR"/>
              </w:rPr>
              <w:t>Oslo Metropolitan University à Oslo (Norvège).</w:t>
            </w:r>
          </w:p>
        </w:tc>
      </w:tr>
      <w:tr w:rsidR="00B16A86" w:rsidRPr="00F3021F" w14:paraId="3F3974EA" w14:textId="77777777" w:rsidTr="00127B97">
        <w:tc>
          <w:tcPr>
            <w:tcW w:w="3256" w:type="dxa"/>
            <w:tcBorders>
              <w:top w:val="single" w:sz="4" w:space="0" w:color="auto"/>
              <w:bottom w:val="single" w:sz="4" w:space="0" w:color="auto"/>
              <w:right w:val="single" w:sz="4" w:space="0" w:color="auto"/>
            </w:tcBorders>
          </w:tcPr>
          <w:p w14:paraId="2DCEFACE" w14:textId="77777777" w:rsidR="00B16A86" w:rsidRPr="00F3021F" w:rsidRDefault="00B16A86" w:rsidP="00C762CF">
            <w:pPr>
              <w:spacing w:before="0"/>
              <w:rPr>
                <w:i/>
                <w:iCs/>
                <w:szCs w:val="24"/>
                <w:lang w:val="fr-FR"/>
              </w:rPr>
            </w:pPr>
            <w:r w:rsidRPr="00F3021F">
              <w:rPr>
                <w:i/>
                <w:szCs w:val="24"/>
                <w:lang w:val="fr-FR" w:bidi="fr-FR"/>
              </w:rPr>
              <w:lastRenderedPageBreak/>
              <w:t>CMDT</w:t>
            </w:r>
          </w:p>
        </w:tc>
        <w:tc>
          <w:tcPr>
            <w:tcW w:w="6373" w:type="dxa"/>
            <w:tcBorders>
              <w:top w:val="single" w:sz="4" w:space="0" w:color="auto"/>
              <w:left w:val="single" w:sz="4" w:space="0" w:color="auto"/>
              <w:bottom w:val="single" w:sz="4" w:space="0" w:color="auto"/>
            </w:tcBorders>
          </w:tcPr>
          <w:p w14:paraId="78786EA4" w14:textId="77777777" w:rsidR="00B16A86" w:rsidRPr="00F3021F" w:rsidRDefault="00B16A86" w:rsidP="00C762CF">
            <w:pPr>
              <w:spacing w:before="0"/>
              <w:rPr>
                <w:szCs w:val="24"/>
                <w:lang w:val="fr-FR"/>
              </w:rPr>
            </w:pPr>
            <w:bookmarkStart w:id="53" w:name="lt_pId267"/>
            <w:r w:rsidRPr="00F3021F">
              <w:rPr>
                <w:szCs w:val="24"/>
                <w:lang w:val="fr-FR" w:bidi="fr-FR"/>
              </w:rPr>
              <w:t>Résolutions 1, 5, 30, 33, 50, 59, 71, 157</w:t>
            </w:r>
            <w:bookmarkEnd w:id="53"/>
          </w:p>
        </w:tc>
      </w:tr>
      <w:tr w:rsidR="00B16A86" w:rsidRPr="00F3021F" w14:paraId="50B56F04" w14:textId="77777777" w:rsidTr="00127B97">
        <w:trPr>
          <w:trHeight w:val="397"/>
        </w:trPr>
        <w:tc>
          <w:tcPr>
            <w:tcW w:w="3256" w:type="dxa"/>
            <w:tcBorders>
              <w:top w:val="single" w:sz="4" w:space="0" w:color="auto"/>
              <w:bottom w:val="single" w:sz="4" w:space="0" w:color="auto"/>
              <w:right w:val="single" w:sz="4" w:space="0" w:color="auto"/>
            </w:tcBorders>
          </w:tcPr>
          <w:p w14:paraId="1A470376" w14:textId="77777777" w:rsidR="00B16A86" w:rsidRPr="00F3021F" w:rsidRDefault="00B16A86"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315C802A" w14:textId="77777777" w:rsidR="00B16A86" w:rsidRPr="00F3021F" w:rsidRDefault="00B16A86" w:rsidP="00C762CF">
            <w:pPr>
              <w:spacing w:before="0"/>
              <w:rPr>
                <w:szCs w:val="24"/>
                <w:lang w:val="fr-FR"/>
              </w:rPr>
            </w:pPr>
            <w:bookmarkStart w:id="54" w:name="lt_pId269"/>
            <w:r w:rsidRPr="00F3021F">
              <w:rPr>
                <w:szCs w:val="24"/>
                <w:lang w:val="fr-FR" w:bidi="fr-FR"/>
              </w:rPr>
              <w:t>Décisions 5, 13</w:t>
            </w:r>
            <w:bookmarkEnd w:id="54"/>
          </w:p>
          <w:p w14:paraId="44AD8ADF" w14:textId="77777777" w:rsidR="00B16A86" w:rsidRPr="00F3021F" w:rsidRDefault="00B16A86" w:rsidP="00C762CF">
            <w:pPr>
              <w:spacing w:before="0"/>
              <w:rPr>
                <w:szCs w:val="24"/>
                <w:lang w:val="fr-FR"/>
              </w:rPr>
            </w:pPr>
            <w:bookmarkStart w:id="55" w:name="lt_pId270"/>
            <w:r w:rsidRPr="00F3021F">
              <w:rPr>
                <w:szCs w:val="24"/>
                <w:lang w:val="fr-FR" w:bidi="fr-FR"/>
              </w:rPr>
              <w:t>Résolutions 25, 71, 72</w:t>
            </w:r>
            <w:bookmarkEnd w:id="55"/>
          </w:p>
        </w:tc>
      </w:tr>
      <w:tr w:rsidR="00B16A86" w:rsidRPr="00F3021F" w14:paraId="073EB3F7" w14:textId="77777777" w:rsidTr="00127B97">
        <w:trPr>
          <w:trHeight w:val="397"/>
        </w:trPr>
        <w:tc>
          <w:tcPr>
            <w:tcW w:w="3256" w:type="dxa"/>
            <w:tcBorders>
              <w:top w:val="single" w:sz="4" w:space="0" w:color="auto"/>
              <w:bottom w:val="single" w:sz="4" w:space="0" w:color="auto"/>
              <w:right w:val="single" w:sz="4" w:space="0" w:color="auto"/>
            </w:tcBorders>
          </w:tcPr>
          <w:p w14:paraId="5B70DCC5" w14:textId="77777777" w:rsidR="00B16A86" w:rsidRPr="00F3021F" w:rsidRDefault="00B16A86"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13D25620" w14:textId="49707CFE" w:rsidR="00B16A86" w:rsidRPr="00F3021F" w:rsidRDefault="00B16A86" w:rsidP="00C762CF">
            <w:pPr>
              <w:spacing w:before="0"/>
              <w:rPr>
                <w:szCs w:val="24"/>
                <w:lang w:val="fr-FR"/>
              </w:rPr>
            </w:pPr>
            <w:bookmarkStart w:id="56" w:name="lt_pId272"/>
            <w:r w:rsidRPr="00F3021F">
              <w:rPr>
                <w:lang w:val="fr-FR" w:bidi="fr-FR"/>
              </w:rPr>
              <w:t>Grandes orientations 3, 4, 5, 6, et 7 du SMSI figurant dans le Plan d</w:t>
            </w:r>
            <w:r w:rsidR="000F7A90">
              <w:rPr>
                <w:lang w:val="fr-FR" w:bidi="fr-FR"/>
              </w:rPr>
              <w:t>'</w:t>
            </w:r>
            <w:r w:rsidRPr="00F3021F">
              <w:rPr>
                <w:lang w:val="fr-FR" w:bidi="fr-FR"/>
              </w:rPr>
              <w:t>action de Genève et section de l</w:t>
            </w:r>
            <w:r w:rsidR="000F7A90">
              <w:rPr>
                <w:lang w:val="fr-FR" w:bidi="fr-FR"/>
              </w:rPr>
              <w:t>'</w:t>
            </w:r>
            <w:r w:rsidRPr="00F3021F">
              <w:rPr>
                <w:lang w:val="fr-FR" w:bidi="fr-FR"/>
              </w:rPr>
              <w:t>Agenda de Tunis pour la société de l</w:t>
            </w:r>
            <w:r w:rsidR="000F7A90">
              <w:rPr>
                <w:lang w:val="fr-FR" w:bidi="fr-FR"/>
              </w:rPr>
              <w:t>'</w:t>
            </w:r>
            <w:r w:rsidRPr="00F3021F">
              <w:rPr>
                <w:lang w:val="fr-FR" w:bidi="fr-FR"/>
              </w:rPr>
              <w:t>information intitulée "Mécanismes de financement pour relever le défi que représente l</w:t>
            </w:r>
            <w:r w:rsidR="000F7A90">
              <w:rPr>
                <w:lang w:val="fr-FR" w:bidi="fr-FR"/>
              </w:rPr>
              <w:t>'</w:t>
            </w:r>
            <w:r w:rsidRPr="00F3021F">
              <w:rPr>
                <w:lang w:val="fr-FR" w:bidi="fr-FR"/>
              </w:rPr>
              <w:t>utilisation des TIC au service du développement"</w:t>
            </w:r>
            <w:bookmarkEnd w:id="56"/>
          </w:p>
        </w:tc>
      </w:tr>
      <w:tr w:rsidR="00B16A86" w:rsidRPr="00F3021F" w14:paraId="00330460" w14:textId="77777777" w:rsidTr="00127B97">
        <w:tc>
          <w:tcPr>
            <w:tcW w:w="3256" w:type="dxa"/>
            <w:tcBorders>
              <w:top w:val="single" w:sz="4" w:space="0" w:color="auto"/>
              <w:bottom w:val="single" w:sz="4" w:space="0" w:color="auto"/>
              <w:right w:val="single" w:sz="4" w:space="0" w:color="auto"/>
            </w:tcBorders>
          </w:tcPr>
          <w:p w14:paraId="0B8AAFE6" w14:textId="77777777" w:rsidR="00B16A86" w:rsidRPr="00F3021F" w:rsidRDefault="00B16A86"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628AC1A0" w14:textId="77777777" w:rsidR="00B16A86" w:rsidRPr="00F3021F" w:rsidRDefault="00B16A86" w:rsidP="00C762CF">
            <w:pPr>
              <w:spacing w:before="0"/>
              <w:rPr>
                <w:szCs w:val="24"/>
                <w:lang w:val="fr-FR"/>
              </w:rPr>
            </w:pPr>
            <w:bookmarkStart w:id="57" w:name="lt_pId274"/>
            <w:r w:rsidRPr="00F3021F">
              <w:rPr>
                <w:szCs w:val="24"/>
                <w:lang w:val="fr-FR" w:bidi="fr-FR"/>
              </w:rPr>
              <w:t>Objectifs de développement durable:</w:t>
            </w:r>
            <w:bookmarkEnd w:id="57"/>
            <w:r w:rsidRPr="00F3021F">
              <w:rPr>
                <w:szCs w:val="24"/>
                <w:lang w:val="fr-FR" w:bidi="fr-FR"/>
              </w:rPr>
              <w:t xml:space="preserve"> </w:t>
            </w:r>
            <w:bookmarkStart w:id="58" w:name="lt_pId275"/>
            <w:r w:rsidRPr="00F3021F">
              <w:rPr>
                <w:szCs w:val="24"/>
                <w:lang w:val="fr-FR" w:bidi="fr-FR"/>
              </w:rPr>
              <w:t>1 (cibles 1.a;</w:t>
            </w:r>
            <w:bookmarkEnd w:id="58"/>
            <w:r w:rsidRPr="00F3021F">
              <w:rPr>
                <w:szCs w:val="24"/>
                <w:lang w:val="fr-FR" w:bidi="fr-FR"/>
              </w:rPr>
              <w:t xml:space="preserve"> </w:t>
            </w:r>
            <w:bookmarkStart w:id="59" w:name="lt_pId276"/>
            <w:r w:rsidRPr="00F3021F">
              <w:rPr>
                <w:szCs w:val="24"/>
                <w:lang w:val="fr-FR" w:bidi="fr-FR"/>
              </w:rPr>
              <w:t>1.b), 2 (cibles 2.a, 2.c), 3, 4 (cibles 4.a, 4.b, 4.3, 4.7), 5 (cibles 5.b, 5.6), 8 (cibles 8.2, 8.3, 8.6, 8.10, 8.b), 9 (cibles 9.5, 9.b, 9.c), 10, 11 (cibles 11.1, 11.4), 12, 13 (cible 13.3), 16, 17 (cibles 17.1, 17.3, 17.9, 17.14, 17.16, 17.17)</w:t>
            </w:r>
            <w:bookmarkEnd w:id="59"/>
          </w:p>
        </w:tc>
      </w:tr>
    </w:tbl>
    <w:p w14:paraId="403B83E8" w14:textId="367E4828" w:rsidR="0003758B" w:rsidRPr="00C762CF" w:rsidRDefault="0003758B" w:rsidP="00C762CF">
      <w:pPr>
        <w:pStyle w:val="Heading1"/>
        <w:rPr>
          <w:lang w:val="fr-FR"/>
        </w:rPr>
      </w:pPr>
      <w:r w:rsidRPr="00C762CF">
        <w:rPr>
          <w:lang w:val="fr-FR" w:bidi="fr-FR"/>
        </w:rPr>
        <w:t>3</w:t>
      </w:r>
      <w:r w:rsidRPr="00C762CF">
        <w:rPr>
          <w:lang w:val="fr-FR" w:bidi="fr-FR"/>
        </w:rPr>
        <w:tab/>
        <w:t>Objectif 3: "Renforcer la confiance et la sécurité dans l</w:t>
      </w:r>
      <w:r w:rsidR="000F7A90">
        <w:rPr>
          <w:lang w:val="fr-FR" w:bidi="fr-FR"/>
        </w:rPr>
        <w:t>'</w:t>
      </w:r>
      <w:r w:rsidRPr="00C762CF">
        <w:rPr>
          <w:lang w:val="fr-FR" w:bidi="fr-FR"/>
        </w:rPr>
        <w:t>utilisation des télécommunications/TIC, ainsi que dans le déploiement des applications et des services correspondants"</w:t>
      </w:r>
    </w:p>
    <w:p w14:paraId="46403B7E" w14:textId="7774E3A6" w:rsidR="0003758B" w:rsidRPr="00F3021F" w:rsidRDefault="0003758B" w:rsidP="00C762CF">
      <w:pPr>
        <w:pStyle w:val="Heading2"/>
        <w:spacing w:after="120"/>
        <w:rPr>
          <w:lang w:val="fr-FR"/>
        </w:rPr>
      </w:pPr>
      <w:r w:rsidRPr="00F3021F">
        <w:rPr>
          <w:lang w:val="fr-FR" w:bidi="fr-FR"/>
        </w:rPr>
        <w:t>3.1</w:t>
      </w:r>
      <w:r w:rsidRPr="00F3021F">
        <w:rPr>
          <w:lang w:val="fr-FR" w:bidi="fr-FR"/>
        </w:rPr>
        <w:tab/>
        <w:t>Instaurer la confiance et la sécurité dans l</w:t>
      </w:r>
      <w:r w:rsidR="000F7A90">
        <w:rPr>
          <w:lang w:val="fr-FR" w:bidi="fr-FR"/>
        </w:rPr>
        <w:t>'</w:t>
      </w:r>
      <w:r w:rsidRPr="00F3021F">
        <w:rPr>
          <w:lang w:val="fr-FR" w:bidi="fr-FR"/>
        </w:rPr>
        <w:t>utilisation des TIC</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03758B" w:rsidRPr="00F3021F" w14:paraId="2FDDA212" w14:textId="77777777" w:rsidTr="00127B97">
        <w:tc>
          <w:tcPr>
            <w:tcW w:w="9629" w:type="dxa"/>
            <w:gridSpan w:val="2"/>
            <w:tcBorders>
              <w:bottom w:val="single" w:sz="4" w:space="0" w:color="auto"/>
            </w:tcBorders>
          </w:tcPr>
          <w:p w14:paraId="29371B54" w14:textId="3FB9BD7F" w:rsidR="0003758B" w:rsidRPr="00F3021F" w:rsidRDefault="00483C55" w:rsidP="00C762CF">
            <w:pPr>
              <w:rPr>
                <w:lang w:val="fr-FR"/>
              </w:rPr>
            </w:pPr>
            <w:bookmarkStart w:id="60" w:name="lt_pId282"/>
            <w:r w:rsidRPr="00F3021F">
              <w:rPr>
                <w:lang w:val="fr-FR" w:bidi="fr-FR"/>
              </w:rPr>
              <w:t>Le BDT a continué d</w:t>
            </w:r>
            <w:r w:rsidR="000F7A90">
              <w:rPr>
                <w:lang w:val="fr-FR" w:bidi="fr-FR"/>
              </w:rPr>
              <w:t>'</w:t>
            </w:r>
            <w:r w:rsidRPr="00F3021F">
              <w:rPr>
                <w:lang w:val="fr-FR" w:bidi="fr-FR"/>
              </w:rPr>
              <w:t>apporter un ap</w:t>
            </w:r>
            <w:r w:rsidR="000F7530">
              <w:rPr>
                <w:lang w:val="fr-FR" w:bidi="fr-FR"/>
              </w:rPr>
              <w:t>pui aux M</w:t>
            </w:r>
            <w:r w:rsidRPr="00F3021F">
              <w:rPr>
                <w:lang w:val="fr-FR" w:bidi="fr-FR"/>
              </w:rPr>
              <w:t>embres de l</w:t>
            </w:r>
            <w:r w:rsidR="000F7A90">
              <w:rPr>
                <w:lang w:val="fr-FR" w:bidi="fr-FR"/>
              </w:rPr>
              <w:t>'</w:t>
            </w:r>
            <w:r w:rsidRPr="00F3021F">
              <w:rPr>
                <w:lang w:val="fr-FR" w:bidi="fr-FR"/>
              </w:rPr>
              <w:t>UIT, en particulier aux pays en développement, en vue d</w:t>
            </w:r>
            <w:r w:rsidR="000F7A90">
              <w:rPr>
                <w:lang w:val="fr-FR" w:bidi="fr-FR"/>
              </w:rPr>
              <w:t>'</w:t>
            </w:r>
            <w:r w:rsidRPr="00F3021F">
              <w:rPr>
                <w:lang w:val="fr-FR" w:bidi="fr-FR"/>
              </w:rPr>
              <w:t>instaurer la confiance dans l</w:t>
            </w:r>
            <w:r w:rsidR="000F7A90">
              <w:rPr>
                <w:lang w:val="fr-FR" w:bidi="fr-FR"/>
              </w:rPr>
              <w:t>'</w:t>
            </w:r>
            <w:r w:rsidRPr="00F3021F">
              <w:rPr>
                <w:lang w:val="fr-FR" w:bidi="fr-FR"/>
              </w:rPr>
              <w:t>utilisation des TIC. Le BDT a notamment mené des activités de renforcement des capacités et de communication, ainsi que des activités concernant des améliorations juridiques et techniques, et portant sur la coopération internationale.</w:t>
            </w:r>
            <w:bookmarkEnd w:id="60"/>
          </w:p>
          <w:p w14:paraId="42203517" w14:textId="7F94EBE1" w:rsidR="0003758B" w:rsidRPr="00F3021F" w:rsidRDefault="0003758B" w:rsidP="00C762CF">
            <w:pPr>
              <w:rPr>
                <w:lang w:val="fr-FR"/>
              </w:rPr>
            </w:pPr>
            <w:r w:rsidRPr="00F3021F">
              <w:rPr>
                <w:lang w:val="fr-FR" w:bidi="fr-FR"/>
              </w:rPr>
              <w:t>La deuxième édition de l</w:t>
            </w:r>
            <w:r w:rsidR="000F7A90">
              <w:rPr>
                <w:lang w:val="fr-FR" w:bidi="fr-FR"/>
              </w:rPr>
              <w:t>'</w:t>
            </w:r>
            <w:r w:rsidRPr="00F3021F">
              <w:rPr>
                <w:lang w:val="fr-FR" w:bidi="fr-FR"/>
              </w:rPr>
              <w:t>Indice mondial de cybersécurité a été présentée. Cet indice vise à mesurer le niveau de développement des Etats Membres en matière de cybersécurité.</w:t>
            </w:r>
          </w:p>
          <w:p w14:paraId="68A18972" w14:textId="1D2ECAE2" w:rsidR="00483C55" w:rsidRPr="00F3021F" w:rsidRDefault="00483C55" w:rsidP="00C762CF">
            <w:pPr>
              <w:spacing w:after="120"/>
              <w:rPr>
                <w:szCs w:val="24"/>
                <w:lang w:val="fr-FR"/>
              </w:rPr>
            </w:pPr>
            <w:r w:rsidRPr="00F3021F">
              <w:rPr>
                <w:szCs w:val="24"/>
                <w:lang w:val="fr-FR" w:bidi="fr-FR"/>
              </w:rPr>
              <w:t>Un Guide pour l</w:t>
            </w:r>
            <w:r w:rsidR="000F7A90">
              <w:rPr>
                <w:szCs w:val="24"/>
                <w:lang w:val="fr-FR" w:bidi="fr-FR"/>
              </w:rPr>
              <w:t>'</w:t>
            </w:r>
            <w:r w:rsidRPr="00F3021F">
              <w:rPr>
                <w:szCs w:val="24"/>
                <w:lang w:val="fr-FR" w:bidi="fr-FR"/>
              </w:rPr>
              <w:t>élaboration d</w:t>
            </w:r>
            <w:r w:rsidR="000F7A90">
              <w:rPr>
                <w:szCs w:val="24"/>
                <w:lang w:val="fr-FR" w:bidi="fr-FR"/>
              </w:rPr>
              <w:t>'</w:t>
            </w:r>
            <w:r w:rsidRPr="00F3021F">
              <w:rPr>
                <w:szCs w:val="24"/>
                <w:lang w:val="fr-FR" w:bidi="fr-FR"/>
              </w:rPr>
              <w:t>une stratégie nationale de cybersécurité, présenté officiellement à l</w:t>
            </w:r>
            <w:r w:rsidR="000F7A90">
              <w:rPr>
                <w:szCs w:val="24"/>
                <w:lang w:val="fr-FR" w:bidi="fr-FR"/>
              </w:rPr>
              <w:t>'</w:t>
            </w:r>
            <w:r w:rsidRPr="00F3021F">
              <w:rPr>
                <w:szCs w:val="24"/>
                <w:lang w:val="fr-FR" w:bidi="fr-FR"/>
              </w:rPr>
              <w:t>occasion d</w:t>
            </w:r>
            <w:r w:rsidR="000F7A90">
              <w:rPr>
                <w:szCs w:val="24"/>
                <w:lang w:val="fr-FR" w:bidi="fr-FR"/>
              </w:rPr>
              <w:t>'</w:t>
            </w:r>
            <w:r w:rsidRPr="00F3021F">
              <w:rPr>
                <w:szCs w:val="24"/>
                <w:lang w:val="fr-FR" w:bidi="fr-FR"/>
              </w:rPr>
              <w:t>ITU Telecom World, a été élaboré dans le cadre d</w:t>
            </w:r>
            <w:r w:rsidR="000F7A90">
              <w:rPr>
                <w:szCs w:val="24"/>
                <w:lang w:val="fr-FR" w:bidi="fr-FR"/>
              </w:rPr>
              <w:t>'</w:t>
            </w:r>
            <w:r w:rsidRPr="00F3021F">
              <w:rPr>
                <w:szCs w:val="24"/>
                <w:lang w:val="fr-FR" w:bidi="fr-FR"/>
              </w:rPr>
              <w:t>une action coordonnée par l</w:t>
            </w:r>
            <w:r w:rsidR="000F7A90">
              <w:rPr>
                <w:szCs w:val="24"/>
                <w:lang w:val="fr-FR" w:bidi="fr-FR"/>
              </w:rPr>
              <w:t>'</w:t>
            </w:r>
            <w:r w:rsidRPr="00F3021F">
              <w:rPr>
                <w:szCs w:val="24"/>
                <w:lang w:val="fr-FR" w:bidi="fr-FR"/>
              </w:rPr>
              <w:t>UIT qui a fait appel à de multiples parties prenantes, en partenariat avec, entre autres, l</w:t>
            </w:r>
            <w:r w:rsidR="000F7A90">
              <w:rPr>
                <w:szCs w:val="24"/>
                <w:lang w:val="fr-FR" w:bidi="fr-FR"/>
              </w:rPr>
              <w:t>'</w:t>
            </w:r>
            <w:r w:rsidRPr="00F3021F">
              <w:rPr>
                <w:szCs w:val="24"/>
                <w:lang w:val="fr-FR" w:bidi="fr-FR"/>
              </w:rPr>
              <w:t>Université d</w:t>
            </w:r>
            <w:r w:rsidR="000F7A90">
              <w:rPr>
                <w:szCs w:val="24"/>
                <w:lang w:val="fr-FR" w:bidi="fr-FR"/>
              </w:rPr>
              <w:t>'</w:t>
            </w:r>
            <w:r w:rsidRPr="00F3021F">
              <w:rPr>
                <w:szCs w:val="24"/>
                <w:lang w:val="fr-FR" w:bidi="fr-FR"/>
              </w:rPr>
              <w:t>Oxford, Deloitte, Microsoft, le Potomac Institute, RAND Europe, la Conférence des Nations Unies sur le commerce et le développement (CNUCED) et la Banque mondiale.</w:t>
            </w:r>
          </w:p>
          <w:p w14:paraId="1822CF4E" w14:textId="1291627D" w:rsidR="00483C55" w:rsidRPr="00F3021F" w:rsidRDefault="00483C55" w:rsidP="00C762CF">
            <w:pPr>
              <w:spacing w:after="120"/>
              <w:rPr>
                <w:szCs w:val="24"/>
                <w:lang w:val="fr-FR"/>
              </w:rPr>
            </w:pPr>
            <w:r w:rsidRPr="00F3021F">
              <w:rPr>
                <w:szCs w:val="24"/>
                <w:lang w:val="fr-FR" w:bidi="fr-FR"/>
              </w:rPr>
              <w:t>Plusieurs initiatives et activités relatives à la promotion d</w:t>
            </w:r>
            <w:r w:rsidR="000F7A90">
              <w:rPr>
                <w:szCs w:val="24"/>
                <w:lang w:val="fr-FR" w:bidi="fr-FR"/>
              </w:rPr>
              <w:t>'</w:t>
            </w:r>
            <w:r w:rsidRPr="00F3021F">
              <w:rPr>
                <w:szCs w:val="24"/>
                <w:lang w:val="fr-FR" w:bidi="fr-FR"/>
              </w:rPr>
              <w:t xml:space="preserve">une culture de la cybersécurité et aux questions connexes ont été mises en </w:t>
            </w:r>
            <w:r w:rsidR="00C762CF">
              <w:rPr>
                <w:szCs w:val="24"/>
                <w:lang w:val="fr-FR" w:bidi="fr-FR"/>
              </w:rPr>
              <w:t>oe</w:t>
            </w:r>
            <w:r w:rsidR="000F7A90">
              <w:rPr>
                <w:szCs w:val="24"/>
                <w:lang w:val="fr-FR" w:bidi="fr-FR"/>
              </w:rPr>
              <w:t>uvre (par exemple</w:t>
            </w:r>
            <w:r w:rsidRPr="00F3021F">
              <w:rPr>
                <w:szCs w:val="24"/>
                <w:lang w:val="fr-FR" w:bidi="fr-FR"/>
              </w:rPr>
              <w:t xml:space="preserve"> au Cameroun, en Iran, en</w:t>
            </w:r>
            <w:r w:rsidR="00C762CF">
              <w:rPr>
                <w:szCs w:val="24"/>
                <w:lang w:val="fr-FR" w:bidi="fr-FR"/>
              </w:rPr>
              <w:t xml:space="preserve"> Tunisie ou encore en Ukraine).</w:t>
            </w:r>
          </w:p>
          <w:p w14:paraId="0A77A49A" w14:textId="0A2A3D94" w:rsidR="00483C55" w:rsidRPr="00F3021F" w:rsidRDefault="00483C55" w:rsidP="00C762CF">
            <w:pPr>
              <w:spacing w:after="120"/>
              <w:rPr>
                <w:szCs w:val="24"/>
                <w:lang w:val="fr-FR"/>
              </w:rPr>
            </w:pPr>
            <w:r w:rsidRPr="00F3021F">
              <w:rPr>
                <w:szCs w:val="24"/>
                <w:lang w:val="fr-FR" w:bidi="fr-FR"/>
              </w:rPr>
              <w:lastRenderedPageBreak/>
              <w:t>Le BDT a aidé à la mise en place et au renforcement d</w:t>
            </w:r>
            <w:r w:rsidR="000F7A90">
              <w:rPr>
                <w:szCs w:val="24"/>
                <w:lang w:val="fr-FR" w:bidi="fr-FR"/>
              </w:rPr>
              <w:t>'</w:t>
            </w:r>
            <w:r w:rsidRPr="00F3021F">
              <w:rPr>
                <w:szCs w:val="24"/>
                <w:lang w:val="fr-FR" w:bidi="fr-FR"/>
              </w:rPr>
              <w:t>équipes nationales d</w:t>
            </w:r>
            <w:r w:rsidR="000F7A90">
              <w:rPr>
                <w:szCs w:val="24"/>
                <w:lang w:val="fr-FR" w:bidi="fr-FR"/>
              </w:rPr>
              <w:t>'</w:t>
            </w:r>
            <w:r w:rsidRPr="00F3021F">
              <w:rPr>
                <w:szCs w:val="24"/>
                <w:lang w:val="fr-FR" w:bidi="fr-FR"/>
              </w:rPr>
              <w:t>intervention en cas d</w:t>
            </w:r>
            <w:r w:rsidR="000F7A90">
              <w:rPr>
                <w:szCs w:val="24"/>
                <w:lang w:val="fr-FR" w:bidi="fr-FR"/>
              </w:rPr>
              <w:t>'</w:t>
            </w:r>
            <w:r w:rsidRPr="00F3021F">
              <w:rPr>
                <w:szCs w:val="24"/>
                <w:lang w:val="fr-FR" w:bidi="fr-FR"/>
              </w:rPr>
              <w:t>inci</w:t>
            </w:r>
            <w:r w:rsidR="000F7A90">
              <w:rPr>
                <w:szCs w:val="24"/>
                <w:lang w:val="fr-FR" w:bidi="fr-FR"/>
              </w:rPr>
              <w:t>dent informatique (CIRT) (par exemple</w:t>
            </w:r>
            <w:r w:rsidRPr="00F3021F">
              <w:rPr>
                <w:szCs w:val="24"/>
                <w:lang w:val="fr-FR" w:bidi="fr-FR"/>
              </w:rPr>
              <w:t xml:space="preserve"> au Botswana, au Burundi, à Chypre, en Gambie, au Kirghizistan, au </w:t>
            </w:r>
            <w:r w:rsidR="00C762CF">
              <w:rPr>
                <w:szCs w:val="24"/>
                <w:lang w:val="fr-FR" w:bidi="fr-FR"/>
              </w:rPr>
              <w:t>Malawi, au Samoa et aux Tonga).</w:t>
            </w:r>
          </w:p>
          <w:p w14:paraId="2AF26371" w14:textId="5212B5EB" w:rsidR="0003758B" w:rsidRPr="00F3021F" w:rsidRDefault="00483C55" w:rsidP="00C762CF">
            <w:pPr>
              <w:spacing w:after="120"/>
              <w:rPr>
                <w:lang w:val="fr-FR"/>
              </w:rPr>
            </w:pPr>
            <w:r w:rsidRPr="00F3021F">
              <w:rPr>
                <w:szCs w:val="24"/>
                <w:lang w:val="fr-FR" w:bidi="fr-FR"/>
              </w:rPr>
              <w:t>Cinq cyberexercices régionaux ont été menés en Argentine, en Azerbaïdjan, à Chypre, en Côte d</w:t>
            </w:r>
            <w:r w:rsidR="000F7A90">
              <w:rPr>
                <w:szCs w:val="24"/>
                <w:lang w:val="fr-FR" w:bidi="fr-FR"/>
              </w:rPr>
              <w:t>'</w:t>
            </w:r>
            <w:r w:rsidRPr="00F3021F">
              <w:rPr>
                <w:szCs w:val="24"/>
                <w:lang w:val="fr-FR" w:bidi="fr-FR"/>
              </w:rPr>
              <w:t>Ivoire et au Koweït.</w:t>
            </w:r>
          </w:p>
        </w:tc>
      </w:tr>
      <w:tr w:rsidR="0003758B" w:rsidRPr="00F3021F" w14:paraId="3BB36A5A" w14:textId="77777777" w:rsidTr="00127B97">
        <w:tc>
          <w:tcPr>
            <w:tcW w:w="3114" w:type="dxa"/>
            <w:tcBorders>
              <w:top w:val="single" w:sz="4" w:space="0" w:color="auto"/>
              <w:bottom w:val="single" w:sz="4" w:space="0" w:color="auto"/>
              <w:right w:val="single" w:sz="4" w:space="0" w:color="auto"/>
            </w:tcBorders>
          </w:tcPr>
          <w:p w14:paraId="649F52F8" w14:textId="77777777" w:rsidR="0003758B" w:rsidRPr="00F3021F" w:rsidRDefault="0003758B" w:rsidP="00C762CF">
            <w:pPr>
              <w:spacing w:before="0"/>
              <w:rPr>
                <w:i/>
                <w:iCs/>
                <w:szCs w:val="24"/>
                <w:lang w:val="fr-FR"/>
              </w:rPr>
            </w:pPr>
            <w:r w:rsidRPr="00F3021F">
              <w:rPr>
                <w:i/>
                <w:szCs w:val="24"/>
                <w:lang w:val="fr-FR" w:bidi="fr-FR"/>
              </w:rPr>
              <w:lastRenderedPageBreak/>
              <w:t>CMDT</w:t>
            </w:r>
          </w:p>
        </w:tc>
        <w:tc>
          <w:tcPr>
            <w:tcW w:w="6515" w:type="dxa"/>
            <w:tcBorders>
              <w:top w:val="single" w:sz="4" w:space="0" w:color="auto"/>
              <w:left w:val="single" w:sz="4" w:space="0" w:color="auto"/>
              <w:bottom w:val="single" w:sz="4" w:space="0" w:color="auto"/>
            </w:tcBorders>
          </w:tcPr>
          <w:p w14:paraId="4F3EEA68" w14:textId="77777777" w:rsidR="0003758B" w:rsidRPr="00F3021F" w:rsidRDefault="0003758B" w:rsidP="00C762CF">
            <w:pPr>
              <w:spacing w:before="0"/>
              <w:rPr>
                <w:szCs w:val="24"/>
                <w:lang w:val="fr-FR"/>
              </w:rPr>
            </w:pPr>
            <w:bookmarkStart w:id="61" w:name="lt_pId296"/>
            <w:r w:rsidRPr="00F3021F">
              <w:rPr>
                <w:szCs w:val="24"/>
                <w:lang w:val="fr-FR" w:bidi="fr-FR"/>
              </w:rPr>
              <w:t>Résolutions 1, 5, 9, 15, 30, 33, 37, 45, 50, 59, 64, 67, 69, 78, 79</w:t>
            </w:r>
            <w:bookmarkEnd w:id="61"/>
          </w:p>
        </w:tc>
      </w:tr>
      <w:tr w:rsidR="0003758B" w:rsidRPr="00F3021F" w14:paraId="78F96FB6" w14:textId="77777777" w:rsidTr="00127B97">
        <w:trPr>
          <w:trHeight w:val="397"/>
        </w:trPr>
        <w:tc>
          <w:tcPr>
            <w:tcW w:w="3114" w:type="dxa"/>
            <w:tcBorders>
              <w:top w:val="single" w:sz="4" w:space="0" w:color="auto"/>
              <w:bottom w:val="single" w:sz="4" w:space="0" w:color="auto"/>
              <w:right w:val="single" w:sz="4" w:space="0" w:color="auto"/>
            </w:tcBorders>
          </w:tcPr>
          <w:p w14:paraId="6D03DEFA" w14:textId="77777777" w:rsidR="0003758B" w:rsidRPr="00F3021F" w:rsidRDefault="0003758B" w:rsidP="00C762CF">
            <w:pPr>
              <w:spacing w:before="0"/>
              <w:rPr>
                <w:i/>
                <w:iCs/>
                <w:lang w:val="fr-FR"/>
              </w:rPr>
            </w:pPr>
            <w:r w:rsidRPr="00F3021F">
              <w:rPr>
                <w:i/>
                <w:lang w:val="fr-FR" w:bidi="fr-FR"/>
              </w:rPr>
              <w:t>Conférence de plénipotentiaires</w:t>
            </w:r>
          </w:p>
        </w:tc>
        <w:tc>
          <w:tcPr>
            <w:tcW w:w="6515" w:type="dxa"/>
            <w:tcBorders>
              <w:top w:val="single" w:sz="4" w:space="0" w:color="auto"/>
              <w:left w:val="single" w:sz="4" w:space="0" w:color="auto"/>
              <w:bottom w:val="single" w:sz="4" w:space="0" w:color="auto"/>
            </w:tcBorders>
          </w:tcPr>
          <w:p w14:paraId="488E0652" w14:textId="77777777" w:rsidR="0003758B" w:rsidRPr="00F3021F" w:rsidRDefault="0003758B" w:rsidP="00C762CF">
            <w:pPr>
              <w:spacing w:before="0"/>
              <w:rPr>
                <w:szCs w:val="24"/>
                <w:lang w:val="fr-FR"/>
              </w:rPr>
            </w:pPr>
            <w:bookmarkStart w:id="62" w:name="lt_pId298"/>
            <w:r w:rsidRPr="00F3021F">
              <w:rPr>
                <w:szCs w:val="24"/>
                <w:lang w:val="fr-FR" w:bidi="fr-FR"/>
              </w:rPr>
              <w:t>Décisions 5, 13</w:t>
            </w:r>
            <w:bookmarkEnd w:id="62"/>
          </w:p>
          <w:p w14:paraId="0B95480A" w14:textId="77777777" w:rsidR="0003758B" w:rsidRPr="00F3021F" w:rsidRDefault="0003758B" w:rsidP="00C762CF">
            <w:pPr>
              <w:spacing w:before="0"/>
              <w:rPr>
                <w:szCs w:val="24"/>
                <w:lang w:val="fr-FR"/>
              </w:rPr>
            </w:pPr>
            <w:bookmarkStart w:id="63" w:name="lt_pId299"/>
            <w:r w:rsidRPr="00F3021F">
              <w:rPr>
                <w:szCs w:val="24"/>
                <w:lang w:val="fr-FR" w:bidi="fr-FR"/>
              </w:rPr>
              <w:t>Résolutions 25, 71, 72, 130, 179, 181</w:t>
            </w:r>
            <w:bookmarkEnd w:id="63"/>
          </w:p>
        </w:tc>
      </w:tr>
      <w:tr w:rsidR="0003758B" w:rsidRPr="00F3021F" w14:paraId="754AEAC7" w14:textId="77777777" w:rsidTr="00127B97">
        <w:trPr>
          <w:trHeight w:val="397"/>
        </w:trPr>
        <w:tc>
          <w:tcPr>
            <w:tcW w:w="3114" w:type="dxa"/>
            <w:tcBorders>
              <w:top w:val="single" w:sz="4" w:space="0" w:color="auto"/>
              <w:bottom w:val="single" w:sz="4" w:space="0" w:color="auto"/>
              <w:right w:val="single" w:sz="4" w:space="0" w:color="auto"/>
            </w:tcBorders>
          </w:tcPr>
          <w:p w14:paraId="143F8F48" w14:textId="77777777" w:rsidR="0003758B" w:rsidRPr="00F3021F" w:rsidRDefault="0003758B" w:rsidP="00C762CF">
            <w:pPr>
              <w:spacing w:before="0"/>
              <w:rPr>
                <w:i/>
                <w:iCs/>
                <w:lang w:val="fr-FR"/>
              </w:rPr>
            </w:pPr>
            <w:r w:rsidRPr="00F3021F">
              <w:rPr>
                <w:i/>
                <w:lang w:val="fr-FR" w:bidi="fr-FR"/>
              </w:rPr>
              <w:t>AMNT</w:t>
            </w:r>
          </w:p>
        </w:tc>
        <w:tc>
          <w:tcPr>
            <w:tcW w:w="6515" w:type="dxa"/>
            <w:tcBorders>
              <w:top w:val="single" w:sz="4" w:space="0" w:color="auto"/>
              <w:left w:val="single" w:sz="4" w:space="0" w:color="auto"/>
              <w:bottom w:val="single" w:sz="4" w:space="0" w:color="auto"/>
            </w:tcBorders>
          </w:tcPr>
          <w:p w14:paraId="656881DD" w14:textId="77777777" w:rsidR="0003758B" w:rsidRPr="00F3021F" w:rsidRDefault="0003758B" w:rsidP="00C762CF">
            <w:pPr>
              <w:spacing w:before="0"/>
              <w:rPr>
                <w:szCs w:val="24"/>
                <w:lang w:val="fr-FR"/>
              </w:rPr>
            </w:pPr>
            <w:bookmarkStart w:id="64" w:name="lt_pId301"/>
            <w:r w:rsidRPr="00F3021F">
              <w:rPr>
                <w:szCs w:val="24"/>
                <w:lang w:val="fr-FR" w:bidi="fr-FR"/>
              </w:rPr>
              <w:t>Résolutions 50, 52, 58</w:t>
            </w:r>
            <w:bookmarkEnd w:id="64"/>
            <w:r w:rsidRPr="00F3021F">
              <w:rPr>
                <w:szCs w:val="24"/>
                <w:lang w:val="fr-FR" w:bidi="fr-FR"/>
              </w:rPr>
              <w:t xml:space="preserve"> </w:t>
            </w:r>
          </w:p>
        </w:tc>
      </w:tr>
      <w:tr w:rsidR="0003758B" w:rsidRPr="00F3021F" w14:paraId="79ADCFB1" w14:textId="77777777" w:rsidTr="00127B97">
        <w:trPr>
          <w:trHeight w:val="397"/>
        </w:trPr>
        <w:tc>
          <w:tcPr>
            <w:tcW w:w="3114" w:type="dxa"/>
            <w:tcBorders>
              <w:top w:val="single" w:sz="4" w:space="0" w:color="auto"/>
              <w:bottom w:val="single" w:sz="4" w:space="0" w:color="auto"/>
              <w:right w:val="single" w:sz="4" w:space="0" w:color="auto"/>
            </w:tcBorders>
          </w:tcPr>
          <w:p w14:paraId="561DB8EC" w14:textId="77777777" w:rsidR="0003758B" w:rsidRPr="00F3021F" w:rsidRDefault="0003758B" w:rsidP="00C762CF">
            <w:pPr>
              <w:spacing w:before="0"/>
              <w:rPr>
                <w:i/>
                <w:iCs/>
                <w:szCs w:val="24"/>
                <w:lang w:val="fr-FR"/>
              </w:rPr>
            </w:pPr>
            <w:r w:rsidRPr="00F3021F">
              <w:rPr>
                <w:i/>
                <w:lang w:val="fr-FR" w:bidi="fr-FR"/>
              </w:rPr>
              <w:t>Grandes orientations du SMSI</w:t>
            </w:r>
          </w:p>
        </w:tc>
        <w:tc>
          <w:tcPr>
            <w:tcW w:w="6515" w:type="dxa"/>
            <w:tcBorders>
              <w:top w:val="single" w:sz="4" w:space="0" w:color="auto"/>
              <w:left w:val="single" w:sz="4" w:space="0" w:color="auto"/>
              <w:bottom w:val="single" w:sz="4" w:space="0" w:color="auto"/>
            </w:tcBorders>
          </w:tcPr>
          <w:p w14:paraId="4D4C0D7A" w14:textId="77777777" w:rsidR="0003758B" w:rsidRPr="00F3021F" w:rsidRDefault="0003758B" w:rsidP="00C762CF">
            <w:pPr>
              <w:spacing w:before="0"/>
              <w:rPr>
                <w:szCs w:val="24"/>
                <w:lang w:val="fr-FR"/>
              </w:rPr>
            </w:pPr>
            <w:bookmarkStart w:id="65" w:name="lt_pId303"/>
            <w:r w:rsidRPr="00F3021F">
              <w:rPr>
                <w:szCs w:val="24"/>
                <w:lang w:val="fr-FR" w:bidi="fr-FR"/>
              </w:rPr>
              <w:t>Grande orientation C5</w:t>
            </w:r>
            <w:bookmarkEnd w:id="65"/>
            <w:r w:rsidRPr="00F3021F">
              <w:rPr>
                <w:szCs w:val="24"/>
                <w:lang w:val="fr-FR" w:bidi="fr-FR"/>
              </w:rPr>
              <w:t xml:space="preserve"> du SMSI</w:t>
            </w:r>
          </w:p>
        </w:tc>
      </w:tr>
      <w:tr w:rsidR="0003758B" w:rsidRPr="00F3021F" w14:paraId="1FFC7C40" w14:textId="77777777" w:rsidTr="00127B97">
        <w:tc>
          <w:tcPr>
            <w:tcW w:w="3114" w:type="dxa"/>
            <w:tcBorders>
              <w:top w:val="single" w:sz="4" w:space="0" w:color="auto"/>
              <w:bottom w:val="single" w:sz="4" w:space="0" w:color="auto"/>
              <w:right w:val="single" w:sz="4" w:space="0" w:color="auto"/>
            </w:tcBorders>
          </w:tcPr>
          <w:p w14:paraId="1C05B95B" w14:textId="77777777" w:rsidR="0003758B" w:rsidRPr="00F3021F" w:rsidRDefault="0003758B" w:rsidP="00C762CF">
            <w:pPr>
              <w:spacing w:before="0"/>
              <w:rPr>
                <w:i/>
                <w:iCs/>
                <w:szCs w:val="24"/>
                <w:lang w:val="fr-FR"/>
              </w:rPr>
            </w:pPr>
            <w:r w:rsidRPr="00F3021F">
              <w:rPr>
                <w:i/>
                <w:lang w:val="fr-FR" w:bidi="fr-FR"/>
              </w:rPr>
              <w:t>Contribution aux cibles des Objectifs de développement durable</w:t>
            </w:r>
          </w:p>
        </w:tc>
        <w:tc>
          <w:tcPr>
            <w:tcW w:w="6515" w:type="dxa"/>
            <w:tcBorders>
              <w:top w:val="single" w:sz="4" w:space="0" w:color="auto"/>
              <w:left w:val="single" w:sz="4" w:space="0" w:color="auto"/>
              <w:bottom w:val="single" w:sz="4" w:space="0" w:color="auto"/>
            </w:tcBorders>
          </w:tcPr>
          <w:p w14:paraId="22A49BDF" w14:textId="749B5E64" w:rsidR="0003758B" w:rsidRPr="00F3021F" w:rsidRDefault="0003758B" w:rsidP="000F7A90">
            <w:pPr>
              <w:spacing w:before="0"/>
              <w:rPr>
                <w:szCs w:val="24"/>
                <w:lang w:val="fr-FR"/>
              </w:rPr>
            </w:pPr>
            <w:bookmarkStart w:id="66" w:name="lt_pId305"/>
            <w:r w:rsidRPr="00F3021F">
              <w:rPr>
                <w:szCs w:val="24"/>
                <w:lang w:val="fr-FR" w:bidi="fr-FR"/>
              </w:rPr>
              <w:t>Objectifs de développement durable:</w:t>
            </w:r>
            <w:bookmarkEnd w:id="66"/>
            <w:r w:rsidRPr="00F3021F">
              <w:rPr>
                <w:szCs w:val="24"/>
                <w:lang w:val="fr-FR" w:bidi="fr-FR"/>
              </w:rPr>
              <w:t xml:space="preserve"> </w:t>
            </w:r>
            <w:bookmarkStart w:id="67" w:name="lt_pId306"/>
            <w:r w:rsidRPr="00F3021F">
              <w:rPr>
                <w:szCs w:val="24"/>
                <w:lang w:val="fr-FR" w:bidi="fr-FR"/>
              </w:rPr>
              <w:t>1, 3 (cible 3.5), 4 (cible 4.a), 5 (cibles 5.2, 5.3, 5.b), 7, 8, 9, 10 (cible 10.2), 11, 16,</w:t>
            </w:r>
            <w:r w:rsidR="000F7A90">
              <w:rPr>
                <w:szCs w:val="24"/>
                <w:lang w:val="fr-FR" w:bidi="fr-FR"/>
              </w:rPr>
              <w:t> </w:t>
            </w:r>
            <w:r w:rsidRPr="00F3021F">
              <w:rPr>
                <w:szCs w:val="24"/>
                <w:lang w:val="fr-FR" w:bidi="fr-FR"/>
              </w:rPr>
              <w:t>17</w:t>
            </w:r>
            <w:bookmarkEnd w:id="67"/>
          </w:p>
        </w:tc>
      </w:tr>
    </w:tbl>
    <w:p w14:paraId="34376C9B" w14:textId="77777777" w:rsidR="008E7CFD" w:rsidRPr="00F3021F" w:rsidRDefault="008E7CFD" w:rsidP="00C762CF">
      <w:pPr>
        <w:pStyle w:val="Heading2"/>
        <w:spacing w:after="120"/>
        <w:rPr>
          <w:lang w:val="fr-FR"/>
        </w:rPr>
      </w:pPr>
      <w:r w:rsidRPr="00F3021F">
        <w:rPr>
          <w:lang w:val="fr-FR" w:bidi="fr-FR"/>
        </w:rPr>
        <w:t>3.2</w:t>
      </w:r>
      <w:r w:rsidRPr="00F3021F">
        <w:rPr>
          <w:lang w:val="fr-FR" w:bidi="fr-FR"/>
        </w:rPr>
        <w:tab/>
        <w:t>Applications et services TIC</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8E7CFD" w:rsidRPr="00F3021F" w14:paraId="1FD0E18F" w14:textId="77777777" w:rsidTr="00127B97">
        <w:tc>
          <w:tcPr>
            <w:tcW w:w="9629" w:type="dxa"/>
            <w:gridSpan w:val="2"/>
            <w:tcBorders>
              <w:bottom w:val="single" w:sz="4" w:space="0" w:color="auto"/>
            </w:tcBorders>
          </w:tcPr>
          <w:p w14:paraId="4D4E497A" w14:textId="0A74B26B" w:rsidR="008E7CFD" w:rsidRPr="00F3021F" w:rsidRDefault="008E7CFD" w:rsidP="00C762CF">
            <w:pPr>
              <w:rPr>
                <w:lang w:val="fr-FR"/>
              </w:rPr>
            </w:pPr>
            <w:r w:rsidRPr="00F3021F">
              <w:rPr>
                <w:lang w:val="fr-FR" w:bidi="fr-FR"/>
              </w:rPr>
              <w:t>Les capacités des Etats Membres de l</w:t>
            </w:r>
            <w:r w:rsidR="000F7A90">
              <w:rPr>
                <w:lang w:val="fr-FR" w:bidi="fr-FR"/>
              </w:rPr>
              <w:t>'</w:t>
            </w:r>
            <w:r w:rsidRPr="00F3021F">
              <w:rPr>
                <w:lang w:val="fr-FR" w:bidi="fr-FR"/>
              </w:rPr>
              <w:t>UIT à élaborer des cyberstratégies nationales visant à favoriser un environnement propice à l</w:t>
            </w:r>
            <w:r w:rsidR="000F7A90">
              <w:rPr>
                <w:lang w:val="fr-FR" w:bidi="fr-FR"/>
              </w:rPr>
              <w:t>'</w:t>
            </w:r>
            <w:r w:rsidRPr="00F3021F">
              <w:rPr>
                <w:lang w:val="fr-FR" w:bidi="fr-FR"/>
              </w:rPr>
              <w:t>amélioration des applications TIC ont été renforcées plus avant par le biais de nombreuses activités, dont notamment:</w:t>
            </w:r>
          </w:p>
          <w:p w14:paraId="4F65BEFC" w14:textId="77777777" w:rsidR="008E7CFD" w:rsidRPr="00F3021F" w:rsidRDefault="008E7CFD" w:rsidP="00C762CF">
            <w:pPr>
              <w:rPr>
                <w:lang w:val="fr-FR"/>
              </w:rPr>
            </w:pPr>
            <w:r w:rsidRPr="00F3021F">
              <w:rPr>
                <w:lang w:val="fr-FR" w:bidi="fr-FR"/>
              </w:rPr>
              <w:t>En ce qui concerne la cybersanté:</w:t>
            </w:r>
          </w:p>
          <w:p w14:paraId="0D5CB872" w14:textId="515A7BFA" w:rsidR="008E7CFD" w:rsidRPr="00F3021F" w:rsidRDefault="008E7CFD" w:rsidP="00C762CF">
            <w:pPr>
              <w:pStyle w:val="enumlev1"/>
              <w:rPr>
                <w:lang w:val="fr-FR"/>
              </w:rPr>
            </w:pPr>
            <w:r w:rsidRPr="00F3021F">
              <w:rPr>
                <w:lang w:val="fr-FR" w:bidi="fr-FR"/>
              </w:rPr>
              <w:t>–</w:t>
            </w:r>
            <w:r w:rsidRPr="00F3021F">
              <w:rPr>
                <w:lang w:val="fr-FR" w:bidi="fr-FR"/>
              </w:rPr>
              <w:tab/>
              <w:t>Dans le cadre de l</w:t>
            </w:r>
            <w:r w:rsidR="000F7A90">
              <w:rPr>
                <w:lang w:val="fr-FR" w:bidi="fr-FR"/>
              </w:rPr>
              <w:t>'</w:t>
            </w:r>
            <w:r w:rsidRPr="00F3021F">
              <w:rPr>
                <w:lang w:val="fr-FR" w:bidi="fr-FR"/>
              </w:rPr>
              <w:t>initiative liée à la santé sur mobile et à la cybersanté au sein de la région Amériques, l</w:t>
            </w:r>
            <w:r w:rsidR="000F7A90">
              <w:rPr>
                <w:lang w:val="fr-FR" w:bidi="fr-FR"/>
              </w:rPr>
              <w:t>'</w:t>
            </w:r>
            <w:r w:rsidRPr="00F3021F">
              <w:rPr>
                <w:lang w:val="fr-FR" w:bidi="fr-FR"/>
              </w:rPr>
              <w:t>UIT et l</w:t>
            </w:r>
            <w:r w:rsidR="000F7A90">
              <w:rPr>
                <w:lang w:val="fr-FR" w:bidi="fr-FR"/>
              </w:rPr>
              <w:t>'</w:t>
            </w:r>
            <w:r w:rsidRPr="00F3021F">
              <w:rPr>
                <w:lang w:val="fr-FR" w:bidi="fr-FR"/>
              </w:rPr>
              <w:t>Organisation panaméricaine de la santé (OPS) sont convenues d</w:t>
            </w:r>
            <w:r w:rsidR="000F7A90">
              <w:rPr>
                <w:lang w:val="fr-FR" w:bidi="fr-FR"/>
              </w:rPr>
              <w:t>'</w:t>
            </w:r>
            <w:r w:rsidRPr="00F3021F">
              <w:rPr>
                <w:lang w:val="fr-FR" w:bidi="fr-FR"/>
              </w:rPr>
              <w:t>appliquer le Guide pratique sur les stratégies nationales en matière de cybersanté au Guyana. Le projet complet de stratégie a été finalisé et transmis en tant que contribution au processus à long terme que l</w:t>
            </w:r>
            <w:r w:rsidR="000F7A90">
              <w:rPr>
                <w:lang w:val="fr-FR" w:bidi="fr-FR"/>
              </w:rPr>
              <w:t>'</w:t>
            </w:r>
            <w:r w:rsidRPr="00F3021F">
              <w:rPr>
                <w:lang w:val="fr-FR" w:bidi="fr-FR"/>
              </w:rPr>
              <w:t>OPS et le Guyana poursuivront jusqu</w:t>
            </w:r>
            <w:r w:rsidR="000F7A90">
              <w:rPr>
                <w:lang w:val="fr-FR" w:bidi="fr-FR"/>
              </w:rPr>
              <w:t>'</w:t>
            </w:r>
            <w:r w:rsidRPr="00F3021F">
              <w:rPr>
                <w:lang w:val="fr-FR" w:bidi="fr-FR"/>
              </w:rPr>
              <w:t>en juillet 2019.</w:t>
            </w:r>
          </w:p>
          <w:p w14:paraId="391C9A4C" w14:textId="2CD605E3" w:rsidR="008E7CFD" w:rsidRPr="00F3021F" w:rsidRDefault="008E7CFD" w:rsidP="00C762CF">
            <w:pPr>
              <w:pStyle w:val="enumlev1"/>
              <w:rPr>
                <w:lang w:val="fr-FR"/>
              </w:rPr>
            </w:pPr>
            <w:r w:rsidRPr="00F3021F">
              <w:rPr>
                <w:lang w:val="fr-FR" w:bidi="fr-FR"/>
              </w:rPr>
              <w:t>–</w:t>
            </w:r>
            <w:r w:rsidRPr="00F3021F">
              <w:rPr>
                <w:lang w:val="fr-FR" w:bidi="fr-FR"/>
              </w:rPr>
              <w:tab/>
              <w:t>Conjointement avec le Bureau régional de l</w:t>
            </w:r>
            <w:r w:rsidR="000F7A90">
              <w:rPr>
                <w:lang w:val="fr-FR" w:bidi="fr-FR"/>
              </w:rPr>
              <w:t>'</w:t>
            </w:r>
            <w:r w:rsidRPr="00F3021F">
              <w:rPr>
                <w:lang w:val="fr-FR" w:bidi="fr-FR"/>
              </w:rPr>
              <w:t>OMS pour l</w:t>
            </w:r>
            <w:r w:rsidR="000F7A90">
              <w:rPr>
                <w:lang w:val="fr-FR" w:bidi="fr-FR"/>
              </w:rPr>
              <w:t>'</w:t>
            </w:r>
            <w:r w:rsidRPr="00F3021F">
              <w:rPr>
                <w:lang w:val="fr-FR" w:bidi="fr-FR"/>
              </w:rPr>
              <w:t>Afrique et le Sommet Transformer l</w:t>
            </w:r>
            <w:r w:rsidR="000F7A90">
              <w:rPr>
                <w:lang w:val="fr-FR" w:bidi="fr-FR"/>
              </w:rPr>
              <w:t>'</w:t>
            </w:r>
            <w:r w:rsidRPr="00F3021F">
              <w:rPr>
                <w:lang w:val="fr-FR" w:bidi="fr-FR"/>
              </w:rPr>
              <w:t>Afrique, l</w:t>
            </w:r>
            <w:r w:rsidR="000F7A90">
              <w:rPr>
                <w:lang w:val="fr-FR" w:bidi="fr-FR"/>
              </w:rPr>
              <w:t>'</w:t>
            </w:r>
            <w:r w:rsidRPr="00F3021F">
              <w:rPr>
                <w:lang w:val="fr-FR" w:bidi="fr-FR"/>
              </w:rPr>
              <w:t xml:space="preserve">UIT a organisé un pôle pour la santé numérique lors de ce sommet, les 8 et 9 mai 2018. Dans le cadre de ce pôle, des dialogues ont notamment eu lieu sur les politiques et les bonnes pratiques en matière de mise en </w:t>
            </w:r>
            <w:r w:rsidR="00C762CF">
              <w:rPr>
                <w:lang w:val="fr-FR" w:bidi="fr-FR"/>
              </w:rPr>
              <w:t>oe</w:t>
            </w:r>
            <w:r w:rsidRPr="00F3021F">
              <w:rPr>
                <w:lang w:val="fr-FR" w:bidi="fr-FR"/>
              </w:rPr>
              <w:t>uvre de la santé numérique en Afrique.</w:t>
            </w:r>
          </w:p>
          <w:p w14:paraId="195827E2" w14:textId="200EF151" w:rsidR="008E7CFD" w:rsidRPr="00F3021F" w:rsidRDefault="008E7CFD" w:rsidP="00C762CF">
            <w:pPr>
              <w:pStyle w:val="enumlev1"/>
              <w:rPr>
                <w:lang w:val="fr-FR"/>
              </w:rPr>
            </w:pPr>
            <w:r w:rsidRPr="00F3021F">
              <w:rPr>
                <w:lang w:val="fr-FR" w:bidi="fr-FR"/>
              </w:rPr>
              <w:t>–</w:t>
            </w:r>
            <w:r w:rsidRPr="00F3021F">
              <w:rPr>
                <w:lang w:val="fr-FR" w:bidi="fr-FR"/>
              </w:rPr>
              <w:tab/>
              <w:t>En collaboration avec l</w:t>
            </w:r>
            <w:r w:rsidR="000F7A90">
              <w:rPr>
                <w:lang w:val="fr-FR" w:bidi="fr-FR"/>
              </w:rPr>
              <w:t>'</w:t>
            </w:r>
            <w:r w:rsidRPr="00F3021F">
              <w:rPr>
                <w:lang w:val="fr-FR" w:bidi="fr-FR"/>
              </w:rPr>
              <w:t>OMS, l</w:t>
            </w:r>
            <w:r w:rsidR="000F7A90">
              <w:rPr>
                <w:lang w:val="fr-FR" w:bidi="fr-FR"/>
              </w:rPr>
              <w:t>'</w:t>
            </w:r>
            <w:r w:rsidRPr="00F3021F">
              <w:rPr>
                <w:lang w:val="fr-FR" w:bidi="fr-FR"/>
              </w:rPr>
              <w:t>UIT a apporté son soutien au projet sénégalais m-diabète, qui entre dans le cadre du programme mondial "Be He@lthy, Be Mobile" (La mobilité, c</w:t>
            </w:r>
            <w:r w:rsidR="000F7A90">
              <w:rPr>
                <w:lang w:val="fr-FR" w:bidi="fr-FR"/>
              </w:rPr>
              <w:t>'</w:t>
            </w:r>
            <w:r w:rsidRPr="00F3021F">
              <w:rPr>
                <w:lang w:val="fr-FR" w:bidi="fr-FR"/>
              </w:rPr>
              <w:t>est la santé).</w:t>
            </w:r>
          </w:p>
          <w:p w14:paraId="65FECD82" w14:textId="77777777" w:rsidR="008E7CFD" w:rsidRPr="00F3021F" w:rsidRDefault="008E7CFD" w:rsidP="00C762CF">
            <w:pPr>
              <w:rPr>
                <w:lang w:val="fr-FR"/>
              </w:rPr>
            </w:pPr>
            <w:r w:rsidRPr="00F3021F">
              <w:rPr>
                <w:lang w:val="fr-FR" w:bidi="fr-FR"/>
              </w:rPr>
              <w:t>En ce qui concerne la cyberagriculture:</w:t>
            </w:r>
          </w:p>
          <w:p w14:paraId="7B1EEE35" w14:textId="5CBD712A" w:rsidR="008E7CFD" w:rsidRPr="00F3021F" w:rsidRDefault="008E7CFD" w:rsidP="00C762CF">
            <w:pPr>
              <w:pStyle w:val="enumlev1"/>
              <w:rPr>
                <w:lang w:val="fr-FR"/>
              </w:rPr>
            </w:pPr>
            <w:r w:rsidRPr="00F3021F">
              <w:rPr>
                <w:lang w:val="fr-FR" w:bidi="fr-FR"/>
              </w:rPr>
              <w:t>–</w:t>
            </w:r>
            <w:r w:rsidRPr="00F3021F">
              <w:rPr>
                <w:lang w:val="fr-FR" w:bidi="fr-FR"/>
              </w:rPr>
              <w:tab/>
              <w:t>Une compétition #HackAgainstHunger (Hackathon axé sur la lutte contre la faim) a été organisée en collaboration avec l</w:t>
            </w:r>
            <w:r w:rsidR="000F7A90">
              <w:rPr>
                <w:lang w:val="fr-FR" w:bidi="fr-FR"/>
              </w:rPr>
              <w:t>'</w:t>
            </w:r>
            <w:r w:rsidRPr="00F3021F">
              <w:rPr>
                <w:lang w:val="fr-FR" w:bidi="fr-FR"/>
              </w:rPr>
              <w:t>Organisation pour l</w:t>
            </w:r>
            <w:r w:rsidR="000F7A90">
              <w:rPr>
                <w:lang w:val="fr-FR" w:bidi="fr-FR"/>
              </w:rPr>
              <w:t>'</w:t>
            </w:r>
            <w:r w:rsidRPr="00F3021F">
              <w:rPr>
                <w:lang w:val="fr-FR" w:bidi="fr-FR"/>
              </w:rPr>
              <w:t>alimentation et l</w:t>
            </w:r>
            <w:r w:rsidR="000F7A90">
              <w:rPr>
                <w:lang w:val="fr-FR" w:bidi="fr-FR"/>
              </w:rPr>
              <w:t>'</w:t>
            </w:r>
            <w:r w:rsidRPr="00F3021F">
              <w:rPr>
                <w:lang w:val="fr-FR" w:bidi="fr-FR"/>
              </w:rPr>
              <w:t>agriculture (FAO) afin de trouver et de soutenir des solutions innovantes aux enjeux liés à l</w:t>
            </w:r>
            <w:r w:rsidR="000F7A90">
              <w:rPr>
                <w:lang w:val="fr-FR" w:bidi="fr-FR"/>
              </w:rPr>
              <w:t>'</w:t>
            </w:r>
            <w:r w:rsidRPr="00F3021F">
              <w:rPr>
                <w:lang w:val="fr-FR" w:bidi="fr-FR"/>
              </w:rPr>
              <w:t>alimentation et à l</w:t>
            </w:r>
            <w:r w:rsidR="000F7A90">
              <w:rPr>
                <w:lang w:val="fr-FR" w:bidi="fr-FR"/>
              </w:rPr>
              <w:t>'</w:t>
            </w:r>
            <w:r w:rsidRPr="00F3021F">
              <w:rPr>
                <w:lang w:val="fr-FR" w:bidi="fr-FR"/>
              </w:rPr>
              <w:t>agriculture.</w:t>
            </w:r>
          </w:p>
          <w:p w14:paraId="6CA55C5D" w14:textId="11A3F420" w:rsidR="008E7CFD" w:rsidRPr="00F3021F" w:rsidRDefault="008E7CFD" w:rsidP="000F7A90">
            <w:pPr>
              <w:pStyle w:val="enumlev1"/>
              <w:spacing w:after="120"/>
              <w:rPr>
                <w:lang w:val="fr-FR"/>
              </w:rPr>
            </w:pPr>
            <w:r w:rsidRPr="00F3021F">
              <w:rPr>
                <w:lang w:val="fr-FR" w:bidi="fr-FR"/>
              </w:rPr>
              <w:t>–</w:t>
            </w:r>
            <w:r w:rsidRPr="00F3021F">
              <w:rPr>
                <w:lang w:val="fr-FR" w:bidi="fr-FR"/>
              </w:rPr>
              <w:tab/>
              <w:t>L</w:t>
            </w:r>
            <w:r w:rsidR="000F7A90">
              <w:rPr>
                <w:lang w:val="fr-FR" w:bidi="fr-FR"/>
              </w:rPr>
              <w:t>'</w:t>
            </w:r>
            <w:r w:rsidRPr="00F3021F">
              <w:rPr>
                <w:lang w:val="fr-FR" w:bidi="fr-FR"/>
              </w:rPr>
              <w:t>Afghanistan a bénéficié d</w:t>
            </w:r>
            <w:r w:rsidR="000F7A90">
              <w:rPr>
                <w:lang w:val="fr-FR" w:bidi="fr-FR"/>
              </w:rPr>
              <w:t>'</w:t>
            </w:r>
            <w:r w:rsidRPr="00F3021F">
              <w:rPr>
                <w:lang w:val="fr-FR" w:bidi="fr-FR"/>
              </w:rPr>
              <w:t>une assistance dans l</w:t>
            </w:r>
            <w:r w:rsidR="000F7A90">
              <w:rPr>
                <w:lang w:val="fr-FR" w:bidi="fr-FR"/>
              </w:rPr>
              <w:t>'</w:t>
            </w:r>
            <w:r w:rsidRPr="00F3021F">
              <w:rPr>
                <w:lang w:val="fr-FR" w:bidi="fr-FR"/>
              </w:rPr>
              <w:t>élaboration de sa stratégie de cyberagriculture, en partenariat avec la FAO et le gouvernement national.</w:t>
            </w:r>
          </w:p>
          <w:p w14:paraId="1ED55865" w14:textId="77777777" w:rsidR="008E7CFD" w:rsidRPr="00F3021F" w:rsidRDefault="008E7CFD" w:rsidP="00C762CF">
            <w:pPr>
              <w:keepNext/>
              <w:rPr>
                <w:lang w:val="fr-FR"/>
              </w:rPr>
            </w:pPr>
            <w:r w:rsidRPr="00F3021F">
              <w:rPr>
                <w:lang w:val="fr-FR" w:bidi="fr-FR"/>
              </w:rPr>
              <w:lastRenderedPageBreak/>
              <w:t>En ce qui concerne le cyberapprentissage:</w:t>
            </w:r>
          </w:p>
          <w:p w14:paraId="79ACD0DD" w14:textId="7F0B9F35" w:rsidR="008E7CFD" w:rsidRPr="00F3021F" w:rsidRDefault="008E7CFD" w:rsidP="00C762CF">
            <w:pPr>
              <w:pStyle w:val="enumlev1"/>
              <w:rPr>
                <w:lang w:val="fr-FR"/>
              </w:rPr>
            </w:pPr>
            <w:r w:rsidRPr="00F3021F">
              <w:rPr>
                <w:lang w:val="fr-FR" w:bidi="fr-FR"/>
              </w:rPr>
              <w:t>–</w:t>
            </w:r>
            <w:r w:rsidRPr="00F3021F">
              <w:rPr>
                <w:lang w:val="fr-FR" w:bidi="fr-FR"/>
              </w:rPr>
              <w:tab/>
            </w:r>
            <w:bookmarkStart w:id="68" w:name="lt_pId321"/>
            <w:r w:rsidRPr="00F3021F">
              <w:rPr>
                <w:szCs w:val="24"/>
                <w:lang w:val="fr-FR" w:bidi="fr-FR"/>
              </w:rPr>
              <w:t>L</w:t>
            </w:r>
            <w:r w:rsidR="000F7A90">
              <w:rPr>
                <w:szCs w:val="24"/>
                <w:lang w:val="fr-FR" w:bidi="fr-FR"/>
              </w:rPr>
              <w:t>'</w:t>
            </w:r>
            <w:r w:rsidRPr="00F3021F">
              <w:rPr>
                <w:szCs w:val="24"/>
                <w:lang w:val="fr-FR" w:bidi="fr-FR"/>
              </w:rPr>
              <w:t>UIT a organisé conjointement avec l</w:t>
            </w:r>
            <w:r w:rsidR="000F7A90">
              <w:rPr>
                <w:szCs w:val="24"/>
                <w:lang w:val="fr-FR" w:bidi="fr-FR"/>
              </w:rPr>
              <w:t>'</w:t>
            </w:r>
            <w:r w:rsidRPr="00F3021F">
              <w:rPr>
                <w:szCs w:val="24"/>
                <w:lang w:val="fr-FR" w:bidi="fr-FR"/>
              </w:rPr>
              <w:t>Organisation des Nations Unies pour l</w:t>
            </w:r>
            <w:r w:rsidR="000F7A90">
              <w:rPr>
                <w:szCs w:val="24"/>
                <w:lang w:val="fr-FR" w:bidi="fr-FR"/>
              </w:rPr>
              <w:t>'</w:t>
            </w:r>
            <w:r w:rsidRPr="00F3021F">
              <w:rPr>
                <w:szCs w:val="24"/>
                <w:lang w:val="fr-FR" w:bidi="fr-FR"/>
              </w:rPr>
              <w:t>éducation, la science et la culture (UNESCO) la Semaine de l</w:t>
            </w:r>
            <w:r w:rsidR="000F7A90">
              <w:rPr>
                <w:szCs w:val="24"/>
                <w:lang w:val="fr-FR" w:bidi="fr-FR"/>
              </w:rPr>
              <w:t>'</w:t>
            </w:r>
            <w:r w:rsidRPr="00F3021F">
              <w:rPr>
                <w:szCs w:val="24"/>
                <w:lang w:val="fr-FR" w:bidi="fr-FR"/>
              </w:rPr>
              <w:t>apprentissage mobile 2018, consacrée aux défis et stratégies sur la voie du développement des compétences numériques pour tous.</w:t>
            </w:r>
            <w:bookmarkEnd w:id="68"/>
          </w:p>
          <w:p w14:paraId="75D594A2" w14:textId="2050A57D" w:rsidR="008E7CFD" w:rsidRPr="00F3021F" w:rsidRDefault="008E7CFD" w:rsidP="00C762CF">
            <w:pPr>
              <w:spacing w:after="120"/>
              <w:rPr>
                <w:szCs w:val="24"/>
                <w:lang w:val="fr-FR"/>
              </w:rPr>
            </w:pPr>
            <w:r w:rsidRPr="00F3021F">
              <w:rPr>
                <w:szCs w:val="24"/>
                <w:lang w:val="fr-FR" w:bidi="fr-FR"/>
              </w:rPr>
              <w:t>Un projet sur l</w:t>
            </w:r>
            <w:r w:rsidR="000F7A90">
              <w:rPr>
                <w:szCs w:val="24"/>
                <w:lang w:val="fr-FR" w:bidi="fr-FR"/>
              </w:rPr>
              <w:t>'</w:t>
            </w:r>
            <w:r w:rsidRPr="00F3021F">
              <w:rPr>
                <w:szCs w:val="24"/>
                <w:lang w:val="fr-FR" w:bidi="fr-FR"/>
              </w:rPr>
              <w:t>identité numérique au service du développement a été lancé en vue d</w:t>
            </w:r>
            <w:r w:rsidR="000F7A90">
              <w:rPr>
                <w:szCs w:val="24"/>
                <w:lang w:val="fr-FR" w:bidi="fr-FR"/>
              </w:rPr>
              <w:t>'</w:t>
            </w:r>
            <w:r w:rsidRPr="00F3021F">
              <w:rPr>
                <w:szCs w:val="24"/>
                <w:lang w:val="fr-FR" w:bidi="fr-FR"/>
              </w:rPr>
              <w:t>aider les pays, notamment ceux à revenu faible et intermédiaire, à déployer des initiatives axées sur l</w:t>
            </w:r>
            <w:r w:rsidR="000F7A90">
              <w:rPr>
                <w:szCs w:val="24"/>
                <w:lang w:val="fr-FR" w:bidi="fr-FR"/>
              </w:rPr>
              <w:t>'</w:t>
            </w:r>
            <w:r w:rsidRPr="00F3021F">
              <w:rPr>
                <w:szCs w:val="24"/>
                <w:lang w:val="fr-FR" w:bidi="fr-FR"/>
              </w:rPr>
              <w:t>identité numérique qui permettent la mise en place de services à valeur ajoutée dans la plupart des domaines de l</w:t>
            </w:r>
            <w:r w:rsidR="000F7A90">
              <w:rPr>
                <w:szCs w:val="24"/>
                <w:lang w:val="fr-FR" w:bidi="fr-FR"/>
              </w:rPr>
              <w:t>'</w:t>
            </w:r>
            <w:r w:rsidRPr="00F3021F">
              <w:rPr>
                <w:szCs w:val="24"/>
                <w:lang w:val="fr-FR" w:bidi="fr-FR"/>
              </w:rPr>
              <w:t>économie numérique, dont les services financiers, la santé, l</w:t>
            </w:r>
            <w:r w:rsidR="000F7A90">
              <w:rPr>
                <w:szCs w:val="24"/>
                <w:lang w:val="fr-FR" w:bidi="fr-FR"/>
              </w:rPr>
              <w:t>'</w:t>
            </w:r>
            <w:r w:rsidRPr="00F3021F">
              <w:rPr>
                <w:szCs w:val="24"/>
                <w:lang w:val="fr-FR" w:bidi="fr-FR"/>
              </w:rPr>
              <w:t>agriculture, l</w:t>
            </w:r>
            <w:r w:rsidR="000F7A90">
              <w:rPr>
                <w:szCs w:val="24"/>
                <w:lang w:val="fr-FR" w:bidi="fr-FR"/>
              </w:rPr>
              <w:t>'</w:t>
            </w:r>
            <w:r w:rsidRPr="00F3021F">
              <w:rPr>
                <w:szCs w:val="24"/>
                <w:lang w:val="fr-FR" w:bidi="fr-FR"/>
              </w:rPr>
              <w:t>éducation, etc.</w:t>
            </w:r>
          </w:p>
          <w:p w14:paraId="1DB40FDA" w14:textId="77777777" w:rsidR="008E7CFD" w:rsidRPr="00F3021F" w:rsidRDefault="008E7CFD" w:rsidP="00C762CF">
            <w:pPr>
              <w:spacing w:after="120"/>
              <w:rPr>
                <w:color w:val="000000"/>
                <w:lang w:val="fr-FR"/>
              </w:rPr>
            </w:pPr>
            <w:r w:rsidRPr="00F3021F">
              <w:rPr>
                <w:szCs w:val="24"/>
                <w:lang w:val="fr-FR" w:bidi="fr-FR"/>
              </w:rPr>
              <w:t>Des activités ont notamment été organisées avec succès en Ukraine et au Liban dans le domaine de la cybersanté et au Niger dans le domaine des cyberapplications.</w:t>
            </w:r>
          </w:p>
        </w:tc>
      </w:tr>
      <w:tr w:rsidR="008E7CFD" w:rsidRPr="00F3021F" w14:paraId="35061EF2" w14:textId="77777777" w:rsidTr="00127B97">
        <w:tc>
          <w:tcPr>
            <w:tcW w:w="3256" w:type="dxa"/>
            <w:tcBorders>
              <w:top w:val="single" w:sz="4" w:space="0" w:color="auto"/>
              <w:bottom w:val="single" w:sz="4" w:space="0" w:color="auto"/>
              <w:right w:val="single" w:sz="4" w:space="0" w:color="auto"/>
            </w:tcBorders>
          </w:tcPr>
          <w:p w14:paraId="2B69E9BE" w14:textId="77777777" w:rsidR="008E7CFD" w:rsidRPr="00F3021F" w:rsidRDefault="008E7CFD" w:rsidP="00C762CF">
            <w:pPr>
              <w:spacing w:before="0"/>
              <w:rPr>
                <w:i/>
                <w:iCs/>
                <w:szCs w:val="24"/>
                <w:lang w:val="fr-FR"/>
              </w:rPr>
            </w:pPr>
            <w:r w:rsidRPr="00F3021F">
              <w:rPr>
                <w:i/>
                <w:szCs w:val="24"/>
                <w:lang w:val="fr-FR" w:bidi="fr-FR"/>
              </w:rPr>
              <w:lastRenderedPageBreak/>
              <w:t>CMDT</w:t>
            </w:r>
          </w:p>
        </w:tc>
        <w:tc>
          <w:tcPr>
            <w:tcW w:w="6373" w:type="dxa"/>
            <w:tcBorders>
              <w:top w:val="single" w:sz="4" w:space="0" w:color="auto"/>
              <w:left w:val="single" w:sz="4" w:space="0" w:color="auto"/>
              <w:bottom w:val="single" w:sz="4" w:space="0" w:color="auto"/>
            </w:tcBorders>
          </w:tcPr>
          <w:p w14:paraId="1938D9BE" w14:textId="77777777" w:rsidR="008E7CFD" w:rsidRPr="00F3021F" w:rsidRDefault="008E7CFD" w:rsidP="00C762CF">
            <w:pPr>
              <w:spacing w:before="0"/>
              <w:rPr>
                <w:szCs w:val="24"/>
                <w:lang w:val="fr-FR"/>
              </w:rPr>
            </w:pPr>
            <w:bookmarkStart w:id="69" w:name="lt_pId329"/>
            <w:r w:rsidRPr="00F3021F">
              <w:rPr>
                <w:szCs w:val="24"/>
                <w:lang w:val="fr-FR" w:bidi="fr-FR"/>
              </w:rPr>
              <w:t>Résolutions 1, 5, 30, 54</w:t>
            </w:r>
            <w:bookmarkEnd w:id="69"/>
          </w:p>
        </w:tc>
      </w:tr>
      <w:tr w:rsidR="008E7CFD" w:rsidRPr="00F3021F" w14:paraId="71C0A836" w14:textId="77777777" w:rsidTr="00127B97">
        <w:trPr>
          <w:trHeight w:val="397"/>
        </w:trPr>
        <w:tc>
          <w:tcPr>
            <w:tcW w:w="3256" w:type="dxa"/>
            <w:tcBorders>
              <w:top w:val="single" w:sz="4" w:space="0" w:color="auto"/>
              <w:bottom w:val="single" w:sz="4" w:space="0" w:color="auto"/>
              <w:right w:val="single" w:sz="4" w:space="0" w:color="auto"/>
            </w:tcBorders>
          </w:tcPr>
          <w:p w14:paraId="46DE0A59" w14:textId="77777777" w:rsidR="008E7CFD" w:rsidRPr="00F3021F" w:rsidRDefault="008E7CFD"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4F3FC967" w14:textId="77777777" w:rsidR="008E7CFD" w:rsidRPr="00F3021F" w:rsidRDefault="008E7CFD" w:rsidP="00C762CF">
            <w:pPr>
              <w:spacing w:before="0"/>
              <w:rPr>
                <w:szCs w:val="24"/>
                <w:lang w:val="fr-FR"/>
              </w:rPr>
            </w:pPr>
            <w:bookmarkStart w:id="70" w:name="lt_pId331"/>
            <w:r w:rsidRPr="00F3021F">
              <w:rPr>
                <w:szCs w:val="24"/>
                <w:lang w:val="fr-FR" w:bidi="fr-FR"/>
              </w:rPr>
              <w:t>Décisions 5, 13</w:t>
            </w:r>
            <w:bookmarkEnd w:id="70"/>
          </w:p>
          <w:p w14:paraId="5D1E62C9" w14:textId="77777777" w:rsidR="008E7CFD" w:rsidRPr="00F3021F" w:rsidRDefault="008E7CFD" w:rsidP="00C762CF">
            <w:pPr>
              <w:spacing w:before="0"/>
              <w:rPr>
                <w:szCs w:val="24"/>
                <w:lang w:val="fr-FR"/>
              </w:rPr>
            </w:pPr>
            <w:bookmarkStart w:id="71" w:name="lt_pId332"/>
            <w:r w:rsidRPr="00F3021F">
              <w:rPr>
                <w:szCs w:val="24"/>
                <w:lang w:val="fr-FR" w:bidi="fr-FR"/>
              </w:rPr>
              <w:t>Résolutions 25, 71, 72, 139, 140, 183, 202</w:t>
            </w:r>
            <w:bookmarkEnd w:id="71"/>
          </w:p>
        </w:tc>
      </w:tr>
      <w:tr w:rsidR="008E7CFD" w:rsidRPr="00F3021F" w14:paraId="08F8238F" w14:textId="77777777" w:rsidTr="00127B97">
        <w:trPr>
          <w:trHeight w:val="397"/>
        </w:trPr>
        <w:tc>
          <w:tcPr>
            <w:tcW w:w="3256" w:type="dxa"/>
            <w:tcBorders>
              <w:top w:val="single" w:sz="4" w:space="0" w:color="auto"/>
              <w:bottom w:val="single" w:sz="4" w:space="0" w:color="auto"/>
              <w:right w:val="single" w:sz="4" w:space="0" w:color="auto"/>
            </w:tcBorders>
          </w:tcPr>
          <w:p w14:paraId="07020EBD" w14:textId="77777777" w:rsidR="008E7CFD" w:rsidRPr="00F3021F" w:rsidRDefault="008E7CFD"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74FC2A85" w14:textId="28C4C2F3" w:rsidR="008E7CFD" w:rsidRPr="00F3021F" w:rsidRDefault="008E7CFD" w:rsidP="00C762CF">
            <w:pPr>
              <w:spacing w:before="0"/>
              <w:rPr>
                <w:szCs w:val="24"/>
                <w:lang w:val="fr-FR"/>
              </w:rPr>
            </w:pPr>
            <w:r w:rsidRPr="00F3021F">
              <w:rPr>
                <w:color w:val="000000"/>
                <w:lang w:val="fr-FR" w:bidi="fr-FR"/>
              </w:rPr>
              <w:t>Grande orientation C7 du Plan d</w:t>
            </w:r>
            <w:r w:rsidR="000F7A90">
              <w:rPr>
                <w:color w:val="000000"/>
                <w:lang w:val="fr-FR" w:bidi="fr-FR"/>
              </w:rPr>
              <w:t>'</w:t>
            </w:r>
            <w:r w:rsidRPr="00F3021F">
              <w:rPr>
                <w:color w:val="000000"/>
                <w:lang w:val="fr-FR" w:bidi="fr-FR"/>
              </w:rPr>
              <w:t>action de Genève</w:t>
            </w:r>
          </w:p>
        </w:tc>
      </w:tr>
      <w:tr w:rsidR="008E7CFD" w:rsidRPr="00F3021F" w14:paraId="4487B6E7" w14:textId="77777777" w:rsidTr="00127B97">
        <w:tc>
          <w:tcPr>
            <w:tcW w:w="3256" w:type="dxa"/>
            <w:tcBorders>
              <w:top w:val="single" w:sz="4" w:space="0" w:color="auto"/>
              <w:bottom w:val="single" w:sz="4" w:space="0" w:color="auto"/>
              <w:right w:val="single" w:sz="4" w:space="0" w:color="auto"/>
            </w:tcBorders>
          </w:tcPr>
          <w:p w14:paraId="3278E683" w14:textId="77777777" w:rsidR="008E7CFD" w:rsidRPr="00F3021F" w:rsidRDefault="008E7CFD"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633006F4" w14:textId="77777777" w:rsidR="008E7CFD" w:rsidRPr="00F3021F" w:rsidRDefault="008E7CFD" w:rsidP="00C762CF">
            <w:pPr>
              <w:spacing w:before="0"/>
              <w:rPr>
                <w:szCs w:val="24"/>
                <w:lang w:val="fr-FR"/>
              </w:rPr>
            </w:pPr>
            <w:bookmarkStart w:id="72" w:name="lt_pId336"/>
            <w:r w:rsidRPr="00F3021F">
              <w:rPr>
                <w:szCs w:val="24"/>
                <w:lang w:val="fr-FR" w:bidi="fr-FR"/>
              </w:rPr>
              <w:t>Objectifs de développement durable:</w:t>
            </w:r>
            <w:bookmarkEnd w:id="72"/>
            <w:r w:rsidRPr="00F3021F">
              <w:rPr>
                <w:szCs w:val="24"/>
                <w:lang w:val="fr-FR" w:bidi="fr-FR"/>
              </w:rPr>
              <w:t xml:space="preserve"> </w:t>
            </w:r>
            <w:bookmarkStart w:id="73" w:name="lt_pId337"/>
            <w:r w:rsidRPr="00F3021F">
              <w:rPr>
                <w:szCs w:val="24"/>
                <w:lang w:val="fr-FR" w:bidi="fr-FR"/>
              </w:rPr>
              <w:t>2, 3, 4 (cibles 4.1, 4.2, 4.3, 4.4, 4.5, 4.6, 4.7), 6, 7, 8 (cibles 8.1, 8.3, 8.8), 9 (cibles 9.1, 9.b), 11</w:t>
            </w:r>
            <w:bookmarkEnd w:id="73"/>
          </w:p>
        </w:tc>
      </w:tr>
    </w:tbl>
    <w:p w14:paraId="258083DA" w14:textId="4FA5B7FE" w:rsidR="00FF4D42" w:rsidRPr="009C3D18" w:rsidRDefault="00FF4D42" w:rsidP="00C762CF">
      <w:pPr>
        <w:pStyle w:val="Heading1"/>
        <w:rPr>
          <w:lang w:val="fr-FR"/>
        </w:rPr>
      </w:pPr>
      <w:r w:rsidRPr="00F3021F">
        <w:rPr>
          <w:lang w:val="fr-FR" w:bidi="fr-FR"/>
        </w:rPr>
        <w:t>4</w:t>
      </w:r>
      <w:r w:rsidRPr="00F3021F">
        <w:rPr>
          <w:lang w:val="fr-FR" w:bidi="fr-FR"/>
        </w:rPr>
        <w:tab/>
      </w:r>
      <w:r w:rsidRPr="009C3D18">
        <w:rPr>
          <w:lang w:val="fr-FR" w:bidi="fr-FR"/>
        </w:rPr>
        <w:t>Objectif 4: "Renforcer les capacités humaines et institutionnelles, fournir des données et des statistiques, promouvoir l</w:t>
      </w:r>
      <w:r w:rsidR="000F7A90">
        <w:rPr>
          <w:lang w:val="fr-FR" w:bidi="fr-FR"/>
        </w:rPr>
        <w:t>'</w:t>
      </w:r>
      <w:r w:rsidRPr="009C3D18">
        <w:rPr>
          <w:lang w:val="fr-FR" w:bidi="fr-FR"/>
        </w:rPr>
        <w:t>inclusion numérique et fournir une assistance ciblée aux pays ayant des besoins particuliers"</w:t>
      </w:r>
    </w:p>
    <w:p w14:paraId="4E4F040F" w14:textId="77777777" w:rsidR="00FF4D42" w:rsidRPr="00F3021F" w:rsidRDefault="00FF4D42" w:rsidP="00C762CF">
      <w:pPr>
        <w:pStyle w:val="Heading2"/>
        <w:spacing w:after="120"/>
        <w:rPr>
          <w:lang w:val="fr-FR"/>
        </w:rPr>
      </w:pPr>
      <w:r w:rsidRPr="00F3021F">
        <w:rPr>
          <w:lang w:val="fr-FR" w:bidi="fr-FR"/>
        </w:rPr>
        <w:t>4.1</w:t>
      </w:r>
      <w:r w:rsidRPr="00F3021F">
        <w:rPr>
          <w:lang w:val="fr-FR" w:bidi="fr-FR"/>
        </w:rPr>
        <w:tab/>
        <w:t>Renforcement des capacités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FF4D42" w:rsidRPr="00F3021F" w14:paraId="10A99616" w14:textId="77777777" w:rsidTr="00127B97">
        <w:tc>
          <w:tcPr>
            <w:tcW w:w="9629" w:type="dxa"/>
            <w:gridSpan w:val="2"/>
            <w:tcBorders>
              <w:bottom w:val="single" w:sz="4" w:space="0" w:color="auto"/>
            </w:tcBorders>
          </w:tcPr>
          <w:p w14:paraId="485B8053" w14:textId="740C6E10" w:rsidR="00FF4D42" w:rsidRPr="00F3021F" w:rsidRDefault="00FF4D42" w:rsidP="00C762CF">
            <w:pPr>
              <w:rPr>
                <w:rFonts w:eastAsia="PMingLiU-ExtB"/>
                <w:lang w:val="fr-FR"/>
              </w:rPr>
            </w:pPr>
            <w:bookmarkStart w:id="74" w:name="lt_pId373"/>
            <w:r w:rsidRPr="00F3021F">
              <w:rPr>
                <w:rFonts w:eastAsia="PMingLiU-ExtB"/>
                <w:lang w:val="fr-FR" w:bidi="fr-FR"/>
              </w:rPr>
              <w:t>En 2018, le BDT a mené à bien un certain nombre d</w:t>
            </w:r>
            <w:r w:rsidR="000F7A90">
              <w:rPr>
                <w:rFonts w:eastAsia="PMingLiU-ExtB"/>
                <w:lang w:val="fr-FR" w:bidi="fr-FR"/>
              </w:rPr>
              <w:t>'</w:t>
            </w:r>
            <w:r w:rsidRPr="00F3021F">
              <w:rPr>
                <w:rFonts w:eastAsia="PMingLiU-ExtB"/>
                <w:lang w:val="fr-FR" w:bidi="fr-FR"/>
              </w:rPr>
              <w:t>activités en matière de renforcement des capacités, qui ont contribué au perfectionnement des compétences humaines et à l</w:t>
            </w:r>
            <w:r w:rsidR="000F7A90">
              <w:rPr>
                <w:rFonts w:eastAsia="PMingLiU-ExtB"/>
                <w:lang w:val="fr-FR" w:bidi="fr-FR"/>
              </w:rPr>
              <w:t>'</w:t>
            </w:r>
            <w:r w:rsidRPr="00F3021F">
              <w:rPr>
                <w:rFonts w:eastAsia="PMingLiU-ExtB"/>
                <w:lang w:val="fr-FR" w:bidi="fr-FR"/>
              </w:rPr>
              <w:t>amél</w:t>
            </w:r>
            <w:r w:rsidR="000F7530">
              <w:rPr>
                <w:rFonts w:eastAsia="PMingLiU-ExtB"/>
                <w:lang w:val="fr-FR" w:bidi="fr-FR"/>
              </w:rPr>
              <w:t>ioration des connaissances des M</w:t>
            </w:r>
            <w:r w:rsidRPr="00F3021F">
              <w:rPr>
                <w:rFonts w:eastAsia="PMingLiU-ExtB"/>
                <w:lang w:val="fr-FR" w:bidi="fr-FR"/>
              </w:rPr>
              <w:t>embres de l</w:t>
            </w:r>
            <w:r w:rsidR="000F7A90">
              <w:rPr>
                <w:rFonts w:eastAsia="PMingLiU-ExtB"/>
                <w:lang w:val="fr-FR" w:bidi="fr-FR"/>
              </w:rPr>
              <w:t>'</w:t>
            </w:r>
            <w:r w:rsidRPr="00F3021F">
              <w:rPr>
                <w:rFonts w:eastAsia="PMingLiU-ExtB"/>
                <w:lang w:val="fr-FR" w:bidi="fr-FR"/>
              </w:rPr>
              <w:t>UIT dans le domaine des télécommunications/TIC.</w:t>
            </w:r>
          </w:p>
          <w:p w14:paraId="7956D7ED" w14:textId="32A42D0D" w:rsidR="00FF4D42" w:rsidRPr="00F3021F" w:rsidRDefault="00FF4D42" w:rsidP="00C762CF">
            <w:pPr>
              <w:rPr>
                <w:szCs w:val="24"/>
                <w:lang w:val="fr-FR"/>
              </w:rPr>
            </w:pPr>
            <w:r w:rsidRPr="00F3021F">
              <w:rPr>
                <w:b/>
                <w:szCs w:val="24"/>
                <w:lang w:val="fr-FR" w:bidi="fr-FR"/>
              </w:rPr>
              <w:t>Organisation de formations et partenariats</w:t>
            </w:r>
            <w:r w:rsidRPr="000F7A90">
              <w:rPr>
                <w:bCs/>
                <w:szCs w:val="24"/>
                <w:lang w:val="fr-FR" w:bidi="fr-FR"/>
              </w:rPr>
              <w:t>:</w:t>
            </w:r>
            <w:r w:rsidRPr="00F3021F">
              <w:rPr>
                <w:szCs w:val="24"/>
                <w:lang w:val="fr-FR" w:bidi="fr-FR"/>
              </w:rPr>
              <w:t xml:space="preserve"> Les activités liées au renforcement des capacités sont organisées en étroite collaboration avec des partenaires tels que les Centres d</w:t>
            </w:r>
            <w:r w:rsidR="000F7A90">
              <w:rPr>
                <w:szCs w:val="24"/>
                <w:lang w:val="fr-FR" w:bidi="fr-FR"/>
              </w:rPr>
              <w:t>'</w:t>
            </w:r>
            <w:r w:rsidRPr="00F3021F">
              <w:rPr>
                <w:szCs w:val="24"/>
                <w:lang w:val="fr-FR" w:bidi="fr-FR"/>
              </w:rPr>
              <w:t>excellence (CoE), le secteur privé, les établissements universitaires et d</w:t>
            </w:r>
            <w:r w:rsidR="000F7A90">
              <w:rPr>
                <w:szCs w:val="24"/>
                <w:lang w:val="fr-FR" w:bidi="fr-FR"/>
              </w:rPr>
              <w:t>'</w:t>
            </w:r>
            <w:r w:rsidRPr="00F3021F">
              <w:rPr>
                <w:szCs w:val="24"/>
                <w:lang w:val="fr-FR" w:bidi="fr-FR"/>
              </w:rPr>
              <w:t>autres instituts de formation. Le site web de l</w:t>
            </w:r>
            <w:r w:rsidR="000F7A90">
              <w:rPr>
                <w:szCs w:val="24"/>
                <w:lang w:val="fr-FR" w:bidi="fr-FR"/>
              </w:rPr>
              <w:t>'</w:t>
            </w:r>
            <w:hyperlink r:id="rId17" w:history="1">
              <w:r w:rsidRPr="00F3021F">
                <w:rPr>
                  <w:rStyle w:val="Hyperlink"/>
                  <w:szCs w:val="24"/>
                  <w:lang w:val="fr-FR" w:bidi="fr-FR"/>
                </w:rPr>
                <w:t>Académie de l</w:t>
              </w:r>
              <w:r w:rsidR="000F7A90">
                <w:rPr>
                  <w:rStyle w:val="Hyperlink"/>
                  <w:szCs w:val="24"/>
                  <w:lang w:val="fr-FR" w:bidi="fr-FR"/>
                </w:rPr>
                <w:t>'</w:t>
              </w:r>
              <w:r w:rsidRPr="00F3021F">
                <w:rPr>
                  <w:rStyle w:val="Hyperlink"/>
                  <w:szCs w:val="24"/>
                  <w:lang w:val="fr-FR" w:bidi="fr-FR"/>
                </w:rPr>
                <w:t>UIT</w:t>
              </w:r>
            </w:hyperlink>
            <w:r w:rsidRPr="00F3021F">
              <w:rPr>
                <w:szCs w:val="24"/>
                <w:lang w:val="fr-FR" w:bidi="fr-FR"/>
              </w:rPr>
              <w:t xml:space="preserve"> constitue le principal moyen par lequel sont organisées les formations de l</w:t>
            </w:r>
            <w:r w:rsidR="000F7A90">
              <w:rPr>
                <w:szCs w:val="24"/>
                <w:lang w:val="fr-FR" w:bidi="fr-FR"/>
              </w:rPr>
              <w:t>'</w:t>
            </w:r>
            <w:r w:rsidRPr="00F3021F">
              <w:rPr>
                <w:szCs w:val="24"/>
                <w:lang w:val="fr-FR" w:bidi="fr-FR"/>
              </w:rPr>
              <w:t>UIT.</w:t>
            </w:r>
          </w:p>
          <w:p w14:paraId="13A68EE5" w14:textId="50D8A7C2" w:rsidR="00FF4D42" w:rsidRPr="00F3021F" w:rsidRDefault="00FF4D42" w:rsidP="000F7A90">
            <w:pPr>
              <w:spacing w:after="120"/>
              <w:rPr>
                <w:rFonts w:eastAsia="PMingLiU-ExtB"/>
                <w:lang w:val="fr-FR"/>
              </w:rPr>
            </w:pPr>
            <w:r w:rsidRPr="00F3021F">
              <w:rPr>
                <w:rFonts w:eastAsia="PMingLiU-ExtB"/>
                <w:lang w:val="fr-FR" w:bidi="fr-FR"/>
              </w:rPr>
              <w:t>En 2018, 1 840 participants environ ont suivi une formation dans le cadre de 55 cours dispensés par le réseau de Centres d</w:t>
            </w:r>
            <w:r w:rsidR="000F7A90">
              <w:rPr>
                <w:rFonts w:eastAsia="PMingLiU-ExtB"/>
                <w:lang w:val="fr-FR" w:bidi="fr-FR"/>
              </w:rPr>
              <w:t>'</w:t>
            </w:r>
            <w:r w:rsidRPr="00F3021F">
              <w:rPr>
                <w:rFonts w:eastAsia="PMingLiU-ExtB"/>
                <w:lang w:val="fr-FR" w:bidi="fr-FR"/>
              </w:rPr>
              <w:t>excellence. Par ailleurs, 37 activités de formation et de renforcement des capacités, dont 17 à l</w:t>
            </w:r>
            <w:r w:rsidR="000F7A90">
              <w:rPr>
                <w:rFonts w:eastAsia="PMingLiU-ExtB"/>
                <w:lang w:val="fr-FR" w:bidi="fr-FR"/>
              </w:rPr>
              <w:t>'</w:t>
            </w:r>
            <w:r w:rsidRPr="00F3021F">
              <w:rPr>
                <w:rFonts w:eastAsia="PMingLiU-ExtB"/>
                <w:lang w:val="fr-FR" w:bidi="fr-FR"/>
              </w:rPr>
              <w:t>échelle régionale, ont été menées en collaboration avec d</w:t>
            </w:r>
            <w:r w:rsidR="000F7A90">
              <w:rPr>
                <w:rFonts w:eastAsia="PMingLiU-ExtB"/>
                <w:lang w:val="fr-FR" w:bidi="fr-FR"/>
              </w:rPr>
              <w:t>'</w:t>
            </w:r>
            <w:r w:rsidRPr="00F3021F">
              <w:rPr>
                <w:rFonts w:eastAsia="PMingLiU-ExtB"/>
                <w:lang w:val="fr-FR" w:bidi="fr-FR"/>
              </w:rPr>
              <w:t>autres partenaires en 2018 et ont bénéficié à 1 883 participants. Les activités de renforcement des capacités ont porté sur les principaux domaines suivants: politiques et réglementation, accès au large bande, cybersécurité, applications et services des TIC, gestion du spectre, gouvernance de l</w:t>
            </w:r>
            <w:r w:rsidR="000F7A90">
              <w:rPr>
                <w:rFonts w:eastAsia="PMingLiU-ExtB"/>
                <w:lang w:val="fr-FR" w:bidi="fr-FR"/>
              </w:rPr>
              <w:t>'</w:t>
            </w:r>
            <w:r w:rsidRPr="00F3021F">
              <w:rPr>
                <w:rFonts w:eastAsia="PMingLiU-ExtB"/>
                <w:lang w:val="fr-FR" w:bidi="fr-FR"/>
              </w:rPr>
              <w:t>Internet, innovation, radiodiffusion numérique, conformité et interopérabilité, informatique en nuage, qualité de service et accessibilité des TIC.</w:t>
            </w:r>
          </w:p>
          <w:p w14:paraId="77C49AF7" w14:textId="653A58DA" w:rsidR="007E30FF" w:rsidRPr="00F3021F" w:rsidRDefault="007E30FF" w:rsidP="00C762CF">
            <w:pPr>
              <w:rPr>
                <w:rFonts w:eastAsia="PMingLiU-ExtB"/>
                <w:lang w:val="fr-FR"/>
              </w:rPr>
            </w:pPr>
            <w:r w:rsidRPr="00F3021F">
              <w:rPr>
                <w:rFonts w:eastAsia="PMingLiU-ExtB"/>
                <w:lang w:val="fr-FR" w:bidi="fr-FR"/>
              </w:rPr>
              <w:lastRenderedPageBreak/>
              <w:t>L</w:t>
            </w:r>
            <w:r w:rsidR="000F7A90">
              <w:rPr>
                <w:rFonts w:eastAsia="PMingLiU-ExtB"/>
                <w:lang w:val="fr-FR" w:bidi="fr-FR"/>
              </w:rPr>
              <w:t>'</w:t>
            </w:r>
            <w:r w:rsidRPr="00F3021F">
              <w:rPr>
                <w:rFonts w:eastAsia="PMingLiU-ExtB"/>
                <w:lang w:val="fr-FR" w:bidi="fr-FR"/>
              </w:rPr>
              <w:t>UIT a continué d</w:t>
            </w:r>
            <w:r w:rsidR="000F7A90">
              <w:rPr>
                <w:rFonts w:eastAsia="PMingLiU-ExtB"/>
                <w:lang w:val="fr-FR" w:bidi="fr-FR"/>
              </w:rPr>
              <w:t>'</w:t>
            </w:r>
            <w:r w:rsidRPr="00F3021F">
              <w:rPr>
                <w:rFonts w:eastAsia="PMingLiU-ExtB"/>
                <w:lang w:val="fr-FR" w:bidi="fr-FR"/>
              </w:rPr>
              <w:t>organiser des formations à destination des pays en développement en collaboration avec ses partenaires, dont l</w:t>
            </w:r>
            <w:r w:rsidR="000F7A90">
              <w:rPr>
                <w:rFonts w:eastAsia="PMingLiU-ExtB"/>
                <w:lang w:val="fr-FR" w:bidi="fr-FR"/>
              </w:rPr>
              <w:t>'</w:t>
            </w:r>
            <w:r w:rsidRPr="00F3021F">
              <w:rPr>
                <w:rFonts w:eastAsia="PMingLiU-ExtB"/>
                <w:lang w:val="fr-FR" w:bidi="fr-FR"/>
              </w:rPr>
              <w:t>Institut régional africain de formation supérieure en télécommunications (AFRALTI), l</w:t>
            </w:r>
            <w:r w:rsidR="000F7A90">
              <w:rPr>
                <w:rFonts w:eastAsia="PMingLiU-ExtB"/>
                <w:lang w:val="fr-FR" w:bidi="fr-FR"/>
              </w:rPr>
              <w:t>'</w:t>
            </w:r>
            <w:r w:rsidRPr="00F3021F">
              <w:rPr>
                <w:rFonts w:eastAsia="PMingLiU-ExtB"/>
                <w:lang w:val="fr-FR" w:bidi="fr-FR"/>
              </w:rPr>
              <w:t>Organisation internationale de télécommunications par satellite (ITSO), Rohde and Schwarz, et le Centre international de physique théorique (ICTP) en Italie. Au cours de l</w:t>
            </w:r>
            <w:r w:rsidR="000F7A90">
              <w:rPr>
                <w:rFonts w:eastAsia="PMingLiU-ExtB"/>
                <w:lang w:val="fr-FR" w:bidi="fr-FR"/>
              </w:rPr>
              <w:t>'</w:t>
            </w:r>
            <w:r w:rsidRPr="00F3021F">
              <w:rPr>
                <w:rFonts w:eastAsia="PMingLiU-ExtB"/>
                <w:lang w:val="fr-FR" w:bidi="fr-FR"/>
              </w:rPr>
              <w:t>année écoulée, ces activités de formation se sont concentrées sur la communication par satellite, le contrôle et la gestion du spectre, et l</w:t>
            </w:r>
            <w:r w:rsidR="000F7A90">
              <w:rPr>
                <w:rFonts w:eastAsia="PMingLiU-ExtB"/>
                <w:lang w:val="fr-FR" w:bidi="fr-FR"/>
              </w:rPr>
              <w:t>'</w:t>
            </w:r>
            <w:r w:rsidRPr="00F3021F">
              <w:rPr>
                <w:rFonts w:eastAsia="PMingLiU-ExtB"/>
                <w:lang w:val="fr-FR" w:bidi="fr-FR"/>
              </w:rPr>
              <w:t>Internet des objets (IoT). En partenariat avec la United Kingdom Telecommunications Academy (UKTA), l</w:t>
            </w:r>
            <w:r w:rsidR="000F7A90">
              <w:rPr>
                <w:rFonts w:eastAsia="PMingLiU-ExtB"/>
                <w:lang w:val="fr-FR" w:bidi="fr-FR"/>
              </w:rPr>
              <w:t>'</w:t>
            </w:r>
            <w:r w:rsidRPr="00F3021F">
              <w:rPr>
                <w:rFonts w:eastAsia="PMingLiU-ExtB"/>
                <w:lang w:val="fr-FR" w:bidi="fr-FR"/>
              </w:rPr>
              <w:t>UIT a continué de dispenser le Master en gestion des communications par l</w:t>
            </w:r>
            <w:r w:rsidR="000F7A90">
              <w:rPr>
                <w:rFonts w:eastAsia="PMingLiU-ExtB"/>
                <w:lang w:val="fr-FR" w:bidi="fr-FR"/>
              </w:rPr>
              <w:t>'</w:t>
            </w:r>
            <w:r w:rsidRPr="00F3021F">
              <w:rPr>
                <w:rFonts w:eastAsia="PMingLiU-ExtB"/>
                <w:lang w:val="fr-FR" w:bidi="fr-FR"/>
              </w:rPr>
              <w:t>intermédiaire de l</w:t>
            </w:r>
            <w:r w:rsidR="000F7A90">
              <w:rPr>
                <w:rFonts w:eastAsia="PMingLiU-ExtB"/>
                <w:lang w:val="fr-FR" w:bidi="fr-FR"/>
              </w:rPr>
              <w:t>'</w:t>
            </w:r>
            <w:r w:rsidRPr="00F3021F">
              <w:rPr>
                <w:rFonts w:eastAsia="PMingLiU-ExtB"/>
                <w:lang w:val="fr-FR" w:bidi="fr-FR"/>
              </w:rPr>
              <w:t>Académie de l</w:t>
            </w:r>
            <w:r w:rsidR="000F7A90">
              <w:rPr>
                <w:rFonts w:eastAsia="PMingLiU-ExtB"/>
                <w:lang w:val="fr-FR" w:bidi="fr-FR"/>
              </w:rPr>
              <w:t>'</w:t>
            </w:r>
            <w:r w:rsidRPr="00F3021F">
              <w:rPr>
                <w:rFonts w:eastAsia="PMingLiU-ExtB"/>
                <w:lang w:val="fr-FR" w:bidi="fr-FR"/>
              </w:rPr>
              <w:t xml:space="preserve">UIT. </w:t>
            </w:r>
          </w:p>
          <w:p w14:paraId="4C79E346" w14:textId="20F5947C" w:rsidR="007E30FF" w:rsidRPr="00F3021F" w:rsidRDefault="007E30FF" w:rsidP="00C762CF">
            <w:pPr>
              <w:rPr>
                <w:rFonts w:eastAsia="PMingLiU-ExtB"/>
                <w:lang w:val="fr-FR"/>
              </w:rPr>
            </w:pPr>
            <w:r w:rsidRPr="00F3021F">
              <w:rPr>
                <w:rFonts w:eastAsia="PMingLiU-ExtB"/>
                <w:lang w:val="fr-FR" w:bidi="fr-FR"/>
              </w:rPr>
              <w:t>De nouveaux accords de partenariat ont été conclus: avec Wayfindr afin de proposer des formations sur la conception de systèmes audio de navigation pour les personnes malvoyantes, et avec quatre partenaires d</w:t>
            </w:r>
            <w:r w:rsidR="000F7A90">
              <w:rPr>
                <w:rFonts w:eastAsia="PMingLiU-ExtB"/>
                <w:lang w:val="fr-FR" w:bidi="fr-FR"/>
              </w:rPr>
              <w:t>'</w:t>
            </w:r>
            <w:r w:rsidRPr="00F3021F">
              <w:rPr>
                <w:rFonts w:eastAsia="PMingLiU-ExtB"/>
                <w:lang w:val="fr-FR" w:bidi="fr-FR"/>
              </w:rPr>
              <w:t>Amérique latine pour l</w:t>
            </w:r>
            <w:r w:rsidR="000F7A90">
              <w:rPr>
                <w:rFonts w:eastAsia="PMingLiU-ExtB"/>
                <w:lang w:val="fr-FR" w:bidi="fr-FR"/>
              </w:rPr>
              <w:t>'</w:t>
            </w:r>
            <w:r w:rsidRPr="00F3021F">
              <w:rPr>
                <w:rFonts w:eastAsia="PMingLiU-ExtB"/>
                <w:lang w:val="fr-FR" w:bidi="fr-FR"/>
              </w:rPr>
              <w:t>organisation du Programme sur la gestion stratégique des télécommunications.</w:t>
            </w:r>
          </w:p>
          <w:p w14:paraId="7B10E3D8" w14:textId="326D923D" w:rsidR="007E30FF" w:rsidRPr="00F3021F" w:rsidRDefault="007E30FF" w:rsidP="00C762CF">
            <w:pPr>
              <w:rPr>
                <w:szCs w:val="24"/>
                <w:lang w:val="fr-FR"/>
              </w:rPr>
            </w:pPr>
            <w:r w:rsidRPr="00F3021F">
              <w:rPr>
                <w:b/>
                <w:szCs w:val="24"/>
                <w:lang w:val="fr-FR" w:bidi="fr-FR"/>
              </w:rPr>
              <w:t>Conception de cours de formation</w:t>
            </w:r>
            <w:r w:rsidRPr="000F7A90">
              <w:rPr>
                <w:bCs/>
                <w:szCs w:val="24"/>
                <w:lang w:val="fr-FR" w:bidi="fr-FR"/>
              </w:rPr>
              <w:t>:</w:t>
            </w:r>
            <w:r w:rsidRPr="00F3021F">
              <w:rPr>
                <w:b/>
                <w:szCs w:val="24"/>
                <w:lang w:val="fr-FR" w:bidi="fr-FR"/>
              </w:rPr>
              <w:t xml:space="preserve"> </w:t>
            </w:r>
            <w:r w:rsidRPr="00F3021F">
              <w:rPr>
                <w:szCs w:val="24"/>
                <w:lang w:val="fr-FR" w:bidi="fr-FR"/>
              </w:rPr>
              <w:t>dans le cadre de l</w:t>
            </w:r>
            <w:r w:rsidR="000F7A90">
              <w:rPr>
                <w:szCs w:val="24"/>
                <w:lang w:val="fr-FR" w:bidi="fr-FR"/>
              </w:rPr>
              <w:t>'</w:t>
            </w:r>
            <w:r w:rsidRPr="00F3021F">
              <w:rPr>
                <w:szCs w:val="24"/>
                <w:lang w:val="fr-FR" w:bidi="fr-FR"/>
              </w:rPr>
              <w:t>Académie de l</w:t>
            </w:r>
            <w:r w:rsidR="000F7A90">
              <w:rPr>
                <w:szCs w:val="24"/>
                <w:lang w:val="fr-FR" w:bidi="fr-FR"/>
              </w:rPr>
              <w:t>'</w:t>
            </w:r>
            <w:r w:rsidRPr="00F3021F">
              <w:rPr>
                <w:szCs w:val="24"/>
                <w:lang w:val="fr-FR" w:bidi="fr-FR"/>
              </w:rPr>
              <w:t>UIT, le BDT a élaboré des programmes de formation complets et de qualité. En 2018, des programmes de formation sur les thèmes suivants ont été mis à jour, établis sous leur forme finale ou entrepris: gestion du spectre, qualité de service, TIC et changements climatiques, et Internet des objets. En avril, l</w:t>
            </w:r>
            <w:r w:rsidR="000F7A90">
              <w:rPr>
                <w:szCs w:val="24"/>
                <w:lang w:val="fr-FR" w:bidi="fr-FR"/>
              </w:rPr>
              <w:t>'</w:t>
            </w:r>
            <w:r w:rsidRPr="00F3021F">
              <w:rPr>
                <w:szCs w:val="24"/>
                <w:lang w:val="fr-FR" w:bidi="fr-FR"/>
              </w:rPr>
              <w:t>agence centrale d</w:t>
            </w:r>
            <w:r w:rsidR="000F7A90">
              <w:rPr>
                <w:szCs w:val="24"/>
                <w:lang w:val="fr-FR" w:bidi="fr-FR"/>
              </w:rPr>
              <w:t>'</w:t>
            </w:r>
            <w:r w:rsidRPr="00F3021F">
              <w:rPr>
                <w:szCs w:val="24"/>
                <w:lang w:val="fr-FR" w:bidi="fr-FR"/>
              </w:rPr>
              <w:t>évaluation et d</w:t>
            </w:r>
            <w:r w:rsidR="000F7A90">
              <w:rPr>
                <w:szCs w:val="24"/>
                <w:lang w:val="fr-FR" w:bidi="fr-FR"/>
              </w:rPr>
              <w:t>'</w:t>
            </w:r>
            <w:r w:rsidRPr="00F3021F">
              <w:rPr>
                <w:szCs w:val="24"/>
                <w:lang w:val="fr-FR" w:bidi="fr-FR"/>
              </w:rPr>
              <w:t>accr</w:t>
            </w:r>
            <w:r w:rsidR="00A27449">
              <w:rPr>
                <w:szCs w:val="24"/>
                <w:lang w:val="fr-FR" w:bidi="fr-FR"/>
              </w:rPr>
              <w:t>éditation (Zentrale Evaluations</w:t>
            </w:r>
            <w:r w:rsidRPr="00F3021F">
              <w:rPr>
                <w:szCs w:val="24"/>
                <w:lang w:val="fr-FR" w:bidi="fr-FR"/>
              </w:rPr>
              <w:t xml:space="preserve"> und Akkreditierungsagentur, ZEvA), membre de l</w:t>
            </w:r>
            <w:r w:rsidR="000F7A90">
              <w:rPr>
                <w:szCs w:val="24"/>
                <w:lang w:val="fr-FR" w:bidi="fr-FR"/>
              </w:rPr>
              <w:t>'</w:t>
            </w:r>
            <w:r w:rsidRPr="00F3021F">
              <w:rPr>
                <w:szCs w:val="24"/>
                <w:lang w:val="fr-FR" w:bidi="fr-FR"/>
              </w:rPr>
              <w:t>Association européenne pour la garantie de la qualité dans l</w:t>
            </w:r>
            <w:r w:rsidR="000F7A90">
              <w:rPr>
                <w:szCs w:val="24"/>
                <w:lang w:val="fr-FR" w:bidi="fr-FR"/>
              </w:rPr>
              <w:t>'</w:t>
            </w:r>
            <w:r w:rsidRPr="00F3021F">
              <w:rPr>
                <w:szCs w:val="24"/>
                <w:lang w:val="fr-FR" w:bidi="fr-FR"/>
              </w:rPr>
              <w:t>enseignement supérieur (European Association for Quality Assurance in Higher Education), a décerné au Programme de formation sur la gestion du spectre (SMTP) son label de qualité dans l</w:t>
            </w:r>
            <w:r w:rsidR="000F7A90">
              <w:rPr>
                <w:szCs w:val="24"/>
                <w:lang w:val="fr-FR" w:bidi="fr-FR"/>
              </w:rPr>
              <w:t>'</w:t>
            </w:r>
            <w:r w:rsidRPr="00F3021F">
              <w:rPr>
                <w:szCs w:val="24"/>
                <w:lang w:val="fr-FR" w:bidi="fr-FR"/>
              </w:rPr>
              <w:t>enseignement supérieur et a reconnu aux modules du SMTP l</w:t>
            </w:r>
            <w:r w:rsidR="000F7A90">
              <w:rPr>
                <w:szCs w:val="24"/>
                <w:lang w:val="fr-FR" w:bidi="fr-FR"/>
              </w:rPr>
              <w:t>'</w:t>
            </w:r>
            <w:r w:rsidRPr="00F3021F">
              <w:rPr>
                <w:szCs w:val="24"/>
                <w:lang w:val="fr-FR" w:bidi="fr-FR"/>
              </w:rPr>
              <w:t>équivalence de modules de master. Le SMTP peut ainsi être aligné sur les programmes de master à l</w:t>
            </w:r>
            <w:r w:rsidR="000F7A90">
              <w:rPr>
                <w:szCs w:val="24"/>
                <w:lang w:val="fr-FR" w:bidi="fr-FR"/>
              </w:rPr>
              <w:t>'</w:t>
            </w:r>
            <w:r w:rsidRPr="00F3021F">
              <w:rPr>
                <w:szCs w:val="24"/>
                <w:lang w:val="fr-FR" w:bidi="fr-FR"/>
              </w:rPr>
              <w:t>échelle internationale et être adopté plus facilement par les universités.</w:t>
            </w:r>
          </w:p>
          <w:p w14:paraId="5201D97E" w14:textId="7A2FA1DD" w:rsidR="007E30FF" w:rsidRPr="00F3021F" w:rsidRDefault="007E30FF" w:rsidP="00C762CF">
            <w:pPr>
              <w:rPr>
                <w:lang w:val="fr-FR"/>
              </w:rPr>
            </w:pPr>
            <w:r w:rsidRPr="00F3021F">
              <w:rPr>
                <w:b/>
                <w:szCs w:val="24"/>
                <w:lang w:val="fr-FR" w:bidi="fr-FR"/>
              </w:rPr>
              <w:t>Colloque mondial sur le renforcement des capacités dans le secteur des TIC</w:t>
            </w:r>
            <w:r w:rsidRPr="000F7A90">
              <w:rPr>
                <w:bCs/>
                <w:szCs w:val="24"/>
                <w:lang w:val="fr-FR" w:bidi="fr-FR"/>
              </w:rPr>
              <w:t>:</w:t>
            </w:r>
            <w:r w:rsidRPr="00F3021F">
              <w:rPr>
                <w:b/>
                <w:szCs w:val="24"/>
                <w:lang w:val="fr-FR" w:bidi="fr-FR"/>
              </w:rPr>
              <w:t xml:space="preserve"> </w:t>
            </w:r>
            <w:r w:rsidRPr="00F3021F">
              <w:rPr>
                <w:lang w:val="fr-FR" w:bidi="fr-FR"/>
              </w:rPr>
              <w:t xml:space="preserve">le </w:t>
            </w:r>
            <w:hyperlink r:id="rId18" w:history="1">
              <w:r w:rsidRPr="00F3021F">
                <w:rPr>
                  <w:rStyle w:val="Hyperlink"/>
                  <w:lang w:val="fr-FR" w:bidi="fr-FR"/>
                </w:rPr>
                <w:t>Colloque mondial sur le renforcement des capacités dans le secteur des TIC (2018)</w:t>
              </w:r>
            </w:hyperlink>
            <w:r w:rsidR="000F7A90">
              <w:rPr>
                <w:lang w:val="fr-FR" w:bidi="fr-FR"/>
              </w:rPr>
              <w:t xml:space="preserve"> s'est tenu du 18 au </w:t>
            </w:r>
            <w:r w:rsidR="009C3D18">
              <w:rPr>
                <w:lang w:val="fr-FR" w:bidi="fr-FR"/>
              </w:rPr>
              <w:t>20 </w:t>
            </w:r>
            <w:r w:rsidRPr="00F3021F">
              <w:rPr>
                <w:lang w:val="fr-FR" w:bidi="fr-FR"/>
              </w:rPr>
              <w:t>juin à Saint-Domingue (République dominicaine) sur le thème "Renforcement des compétences pour l</w:t>
            </w:r>
            <w:r w:rsidR="000F7A90">
              <w:rPr>
                <w:lang w:val="fr-FR" w:bidi="fr-FR"/>
              </w:rPr>
              <w:t>'</w:t>
            </w:r>
            <w:r w:rsidRPr="00F3021F">
              <w:rPr>
                <w:lang w:val="fr-FR" w:bidi="fr-FR"/>
              </w:rPr>
              <w:t>économie et la société numériques", et a réuni 331 participants de 36 pays. Il s</w:t>
            </w:r>
            <w:r w:rsidR="000F7A90">
              <w:rPr>
                <w:lang w:val="fr-FR" w:bidi="fr-FR"/>
              </w:rPr>
              <w:t>'</w:t>
            </w:r>
            <w:r w:rsidRPr="00F3021F">
              <w:rPr>
                <w:lang w:val="fr-FR" w:bidi="fr-FR"/>
              </w:rPr>
              <w:t>agit de la principale manifestation internationale consacrée au développement des capacités dans le domaine des TIC.  Le Colloque fournit à la communauté nationale et internationale des orientations stratégiques sur les questions de renforcement des compétences dans le domaine des TIC et des technologies numériques. Il a par ailleurs contribué à intensifier la collaboration entre l</w:t>
            </w:r>
            <w:r w:rsidR="000F7A90">
              <w:rPr>
                <w:lang w:val="fr-FR" w:bidi="fr-FR"/>
              </w:rPr>
              <w:t>'</w:t>
            </w:r>
            <w:r w:rsidRPr="00F3021F">
              <w:rPr>
                <w:lang w:val="fr-FR" w:bidi="fr-FR"/>
              </w:rPr>
              <w:t>UIT, les secteurs public et privé, les entreprises et les milieux universitaires en vue de renforcer les capacités dans le monde numérique de demain.</w:t>
            </w:r>
          </w:p>
          <w:p w14:paraId="2C0192B6" w14:textId="77777777" w:rsidR="007E30FF" w:rsidRPr="00F3021F" w:rsidRDefault="007E30FF" w:rsidP="00C762CF">
            <w:pPr>
              <w:spacing w:after="120"/>
              <w:rPr>
                <w:b/>
                <w:bCs/>
                <w:szCs w:val="24"/>
                <w:lang w:val="fr-FR"/>
              </w:rPr>
            </w:pPr>
            <w:r w:rsidRPr="00F3021F">
              <w:rPr>
                <w:b/>
                <w:szCs w:val="24"/>
                <w:lang w:val="fr-FR" w:bidi="fr-FR"/>
              </w:rPr>
              <w:t>Renforcement des capacités dans un environnement des TIC en pleine évolution</w:t>
            </w:r>
          </w:p>
          <w:p w14:paraId="53662516" w14:textId="57F4398A" w:rsidR="00FF4D42" w:rsidRPr="00F3021F" w:rsidRDefault="007E30FF" w:rsidP="00C762CF">
            <w:pPr>
              <w:spacing w:after="120"/>
              <w:rPr>
                <w:rFonts w:eastAsia="PMingLiU-ExtB"/>
                <w:lang w:val="fr-FR"/>
              </w:rPr>
            </w:pPr>
            <w:r w:rsidRPr="00F3021F">
              <w:rPr>
                <w:rFonts w:eastAsia="PMingLiU-ExtB"/>
                <w:lang w:val="fr-FR" w:bidi="fr-FR"/>
              </w:rPr>
              <w:t xml:space="preserve">La publication sur le renforcement des capacités dans un environnement des TIC en pleine évolution ("Capacity Building in a Changing ICT Environment") est sortie en 2018. </w:t>
            </w:r>
            <w:r w:rsidRPr="00F3021F">
              <w:rPr>
                <w:szCs w:val="24"/>
                <w:lang w:val="fr-FR" w:bidi="fr-FR"/>
              </w:rPr>
              <w:t xml:space="preserve">Les articles de cette </w:t>
            </w:r>
            <w:hyperlink r:id="rId19" w:history="1">
              <w:r w:rsidRPr="00F3021F">
                <w:rPr>
                  <w:rStyle w:val="Hyperlink"/>
                  <w:szCs w:val="24"/>
                  <w:lang w:val="fr-FR" w:bidi="fr-FR"/>
                </w:rPr>
                <w:t>deuxième édition</w:t>
              </w:r>
            </w:hyperlink>
            <w:r w:rsidRPr="00F3021F">
              <w:rPr>
                <w:szCs w:val="24"/>
                <w:lang w:val="fr-FR" w:bidi="fr-FR"/>
              </w:rPr>
              <w:t xml:space="preserve"> mettent en avant les différents niveaux de compétences numériques requis: des compétences de base destinées à sensibiliser aux TIC et à utiliser des applications simples, jusqu</w:t>
            </w:r>
            <w:r w:rsidR="000F7A90">
              <w:rPr>
                <w:szCs w:val="24"/>
                <w:lang w:val="fr-FR" w:bidi="fr-FR"/>
              </w:rPr>
              <w:t>'</w:t>
            </w:r>
            <w:r w:rsidRPr="00F3021F">
              <w:rPr>
                <w:szCs w:val="24"/>
                <w:lang w:val="fr-FR" w:bidi="fr-FR"/>
              </w:rPr>
              <w:t>aux compétences approfondies ciblant des besoins plus complexes, tels que la gestion des réseaux et l</w:t>
            </w:r>
            <w:r w:rsidR="000F7A90">
              <w:rPr>
                <w:szCs w:val="24"/>
                <w:lang w:val="fr-FR" w:bidi="fr-FR"/>
              </w:rPr>
              <w:t>'</w:t>
            </w:r>
            <w:r w:rsidRPr="00F3021F">
              <w:rPr>
                <w:szCs w:val="24"/>
                <w:lang w:val="fr-FR" w:bidi="fr-FR"/>
              </w:rPr>
              <w:t>analyse des données.</w:t>
            </w:r>
            <w:bookmarkEnd w:id="74"/>
          </w:p>
        </w:tc>
      </w:tr>
      <w:tr w:rsidR="00FF4D42" w:rsidRPr="00F3021F" w14:paraId="53E773BB" w14:textId="77777777" w:rsidTr="00127B97">
        <w:tc>
          <w:tcPr>
            <w:tcW w:w="3256" w:type="dxa"/>
            <w:tcBorders>
              <w:top w:val="single" w:sz="4" w:space="0" w:color="auto"/>
              <w:bottom w:val="single" w:sz="4" w:space="0" w:color="auto"/>
              <w:right w:val="single" w:sz="4" w:space="0" w:color="auto"/>
            </w:tcBorders>
          </w:tcPr>
          <w:p w14:paraId="54EF7C58" w14:textId="77777777" w:rsidR="00FF4D42" w:rsidRPr="00F3021F" w:rsidRDefault="00FF4D42" w:rsidP="00C762CF">
            <w:pPr>
              <w:spacing w:before="0"/>
              <w:rPr>
                <w:i/>
                <w:iCs/>
                <w:szCs w:val="24"/>
                <w:lang w:val="fr-FR"/>
              </w:rPr>
            </w:pPr>
            <w:r w:rsidRPr="00F3021F">
              <w:rPr>
                <w:i/>
                <w:szCs w:val="24"/>
                <w:lang w:val="fr-FR" w:bidi="fr-FR"/>
              </w:rPr>
              <w:lastRenderedPageBreak/>
              <w:t>CMDT</w:t>
            </w:r>
          </w:p>
        </w:tc>
        <w:tc>
          <w:tcPr>
            <w:tcW w:w="6373" w:type="dxa"/>
            <w:tcBorders>
              <w:top w:val="single" w:sz="4" w:space="0" w:color="auto"/>
              <w:left w:val="single" w:sz="4" w:space="0" w:color="auto"/>
              <w:bottom w:val="single" w:sz="4" w:space="0" w:color="auto"/>
            </w:tcBorders>
          </w:tcPr>
          <w:p w14:paraId="02821836" w14:textId="171D0B0D" w:rsidR="00FF4D42" w:rsidRPr="00F3021F" w:rsidRDefault="00FF4D42" w:rsidP="00A27449">
            <w:pPr>
              <w:spacing w:before="0"/>
              <w:rPr>
                <w:rFonts w:eastAsia="PMingLiU-ExtB"/>
                <w:szCs w:val="24"/>
                <w:lang w:val="fr-FR"/>
              </w:rPr>
            </w:pPr>
            <w:bookmarkStart w:id="75" w:name="lt_pId375"/>
            <w:r w:rsidRPr="00F3021F">
              <w:rPr>
                <w:szCs w:val="24"/>
                <w:lang w:val="fr-FR" w:bidi="fr-FR"/>
              </w:rPr>
              <w:t>Résolutions 1, 5, 9, 15, 20, 21, 22, 30, 32, 33, 36, 40, 50, 59, 73,</w:t>
            </w:r>
            <w:r w:rsidR="00A27449">
              <w:rPr>
                <w:szCs w:val="24"/>
                <w:lang w:val="fr-FR" w:bidi="fr-FR"/>
              </w:rPr>
              <w:t> </w:t>
            </w:r>
            <w:r w:rsidRPr="00F3021F">
              <w:rPr>
                <w:szCs w:val="24"/>
                <w:lang w:val="fr-FR" w:bidi="fr-FR"/>
              </w:rPr>
              <w:t>77</w:t>
            </w:r>
            <w:bookmarkEnd w:id="75"/>
          </w:p>
        </w:tc>
      </w:tr>
      <w:tr w:rsidR="00FF4D42" w:rsidRPr="00F3021F" w14:paraId="64BC62F3" w14:textId="77777777" w:rsidTr="00127B97">
        <w:trPr>
          <w:trHeight w:val="397"/>
        </w:trPr>
        <w:tc>
          <w:tcPr>
            <w:tcW w:w="3256" w:type="dxa"/>
            <w:tcBorders>
              <w:top w:val="single" w:sz="4" w:space="0" w:color="auto"/>
              <w:bottom w:val="single" w:sz="4" w:space="0" w:color="auto"/>
              <w:right w:val="single" w:sz="4" w:space="0" w:color="auto"/>
            </w:tcBorders>
          </w:tcPr>
          <w:p w14:paraId="714FBBE7" w14:textId="77777777" w:rsidR="00FF4D42" w:rsidRPr="00F3021F" w:rsidRDefault="00FF4D42"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1AE87E23" w14:textId="77777777" w:rsidR="00FF4D42" w:rsidRPr="00F3021F" w:rsidRDefault="00FF4D42" w:rsidP="00C762CF">
            <w:pPr>
              <w:spacing w:before="0"/>
              <w:rPr>
                <w:rFonts w:eastAsia="PMingLiU-ExtB"/>
                <w:szCs w:val="24"/>
                <w:lang w:val="fr-FR"/>
              </w:rPr>
            </w:pPr>
            <w:bookmarkStart w:id="76" w:name="lt_pId377"/>
            <w:r w:rsidRPr="00F3021F">
              <w:rPr>
                <w:rFonts w:eastAsia="PMingLiU-ExtB"/>
                <w:szCs w:val="24"/>
                <w:lang w:val="fr-FR" w:bidi="fr-FR"/>
              </w:rPr>
              <w:t>Décisions 5, 13</w:t>
            </w:r>
            <w:bookmarkEnd w:id="76"/>
          </w:p>
          <w:p w14:paraId="643BC9DF" w14:textId="4DD019B6" w:rsidR="00FF4D42" w:rsidRPr="00F3021F" w:rsidRDefault="00FF4D42" w:rsidP="00C762CF">
            <w:pPr>
              <w:spacing w:before="0"/>
              <w:rPr>
                <w:rFonts w:eastAsia="PMingLiU-ExtB"/>
                <w:szCs w:val="24"/>
                <w:lang w:val="fr-FR"/>
              </w:rPr>
            </w:pPr>
            <w:bookmarkStart w:id="77" w:name="lt_pId378"/>
            <w:r w:rsidRPr="00F3021F">
              <w:rPr>
                <w:rFonts w:eastAsia="PMingLiU-ExtB"/>
                <w:szCs w:val="24"/>
                <w:lang w:val="fr-FR" w:bidi="fr-FR"/>
              </w:rPr>
              <w:t>Résolutions 25, 71, 72, 137, 139</w:t>
            </w:r>
            <w:r w:rsidR="00A27449">
              <w:rPr>
                <w:rFonts w:eastAsia="PMingLiU-ExtB"/>
                <w:szCs w:val="24"/>
                <w:lang w:val="fr-FR" w:bidi="fr-FR"/>
              </w:rPr>
              <w:t>, 140, 176, 188, 189, 197, 199, </w:t>
            </w:r>
            <w:r w:rsidRPr="00F3021F">
              <w:rPr>
                <w:rFonts w:eastAsia="PMingLiU-ExtB"/>
                <w:szCs w:val="24"/>
                <w:lang w:val="fr-FR" w:bidi="fr-FR"/>
              </w:rPr>
              <w:t>202</w:t>
            </w:r>
            <w:bookmarkEnd w:id="77"/>
          </w:p>
        </w:tc>
      </w:tr>
      <w:tr w:rsidR="00FF4D42" w:rsidRPr="00F3021F" w14:paraId="4F17F0C9" w14:textId="77777777" w:rsidTr="00127B97">
        <w:trPr>
          <w:trHeight w:val="397"/>
        </w:trPr>
        <w:tc>
          <w:tcPr>
            <w:tcW w:w="3256" w:type="dxa"/>
            <w:tcBorders>
              <w:top w:val="single" w:sz="4" w:space="0" w:color="auto"/>
              <w:bottom w:val="single" w:sz="4" w:space="0" w:color="auto"/>
              <w:right w:val="single" w:sz="4" w:space="0" w:color="auto"/>
            </w:tcBorders>
          </w:tcPr>
          <w:p w14:paraId="2A2CF68B" w14:textId="77777777" w:rsidR="00FF4D42" w:rsidRPr="00F3021F" w:rsidRDefault="00FF4D42" w:rsidP="00C762CF">
            <w:pPr>
              <w:spacing w:before="0"/>
              <w:rPr>
                <w:i/>
                <w:iCs/>
                <w:lang w:val="fr-FR"/>
              </w:rPr>
            </w:pPr>
            <w:r w:rsidRPr="00F3021F">
              <w:rPr>
                <w:i/>
                <w:lang w:val="fr-FR" w:bidi="fr-FR"/>
              </w:rPr>
              <w:lastRenderedPageBreak/>
              <w:t>Conseil</w:t>
            </w:r>
          </w:p>
        </w:tc>
        <w:tc>
          <w:tcPr>
            <w:tcW w:w="6373" w:type="dxa"/>
            <w:tcBorders>
              <w:top w:val="single" w:sz="4" w:space="0" w:color="auto"/>
              <w:left w:val="single" w:sz="4" w:space="0" w:color="auto"/>
              <w:bottom w:val="single" w:sz="4" w:space="0" w:color="auto"/>
            </w:tcBorders>
          </w:tcPr>
          <w:p w14:paraId="19FB0C6A" w14:textId="77777777" w:rsidR="00FF4D42" w:rsidRPr="00F3021F" w:rsidRDefault="00FF4D42" w:rsidP="00C762CF">
            <w:pPr>
              <w:spacing w:before="0"/>
              <w:rPr>
                <w:szCs w:val="24"/>
                <w:lang w:val="fr-FR"/>
              </w:rPr>
            </w:pPr>
            <w:bookmarkStart w:id="78" w:name="lt_pId380"/>
            <w:r w:rsidRPr="00F3021F">
              <w:rPr>
                <w:szCs w:val="24"/>
                <w:lang w:val="fr-FR" w:bidi="fr-FR"/>
              </w:rPr>
              <w:t>Résolution 1143</w:t>
            </w:r>
            <w:bookmarkEnd w:id="78"/>
          </w:p>
        </w:tc>
      </w:tr>
      <w:tr w:rsidR="00FF4D42" w:rsidRPr="00F3021F" w14:paraId="24A0D248" w14:textId="77777777" w:rsidTr="00127B97">
        <w:trPr>
          <w:trHeight w:val="397"/>
        </w:trPr>
        <w:tc>
          <w:tcPr>
            <w:tcW w:w="3256" w:type="dxa"/>
            <w:tcBorders>
              <w:top w:val="single" w:sz="4" w:space="0" w:color="auto"/>
              <w:bottom w:val="single" w:sz="4" w:space="0" w:color="auto"/>
              <w:right w:val="single" w:sz="4" w:space="0" w:color="auto"/>
            </w:tcBorders>
          </w:tcPr>
          <w:p w14:paraId="647D2449" w14:textId="77777777" w:rsidR="00FF4D42" w:rsidRPr="00F3021F" w:rsidRDefault="00FF4D42" w:rsidP="00C762CF">
            <w:pPr>
              <w:spacing w:before="0"/>
              <w:rPr>
                <w:i/>
                <w:iCs/>
                <w:szCs w:val="24"/>
                <w:lang w:val="fr-FR"/>
              </w:rPr>
            </w:pPr>
            <w:r w:rsidRPr="00F3021F">
              <w:rPr>
                <w:i/>
                <w:szCs w:val="24"/>
                <w:lang w:val="fr-FR" w:bidi="fr-FR"/>
              </w:rPr>
              <w:t>AMNT</w:t>
            </w:r>
          </w:p>
        </w:tc>
        <w:tc>
          <w:tcPr>
            <w:tcW w:w="6373" w:type="dxa"/>
            <w:tcBorders>
              <w:top w:val="single" w:sz="4" w:space="0" w:color="auto"/>
              <w:left w:val="single" w:sz="4" w:space="0" w:color="auto"/>
              <w:bottom w:val="single" w:sz="4" w:space="0" w:color="auto"/>
            </w:tcBorders>
          </w:tcPr>
          <w:p w14:paraId="2FE5F97C" w14:textId="77777777" w:rsidR="00FF4D42" w:rsidRPr="00F3021F" w:rsidRDefault="00FF4D42" w:rsidP="00C762CF">
            <w:pPr>
              <w:spacing w:before="0"/>
              <w:rPr>
                <w:szCs w:val="24"/>
                <w:lang w:val="fr-FR"/>
              </w:rPr>
            </w:pPr>
            <w:bookmarkStart w:id="79" w:name="lt_pId382"/>
            <w:r w:rsidRPr="00F3021F">
              <w:rPr>
                <w:szCs w:val="24"/>
                <w:lang w:val="fr-FR" w:bidi="fr-FR"/>
              </w:rPr>
              <w:t>Résolutions 54, 59, 72</w:t>
            </w:r>
            <w:bookmarkEnd w:id="79"/>
          </w:p>
        </w:tc>
      </w:tr>
      <w:tr w:rsidR="00FF4D42" w:rsidRPr="00F3021F" w14:paraId="30666763" w14:textId="77777777" w:rsidTr="00127B97">
        <w:tc>
          <w:tcPr>
            <w:tcW w:w="3256" w:type="dxa"/>
            <w:tcBorders>
              <w:top w:val="single" w:sz="4" w:space="0" w:color="auto"/>
              <w:bottom w:val="single" w:sz="4" w:space="0" w:color="auto"/>
              <w:right w:val="single" w:sz="4" w:space="0" w:color="auto"/>
            </w:tcBorders>
          </w:tcPr>
          <w:p w14:paraId="48AFCB87" w14:textId="77777777" w:rsidR="00FF4D42" w:rsidRPr="00F3021F" w:rsidRDefault="00FF4D42"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1B1FDCCD" w14:textId="597903F9" w:rsidR="00FF4D42" w:rsidRPr="00F3021F" w:rsidRDefault="00FF4D42" w:rsidP="00C762CF">
            <w:pPr>
              <w:spacing w:before="0"/>
              <w:rPr>
                <w:szCs w:val="24"/>
                <w:lang w:val="fr-FR"/>
              </w:rPr>
            </w:pPr>
            <w:bookmarkStart w:id="80" w:name="lt_pId384"/>
            <w:r w:rsidRPr="00F3021F">
              <w:rPr>
                <w:color w:val="000000"/>
                <w:lang w:val="fr-FR" w:bidi="fr-FR"/>
              </w:rPr>
              <w:t>Grande orientation C4 du SMSI figurant dans le Plan d</w:t>
            </w:r>
            <w:r w:rsidR="000F7A90">
              <w:rPr>
                <w:color w:val="000000"/>
                <w:lang w:val="fr-FR" w:bidi="fr-FR"/>
              </w:rPr>
              <w:t>'</w:t>
            </w:r>
            <w:r w:rsidRPr="00F3021F">
              <w:rPr>
                <w:color w:val="000000"/>
                <w:lang w:val="fr-FR" w:bidi="fr-FR"/>
              </w:rPr>
              <w:t>action de Genève et paragraphes 8, 22, 23a, 26g, 49, 51, 65, 72h, 86, 87, 90c, d, f, 95, 114b de l</w:t>
            </w:r>
            <w:r w:rsidR="000F7A90">
              <w:rPr>
                <w:color w:val="000000"/>
                <w:lang w:val="fr-FR" w:bidi="fr-FR"/>
              </w:rPr>
              <w:t>'</w:t>
            </w:r>
            <w:r w:rsidRPr="00F3021F">
              <w:rPr>
                <w:color w:val="000000"/>
                <w:lang w:val="fr-FR" w:bidi="fr-FR"/>
              </w:rPr>
              <w:t>Agenda de Tunis pour la société de l</w:t>
            </w:r>
            <w:r w:rsidR="000F7A90">
              <w:rPr>
                <w:color w:val="000000"/>
                <w:lang w:val="fr-FR" w:bidi="fr-FR"/>
              </w:rPr>
              <w:t>'</w:t>
            </w:r>
            <w:r w:rsidRPr="00F3021F">
              <w:rPr>
                <w:color w:val="000000"/>
                <w:lang w:val="fr-FR" w:bidi="fr-FR"/>
              </w:rPr>
              <w:t>information</w:t>
            </w:r>
            <w:bookmarkEnd w:id="80"/>
          </w:p>
        </w:tc>
      </w:tr>
      <w:tr w:rsidR="00FF4D42" w:rsidRPr="00F3021F" w14:paraId="4594551E" w14:textId="77777777" w:rsidTr="00127B97">
        <w:tc>
          <w:tcPr>
            <w:tcW w:w="3256" w:type="dxa"/>
            <w:tcBorders>
              <w:top w:val="single" w:sz="4" w:space="0" w:color="auto"/>
              <w:bottom w:val="single" w:sz="4" w:space="0" w:color="auto"/>
              <w:right w:val="single" w:sz="4" w:space="0" w:color="auto"/>
            </w:tcBorders>
          </w:tcPr>
          <w:p w14:paraId="6398FC4E" w14:textId="77777777" w:rsidR="00FF4D42" w:rsidRPr="00F3021F" w:rsidRDefault="00FF4D42"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7F143724" w14:textId="77777777" w:rsidR="00FF4D42" w:rsidRPr="00F3021F" w:rsidRDefault="00FF4D42" w:rsidP="00C762CF">
            <w:pPr>
              <w:spacing w:before="0"/>
              <w:rPr>
                <w:szCs w:val="24"/>
                <w:lang w:val="fr-FR"/>
              </w:rPr>
            </w:pPr>
            <w:bookmarkStart w:id="81" w:name="lt_pId386"/>
            <w:r w:rsidRPr="00F3021F">
              <w:rPr>
                <w:szCs w:val="24"/>
                <w:lang w:val="fr-FR" w:bidi="fr-FR"/>
              </w:rPr>
              <w:t>Objectifs de développement durable:</w:t>
            </w:r>
            <w:bookmarkEnd w:id="81"/>
            <w:r w:rsidRPr="00F3021F">
              <w:rPr>
                <w:szCs w:val="24"/>
                <w:lang w:val="fr-FR" w:bidi="fr-FR"/>
              </w:rPr>
              <w:t xml:space="preserve"> </w:t>
            </w:r>
            <w:bookmarkStart w:id="82" w:name="lt_pId387"/>
            <w:r w:rsidRPr="00F3021F">
              <w:rPr>
                <w:szCs w:val="24"/>
                <w:lang w:val="fr-FR" w:bidi="fr-FR"/>
              </w:rPr>
              <w:t>1 (cible 1.b), 2 (cible 2.3), 3 (cibles 3.7</w:t>
            </w:r>
            <w:bookmarkEnd w:id="82"/>
            <w:r w:rsidRPr="00F3021F">
              <w:rPr>
                <w:szCs w:val="24"/>
                <w:lang w:val="fr-FR" w:bidi="fr-FR"/>
              </w:rPr>
              <w:t xml:space="preserve">, </w:t>
            </w:r>
            <w:bookmarkStart w:id="83" w:name="lt_pId388"/>
            <w:r w:rsidRPr="00F3021F">
              <w:rPr>
                <w:szCs w:val="24"/>
                <w:lang w:val="fr-FR" w:bidi="fr-FR"/>
              </w:rPr>
              <w:t>3.b, 3.d), 4 (cibles 4.4, 4.7), 5 (cibles 5.5, 5.b), 6 (cible 6.a), 8 (cible 8.2), 9 (cibles 9.1, 9.b, 9.c), 12 (cibles 12.7, 12.8, 12.a, 12.b), 13 (cibles 13.2, 13.3, 13.b), 14 (cible 14.a), 16 (cible 16.a), 17 (cibles 17.9, 17.18)</w:t>
            </w:r>
            <w:bookmarkEnd w:id="83"/>
          </w:p>
        </w:tc>
      </w:tr>
    </w:tbl>
    <w:p w14:paraId="66922F3F" w14:textId="77777777" w:rsidR="004B38E1" w:rsidRPr="00F3021F" w:rsidRDefault="004B38E1" w:rsidP="00C762CF">
      <w:pPr>
        <w:pStyle w:val="Heading2"/>
        <w:spacing w:after="120"/>
        <w:rPr>
          <w:lang w:val="fr-FR"/>
        </w:rPr>
      </w:pPr>
      <w:r w:rsidRPr="00F3021F">
        <w:rPr>
          <w:lang w:val="fr-FR" w:bidi="fr-FR"/>
        </w:rPr>
        <w:t>4.2</w:t>
      </w:r>
      <w:r w:rsidRPr="00F3021F">
        <w:rPr>
          <w:lang w:val="fr-FR" w:bidi="fr-FR"/>
        </w:rPr>
        <w:tab/>
        <w:t>Statistiques sur les télécommunications/TIC</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4B38E1" w:rsidRPr="00F3021F" w14:paraId="0710FAD0" w14:textId="77777777" w:rsidTr="00127B97">
        <w:tc>
          <w:tcPr>
            <w:tcW w:w="9629" w:type="dxa"/>
            <w:gridSpan w:val="2"/>
            <w:tcBorders>
              <w:bottom w:val="single" w:sz="4" w:space="0" w:color="auto"/>
            </w:tcBorders>
          </w:tcPr>
          <w:p w14:paraId="112B6B71" w14:textId="6100D9D8" w:rsidR="004B38E1" w:rsidRPr="00F3021F" w:rsidRDefault="004B38E1" w:rsidP="00C762CF">
            <w:pPr>
              <w:rPr>
                <w:lang w:val="fr-FR"/>
              </w:rPr>
            </w:pPr>
            <w:r w:rsidRPr="00F3021F">
              <w:rPr>
                <w:lang w:val="fr-FR" w:bidi="fr-FR"/>
              </w:rPr>
              <w:t>Le BDT dispose de l</w:t>
            </w:r>
            <w:r w:rsidR="000F7A90">
              <w:rPr>
                <w:lang w:val="fr-FR" w:bidi="fr-FR"/>
              </w:rPr>
              <w:t>'</w:t>
            </w:r>
            <w:r w:rsidRPr="00F3021F">
              <w:rPr>
                <w:lang w:val="fr-FR" w:bidi="fr-FR"/>
              </w:rPr>
              <w:t>ensemble le plus complet au monde de données et de statistiques sur les TIC dans divers domaines: infrastructure des TIC, accès aux TIC et leur utilisation, politiques et réglementation et questions relatives aux coûts et aux politiques tarifaires. Les travaux de l</w:t>
            </w:r>
            <w:r w:rsidR="000F7A90">
              <w:rPr>
                <w:lang w:val="fr-FR" w:bidi="fr-FR"/>
              </w:rPr>
              <w:t>'</w:t>
            </w:r>
            <w:r w:rsidRPr="00F3021F">
              <w:rPr>
                <w:lang w:val="fr-FR" w:bidi="fr-FR"/>
              </w:rPr>
              <w:t>UIT relevant de ce produit ont permis d</w:t>
            </w:r>
            <w:r w:rsidR="000F7A90">
              <w:rPr>
                <w:lang w:val="fr-FR" w:bidi="fr-FR"/>
              </w:rPr>
              <w:t>'</w:t>
            </w:r>
            <w:r w:rsidRPr="00F3021F">
              <w:rPr>
                <w:lang w:val="fr-FR" w:bidi="fr-FR"/>
              </w:rPr>
              <w:t>améliorer l</w:t>
            </w:r>
            <w:r w:rsidR="000F7A90">
              <w:rPr>
                <w:lang w:val="fr-FR" w:bidi="fr-FR"/>
              </w:rPr>
              <w:t>'</w:t>
            </w:r>
            <w:r w:rsidRPr="00F3021F">
              <w:rPr>
                <w:lang w:val="fr-FR" w:bidi="fr-FR"/>
              </w:rPr>
              <w:t>accessibilité et la diffusion de bases de données statistiques sur les TIC comparables à l</w:t>
            </w:r>
            <w:r w:rsidR="000F7A90">
              <w:rPr>
                <w:lang w:val="fr-FR" w:bidi="fr-FR"/>
              </w:rPr>
              <w:t>'</w:t>
            </w:r>
            <w:r w:rsidRPr="00F3021F">
              <w:rPr>
                <w:lang w:val="fr-FR" w:bidi="fr-FR"/>
              </w:rPr>
              <w:t>échelle internationale et publiées en temps opportun.</w:t>
            </w:r>
          </w:p>
          <w:p w14:paraId="49C58293" w14:textId="6DC17DEA" w:rsidR="004B38E1" w:rsidRPr="00F3021F" w:rsidRDefault="004B38E1" w:rsidP="00C762CF">
            <w:pPr>
              <w:rPr>
                <w:lang w:val="fr-FR"/>
              </w:rPr>
            </w:pPr>
            <w:bookmarkStart w:id="84" w:name="lt_pId393"/>
            <w:r w:rsidRPr="00F3021F">
              <w:rPr>
                <w:szCs w:val="24"/>
                <w:lang w:val="fr-FR" w:bidi="fr-FR"/>
              </w:rPr>
              <w:t>Le 16ème Colloque sur les indicateurs des télécommunication</w:t>
            </w:r>
            <w:r w:rsidR="000F7A90">
              <w:rPr>
                <w:szCs w:val="24"/>
                <w:lang w:val="fr-FR" w:bidi="fr-FR"/>
              </w:rPr>
              <w:t>s/TIC dans le monde (WTIS) a eu </w:t>
            </w:r>
            <w:r w:rsidRPr="00F3021F">
              <w:rPr>
                <w:szCs w:val="24"/>
                <w:lang w:val="fr-FR" w:bidi="fr-FR"/>
              </w:rPr>
              <w:t xml:space="preserve">lieu à Genève au mois de décembre 2018. </w:t>
            </w:r>
            <w:bookmarkEnd w:id="84"/>
            <w:r w:rsidRPr="00F3021F">
              <w:rPr>
                <w:lang w:val="fr-FR" w:bidi="fr-FR"/>
              </w:rPr>
              <w:t>Le WTIS-18 a ré</w:t>
            </w:r>
            <w:r w:rsidR="000F7A90">
              <w:rPr>
                <w:lang w:val="fr-FR" w:bidi="fr-FR"/>
              </w:rPr>
              <w:t>uni plus de 320 participants de </w:t>
            </w:r>
            <w:r w:rsidRPr="00F3021F">
              <w:rPr>
                <w:lang w:val="fr-FR" w:bidi="fr-FR"/>
              </w:rPr>
              <w:t>85 pays, représentant des organisations du secteur public et du secteur privé, notamment des ministres, des régulateurs, des bureaux nationaux de la statistique, des universités e</w:t>
            </w:r>
            <w:r w:rsidR="000F7A90">
              <w:rPr>
                <w:lang w:val="fr-FR" w:bidi="fr-FR"/>
              </w:rPr>
              <w:t>t des </w:t>
            </w:r>
            <w:r w:rsidRPr="00F3021F">
              <w:rPr>
                <w:lang w:val="fr-FR" w:bidi="fr-FR"/>
              </w:rPr>
              <w:t>instituts de recherche, des opérateurs de télécommunication, des entreprises du secteur des TIC, ainsi que des organisations régionales et internationales. Des séances plénières ont été consacrées aux questions suivantes: l</w:t>
            </w:r>
            <w:r w:rsidR="000F7A90">
              <w:rPr>
                <w:lang w:val="fr-FR" w:bidi="fr-FR"/>
              </w:rPr>
              <w:t>'</w:t>
            </w:r>
            <w:r w:rsidRPr="00F3021F">
              <w:rPr>
                <w:lang w:val="fr-FR" w:bidi="fr-FR"/>
              </w:rPr>
              <w:t>impact économique et social des TIC; les besoins en matière de données pour assurer le suivi de l</w:t>
            </w:r>
            <w:r w:rsidR="000F7A90">
              <w:rPr>
                <w:lang w:val="fr-FR" w:bidi="fr-FR"/>
              </w:rPr>
              <w:t>'</w:t>
            </w:r>
            <w:r w:rsidRPr="00F3021F">
              <w:rPr>
                <w:lang w:val="fr-FR" w:bidi="fr-FR"/>
              </w:rPr>
              <w:t>impact social des TIC; la promotion du développement durable par l</w:t>
            </w:r>
            <w:r w:rsidR="000F7A90">
              <w:rPr>
                <w:lang w:val="fr-FR" w:bidi="fr-FR"/>
              </w:rPr>
              <w:t>'</w:t>
            </w:r>
            <w:r w:rsidRPr="00F3021F">
              <w:rPr>
                <w:lang w:val="fr-FR" w:bidi="fr-FR"/>
              </w:rPr>
              <w:t>intermédiaire des TIC pour ne laisser personne de côté; la science des données et les TIC; la présentation du rapport "Mesurer la société de l</w:t>
            </w:r>
            <w:r w:rsidR="000F7A90">
              <w:rPr>
                <w:lang w:val="fr-FR" w:bidi="fr-FR"/>
              </w:rPr>
              <w:t>'</w:t>
            </w:r>
            <w:r w:rsidRPr="00F3021F">
              <w:rPr>
                <w:lang w:val="fr-FR" w:bidi="fr-FR"/>
              </w:rPr>
              <w:t>information" et du statut du nouvel indice de développement des TIC; les compétences d</w:t>
            </w:r>
            <w:r w:rsidR="000F7A90">
              <w:rPr>
                <w:lang w:val="fr-FR" w:bidi="fr-FR"/>
              </w:rPr>
              <w:t>'</w:t>
            </w:r>
            <w:r w:rsidRPr="00F3021F">
              <w:rPr>
                <w:lang w:val="fr-FR" w:bidi="fr-FR"/>
              </w:rPr>
              <w:t>avenir dans le domaine des TIC; les nouveaux besoins en matière de données dans l</w:t>
            </w:r>
            <w:r w:rsidR="000F7A90">
              <w:rPr>
                <w:lang w:val="fr-FR" w:bidi="fr-FR"/>
              </w:rPr>
              <w:t>'</w:t>
            </w:r>
            <w:r w:rsidRPr="00F3021F">
              <w:rPr>
                <w:lang w:val="fr-FR" w:bidi="fr-FR"/>
              </w:rPr>
              <w:t>économie numérique; des données intelligentes pour des réglementations et des politiques intelligentes concernant les TIC; et l</w:t>
            </w:r>
            <w:r w:rsidR="000F7A90">
              <w:rPr>
                <w:lang w:val="fr-FR" w:bidi="fr-FR"/>
              </w:rPr>
              <w:t>'</w:t>
            </w:r>
            <w:r w:rsidRPr="00F3021F">
              <w:rPr>
                <w:lang w:val="fr-FR" w:bidi="fr-FR"/>
              </w:rPr>
              <w:t>accessibilité financière des services TIC.</w:t>
            </w:r>
          </w:p>
          <w:p w14:paraId="392F27E8" w14:textId="0195631F" w:rsidR="004B38E1" w:rsidRPr="00F3021F" w:rsidRDefault="004B38E1" w:rsidP="00C762CF">
            <w:pPr>
              <w:rPr>
                <w:lang w:val="fr-FR"/>
              </w:rPr>
            </w:pPr>
            <w:r w:rsidRPr="00F3021F">
              <w:rPr>
                <w:lang w:val="fr-FR" w:bidi="fr-FR"/>
              </w:rPr>
              <w:t>En 2018, un certain nombre de produits statistiques ont été mis à disposition afin d</w:t>
            </w:r>
            <w:r w:rsidR="000F7A90">
              <w:rPr>
                <w:lang w:val="fr-FR" w:bidi="fr-FR"/>
              </w:rPr>
              <w:t>'</w:t>
            </w:r>
            <w:r w:rsidRPr="00F3021F">
              <w:rPr>
                <w:lang w:val="fr-FR" w:bidi="fr-FR"/>
              </w:rPr>
              <w:t>améliorer l</w:t>
            </w:r>
            <w:r w:rsidR="000F7A90">
              <w:rPr>
                <w:lang w:val="fr-FR" w:bidi="fr-FR"/>
              </w:rPr>
              <w:t>'</w:t>
            </w:r>
            <w:r w:rsidRPr="00F3021F">
              <w:rPr>
                <w:lang w:val="fr-FR" w:bidi="fr-FR"/>
              </w:rPr>
              <w:t>information et d</w:t>
            </w:r>
            <w:r w:rsidR="000F7A90">
              <w:rPr>
                <w:lang w:val="fr-FR" w:bidi="fr-FR"/>
              </w:rPr>
              <w:t>'</w:t>
            </w:r>
            <w:r w:rsidRPr="00F3021F">
              <w:rPr>
                <w:lang w:val="fr-FR" w:bidi="fr-FR"/>
              </w:rPr>
              <w:t>enrichir les connaissances des décideurs et des autres parties prenantes sur les tendances actuelles et l</w:t>
            </w:r>
            <w:r w:rsidR="000F7A90">
              <w:rPr>
                <w:lang w:val="fr-FR" w:bidi="fr-FR"/>
              </w:rPr>
              <w:t>'</w:t>
            </w:r>
            <w:r w:rsidRPr="00F3021F">
              <w:rPr>
                <w:lang w:val="fr-FR" w:bidi="fr-FR"/>
              </w:rPr>
              <w:t>évolution des télécommunications/TIC sur la base de statistiques de qualité, comparables au niveau international.</w:t>
            </w:r>
          </w:p>
          <w:p w14:paraId="611AB556" w14:textId="32E45727" w:rsidR="004B38E1" w:rsidRPr="00F3021F" w:rsidRDefault="004B38E1" w:rsidP="000F7A90">
            <w:pPr>
              <w:pStyle w:val="enumlev1"/>
              <w:spacing w:after="120"/>
              <w:rPr>
                <w:rFonts w:eastAsia="PMingLiU-ExtB"/>
                <w:lang w:val="fr-FR"/>
              </w:rPr>
            </w:pPr>
            <w:r w:rsidRPr="00F3021F">
              <w:rPr>
                <w:rFonts w:eastAsia="PMingLiU-ExtB"/>
                <w:lang w:val="fr-FR" w:bidi="fr-FR"/>
              </w:rPr>
              <w:t>–</w:t>
            </w:r>
            <w:r w:rsidRPr="00F3021F">
              <w:rPr>
                <w:rFonts w:eastAsia="PMingLiU-ExtB"/>
                <w:lang w:val="fr-FR" w:bidi="fr-FR"/>
              </w:rPr>
              <w:tab/>
            </w:r>
            <w:bookmarkStart w:id="85" w:name="lt_pId399"/>
            <w:r w:rsidRPr="00F3021F">
              <w:rPr>
                <w:rFonts w:eastAsia="PMingLiU-ExtB"/>
                <w:lang w:val="fr-FR" w:bidi="fr-FR"/>
              </w:rPr>
              <w:t xml:space="preserve">La dernière édition de </w:t>
            </w:r>
            <w:r w:rsidRPr="00F3021F">
              <w:rPr>
                <w:color w:val="000000"/>
                <w:lang w:val="fr-FR" w:bidi="fr-FR"/>
              </w:rPr>
              <w:t>la base de données de l</w:t>
            </w:r>
            <w:r w:rsidR="000F7A90">
              <w:rPr>
                <w:color w:val="000000"/>
                <w:lang w:val="fr-FR" w:bidi="fr-FR"/>
              </w:rPr>
              <w:t>'</w:t>
            </w:r>
            <w:r w:rsidRPr="00F3021F">
              <w:rPr>
                <w:color w:val="000000"/>
                <w:lang w:val="fr-FR" w:bidi="fr-FR"/>
              </w:rPr>
              <w:t>UIT sur les indicateurs des télécommunications/TIC dans le monde et la version 2018 de la publication conjointe de l</w:t>
            </w:r>
            <w:r w:rsidR="000F7A90">
              <w:rPr>
                <w:color w:val="000000"/>
                <w:lang w:val="fr-FR" w:bidi="fr-FR"/>
              </w:rPr>
              <w:t>'</w:t>
            </w:r>
            <w:r w:rsidRPr="00F3021F">
              <w:rPr>
                <w:color w:val="000000"/>
                <w:lang w:val="fr-FR" w:bidi="fr-FR"/>
              </w:rPr>
              <w:t>UIT et de la Banque mondiale intitulée "The Little Data Book on Information and Communication Technology" (petit recueil de données sur les TIC) ont été publiées en juin 2018. Les données fournies permettront aux utilisateurs de prendre des décisions éclairées dans le domaine des TIC, reposant sur des statistiques comparables au niveau international.</w:t>
            </w:r>
            <w:bookmarkEnd w:id="85"/>
          </w:p>
          <w:p w14:paraId="58AB9E13" w14:textId="77777777" w:rsidR="004B38E1" w:rsidRPr="00F3021F" w:rsidRDefault="004B38E1" w:rsidP="00C762CF">
            <w:pPr>
              <w:pStyle w:val="enumlev1"/>
              <w:rPr>
                <w:color w:val="000000"/>
                <w:lang w:val="fr-FR"/>
              </w:rPr>
            </w:pPr>
            <w:r w:rsidRPr="00F3021F">
              <w:rPr>
                <w:rFonts w:eastAsia="PMingLiU-ExtB"/>
                <w:lang w:val="fr-FR" w:bidi="fr-FR"/>
              </w:rPr>
              <w:lastRenderedPageBreak/>
              <w:t>–</w:t>
            </w:r>
            <w:r w:rsidRPr="00F3021F">
              <w:rPr>
                <w:rFonts w:eastAsia="PMingLiU-ExtB"/>
                <w:lang w:val="fr-FR" w:bidi="fr-FR"/>
              </w:rPr>
              <w:tab/>
            </w:r>
            <w:bookmarkStart w:id="86" w:name="lt_pId403"/>
            <w:r w:rsidRPr="00F3021F">
              <w:rPr>
                <w:rFonts w:eastAsia="PMingLiU-ExtB"/>
                <w:lang w:val="fr-FR" w:bidi="fr-FR"/>
              </w:rPr>
              <w:t xml:space="preserve">La collecte des données pour 2018 a été achevée. Quelque 160 pays ont répondu à la version longue du questionnaire 2018 </w:t>
            </w:r>
            <w:r w:rsidRPr="00F3021F">
              <w:rPr>
                <w:color w:val="000000"/>
                <w:lang w:val="fr-FR" w:bidi="fr-FR"/>
              </w:rPr>
              <w:t>sur les indicateurs de télécommunications/TIC dans le monde (WTI), 105 pays ont répondu à la version abrégée du questionnaire 2018 relatif aux TIC dans les ménages, et 149 pays ont répondu au questionnaire 2018 sur le panier de prix des TIC.</w:t>
            </w:r>
            <w:bookmarkEnd w:id="86"/>
          </w:p>
          <w:p w14:paraId="4ADC2614" w14:textId="3D182987" w:rsidR="0032344C" w:rsidRPr="00F3021F" w:rsidRDefault="0032344C" w:rsidP="00C762CF">
            <w:pPr>
              <w:pStyle w:val="enumlev1"/>
              <w:rPr>
                <w:szCs w:val="24"/>
                <w:lang w:val="fr-FR"/>
              </w:rPr>
            </w:pPr>
            <w:r w:rsidRPr="00F3021F">
              <w:rPr>
                <w:rFonts w:eastAsia="PMingLiU-ExtB"/>
                <w:lang w:val="fr-FR" w:bidi="fr-FR"/>
              </w:rPr>
              <w:t>–</w:t>
            </w:r>
            <w:r w:rsidRPr="00F3021F">
              <w:rPr>
                <w:rFonts w:eastAsia="PMingLiU-ExtB"/>
                <w:lang w:val="fr-FR" w:bidi="fr-FR"/>
              </w:rPr>
              <w:tab/>
            </w:r>
            <w:r w:rsidRPr="00F3021F">
              <w:rPr>
                <w:szCs w:val="24"/>
                <w:lang w:val="fr-FR" w:bidi="fr-FR"/>
              </w:rPr>
              <w:t>Fin</w:t>
            </w:r>
            <w:r w:rsidRPr="00F3021F">
              <w:rPr>
                <w:rFonts w:eastAsia="PMingLiU-ExtB"/>
                <w:lang w:val="fr-FR" w:bidi="fr-FR"/>
              </w:rPr>
              <w:t xml:space="preserve"> 2018, </w:t>
            </w:r>
            <w:r w:rsidRPr="00F3021F">
              <w:rPr>
                <w:szCs w:val="24"/>
                <w:lang w:val="fr-FR" w:bidi="fr-FR"/>
              </w:rPr>
              <w:t>des estimations mondiales et régionales ont été publiées concernant des indicateurs clés relatifs aux TIC, notamment le pourcentage de la population utilisant l</w:t>
            </w:r>
            <w:r w:rsidR="000F7A90">
              <w:rPr>
                <w:szCs w:val="24"/>
                <w:lang w:val="fr-FR" w:bidi="fr-FR"/>
              </w:rPr>
              <w:t>'</w:t>
            </w:r>
            <w:r w:rsidRPr="00F3021F">
              <w:rPr>
                <w:szCs w:val="24"/>
                <w:lang w:val="fr-FR" w:bidi="fr-FR"/>
              </w:rPr>
              <w:t>Internet, qui a dépassé 50% en 2018.</w:t>
            </w:r>
          </w:p>
          <w:p w14:paraId="7AADABAC" w14:textId="7A98D1EA" w:rsidR="0032344C" w:rsidRPr="00F3021F" w:rsidRDefault="0032344C" w:rsidP="00C762CF">
            <w:pPr>
              <w:pStyle w:val="enumlev1"/>
              <w:rPr>
                <w:lang w:val="fr-FR"/>
              </w:rPr>
            </w:pPr>
            <w:r w:rsidRPr="00F3021F">
              <w:rPr>
                <w:rFonts w:eastAsia="PMingLiU-ExtB"/>
                <w:lang w:val="fr-FR" w:bidi="fr-FR"/>
              </w:rPr>
              <w:t>–</w:t>
            </w:r>
            <w:r w:rsidRPr="00F3021F">
              <w:rPr>
                <w:rFonts w:eastAsia="PMingLiU-ExtB"/>
                <w:lang w:val="fr-FR" w:bidi="fr-FR"/>
              </w:rPr>
              <w:tab/>
            </w:r>
            <w:r w:rsidRPr="00F3021F">
              <w:rPr>
                <w:szCs w:val="24"/>
                <w:lang w:val="fr-FR" w:bidi="fr-FR"/>
              </w:rPr>
              <w:t>Le rapport "Mesurer la société de l</w:t>
            </w:r>
            <w:r w:rsidR="000F7A90">
              <w:rPr>
                <w:szCs w:val="24"/>
                <w:lang w:val="fr-FR" w:bidi="fr-FR"/>
              </w:rPr>
              <w:t>'</w:t>
            </w:r>
            <w:r w:rsidRPr="00F3021F">
              <w:rPr>
                <w:szCs w:val="24"/>
                <w:lang w:val="fr-FR" w:bidi="fr-FR"/>
              </w:rPr>
              <w:t>information" 2018</w:t>
            </w:r>
            <w:r w:rsidR="000F7A90">
              <w:rPr>
                <w:szCs w:val="24"/>
                <w:lang w:val="fr-FR" w:bidi="fr-FR"/>
              </w:rPr>
              <w:t>, présenté à l'occasion du WTIS</w:t>
            </w:r>
            <w:r w:rsidR="000F7A90">
              <w:rPr>
                <w:szCs w:val="24"/>
                <w:lang w:val="fr-FR" w:bidi="fr-FR"/>
              </w:rPr>
              <w:noBreakHyphen/>
            </w:r>
            <w:r w:rsidRPr="00F3021F">
              <w:rPr>
                <w:szCs w:val="24"/>
                <w:lang w:val="fr-FR" w:bidi="fr-FR"/>
              </w:rPr>
              <w:t>18, contient une analyse des compétences dans le domaine des TIC basée sur des données collectées par l</w:t>
            </w:r>
            <w:r w:rsidR="000F7A90">
              <w:rPr>
                <w:szCs w:val="24"/>
                <w:lang w:val="fr-FR" w:bidi="fr-FR"/>
              </w:rPr>
              <w:t>'</w:t>
            </w:r>
            <w:r w:rsidRPr="00F3021F">
              <w:rPr>
                <w:szCs w:val="24"/>
                <w:lang w:val="fr-FR" w:bidi="fr-FR"/>
              </w:rPr>
              <w:t>UIT auprès des ménages et sur d</w:t>
            </w:r>
            <w:r w:rsidR="000F7A90">
              <w:rPr>
                <w:szCs w:val="24"/>
                <w:lang w:val="fr-FR" w:bidi="fr-FR"/>
              </w:rPr>
              <w:t>'</w:t>
            </w:r>
            <w:r w:rsidRPr="00F3021F">
              <w:rPr>
                <w:szCs w:val="24"/>
                <w:lang w:val="fr-FR" w:bidi="fr-FR"/>
              </w:rPr>
              <w:t>autres sources, une analyse des revenus et des investissements dans le secteur des télécommunications, et différents indicateurs recueillis par l</w:t>
            </w:r>
            <w:r w:rsidR="000F7A90">
              <w:rPr>
                <w:szCs w:val="24"/>
                <w:lang w:val="fr-FR" w:bidi="fr-FR"/>
              </w:rPr>
              <w:t>'</w:t>
            </w:r>
            <w:r w:rsidRPr="00F3021F">
              <w:rPr>
                <w:szCs w:val="24"/>
                <w:lang w:val="fr-FR" w:bidi="fr-FR"/>
              </w:rPr>
              <w:t>UIT en vue de surveiller et de comparer les prix et l</w:t>
            </w:r>
            <w:r w:rsidR="000F7A90">
              <w:rPr>
                <w:szCs w:val="24"/>
                <w:lang w:val="fr-FR" w:bidi="fr-FR"/>
              </w:rPr>
              <w:t>'</w:t>
            </w:r>
            <w:r w:rsidRPr="00F3021F">
              <w:rPr>
                <w:szCs w:val="24"/>
                <w:lang w:val="fr-FR" w:bidi="fr-FR"/>
              </w:rPr>
              <w:t>accessibilité financière des services TIC à l</w:t>
            </w:r>
            <w:r w:rsidR="000F7A90">
              <w:rPr>
                <w:szCs w:val="24"/>
                <w:lang w:val="fr-FR" w:bidi="fr-FR"/>
              </w:rPr>
              <w:t>'</w:t>
            </w:r>
            <w:r w:rsidRPr="00F3021F">
              <w:rPr>
                <w:szCs w:val="24"/>
                <w:lang w:val="fr-FR" w:bidi="fr-FR"/>
              </w:rPr>
              <w:t>échelle mondiale. Ce rapport a aidé à enrichir les connaissances des décideurs, des investisseurs et des entrepreneurs sur les tendances actuelles du marché des TIC, en leur fournissant une analyse précise de l</w:t>
            </w:r>
            <w:r w:rsidR="000F7A90">
              <w:rPr>
                <w:szCs w:val="24"/>
                <w:lang w:val="fr-FR" w:bidi="fr-FR"/>
              </w:rPr>
              <w:t>'</w:t>
            </w:r>
            <w:r w:rsidRPr="00F3021F">
              <w:rPr>
                <w:szCs w:val="24"/>
                <w:lang w:val="fr-FR" w:bidi="fr-FR"/>
              </w:rPr>
              <w:t>évolution des télécommunications/TIC dans le monde et en leur permettant de prendre des décisions fondées sur des données probantes.</w:t>
            </w:r>
          </w:p>
          <w:p w14:paraId="739FE097" w14:textId="43394BE4" w:rsidR="004B38E1" w:rsidRPr="00F3021F" w:rsidRDefault="004B38E1" w:rsidP="00C762CF">
            <w:pPr>
              <w:rPr>
                <w:lang w:val="fr-FR"/>
              </w:rPr>
            </w:pPr>
            <w:r w:rsidRPr="00F3021F">
              <w:rPr>
                <w:lang w:val="fr-FR" w:bidi="fr-FR"/>
              </w:rPr>
              <w:t>Les activités de l</w:t>
            </w:r>
            <w:r w:rsidR="000F7A90">
              <w:rPr>
                <w:lang w:val="fr-FR" w:bidi="fr-FR"/>
              </w:rPr>
              <w:t>'</w:t>
            </w:r>
            <w:r w:rsidRPr="00F3021F">
              <w:rPr>
                <w:lang w:val="fr-FR" w:bidi="fr-FR"/>
              </w:rPr>
              <w:t>UIT relevant de ce produit ont encore contribué à élargir la coopération et ont amélioré les méthodologies et les normes internationales en matière de statistiques sur les TIC grâce aux travaux du Groupe d</w:t>
            </w:r>
            <w:r w:rsidR="000F7A90">
              <w:rPr>
                <w:lang w:val="fr-FR" w:bidi="fr-FR"/>
              </w:rPr>
              <w:t>'</w:t>
            </w:r>
            <w:r w:rsidRPr="00F3021F">
              <w:rPr>
                <w:lang w:val="fr-FR" w:bidi="fr-FR"/>
              </w:rPr>
              <w:t>experts sur les indicateurs des télécommunications/TIC (EGTI) et du Groupe d</w:t>
            </w:r>
            <w:r w:rsidR="000F7A90">
              <w:rPr>
                <w:lang w:val="fr-FR" w:bidi="fr-FR"/>
              </w:rPr>
              <w:t>'</w:t>
            </w:r>
            <w:r w:rsidRPr="00F3021F">
              <w:rPr>
                <w:lang w:val="fr-FR" w:bidi="fr-FR"/>
              </w:rPr>
              <w:t>experts sur les indicateurs relatifs à l</w:t>
            </w:r>
            <w:r w:rsidR="000F7A90">
              <w:rPr>
                <w:lang w:val="fr-FR" w:bidi="fr-FR"/>
              </w:rPr>
              <w:t>'</w:t>
            </w:r>
            <w:r w:rsidRPr="00F3021F">
              <w:rPr>
                <w:lang w:val="fr-FR" w:bidi="fr-FR"/>
              </w:rPr>
              <w:t>utilisation des TIC par les ménages (EGH). Les groupes EGTI et EGH de l</w:t>
            </w:r>
            <w:r w:rsidR="000F7A90">
              <w:rPr>
                <w:lang w:val="fr-FR" w:bidi="fr-FR"/>
              </w:rPr>
              <w:t>'</w:t>
            </w:r>
            <w:r w:rsidRPr="00F3021F">
              <w:rPr>
                <w:lang w:val="fr-FR" w:bidi="fr-FR"/>
              </w:rPr>
              <w:t xml:space="preserve">UIT se sont réunis à Genève (Suisse) </w:t>
            </w:r>
            <w:r w:rsidR="000F7A90">
              <w:rPr>
                <w:lang w:val="fr-FR" w:bidi="fr-FR"/>
              </w:rPr>
              <w:t>au mois d'octobre 2018. Près de </w:t>
            </w:r>
            <w:r w:rsidRPr="00F3021F">
              <w:rPr>
                <w:lang w:val="fr-FR" w:bidi="fr-FR"/>
              </w:rPr>
              <w:t>130 spécialistes des statistiques issus de ministères chargés des TIC, d</w:t>
            </w:r>
            <w:r w:rsidR="000F7A90">
              <w:rPr>
                <w:lang w:val="fr-FR" w:bidi="fr-FR"/>
              </w:rPr>
              <w:t>'</w:t>
            </w:r>
            <w:r w:rsidRPr="00F3021F">
              <w:rPr>
                <w:lang w:val="fr-FR" w:bidi="fr-FR"/>
              </w:rPr>
              <w:t>offices nationaux de la statistique, de régulateurs des télécommunications et d</w:t>
            </w:r>
            <w:r w:rsidR="000F7A90">
              <w:rPr>
                <w:lang w:val="fr-FR" w:bidi="fr-FR"/>
              </w:rPr>
              <w:t>'</w:t>
            </w:r>
            <w:r w:rsidRPr="00F3021F">
              <w:rPr>
                <w:lang w:val="fr-FR" w:bidi="fr-FR"/>
              </w:rPr>
              <w:t>o</w:t>
            </w:r>
            <w:r w:rsidR="000F7A90">
              <w:rPr>
                <w:lang w:val="fr-FR" w:bidi="fr-FR"/>
              </w:rPr>
              <w:t>rganisations internationales de </w:t>
            </w:r>
            <w:r w:rsidRPr="00F3021F">
              <w:rPr>
                <w:lang w:val="fr-FR" w:bidi="fr-FR"/>
              </w:rPr>
              <w:t>54 pays ont participé à ces réunions. Ils ont débattu de la manière d</w:t>
            </w:r>
            <w:r w:rsidR="000F7A90">
              <w:rPr>
                <w:lang w:val="fr-FR" w:bidi="fr-FR"/>
              </w:rPr>
              <w:t>'</w:t>
            </w:r>
            <w:r w:rsidRPr="00F3021F">
              <w:rPr>
                <w:lang w:val="fr-FR" w:bidi="fr-FR"/>
              </w:rPr>
              <w:t>améliorer le suivi et l</w:t>
            </w:r>
            <w:r w:rsidR="000F7A90">
              <w:rPr>
                <w:lang w:val="fr-FR" w:bidi="fr-FR"/>
              </w:rPr>
              <w:t>'</w:t>
            </w:r>
            <w:r w:rsidRPr="00F3021F">
              <w:rPr>
                <w:lang w:val="fr-FR" w:bidi="fr-FR"/>
              </w:rPr>
              <w:t>utilisation des TIC par les ménages et les personnes, ainsi que de la manière dont les données des fournisseurs de services TIC pourraient être utilisées pour renseigner les décideurs et les régulateurs et pour aider à contrôler et à stimuler le développement des TIC.</w:t>
            </w:r>
          </w:p>
          <w:p w14:paraId="5777EB7A" w14:textId="2D5DC103" w:rsidR="004B38E1" w:rsidRPr="00F3021F" w:rsidRDefault="004B38E1" w:rsidP="00C762CF">
            <w:pPr>
              <w:rPr>
                <w:lang w:val="fr-FR"/>
              </w:rPr>
            </w:pPr>
            <w:r w:rsidRPr="00F3021F">
              <w:rPr>
                <w:lang w:val="fr-FR" w:bidi="fr-FR"/>
              </w:rPr>
              <w:t>Les capacités et les compétences des organismes producteurs de statistiques sur les TIC en matière de collecte de données, d</w:t>
            </w:r>
            <w:r w:rsidR="000F7A90">
              <w:rPr>
                <w:lang w:val="fr-FR" w:bidi="fr-FR"/>
              </w:rPr>
              <w:t>'</w:t>
            </w:r>
            <w:r w:rsidRPr="00F3021F">
              <w:rPr>
                <w:lang w:val="fr-FR" w:bidi="fr-FR"/>
              </w:rPr>
              <w:t>élaboration et d</w:t>
            </w:r>
            <w:r w:rsidR="000F7A90">
              <w:rPr>
                <w:lang w:val="fr-FR" w:bidi="fr-FR"/>
              </w:rPr>
              <w:t>'</w:t>
            </w:r>
            <w:r w:rsidRPr="00F3021F">
              <w:rPr>
                <w:lang w:val="fr-FR" w:bidi="fr-FR"/>
              </w:rPr>
              <w:t>analyse d</w:t>
            </w:r>
            <w:r w:rsidR="000F7A90">
              <w:rPr>
                <w:lang w:val="fr-FR" w:bidi="fr-FR"/>
              </w:rPr>
              <w:t>'</w:t>
            </w:r>
            <w:r w:rsidRPr="00F3021F">
              <w:rPr>
                <w:lang w:val="fr-FR" w:bidi="fr-FR"/>
              </w:rPr>
              <w:t>indicateurs sur les TIC comparables sur le plan international ont été améliorées grâce à plusieurs activités de renforcement des capacités, parmi lesquelles notamment:</w:t>
            </w:r>
          </w:p>
          <w:p w14:paraId="2E919371" w14:textId="3BD7131C" w:rsidR="004B38E1" w:rsidRPr="00F3021F" w:rsidRDefault="004B38E1" w:rsidP="00C762CF">
            <w:pPr>
              <w:pStyle w:val="enumlev1"/>
              <w:rPr>
                <w:rFonts w:eastAsia="PMingLiU-ExtB"/>
                <w:lang w:val="fr-FR"/>
              </w:rPr>
            </w:pPr>
            <w:r w:rsidRPr="00F3021F">
              <w:rPr>
                <w:rFonts w:eastAsia="PMingLiU-ExtB"/>
                <w:lang w:val="fr-FR" w:bidi="fr-FR"/>
              </w:rPr>
              <w:t>–</w:t>
            </w:r>
            <w:r w:rsidRPr="00F3021F">
              <w:rPr>
                <w:rFonts w:eastAsia="PMingLiU-ExtB"/>
                <w:lang w:val="fr-FR" w:bidi="fr-FR"/>
              </w:rPr>
              <w:tab/>
            </w:r>
            <w:r w:rsidR="000F7A90" w:rsidRPr="00F3021F">
              <w:rPr>
                <w:rFonts w:eastAsia="PMingLiU-ExtB"/>
                <w:lang w:val="fr-FR" w:bidi="fr-FR"/>
              </w:rPr>
              <w:t>l</w:t>
            </w:r>
            <w:r w:rsidR="000F7A90">
              <w:rPr>
                <w:rFonts w:eastAsia="PMingLiU-ExtB"/>
                <w:lang w:val="fr-FR" w:bidi="fr-FR"/>
              </w:rPr>
              <w:t>'</w:t>
            </w:r>
            <w:r w:rsidR="000F7A90" w:rsidRPr="00F3021F">
              <w:rPr>
                <w:rFonts w:eastAsia="PMingLiU-ExtB"/>
                <w:lang w:val="fr-FR" w:bidi="fr-FR"/>
              </w:rPr>
              <w:t>A</w:t>
            </w:r>
            <w:r w:rsidRPr="00F3021F">
              <w:rPr>
                <w:rFonts w:eastAsia="PMingLiU-ExtB"/>
                <w:lang w:val="fr-FR" w:bidi="fr-FR"/>
              </w:rPr>
              <w:t>telier régional sur les statistiques relatives aux TIC pour la région de la CEI à Almaty (Kazakhstan);</w:t>
            </w:r>
          </w:p>
          <w:p w14:paraId="21D23403" w14:textId="6975BC87" w:rsidR="004B38E1" w:rsidRPr="00F3021F" w:rsidRDefault="004B38E1" w:rsidP="00C762CF">
            <w:pPr>
              <w:pStyle w:val="enumlev1"/>
              <w:rPr>
                <w:lang w:val="fr-FR"/>
              </w:rPr>
            </w:pPr>
            <w:r w:rsidRPr="00F3021F">
              <w:rPr>
                <w:rFonts w:eastAsia="PMingLiU-ExtB"/>
                <w:lang w:val="fr-FR" w:bidi="fr-FR"/>
              </w:rPr>
              <w:t>–</w:t>
            </w:r>
            <w:r w:rsidRPr="00F3021F">
              <w:rPr>
                <w:rFonts w:eastAsia="PMingLiU-ExtB"/>
                <w:lang w:val="fr-FR" w:bidi="fr-FR"/>
              </w:rPr>
              <w:tab/>
            </w:r>
            <w:r w:rsidR="000F7A90" w:rsidRPr="00F3021F">
              <w:rPr>
                <w:rFonts w:eastAsia="PMingLiU-ExtB"/>
                <w:lang w:val="fr-FR" w:bidi="fr-FR"/>
              </w:rPr>
              <w:t>l</w:t>
            </w:r>
            <w:r w:rsidR="000F7A90">
              <w:rPr>
                <w:rFonts w:eastAsia="PMingLiU-ExtB"/>
                <w:lang w:val="fr-FR" w:bidi="fr-FR"/>
              </w:rPr>
              <w:t>'</w:t>
            </w:r>
            <w:r w:rsidR="000F7A90" w:rsidRPr="00F3021F">
              <w:rPr>
                <w:rFonts w:eastAsia="PMingLiU-ExtB"/>
                <w:lang w:val="fr-FR" w:bidi="fr-FR"/>
              </w:rPr>
              <w:t>A</w:t>
            </w:r>
            <w:r w:rsidRPr="00F3021F">
              <w:rPr>
                <w:rFonts w:eastAsia="PMingLiU-ExtB"/>
                <w:lang w:val="fr-FR" w:bidi="fr-FR"/>
              </w:rPr>
              <w:t>telier régional sur les statistiques relatives aux TIC pour la région Asie-Pacifique à Manille (Philippines);</w:t>
            </w:r>
          </w:p>
          <w:p w14:paraId="18222864" w14:textId="5D75C39E" w:rsidR="004B38E1" w:rsidRPr="00F3021F" w:rsidRDefault="004B38E1" w:rsidP="00C762CF">
            <w:pPr>
              <w:pStyle w:val="enumlev1"/>
              <w:rPr>
                <w:rFonts w:eastAsia="PMingLiU-ExtB"/>
                <w:lang w:val="fr-FR"/>
              </w:rPr>
            </w:pPr>
            <w:r w:rsidRPr="00F3021F">
              <w:rPr>
                <w:rFonts w:eastAsia="PMingLiU-ExtB"/>
                <w:lang w:val="fr-FR" w:bidi="fr-FR"/>
              </w:rPr>
              <w:t>–</w:t>
            </w:r>
            <w:r w:rsidRPr="00F3021F">
              <w:rPr>
                <w:rFonts w:eastAsia="PMingLiU-ExtB"/>
                <w:lang w:val="fr-FR" w:bidi="fr-FR"/>
              </w:rPr>
              <w:tab/>
            </w:r>
            <w:r w:rsidR="000F7A90" w:rsidRPr="00F3021F">
              <w:rPr>
                <w:rFonts w:eastAsia="PMingLiU-ExtB"/>
                <w:lang w:val="fr-FR" w:bidi="fr-FR"/>
              </w:rPr>
              <w:t>l</w:t>
            </w:r>
            <w:r w:rsidR="000F7A90">
              <w:rPr>
                <w:rFonts w:eastAsia="PMingLiU-ExtB"/>
                <w:lang w:val="fr-FR" w:bidi="fr-FR"/>
              </w:rPr>
              <w:t>'</w:t>
            </w:r>
            <w:r w:rsidR="000F7A90" w:rsidRPr="00F3021F">
              <w:rPr>
                <w:rFonts w:eastAsia="PMingLiU-ExtB"/>
                <w:lang w:val="fr-FR" w:bidi="fr-FR"/>
              </w:rPr>
              <w:t>A</w:t>
            </w:r>
            <w:r w:rsidRPr="00F3021F">
              <w:rPr>
                <w:rFonts w:eastAsia="PMingLiU-ExtB"/>
                <w:lang w:val="fr-FR" w:bidi="fr-FR"/>
              </w:rPr>
              <w:t>telier régional sur les statistiques relatives aux TIC pour la région Afrique à Lilongwe (Malawi);</w:t>
            </w:r>
          </w:p>
          <w:p w14:paraId="71743AE0" w14:textId="32312313" w:rsidR="00A33D2F" w:rsidRPr="00F3021F" w:rsidRDefault="00A33D2F" w:rsidP="00C762CF">
            <w:pPr>
              <w:pStyle w:val="enumlev1"/>
              <w:rPr>
                <w:rFonts w:eastAsia="PMingLiU-ExtB"/>
                <w:lang w:val="fr-FR"/>
              </w:rPr>
            </w:pPr>
            <w:r w:rsidRPr="00F3021F">
              <w:rPr>
                <w:rFonts w:eastAsia="PMingLiU-ExtB"/>
                <w:lang w:val="fr-FR" w:bidi="fr-FR"/>
              </w:rPr>
              <w:t>–</w:t>
            </w:r>
            <w:r w:rsidRPr="00F3021F">
              <w:rPr>
                <w:rFonts w:eastAsia="PMingLiU-ExtB"/>
                <w:lang w:val="fr-FR" w:bidi="fr-FR"/>
              </w:rPr>
              <w:tab/>
            </w:r>
            <w:r w:rsidR="000F7A90" w:rsidRPr="00F3021F">
              <w:rPr>
                <w:rFonts w:eastAsia="PMingLiU-ExtB"/>
                <w:lang w:val="fr-FR" w:bidi="fr-FR"/>
              </w:rPr>
              <w:t>l</w:t>
            </w:r>
            <w:r w:rsidR="000F7A90">
              <w:rPr>
                <w:rFonts w:eastAsia="PMingLiU-ExtB"/>
                <w:lang w:val="fr-FR" w:bidi="fr-FR"/>
              </w:rPr>
              <w:t>'</w:t>
            </w:r>
            <w:r w:rsidR="000F7A90" w:rsidRPr="00F3021F">
              <w:rPr>
                <w:rFonts w:eastAsia="PMingLiU-ExtB"/>
                <w:lang w:val="fr-FR" w:bidi="fr-FR"/>
              </w:rPr>
              <w:t>A</w:t>
            </w:r>
            <w:r w:rsidRPr="00F3021F">
              <w:rPr>
                <w:rFonts w:eastAsia="PMingLiU-ExtB"/>
                <w:lang w:val="fr-FR" w:bidi="fr-FR"/>
              </w:rPr>
              <w:t>telier régional sur les statistiques relatives aux TIC pour les Etats arabes à Manama (Bahreïn);</w:t>
            </w:r>
          </w:p>
          <w:p w14:paraId="13038635" w14:textId="10BA2F71" w:rsidR="00A33D2F" w:rsidRPr="00F3021F" w:rsidRDefault="00A33D2F" w:rsidP="00C762CF">
            <w:pPr>
              <w:pStyle w:val="enumlev1"/>
              <w:rPr>
                <w:lang w:val="fr-FR"/>
              </w:rPr>
            </w:pPr>
            <w:r w:rsidRPr="00F3021F">
              <w:rPr>
                <w:rFonts w:eastAsia="PMingLiU-ExtB"/>
                <w:lang w:val="fr-FR" w:bidi="fr-FR"/>
              </w:rPr>
              <w:t>–</w:t>
            </w:r>
            <w:r w:rsidRPr="00F3021F">
              <w:rPr>
                <w:rFonts w:eastAsia="PMingLiU-ExtB"/>
                <w:lang w:val="fr-FR" w:bidi="fr-FR"/>
              </w:rPr>
              <w:tab/>
            </w:r>
            <w:r w:rsidR="000F7A90" w:rsidRPr="00F3021F">
              <w:rPr>
                <w:rFonts w:eastAsia="PMingLiU-ExtB"/>
                <w:lang w:val="fr-FR" w:bidi="fr-FR"/>
              </w:rPr>
              <w:t>l</w:t>
            </w:r>
            <w:r w:rsidR="000F7A90">
              <w:rPr>
                <w:rFonts w:eastAsia="PMingLiU-ExtB"/>
                <w:lang w:val="fr-FR" w:bidi="fr-FR"/>
              </w:rPr>
              <w:t>'</w:t>
            </w:r>
            <w:r w:rsidR="000F7A90" w:rsidRPr="00F3021F">
              <w:rPr>
                <w:rFonts w:eastAsia="PMingLiU-ExtB"/>
                <w:lang w:val="fr-FR" w:bidi="fr-FR"/>
              </w:rPr>
              <w:t>A</w:t>
            </w:r>
            <w:r w:rsidRPr="00F3021F">
              <w:rPr>
                <w:rFonts w:eastAsia="PMingLiU-ExtB"/>
                <w:lang w:val="fr-FR" w:bidi="fr-FR"/>
              </w:rPr>
              <w:t>telier sous-régional sur les statistiques relatives aux TIC pour les pays du Pacifique à Nadi (Fidji);</w:t>
            </w:r>
          </w:p>
          <w:p w14:paraId="09406936" w14:textId="4054E7B8" w:rsidR="00A33D2F" w:rsidRPr="00F3021F" w:rsidRDefault="00A33D2F" w:rsidP="00C762CF">
            <w:pPr>
              <w:pStyle w:val="enumlev1"/>
              <w:spacing w:after="120"/>
              <w:rPr>
                <w:lang w:val="fr-FR"/>
              </w:rPr>
            </w:pPr>
            <w:r w:rsidRPr="00F3021F">
              <w:rPr>
                <w:rFonts w:eastAsia="PMingLiU-ExtB"/>
                <w:lang w:val="fr-FR" w:bidi="fr-FR"/>
              </w:rPr>
              <w:lastRenderedPageBreak/>
              <w:t>–</w:t>
            </w:r>
            <w:r w:rsidRPr="00F3021F">
              <w:rPr>
                <w:rFonts w:eastAsia="PMingLiU-ExtB"/>
                <w:lang w:val="fr-FR" w:bidi="fr-FR"/>
              </w:rPr>
              <w:tab/>
            </w:r>
            <w:r w:rsidR="000F7A90" w:rsidRPr="00F3021F">
              <w:rPr>
                <w:rFonts w:eastAsia="PMingLiU-ExtB"/>
                <w:lang w:val="fr-FR" w:bidi="fr-FR"/>
              </w:rPr>
              <w:t>l</w:t>
            </w:r>
            <w:r w:rsidR="000F7A90">
              <w:rPr>
                <w:rFonts w:eastAsia="PMingLiU-ExtB"/>
                <w:lang w:val="fr-FR" w:bidi="fr-FR"/>
              </w:rPr>
              <w:t>'</w:t>
            </w:r>
            <w:r w:rsidR="000F7A90" w:rsidRPr="00F3021F">
              <w:rPr>
                <w:rFonts w:eastAsia="PMingLiU-ExtB"/>
                <w:lang w:val="fr-FR" w:bidi="fr-FR"/>
              </w:rPr>
              <w:t>A</w:t>
            </w:r>
            <w:r w:rsidRPr="00F3021F">
              <w:rPr>
                <w:rFonts w:eastAsia="PMingLiU-ExtB"/>
                <w:lang w:val="fr-FR" w:bidi="fr-FR"/>
              </w:rPr>
              <w:t>telier régional sur les statistiques relatives aux TIC pour la Communauté de développement de l</w:t>
            </w:r>
            <w:r w:rsidR="000F7A90">
              <w:rPr>
                <w:rFonts w:eastAsia="PMingLiU-ExtB"/>
                <w:lang w:val="fr-FR" w:bidi="fr-FR"/>
              </w:rPr>
              <w:t>'</w:t>
            </w:r>
            <w:r w:rsidRPr="00F3021F">
              <w:rPr>
                <w:rFonts w:eastAsia="PMingLiU-ExtB"/>
                <w:lang w:val="fr-FR" w:bidi="fr-FR"/>
              </w:rPr>
              <w:t>Afrique australe (SADC) au Botswana.</w:t>
            </w:r>
          </w:p>
        </w:tc>
      </w:tr>
      <w:tr w:rsidR="004B38E1" w:rsidRPr="00F3021F" w14:paraId="107D7911" w14:textId="77777777" w:rsidTr="00127B97">
        <w:tc>
          <w:tcPr>
            <w:tcW w:w="3256" w:type="dxa"/>
            <w:tcBorders>
              <w:top w:val="single" w:sz="4" w:space="0" w:color="auto"/>
              <w:bottom w:val="single" w:sz="4" w:space="0" w:color="auto"/>
              <w:right w:val="single" w:sz="4" w:space="0" w:color="auto"/>
            </w:tcBorders>
          </w:tcPr>
          <w:p w14:paraId="3172A7E6" w14:textId="77777777" w:rsidR="004B38E1" w:rsidRPr="00F3021F" w:rsidRDefault="004B38E1" w:rsidP="00C762CF">
            <w:pPr>
              <w:spacing w:before="0"/>
              <w:rPr>
                <w:i/>
                <w:iCs/>
                <w:szCs w:val="24"/>
                <w:lang w:val="fr-FR"/>
              </w:rPr>
            </w:pPr>
            <w:r w:rsidRPr="00F3021F">
              <w:rPr>
                <w:i/>
                <w:szCs w:val="24"/>
                <w:lang w:val="fr-FR" w:bidi="fr-FR"/>
              </w:rPr>
              <w:lastRenderedPageBreak/>
              <w:t>CMDT</w:t>
            </w:r>
          </w:p>
        </w:tc>
        <w:tc>
          <w:tcPr>
            <w:tcW w:w="6373" w:type="dxa"/>
            <w:tcBorders>
              <w:top w:val="single" w:sz="4" w:space="0" w:color="auto"/>
              <w:left w:val="single" w:sz="4" w:space="0" w:color="auto"/>
              <w:bottom w:val="single" w:sz="4" w:space="0" w:color="auto"/>
            </w:tcBorders>
          </w:tcPr>
          <w:p w14:paraId="169FEE16" w14:textId="77777777" w:rsidR="004B38E1" w:rsidRPr="00F3021F" w:rsidRDefault="004B38E1" w:rsidP="00C762CF">
            <w:pPr>
              <w:spacing w:before="0"/>
              <w:rPr>
                <w:szCs w:val="24"/>
                <w:lang w:val="fr-FR"/>
              </w:rPr>
            </w:pPr>
            <w:bookmarkStart w:id="87" w:name="lt_pId419"/>
            <w:r w:rsidRPr="00F3021F">
              <w:rPr>
                <w:szCs w:val="24"/>
                <w:lang w:val="fr-FR" w:bidi="fr-FR"/>
              </w:rPr>
              <w:t>Résolutions 1, 5, 8, 30, 33, 37, 43, 50, 51, 52, 57, 59, 60</w:t>
            </w:r>
            <w:bookmarkEnd w:id="87"/>
          </w:p>
        </w:tc>
      </w:tr>
      <w:tr w:rsidR="004B38E1" w:rsidRPr="00F3021F" w14:paraId="7A2CDF60" w14:textId="77777777" w:rsidTr="00127B97">
        <w:trPr>
          <w:trHeight w:val="397"/>
        </w:trPr>
        <w:tc>
          <w:tcPr>
            <w:tcW w:w="3256" w:type="dxa"/>
            <w:tcBorders>
              <w:top w:val="single" w:sz="4" w:space="0" w:color="auto"/>
              <w:bottom w:val="single" w:sz="4" w:space="0" w:color="auto"/>
              <w:right w:val="single" w:sz="4" w:space="0" w:color="auto"/>
            </w:tcBorders>
          </w:tcPr>
          <w:p w14:paraId="389A480F" w14:textId="77777777" w:rsidR="004B38E1" w:rsidRPr="00F3021F" w:rsidRDefault="004B38E1"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11CB3AD9" w14:textId="77777777" w:rsidR="004B38E1" w:rsidRPr="00F3021F" w:rsidRDefault="004B38E1" w:rsidP="00C762CF">
            <w:pPr>
              <w:spacing w:before="0"/>
              <w:rPr>
                <w:szCs w:val="24"/>
                <w:lang w:val="fr-FR"/>
              </w:rPr>
            </w:pPr>
            <w:bookmarkStart w:id="88" w:name="lt_pId421"/>
            <w:r w:rsidRPr="00F3021F">
              <w:rPr>
                <w:szCs w:val="24"/>
                <w:lang w:val="fr-FR" w:bidi="fr-FR"/>
              </w:rPr>
              <w:t>Décisions 5, 13</w:t>
            </w:r>
            <w:bookmarkEnd w:id="88"/>
          </w:p>
          <w:p w14:paraId="3C9D50AD" w14:textId="77777777" w:rsidR="004B38E1" w:rsidRPr="00F3021F" w:rsidRDefault="004B38E1" w:rsidP="00C762CF">
            <w:pPr>
              <w:spacing w:before="0"/>
              <w:rPr>
                <w:szCs w:val="24"/>
                <w:lang w:val="fr-FR"/>
              </w:rPr>
            </w:pPr>
            <w:bookmarkStart w:id="89" w:name="lt_pId422"/>
            <w:r w:rsidRPr="00F3021F">
              <w:rPr>
                <w:szCs w:val="24"/>
                <w:lang w:val="fr-FR" w:bidi="fr-FR"/>
              </w:rPr>
              <w:t>Résolutions 25, 71, 72, 137, 139, 140, 176, 188, 189, 197, 199, 202</w:t>
            </w:r>
            <w:bookmarkEnd w:id="89"/>
          </w:p>
        </w:tc>
      </w:tr>
      <w:tr w:rsidR="004B38E1" w:rsidRPr="00F3021F" w14:paraId="7271044C" w14:textId="77777777" w:rsidTr="00127B97">
        <w:trPr>
          <w:trHeight w:val="397"/>
        </w:trPr>
        <w:tc>
          <w:tcPr>
            <w:tcW w:w="3256" w:type="dxa"/>
            <w:tcBorders>
              <w:top w:val="single" w:sz="4" w:space="0" w:color="auto"/>
              <w:bottom w:val="single" w:sz="4" w:space="0" w:color="auto"/>
              <w:right w:val="single" w:sz="4" w:space="0" w:color="auto"/>
            </w:tcBorders>
          </w:tcPr>
          <w:p w14:paraId="2682609C" w14:textId="77777777" w:rsidR="004B38E1" w:rsidRPr="00F3021F" w:rsidRDefault="004B38E1"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72C10886" w14:textId="3A156BFC" w:rsidR="004B38E1" w:rsidRPr="00F3021F" w:rsidRDefault="004B38E1" w:rsidP="000F7A90">
            <w:pPr>
              <w:spacing w:before="0" w:after="60"/>
              <w:rPr>
                <w:szCs w:val="24"/>
                <w:lang w:val="fr-FR"/>
              </w:rPr>
            </w:pPr>
            <w:r w:rsidRPr="00F3021F">
              <w:rPr>
                <w:color w:val="000000"/>
                <w:lang w:val="fr-FR" w:bidi="fr-FR"/>
              </w:rPr>
              <w:t xml:space="preserve">Les statistiques sur les télécommunications/TIC sont importantes pour le suivi de la mise en </w:t>
            </w:r>
            <w:r w:rsidR="00C762CF">
              <w:rPr>
                <w:color w:val="000000"/>
                <w:lang w:val="fr-FR" w:bidi="fr-FR"/>
              </w:rPr>
              <w:t>oe</w:t>
            </w:r>
            <w:r w:rsidRPr="00F3021F">
              <w:rPr>
                <w:color w:val="000000"/>
                <w:lang w:val="fr-FR" w:bidi="fr-FR"/>
              </w:rPr>
              <w:t>uvre de toutes les Grandes orientations du SMSI figurant dans le Plan d</w:t>
            </w:r>
            <w:r w:rsidR="000F7A90">
              <w:rPr>
                <w:color w:val="000000"/>
                <w:lang w:val="fr-FR" w:bidi="fr-FR"/>
              </w:rPr>
              <w:t>'</w:t>
            </w:r>
            <w:r w:rsidRPr="00F3021F">
              <w:rPr>
                <w:color w:val="000000"/>
                <w:lang w:val="fr-FR" w:bidi="fr-FR"/>
              </w:rPr>
              <w:t>action de Genève et sont citées dans les paragraphes 112 à 119 de l</w:t>
            </w:r>
            <w:r w:rsidR="000F7A90">
              <w:rPr>
                <w:color w:val="000000"/>
                <w:lang w:val="fr-FR" w:bidi="fr-FR"/>
              </w:rPr>
              <w:t>'</w:t>
            </w:r>
            <w:r w:rsidRPr="00F3021F">
              <w:rPr>
                <w:color w:val="000000"/>
                <w:lang w:val="fr-FR" w:bidi="fr-FR"/>
              </w:rPr>
              <w:t>Agenda de Tunis pour la société de l</w:t>
            </w:r>
            <w:r w:rsidR="000F7A90">
              <w:rPr>
                <w:color w:val="000000"/>
                <w:lang w:val="fr-FR" w:bidi="fr-FR"/>
              </w:rPr>
              <w:t>'</w:t>
            </w:r>
            <w:r w:rsidRPr="00F3021F">
              <w:rPr>
                <w:color w:val="000000"/>
                <w:lang w:val="fr-FR" w:bidi="fr-FR"/>
              </w:rPr>
              <w:t>information, ainsi que dans le paragraphe 70 du Document final de la réunion de haut niveau de l</w:t>
            </w:r>
            <w:r w:rsidR="000F7A90">
              <w:rPr>
                <w:color w:val="000000"/>
                <w:lang w:val="fr-FR" w:bidi="fr-FR"/>
              </w:rPr>
              <w:t>'</w:t>
            </w:r>
            <w:r w:rsidRPr="00F3021F">
              <w:rPr>
                <w:color w:val="000000"/>
                <w:lang w:val="fr-FR" w:bidi="fr-FR"/>
              </w:rPr>
              <w:t>Assemblée générale sur l</w:t>
            </w:r>
            <w:r w:rsidR="000F7A90">
              <w:rPr>
                <w:color w:val="000000"/>
                <w:lang w:val="fr-FR" w:bidi="fr-FR"/>
              </w:rPr>
              <w:t>'</w:t>
            </w:r>
            <w:r w:rsidRPr="00F3021F">
              <w:rPr>
                <w:color w:val="000000"/>
                <w:lang w:val="fr-FR" w:bidi="fr-FR"/>
              </w:rPr>
              <w:t>examen d</w:t>
            </w:r>
            <w:r w:rsidR="000F7A90">
              <w:rPr>
                <w:color w:val="000000"/>
                <w:lang w:val="fr-FR" w:bidi="fr-FR"/>
              </w:rPr>
              <w:t>'</w:t>
            </w:r>
            <w:r w:rsidRPr="00F3021F">
              <w:rPr>
                <w:color w:val="000000"/>
                <w:lang w:val="fr-FR" w:bidi="fr-FR"/>
              </w:rPr>
              <w:t xml:space="preserve">ensemble de la mise en </w:t>
            </w:r>
            <w:r w:rsidR="00C762CF">
              <w:rPr>
                <w:color w:val="000000"/>
                <w:lang w:val="fr-FR" w:bidi="fr-FR"/>
              </w:rPr>
              <w:t>oe</w:t>
            </w:r>
            <w:r w:rsidRPr="00F3021F">
              <w:rPr>
                <w:color w:val="000000"/>
                <w:lang w:val="fr-FR" w:bidi="fr-FR"/>
              </w:rPr>
              <w:t>uvre des textes issus du SMSI.</w:t>
            </w:r>
          </w:p>
        </w:tc>
      </w:tr>
      <w:tr w:rsidR="004B38E1" w:rsidRPr="00F3021F" w14:paraId="014B73D2" w14:textId="77777777" w:rsidTr="00127B97">
        <w:tc>
          <w:tcPr>
            <w:tcW w:w="3256" w:type="dxa"/>
            <w:tcBorders>
              <w:top w:val="single" w:sz="4" w:space="0" w:color="auto"/>
              <w:bottom w:val="single" w:sz="4" w:space="0" w:color="auto"/>
              <w:right w:val="single" w:sz="4" w:space="0" w:color="auto"/>
            </w:tcBorders>
          </w:tcPr>
          <w:p w14:paraId="74BECF1E" w14:textId="77777777" w:rsidR="004B38E1" w:rsidRPr="00F3021F" w:rsidRDefault="004B38E1"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571CA74F" w14:textId="3D9FEA87" w:rsidR="004B38E1" w:rsidRPr="00F3021F" w:rsidRDefault="004B38E1" w:rsidP="000F7A90">
            <w:pPr>
              <w:spacing w:before="0" w:after="60"/>
              <w:rPr>
                <w:szCs w:val="24"/>
                <w:lang w:val="fr-FR"/>
              </w:rPr>
            </w:pPr>
            <w:r w:rsidRPr="00F3021F">
              <w:rPr>
                <w:color w:val="000000"/>
                <w:lang w:val="fr-FR" w:bidi="fr-FR"/>
              </w:rPr>
              <w:t xml:space="preserve">Les statistiques sur les télécommunications/TIC sont importantes pour le suivi de la mise en </w:t>
            </w:r>
            <w:r w:rsidR="00C762CF">
              <w:rPr>
                <w:color w:val="000000"/>
                <w:lang w:val="fr-FR" w:bidi="fr-FR"/>
              </w:rPr>
              <w:t>oe</w:t>
            </w:r>
            <w:r w:rsidRPr="00F3021F">
              <w:rPr>
                <w:color w:val="000000"/>
                <w:lang w:val="fr-FR" w:bidi="fr-FR"/>
              </w:rPr>
              <w:t>uvre de tous les Objectifs de développement durable et sont citées dans les paragraphes 48, 57, 74-76, 83 du Programme de développement durable à l</w:t>
            </w:r>
            <w:r w:rsidR="000F7A90">
              <w:rPr>
                <w:color w:val="000000"/>
                <w:lang w:val="fr-FR" w:bidi="fr-FR"/>
              </w:rPr>
              <w:t>'</w:t>
            </w:r>
            <w:r w:rsidRPr="00F3021F">
              <w:rPr>
                <w:color w:val="000000"/>
                <w:lang w:val="fr-FR" w:bidi="fr-FR"/>
              </w:rPr>
              <w:t>horizon 2030.</w:t>
            </w:r>
          </w:p>
        </w:tc>
      </w:tr>
    </w:tbl>
    <w:p w14:paraId="46A6E4E7" w14:textId="77777777" w:rsidR="00A33D2F" w:rsidRPr="00F3021F" w:rsidRDefault="00A33D2F" w:rsidP="00C762CF">
      <w:pPr>
        <w:pStyle w:val="Heading2"/>
        <w:spacing w:after="120"/>
        <w:rPr>
          <w:lang w:val="fr-FR"/>
        </w:rPr>
      </w:pPr>
      <w:r w:rsidRPr="00F3021F">
        <w:rPr>
          <w:lang w:val="fr-FR" w:bidi="fr-FR"/>
        </w:rPr>
        <w:t>4.3</w:t>
      </w:r>
      <w:r w:rsidRPr="00F3021F">
        <w:rPr>
          <w:lang w:val="fr-FR" w:bidi="fr-FR"/>
        </w:rPr>
        <w:tab/>
        <w:t>Inclusion numérique des personnes ayant des besoins particuliers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A33D2F" w:rsidRPr="00F3021F" w14:paraId="77569964" w14:textId="77777777" w:rsidTr="00127B97">
        <w:tc>
          <w:tcPr>
            <w:tcW w:w="9629" w:type="dxa"/>
            <w:gridSpan w:val="2"/>
            <w:tcBorders>
              <w:bottom w:val="single" w:sz="4" w:space="0" w:color="auto"/>
            </w:tcBorders>
          </w:tcPr>
          <w:p w14:paraId="0BA852CE" w14:textId="6394B248" w:rsidR="00A33D2F" w:rsidRPr="00F3021F" w:rsidRDefault="00A33D2F" w:rsidP="00C762CF">
            <w:pPr>
              <w:spacing w:after="120"/>
              <w:rPr>
                <w:szCs w:val="24"/>
                <w:lang w:val="fr-FR"/>
              </w:rPr>
            </w:pPr>
            <w:r w:rsidRPr="00F3021F">
              <w:rPr>
                <w:szCs w:val="24"/>
                <w:lang w:val="fr-FR" w:bidi="fr-FR"/>
              </w:rPr>
              <w:t>Le BDT a mis à la disposition de tous les Membre</w:t>
            </w:r>
            <w:r w:rsidR="000F7A90">
              <w:rPr>
                <w:szCs w:val="24"/>
                <w:lang w:val="fr-FR" w:bidi="fr-FR"/>
              </w:rPr>
              <w:t>s</w:t>
            </w:r>
            <w:r w:rsidRPr="00F3021F">
              <w:rPr>
                <w:szCs w:val="24"/>
                <w:lang w:val="fr-FR" w:bidi="fr-FR"/>
              </w:rPr>
              <w:t xml:space="preserve"> de l</w:t>
            </w:r>
            <w:r w:rsidR="000F7A90">
              <w:rPr>
                <w:szCs w:val="24"/>
                <w:lang w:val="fr-FR" w:bidi="fr-FR"/>
              </w:rPr>
              <w:t>'</w:t>
            </w:r>
            <w:r w:rsidRPr="00F3021F">
              <w:rPr>
                <w:szCs w:val="24"/>
                <w:lang w:val="fr-FR" w:bidi="fr-FR"/>
              </w:rPr>
              <w:t>UIT des stratégies innovantes concernant l</w:t>
            </w:r>
            <w:r w:rsidR="000F7A90">
              <w:rPr>
                <w:szCs w:val="24"/>
                <w:lang w:val="fr-FR" w:bidi="fr-FR"/>
              </w:rPr>
              <w:t>'</w:t>
            </w:r>
            <w:r w:rsidRPr="00F3021F">
              <w:rPr>
                <w:szCs w:val="24"/>
                <w:lang w:val="fr-FR" w:bidi="fr-FR"/>
              </w:rPr>
              <w:t>élaboration de stratégies nationales de développement des compétences numériques en publiant le Kit pratique de l</w:t>
            </w:r>
            <w:r w:rsidR="000F7A90">
              <w:rPr>
                <w:szCs w:val="24"/>
                <w:lang w:val="fr-FR" w:bidi="fr-FR"/>
              </w:rPr>
              <w:t>'</w:t>
            </w:r>
            <w:r w:rsidRPr="00F3021F">
              <w:rPr>
                <w:szCs w:val="24"/>
                <w:lang w:val="fr-FR" w:bidi="fr-FR"/>
              </w:rPr>
              <w:t>UIT sur les compétences numériques sur le site web de l</w:t>
            </w:r>
            <w:r w:rsidR="000F7A90">
              <w:rPr>
                <w:szCs w:val="24"/>
                <w:lang w:val="fr-FR" w:bidi="fr-FR"/>
              </w:rPr>
              <w:t>'</w:t>
            </w:r>
            <w:r w:rsidRPr="00F3021F">
              <w:rPr>
                <w:szCs w:val="24"/>
                <w:lang w:val="fr-FR" w:bidi="fr-FR"/>
              </w:rPr>
              <w:t>UIT. Ce document est disponible dans les six langues officielles de l</w:t>
            </w:r>
            <w:r w:rsidR="000F7A90">
              <w:rPr>
                <w:szCs w:val="24"/>
                <w:lang w:val="fr-FR" w:bidi="fr-FR"/>
              </w:rPr>
              <w:t>'</w:t>
            </w:r>
            <w:r w:rsidRPr="00F3021F">
              <w:rPr>
                <w:szCs w:val="24"/>
                <w:lang w:val="fr-FR" w:bidi="fr-FR"/>
              </w:rPr>
              <w:t>UIT, ainsi qu</w:t>
            </w:r>
            <w:r w:rsidR="000F7A90">
              <w:rPr>
                <w:szCs w:val="24"/>
                <w:lang w:val="fr-FR" w:bidi="fr-FR"/>
              </w:rPr>
              <w:t>'</w:t>
            </w:r>
            <w:r w:rsidRPr="00F3021F">
              <w:rPr>
                <w:szCs w:val="24"/>
                <w:lang w:val="fr-FR" w:bidi="fr-FR"/>
              </w:rPr>
              <w:t>aux formats e-pub et Kindle. Une campagne conjointe UIT-OIT sur les compétences numériques pour un emploi décent a en outre été lancée dans le cadre de l</w:t>
            </w:r>
            <w:r w:rsidR="000F7A90">
              <w:rPr>
                <w:szCs w:val="24"/>
                <w:lang w:val="fr-FR" w:bidi="fr-FR"/>
              </w:rPr>
              <w:t>'</w:t>
            </w:r>
            <w:r w:rsidRPr="00F3021F">
              <w:rPr>
                <w:szCs w:val="24"/>
                <w:lang w:val="fr-FR" w:bidi="fr-FR"/>
              </w:rPr>
              <w:t>Initiative mondiale pour l</w:t>
            </w:r>
            <w:r w:rsidR="000F7A90">
              <w:rPr>
                <w:szCs w:val="24"/>
                <w:lang w:val="fr-FR" w:bidi="fr-FR"/>
              </w:rPr>
              <w:t>'</w:t>
            </w:r>
            <w:r w:rsidRPr="00F3021F">
              <w:rPr>
                <w:szCs w:val="24"/>
                <w:lang w:val="fr-FR" w:bidi="fr-FR"/>
              </w:rPr>
              <w:t>emploi décent des jeunes afin d</w:t>
            </w:r>
            <w:r w:rsidR="000F7A90">
              <w:rPr>
                <w:szCs w:val="24"/>
                <w:lang w:val="fr-FR" w:bidi="fr-FR"/>
              </w:rPr>
              <w:t>'</w:t>
            </w:r>
            <w:r w:rsidRPr="00F3021F">
              <w:rPr>
                <w:szCs w:val="24"/>
                <w:lang w:val="fr-FR" w:bidi="fr-FR"/>
              </w:rPr>
              <w:t>encourager les parties prenantes à s</w:t>
            </w:r>
            <w:r w:rsidR="000F7A90">
              <w:rPr>
                <w:szCs w:val="24"/>
                <w:lang w:val="fr-FR" w:bidi="fr-FR"/>
              </w:rPr>
              <w:t>'</w:t>
            </w:r>
            <w:r w:rsidRPr="00F3021F">
              <w:rPr>
                <w:szCs w:val="24"/>
                <w:lang w:val="fr-FR" w:bidi="fr-FR"/>
              </w:rPr>
              <w:t>engager dans la formation de cinq millions de jeunes femmes et hommes à des compétences numériques adaptées au marché du travail. Cette campagne et le Kit pratique sur les compétences</w:t>
            </w:r>
            <w:r w:rsidR="003848A2">
              <w:rPr>
                <w:szCs w:val="24"/>
                <w:lang w:val="fr-FR" w:bidi="fr-FR"/>
              </w:rPr>
              <w:t xml:space="preserve"> numériques ont été présentés à </w:t>
            </w:r>
            <w:r w:rsidRPr="00F3021F">
              <w:rPr>
                <w:szCs w:val="24"/>
                <w:lang w:val="fr-FR" w:bidi="fr-FR"/>
              </w:rPr>
              <w:t>1 250 Membres de l</w:t>
            </w:r>
            <w:r w:rsidR="000F7A90">
              <w:rPr>
                <w:szCs w:val="24"/>
                <w:lang w:val="fr-FR" w:bidi="fr-FR"/>
              </w:rPr>
              <w:t>'</w:t>
            </w:r>
            <w:r w:rsidRPr="00F3021F">
              <w:rPr>
                <w:szCs w:val="24"/>
                <w:lang w:val="fr-FR" w:bidi="fr-FR"/>
              </w:rPr>
              <w:t>UIT et d</w:t>
            </w:r>
            <w:r w:rsidR="000F7A90">
              <w:rPr>
                <w:szCs w:val="24"/>
                <w:lang w:val="fr-FR" w:bidi="fr-FR"/>
              </w:rPr>
              <w:t>'</w:t>
            </w:r>
            <w:r w:rsidRPr="00F3021F">
              <w:rPr>
                <w:szCs w:val="24"/>
                <w:lang w:val="fr-FR" w:bidi="fr-FR"/>
              </w:rPr>
              <w:t>autres parties prenantes au cours de plusieurs manifestations, comprenant entre autres: le Dialogue de haut niveau sur les compétences numériques dans le cadre du SMSI; la Semaine de l</w:t>
            </w:r>
            <w:r w:rsidR="000F7A90">
              <w:rPr>
                <w:szCs w:val="24"/>
                <w:lang w:val="fr-FR" w:bidi="fr-FR"/>
              </w:rPr>
              <w:t>'</w:t>
            </w:r>
            <w:r w:rsidRPr="00F3021F">
              <w:rPr>
                <w:szCs w:val="24"/>
                <w:lang w:val="fr-FR" w:bidi="fr-FR"/>
              </w:rPr>
              <w:t>apprentissage mobile à Paris (France); le colloqu</w:t>
            </w:r>
            <w:r w:rsidR="009C3D18">
              <w:rPr>
                <w:szCs w:val="24"/>
                <w:lang w:val="fr-FR" w:bidi="fr-FR"/>
              </w:rPr>
              <w:t>e "Digital Skills for Everyone:</w:t>
            </w:r>
            <w:r w:rsidRPr="00F3021F">
              <w:rPr>
                <w:szCs w:val="24"/>
                <w:lang w:val="fr-FR" w:bidi="fr-FR"/>
              </w:rPr>
              <w:t xml:space="preserve"> Accelerating Europe</w:t>
            </w:r>
            <w:r w:rsidR="000F7A90">
              <w:rPr>
                <w:szCs w:val="24"/>
                <w:lang w:val="fr-FR" w:bidi="fr-FR"/>
              </w:rPr>
              <w:t>'</w:t>
            </w:r>
            <w:r w:rsidRPr="00F3021F">
              <w:rPr>
                <w:szCs w:val="24"/>
                <w:lang w:val="fr-FR" w:bidi="fr-FR"/>
              </w:rPr>
              <w:t>s Competitiveness and Inclusive Growt</w:t>
            </w:r>
            <w:r w:rsidR="009C3D18">
              <w:rPr>
                <w:szCs w:val="24"/>
                <w:lang w:val="fr-FR" w:bidi="fr-FR"/>
              </w:rPr>
              <w:t>h" à Bruxelles (Belgique), etc.</w:t>
            </w:r>
          </w:p>
          <w:p w14:paraId="537D6274" w14:textId="57DE19A7" w:rsidR="00A33D2F" w:rsidRPr="00F3021F" w:rsidRDefault="00A33D2F" w:rsidP="00C762CF">
            <w:pPr>
              <w:spacing w:after="120"/>
              <w:rPr>
                <w:lang w:val="fr-FR"/>
              </w:rPr>
            </w:pPr>
            <w:r w:rsidRPr="00F3021F">
              <w:rPr>
                <w:szCs w:val="24"/>
                <w:lang w:val="fr-FR" w:bidi="fr-FR"/>
              </w:rPr>
              <w:t>En 2018, 131 pays ont organisé 2 186 manifestations dans le cadre de la Journée internationale des jeunes filles dans le secteur des TIC, au cours desquelles 57 748 participantes ont été encouragées à suivre des études et une carrière dans le domaine des TIC. Les pays étaient répartis comme suit: 20 de la région Afrique, 31 de la région Amériques, 10 de la région des Etats arabes, 22 de la région Asie-Pacifique, 8 de la région de la CEI et 30 de la région Europe. Les Iles Salomon, la Mongolie, l</w:t>
            </w:r>
            <w:r w:rsidR="000F7A90">
              <w:rPr>
                <w:szCs w:val="24"/>
                <w:lang w:val="fr-FR" w:bidi="fr-FR"/>
              </w:rPr>
              <w:t>'</w:t>
            </w:r>
            <w:r w:rsidRPr="00F3021F">
              <w:rPr>
                <w:szCs w:val="24"/>
                <w:lang w:val="fr-FR" w:bidi="fr-FR"/>
              </w:rPr>
              <w:t>Ouzbékistan, le Tadjikistan et le Timor-Leste ont rejoint la campagne en 2018. Les entreprises Cisco et Microsoft, toutes deux Membres du Secteur de l</w:t>
            </w:r>
            <w:r w:rsidR="000F7A90">
              <w:rPr>
                <w:szCs w:val="24"/>
                <w:lang w:val="fr-FR" w:bidi="fr-FR"/>
              </w:rPr>
              <w:t>'</w:t>
            </w:r>
            <w:r w:rsidRPr="00F3021F">
              <w:rPr>
                <w:szCs w:val="24"/>
                <w:lang w:val="fr-FR" w:bidi="fr-FR"/>
              </w:rPr>
              <w:t>UIT, ont organisé des manifestations pour 4 349 et 3 600 jeunes filles respectivement. Le nombre de participantes a été le plus élevé (dans l</w:t>
            </w:r>
            <w:r w:rsidR="000F7A90">
              <w:rPr>
                <w:szCs w:val="24"/>
                <w:lang w:val="fr-FR" w:bidi="fr-FR"/>
              </w:rPr>
              <w:t>'</w:t>
            </w:r>
            <w:r w:rsidRPr="00F3021F">
              <w:rPr>
                <w:szCs w:val="24"/>
                <w:lang w:val="fr-FR" w:bidi="fr-FR"/>
              </w:rPr>
              <w:t xml:space="preserve">ordre) en Allemagne, aux Pays-Bas, en Italie, en Espagne, au Sénégal, en Colombie, au Guatemala et au Chili. </w:t>
            </w:r>
          </w:p>
          <w:p w14:paraId="0C36F022" w14:textId="79408C9D" w:rsidR="00A33D2F" w:rsidRPr="00F3021F" w:rsidRDefault="00A33D2F" w:rsidP="00C762CF">
            <w:pPr>
              <w:rPr>
                <w:szCs w:val="24"/>
                <w:lang w:val="fr-FR"/>
              </w:rPr>
            </w:pPr>
            <w:r w:rsidRPr="00F3021F">
              <w:rPr>
                <w:szCs w:val="24"/>
                <w:lang w:val="fr-FR" w:bidi="fr-FR"/>
              </w:rPr>
              <w:lastRenderedPageBreak/>
              <w:t>Plus de 1 500 Membres de l</w:t>
            </w:r>
            <w:r w:rsidR="000F7A90">
              <w:rPr>
                <w:szCs w:val="24"/>
                <w:lang w:val="fr-FR" w:bidi="fr-FR"/>
              </w:rPr>
              <w:t>'</w:t>
            </w:r>
            <w:r w:rsidRPr="00F3021F">
              <w:rPr>
                <w:szCs w:val="24"/>
                <w:lang w:val="fr-FR" w:bidi="fr-FR"/>
              </w:rPr>
              <w:t>UIT et parties prenantes ont été informés des activités et manifestations organisées par l</w:t>
            </w:r>
            <w:r w:rsidR="000F7A90">
              <w:rPr>
                <w:szCs w:val="24"/>
                <w:lang w:val="fr-FR" w:bidi="fr-FR"/>
              </w:rPr>
              <w:t>'</w:t>
            </w:r>
            <w:r w:rsidRPr="00F3021F">
              <w:rPr>
                <w:szCs w:val="24"/>
                <w:lang w:val="fr-FR" w:bidi="fr-FR"/>
              </w:rPr>
              <w:t xml:space="preserve">UIT-D, et des ressources clés ont été mises à disposition pour aider les Membres à mettre en </w:t>
            </w:r>
            <w:r w:rsidR="00C762CF">
              <w:rPr>
                <w:szCs w:val="24"/>
                <w:lang w:val="fr-FR" w:bidi="fr-FR"/>
              </w:rPr>
              <w:t>oe</w:t>
            </w:r>
            <w:r w:rsidRPr="00F3021F">
              <w:rPr>
                <w:szCs w:val="24"/>
                <w:lang w:val="fr-FR" w:bidi="fr-FR"/>
              </w:rPr>
              <w:t>uvre l</w:t>
            </w:r>
            <w:r w:rsidR="000F7A90">
              <w:rPr>
                <w:szCs w:val="24"/>
                <w:lang w:val="fr-FR" w:bidi="fr-FR"/>
              </w:rPr>
              <w:t>'</w:t>
            </w:r>
            <w:r w:rsidRPr="00F3021F">
              <w:rPr>
                <w:szCs w:val="24"/>
                <w:lang w:val="fr-FR" w:bidi="fr-FR"/>
              </w:rPr>
              <w:t>accessibilité des TIC.</w:t>
            </w:r>
          </w:p>
          <w:p w14:paraId="32A702B9" w14:textId="6A561F3B" w:rsidR="00A33D2F" w:rsidRPr="00F3021F" w:rsidRDefault="00753305" w:rsidP="00C762CF">
            <w:pPr>
              <w:rPr>
                <w:color w:val="000000"/>
                <w:lang w:val="fr-FR"/>
              </w:rPr>
            </w:pPr>
            <w:r w:rsidRPr="00F3021F">
              <w:rPr>
                <w:lang w:val="fr-FR" w:bidi="fr-FR"/>
              </w:rPr>
              <w:t>192 programmes et bonnes pratiques sur l</w:t>
            </w:r>
            <w:r w:rsidR="000F7A90">
              <w:rPr>
                <w:lang w:val="fr-FR" w:bidi="fr-FR"/>
              </w:rPr>
              <w:t>'</w:t>
            </w:r>
            <w:r w:rsidRPr="00F3021F">
              <w:rPr>
                <w:lang w:val="fr-FR" w:bidi="fr-FR"/>
              </w:rPr>
              <w:t>inclusion numérique</w:t>
            </w:r>
            <w:r w:rsidR="000F7A90">
              <w:rPr>
                <w:lang w:val="fr-FR" w:bidi="fr-FR"/>
              </w:rPr>
              <w:t xml:space="preserve"> ont été publiés sur le site du </w:t>
            </w:r>
            <w:r w:rsidRPr="00F3021F">
              <w:rPr>
                <w:lang w:val="fr-FR" w:bidi="fr-FR"/>
              </w:rPr>
              <w:t>bulletin d</w:t>
            </w:r>
            <w:r w:rsidR="000F7A90">
              <w:rPr>
                <w:lang w:val="fr-FR" w:bidi="fr-FR"/>
              </w:rPr>
              <w:t>'</w:t>
            </w:r>
            <w:r w:rsidRPr="00F3021F">
              <w:rPr>
                <w:lang w:val="fr-FR" w:bidi="fr-FR"/>
              </w:rPr>
              <w:t>actualité de l</w:t>
            </w:r>
            <w:r w:rsidR="000F7A90">
              <w:rPr>
                <w:lang w:val="fr-FR" w:bidi="fr-FR"/>
              </w:rPr>
              <w:t>'</w:t>
            </w:r>
            <w:r w:rsidRPr="00F3021F">
              <w:rPr>
                <w:lang w:val="fr-FR" w:bidi="fr-FR"/>
              </w:rPr>
              <w:t>UIT-D sur l</w:t>
            </w:r>
            <w:r w:rsidR="000F7A90">
              <w:rPr>
                <w:lang w:val="fr-FR" w:bidi="fr-FR"/>
              </w:rPr>
              <w:t>'</w:t>
            </w:r>
            <w:r w:rsidRPr="00F3021F">
              <w:rPr>
                <w:lang w:val="fr-FR" w:bidi="fr-FR"/>
              </w:rPr>
              <w:t xml:space="preserve">inclusion </w:t>
            </w:r>
            <w:r w:rsidR="000F7A90">
              <w:rPr>
                <w:lang w:val="fr-FR" w:bidi="fr-FR"/>
              </w:rPr>
              <w:t>numérique en 2018, avec plus de </w:t>
            </w:r>
            <w:r w:rsidRPr="00F3021F">
              <w:rPr>
                <w:lang w:val="fr-FR" w:bidi="fr-FR"/>
              </w:rPr>
              <w:t>6 585 consultat</w:t>
            </w:r>
            <w:r w:rsidR="000F7530">
              <w:rPr>
                <w:lang w:val="fr-FR" w:bidi="fr-FR"/>
              </w:rPr>
              <w:t>ions des articles du site. Les M</w:t>
            </w:r>
            <w:r w:rsidRPr="00F3021F">
              <w:rPr>
                <w:lang w:val="fr-FR" w:bidi="fr-FR"/>
              </w:rPr>
              <w:t>embres de l</w:t>
            </w:r>
            <w:r w:rsidR="000F7A90">
              <w:rPr>
                <w:lang w:val="fr-FR" w:bidi="fr-FR"/>
              </w:rPr>
              <w:t>'</w:t>
            </w:r>
            <w:r w:rsidRPr="00F3021F">
              <w:rPr>
                <w:lang w:val="fr-FR" w:bidi="fr-FR"/>
              </w:rPr>
              <w:t>UIT ont été informés et ont échangé de bonnes pratiques grâce à la publication hebdomadaire de pratiques et de stratégies innovantes en matière d</w:t>
            </w:r>
            <w:r w:rsidR="000F7A90">
              <w:rPr>
                <w:lang w:val="fr-FR" w:bidi="fr-FR"/>
              </w:rPr>
              <w:t>'</w:t>
            </w:r>
            <w:r w:rsidRPr="00F3021F">
              <w:rPr>
                <w:lang w:val="fr-FR" w:bidi="fr-FR"/>
              </w:rPr>
              <w:t>inclusion numérique.</w:t>
            </w:r>
            <w:hyperlink r:id="rId20" w:history="1"/>
          </w:p>
          <w:p w14:paraId="4C2039CA" w14:textId="276A6EAA" w:rsidR="002B79A0" w:rsidRPr="00F3021F" w:rsidRDefault="002B79A0" w:rsidP="00C762CF">
            <w:pPr>
              <w:rPr>
                <w:lang w:val="fr-FR"/>
              </w:rPr>
            </w:pPr>
            <w:r w:rsidRPr="00F3021F">
              <w:rPr>
                <w:lang w:val="fr-FR" w:bidi="fr-FR"/>
              </w:rPr>
              <w:t>Au niveau régional, des manifestations ont été organisées pour soutenir les initiatives régionales sur l</w:t>
            </w:r>
            <w:r w:rsidR="000F7A90">
              <w:rPr>
                <w:lang w:val="fr-FR" w:bidi="fr-FR"/>
              </w:rPr>
              <w:t>'</w:t>
            </w:r>
            <w:r w:rsidRPr="00F3021F">
              <w:rPr>
                <w:lang w:val="fr-FR" w:bidi="fr-FR"/>
              </w:rPr>
              <w:t>accessibilité dans les régions Amériques, Europe, Afrique et des Etats arabes.</w:t>
            </w:r>
          </w:p>
          <w:p w14:paraId="0B55D846" w14:textId="413752EB" w:rsidR="002B79A0" w:rsidRPr="00F3021F" w:rsidRDefault="002B79A0" w:rsidP="00C762CF">
            <w:pPr>
              <w:spacing w:after="120"/>
              <w:rPr>
                <w:lang w:val="fr-FR"/>
              </w:rPr>
            </w:pPr>
            <w:r w:rsidRPr="00F3021F">
              <w:rPr>
                <w:lang w:val="fr-FR" w:bidi="fr-FR"/>
              </w:rPr>
              <w:t>Un ensemble de trois cours de formation en ligne adaptés au rythme de chacun, intitulé "Accessibilité des TIC: la clé d</w:t>
            </w:r>
            <w:r w:rsidR="000F7A90">
              <w:rPr>
                <w:lang w:val="fr-FR" w:bidi="fr-FR"/>
              </w:rPr>
              <w:t>'</w:t>
            </w:r>
            <w:r w:rsidRPr="00F3021F">
              <w:rPr>
                <w:lang w:val="fr-FR" w:bidi="fr-FR"/>
              </w:rPr>
              <w:t>une communication inclusive", a été créé pour permettre à toutes les parties prenantes d</w:t>
            </w:r>
            <w:r w:rsidR="000F7A90">
              <w:rPr>
                <w:lang w:val="fr-FR" w:bidi="fr-FR"/>
              </w:rPr>
              <w:t>'</w:t>
            </w:r>
            <w:r w:rsidRPr="00F3021F">
              <w:rPr>
                <w:lang w:val="fr-FR" w:bidi="fr-FR"/>
              </w:rPr>
              <w:t>acquérir une bonne compréhension de l</w:t>
            </w:r>
            <w:r w:rsidR="000F7A90">
              <w:rPr>
                <w:lang w:val="fr-FR" w:bidi="fr-FR"/>
              </w:rPr>
              <w:t>'</w:t>
            </w:r>
            <w:r w:rsidRPr="00F3021F">
              <w:rPr>
                <w:lang w:val="fr-FR" w:bidi="fr-FR"/>
              </w:rPr>
              <w:t>accessibilité des TIC; il met notamment l</w:t>
            </w:r>
            <w:r w:rsidR="000F7A90">
              <w:rPr>
                <w:lang w:val="fr-FR" w:bidi="fr-FR"/>
              </w:rPr>
              <w:t>'</w:t>
            </w:r>
            <w:r w:rsidRPr="00F3021F">
              <w:rPr>
                <w:lang w:val="fr-FR" w:bidi="fr-FR"/>
              </w:rPr>
              <w:t>accent sur les politiques, les réglementations, les tendances technologiques et les règles des marchés publics dans ce domaine. Cette formation vise à donner suite aux résultats de la CMDT-17.</w:t>
            </w:r>
          </w:p>
        </w:tc>
      </w:tr>
      <w:tr w:rsidR="00A33D2F" w:rsidRPr="00F3021F" w14:paraId="4B59CE07" w14:textId="77777777" w:rsidTr="00127B97">
        <w:tc>
          <w:tcPr>
            <w:tcW w:w="3256" w:type="dxa"/>
            <w:tcBorders>
              <w:top w:val="single" w:sz="4" w:space="0" w:color="auto"/>
              <w:bottom w:val="single" w:sz="4" w:space="0" w:color="auto"/>
              <w:right w:val="single" w:sz="4" w:space="0" w:color="auto"/>
            </w:tcBorders>
          </w:tcPr>
          <w:p w14:paraId="504798B9" w14:textId="77777777" w:rsidR="00A33D2F" w:rsidRPr="00F3021F" w:rsidRDefault="00A33D2F" w:rsidP="00C762CF">
            <w:pPr>
              <w:spacing w:before="0"/>
              <w:rPr>
                <w:i/>
                <w:iCs/>
                <w:szCs w:val="24"/>
                <w:lang w:val="fr-FR"/>
              </w:rPr>
            </w:pPr>
            <w:r w:rsidRPr="00F3021F">
              <w:rPr>
                <w:i/>
                <w:szCs w:val="24"/>
                <w:lang w:val="fr-FR" w:bidi="fr-FR"/>
              </w:rPr>
              <w:lastRenderedPageBreak/>
              <w:t>CMDT</w:t>
            </w:r>
          </w:p>
        </w:tc>
        <w:tc>
          <w:tcPr>
            <w:tcW w:w="6373" w:type="dxa"/>
            <w:tcBorders>
              <w:top w:val="single" w:sz="4" w:space="0" w:color="auto"/>
              <w:left w:val="single" w:sz="4" w:space="0" w:color="auto"/>
              <w:bottom w:val="single" w:sz="4" w:space="0" w:color="auto"/>
            </w:tcBorders>
          </w:tcPr>
          <w:p w14:paraId="65BAD3BC" w14:textId="5A948BAC" w:rsidR="00A33D2F" w:rsidRPr="00F3021F" w:rsidRDefault="00A33D2F" w:rsidP="00C762CF">
            <w:pPr>
              <w:spacing w:before="0"/>
              <w:rPr>
                <w:szCs w:val="24"/>
                <w:lang w:val="fr-FR"/>
              </w:rPr>
            </w:pPr>
            <w:bookmarkStart w:id="90" w:name="lt_pId452"/>
            <w:r w:rsidRPr="00F3021F">
              <w:rPr>
                <w:szCs w:val="24"/>
                <w:lang w:val="fr-FR" w:bidi="fr-FR"/>
              </w:rPr>
              <w:t xml:space="preserve">Résolutions 1, 5, 9, 11, 15, 20, 21, </w:t>
            </w:r>
            <w:r w:rsidR="00184FB9">
              <w:rPr>
                <w:szCs w:val="24"/>
                <w:lang w:val="fr-FR" w:bidi="fr-FR"/>
              </w:rPr>
              <w:t>22, 23, 30, 32, 55, 58, 68, 76, </w:t>
            </w:r>
            <w:r w:rsidRPr="00F3021F">
              <w:rPr>
                <w:szCs w:val="24"/>
                <w:lang w:val="fr-FR" w:bidi="fr-FR"/>
              </w:rPr>
              <w:t>77</w:t>
            </w:r>
            <w:bookmarkEnd w:id="90"/>
          </w:p>
        </w:tc>
      </w:tr>
      <w:tr w:rsidR="00A33D2F" w:rsidRPr="00F3021F" w14:paraId="14E51044" w14:textId="77777777" w:rsidTr="00127B97">
        <w:trPr>
          <w:trHeight w:val="397"/>
        </w:trPr>
        <w:tc>
          <w:tcPr>
            <w:tcW w:w="3256" w:type="dxa"/>
            <w:tcBorders>
              <w:top w:val="single" w:sz="4" w:space="0" w:color="auto"/>
              <w:bottom w:val="single" w:sz="4" w:space="0" w:color="auto"/>
              <w:right w:val="single" w:sz="4" w:space="0" w:color="auto"/>
            </w:tcBorders>
          </w:tcPr>
          <w:p w14:paraId="4F41D09D" w14:textId="77777777" w:rsidR="00A33D2F" w:rsidRPr="00F3021F" w:rsidRDefault="00A33D2F"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2AECEA5B" w14:textId="77777777" w:rsidR="00A33D2F" w:rsidRPr="00F3021F" w:rsidRDefault="00A33D2F" w:rsidP="00C762CF">
            <w:pPr>
              <w:spacing w:before="0"/>
              <w:rPr>
                <w:szCs w:val="24"/>
                <w:lang w:val="fr-FR"/>
              </w:rPr>
            </w:pPr>
            <w:bookmarkStart w:id="91" w:name="lt_pId454"/>
            <w:r w:rsidRPr="00F3021F">
              <w:rPr>
                <w:szCs w:val="24"/>
                <w:lang w:val="fr-FR" w:bidi="fr-FR"/>
              </w:rPr>
              <w:t>Décisions 5, 13</w:t>
            </w:r>
            <w:bookmarkEnd w:id="91"/>
          </w:p>
          <w:p w14:paraId="5DE77E4C" w14:textId="77777777" w:rsidR="00A33D2F" w:rsidRPr="00F3021F" w:rsidRDefault="00A33D2F" w:rsidP="00C762CF">
            <w:pPr>
              <w:spacing w:before="0"/>
              <w:rPr>
                <w:szCs w:val="24"/>
                <w:lang w:val="fr-FR"/>
              </w:rPr>
            </w:pPr>
            <w:bookmarkStart w:id="92" w:name="lt_pId455"/>
            <w:r w:rsidRPr="00F3021F">
              <w:rPr>
                <w:szCs w:val="24"/>
                <w:lang w:val="fr-FR" w:bidi="fr-FR"/>
              </w:rPr>
              <w:t>Résolutions 25, 30, 32, 33, 34, 36, 37, 64, 70, 71, 131, 139, 140, 175, 184, 198, 202</w:t>
            </w:r>
            <w:bookmarkEnd w:id="92"/>
          </w:p>
        </w:tc>
      </w:tr>
      <w:tr w:rsidR="00A33D2F" w:rsidRPr="00F3021F" w14:paraId="191AB786" w14:textId="77777777" w:rsidTr="00127B97">
        <w:trPr>
          <w:trHeight w:val="397"/>
        </w:trPr>
        <w:tc>
          <w:tcPr>
            <w:tcW w:w="3256" w:type="dxa"/>
            <w:tcBorders>
              <w:top w:val="single" w:sz="4" w:space="0" w:color="auto"/>
              <w:bottom w:val="single" w:sz="4" w:space="0" w:color="auto"/>
              <w:right w:val="single" w:sz="4" w:space="0" w:color="auto"/>
            </w:tcBorders>
          </w:tcPr>
          <w:p w14:paraId="32ADAE56" w14:textId="77777777" w:rsidR="00A33D2F" w:rsidRPr="00F3021F" w:rsidRDefault="00A33D2F" w:rsidP="00C762CF">
            <w:pPr>
              <w:spacing w:before="0"/>
              <w:rPr>
                <w:i/>
                <w:iCs/>
                <w:lang w:val="fr-FR"/>
              </w:rPr>
            </w:pPr>
            <w:r w:rsidRPr="00F3021F">
              <w:rPr>
                <w:i/>
                <w:lang w:val="fr-FR" w:bidi="fr-FR"/>
              </w:rPr>
              <w:t>AMNT</w:t>
            </w:r>
          </w:p>
        </w:tc>
        <w:tc>
          <w:tcPr>
            <w:tcW w:w="6373" w:type="dxa"/>
            <w:tcBorders>
              <w:top w:val="single" w:sz="4" w:space="0" w:color="auto"/>
              <w:left w:val="single" w:sz="4" w:space="0" w:color="auto"/>
              <w:bottom w:val="single" w:sz="4" w:space="0" w:color="auto"/>
            </w:tcBorders>
          </w:tcPr>
          <w:p w14:paraId="4C05E478" w14:textId="77777777" w:rsidR="00A33D2F" w:rsidRPr="00F3021F" w:rsidRDefault="00A33D2F" w:rsidP="00C762CF">
            <w:pPr>
              <w:spacing w:before="0"/>
              <w:rPr>
                <w:szCs w:val="24"/>
                <w:lang w:val="fr-FR"/>
              </w:rPr>
            </w:pPr>
            <w:bookmarkStart w:id="93" w:name="lt_pId457"/>
            <w:r w:rsidRPr="00F3021F">
              <w:rPr>
                <w:szCs w:val="24"/>
                <w:lang w:val="fr-FR" w:bidi="fr-FR"/>
              </w:rPr>
              <w:t>Résolution 55, 69</w:t>
            </w:r>
            <w:bookmarkEnd w:id="93"/>
          </w:p>
        </w:tc>
      </w:tr>
      <w:tr w:rsidR="00A33D2F" w:rsidRPr="00F3021F" w14:paraId="6E9928E3" w14:textId="77777777" w:rsidTr="00127B97">
        <w:trPr>
          <w:trHeight w:val="397"/>
        </w:trPr>
        <w:tc>
          <w:tcPr>
            <w:tcW w:w="3256" w:type="dxa"/>
            <w:tcBorders>
              <w:top w:val="single" w:sz="4" w:space="0" w:color="auto"/>
              <w:bottom w:val="single" w:sz="4" w:space="0" w:color="auto"/>
              <w:right w:val="single" w:sz="4" w:space="0" w:color="auto"/>
            </w:tcBorders>
          </w:tcPr>
          <w:p w14:paraId="30FF40AF" w14:textId="77777777" w:rsidR="00A33D2F" w:rsidRPr="00F3021F" w:rsidRDefault="00A33D2F"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4B614B78" w14:textId="3E7E4D74" w:rsidR="00A33D2F" w:rsidRPr="00F3021F" w:rsidRDefault="00A33D2F" w:rsidP="00C762CF">
            <w:pPr>
              <w:spacing w:before="0"/>
              <w:rPr>
                <w:szCs w:val="24"/>
                <w:lang w:val="fr-FR"/>
              </w:rPr>
            </w:pPr>
            <w:bookmarkStart w:id="94" w:name="lt_pId459"/>
            <w:r w:rsidRPr="00F3021F">
              <w:rPr>
                <w:color w:val="000000"/>
                <w:lang w:val="fr-FR" w:bidi="fr-FR"/>
              </w:rPr>
              <w:t>Grandes orientations C2, C4, C7 et C8 du SMSI figurant dans le Plan d</w:t>
            </w:r>
            <w:r w:rsidR="000F7A90">
              <w:rPr>
                <w:color w:val="000000"/>
                <w:lang w:val="fr-FR" w:bidi="fr-FR"/>
              </w:rPr>
              <w:t>'</w:t>
            </w:r>
            <w:r w:rsidRPr="00F3021F">
              <w:rPr>
                <w:color w:val="000000"/>
                <w:lang w:val="fr-FR" w:bidi="fr-FR"/>
              </w:rPr>
              <w:t>action de Genève et le paragraphe 90 de l</w:t>
            </w:r>
            <w:r w:rsidR="000F7A90">
              <w:rPr>
                <w:color w:val="000000"/>
                <w:lang w:val="fr-FR" w:bidi="fr-FR"/>
              </w:rPr>
              <w:t>'</w:t>
            </w:r>
            <w:r w:rsidRPr="00F3021F">
              <w:rPr>
                <w:color w:val="000000"/>
                <w:lang w:val="fr-FR" w:bidi="fr-FR"/>
              </w:rPr>
              <w:t>Agenda de Tunis pour la société de l</w:t>
            </w:r>
            <w:r w:rsidR="000F7A90">
              <w:rPr>
                <w:color w:val="000000"/>
                <w:lang w:val="fr-FR" w:bidi="fr-FR"/>
              </w:rPr>
              <w:t>'</w:t>
            </w:r>
            <w:r w:rsidRPr="00F3021F">
              <w:rPr>
                <w:color w:val="000000"/>
                <w:lang w:val="fr-FR" w:bidi="fr-FR"/>
              </w:rPr>
              <w:t>information</w:t>
            </w:r>
            <w:bookmarkEnd w:id="94"/>
          </w:p>
        </w:tc>
      </w:tr>
      <w:tr w:rsidR="00A33D2F" w:rsidRPr="00F3021F" w14:paraId="2702C0FF" w14:textId="77777777" w:rsidTr="00127B97">
        <w:tc>
          <w:tcPr>
            <w:tcW w:w="3256" w:type="dxa"/>
            <w:tcBorders>
              <w:top w:val="single" w:sz="4" w:space="0" w:color="auto"/>
              <w:bottom w:val="single" w:sz="4" w:space="0" w:color="auto"/>
              <w:right w:val="single" w:sz="4" w:space="0" w:color="auto"/>
            </w:tcBorders>
          </w:tcPr>
          <w:p w14:paraId="04C274B2" w14:textId="77777777" w:rsidR="00A33D2F" w:rsidRPr="00F3021F" w:rsidRDefault="00A33D2F"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33037741" w14:textId="77777777" w:rsidR="00A33D2F" w:rsidRPr="00F3021F" w:rsidRDefault="00A33D2F" w:rsidP="00C762CF">
            <w:pPr>
              <w:spacing w:before="0"/>
              <w:rPr>
                <w:szCs w:val="24"/>
                <w:lang w:val="fr-FR"/>
              </w:rPr>
            </w:pPr>
            <w:bookmarkStart w:id="95" w:name="lt_pId461"/>
            <w:r w:rsidRPr="00F3021F">
              <w:rPr>
                <w:szCs w:val="24"/>
                <w:lang w:val="fr-FR" w:bidi="fr-FR"/>
              </w:rPr>
              <w:t>Objectifs de développement durable:</w:t>
            </w:r>
            <w:bookmarkEnd w:id="95"/>
            <w:r w:rsidRPr="00F3021F">
              <w:rPr>
                <w:szCs w:val="24"/>
                <w:lang w:val="fr-FR" w:bidi="fr-FR"/>
              </w:rPr>
              <w:t xml:space="preserve"> </w:t>
            </w:r>
            <w:bookmarkStart w:id="96" w:name="lt_pId462"/>
            <w:r w:rsidRPr="00F3021F">
              <w:rPr>
                <w:szCs w:val="24"/>
                <w:lang w:val="fr-FR" w:bidi="fr-FR"/>
              </w:rPr>
              <w:t>1 (cibles 1.2, 1.4, 1.a, 1.b), 4 (cibles 4.1, 4.2, 4.3, 4.4, 4.5, 4.a, 4.b), 5 (5.1, 5.5, 5.b, 5.c), 8 (cibles 8.2, 8.3, 8.5, 8.6, 8.10, 8.b), 9 (cible 9.c), 10 (cibles 10.2, 10.3), 11 (cibles 11.2, 11.7, 11.c), 16 (cible 16.b), 17 (cibles 17.6, 17.7, 17.8, 17.17)</w:t>
            </w:r>
            <w:bookmarkEnd w:id="96"/>
          </w:p>
        </w:tc>
      </w:tr>
    </w:tbl>
    <w:p w14:paraId="2FB2BBF2" w14:textId="46AC4F72" w:rsidR="00127B97" w:rsidRPr="00F3021F" w:rsidRDefault="00127B97" w:rsidP="00C762CF">
      <w:pPr>
        <w:pStyle w:val="Heading2"/>
        <w:spacing w:after="120"/>
        <w:rPr>
          <w:lang w:val="fr-FR"/>
        </w:rPr>
      </w:pPr>
      <w:r w:rsidRPr="00F3021F">
        <w:rPr>
          <w:lang w:val="fr-FR" w:bidi="fr-FR"/>
        </w:rPr>
        <w:t>4.4</w:t>
      </w:r>
      <w:r w:rsidRPr="00F3021F">
        <w:rPr>
          <w:lang w:val="fr-FR" w:bidi="fr-FR"/>
        </w:rPr>
        <w:tab/>
        <w:t>Fourniture d</w:t>
      </w:r>
      <w:r w:rsidR="000F7A90">
        <w:rPr>
          <w:lang w:val="fr-FR" w:bidi="fr-FR"/>
        </w:rPr>
        <w:t>'</w:t>
      </w:r>
      <w:r w:rsidRPr="00F3021F">
        <w:rPr>
          <w:lang w:val="fr-FR" w:bidi="fr-FR"/>
        </w:rPr>
        <w:t>une assistance ciblée aux PMA, aux PEID et aux PDSL</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127B97" w:rsidRPr="00F3021F" w14:paraId="274DF511" w14:textId="77777777" w:rsidTr="00127B97">
        <w:tc>
          <w:tcPr>
            <w:tcW w:w="9629" w:type="dxa"/>
            <w:gridSpan w:val="2"/>
            <w:tcBorders>
              <w:bottom w:val="single" w:sz="4" w:space="0" w:color="auto"/>
            </w:tcBorders>
          </w:tcPr>
          <w:p w14:paraId="76E10D6D" w14:textId="74E74406" w:rsidR="00127B97" w:rsidRPr="00F3021F" w:rsidRDefault="00127B97" w:rsidP="00C762CF">
            <w:pPr>
              <w:rPr>
                <w:szCs w:val="24"/>
                <w:lang w:val="fr-FR"/>
              </w:rPr>
            </w:pPr>
            <w:r w:rsidRPr="00F3021F">
              <w:rPr>
                <w:szCs w:val="24"/>
                <w:lang w:val="fr-FR" w:bidi="fr-FR"/>
              </w:rPr>
              <w:t>Le BDT a fourni une assistance ciblée aux pays les moins avancés (PMA), pays en développement sans littoral (PDSL) et petits Etats insulaires en développement (PEID) suivants: Afghanistan, Bolivie, Burundi, Guinée-Bissau, Eswatini, Haïti, Iles Salomon, Kiribati, Malawi, Myanmar, Ouganda, Ouzbékistan, Paraguay, Sao Tomé-et-Principe, Somalie, Soudan, Soudan du Sud, Suriname, Timor-Leste. L</w:t>
            </w:r>
            <w:r w:rsidR="000F7A90">
              <w:rPr>
                <w:szCs w:val="24"/>
                <w:lang w:val="fr-FR" w:bidi="fr-FR"/>
              </w:rPr>
              <w:t>'</w:t>
            </w:r>
            <w:r w:rsidRPr="00F3021F">
              <w:rPr>
                <w:szCs w:val="24"/>
                <w:lang w:val="fr-FR" w:bidi="fr-FR"/>
              </w:rPr>
              <w:t xml:space="preserve">assistance a porté sur </w:t>
            </w:r>
            <w:r w:rsidRPr="00F3021F">
              <w:rPr>
                <w:rFonts w:cs="Arial"/>
                <w:color w:val="444444"/>
                <w:szCs w:val="24"/>
                <w:shd w:val="clear" w:color="auto" w:fill="FFFFFF"/>
                <w:lang w:val="fr-FR" w:bidi="fr-FR"/>
              </w:rPr>
              <w:t>l</w:t>
            </w:r>
            <w:r w:rsidR="000F7A90">
              <w:rPr>
                <w:rFonts w:cs="Arial"/>
                <w:color w:val="444444"/>
                <w:szCs w:val="24"/>
                <w:shd w:val="clear" w:color="auto" w:fill="FFFFFF"/>
                <w:lang w:val="fr-FR" w:bidi="fr-FR"/>
              </w:rPr>
              <w:t>'</w:t>
            </w:r>
            <w:r w:rsidRPr="00F3021F">
              <w:rPr>
                <w:rFonts w:cs="Arial"/>
                <w:color w:val="444444"/>
                <w:szCs w:val="24"/>
                <w:shd w:val="clear" w:color="auto" w:fill="FFFFFF"/>
                <w:lang w:val="fr-FR" w:bidi="fr-FR"/>
              </w:rPr>
              <w:t>ensemble des activités liées aux TIC, notamment dans les domaines suivants: réformes de la réglementation des marchés, télécommunications d</w:t>
            </w:r>
            <w:r w:rsidR="000F7A90">
              <w:rPr>
                <w:rFonts w:cs="Arial"/>
                <w:color w:val="444444"/>
                <w:szCs w:val="24"/>
                <w:shd w:val="clear" w:color="auto" w:fill="FFFFFF"/>
                <w:lang w:val="fr-FR" w:bidi="fr-FR"/>
              </w:rPr>
              <w:t>'</w:t>
            </w:r>
            <w:r w:rsidRPr="00F3021F">
              <w:rPr>
                <w:rFonts w:cs="Arial"/>
                <w:color w:val="444444"/>
                <w:szCs w:val="24"/>
                <w:shd w:val="clear" w:color="auto" w:fill="FFFFFF"/>
                <w:lang w:val="fr-FR" w:bidi="fr-FR"/>
              </w:rPr>
              <w:t>urgence et interventions en cas de catastrophe, égalité des sexes, cybersécurité, infrastructure des TIC et gestion du spectre.</w:t>
            </w:r>
          </w:p>
          <w:p w14:paraId="32CCF89F" w14:textId="7B41912D" w:rsidR="00127B97" w:rsidRPr="00F3021F" w:rsidRDefault="00127B97" w:rsidP="009C3D18">
            <w:pPr>
              <w:keepLines/>
              <w:spacing w:after="120"/>
              <w:rPr>
                <w:szCs w:val="24"/>
                <w:lang w:val="fr-FR"/>
              </w:rPr>
            </w:pPr>
            <w:r w:rsidRPr="00F3021F">
              <w:rPr>
                <w:szCs w:val="24"/>
                <w:lang w:val="fr-FR" w:bidi="fr-FR"/>
              </w:rPr>
              <w:lastRenderedPageBreak/>
              <w:t>Le BDT a publié un rapport spécial intitulé "ICTs, LDCs and the SDGs – Achieving universal and affordable Internet in the LDCs" (TIC, PMA et ODD – Réussir à mettre en place un Internet universel et financièrement abordable dans les PMA). Elaboré conjointement avec le Bureau du Haut Représentant pour les pays les moins avancés, les pays en développement sans littoral et les petits Etats insulaires en développement (UN-OHRLLS), ce rapport est axé sur les évolutions dans le domaine des infrastructures TIC et de leur accessibilité financière (Objectif de développement durable 9, cible 9c). Il souligne que si le nombre de personnes ayant accès à l</w:t>
            </w:r>
            <w:r w:rsidR="000F7A90">
              <w:rPr>
                <w:szCs w:val="24"/>
                <w:lang w:val="fr-FR" w:bidi="fr-FR"/>
              </w:rPr>
              <w:t>'</w:t>
            </w:r>
            <w:r w:rsidRPr="00F3021F">
              <w:rPr>
                <w:szCs w:val="24"/>
                <w:lang w:val="fr-FR" w:bidi="fr-FR"/>
              </w:rPr>
              <w:t>Internet a considérablement augmenté, 800 millions de personnes n</w:t>
            </w:r>
            <w:r w:rsidR="000F7A90">
              <w:rPr>
                <w:szCs w:val="24"/>
                <w:lang w:val="fr-FR" w:bidi="fr-FR"/>
              </w:rPr>
              <w:t>'</w:t>
            </w:r>
            <w:r w:rsidRPr="00F3021F">
              <w:rPr>
                <w:szCs w:val="24"/>
                <w:lang w:val="fr-FR" w:bidi="fr-FR"/>
              </w:rPr>
              <w:t>ont toujours pas accès à une connexion dans les PMA et en 2020, moins d</w:t>
            </w:r>
            <w:r w:rsidR="000F7A90">
              <w:rPr>
                <w:szCs w:val="24"/>
                <w:lang w:val="fr-FR" w:bidi="fr-FR"/>
              </w:rPr>
              <w:t>'</w:t>
            </w:r>
            <w:r w:rsidRPr="00F3021F">
              <w:rPr>
                <w:szCs w:val="24"/>
                <w:lang w:val="fr-FR" w:bidi="fr-FR"/>
              </w:rPr>
              <w:t>une personne sur quatre utilisera l</w:t>
            </w:r>
            <w:r w:rsidR="000F7A90">
              <w:rPr>
                <w:szCs w:val="24"/>
                <w:lang w:val="fr-FR" w:bidi="fr-FR"/>
              </w:rPr>
              <w:t>'</w:t>
            </w:r>
            <w:r w:rsidRPr="00F3021F">
              <w:rPr>
                <w:szCs w:val="24"/>
                <w:lang w:val="fr-FR" w:bidi="fr-FR"/>
              </w:rPr>
              <w:t>Internet dans ces mêmes pays. De nombreuses personnes n</w:t>
            </w:r>
            <w:r w:rsidR="000F7A90">
              <w:rPr>
                <w:szCs w:val="24"/>
                <w:lang w:val="fr-FR" w:bidi="fr-FR"/>
              </w:rPr>
              <w:t>'</w:t>
            </w:r>
            <w:r w:rsidRPr="00F3021F">
              <w:rPr>
                <w:szCs w:val="24"/>
                <w:lang w:val="fr-FR" w:bidi="fr-FR"/>
              </w:rPr>
              <w:t>ont pas les compétences nécessaires et il incombe aux gouvernements de faire le lien entre les plans stratégiques pour le secteur des TIC et les politiques éducatives. Le rapport propose également un nouveau cadre à trois dimensions, qui permet de classer les PMA en trois catégories en fonction de leurs résultats d</w:t>
            </w:r>
            <w:r w:rsidR="000F7A90">
              <w:rPr>
                <w:szCs w:val="24"/>
                <w:lang w:val="fr-FR" w:bidi="fr-FR"/>
              </w:rPr>
              <w:t>'</w:t>
            </w:r>
            <w:r w:rsidRPr="00F3021F">
              <w:rPr>
                <w:szCs w:val="24"/>
                <w:lang w:val="fr-FR" w:bidi="fr-FR"/>
              </w:rPr>
              <w:t>ensemble dans les domaines de l</w:t>
            </w:r>
            <w:r w:rsidR="000F7A90">
              <w:rPr>
                <w:szCs w:val="24"/>
                <w:lang w:val="fr-FR" w:bidi="fr-FR"/>
              </w:rPr>
              <w:t>'</w:t>
            </w:r>
            <w:r w:rsidRPr="00F3021F">
              <w:rPr>
                <w:szCs w:val="24"/>
                <w:lang w:val="fr-FR" w:bidi="fr-FR"/>
              </w:rPr>
              <w:t>accès, de l</w:t>
            </w:r>
            <w:r w:rsidR="000F7A90">
              <w:rPr>
                <w:szCs w:val="24"/>
                <w:lang w:val="fr-FR" w:bidi="fr-FR"/>
              </w:rPr>
              <w:t>'</w:t>
            </w:r>
            <w:r w:rsidRPr="00F3021F">
              <w:rPr>
                <w:szCs w:val="24"/>
                <w:lang w:val="fr-FR" w:bidi="fr-FR"/>
              </w:rPr>
              <w:t>accessibilité financière et des compétences. Ce cadre aidera les pays à identifier les domaines nécessitant une intervention rapide et sur lesquels axer les politiques et les ressources financières et humaines limitées.</w:t>
            </w:r>
          </w:p>
          <w:p w14:paraId="7C6AC67F" w14:textId="4FF44D4F" w:rsidR="00127B97" w:rsidRPr="00F3021F" w:rsidRDefault="00127B97" w:rsidP="00C762CF">
            <w:pPr>
              <w:pStyle w:val="enumlev1"/>
              <w:tabs>
                <w:tab w:val="clear" w:pos="794"/>
                <w:tab w:val="left" w:pos="1163"/>
              </w:tabs>
              <w:spacing w:after="120"/>
              <w:ind w:left="29" w:hanging="29"/>
              <w:rPr>
                <w:lang w:val="fr-FR"/>
              </w:rPr>
            </w:pPr>
            <w:r w:rsidRPr="00F3021F">
              <w:rPr>
                <w:szCs w:val="24"/>
                <w:lang w:val="fr-FR" w:bidi="fr-FR"/>
              </w:rPr>
              <w:t>Le BDT a également élaboré des études de cas par pays pour les PDSL que sont la Bolivie et le Paraguay, lesquelles analysent les difficultés et les possibilités en matière de connectivité. Au cours de l</w:t>
            </w:r>
            <w:r w:rsidR="000F7A90">
              <w:rPr>
                <w:szCs w:val="24"/>
                <w:lang w:val="fr-FR" w:bidi="fr-FR"/>
              </w:rPr>
              <w:t>'</w:t>
            </w:r>
            <w:r w:rsidRPr="00F3021F">
              <w:rPr>
                <w:szCs w:val="24"/>
                <w:lang w:val="fr-FR" w:bidi="fr-FR"/>
              </w:rPr>
              <w:t>année, le BDT a amélioré encore l</w:t>
            </w:r>
            <w:r w:rsidR="000F7A90">
              <w:rPr>
                <w:szCs w:val="24"/>
                <w:lang w:val="fr-FR" w:bidi="fr-FR"/>
              </w:rPr>
              <w:t>'</w:t>
            </w:r>
            <w:r w:rsidRPr="00F3021F">
              <w:rPr>
                <w:szCs w:val="24"/>
                <w:lang w:val="fr-FR" w:bidi="fr-FR"/>
              </w:rPr>
              <w:t>accès à l</w:t>
            </w:r>
            <w:r w:rsidR="000F7A90">
              <w:rPr>
                <w:szCs w:val="24"/>
                <w:lang w:val="fr-FR" w:bidi="fr-FR"/>
              </w:rPr>
              <w:t>'</w:t>
            </w:r>
            <w:r w:rsidRPr="00F3021F">
              <w:rPr>
                <w:szCs w:val="24"/>
                <w:lang w:val="fr-FR" w:bidi="fr-FR"/>
              </w:rPr>
              <w:t>information et aux bonnes pratiques et a renforcé les capacités en organisant plusieurs ateliers spécia</w:t>
            </w:r>
            <w:r w:rsidR="000F7A90">
              <w:rPr>
                <w:szCs w:val="24"/>
                <w:lang w:val="fr-FR" w:bidi="fr-FR"/>
              </w:rPr>
              <w:t>lement axés sur les besoins des </w:t>
            </w:r>
            <w:r w:rsidRPr="00F3021F">
              <w:rPr>
                <w:szCs w:val="24"/>
                <w:lang w:val="fr-FR" w:bidi="fr-FR"/>
              </w:rPr>
              <w:t>PMA, des PDSL et des PEID, et en y participant.</w:t>
            </w:r>
          </w:p>
        </w:tc>
      </w:tr>
      <w:tr w:rsidR="00127B97" w:rsidRPr="00F3021F" w14:paraId="455783C9" w14:textId="77777777" w:rsidTr="00127B97">
        <w:tc>
          <w:tcPr>
            <w:tcW w:w="3256" w:type="dxa"/>
            <w:tcBorders>
              <w:top w:val="single" w:sz="4" w:space="0" w:color="auto"/>
              <w:bottom w:val="single" w:sz="4" w:space="0" w:color="auto"/>
              <w:right w:val="single" w:sz="4" w:space="0" w:color="auto"/>
            </w:tcBorders>
          </w:tcPr>
          <w:p w14:paraId="74BF5B9F" w14:textId="77777777" w:rsidR="00127B97" w:rsidRPr="00F3021F" w:rsidRDefault="00127B97" w:rsidP="00C762CF">
            <w:pPr>
              <w:spacing w:before="0"/>
              <w:rPr>
                <w:i/>
                <w:iCs/>
                <w:szCs w:val="24"/>
                <w:lang w:val="fr-FR"/>
              </w:rPr>
            </w:pPr>
            <w:r w:rsidRPr="00F3021F">
              <w:rPr>
                <w:i/>
                <w:szCs w:val="24"/>
                <w:lang w:val="fr-FR" w:bidi="fr-FR"/>
              </w:rPr>
              <w:lastRenderedPageBreak/>
              <w:t>CMDT</w:t>
            </w:r>
          </w:p>
        </w:tc>
        <w:tc>
          <w:tcPr>
            <w:tcW w:w="6373" w:type="dxa"/>
            <w:tcBorders>
              <w:top w:val="single" w:sz="4" w:space="0" w:color="auto"/>
              <w:left w:val="single" w:sz="4" w:space="0" w:color="auto"/>
              <w:bottom w:val="single" w:sz="4" w:space="0" w:color="auto"/>
            </w:tcBorders>
          </w:tcPr>
          <w:p w14:paraId="6C2AE9C8" w14:textId="77777777" w:rsidR="00127B97" w:rsidRPr="00F3021F" w:rsidRDefault="00127B97" w:rsidP="00C762CF">
            <w:pPr>
              <w:spacing w:before="0"/>
              <w:rPr>
                <w:szCs w:val="24"/>
                <w:lang w:val="fr-FR"/>
              </w:rPr>
            </w:pPr>
            <w:bookmarkStart w:id="97" w:name="lt_pId483"/>
            <w:r w:rsidRPr="00F3021F">
              <w:rPr>
                <w:szCs w:val="24"/>
                <w:lang w:val="fr-FR" w:bidi="fr-FR"/>
              </w:rPr>
              <w:t>Résolutions 16, 17, 18, 21, 25, 26, 30, 33, 36, 37, 50, 51, 52, 53, 57, 60</w:t>
            </w:r>
            <w:bookmarkEnd w:id="97"/>
          </w:p>
        </w:tc>
      </w:tr>
      <w:tr w:rsidR="00127B97" w:rsidRPr="00F3021F" w14:paraId="47873F19" w14:textId="77777777" w:rsidTr="00127B97">
        <w:trPr>
          <w:trHeight w:val="397"/>
        </w:trPr>
        <w:tc>
          <w:tcPr>
            <w:tcW w:w="3256" w:type="dxa"/>
            <w:tcBorders>
              <w:top w:val="single" w:sz="4" w:space="0" w:color="auto"/>
              <w:bottom w:val="single" w:sz="4" w:space="0" w:color="auto"/>
              <w:right w:val="single" w:sz="4" w:space="0" w:color="auto"/>
            </w:tcBorders>
          </w:tcPr>
          <w:p w14:paraId="49677FAC" w14:textId="77777777" w:rsidR="00127B97" w:rsidRPr="00F3021F" w:rsidRDefault="00127B97"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2299D888" w14:textId="77777777" w:rsidR="00127B97" w:rsidRPr="00F3021F" w:rsidRDefault="00127B97" w:rsidP="00C762CF">
            <w:pPr>
              <w:spacing w:before="0"/>
              <w:rPr>
                <w:szCs w:val="24"/>
                <w:lang w:val="fr-FR"/>
              </w:rPr>
            </w:pPr>
            <w:bookmarkStart w:id="98" w:name="lt_pId485"/>
            <w:r w:rsidRPr="00F3021F">
              <w:rPr>
                <w:szCs w:val="24"/>
                <w:lang w:val="fr-FR" w:bidi="fr-FR"/>
              </w:rPr>
              <w:t>Décisions 5, 13</w:t>
            </w:r>
            <w:bookmarkEnd w:id="98"/>
          </w:p>
          <w:p w14:paraId="0314943B" w14:textId="77777777" w:rsidR="00127B97" w:rsidRPr="00F3021F" w:rsidRDefault="00127B97" w:rsidP="00C762CF">
            <w:pPr>
              <w:spacing w:before="0"/>
              <w:rPr>
                <w:szCs w:val="24"/>
                <w:lang w:val="fr-FR"/>
              </w:rPr>
            </w:pPr>
            <w:bookmarkStart w:id="99" w:name="lt_pId486"/>
            <w:r w:rsidRPr="00F3021F">
              <w:rPr>
                <w:szCs w:val="24"/>
                <w:lang w:val="fr-FR" w:bidi="fr-FR"/>
              </w:rPr>
              <w:t>Résolutions 25, 30, 32, 33, 34, 36, 70, 71, 123, 124, 125, 126, 127, 135, 159, 160, 161, 193, 202</w:t>
            </w:r>
            <w:bookmarkEnd w:id="99"/>
          </w:p>
        </w:tc>
      </w:tr>
      <w:tr w:rsidR="00127B97" w:rsidRPr="00F3021F" w14:paraId="330F2BAA" w14:textId="77777777" w:rsidTr="00127B97">
        <w:trPr>
          <w:trHeight w:val="397"/>
        </w:trPr>
        <w:tc>
          <w:tcPr>
            <w:tcW w:w="3256" w:type="dxa"/>
            <w:tcBorders>
              <w:top w:val="single" w:sz="4" w:space="0" w:color="auto"/>
              <w:bottom w:val="single" w:sz="4" w:space="0" w:color="auto"/>
              <w:right w:val="single" w:sz="4" w:space="0" w:color="auto"/>
            </w:tcBorders>
          </w:tcPr>
          <w:p w14:paraId="2A8C8D9C" w14:textId="77777777" w:rsidR="00127B97" w:rsidRPr="00F3021F" w:rsidRDefault="00127B97" w:rsidP="00C762CF">
            <w:pPr>
              <w:spacing w:before="0"/>
              <w:rPr>
                <w:i/>
                <w:iCs/>
                <w:lang w:val="fr-FR"/>
              </w:rPr>
            </w:pPr>
            <w:r w:rsidRPr="00F3021F">
              <w:rPr>
                <w:i/>
                <w:lang w:val="fr-FR" w:bidi="fr-FR"/>
              </w:rPr>
              <w:t>CMR</w:t>
            </w:r>
          </w:p>
        </w:tc>
        <w:tc>
          <w:tcPr>
            <w:tcW w:w="6373" w:type="dxa"/>
            <w:tcBorders>
              <w:top w:val="single" w:sz="4" w:space="0" w:color="auto"/>
              <w:left w:val="single" w:sz="4" w:space="0" w:color="auto"/>
              <w:bottom w:val="single" w:sz="4" w:space="0" w:color="auto"/>
            </w:tcBorders>
          </w:tcPr>
          <w:p w14:paraId="6D2156E3" w14:textId="77777777" w:rsidR="00127B97" w:rsidRPr="00F3021F" w:rsidRDefault="00127B97" w:rsidP="00C762CF">
            <w:pPr>
              <w:spacing w:before="0"/>
              <w:rPr>
                <w:szCs w:val="24"/>
                <w:lang w:val="fr-FR"/>
              </w:rPr>
            </w:pPr>
            <w:bookmarkStart w:id="100" w:name="lt_pId488"/>
            <w:r w:rsidRPr="00F3021F">
              <w:rPr>
                <w:szCs w:val="24"/>
                <w:lang w:val="fr-FR" w:bidi="fr-FR"/>
              </w:rPr>
              <w:t>Résolution 12</w:t>
            </w:r>
            <w:bookmarkEnd w:id="100"/>
          </w:p>
        </w:tc>
      </w:tr>
      <w:tr w:rsidR="00127B97" w:rsidRPr="00F3021F" w14:paraId="43FBF2B1" w14:textId="77777777" w:rsidTr="00127B97">
        <w:trPr>
          <w:trHeight w:val="397"/>
        </w:trPr>
        <w:tc>
          <w:tcPr>
            <w:tcW w:w="3256" w:type="dxa"/>
            <w:tcBorders>
              <w:top w:val="single" w:sz="4" w:space="0" w:color="auto"/>
              <w:bottom w:val="single" w:sz="4" w:space="0" w:color="auto"/>
              <w:right w:val="single" w:sz="4" w:space="0" w:color="auto"/>
            </w:tcBorders>
          </w:tcPr>
          <w:p w14:paraId="680AF37E" w14:textId="77777777" w:rsidR="00127B97" w:rsidRPr="00F3021F" w:rsidRDefault="00127B97" w:rsidP="00C762CF">
            <w:pPr>
              <w:spacing w:before="0"/>
              <w:rPr>
                <w:i/>
                <w:iCs/>
                <w:lang w:val="fr-FR"/>
              </w:rPr>
            </w:pPr>
            <w:r w:rsidRPr="00F3021F">
              <w:rPr>
                <w:i/>
                <w:lang w:val="fr-FR" w:bidi="fr-FR"/>
              </w:rPr>
              <w:t>CMTI</w:t>
            </w:r>
          </w:p>
        </w:tc>
        <w:tc>
          <w:tcPr>
            <w:tcW w:w="6373" w:type="dxa"/>
            <w:tcBorders>
              <w:top w:val="single" w:sz="4" w:space="0" w:color="auto"/>
              <w:left w:val="single" w:sz="4" w:space="0" w:color="auto"/>
              <w:bottom w:val="single" w:sz="4" w:space="0" w:color="auto"/>
            </w:tcBorders>
          </w:tcPr>
          <w:p w14:paraId="072C27B5" w14:textId="77777777" w:rsidR="00127B97" w:rsidRPr="00F3021F" w:rsidRDefault="00127B97" w:rsidP="00C762CF">
            <w:pPr>
              <w:spacing w:before="0"/>
              <w:rPr>
                <w:szCs w:val="24"/>
                <w:lang w:val="fr-FR"/>
              </w:rPr>
            </w:pPr>
            <w:bookmarkStart w:id="101" w:name="lt_pId490"/>
            <w:r w:rsidRPr="00F3021F">
              <w:rPr>
                <w:szCs w:val="24"/>
                <w:lang w:val="fr-FR" w:bidi="fr-FR"/>
              </w:rPr>
              <w:t>Résolution 1</w:t>
            </w:r>
            <w:bookmarkEnd w:id="101"/>
          </w:p>
        </w:tc>
      </w:tr>
      <w:tr w:rsidR="00127B97" w:rsidRPr="00F3021F" w14:paraId="5B700B86" w14:textId="77777777" w:rsidTr="00127B97">
        <w:trPr>
          <w:trHeight w:val="397"/>
        </w:trPr>
        <w:tc>
          <w:tcPr>
            <w:tcW w:w="3256" w:type="dxa"/>
            <w:tcBorders>
              <w:top w:val="single" w:sz="4" w:space="0" w:color="auto"/>
              <w:bottom w:val="single" w:sz="4" w:space="0" w:color="auto"/>
              <w:right w:val="single" w:sz="4" w:space="0" w:color="auto"/>
            </w:tcBorders>
          </w:tcPr>
          <w:p w14:paraId="339A4306" w14:textId="77777777" w:rsidR="00127B97" w:rsidRPr="00F3021F" w:rsidRDefault="00127B97"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400A0509" w14:textId="6EEC0CA1" w:rsidR="00127B97" w:rsidRPr="00F3021F" w:rsidRDefault="00127B97" w:rsidP="00C762CF">
            <w:pPr>
              <w:spacing w:before="0"/>
              <w:rPr>
                <w:szCs w:val="24"/>
                <w:lang w:val="fr-FR"/>
              </w:rPr>
            </w:pPr>
            <w:bookmarkStart w:id="102" w:name="lt_pId492"/>
            <w:r w:rsidRPr="00F3021F">
              <w:rPr>
                <w:color w:val="000000"/>
                <w:lang w:val="fr-FR" w:bidi="fr-FR"/>
              </w:rPr>
              <w:t>Grandes orientations C4 et C7 du SMSI figurant dans le Plan d</w:t>
            </w:r>
            <w:r w:rsidR="000F7A90">
              <w:rPr>
                <w:color w:val="000000"/>
                <w:lang w:val="fr-FR" w:bidi="fr-FR"/>
              </w:rPr>
              <w:t>'</w:t>
            </w:r>
            <w:r w:rsidRPr="00F3021F">
              <w:rPr>
                <w:color w:val="000000"/>
                <w:lang w:val="fr-FR" w:bidi="fr-FR"/>
              </w:rPr>
              <w:t>action de Genève et les paragraphes 9, 23, 26, 49, 59, 87 et 95 de l</w:t>
            </w:r>
            <w:r w:rsidR="000F7A90">
              <w:rPr>
                <w:color w:val="000000"/>
                <w:lang w:val="fr-FR" w:bidi="fr-FR"/>
              </w:rPr>
              <w:t>'</w:t>
            </w:r>
            <w:r w:rsidRPr="00F3021F">
              <w:rPr>
                <w:color w:val="000000"/>
                <w:lang w:val="fr-FR" w:bidi="fr-FR"/>
              </w:rPr>
              <w:t>Agenda de Tunis pour la société de l</w:t>
            </w:r>
            <w:r w:rsidR="000F7A90">
              <w:rPr>
                <w:color w:val="000000"/>
                <w:lang w:val="fr-FR" w:bidi="fr-FR"/>
              </w:rPr>
              <w:t>'</w:t>
            </w:r>
            <w:r w:rsidRPr="00F3021F">
              <w:rPr>
                <w:color w:val="000000"/>
                <w:lang w:val="fr-FR" w:bidi="fr-FR"/>
              </w:rPr>
              <w:t>information</w:t>
            </w:r>
            <w:bookmarkEnd w:id="102"/>
          </w:p>
        </w:tc>
      </w:tr>
      <w:tr w:rsidR="00127B97" w:rsidRPr="00F3021F" w14:paraId="1C2A3439" w14:textId="77777777" w:rsidTr="00127B97">
        <w:tc>
          <w:tcPr>
            <w:tcW w:w="3256" w:type="dxa"/>
            <w:tcBorders>
              <w:top w:val="single" w:sz="4" w:space="0" w:color="auto"/>
              <w:bottom w:val="single" w:sz="4" w:space="0" w:color="auto"/>
              <w:right w:val="single" w:sz="4" w:space="0" w:color="auto"/>
            </w:tcBorders>
          </w:tcPr>
          <w:p w14:paraId="74770B0A" w14:textId="77777777" w:rsidR="00127B97" w:rsidRPr="00F3021F" w:rsidRDefault="00127B97"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15EF6609" w14:textId="77777777" w:rsidR="00127B97" w:rsidRPr="00F3021F" w:rsidRDefault="00127B97" w:rsidP="00C762CF">
            <w:pPr>
              <w:spacing w:before="0"/>
              <w:rPr>
                <w:szCs w:val="24"/>
                <w:lang w:val="fr-FR"/>
              </w:rPr>
            </w:pPr>
            <w:bookmarkStart w:id="103" w:name="lt_pId494"/>
            <w:r w:rsidRPr="00F3021F">
              <w:rPr>
                <w:szCs w:val="24"/>
                <w:lang w:val="fr-FR" w:bidi="fr-FR"/>
              </w:rPr>
              <w:t>Objectifs de développement durable:</w:t>
            </w:r>
            <w:bookmarkEnd w:id="103"/>
            <w:r w:rsidRPr="00F3021F">
              <w:rPr>
                <w:szCs w:val="24"/>
                <w:lang w:val="fr-FR" w:bidi="fr-FR"/>
              </w:rPr>
              <w:t xml:space="preserve"> </w:t>
            </w:r>
            <w:bookmarkStart w:id="104" w:name="lt_pId495"/>
            <w:r w:rsidRPr="00F3021F">
              <w:rPr>
                <w:szCs w:val="24"/>
                <w:lang w:val="fr-FR" w:bidi="fr-FR"/>
              </w:rPr>
              <w:t>1 (cible 1.4), 3, 4 (cibles 4.3, 4.5, 4.6, 4.a, 4.b), 5 (cible 5.b), 6, 8 (cible 8.5), 9 (cibles (9.1, 9.2, 9.5, 9.a, 9.c), 10 (cibles 10.2, 10.b), 11 (cibles 11.1, 11.2, 11.7), 12 (cible 12.b), 13 (cible 13.b), 14, 15, 16, 17 (cibles 17.7, 17.8, 17.9, 17.18)</w:t>
            </w:r>
            <w:bookmarkEnd w:id="104"/>
          </w:p>
        </w:tc>
      </w:tr>
    </w:tbl>
    <w:p w14:paraId="1A223717" w14:textId="51288215" w:rsidR="00F42DD6" w:rsidRPr="009C3D18" w:rsidRDefault="00F42DD6" w:rsidP="00C762CF">
      <w:pPr>
        <w:pStyle w:val="Heading1"/>
        <w:rPr>
          <w:lang w:val="fr-FR"/>
        </w:rPr>
      </w:pPr>
      <w:r w:rsidRPr="00F3021F">
        <w:rPr>
          <w:lang w:val="fr-FR" w:bidi="fr-FR"/>
        </w:rPr>
        <w:lastRenderedPageBreak/>
        <w:t>5</w:t>
      </w:r>
      <w:r w:rsidRPr="00F3021F">
        <w:rPr>
          <w:lang w:val="fr-FR" w:bidi="fr-FR"/>
        </w:rPr>
        <w:tab/>
      </w:r>
      <w:r w:rsidRPr="009C3D18">
        <w:rPr>
          <w:lang w:val="fr-FR" w:bidi="fr-FR"/>
        </w:rPr>
        <w:t>Objectif 5: "Renforcer les mesures relatives à la protection de l</w:t>
      </w:r>
      <w:r w:rsidR="000F7A90">
        <w:rPr>
          <w:lang w:val="fr-FR" w:bidi="fr-FR"/>
        </w:rPr>
        <w:t>'</w:t>
      </w:r>
      <w:r w:rsidRPr="009C3D18">
        <w:rPr>
          <w:lang w:val="fr-FR" w:bidi="fr-FR"/>
        </w:rPr>
        <w:t>environnement, à l</w:t>
      </w:r>
      <w:r w:rsidR="000F7A90">
        <w:rPr>
          <w:lang w:val="fr-FR" w:bidi="fr-FR"/>
        </w:rPr>
        <w:t>'</w:t>
      </w:r>
      <w:r w:rsidRPr="009C3D18">
        <w:rPr>
          <w:lang w:val="fr-FR" w:bidi="fr-FR"/>
        </w:rPr>
        <w:t>adaptation aux effets des changements climatiques et à l</w:t>
      </w:r>
      <w:r w:rsidR="000F7A90">
        <w:rPr>
          <w:lang w:val="fr-FR" w:bidi="fr-FR"/>
        </w:rPr>
        <w:t>'</w:t>
      </w:r>
      <w:r w:rsidRPr="009C3D18">
        <w:rPr>
          <w:lang w:val="fr-FR" w:bidi="fr-FR"/>
        </w:rPr>
        <w:t>atténuation de ces effets ainsi que les efforts déployés en matière de gestion des catastrophes au moyen des télécommunications/TIC"</w:t>
      </w:r>
    </w:p>
    <w:p w14:paraId="2DA832AA" w14:textId="2F845F26" w:rsidR="00F42DD6" w:rsidRPr="00F3021F" w:rsidRDefault="00F42DD6" w:rsidP="00C762CF">
      <w:pPr>
        <w:pStyle w:val="Heading2"/>
        <w:spacing w:after="120"/>
        <w:rPr>
          <w:lang w:val="fr-FR"/>
        </w:rPr>
      </w:pPr>
      <w:r w:rsidRPr="00F3021F">
        <w:rPr>
          <w:lang w:val="fr-FR" w:bidi="fr-FR"/>
        </w:rPr>
        <w:t>5.1</w:t>
      </w:r>
      <w:r w:rsidRPr="00F3021F">
        <w:rPr>
          <w:lang w:val="fr-FR" w:bidi="fr-FR"/>
        </w:rPr>
        <w:tab/>
        <w:t>Les TIC et l</w:t>
      </w:r>
      <w:r w:rsidR="000F7A90">
        <w:rPr>
          <w:lang w:val="fr-FR" w:bidi="fr-FR"/>
        </w:rPr>
        <w:t>'</w:t>
      </w:r>
      <w:r w:rsidRPr="00F3021F">
        <w:rPr>
          <w:lang w:val="fr-FR" w:bidi="fr-FR"/>
        </w:rPr>
        <w:t>adaptation aux effets des changements climatiques et l</w:t>
      </w:r>
      <w:r w:rsidR="000F7A90">
        <w:rPr>
          <w:lang w:val="fr-FR" w:bidi="fr-FR"/>
        </w:rPr>
        <w:t>'</w:t>
      </w:r>
      <w:r w:rsidRPr="00F3021F">
        <w:rPr>
          <w:lang w:val="fr-FR" w:bidi="fr-FR"/>
        </w:rPr>
        <w:t>atténuation de ces effets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42DD6" w:rsidRPr="00F3021F" w14:paraId="506BC596" w14:textId="77777777" w:rsidTr="000F7A90">
        <w:tc>
          <w:tcPr>
            <w:tcW w:w="9629" w:type="dxa"/>
            <w:tcBorders>
              <w:bottom w:val="single" w:sz="4" w:space="0" w:color="auto"/>
            </w:tcBorders>
          </w:tcPr>
          <w:p w14:paraId="28AC7E46" w14:textId="6EC009FB" w:rsidR="00F42DD6" w:rsidRPr="00F3021F" w:rsidRDefault="00F42DD6" w:rsidP="00C762CF">
            <w:pPr>
              <w:spacing w:after="120"/>
              <w:rPr>
                <w:rFonts w:eastAsiaTheme="majorEastAsia"/>
                <w:szCs w:val="24"/>
                <w:lang w:val="fr-FR"/>
              </w:rPr>
            </w:pPr>
            <w:r w:rsidRPr="00F3021F">
              <w:rPr>
                <w:rFonts w:eastAsiaTheme="majorEastAsia"/>
                <w:szCs w:val="24"/>
                <w:lang w:val="fr-FR" w:bidi="fr-FR"/>
              </w:rPr>
              <w:t>Le BDT mène des activités de renforcement des capacités dans les domaines des changements climatiques et des déchets d</w:t>
            </w:r>
            <w:r w:rsidR="000F7A90">
              <w:rPr>
                <w:rFonts w:eastAsiaTheme="majorEastAsia"/>
                <w:szCs w:val="24"/>
                <w:lang w:val="fr-FR" w:bidi="fr-FR"/>
              </w:rPr>
              <w:t>'</w:t>
            </w:r>
            <w:r w:rsidRPr="00F3021F">
              <w:rPr>
                <w:rFonts w:eastAsiaTheme="majorEastAsia"/>
                <w:szCs w:val="24"/>
                <w:lang w:val="fr-FR" w:bidi="fr-FR"/>
              </w:rPr>
              <w:t>équipements électriques et électroniques (DEEE) en organisant des ateliers et des formations axés notamment sur: la problématique des changements climatiques, les statistiques relatives aux DEEE, les champs électromagnétiques, la gestion des catastrophes, et le rôle des TIC dans l</w:t>
            </w:r>
            <w:r w:rsidR="000F7A90">
              <w:rPr>
                <w:rFonts w:eastAsiaTheme="majorEastAsia"/>
                <w:szCs w:val="24"/>
                <w:lang w:val="fr-FR" w:bidi="fr-FR"/>
              </w:rPr>
              <w:t>'</w:t>
            </w:r>
            <w:r w:rsidRPr="00F3021F">
              <w:rPr>
                <w:rFonts w:eastAsiaTheme="majorEastAsia"/>
                <w:szCs w:val="24"/>
                <w:lang w:val="fr-FR" w:bidi="fr-FR"/>
              </w:rPr>
              <w:t xml:space="preserve">atténuation des effets des changements climatiques. </w:t>
            </w:r>
          </w:p>
          <w:p w14:paraId="7C750716" w14:textId="0446CDA4" w:rsidR="00F42DD6" w:rsidRPr="00F3021F" w:rsidRDefault="00F42DD6" w:rsidP="00C762CF">
            <w:pPr>
              <w:spacing w:after="120"/>
              <w:rPr>
                <w:rFonts w:eastAsiaTheme="majorEastAsia"/>
                <w:szCs w:val="24"/>
                <w:lang w:val="fr-FR"/>
              </w:rPr>
            </w:pPr>
            <w:r w:rsidRPr="00F3021F">
              <w:rPr>
                <w:rFonts w:eastAsiaTheme="majorEastAsia"/>
                <w:szCs w:val="24"/>
                <w:lang w:val="fr-FR" w:bidi="fr-FR"/>
              </w:rPr>
              <w:t>L</w:t>
            </w:r>
            <w:r w:rsidR="000F7A90">
              <w:rPr>
                <w:rFonts w:eastAsiaTheme="majorEastAsia"/>
                <w:szCs w:val="24"/>
                <w:lang w:val="fr-FR" w:bidi="fr-FR"/>
              </w:rPr>
              <w:t>'</w:t>
            </w:r>
            <w:r w:rsidRPr="00F3021F">
              <w:rPr>
                <w:rFonts w:eastAsiaTheme="majorEastAsia"/>
                <w:szCs w:val="24"/>
                <w:lang w:val="fr-FR" w:bidi="fr-FR"/>
              </w:rPr>
              <w:t>UIT continue de renforcer sa collaboration avec le Partenariat mondial sur les statistiques relatives aux déchets d</w:t>
            </w:r>
            <w:r w:rsidR="000F7A90">
              <w:rPr>
                <w:rFonts w:eastAsiaTheme="majorEastAsia"/>
                <w:szCs w:val="24"/>
                <w:lang w:val="fr-FR" w:bidi="fr-FR"/>
              </w:rPr>
              <w:t>'</w:t>
            </w:r>
            <w:r w:rsidRPr="00F3021F">
              <w:rPr>
                <w:rFonts w:eastAsiaTheme="majorEastAsia"/>
                <w:szCs w:val="24"/>
                <w:lang w:val="fr-FR" w:bidi="fr-FR"/>
              </w:rPr>
              <w:t>équipements électriques et électroniques, auquel participent également l</w:t>
            </w:r>
            <w:r w:rsidR="000F7A90">
              <w:rPr>
                <w:rFonts w:eastAsiaTheme="majorEastAsia"/>
                <w:szCs w:val="24"/>
                <w:lang w:val="fr-FR" w:bidi="fr-FR"/>
              </w:rPr>
              <w:t>'</w:t>
            </w:r>
            <w:r w:rsidRPr="00F3021F">
              <w:rPr>
                <w:rFonts w:eastAsiaTheme="majorEastAsia"/>
                <w:szCs w:val="24"/>
                <w:lang w:val="fr-FR" w:bidi="fr-FR"/>
              </w:rPr>
              <w:t>Université des Nations Unies (UNU) et l</w:t>
            </w:r>
            <w:r w:rsidR="000F7A90">
              <w:rPr>
                <w:rFonts w:eastAsiaTheme="majorEastAsia"/>
                <w:szCs w:val="24"/>
                <w:lang w:val="fr-FR" w:bidi="fr-FR"/>
              </w:rPr>
              <w:t>'</w:t>
            </w:r>
            <w:r w:rsidRPr="00F3021F">
              <w:rPr>
                <w:rFonts w:eastAsiaTheme="majorEastAsia"/>
                <w:szCs w:val="24"/>
                <w:lang w:val="fr-FR" w:bidi="fr-FR"/>
              </w:rPr>
              <w:t>Association internationale des déchets solides (ISWA). Le Partenariat a publié le rapport "Global E-waste Monitor" (Suivi des déchets d</w:t>
            </w:r>
            <w:r w:rsidR="000F7A90">
              <w:rPr>
                <w:rFonts w:eastAsiaTheme="majorEastAsia"/>
                <w:szCs w:val="24"/>
                <w:lang w:val="fr-FR" w:bidi="fr-FR"/>
              </w:rPr>
              <w:t>'</w:t>
            </w:r>
            <w:r w:rsidRPr="00F3021F">
              <w:rPr>
                <w:rFonts w:eastAsiaTheme="majorEastAsia"/>
                <w:szCs w:val="24"/>
                <w:lang w:val="fr-FR" w:bidi="fr-FR"/>
              </w:rPr>
              <w:t>équipements électriques et électroniques à l</w:t>
            </w:r>
            <w:r w:rsidR="000F7A90">
              <w:rPr>
                <w:rFonts w:eastAsiaTheme="majorEastAsia"/>
                <w:szCs w:val="24"/>
                <w:lang w:val="fr-FR" w:bidi="fr-FR"/>
              </w:rPr>
              <w:t>'</w:t>
            </w:r>
            <w:r w:rsidRPr="00F3021F">
              <w:rPr>
                <w:rFonts w:eastAsiaTheme="majorEastAsia"/>
                <w:szCs w:val="24"/>
                <w:lang w:val="fr-FR" w:bidi="fr-FR"/>
              </w:rPr>
              <w:t>échelle mondiale), qui quantifie les défis que représentent les DEEE et présente des chiffres nationaux et régionaux sur ces déchets. Selon le rapport, près de 45 millions de tonnes de DEEE sont générées chaque année. Les données issues du rapport montrent également que si un nombre croissant de pays et de personnes sont couverts par une législation sur ces déchets, seuls 20% des DEEE sont recensés et recyclés en bonne et due forme.</w:t>
            </w:r>
          </w:p>
          <w:p w14:paraId="309DD805" w14:textId="1CD73A51" w:rsidR="00F42DD6" w:rsidRPr="00F3021F" w:rsidRDefault="00F42DD6" w:rsidP="00C762CF">
            <w:pPr>
              <w:spacing w:after="120"/>
              <w:rPr>
                <w:rFonts w:eastAsiaTheme="majorEastAsia"/>
                <w:szCs w:val="24"/>
                <w:lang w:val="fr-FR"/>
              </w:rPr>
            </w:pPr>
            <w:r w:rsidRPr="00F3021F">
              <w:rPr>
                <w:rFonts w:eastAsiaTheme="majorEastAsia"/>
                <w:szCs w:val="24"/>
                <w:lang w:val="fr-FR" w:bidi="fr-FR"/>
              </w:rPr>
              <w:t>Le BDT est un membre actif du Groupe de gestion de l</w:t>
            </w:r>
            <w:r w:rsidR="000F7A90">
              <w:rPr>
                <w:rFonts w:eastAsiaTheme="majorEastAsia"/>
                <w:szCs w:val="24"/>
                <w:lang w:val="fr-FR" w:bidi="fr-FR"/>
              </w:rPr>
              <w:t>'</w:t>
            </w:r>
            <w:r w:rsidRPr="00F3021F">
              <w:rPr>
                <w:rFonts w:eastAsiaTheme="majorEastAsia"/>
                <w:szCs w:val="24"/>
                <w:lang w:val="fr-FR" w:bidi="fr-FR"/>
              </w:rPr>
              <w:t>environnement (GGE) et un acteur déterminant de la Coalition contre les déchets d</w:t>
            </w:r>
            <w:r w:rsidR="000F7A90">
              <w:rPr>
                <w:rFonts w:eastAsiaTheme="majorEastAsia"/>
                <w:szCs w:val="24"/>
                <w:lang w:val="fr-FR" w:bidi="fr-FR"/>
              </w:rPr>
              <w:t>'</w:t>
            </w:r>
            <w:r w:rsidRPr="00F3021F">
              <w:rPr>
                <w:rFonts w:eastAsiaTheme="majorEastAsia"/>
                <w:szCs w:val="24"/>
                <w:lang w:val="fr-FR" w:bidi="fr-FR"/>
              </w:rPr>
              <w:t>équipements électriques et électroniques, créée lors d</w:t>
            </w:r>
            <w:r w:rsidR="000F7A90">
              <w:rPr>
                <w:rFonts w:eastAsiaTheme="majorEastAsia"/>
                <w:szCs w:val="24"/>
                <w:lang w:val="fr-FR" w:bidi="fr-FR"/>
              </w:rPr>
              <w:t>'</w:t>
            </w:r>
            <w:r w:rsidRPr="00F3021F">
              <w:rPr>
                <w:rFonts w:eastAsiaTheme="majorEastAsia"/>
                <w:szCs w:val="24"/>
                <w:lang w:val="fr-FR" w:bidi="fr-FR"/>
              </w:rPr>
              <w:t>une session de dialogue de haut niveau consacrée à la création de cette Coalition, dans le cadre du Forum 2018 du SMSI. Rassemblant sept chefs de Secrétariat d</w:t>
            </w:r>
            <w:r w:rsidR="000F7A90">
              <w:rPr>
                <w:rFonts w:eastAsiaTheme="majorEastAsia"/>
                <w:szCs w:val="24"/>
                <w:lang w:val="fr-FR" w:bidi="fr-FR"/>
              </w:rPr>
              <w:t>'</w:t>
            </w:r>
            <w:r w:rsidRPr="00F3021F">
              <w:rPr>
                <w:rFonts w:eastAsiaTheme="majorEastAsia"/>
                <w:szCs w:val="24"/>
                <w:lang w:val="fr-FR" w:bidi="fr-FR"/>
              </w:rPr>
              <w:t>organismes des Nations Unies qui jouent un rôle dans le domaine des DEEE, la Coalition développe une nouvelle vision davantage axée sur l</w:t>
            </w:r>
            <w:r w:rsidR="000F7A90">
              <w:rPr>
                <w:rFonts w:eastAsiaTheme="majorEastAsia"/>
                <w:szCs w:val="24"/>
                <w:lang w:val="fr-FR" w:bidi="fr-FR"/>
              </w:rPr>
              <w:t>'</w:t>
            </w:r>
            <w:r w:rsidRPr="00F3021F">
              <w:rPr>
                <w:rFonts w:eastAsiaTheme="majorEastAsia"/>
                <w:szCs w:val="24"/>
                <w:lang w:val="fr-FR" w:bidi="fr-FR"/>
              </w:rPr>
              <w:t>économie circulaire, en mettant l</w:t>
            </w:r>
            <w:r w:rsidR="000F7A90">
              <w:rPr>
                <w:rFonts w:eastAsiaTheme="majorEastAsia"/>
                <w:szCs w:val="24"/>
                <w:lang w:val="fr-FR" w:bidi="fr-FR"/>
              </w:rPr>
              <w:t>'</w:t>
            </w:r>
            <w:r w:rsidRPr="00F3021F">
              <w:rPr>
                <w:rFonts w:eastAsiaTheme="majorEastAsia"/>
                <w:szCs w:val="24"/>
                <w:lang w:val="fr-FR" w:bidi="fr-FR"/>
              </w:rPr>
              <w:t>accent sur les déchets d</w:t>
            </w:r>
            <w:r w:rsidR="000F7A90">
              <w:rPr>
                <w:rFonts w:eastAsiaTheme="majorEastAsia"/>
                <w:szCs w:val="24"/>
                <w:lang w:val="fr-FR" w:bidi="fr-FR"/>
              </w:rPr>
              <w:t>'</w:t>
            </w:r>
            <w:r w:rsidRPr="00F3021F">
              <w:rPr>
                <w:rFonts w:eastAsiaTheme="majorEastAsia"/>
                <w:szCs w:val="24"/>
                <w:lang w:val="fr-FR" w:bidi="fr-FR"/>
              </w:rPr>
              <w:t>équipements électriques et électroniques. Cette initiative sensibilise davantage à la nécessité de traiter le problème des DEEE et fournit des orientations de politique aux secteurs public et privé. Elle bénéficie de l</w:t>
            </w:r>
            <w:r w:rsidR="000F7A90">
              <w:rPr>
                <w:rFonts w:eastAsiaTheme="majorEastAsia"/>
                <w:szCs w:val="24"/>
                <w:lang w:val="fr-FR" w:bidi="fr-FR"/>
              </w:rPr>
              <w:t>'</w:t>
            </w:r>
            <w:r w:rsidRPr="00F3021F">
              <w:rPr>
                <w:rFonts w:eastAsiaTheme="majorEastAsia"/>
                <w:szCs w:val="24"/>
                <w:lang w:val="fr-FR" w:bidi="fr-FR"/>
              </w:rPr>
              <w:t>appui du Conseil mondial des entreprises pour le développement durable (WBCSD) et du Forum économique mondial.</w:t>
            </w:r>
          </w:p>
          <w:p w14:paraId="4EFCB9AB" w14:textId="3C9EF31D" w:rsidR="006E2C3C" w:rsidRPr="00F3021F" w:rsidRDefault="006E2C3C" w:rsidP="00A80AFB">
            <w:pPr>
              <w:spacing w:after="120"/>
              <w:rPr>
                <w:lang w:val="fr-FR"/>
              </w:rPr>
            </w:pPr>
            <w:r w:rsidRPr="00F3021F">
              <w:rPr>
                <w:lang w:val="fr-FR" w:bidi="fr-FR"/>
              </w:rPr>
              <w:t>Par ailleurs, le BDT a publié le Manuel relatif à l</w:t>
            </w:r>
            <w:r w:rsidR="000F7A90">
              <w:rPr>
                <w:lang w:val="fr-FR" w:bidi="fr-FR"/>
              </w:rPr>
              <w:t>'</w:t>
            </w:r>
            <w:r w:rsidRPr="00F3021F">
              <w:rPr>
                <w:lang w:val="fr-FR" w:bidi="fr-FR"/>
              </w:rPr>
              <w:t>élaboration d</w:t>
            </w:r>
            <w:r w:rsidR="000F7A90">
              <w:rPr>
                <w:lang w:val="fr-FR" w:bidi="fr-FR"/>
              </w:rPr>
              <w:t>'</w:t>
            </w:r>
            <w:r w:rsidRPr="00F3021F">
              <w:rPr>
                <w:lang w:val="fr-FR" w:bidi="fr-FR"/>
              </w:rPr>
              <w:t>un cadre stratégique sur les déchets résultant de l</w:t>
            </w:r>
            <w:r w:rsidR="000F7A90">
              <w:rPr>
                <w:lang w:val="fr-FR" w:bidi="fr-FR"/>
              </w:rPr>
              <w:t>'</w:t>
            </w:r>
            <w:r w:rsidRPr="00F3021F">
              <w:rPr>
                <w:lang w:val="fr-FR" w:bidi="fr-FR"/>
              </w:rPr>
              <w:t>utilisation des TIC/DEEE, afin d</w:t>
            </w:r>
            <w:r w:rsidR="000F7A90">
              <w:rPr>
                <w:lang w:val="fr-FR" w:bidi="fr-FR"/>
              </w:rPr>
              <w:t>'</w:t>
            </w:r>
            <w:r w:rsidRPr="00F3021F">
              <w:rPr>
                <w:lang w:val="fr-FR" w:bidi="fr-FR"/>
              </w:rPr>
              <w:t>aider à renforcer les capacités et de guider les pays dans l</w:t>
            </w:r>
            <w:r w:rsidR="000F7A90">
              <w:rPr>
                <w:lang w:val="fr-FR" w:bidi="fr-FR"/>
              </w:rPr>
              <w:t>'</w:t>
            </w:r>
            <w:r w:rsidRPr="00F3021F">
              <w:rPr>
                <w:lang w:val="fr-FR" w:bidi="fr-FR"/>
              </w:rPr>
              <w:t>élaboration de politiques relatives aux DEEE. Ce manuel fournit des orientations sur les principaux aspects à prendre en compte lors de l</w:t>
            </w:r>
            <w:r w:rsidR="000F7A90">
              <w:rPr>
                <w:lang w:val="fr-FR" w:bidi="fr-FR"/>
              </w:rPr>
              <w:t>'</w:t>
            </w:r>
            <w:r w:rsidRPr="00F3021F">
              <w:rPr>
                <w:lang w:val="fr-FR" w:bidi="fr-FR"/>
              </w:rPr>
              <w:t xml:space="preserve">élaboration, de la mise en </w:t>
            </w:r>
            <w:r w:rsidR="00C762CF">
              <w:rPr>
                <w:lang w:val="fr-FR" w:bidi="fr-FR"/>
              </w:rPr>
              <w:t>oe</w:t>
            </w:r>
            <w:r w:rsidRPr="00F3021F">
              <w:rPr>
                <w:lang w:val="fr-FR" w:bidi="fr-FR"/>
              </w:rPr>
              <w:t>uvre et de l</w:t>
            </w:r>
            <w:r w:rsidR="000F7A90">
              <w:rPr>
                <w:lang w:val="fr-FR" w:bidi="fr-FR"/>
              </w:rPr>
              <w:t>'</w:t>
            </w:r>
            <w:r w:rsidRPr="00F3021F">
              <w:rPr>
                <w:lang w:val="fr-FR" w:bidi="fr-FR"/>
              </w:rPr>
              <w:t>amélioration d</w:t>
            </w:r>
            <w:r w:rsidR="000F7A90">
              <w:rPr>
                <w:lang w:val="fr-FR" w:bidi="fr-FR"/>
              </w:rPr>
              <w:t>'</w:t>
            </w:r>
            <w:r w:rsidRPr="00F3021F">
              <w:rPr>
                <w:lang w:val="fr-FR" w:bidi="fr-FR"/>
              </w:rPr>
              <w:t>un cadre juridique, réglementaire et stratégique sur les déchets résultant de l</w:t>
            </w:r>
            <w:r w:rsidR="000F7A90">
              <w:rPr>
                <w:lang w:val="fr-FR" w:bidi="fr-FR"/>
              </w:rPr>
              <w:t>'</w:t>
            </w:r>
            <w:r w:rsidRPr="00F3021F">
              <w:rPr>
                <w:lang w:val="fr-FR" w:bidi="fr-FR"/>
              </w:rPr>
              <w:t>utilisation des TIC/DEEE. Le cadre proposé facilite la gestion de ces déchets en s</w:t>
            </w:r>
            <w:r w:rsidR="000F7A90">
              <w:rPr>
                <w:lang w:val="fr-FR" w:bidi="fr-FR"/>
              </w:rPr>
              <w:t>'</w:t>
            </w:r>
            <w:r w:rsidRPr="00F3021F">
              <w:rPr>
                <w:lang w:val="fr-FR" w:bidi="fr-FR"/>
              </w:rPr>
              <w:t>appuyant sur les concepts de développement durable, de TIC vertes et d</w:t>
            </w:r>
            <w:r w:rsidR="000F7A90">
              <w:rPr>
                <w:lang w:val="fr-FR" w:bidi="fr-FR"/>
              </w:rPr>
              <w:t>'</w:t>
            </w:r>
            <w:r w:rsidRPr="00F3021F">
              <w:rPr>
                <w:lang w:val="fr-FR" w:bidi="fr-FR"/>
              </w:rPr>
              <w:t>économie circulaire. A partir de ce Manuel, une politique nationale et un cadre réglementaire pour les DEEE ont été élaborés pour le Malawi.</w:t>
            </w:r>
          </w:p>
        </w:tc>
      </w:tr>
    </w:tbl>
    <w:p w14:paraId="3E13DCE0" w14:textId="77777777" w:rsidR="00A80AFB" w:rsidRDefault="00A80AFB">
      <w: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A80AFB" w:rsidRPr="00F3021F" w14:paraId="2861F90E" w14:textId="77777777" w:rsidTr="000F7A90">
        <w:tc>
          <w:tcPr>
            <w:tcW w:w="9629" w:type="dxa"/>
            <w:gridSpan w:val="2"/>
            <w:tcBorders>
              <w:bottom w:val="single" w:sz="4" w:space="0" w:color="auto"/>
            </w:tcBorders>
          </w:tcPr>
          <w:p w14:paraId="2D0EB5D2" w14:textId="2B43D5EA" w:rsidR="00A80AFB" w:rsidRPr="00F3021F" w:rsidRDefault="00A80AFB" w:rsidP="00C762CF">
            <w:pPr>
              <w:spacing w:after="120"/>
              <w:rPr>
                <w:rFonts w:eastAsiaTheme="majorEastAsia"/>
                <w:szCs w:val="24"/>
                <w:lang w:val="fr-FR" w:bidi="fr-FR"/>
              </w:rPr>
            </w:pPr>
            <w:r w:rsidRPr="00F3021F">
              <w:rPr>
                <w:lang w:val="fr-FR" w:bidi="fr-FR"/>
              </w:rPr>
              <w:lastRenderedPageBreak/>
              <w:t xml:space="preserve">Le BDT a finalisé la mise en </w:t>
            </w:r>
            <w:r>
              <w:rPr>
                <w:lang w:val="fr-FR" w:bidi="fr-FR"/>
              </w:rPr>
              <w:t>oe</w:t>
            </w:r>
            <w:r w:rsidRPr="00F3021F">
              <w:rPr>
                <w:lang w:val="fr-FR" w:bidi="fr-FR"/>
              </w:rPr>
              <w:t>uvre du projet pilote visant à cr</w:t>
            </w:r>
            <w:r w:rsidR="005127AB">
              <w:rPr>
                <w:lang w:val="fr-FR" w:bidi="fr-FR"/>
              </w:rPr>
              <w:t>éer une usine de traitement des </w:t>
            </w:r>
            <w:r w:rsidRPr="00F3021F">
              <w:rPr>
                <w:lang w:val="fr-FR" w:bidi="fr-FR"/>
              </w:rPr>
              <w:t>DEEE, élaboré conjointement avec l</w:t>
            </w:r>
            <w:r>
              <w:rPr>
                <w:lang w:val="fr-FR" w:bidi="fr-FR"/>
              </w:rPr>
              <w:t>'</w:t>
            </w:r>
            <w:r w:rsidRPr="00F3021F">
              <w:rPr>
                <w:lang w:val="fr-FR" w:bidi="fr-FR"/>
              </w:rPr>
              <w:t>Université de La Plata (Argentine). L</w:t>
            </w:r>
            <w:r>
              <w:rPr>
                <w:lang w:val="fr-FR" w:bidi="fr-FR"/>
              </w:rPr>
              <w:t>'</w:t>
            </w:r>
            <w:r w:rsidRPr="00F3021F">
              <w:rPr>
                <w:lang w:val="fr-FR" w:bidi="fr-FR"/>
              </w:rPr>
              <w:t>usine apporte des réponses concrètes aux problèmes des déchets d</w:t>
            </w:r>
            <w:r>
              <w:rPr>
                <w:lang w:val="fr-FR" w:bidi="fr-FR"/>
              </w:rPr>
              <w:t>'</w:t>
            </w:r>
            <w:r w:rsidRPr="00F3021F">
              <w:rPr>
                <w:lang w:val="fr-FR" w:bidi="fr-FR"/>
              </w:rPr>
              <w:t>équipements électriques et électroniques dans les villes, conformément aux Objectifs de développement durable. Dans le cadre du projet, un rapport intitulé "Successful Electronic Waste Management Initiatives" (Initiatives fructueuses de gestion des déchets électroniques) a été élaboré; il fournit des informations sur différentes initiatives de gestion des DEEE mises en place dans six pays différents à travers le monde.</w:t>
            </w:r>
          </w:p>
        </w:tc>
      </w:tr>
      <w:tr w:rsidR="00F42DD6" w:rsidRPr="00F3021F" w14:paraId="29C073A4" w14:textId="77777777" w:rsidTr="000F7A90">
        <w:tc>
          <w:tcPr>
            <w:tcW w:w="3256" w:type="dxa"/>
            <w:tcBorders>
              <w:top w:val="single" w:sz="4" w:space="0" w:color="auto"/>
              <w:bottom w:val="single" w:sz="4" w:space="0" w:color="auto"/>
              <w:right w:val="single" w:sz="4" w:space="0" w:color="auto"/>
            </w:tcBorders>
          </w:tcPr>
          <w:p w14:paraId="5187FDFB" w14:textId="77777777" w:rsidR="00F42DD6" w:rsidRPr="00F3021F" w:rsidRDefault="00F42DD6" w:rsidP="00C762CF">
            <w:pPr>
              <w:spacing w:before="0"/>
              <w:rPr>
                <w:i/>
                <w:iCs/>
                <w:szCs w:val="24"/>
                <w:lang w:val="fr-FR"/>
              </w:rPr>
            </w:pPr>
            <w:r w:rsidRPr="00F3021F">
              <w:rPr>
                <w:i/>
                <w:szCs w:val="24"/>
                <w:lang w:val="fr-FR" w:bidi="fr-FR"/>
              </w:rPr>
              <w:t>CMDT</w:t>
            </w:r>
          </w:p>
        </w:tc>
        <w:tc>
          <w:tcPr>
            <w:tcW w:w="6373" w:type="dxa"/>
            <w:tcBorders>
              <w:top w:val="single" w:sz="4" w:space="0" w:color="auto"/>
              <w:left w:val="single" w:sz="4" w:space="0" w:color="auto"/>
              <w:bottom w:val="single" w:sz="4" w:space="0" w:color="auto"/>
            </w:tcBorders>
          </w:tcPr>
          <w:p w14:paraId="69277500" w14:textId="77777777" w:rsidR="00F42DD6" w:rsidRPr="00F3021F" w:rsidRDefault="00F42DD6" w:rsidP="00C762CF">
            <w:pPr>
              <w:spacing w:before="0"/>
              <w:rPr>
                <w:rFonts w:eastAsiaTheme="majorEastAsia"/>
                <w:szCs w:val="24"/>
                <w:lang w:val="fr-FR"/>
              </w:rPr>
            </w:pPr>
            <w:bookmarkStart w:id="105" w:name="lt_pId516"/>
            <w:r w:rsidRPr="00F3021F">
              <w:rPr>
                <w:szCs w:val="24"/>
                <w:lang w:val="fr-FR" w:bidi="fr-FR"/>
              </w:rPr>
              <w:t>Résolutions 17, 21, 30, 32, 37, 50, 52, 53, 66</w:t>
            </w:r>
            <w:bookmarkEnd w:id="105"/>
          </w:p>
        </w:tc>
      </w:tr>
      <w:tr w:rsidR="00F42DD6" w:rsidRPr="00F3021F" w14:paraId="1B41705E" w14:textId="77777777" w:rsidTr="000F7A90">
        <w:trPr>
          <w:trHeight w:val="397"/>
        </w:trPr>
        <w:tc>
          <w:tcPr>
            <w:tcW w:w="3256" w:type="dxa"/>
            <w:tcBorders>
              <w:top w:val="single" w:sz="4" w:space="0" w:color="auto"/>
              <w:bottom w:val="single" w:sz="4" w:space="0" w:color="auto"/>
              <w:right w:val="single" w:sz="4" w:space="0" w:color="auto"/>
            </w:tcBorders>
          </w:tcPr>
          <w:p w14:paraId="572130F8" w14:textId="77777777" w:rsidR="00F42DD6" w:rsidRPr="00F3021F" w:rsidRDefault="00F42DD6"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2F60847E" w14:textId="3A6C8CF8" w:rsidR="00F42DD6" w:rsidRPr="00F3021F" w:rsidRDefault="00F42DD6" w:rsidP="00C762CF">
            <w:pPr>
              <w:spacing w:before="0"/>
              <w:rPr>
                <w:rFonts w:eastAsiaTheme="majorEastAsia"/>
                <w:szCs w:val="24"/>
                <w:lang w:val="fr-FR"/>
              </w:rPr>
            </w:pPr>
            <w:bookmarkStart w:id="106" w:name="lt_pId518"/>
            <w:r w:rsidRPr="00F3021F">
              <w:rPr>
                <w:rFonts w:eastAsiaTheme="majorEastAsia"/>
                <w:szCs w:val="24"/>
                <w:lang w:val="fr-FR" w:bidi="fr-FR"/>
              </w:rPr>
              <w:t>Décisions:</w:t>
            </w:r>
            <w:bookmarkEnd w:id="106"/>
            <w:r w:rsidR="000F7A90">
              <w:rPr>
                <w:rFonts w:eastAsiaTheme="majorEastAsia"/>
                <w:szCs w:val="24"/>
                <w:lang w:val="fr-FR" w:bidi="fr-FR"/>
              </w:rPr>
              <w:t xml:space="preserve"> 5, 13</w:t>
            </w:r>
          </w:p>
          <w:p w14:paraId="24C7ACEB" w14:textId="77777777" w:rsidR="00F42DD6" w:rsidRPr="00F3021F" w:rsidRDefault="00F42DD6" w:rsidP="00C762CF">
            <w:pPr>
              <w:spacing w:before="0"/>
              <w:rPr>
                <w:rFonts w:eastAsiaTheme="majorEastAsia"/>
                <w:szCs w:val="24"/>
                <w:lang w:val="fr-FR"/>
              </w:rPr>
            </w:pPr>
            <w:bookmarkStart w:id="107" w:name="lt_pId520"/>
            <w:r w:rsidRPr="00F3021F">
              <w:rPr>
                <w:rFonts w:eastAsiaTheme="majorEastAsia"/>
                <w:szCs w:val="24"/>
                <w:lang w:val="fr-FR" w:bidi="fr-FR"/>
              </w:rPr>
              <w:t>Résolutions:</w:t>
            </w:r>
            <w:bookmarkEnd w:id="107"/>
            <w:r w:rsidRPr="00F3021F">
              <w:rPr>
                <w:rFonts w:eastAsiaTheme="majorEastAsia"/>
                <w:szCs w:val="24"/>
                <w:lang w:val="fr-FR" w:bidi="fr-FR"/>
              </w:rPr>
              <w:t xml:space="preserve"> 25, 71, 182</w:t>
            </w:r>
          </w:p>
        </w:tc>
      </w:tr>
      <w:tr w:rsidR="00F42DD6" w:rsidRPr="00F3021F" w14:paraId="0A848F98" w14:textId="77777777" w:rsidTr="000F7A90">
        <w:trPr>
          <w:trHeight w:val="397"/>
        </w:trPr>
        <w:tc>
          <w:tcPr>
            <w:tcW w:w="3256" w:type="dxa"/>
            <w:tcBorders>
              <w:top w:val="single" w:sz="4" w:space="0" w:color="auto"/>
              <w:bottom w:val="single" w:sz="4" w:space="0" w:color="auto"/>
              <w:right w:val="single" w:sz="4" w:space="0" w:color="auto"/>
            </w:tcBorders>
          </w:tcPr>
          <w:p w14:paraId="38807415" w14:textId="77777777" w:rsidR="00F42DD6" w:rsidRPr="00F3021F" w:rsidRDefault="00F42DD6" w:rsidP="00C762CF">
            <w:pPr>
              <w:spacing w:before="0"/>
              <w:rPr>
                <w:i/>
                <w:iCs/>
                <w:lang w:val="fr-FR"/>
              </w:rPr>
            </w:pPr>
            <w:r w:rsidRPr="00F3021F">
              <w:rPr>
                <w:i/>
                <w:lang w:val="fr-FR" w:bidi="fr-FR"/>
              </w:rPr>
              <w:t>AMNT</w:t>
            </w:r>
          </w:p>
        </w:tc>
        <w:tc>
          <w:tcPr>
            <w:tcW w:w="6373" w:type="dxa"/>
            <w:tcBorders>
              <w:top w:val="single" w:sz="4" w:space="0" w:color="auto"/>
              <w:left w:val="single" w:sz="4" w:space="0" w:color="auto"/>
              <w:bottom w:val="single" w:sz="4" w:space="0" w:color="auto"/>
            </w:tcBorders>
          </w:tcPr>
          <w:p w14:paraId="32F20A5E" w14:textId="77777777" w:rsidR="00F42DD6" w:rsidRPr="00F3021F" w:rsidRDefault="00F42DD6" w:rsidP="00C762CF">
            <w:pPr>
              <w:spacing w:before="0"/>
              <w:rPr>
                <w:szCs w:val="24"/>
                <w:lang w:val="fr-FR"/>
              </w:rPr>
            </w:pPr>
            <w:bookmarkStart w:id="108" w:name="lt_pId523"/>
            <w:r w:rsidRPr="00F3021F">
              <w:rPr>
                <w:szCs w:val="24"/>
                <w:lang w:val="fr-FR" w:bidi="fr-FR"/>
              </w:rPr>
              <w:t>Résolution 73</w:t>
            </w:r>
            <w:bookmarkEnd w:id="108"/>
          </w:p>
        </w:tc>
      </w:tr>
      <w:tr w:rsidR="00F42DD6" w:rsidRPr="00F3021F" w14:paraId="62CEB70D" w14:textId="77777777" w:rsidTr="000F7A90">
        <w:trPr>
          <w:trHeight w:val="397"/>
        </w:trPr>
        <w:tc>
          <w:tcPr>
            <w:tcW w:w="3256" w:type="dxa"/>
            <w:tcBorders>
              <w:top w:val="single" w:sz="4" w:space="0" w:color="auto"/>
              <w:bottom w:val="single" w:sz="4" w:space="0" w:color="auto"/>
              <w:right w:val="single" w:sz="4" w:space="0" w:color="auto"/>
            </w:tcBorders>
          </w:tcPr>
          <w:p w14:paraId="1A856CB9" w14:textId="77777777" w:rsidR="00F42DD6" w:rsidRPr="00F3021F" w:rsidRDefault="00F42DD6"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0BA8B905" w14:textId="14ECA002" w:rsidR="00F42DD6" w:rsidRPr="00F3021F" w:rsidRDefault="00F42DD6" w:rsidP="00C762CF">
            <w:pPr>
              <w:spacing w:before="0"/>
              <w:rPr>
                <w:rFonts w:eastAsiaTheme="majorEastAsia"/>
                <w:szCs w:val="24"/>
                <w:lang w:val="fr-FR"/>
              </w:rPr>
            </w:pPr>
            <w:r w:rsidRPr="00F3021F">
              <w:rPr>
                <w:color w:val="000000"/>
                <w:lang w:val="fr-FR" w:bidi="fr-FR"/>
              </w:rPr>
              <w:t>La grande orientation C7 (cyberécologie) figurant dans le Plan d</w:t>
            </w:r>
            <w:r w:rsidR="000F7A90">
              <w:rPr>
                <w:color w:val="000000"/>
                <w:lang w:val="fr-FR" w:bidi="fr-FR"/>
              </w:rPr>
              <w:t>'</w:t>
            </w:r>
            <w:r w:rsidRPr="00F3021F">
              <w:rPr>
                <w:color w:val="000000"/>
                <w:lang w:val="fr-FR" w:bidi="fr-FR"/>
              </w:rPr>
              <w:t>action de Genève est étroitement liée au Produit D.5.1</w:t>
            </w:r>
          </w:p>
        </w:tc>
      </w:tr>
      <w:tr w:rsidR="00F42DD6" w:rsidRPr="00F3021F" w14:paraId="7B3BD502" w14:textId="77777777" w:rsidTr="000F7A90">
        <w:tc>
          <w:tcPr>
            <w:tcW w:w="3256" w:type="dxa"/>
            <w:tcBorders>
              <w:top w:val="single" w:sz="4" w:space="0" w:color="auto"/>
              <w:bottom w:val="single" w:sz="4" w:space="0" w:color="auto"/>
              <w:right w:val="single" w:sz="4" w:space="0" w:color="auto"/>
            </w:tcBorders>
          </w:tcPr>
          <w:p w14:paraId="2F515D71" w14:textId="77777777" w:rsidR="00F42DD6" w:rsidRPr="00F3021F" w:rsidRDefault="00F42DD6"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5F7A8B38" w14:textId="77777777" w:rsidR="00F42DD6" w:rsidRPr="00F3021F" w:rsidRDefault="00F42DD6" w:rsidP="00C762CF">
            <w:pPr>
              <w:spacing w:before="0"/>
              <w:rPr>
                <w:rFonts w:eastAsiaTheme="majorEastAsia"/>
                <w:szCs w:val="24"/>
                <w:lang w:val="fr-FR"/>
              </w:rPr>
            </w:pPr>
            <w:bookmarkStart w:id="109" w:name="lt_pId527"/>
            <w:r w:rsidRPr="00F3021F">
              <w:rPr>
                <w:szCs w:val="24"/>
                <w:lang w:val="fr-FR" w:bidi="fr-FR"/>
              </w:rPr>
              <w:t>Objectifs de développement durable:</w:t>
            </w:r>
            <w:bookmarkEnd w:id="109"/>
            <w:r w:rsidRPr="00F3021F">
              <w:rPr>
                <w:szCs w:val="24"/>
                <w:lang w:val="fr-FR" w:bidi="fr-FR"/>
              </w:rPr>
              <w:t xml:space="preserve"> </w:t>
            </w:r>
            <w:bookmarkStart w:id="110" w:name="lt_pId528"/>
            <w:r w:rsidRPr="00F3021F">
              <w:rPr>
                <w:szCs w:val="24"/>
                <w:lang w:val="fr-FR" w:bidi="fr-FR"/>
              </w:rPr>
              <w:t>3 (cible 3.9), 5 (cible 5b), 9, 11 (cible 11b), 13 (cibles 13.1, 13.2 et 13.3), 14, 15</w:t>
            </w:r>
            <w:bookmarkEnd w:id="110"/>
          </w:p>
        </w:tc>
      </w:tr>
    </w:tbl>
    <w:p w14:paraId="41679C9F" w14:textId="60661224" w:rsidR="006E2C3C" w:rsidRPr="00F3021F" w:rsidRDefault="006E2C3C" w:rsidP="00C762CF">
      <w:pPr>
        <w:pStyle w:val="Heading2"/>
        <w:spacing w:after="120"/>
        <w:rPr>
          <w:lang w:val="fr-FR"/>
        </w:rPr>
      </w:pPr>
      <w:r w:rsidRPr="00F3021F">
        <w:rPr>
          <w:lang w:val="fr-FR" w:bidi="fr-FR"/>
        </w:rPr>
        <w:t>5.2</w:t>
      </w:r>
      <w:r w:rsidRPr="00F3021F">
        <w:rPr>
          <w:lang w:val="fr-FR" w:bidi="fr-FR"/>
        </w:rPr>
        <w:tab/>
        <w:t>Télécommunications d</w:t>
      </w:r>
      <w:r w:rsidR="000F7A90">
        <w:rPr>
          <w:lang w:val="fr-FR" w:bidi="fr-FR"/>
        </w:rPr>
        <w:t>'</w:t>
      </w:r>
      <w:r w:rsidRPr="00F3021F">
        <w:rPr>
          <w:lang w:val="fr-FR" w:bidi="fr-FR"/>
        </w:rPr>
        <w:t>urgence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E2C3C" w:rsidRPr="00F3021F" w14:paraId="26633269" w14:textId="77777777" w:rsidTr="000F7A90">
        <w:tc>
          <w:tcPr>
            <w:tcW w:w="9629" w:type="dxa"/>
            <w:tcBorders>
              <w:bottom w:val="single" w:sz="4" w:space="0" w:color="auto"/>
            </w:tcBorders>
          </w:tcPr>
          <w:p w14:paraId="3EF05302" w14:textId="69A453E4" w:rsidR="006E2C3C" w:rsidRPr="00F3021F" w:rsidRDefault="006E2C3C" w:rsidP="000F7A90">
            <w:pPr>
              <w:spacing w:after="120"/>
              <w:rPr>
                <w:szCs w:val="24"/>
                <w:lang w:val="fr-FR"/>
              </w:rPr>
            </w:pPr>
            <w:r w:rsidRPr="00F3021F">
              <w:rPr>
                <w:szCs w:val="24"/>
                <w:lang w:val="fr-FR" w:bidi="fr-FR"/>
              </w:rPr>
              <w:t>Le BDT apporte son appui aux Etats Membres de l</w:t>
            </w:r>
            <w:r w:rsidR="000F7A90">
              <w:rPr>
                <w:szCs w:val="24"/>
                <w:lang w:val="fr-FR" w:bidi="fr-FR"/>
              </w:rPr>
              <w:t>'</w:t>
            </w:r>
            <w:r w:rsidRPr="00F3021F">
              <w:rPr>
                <w:szCs w:val="24"/>
                <w:lang w:val="fr-FR" w:bidi="fr-FR"/>
              </w:rPr>
              <w:t>UIT à toutes les étapes de la gestion des catastrophes. Il fournit des équipements de télécommunication d</w:t>
            </w:r>
            <w:r w:rsidR="000F7A90">
              <w:rPr>
                <w:szCs w:val="24"/>
                <w:lang w:val="fr-FR" w:bidi="fr-FR"/>
              </w:rPr>
              <w:t>'</w:t>
            </w:r>
            <w:r w:rsidRPr="00F3021F">
              <w:rPr>
                <w:szCs w:val="24"/>
                <w:lang w:val="fr-FR" w:bidi="fr-FR"/>
              </w:rPr>
              <w:t>urgence aux pays ayant besoin d</w:t>
            </w:r>
            <w:r w:rsidR="000F7A90">
              <w:rPr>
                <w:szCs w:val="24"/>
                <w:lang w:val="fr-FR" w:bidi="fr-FR"/>
              </w:rPr>
              <w:t>'</w:t>
            </w:r>
            <w:r w:rsidRPr="00F3021F">
              <w:rPr>
                <w:szCs w:val="24"/>
                <w:lang w:val="fr-FR" w:bidi="fr-FR"/>
              </w:rPr>
              <w:t>une assistance. L</w:t>
            </w:r>
            <w:r w:rsidR="000F7A90">
              <w:rPr>
                <w:szCs w:val="24"/>
                <w:lang w:val="fr-FR" w:bidi="fr-FR"/>
              </w:rPr>
              <w:t>'</w:t>
            </w:r>
            <w:r w:rsidRPr="00F3021F">
              <w:rPr>
                <w:szCs w:val="24"/>
                <w:lang w:val="fr-FR" w:bidi="fr-FR"/>
              </w:rPr>
              <w:t xml:space="preserve">objectif: renforcer leur capacité à coordonner les opérations de secours en cas de catastrophe et à faire face aux effets immédiats des catastrophes. Deux pays (Tonga et Papouasie-Nouvelle-Guinée) ont bénéficié de cette aide en 2018. </w:t>
            </w:r>
          </w:p>
          <w:p w14:paraId="24AD4600" w14:textId="4FD7FA44" w:rsidR="006E2C3C" w:rsidRPr="00F3021F" w:rsidRDefault="006E2C3C" w:rsidP="00C762CF">
            <w:pPr>
              <w:spacing w:after="120"/>
              <w:rPr>
                <w:lang w:val="fr-FR"/>
              </w:rPr>
            </w:pPr>
            <w:r w:rsidRPr="00F3021F">
              <w:rPr>
                <w:szCs w:val="24"/>
                <w:lang w:val="fr-FR" w:bidi="fr-FR"/>
              </w:rPr>
              <w:t>Le BDT a renforcé la préparation aux catastrophes en Zambie en mettant en place plusieurs systèmes d</w:t>
            </w:r>
            <w:r w:rsidR="000F7A90">
              <w:rPr>
                <w:szCs w:val="24"/>
                <w:lang w:val="fr-FR" w:bidi="fr-FR"/>
              </w:rPr>
              <w:t>'</w:t>
            </w:r>
            <w:r w:rsidRPr="00F3021F">
              <w:rPr>
                <w:szCs w:val="24"/>
                <w:lang w:val="fr-FR" w:bidi="fr-FR"/>
              </w:rPr>
              <w:t>alerte avancée. Il a en outre réalisé une évaluation des besoins en matière de systèmes de télécommunication d</w:t>
            </w:r>
            <w:r w:rsidR="000F7A90">
              <w:rPr>
                <w:szCs w:val="24"/>
                <w:lang w:val="fr-FR" w:bidi="fr-FR"/>
              </w:rPr>
              <w:t>'</w:t>
            </w:r>
            <w:r w:rsidRPr="00F3021F">
              <w:rPr>
                <w:szCs w:val="24"/>
                <w:lang w:val="fr-FR" w:bidi="fr-FR"/>
              </w:rPr>
              <w:t>urgence dans la région des Caraïbes et a commandé le déploiement d</w:t>
            </w:r>
            <w:r w:rsidR="000F7A90">
              <w:rPr>
                <w:szCs w:val="24"/>
                <w:lang w:val="fr-FR" w:bidi="fr-FR"/>
              </w:rPr>
              <w:t>'</w:t>
            </w:r>
            <w:r w:rsidRPr="00F3021F">
              <w:rPr>
                <w:szCs w:val="24"/>
                <w:lang w:val="fr-FR" w:bidi="fr-FR"/>
              </w:rPr>
              <w:t>une plate-forme mobile d</w:t>
            </w:r>
            <w:r w:rsidR="000F7A90">
              <w:rPr>
                <w:szCs w:val="24"/>
                <w:lang w:val="fr-FR" w:bidi="fr-FR"/>
              </w:rPr>
              <w:t>'</w:t>
            </w:r>
            <w:r w:rsidRPr="00F3021F">
              <w:rPr>
                <w:szCs w:val="24"/>
                <w:lang w:val="fr-FR" w:bidi="fr-FR"/>
              </w:rPr>
              <w:t>alerte avancée et d</w:t>
            </w:r>
            <w:r w:rsidR="000F7A90">
              <w:rPr>
                <w:szCs w:val="24"/>
                <w:lang w:val="fr-FR" w:bidi="fr-FR"/>
              </w:rPr>
              <w:t>'</w:t>
            </w:r>
            <w:r w:rsidRPr="00F3021F">
              <w:rPr>
                <w:szCs w:val="24"/>
                <w:lang w:val="fr-FR" w:bidi="fr-FR"/>
              </w:rPr>
              <w:t>échange d</w:t>
            </w:r>
            <w:r w:rsidR="000F7A90">
              <w:rPr>
                <w:szCs w:val="24"/>
                <w:lang w:val="fr-FR" w:bidi="fr-FR"/>
              </w:rPr>
              <w:t>'</w:t>
            </w:r>
            <w:r w:rsidRPr="00F3021F">
              <w:rPr>
                <w:szCs w:val="24"/>
                <w:lang w:val="fr-FR" w:bidi="fr-FR"/>
              </w:rPr>
              <w:t>informations couvrant de multiples situations d</w:t>
            </w:r>
            <w:r w:rsidR="000F7A90">
              <w:rPr>
                <w:szCs w:val="24"/>
                <w:lang w:val="fr-FR" w:bidi="fr-FR"/>
              </w:rPr>
              <w:t>'</w:t>
            </w:r>
            <w:r w:rsidRPr="00F3021F">
              <w:rPr>
                <w:szCs w:val="24"/>
                <w:lang w:val="fr-FR" w:bidi="fr-FR"/>
              </w:rPr>
              <w:t>urgence. Le BDT a renforcé les capacités et sensibilisé aux possibilités qu</w:t>
            </w:r>
            <w:r w:rsidR="000F7A90">
              <w:rPr>
                <w:szCs w:val="24"/>
                <w:lang w:val="fr-FR" w:bidi="fr-FR"/>
              </w:rPr>
              <w:t>'</w:t>
            </w:r>
            <w:r w:rsidRPr="00F3021F">
              <w:rPr>
                <w:szCs w:val="24"/>
                <w:lang w:val="fr-FR" w:bidi="fr-FR"/>
              </w:rPr>
              <w:t>offrent les TIC en matière de télécommunications d</w:t>
            </w:r>
            <w:r w:rsidR="000F7A90">
              <w:rPr>
                <w:szCs w:val="24"/>
                <w:lang w:val="fr-FR" w:bidi="fr-FR"/>
              </w:rPr>
              <w:t>'</w:t>
            </w:r>
            <w:r w:rsidRPr="00F3021F">
              <w:rPr>
                <w:szCs w:val="24"/>
                <w:lang w:val="fr-FR" w:bidi="fr-FR"/>
              </w:rPr>
              <w:t>urgence en organisant plusieurs ateliers et formations à l</w:t>
            </w:r>
            <w:r w:rsidR="000F7A90">
              <w:rPr>
                <w:szCs w:val="24"/>
                <w:lang w:val="fr-FR" w:bidi="fr-FR"/>
              </w:rPr>
              <w:t>'</w:t>
            </w:r>
            <w:r w:rsidRPr="00F3021F">
              <w:rPr>
                <w:szCs w:val="24"/>
                <w:lang w:val="fr-FR" w:bidi="fr-FR"/>
              </w:rPr>
              <w:t>intention de multiples parties prenantes et en participant à des manifestations régionales et mondiales pertinentes. Les ateliers visent à encourager l</w:t>
            </w:r>
            <w:r w:rsidR="000F7A90">
              <w:rPr>
                <w:szCs w:val="24"/>
                <w:lang w:val="fr-FR" w:bidi="fr-FR"/>
              </w:rPr>
              <w:t>'</w:t>
            </w:r>
            <w:r w:rsidRPr="00F3021F">
              <w:rPr>
                <w:szCs w:val="24"/>
                <w:lang w:val="fr-FR" w:bidi="fr-FR"/>
              </w:rPr>
              <w:t>utilisation des TIC dans la gestion des catastrophes et à répondre aux questions clés liées à l</w:t>
            </w:r>
            <w:r w:rsidR="000F7A90">
              <w:rPr>
                <w:szCs w:val="24"/>
                <w:lang w:val="fr-FR" w:bidi="fr-FR"/>
              </w:rPr>
              <w:t>'</w:t>
            </w:r>
            <w:r w:rsidRPr="00F3021F">
              <w:rPr>
                <w:szCs w:val="24"/>
                <w:lang w:val="fr-FR" w:bidi="fr-FR"/>
              </w:rPr>
              <w:t>usage optimal des TIC dans la réduction et la gestion des risques de catastrophe. Ils constituent en outre une plate-forme d</w:t>
            </w:r>
            <w:r w:rsidR="000F7A90">
              <w:rPr>
                <w:szCs w:val="24"/>
                <w:lang w:val="fr-FR" w:bidi="fr-FR"/>
              </w:rPr>
              <w:t>'</w:t>
            </w:r>
            <w:r w:rsidRPr="00F3021F">
              <w:rPr>
                <w:szCs w:val="24"/>
                <w:lang w:val="fr-FR" w:bidi="fr-FR"/>
              </w:rPr>
              <w:t>échange de nouvelles expériences et de bonnes pratiques concernant l</w:t>
            </w:r>
            <w:r w:rsidR="000F7A90">
              <w:rPr>
                <w:szCs w:val="24"/>
                <w:lang w:val="fr-FR" w:bidi="fr-FR"/>
              </w:rPr>
              <w:t>'</w:t>
            </w:r>
            <w:r w:rsidRPr="00F3021F">
              <w:rPr>
                <w:szCs w:val="24"/>
                <w:lang w:val="fr-FR" w:bidi="fr-FR"/>
              </w:rPr>
              <w:t>utilisation des technologies modernes pour surveiller les catastrophes et donner rapidement l</w:t>
            </w:r>
            <w:r w:rsidR="000F7A90">
              <w:rPr>
                <w:szCs w:val="24"/>
                <w:lang w:val="fr-FR" w:bidi="fr-FR"/>
              </w:rPr>
              <w:t>'</w:t>
            </w:r>
            <w:r w:rsidRPr="00F3021F">
              <w:rPr>
                <w:szCs w:val="24"/>
                <w:lang w:val="fr-FR" w:bidi="fr-FR"/>
              </w:rPr>
              <w:t>alerte quand elles surviennent. Le BDT a continué de travailler en étroite collaboration avec l</w:t>
            </w:r>
            <w:r w:rsidR="000F7A90">
              <w:rPr>
                <w:szCs w:val="24"/>
                <w:lang w:val="fr-FR" w:bidi="fr-FR"/>
              </w:rPr>
              <w:t>'</w:t>
            </w:r>
            <w:r w:rsidRPr="00F3021F">
              <w:rPr>
                <w:szCs w:val="24"/>
                <w:lang w:val="fr-FR" w:bidi="fr-FR"/>
              </w:rPr>
              <w:t>Organisation météorologique mondiale (OMM) pour accroître la sensibilisation et aider les pays à déployer le protocole d</w:t>
            </w:r>
            <w:r w:rsidR="000F7A90">
              <w:rPr>
                <w:szCs w:val="24"/>
                <w:lang w:val="fr-FR" w:bidi="fr-FR"/>
              </w:rPr>
              <w:t>'</w:t>
            </w:r>
            <w:r w:rsidRPr="00F3021F">
              <w:rPr>
                <w:szCs w:val="24"/>
                <w:lang w:val="fr-FR" w:bidi="fr-FR"/>
              </w:rPr>
              <w:t>alerte commun (CAP), une plate-forme permettant de diffuser des messages d</w:t>
            </w:r>
            <w:r w:rsidR="000F7A90">
              <w:rPr>
                <w:szCs w:val="24"/>
                <w:lang w:val="fr-FR" w:bidi="fr-FR"/>
              </w:rPr>
              <w:t>'</w:t>
            </w:r>
            <w:r w:rsidRPr="00F3021F">
              <w:rPr>
                <w:szCs w:val="24"/>
                <w:lang w:val="fr-FR" w:bidi="fr-FR"/>
              </w:rPr>
              <w:t>alerte. Il collabore étroitement avec des partenaires régionaux et internationaux, parmi lesquels le Groupe des télécommunications d</w:t>
            </w:r>
            <w:r w:rsidR="000F7A90">
              <w:rPr>
                <w:szCs w:val="24"/>
                <w:lang w:val="fr-FR" w:bidi="fr-FR"/>
              </w:rPr>
              <w:t>'</w:t>
            </w:r>
            <w:r w:rsidRPr="00F3021F">
              <w:rPr>
                <w:szCs w:val="24"/>
                <w:lang w:val="fr-FR" w:bidi="fr-FR"/>
              </w:rPr>
              <w:t>urgence (ETC), le Bureau des Nations Unies pour la prévention des catastrophes (UNISDR) et l</w:t>
            </w:r>
            <w:r w:rsidR="000F7A90">
              <w:rPr>
                <w:szCs w:val="24"/>
                <w:lang w:val="fr-FR" w:bidi="fr-FR"/>
              </w:rPr>
              <w:t>'</w:t>
            </w:r>
            <w:r w:rsidRPr="00F3021F">
              <w:rPr>
                <w:szCs w:val="24"/>
                <w:lang w:val="fr-FR" w:bidi="fr-FR"/>
              </w:rPr>
              <w:t>Organisation mondiale de la Santé (OMS).</w:t>
            </w:r>
          </w:p>
        </w:tc>
      </w:tr>
    </w:tbl>
    <w:p w14:paraId="66BE4E58" w14:textId="77777777" w:rsidR="00A80AFB" w:rsidRDefault="00A80AFB">
      <w: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6E2C3C" w:rsidRPr="00F3021F" w14:paraId="413100CF" w14:textId="77777777" w:rsidTr="000F7A90">
        <w:tc>
          <w:tcPr>
            <w:tcW w:w="3256" w:type="dxa"/>
            <w:tcBorders>
              <w:top w:val="single" w:sz="4" w:space="0" w:color="auto"/>
              <w:bottom w:val="single" w:sz="4" w:space="0" w:color="auto"/>
              <w:right w:val="single" w:sz="4" w:space="0" w:color="auto"/>
            </w:tcBorders>
          </w:tcPr>
          <w:p w14:paraId="4691B9C4" w14:textId="1B0D4289" w:rsidR="006E2C3C" w:rsidRPr="00F3021F" w:rsidRDefault="006E2C3C" w:rsidP="00C762CF">
            <w:pPr>
              <w:spacing w:before="0"/>
              <w:rPr>
                <w:i/>
                <w:iCs/>
                <w:szCs w:val="24"/>
                <w:lang w:val="fr-FR"/>
              </w:rPr>
            </w:pPr>
            <w:r w:rsidRPr="00F3021F">
              <w:rPr>
                <w:i/>
                <w:szCs w:val="24"/>
                <w:lang w:val="fr-FR" w:bidi="fr-FR"/>
              </w:rPr>
              <w:lastRenderedPageBreak/>
              <w:t>CMDT</w:t>
            </w:r>
          </w:p>
        </w:tc>
        <w:tc>
          <w:tcPr>
            <w:tcW w:w="6373" w:type="dxa"/>
            <w:tcBorders>
              <w:top w:val="single" w:sz="4" w:space="0" w:color="auto"/>
              <w:left w:val="single" w:sz="4" w:space="0" w:color="auto"/>
              <w:bottom w:val="single" w:sz="4" w:space="0" w:color="auto"/>
            </w:tcBorders>
          </w:tcPr>
          <w:p w14:paraId="5F9062F3" w14:textId="77777777" w:rsidR="006E2C3C" w:rsidRPr="00F3021F" w:rsidRDefault="006E2C3C" w:rsidP="00C762CF">
            <w:pPr>
              <w:spacing w:before="0"/>
              <w:rPr>
                <w:szCs w:val="24"/>
                <w:lang w:val="fr-FR"/>
              </w:rPr>
            </w:pPr>
            <w:bookmarkStart w:id="111" w:name="lt_pId547"/>
            <w:r w:rsidRPr="00F3021F">
              <w:rPr>
                <w:szCs w:val="24"/>
                <w:lang w:val="fr-FR" w:bidi="fr-FR"/>
              </w:rPr>
              <w:t>Résolutions 1, 5, 17, 21, 30, 32, 34, 37, 50, 52, 53, 69</w:t>
            </w:r>
            <w:bookmarkEnd w:id="111"/>
          </w:p>
        </w:tc>
      </w:tr>
      <w:tr w:rsidR="006E2C3C" w:rsidRPr="00F3021F" w14:paraId="223D3B0A" w14:textId="77777777" w:rsidTr="000F7A90">
        <w:trPr>
          <w:trHeight w:val="397"/>
        </w:trPr>
        <w:tc>
          <w:tcPr>
            <w:tcW w:w="3256" w:type="dxa"/>
            <w:tcBorders>
              <w:top w:val="single" w:sz="4" w:space="0" w:color="auto"/>
              <w:bottom w:val="single" w:sz="4" w:space="0" w:color="auto"/>
              <w:right w:val="single" w:sz="4" w:space="0" w:color="auto"/>
            </w:tcBorders>
          </w:tcPr>
          <w:p w14:paraId="0FF8DAB2" w14:textId="77777777" w:rsidR="006E2C3C" w:rsidRPr="00F3021F" w:rsidRDefault="006E2C3C" w:rsidP="00C762CF">
            <w:pPr>
              <w:spacing w:before="0"/>
              <w:rPr>
                <w:i/>
                <w:iCs/>
                <w:lang w:val="fr-FR"/>
              </w:rPr>
            </w:pPr>
            <w:r w:rsidRPr="00F3021F">
              <w:rPr>
                <w:i/>
                <w:lang w:val="fr-FR" w:bidi="fr-FR"/>
              </w:rPr>
              <w:t>Conférence de plénipotentiaires</w:t>
            </w:r>
          </w:p>
        </w:tc>
        <w:tc>
          <w:tcPr>
            <w:tcW w:w="6373" w:type="dxa"/>
            <w:tcBorders>
              <w:top w:val="single" w:sz="4" w:space="0" w:color="auto"/>
              <w:left w:val="single" w:sz="4" w:space="0" w:color="auto"/>
              <w:bottom w:val="single" w:sz="4" w:space="0" w:color="auto"/>
            </w:tcBorders>
          </w:tcPr>
          <w:p w14:paraId="58EA9BCE" w14:textId="4AF21430" w:rsidR="006E2C3C" w:rsidRPr="00F3021F" w:rsidRDefault="006E2C3C" w:rsidP="00C762CF">
            <w:pPr>
              <w:spacing w:before="0"/>
              <w:rPr>
                <w:szCs w:val="24"/>
                <w:lang w:val="fr-FR"/>
              </w:rPr>
            </w:pPr>
            <w:bookmarkStart w:id="112" w:name="lt_pId549"/>
            <w:r w:rsidRPr="00F3021F">
              <w:rPr>
                <w:szCs w:val="24"/>
                <w:lang w:val="fr-FR" w:bidi="fr-FR"/>
              </w:rPr>
              <w:t>Décisions:</w:t>
            </w:r>
            <w:bookmarkEnd w:id="112"/>
            <w:r w:rsidR="000F7A90">
              <w:rPr>
                <w:szCs w:val="24"/>
                <w:lang w:val="fr-FR" w:bidi="fr-FR"/>
              </w:rPr>
              <w:t xml:space="preserve"> 5, 13</w:t>
            </w:r>
            <w:r w:rsidRPr="00F3021F">
              <w:rPr>
                <w:szCs w:val="24"/>
                <w:lang w:val="fr-FR" w:bidi="fr-FR"/>
              </w:rPr>
              <w:t xml:space="preserve"> </w:t>
            </w:r>
          </w:p>
          <w:p w14:paraId="3B681011" w14:textId="77777777" w:rsidR="006E2C3C" w:rsidRPr="00F3021F" w:rsidRDefault="006E2C3C" w:rsidP="00C762CF">
            <w:pPr>
              <w:spacing w:before="0"/>
              <w:rPr>
                <w:szCs w:val="24"/>
                <w:lang w:val="fr-FR"/>
              </w:rPr>
            </w:pPr>
            <w:bookmarkStart w:id="113" w:name="lt_pId551"/>
            <w:r w:rsidRPr="00F3021F">
              <w:rPr>
                <w:szCs w:val="24"/>
                <w:lang w:val="fr-FR" w:bidi="fr-FR"/>
              </w:rPr>
              <w:t>Résolutions:</w:t>
            </w:r>
            <w:bookmarkEnd w:id="113"/>
            <w:r w:rsidRPr="00F3021F">
              <w:rPr>
                <w:szCs w:val="24"/>
                <w:lang w:val="fr-FR" w:bidi="fr-FR"/>
              </w:rPr>
              <w:t xml:space="preserve"> 25, 37, 71, 98, 136, 140, 182, 202</w:t>
            </w:r>
          </w:p>
        </w:tc>
      </w:tr>
      <w:tr w:rsidR="006E2C3C" w:rsidRPr="00F3021F" w14:paraId="65D76743" w14:textId="77777777" w:rsidTr="000F7A90">
        <w:trPr>
          <w:trHeight w:val="397"/>
        </w:trPr>
        <w:tc>
          <w:tcPr>
            <w:tcW w:w="3256" w:type="dxa"/>
            <w:tcBorders>
              <w:top w:val="single" w:sz="4" w:space="0" w:color="auto"/>
              <w:bottom w:val="single" w:sz="4" w:space="0" w:color="auto"/>
              <w:right w:val="single" w:sz="4" w:space="0" w:color="auto"/>
            </w:tcBorders>
          </w:tcPr>
          <w:p w14:paraId="220EA076" w14:textId="77777777" w:rsidR="006E2C3C" w:rsidRPr="00F3021F" w:rsidRDefault="006E2C3C" w:rsidP="00C762CF">
            <w:pPr>
              <w:spacing w:before="0"/>
              <w:rPr>
                <w:i/>
                <w:iCs/>
                <w:lang w:val="fr-FR"/>
              </w:rPr>
            </w:pPr>
            <w:r w:rsidRPr="00F3021F">
              <w:rPr>
                <w:i/>
                <w:lang w:val="fr-FR" w:bidi="fr-FR"/>
              </w:rPr>
              <w:t>CMR</w:t>
            </w:r>
          </w:p>
        </w:tc>
        <w:tc>
          <w:tcPr>
            <w:tcW w:w="6373" w:type="dxa"/>
            <w:tcBorders>
              <w:top w:val="single" w:sz="4" w:space="0" w:color="auto"/>
              <w:left w:val="single" w:sz="4" w:space="0" w:color="auto"/>
              <w:bottom w:val="single" w:sz="4" w:space="0" w:color="auto"/>
            </w:tcBorders>
          </w:tcPr>
          <w:p w14:paraId="262EA0B1" w14:textId="77777777" w:rsidR="006E2C3C" w:rsidRPr="00F3021F" w:rsidRDefault="006E2C3C" w:rsidP="00C762CF">
            <w:pPr>
              <w:spacing w:before="0"/>
              <w:rPr>
                <w:szCs w:val="24"/>
                <w:lang w:val="fr-FR"/>
              </w:rPr>
            </w:pPr>
            <w:bookmarkStart w:id="114" w:name="lt_pId554"/>
            <w:r w:rsidRPr="00F3021F">
              <w:rPr>
                <w:szCs w:val="24"/>
                <w:lang w:val="fr-FR" w:bidi="fr-FR"/>
              </w:rPr>
              <w:t>Résolution 646, 647</w:t>
            </w:r>
            <w:bookmarkEnd w:id="114"/>
          </w:p>
        </w:tc>
      </w:tr>
      <w:tr w:rsidR="006E2C3C" w:rsidRPr="00F3021F" w14:paraId="3632D8FC" w14:textId="77777777" w:rsidTr="000F7A90">
        <w:trPr>
          <w:trHeight w:val="397"/>
        </w:trPr>
        <w:tc>
          <w:tcPr>
            <w:tcW w:w="3256" w:type="dxa"/>
            <w:tcBorders>
              <w:top w:val="single" w:sz="4" w:space="0" w:color="auto"/>
              <w:bottom w:val="single" w:sz="4" w:space="0" w:color="auto"/>
              <w:right w:val="single" w:sz="4" w:space="0" w:color="auto"/>
            </w:tcBorders>
          </w:tcPr>
          <w:p w14:paraId="13A161B0" w14:textId="77777777" w:rsidR="006E2C3C" w:rsidRPr="00F3021F" w:rsidRDefault="006E2C3C" w:rsidP="00C762CF">
            <w:pPr>
              <w:spacing w:before="0"/>
              <w:rPr>
                <w:i/>
                <w:iCs/>
                <w:lang w:val="fr-FR"/>
              </w:rPr>
            </w:pPr>
            <w:r w:rsidRPr="00F3021F">
              <w:rPr>
                <w:i/>
                <w:lang w:val="fr-FR" w:bidi="fr-FR"/>
              </w:rPr>
              <w:t>CMTI</w:t>
            </w:r>
          </w:p>
        </w:tc>
        <w:tc>
          <w:tcPr>
            <w:tcW w:w="6373" w:type="dxa"/>
            <w:tcBorders>
              <w:top w:val="single" w:sz="4" w:space="0" w:color="auto"/>
              <w:left w:val="single" w:sz="4" w:space="0" w:color="auto"/>
              <w:bottom w:val="single" w:sz="4" w:space="0" w:color="auto"/>
            </w:tcBorders>
          </w:tcPr>
          <w:p w14:paraId="312D6971" w14:textId="77777777" w:rsidR="006E2C3C" w:rsidRPr="00F3021F" w:rsidRDefault="006E2C3C" w:rsidP="00C762CF">
            <w:pPr>
              <w:spacing w:before="0"/>
              <w:rPr>
                <w:szCs w:val="24"/>
                <w:lang w:val="fr-FR"/>
              </w:rPr>
            </w:pPr>
            <w:bookmarkStart w:id="115" w:name="lt_pId556"/>
            <w:r w:rsidRPr="00F3021F">
              <w:rPr>
                <w:szCs w:val="24"/>
                <w:lang w:val="fr-FR" w:bidi="fr-FR"/>
              </w:rPr>
              <w:t>Résolution 2</w:t>
            </w:r>
            <w:bookmarkEnd w:id="115"/>
          </w:p>
        </w:tc>
      </w:tr>
      <w:tr w:rsidR="006E2C3C" w:rsidRPr="00F3021F" w14:paraId="59C6987B" w14:textId="77777777" w:rsidTr="000F7A90">
        <w:trPr>
          <w:trHeight w:val="397"/>
        </w:trPr>
        <w:tc>
          <w:tcPr>
            <w:tcW w:w="3256" w:type="dxa"/>
            <w:tcBorders>
              <w:top w:val="single" w:sz="4" w:space="0" w:color="auto"/>
              <w:bottom w:val="single" w:sz="4" w:space="0" w:color="auto"/>
              <w:right w:val="single" w:sz="4" w:space="0" w:color="auto"/>
            </w:tcBorders>
          </w:tcPr>
          <w:p w14:paraId="57BB1995" w14:textId="77777777" w:rsidR="006E2C3C" w:rsidRPr="00F3021F" w:rsidRDefault="006E2C3C" w:rsidP="00C762CF">
            <w:pPr>
              <w:spacing w:before="0"/>
              <w:rPr>
                <w:i/>
                <w:iCs/>
                <w:szCs w:val="24"/>
                <w:lang w:val="fr-FR"/>
              </w:rPr>
            </w:pPr>
            <w:r w:rsidRPr="00F3021F">
              <w:rPr>
                <w:i/>
                <w:lang w:val="fr-FR" w:bidi="fr-FR"/>
              </w:rPr>
              <w:t>Grandes orientations du SMSI</w:t>
            </w:r>
          </w:p>
        </w:tc>
        <w:tc>
          <w:tcPr>
            <w:tcW w:w="6373" w:type="dxa"/>
            <w:tcBorders>
              <w:top w:val="single" w:sz="4" w:space="0" w:color="auto"/>
              <w:left w:val="single" w:sz="4" w:space="0" w:color="auto"/>
              <w:bottom w:val="single" w:sz="4" w:space="0" w:color="auto"/>
            </w:tcBorders>
          </w:tcPr>
          <w:p w14:paraId="3FD14165" w14:textId="77777777" w:rsidR="006E2C3C" w:rsidRPr="00F3021F" w:rsidRDefault="006E2C3C" w:rsidP="00C762CF">
            <w:pPr>
              <w:spacing w:before="0"/>
              <w:rPr>
                <w:szCs w:val="24"/>
                <w:lang w:val="fr-FR"/>
              </w:rPr>
            </w:pPr>
            <w:bookmarkStart w:id="116" w:name="lt_pId558"/>
            <w:r w:rsidRPr="00F3021F">
              <w:rPr>
                <w:szCs w:val="24"/>
                <w:lang w:val="fr-FR" w:bidi="fr-FR"/>
              </w:rPr>
              <w:t>Grande orientation C7</w:t>
            </w:r>
            <w:bookmarkEnd w:id="116"/>
          </w:p>
        </w:tc>
      </w:tr>
      <w:tr w:rsidR="006E2C3C" w:rsidRPr="00F3021F" w14:paraId="7BEC186A" w14:textId="77777777" w:rsidTr="000F7A90">
        <w:tc>
          <w:tcPr>
            <w:tcW w:w="3256" w:type="dxa"/>
            <w:tcBorders>
              <w:top w:val="single" w:sz="4" w:space="0" w:color="auto"/>
              <w:bottom w:val="single" w:sz="4" w:space="0" w:color="auto"/>
              <w:right w:val="single" w:sz="4" w:space="0" w:color="auto"/>
            </w:tcBorders>
          </w:tcPr>
          <w:p w14:paraId="32D489E4" w14:textId="77777777" w:rsidR="006E2C3C" w:rsidRPr="00F3021F" w:rsidRDefault="006E2C3C" w:rsidP="00C762CF">
            <w:pPr>
              <w:spacing w:before="0"/>
              <w:rPr>
                <w:i/>
                <w:iCs/>
                <w:szCs w:val="24"/>
                <w:lang w:val="fr-FR"/>
              </w:rPr>
            </w:pPr>
            <w:r w:rsidRPr="00F3021F">
              <w:rPr>
                <w:i/>
                <w:lang w:val="fr-FR" w:bidi="fr-FR"/>
              </w:rPr>
              <w:t>Contribution aux cibles des Objectifs de développement durable</w:t>
            </w:r>
          </w:p>
        </w:tc>
        <w:tc>
          <w:tcPr>
            <w:tcW w:w="6373" w:type="dxa"/>
            <w:tcBorders>
              <w:top w:val="single" w:sz="4" w:space="0" w:color="auto"/>
              <w:left w:val="single" w:sz="4" w:space="0" w:color="auto"/>
              <w:bottom w:val="single" w:sz="4" w:space="0" w:color="auto"/>
            </w:tcBorders>
          </w:tcPr>
          <w:p w14:paraId="1EBAB630" w14:textId="77777777" w:rsidR="006E2C3C" w:rsidRPr="00F3021F" w:rsidRDefault="006E2C3C" w:rsidP="00C762CF">
            <w:pPr>
              <w:spacing w:before="0"/>
              <w:rPr>
                <w:szCs w:val="24"/>
                <w:lang w:val="fr-FR"/>
              </w:rPr>
            </w:pPr>
            <w:bookmarkStart w:id="117" w:name="lt_pId560"/>
            <w:r w:rsidRPr="00F3021F">
              <w:rPr>
                <w:szCs w:val="24"/>
                <w:lang w:val="fr-FR" w:bidi="fr-FR"/>
              </w:rPr>
              <w:t>Objectifs de développement durable:</w:t>
            </w:r>
            <w:bookmarkEnd w:id="117"/>
            <w:r w:rsidRPr="00F3021F">
              <w:rPr>
                <w:szCs w:val="24"/>
                <w:lang w:val="fr-FR" w:bidi="fr-FR"/>
              </w:rPr>
              <w:t xml:space="preserve"> </w:t>
            </w:r>
            <w:bookmarkStart w:id="118" w:name="lt_pId561"/>
            <w:r w:rsidRPr="00F3021F">
              <w:rPr>
                <w:szCs w:val="24"/>
                <w:lang w:val="fr-FR" w:bidi="fr-FR"/>
              </w:rPr>
              <w:t>3 (cible 3.9), 5 (cible 5b), 9, 11 (cible 11b), 13 (cibles 13.1, 13.2 et 13.3), 14, 15</w:t>
            </w:r>
            <w:bookmarkEnd w:id="118"/>
          </w:p>
        </w:tc>
      </w:tr>
    </w:tbl>
    <w:p w14:paraId="2B719791" w14:textId="77777777" w:rsidR="006E2C3C" w:rsidRPr="00F3021F" w:rsidRDefault="006E2C3C" w:rsidP="00C762CF">
      <w:pPr>
        <w:pStyle w:val="Reasons"/>
        <w:rPr>
          <w:lang w:val="fr-FR"/>
        </w:rPr>
      </w:pPr>
    </w:p>
    <w:p w14:paraId="357EE43C" w14:textId="2DD0783C" w:rsidR="00D0314B" w:rsidRPr="00F3021F" w:rsidRDefault="006E2C3C" w:rsidP="00A80AFB">
      <w:pPr>
        <w:jc w:val="center"/>
        <w:rPr>
          <w:lang w:val="fr-FR"/>
        </w:rPr>
      </w:pPr>
      <w:r w:rsidRPr="00F3021F">
        <w:rPr>
          <w:lang w:val="fr-FR" w:bidi="fr-FR"/>
        </w:rPr>
        <w:t>______________</w:t>
      </w:r>
    </w:p>
    <w:sectPr w:rsidR="00D0314B" w:rsidRPr="00F3021F" w:rsidSect="00473791">
      <w:headerReference w:type="default" r:id="rId21"/>
      <w:foot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05FE42" w16cid:durableId="2027D11A"/>
  <w16cid:commentId w16cid:paraId="64F7EF22" w16cid:durableId="2027D1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822D4" w14:textId="77777777" w:rsidR="000F7A90" w:rsidRDefault="000F7A90">
      <w:r>
        <w:separator/>
      </w:r>
    </w:p>
  </w:endnote>
  <w:endnote w:type="continuationSeparator" w:id="0">
    <w:p w14:paraId="10C8C46F" w14:textId="77777777" w:rsidR="000F7A90" w:rsidRDefault="000F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B2"/>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BCA5" w14:textId="77777777" w:rsidR="000F7A90" w:rsidRPr="009C3D18" w:rsidRDefault="000F7A90" w:rsidP="00304E22">
    <w:pPr>
      <w:pStyle w:val="Footer"/>
      <w:rPr>
        <w:caps w:val="0"/>
        <w:szCs w:val="16"/>
        <w:lang w:val="es-ES"/>
      </w:rPr>
    </w:pPr>
    <w:r w:rsidRPr="009C3D18">
      <w:rPr>
        <w:caps w:val="0"/>
        <w:szCs w:val="16"/>
        <w:lang w:bidi="fr-FR"/>
      </w:rPr>
      <w:fldChar w:fldCharType="begin"/>
    </w:r>
    <w:r w:rsidRPr="009C3D18">
      <w:rPr>
        <w:caps w:val="0"/>
        <w:szCs w:val="16"/>
        <w:lang w:val="es-ES" w:bidi="fr-FR"/>
      </w:rPr>
      <w:instrText xml:space="preserve"> FILENAME \p \* MERGEFORMAT </w:instrText>
    </w:r>
    <w:r w:rsidRPr="009C3D18">
      <w:rPr>
        <w:caps w:val="0"/>
        <w:szCs w:val="16"/>
        <w:lang w:bidi="fr-FR"/>
      </w:rPr>
      <w:fldChar w:fldCharType="separate"/>
    </w:r>
    <w:r>
      <w:rPr>
        <w:caps w:val="0"/>
        <w:szCs w:val="16"/>
        <w:lang w:val="es-ES" w:bidi="fr-FR"/>
      </w:rPr>
      <w:t>P:\FRA\ITU-D\CONF-D\TDAG19\000\002F.docx</w:t>
    </w:r>
    <w:r w:rsidRPr="009C3D18">
      <w:rPr>
        <w:caps w:val="0"/>
        <w:szCs w:val="16"/>
        <w:lang w:bidi="fr-FR"/>
      </w:rPr>
      <w:fldChar w:fldCharType="end"/>
    </w:r>
    <w:r w:rsidRPr="009C3D18">
      <w:rPr>
        <w:caps w:val="0"/>
        <w:szCs w:val="16"/>
        <w:lang w:val="es-ES" w:bidi="fr-FR"/>
      </w:rPr>
      <w:t xml:space="preserve"> (449201)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F7A90" w:rsidRPr="004D495C" w14:paraId="2D306070" w14:textId="77777777" w:rsidTr="00127B97">
      <w:tc>
        <w:tcPr>
          <w:tcW w:w="1526" w:type="dxa"/>
          <w:tcBorders>
            <w:top w:val="single" w:sz="4" w:space="0" w:color="000000"/>
          </w:tcBorders>
          <w:shd w:val="clear" w:color="auto" w:fill="auto"/>
        </w:tcPr>
        <w:p w14:paraId="6CDF8DFD" w14:textId="77777777" w:rsidR="000F7A90" w:rsidRPr="004D495C" w:rsidRDefault="000F7A90" w:rsidP="00A454E1">
          <w:pPr>
            <w:pStyle w:val="FirstFooter"/>
            <w:tabs>
              <w:tab w:val="left" w:pos="1559"/>
              <w:tab w:val="left" w:pos="3828"/>
            </w:tabs>
            <w:rPr>
              <w:sz w:val="18"/>
              <w:szCs w:val="18"/>
            </w:rPr>
          </w:pPr>
          <w:r w:rsidRPr="004D495C">
            <w:rPr>
              <w:sz w:val="18"/>
              <w:szCs w:val="18"/>
              <w:lang w:bidi="fr-FR"/>
            </w:rPr>
            <w:t>Contact:</w:t>
          </w:r>
        </w:p>
      </w:tc>
      <w:tc>
        <w:tcPr>
          <w:tcW w:w="2410" w:type="dxa"/>
          <w:tcBorders>
            <w:top w:val="single" w:sz="4" w:space="0" w:color="000000"/>
          </w:tcBorders>
          <w:shd w:val="clear" w:color="auto" w:fill="auto"/>
        </w:tcPr>
        <w:p w14:paraId="57571793" w14:textId="77777777" w:rsidR="000F7A90" w:rsidRPr="004D495C" w:rsidRDefault="000F7A90" w:rsidP="00A454E1">
          <w:pPr>
            <w:pStyle w:val="FirstFooter"/>
            <w:tabs>
              <w:tab w:val="left" w:pos="2302"/>
            </w:tabs>
            <w:ind w:left="2302" w:hanging="2302"/>
            <w:rPr>
              <w:sz w:val="18"/>
              <w:szCs w:val="18"/>
              <w:lang w:val="en-US"/>
            </w:rPr>
          </w:pPr>
          <w:r>
            <w:rPr>
              <w:sz w:val="18"/>
              <w:szCs w:val="18"/>
              <w:lang w:bidi="fr-FR"/>
            </w:rPr>
            <w:t>Nom/Organisation/Entité:</w:t>
          </w:r>
        </w:p>
      </w:tc>
      <w:tc>
        <w:tcPr>
          <w:tcW w:w="5987" w:type="dxa"/>
          <w:tcBorders>
            <w:top w:val="single" w:sz="4" w:space="0" w:color="000000"/>
          </w:tcBorders>
          <w:shd w:val="clear" w:color="auto" w:fill="auto"/>
        </w:tcPr>
        <w:p w14:paraId="433040BD" w14:textId="6F9E6747" w:rsidR="000F7A90" w:rsidRPr="00C40791" w:rsidRDefault="000F7A90" w:rsidP="00C40791">
          <w:pPr>
            <w:pStyle w:val="FirstFooter"/>
            <w:rPr>
              <w:sz w:val="18"/>
              <w:szCs w:val="18"/>
            </w:rPr>
          </w:pPr>
          <w:bookmarkStart w:id="119" w:name="OrgName"/>
          <w:bookmarkEnd w:id="119"/>
          <w:r w:rsidRPr="00902B1D">
            <w:rPr>
              <w:sz w:val="18"/>
              <w:szCs w:val="18"/>
              <w:lang w:bidi="fr-FR"/>
            </w:rPr>
            <w:t>M. Yus</w:t>
          </w:r>
          <w:r>
            <w:rPr>
              <w:sz w:val="18"/>
              <w:szCs w:val="18"/>
              <w:lang w:bidi="fr-FR"/>
            </w:rPr>
            <w:t>hi Torigoe, Adjoint à la Directrice</w:t>
          </w:r>
          <w:r w:rsidRPr="00902B1D">
            <w:rPr>
              <w:sz w:val="18"/>
              <w:szCs w:val="18"/>
              <w:lang w:bidi="fr-FR"/>
            </w:rPr>
            <w:t xml:space="preserve"> du Bureau de développement des télécommunications</w:t>
          </w:r>
        </w:p>
      </w:tc>
    </w:tr>
    <w:tr w:rsidR="000F7A90" w:rsidRPr="004D495C" w14:paraId="255CF0CB" w14:textId="77777777" w:rsidTr="00127B97">
      <w:tc>
        <w:tcPr>
          <w:tcW w:w="1526" w:type="dxa"/>
          <w:shd w:val="clear" w:color="auto" w:fill="auto"/>
        </w:tcPr>
        <w:p w14:paraId="33F070FF" w14:textId="77777777" w:rsidR="000F7A90" w:rsidRPr="00C40791" w:rsidRDefault="000F7A90" w:rsidP="00A454E1">
          <w:pPr>
            <w:pStyle w:val="FirstFooter"/>
            <w:tabs>
              <w:tab w:val="left" w:pos="1559"/>
              <w:tab w:val="left" w:pos="3828"/>
            </w:tabs>
            <w:rPr>
              <w:sz w:val="20"/>
            </w:rPr>
          </w:pPr>
        </w:p>
      </w:tc>
      <w:tc>
        <w:tcPr>
          <w:tcW w:w="2410" w:type="dxa"/>
          <w:shd w:val="clear" w:color="auto" w:fill="auto"/>
        </w:tcPr>
        <w:p w14:paraId="2A2BA4FB" w14:textId="77777777" w:rsidR="000F7A90" w:rsidRPr="004D495C" w:rsidRDefault="000F7A90" w:rsidP="00A454E1">
          <w:pPr>
            <w:pStyle w:val="FirstFooter"/>
            <w:tabs>
              <w:tab w:val="left" w:pos="2302"/>
            </w:tabs>
            <w:rPr>
              <w:sz w:val="18"/>
              <w:szCs w:val="18"/>
              <w:lang w:val="en-US"/>
            </w:rPr>
          </w:pPr>
          <w:r>
            <w:rPr>
              <w:sz w:val="18"/>
              <w:szCs w:val="18"/>
              <w:lang w:bidi="fr-FR"/>
            </w:rPr>
            <w:t>Numéro de téléphone:</w:t>
          </w:r>
        </w:p>
      </w:tc>
      <w:tc>
        <w:tcPr>
          <w:tcW w:w="5987" w:type="dxa"/>
          <w:shd w:val="clear" w:color="auto" w:fill="auto"/>
        </w:tcPr>
        <w:p w14:paraId="6764E974" w14:textId="77777777" w:rsidR="000F7A90" w:rsidRPr="00E5653A" w:rsidRDefault="000F7A90" w:rsidP="00A454E1">
          <w:pPr>
            <w:pStyle w:val="FirstFooter"/>
            <w:tabs>
              <w:tab w:val="left" w:pos="2302"/>
            </w:tabs>
            <w:rPr>
              <w:sz w:val="18"/>
              <w:szCs w:val="18"/>
              <w:lang w:val="en-US"/>
            </w:rPr>
          </w:pPr>
          <w:bookmarkStart w:id="120" w:name="PhoneNo"/>
          <w:bookmarkEnd w:id="120"/>
          <w:r w:rsidRPr="00C40791">
            <w:rPr>
              <w:sz w:val="18"/>
              <w:szCs w:val="18"/>
              <w:lang w:bidi="fr-FR"/>
            </w:rPr>
            <w:t>+ 41 22 730 5784</w:t>
          </w:r>
        </w:p>
      </w:tc>
    </w:tr>
    <w:tr w:rsidR="000F7A90" w:rsidRPr="004D495C" w14:paraId="1B1E7B7A" w14:textId="77777777" w:rsidTr="00127B97">
      <w:tc>
        <w:tcPr>
          <w:tcW w:w="1526" w:type="dxa"/>
          <w:shd w:val="clear" w:color="auto" w:fill="auto"/>
        </w:tcPr>
        <w:p w14:paraId="798E5391" w14:textId="77777777" w:rsidR="000F7A90" w:rsidRPr="004D495C" w:rsidRDefault="000F7A90" w:rsidP="00A454E1">
          <w:pPr>
            <w:pStyle w:val="FirstFooter"/>
            <w:tabs>
              <w:tab w:val="left" w:pos="1559"/>
              <w:tab w:val="left" w:pos="3828"/>
            </w:tabs>
            <w:rPr>
              <w:sz w:val="20"/>
              <w:lang w:val="en-US"/>
            </w:rPr>
          </w:pPr>
        </w:p>
      </w:tc>
      <w:tc>
        <w:tcPr>
          <w:tcW w:w="2410" w:type="dxa"/>
          <w:shd w:val="clear" w:color="auto" w:fill="auto"/>
        </w:tcPr>
        <w:p w14:paraId="6428C7E0" w14:textId="77777777" w:rsidR="000F7A90" w:rsidRPr="004D495C" w:rsidRDefault="000F7A90" w:rsidP="00A454E1">
          <w:pPr>
            <w:pStyle w:val="FirstFooter"/>
            <w:tabs>
              <w:tab w:val="left" w:pos="2302"/>
            </w:tabs>
            <w:rPr>
              <w:sz w:val="18"/>
              <w:szCs w:val="18"/>
              <w:lang w:val="en-US"/>
            </w:rPr>
          </w:pPr>
          <w:r>
            <w:rPr>
              <w:sz w:val="18"/>
              <w:szCs w:val="18"/>
              <w:lang w:bidi="fr-FR"/>
            </w:rPr>
            <w:t>Courriel:</w:t>
          </w:r>
        </w:p>
      </w:tc>
      <w:bookmarkStart w:id="121" w:name="Email"/>
      <w:bookmarkEnd w:id="121"/>
      <w:tc>
        <w:tcPr>
          <w:tcW w:w="5987" w:type="dxa"/>
          <w:shd w:val="clear" w:color="auto" w:fill="auto"/>
        </w:tcPr>
        <w:p w14:paraId="0B88D34A" w14:textId="77777777" w:rsidR="000F7A90" w:rsidRPr="00E5653A" w:rsidRDefault="000F7A90" w:rsidP="00A454E1">
          <w:pPr>
            <w:pStyle w:val="FirstFooter"/>
            <w:tabs>
              <w:tab w:val="left" w:pos="2302"/>
            </w:tabs>
            <w:rPr>
              <w:sz w:val="18"/>
              <w:szCs w:val="18"/>
              <w:lang w:val="en-US"/>
            </w:rPr>
          </w:pPr>
          <w:r>
            <w:fldChar w:fldCharType="begin"/>
          </w:r>
          <w:r>
            <w:rPr>
              <w:lang w:bidi="fr-FR"/>
            </w:rPr>
            <w:instrText xml:space="preserve"> HYPERLINK "mailto:yushi.torigoe@itu.int" </w:instrText>
          </w:r>
          <w:r>
            <w:fldChar w:fldCharType="separate"/>
          </w:r>
          <w:r w:rsidRPr="007A235C">
            <w:rPr>
              <w:rStyle w:val="Hyperlink"/>
              <w:sz w:val="18"/>
              <w:szCs w:val="18"/>
              <w:lang w:bidi="fr-FR"/>
            </w:rPr>
            <w:t>yushi.torigoe@itu.int</w:t>
          </w:r>
          <w:r>
            <w:rPr>
              <w:rStyle w:val="Hyperlink"/>
              <w:sz w:val="18"/>
              <w:szCs w:val="18"/>
              <w:lang w:bidi="fr-FR"/>
            </w:rPr>
            <w:fldChar w:fldCharType="end"/>
          </w:r>
        </w:p>
      </w:tc>
    </w:tr>
  </w:tbl>
  <w:p w14:paraId="2132515A" w14:textId="77777777" w:rsidR="000F7A90" w:rsidRPr="008802F9" w:rsidRDefault="000D28E9" w:rsidP="00481267">
    <w:pPr>
      <w:pStyle w:val="Footer"/>
      <w:spacing w:before="120"/>
      <w:jc w:val="center"/>
    </w:pPr>
    <w:hyperlink r:id="rId1" w:history="1">
      <w:r w:rsidR="000F7A90">
        <w:rPr>
          <w:rStyle w:val="Hyperlink"/>
          <w:caps w:val="0"/>
          <w:noProof w:val="0"/>
          <w:sz w:val="18"/>
          <w:szCs w:val="18"/>
          <w:lang w:bidi="fr-FR"/>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C1365" w14:textId="77777777" w:rsidR="000F7A90" w:rsidRDefault="000F7A90">
      <w:r>
        <w:t>____________________</w:t>
      </w:r>
    </w:p>
  </w:footnote>
  <w:footnote w:type="continuationSeparator" w:id="0">
    <w:p w14:paraId="1E62B381" w14:textId="77777777" w:rsidR="000F7A90" w:rsidRDefault="000F7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E8BC5" w14:textId="77777777" w:rsidR="000F7A90" w:rsidRPr="00D0314B" w:rsidRDefault="000F7A90" w:rsidP="00D0314B">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6D271A">
      <w:rPr>
        <w:sz w:val="22"/>
        <w:szCs w:val="22"/>
        <w:lang w:val="fr-FR" w:bidi="fr-FR"/>
      </w:rPr>
      <w:tab/>
      <w:t>ITU-D/TDAG-19/2-F</w:t>
    </w:r>
    <w:r w:rsidRPr="006D271A">
      <w:rPr>
        <w:sz w:val="22"/>
        <w:szCs w:val="22"/>
        <w:lang w:val="fr-FR" w:bidi="fr-FR"/>
      </w:rPr>
      <w:tab/>
      <w:t xml:space="preserve">Page </w:t>
    </w:r>
    <w:r w:rsidRPr="00972BCD">
      <w:rPr>
        <w:sz w:val="22"/>
        <w:szCs w:val="22"/>
        <w:lang w:val="fr-FR" w:bidi="fr-FR"/>
      </w:rPr>
      <w:fldChar w:fldCharType="begin"/>
    </w:r>
    <w:r w:rsidRPr="006D271A">
      <w:rPr>
        <w:sz w:val="22"/>
        <w:szCs w:val="22"/>
        <w:lang w:val="fr-FR" w:bidi="fr-FR"/>
      </w:rPr>
      <w:instrText xml:space="preserve"> PAGE </w:instrText>
    </w:r>
    <w:r w:rsidRPr="00972BCD">
      <w:rPr>
        <w:sz w:val="22"/>
        <w:szCs w:val="22"/>
        <w:lang w:val="fr-FR" w:bidi="fr-FR"/>
      </w:rPr>
      <w:fldChar w:fldCharType="separate"/>
    </w:r>
    <w:r w:rsidR="000D28E9">
      <w:rPr>
        <w:noProof/>
        <w:sz w:val="22"/>
        <w:szCs w:val="22"/>
        <w:lang w:val="fr-FR" w:bidi="fr-FR"/>
      </w:rPr>
      <w:t>4</w:t>
    </w:r>
    <w:r w:rsidRPr="00972BCD">
      <w:rPr>
        <w:sz w:val="22"/>
        <w:szCs w:val="22"/>
        <w:lang w:val="fr-FR" w:bidi="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D6D"/>
    <w:multiLevelType w:val="hybridMultilevel"/>
    <w:tmpl w:val="E716E472"/>
    <w:lvl w:ilvl="0" w:tplc="9CDC48FC">
      <w:start w:val="1"/>
      <w:numFmt w:val="bullet"/>
      <w:lvlText w:val=""/>
      <w:lvlJc w:val="left"/>
      <w:pPr>
        <w:ind w:left="360" w:hanging="360"/>
      </w:pPr>
      <w:rPr>
        <w:rFonts w:ascii="Symbol" w:hAnsi="Symbol" w:hint="default"/>
      </w:rPr>
    </w:lvl>
    <w:lvl w:ilvl="1" w:tplc="C7080F58">
      <w:numFmt w:val="bullet"/>
      <w:lvlText w:val="•"/>
      <w:lvlJc w:val="left"/>
      <w:pPr>
        <w:ind w:left="1800" w:hanging="1080"/>
      </w:pPr>
      <w:rPr>
        <w:rFonts w:asciiTheme="minorHAnsi" w:eastAsiaTheme="minorHAnsi" w:hAnsiTheme="minorHAnsi" w:cstheme="minorBidi" w:hint="default"/>
      </w:rPr>
    </w:lvl>
    <w:lvl w:ilvl="2" w:tplc="8C620F10">
      <w:start w:val="1"/>
      <w:numFmt w:val="bullet"/>
      <w:lvlText w:val="-"/>
      <w:lvlJc w:val="left"/>
      <w:pPr>
        <w:ind w:left="2580" w:hanging="1140"/>
      </w:pPr>
      <w:rPr>
        <w:rFonts w:ascii="Calibri" w:eastAsia="Times New Roman" w:hAnsi="Calibr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F002C5"/>
    <w:multiLevelType w:val="hybridMultilevel"/>
    <w:tmpl w:val="E84AF38A"/>
    <w:lvl w:ilvl="0" w:tplc="D1AC57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4227C"/>
    <w:multiLevelType w:val="hybridMultilevel"/>
    <w:tmpl w:val="A02081CE"/>
    <w:lvl w:ilvl="0" w:tplc="B8FC49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65E504B"/>
    <w:multiLevelType w:val="hybridMultilevel"/>
    <w:tmpl w:val="2A62564A"/>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91"/>
    <w:rsid w:val="00002716"/>
    <w:rsid w:val="00005791"/>
    <w:rsid w:val="00010827"/>
    <w:rsid w:val="00015089"/>
    <w:rsid w:val="0002520B"/>
    <w:rsid w:val="0003758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28E9"/>
    <w:rsid w:val="000D3A71"/>
    <w:rsid w:val="000D58A3"/>
    <w:rsid w:val="000E3ED4"/>
    <w:rsid w:val="000E3F9C"/>
    <w:rsid w:val="000F1550"/>
    <w:rsid w:val="000F251B"/>
    <w:rsid w:val="000F335B"/>
    <w:rsid w:val="000F5FE8"/>
    <w:rsid w:val="000F6644"/>
    <w:rsid w:val="000F7530"/>
    <w:rsid w:val="000F7A90"/>
    <w:rsid w:val="00100833"/>
    <w:rsid w:val="00102F72"/>
    <w:rsid w:val="00107E85"/>
    <w:rsid w:val="00113EE8"/>
    <w:rsid w:val="0011455A"/>
    <w:rsid w:val="00114A65"/>
    <w:rsid w:val="00127B97"/>
    <w:rsid w:val="00133061"/>
    <w:rsid w:val="00141699"/>
    <w:rsid w:val="00147000"/>
    <w:rsid w:val="00156BF6"/>
    <w:rsid w:val="00163091"/>
    <w:rsid w:val="001645CB"/>
    <w:rsid w:val="00166305"/>
    <w:rsid w:val="00167545"/>
    <w:rsid w:val="001703C6"/>
    <w:rsid w:val="00173781"/>
    <w:rsid w:val="00175ADF"/>
    <w:rsid w:val="00175CAE"/>
    <w:rsid w:val="001828DB"/>
    <w:rsid w:val="00184FB9"/>
    <w:rsid w:val="001850FE"/>
    <w:rsid w:val="00185135"/>
    <w:rsid w:val="0019037C"/>
    <w:rsid w:val="001905A9"/>
    <w:rsid w:val="00191273"/>
    <w:rsid w:val="001942A7"/>
    <w:rsid w:val="0019587B"/>
    <w:rsid w:val="001A163D"/>
    <w:rsid w:val="001A441E"/>
    <w:rsid w:val="001A6733"/>
    <w:rsid w:val="001B357F"/>
    <w:rsid w:val="001C16D6"/>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13BA"/>
    <w:rsid w:val="00262908"/>
    <w:rsid w:val="002650F4"/>
    <w:rsid w:val="002715FD"/>
    <w:rsid w:val="002770B1"/>
    <w:rsid w:val="00285B33"/>
    <w:rsid w:val="00287A3C"/>
    <w:rsid w:val="002A2FC6"/>
    <w:rsid w:val="002B79A0"/>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04E22"/>
    <w:rsid w:val="00307C43"/>
    <w:rsid w:val="003125C3"/>
    <w:rsid w:val="00312AE6"/>
    <w:rsid w:val="00317D1A"/>
    <w:rsid w:val="003211FF"/>
    <w:rsid w:val="0032344C"/>
    <w:rsid w:val="00323587"/>
    <w:rsid w:val="00327247"/>
    <w:rsid w:val="00327A9D"/>
    <w:rsid w:val="0033130E"/>
    <w:rsid w:val="0033269C"/>
    <w:rsid w:val="003456B1"/>
    <w:rsid w:val="0035516C"/>
    <w:rsid w:val="00355A4C"/>
    <w:rsid w:val="003604FB"/>
    <w:rsid w:val="00360B73"/>
    <w:rsid w:val="00380B71"/>
    <w:rsid w:val="0038365A"/>
    <w:rsid w:val="003848A2"/>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267"/>
    <w:rsid w:val="00481DE9"/>
    <w:rsid w:val="00483C55"/>
    <w:rsid w:val="00490F78"/>
    <w:rsid w:val="0049128B"/>
    <w:rsid w:val="00493B49"/>
    <w:rsid w:val="00495501"/>
    <w:rsid w:val="004A070A"/>
    <w:rsid w:val="004A320E"/>
    <w:rsid w:val="004A4E9C"/>
    <w:rsid w:val="004B1A3C"/>
    <w:rsid w:val="004B38E1"/>
    <w:rsid w:val="004D2CC3"/>
    <w:rsid w:val="004D35CB"/>
    <w:rsid w:val="004E20E5"/>
    <w:rsid w:val="004E64EA"/>
    <w:rsid w:val="004E7828"/>
    <w:rsid w:val="004F46AA"/>
    <w:rsid w:val="004F6A70"/>
    <w:rsid w:val="00500AD7"/>
    <w:rsid w:val="00502ABF"/>
    <w:rsid w:val="00504DB0"/>
    <w:rsid w:val="00507C35"/>
    <w:rsid w:val="00510735"/>
    <w:rsid w:val="005127AB"/>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3830"/>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2C3C"/>
    <w:rsid w:val="006E6B2B"/>
    <w:rsid w:val="006F009A"/>
    <w:rsid w:val="006F3D93"/>
    <w:rsid w:val="007019B1"/>
    <w:rsid w:val="00721657"/>
    <w:rsid w:val="007279A8"/>
    <w:rsid w:val="00727B1A"/>
    <w:rsid w:val="00741337"/>
    <w:rsid w:val="00752258"/>
    <w:rsid w:val="007529E1"/>
    <w:rsid w:val="00753305"/>
    <w:rsid w:val="00762880"/>
    <w:rsid w:val="00762AD6"/>
    <w:rsid w:val="00762E02"/>
    <w:rsid w:val="00772290"/>
    <w:rsid w:val="00777265"/>
    <w:rsid w:val="007805E7"/>
    <w:rsid w:val="007806DB"/>
    <w:rsid w:val="0078222A"/>
    <w:rsid w:val="00784E77"/>
    <w:rsid w:val="00787D48"/>
    <w:rsid w:val="00795294"/>
    <w:rsid w:val="007A4E50"/>
    <w:rsid w:val="007B18A7"/>
    <w:rsid w:val="007B250E"/>
    <w:rsid w:val="007C27FC"/>
    <w:rsid w:val="007C51FF"/>
    <w:rsid w:val="007C7D10"/>
    <w:rsid w:val="007D50E4"/>
    <w:rsid w:val="007E30FF"/>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94DB5"/>
    <w:rsid w:val="008A00EA"/>
    <w:rsid w:val="008A3F93"/>
    <w:rsid w:val="008A6236"/>
    <w:rsid w:val="008A6E1C"/>
    <w:rsid w:val="008A72FD"/>
    <w:rsid w:val="008B2EDF"/>
    <w:rsid w:val="008B54CB"/>
    <w:rsid w:val="008B5A3D"/>
    <w:rsid w:val="008B69FB"/>
    <w:rsid w:val="008C4010"/>
    <w:rsid w:val="008C4FDF"/>
    <w:rsid w:val="008C6B1F"/>
    <w:rsid w:val="008D29AF"/>
    <w:rsid w:val="008D5E4F"/>
    <w:rsid w:val="008E7CFD"/>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3D18"/>
    <w:rsid w:val="009C5441"/>
    <w:rsid w:val="009D119F"/>
    <w:rsid w:val="009D49A2"/>
    <w:rsid w:val="009E2E4A"/>
    <w:rsid w:val="009E61CA"/>
    <w:rsid w:val="009F3940"/>
    <w:rsid w:val="009F3EB2"/>
    <w:rsid w:val="009F6EB1"/>
    <w:rsid w:val="00A11D05"/>
    <w:rsid w:val="00A13162"/>
    <w:rsid w:val="00A20267"/>
    <w:rsid w:val="00A27449"/>
    <w:rsid w:val="00A3158C"/>
    <w:rsid w:val="00A32DF3"/>
    <w:rsid w:val="00A33D2F"/>
    <w:rsid w:val="00A33E32"/>
    <w:rsid w:val="00A35E20"/>
    <w:rsid w:val="00A36F6D"/>
    <w:rsid w:val="00A454E1"/>
    <w:rsid w:val="00A50CA0"/>
    <w:rsid w:val="00A525CC"/>
    <w:rsid w:val="00A53E7C"/>
    <w:rsid w:val="00A60087"/>
    <w:rsid w:val="00A705E8"/>
    <w:rsid w:val="00A721F4"/>
    <w:rsid w:val="00A80AFB"/>
    <w:rsid w:val="00A9392C"/>
    <w:rsid w:val="00A9462B"/>
    <w:rsid w:val="00A97D59"/>
    <w:rsid w:val="00AA3E09"/>
    <w:rsid w:val="00AA4BEF"/>
    <w:rsid w:val="00AB1659"/>
    <w:rsid w:val="00AB4962"/>
    <w:rsid w:val="00AB734E"/>
    <w:rsid w:val="00AB740F"/>
    <w:rsid w:val="00AC6F14"/>
    <w:rsid w:val="00AC7221"/>
    <w:rsid w:val="00AE5961"/>
    <w:rsid w:val="00AF0745"/>
    <w:rsid w:val="00AF2635"/>
    <w:rsid w:val="00AF4971"/>
    <w:rsid w:val="00AF5276"/>
    <w:rsid w:val="00AF7C86"/>
    <w:rsid w:val="00B01046"/>
    <w:rsid w:val="00B16A86"/>
    <w:rsid w:val="00B310F9"/>
    <w:rsid w:val="00B37866"/>
    <w:rsid w:val="00B412FB"/>
    <w:rsid w:val="00B45205"/>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0791"/>
    <w:rsid w:val="00C42BA2"/>
    <w:rsid w:val="00C44066"/>
    <w:rsid w:val="00C44E13"/>
    <w:rsid w:val="00C60A41"/>
    <w:rsid w:val="00C62DE8"/>
    <w:rsid w:val="00C62DFB"/>
    <w:rsid w:val="00C630E6"/>
    <w:rsid w:val="00C63812"/>
    <w:rsid w:val="00C64AF3"/>
    <w:rsid w:val="00C66F4D"/>
    <w:rsid w:val="00C67BB5"/>
    <w:rsid w:val="00C72713"/>
    <w:rsid w:val="00C762CF"/>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314B"/>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A361F"/>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1830"/>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021F"/>
    <w:rsid w:val="00F31498"/>
    <w:rsid w:val="00F32FEF"/>
    <w:rsid w:val="00F41B1C"/>
    <w:rsid w:val="00F42DD6"/>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111"/>
    <w:rsid w:val="00FE3669"/>
    <w:rsid w:val="00FE4DA0"/>
    <w:rsid w:val="00FE5204"/>
    <w:rsid w:val="00FF287F"/>
    <w:rsid w:val="00FF4D42"/>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A42F28"/>
  <w15:docId w15:val="{DE6FAF1D-0B51-4047-A8CD-6B6B841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C40791"/>
    <w:rPr>
      <w:color w:val="800080" w:themeColor="followedHyperlink"/>
      <w:u w:val="single"/>
    </w:rPr>
  </w:style>
  <w:style w:type="character" w:customStyle="1" w:styleId="enumlev1Char">
    <w:name w:val="enumlev1 Char"/>
    <w:basedOn w:val="DefaultParagraphFont"/>
    <w:link w:val="enumlev1"/>
    <w:rsid w:val="00D0314B"/>
    <w:rPr>
      <w:rFonts w:asciiTheme="minorHAnsi" w:hAnsiTheme="minorHAnsi"/>
      <w:sz w:val="24"/>
      <w:lang w:val="fr-CH" w:eastAsia="en-US"/>
    </w:rPr>
  </w:style>
  <w:style w:type="character" w:styleId="Emphasis">
    <w:name w:val="Emphasis"/>
    <w:basedOn w:val="DefaultParagraphFont"/>
    <w:uiPriority w:val="20"/>
    <w:qFormat/>
    <w:rsid w:val="00D0314B"/>
    <w:rPr>
      <w:i/>
      <w:iCs/>
    </w:rPr>
  </w:style>
  <w:style w:type="character" w:customStyle="1" w:styleId="ListParagraphChar">
    <w:name w:val="List Paragraph Char"/>
    <w:aliases w:val="List Paragraph1 Char,Recommendation Char,List Paragraph11 Char"/>
    <w:basedOn w:val="DefaultParagraphFont"/>
    <w:link w:val="ListParagraph"/>
    <w:uiPriority w:val="34"/>
    <w:rsid w:val="008E7CFD"/>
    <w:rPr>
      <w:rFonts w:asciiTheme="minorHAnsi" w:hAnsiTheme="minorHAnsi"/>
      <w:sz w:val="24"/>
      <w:lang w:val="fr-CH" w:eastAsia="en-US"/>
    </w:rPr>
  </w:style>
  <w:style w:type="character" w:styleId="CommentReference">
    <w:name w:val="annotation reference"/>
    <w:basedOn w:val="DefaultParagraphFont"/>
    <w:semiHidden/>
    <w:unhideWhenUsed/>
    <w:rsid w:val="007C7D10"/>
    <w:rPr>
      <w:sz w:val="16"/>
      <w:szCs w:val="16"/>
    </w:rPr>
  </w:style>
  <w:style w:type="paragraph" w:styleId="CommentText">
    <w:name w:val="annotation text"/>
    <w:basedOn w:val="Normal"/>
    <w:link w:val="CommentTextChar"/>
    <w:semiHidden/>
    <w:unhideWhenUsed/>
    <w:rsid w:val="007C7D10"/>
    <w:rPr>
      <w:sz w:val="20"/>
    </w:rPr>
  </w:style>
  <w:style w:type="character" w:customStyle="1" w:styleId="CommentTextChar">
    <w:name w:val="Comment Text Char"/>
    <w:basedOn w:val="DefaultParagraphFont"/>
    <w:link w:val="CommentText"/>
    <w:semiHidden/>
    <w:rsid w:val="007C7D10"/>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7C7D10"/>
    <w:rPr>
      <w:b/>
      <w:bCs/>
    </w:rPr>
  </w:style>
  <w:style w:type="character" w:customStyle="1" w:styleId="CommentSubjectChar">
    <w:name w:val="Comment Subject Char"/>
    <w:basedOn w:val="CommentTextChar"/>
    <w:link w:val="CommentSubject"/>
    <w:semiHidden/>
    <w:rsid w:val="007C7D10"/>
    <w:rPr>
      <w:rFonts w:asciiTheme="minorHAnsi" w:hAnsiTheme="minorHAnsi"/>
      <w:b/>
      <w:bCs/>
      <w:lang w:val="fr-CH" w:eastAsia="en-US"/>
    </w:rPr>
  </w:style>
  <w:style w:type="paragraph" w:styleId="BalloonText">
    <w:name w:val="Balloon Text"/>
    <w:basedOn w:val="Normal"/>
    <w:link w:val="BalloonTextChar"/>
    <w:semiHidden/>
    <w:unhideWhenUsed/>
    <w:rsid w:val="007C7D1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C7D10"/>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net4/ITU-D/CDS/sg/blkmeetings.asp?lg=2&amp;sp=2018&amp;blk=20349" TargetMode="External"/><Relationship Id="rId18" Type="http://schemas.openxmlformats.org/officeDocument/2006/relationships/hyperlink" Target="https://www.itu.int/fr/ITU-D/Capacity-Building/Pages/events/CBS/2018/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net4/ITU-D/CDS/sg/blkmeetings.asp?lg=2&amp;sp=2018&amp;blk=20348" TargetMode="External"/><Relationship Id="rId17" Type="http://schemas.openxmlformats.org/officeDocument/2006/relationships/hyperlink" Target="https://academy.itu.int/index.php?lang=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go/Maps" TargetMode="External"/><Relationship Id="rId20" Type="http://schemas.openxmlformats.org/officeDocument/2006/relationships/hyperlink" Target="http://digitalinclusionnewslo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fr.pdf" TargetMode="External"/><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tu.int/net4/ITU-D/CDS/sg/blkmeetings.asp?lg=2&amp;sp=2018&amp;blk=20351" TargetMode="External"/><Relationship Id="rId23" Type="http://schemas.openxmlformats.org/officeDocument/2006/relationships/footer" Target="footer2.xml"/><Relationship Id="rId10" Type="http://schemas.openxmlformats.org/officeDocument/2006/relationships/hyperlink" Target="https://www.itu.int/en/ITU-D/TIES_Protected/PerfReport2018.pdf" TargetMode="External"/><Relationship Id="rId19" Type="http://schemas.openxmlformats.org/officeDocument/2006/relationships/hyperlink" Target="https://academy.itu.int/index.php?option=com_content&amp;view=article&amp;id=236&amp;Itemid=688&amp;lang=en" TargetMode="External"/><Relationship Id="rId4" Type="http://schemas.openxmlformats.org/officeDocument/2006/relationships/settings" Target="settings.xml"/><Relationship Id="rId9" Type="http://schemas.openxmlformats.org/officeDocument/2006/relationships/hyperlink" Target="https://www.itu.int/en/ITU-D/TIES_Protected/PerfReport2018.pdf" TargetMode="External"/><Relationship Id="rId14" Type="http://schemas.openxmlformats.org/officeDocument/2006/relationships/hyperlink" Target="https://www.itu.int/net4/ITU-D/CDS/sg/blkmeetings.asp?lg=2&amp;sp=2018&amp;blk=2035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B76C-9745-4A5C-B507-5B6C956E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86</TotalTime>
  <Pages>20</Pages>
  <Words>8686</Words>
  <Characters>49398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Cormier-Ribout, Kevin</dc:creator>
  <cp:lastModifiedBy>BDT</cp:lastModifiedBy>
  <cp:revision>11</cp:revision>
  <cp:lastPrinted>2019-03-06T10:28:00Z</cp:lastPrinted>
  <dcterms:created xsi:type="dcterms:W3CDTF">2019-03-06T10:14:00Z</dcterms:created>
  <dcterms:modified xsi:type="dcterms:W3CDTF">2019-03-07T11:04:00Z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