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RPr="00E266A0" w14:paraId="4DBF96FC" w14:textId="77777777" w:rsidTr="00682F01">
        <w:trPr>
          <w:cantSplit/>
          <w:trHeight w:val="1134"/>
        </w:trPr>
        <w:tc>
          <w:tcPr>
            <w:tcW w:w="6663" w:type="dxa"/>
          </w:tcPr>
          <w:p w14:paraId="14CA8566" w14:textId="5A7D4EF1" w:rsidR="00CE6A95" w:rsidRPr="00E266A0" w:rsidRDefault="00A57B36" w:rsidP="00682F01">
            <w:pPr>
              <w:ind w:left="34"/>
              <w:rPr>
                <w:b/>
                <w:bCs/>
                <w:sz w:val="32"/>
                <w:szCs w:val="32"/>
                <w:lang w:val="ru-RU"/>
              </w:rPr>
            </w:pPr>
            <w:r w:rsidRPr="00E266A0">
              <w:rPr>
                <w:rFonts w:cstheme="minorHAnsi"/>
                <w:b/>
                <w:bCs/>
                <w:sz w:val="32"/>
                <w:szCs w:val="32"/>
                <w:lang w:val="ru-RU" w:eastAsia="zh-CN"/>
              </w:rPr>
              <w:t>Консультативная группа по развитию электросвязи (КГРЭ)</w:t>
            </w:r>
          </w:p>
          <w:p w14:paraId="386C4D4E" w14:textId="495BEEC7" w:rsidR="00CE6A95" w:rsidRPr="00E266A0" w:rsidRDefault="00A57B36" w:rsidP="00682F01">
            <w:pPr>
              <w:spacing w:before="100" w:after="120"/>
              <w:ind w:left="34"/>
              <w:rPr>
                <w:rFonts w:ascii="Verdana" w:hAnsi="Verdana"/>
                <w:sz w:val="28"/>
                <w:szCs w:val="28"/>
                <w:lang w:val="ru-RU"/>
              </w:rPr>
            </w:pPr>
            <w:r w:rsidRPr="00E266A0">
              <w:rPr>
                <w:rFonts w:cstheme="minorHAnsi"/>
                <w:b/>
                <w:bCs/>
                <w:sz w:val="24"/>
                <w:szCs w:val="24"/>
                <w:lang w:val="ru-RU" w:eastAsia="zh-CN"/>
              </w:rPr>
              <w:t xml:space="preserve">24-е собрание, </w:t>
            </w:r>
            <w:r w:rsidRPr="00E266A0">
              <w:rPr>
                <w:b/>
                <w:bCs/>
                <w:sz w:val="24"/>
                <w:szCs w:val="24"/>
                <w:lang w:val="ru-RU"/>
              </w:rPr>
              <w:t>Женева, 3−5 апреля 2019 года</w:t>
            </w:r>
          </w:p>
        </w:tc>
        <w:tc>
          <w:tcPr>
            <w:tcW w:w="3225" w:type="dxa"/>
          </w:tcPr>
          <w:p w14:paraId="2DDE8C78" w14:textId="77777777" w:rsidR="00CE6A95" w:rsidRPr="00E266A0" w:rsidRDefault="00CE6A95" w:rsidP="00682F01">
            <w:pPr>
              <w:spacing w:before="0"/>
              <w:ind w:right="142"/>
              <w:jc w:val="right"/>
              <w:rPr>
                <w:lang w:val="ru-RU"/>
              </w:rPr>
            </w:pPr>
            <w:r w:rsidRPr="00E266A0">
              <w:rPr>
                <w:noProof/>
                <w:color w:val="3399FF"/>
                <w:lang w:val="en-US" w:eastAsia="zh-CN"/>
              </w:rPr>
              <w:drawing>
                <wp:inline distT="0" distB="0" distL="0" distR="0" wp14:anchorId="660B1338" wp14:editId="51ED26E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E266A0" w14:paraId="03CCD332" w14:textId="77777777" w:rsidTr="00682F01">
        <w:trPr>
          <w:cantSplit/>
        </w:trPr>
        <w:tc>
          <w:tcPr>
            <w:tcW w:w="6663" w:type="dxa"/>
            <w:tcBorders>
              <w:top w:val="single" w:sz="12" w:space="0" w:color="auto"/>
            </w:tcBorders>
          </w:tcPr>
          <w:p w14:paraId="4A100EA6" w14:textId="77777777" w:rsidR="00CE6A95" w:rsidRPr="00E266A0" w:rsidRDefault="00CE6A95" w:rsidP="00682F01">
            <w:pPr>
              <w:spacing w:before="0"/>
              <w:rPr>
                <w:rFonts w:cs="Arial"/>
                <w:b/>
                <w:bCs/>
                <w:sz w:val="20"/>
                <w:lang w:val="ru-RU"/>
              </w:rPr>
            </w:pPr>
          </w:p>
        </w:tc>
        <w:tc>
          <w:tcPr>
            <w:tcW w:w="3225" w:type="dxa"/>
            <w:tcBorders>
              <w:top w:val="single" w:sz="12" w:space="0" w:color="auto"/>
            </w:tcBorders>
          </w:tcPr>
          <w:p w14:paraId="650ECC9F" w14:textId="77777777" w:rsidR="00CE6A95" w:rsidRPr="00E266A0" w:rsidRDefault="00CE6A95" w:rsidP="00682F01">
            <w:pPr>
              <w:spacing w:before="0"/>
              <w:rPr>
                <w:b/>
                <w:bCs/>
                <w:sz w:val="20"/>
                <w:lang w:val="ru-RU"/>
              </w:rPr>
            </w:pPr>
          </w:p>
        </w:tc>
      </w:tr>
      <w:tr w:rsidR="00A57B36" w:rsidRPr="00E266A0" w14:paraId="6EC3958F" w14:textId="77777777" w:rsidTr="00682F01">
        <w:trPr>
          <w:cantSplit/>
        </w:trPr>
        <w:tc>
          <w:tcPr>
            <w:tcW w:w="6663" w:type="dxa"/>
          </w:tcPr>
          <w:p w14:paraId="63CEDA10" w14:textId="77777777" w:rsidR="00A57B36" w:rsidRPr="00E266A0" w:rsidRDefault="00A57B36" w:rsidP="00A57B36">
            <w:pPr>
              <w:pStyle w:val="Committee"/>
              <w:framePr w:hSpace="0" w:wrap="auto" w:hAnchor="text" w:yAlign="inline"/>
              <w:rPr>
                <w:b w:val="0"/>
                <w:lang w:val="ru-RU"/>
              </w:rPr>
            </w:pPr>
          </w:p>
        </w:tc>
        <w:tc>
          <w:tcPr>
            <w:tcW w:w="3225" w:type="dxa"/>
          </w:tcPr>
          <w:p w14:paraId="11907ACC" w14:textId="3E2F5A56" w:rsidR="00A57B36" w:rsidRPr="00E266A0" w:rsidRDefault="00A57B36" w:rsidP="00A57B36">
            <w:pPr>
              <w:spacing w:before="0"/>
              <w:jc w:val="both"/>
              <w:rPr>
                <w:bCs/>
                <w:szCs w:val="24"/>
                <w:lang w:val="ru-RU"/>
              </w:rPr>
            </w:pPr>
            <w:r w:rsidRPr="00E266A0">
              <w:rPr>
                <w:rFonts w:cstheme="minorHAnsi"/>
                <w:b/>
                <w:bCs/>
                <w:lang w:val="ru-RU"/>
              </w:rPr>
              <w:t xml:space="preserve">Документ </w:t>
            </w:r>
            <w:bookmarkStart w:id="0" w:name="DocRef1"/>
            <w:bookmarkEnd w:id="0"/>
            <w:r w:rsidRPr="00E266A0">
              <w:rPr>
                <w:rFonts w:cstheme="minorHAnsi"/>
                <w:b/>
                <w:bCs/>
                <w:lang w:val="ru-RU"/>
              </w:rPr>
              <w:t>TDAG-19/</w:t>
            </w:r>
            <w:bookmarkStart w:id="1" w:name="DocNo1"/>
            <w:bookmarkEnd w:id="1"/>
            <w:r w:rsidRPr="00E266A0">
              <w:rPr>
                <w:rFonts w:cstheme="minorHAnsi"/>
                <w:b/>
                <w:bCs/>
                <w:lang w:val="ru-RU"/>
              </w:rPr>
              <w:t>2-R</w:t>
            </w:r>
          </w:p>
        </w:tc>
      </w:tr>
      <w:tr w:rsidR="00A57B36" w:rsidRPr="00E266A0" w14:paraId="6E04CBEC" w14:textId="77777777" w:rsidTr="00682F01">
        <w:trPr>
          <w:cantSplit/>
        </w:trPr>
        <w:tc>
          <w:tcPr>
            <w:tcW w:w="6663" w:type="dxa"/>
          </w:tcPr>
          <w:p w14:paraId="604D8AA7" w14:textId="77777777" w:rsidR="00A57B36" w:rsidRPr="00E266A0" w:rsidRDefault="00A57B36" w:rsidP="00A57B36">
            <w:pPr>
              <w:spacing w:before="0"/>
              <w:rPr>
                <w:b/>
                <w:bCs/>
                <w:smallCaps/>
                <w:szCs w:val="24"/>
                <w:lang w:val="ru-RU"/>
              </w:rPr>
            </w:pPr>
          </w:p>
        </w:tc>
        <w:tc>
          <w:tcPr>
            <w:tcW w:w="3225" w:type="dxa"/>
          </w:tcPr>
          <w:p w14:paraId="19CD24AD" w14:textId="3367F231" w:rsidR="00A57B36" w:rsidRPr="00E266A0" w:rsidRDefault="00A57B36" w:rsidP="00A57B36">
            <w:pPr>
              <w:spacing w:before="0"/>
              <w:rPr>
                <w:b/>
                <w:szCs w:val="24"/>
                <w:lang w:val="ru-RU"/>
              </w:rPr>
            </w:pPr>
            <w:bookmarkStart w:id="2" w:name="CreationDate"/>
            <w:bookmarkEnd w:id="2"/>
            <w:r w:rsidRPr="00E266A0">
              <w:rPr>
                <w:b/>
                <w:bCs/>
                <w:lang w:val="ru-RU"/>
              </w:rPr>
              <w:t>25 января 2019 года</w:t>
            </w:r>
          </w:p>
        </w:tc>
      </w:tr>
      <w:tr w:rsidR="00A57B36" w:rsidRPr="00E266A0" w14:paraId="3C7828F7" w14:textId="77777777" w:rsidTr="00682F01">
        <w:trPr>
          <w:cantSplit/>
        </w:trPr>
        <w:tc>
          <w:tcPr>
            <w:tcW w:w="6663" w:type="dxa"/>
          </w:tcPr>
          <w:p w14:paraId="49101D16" w14:textId="77777777" w:rsidR="00A57B36" w:rsidRPr="00E266A0" w:rsidRDefault="00A57B36" w:rsidP="00A57B36">
            <w:pPr>
              <w:spacing w:before="0"/>
              <w:rPr>
                <w:b/>
                <w:bCs/>
                <w:smallCaps/>
                <w:szCs w:val="24"/>
                <w:lang w:val="ru-RU"/>
              </w:rPr>
            </w:pPr>
          </w:p>
        </w:tc>
        <w:tc>
          <w:tcPr>
            <w:tcW w:w="3225" w:type="dxa"/>
          </w:tcPr>
          <w:p w14:paraId="0A38B4AE" w14:textId="1664B2A5" w:rsidR="00A57B36" w:rsidRPr="00E266A0" w:rsidRDefault="00A57B36" w:rsidP="00A57B36">
            <w:pPr>
              <w:spacing w:before="0"/>
              <w:rPr>
                <w:szCs w:val="24"/>
                <w:lang w:val="ru-RU"/>
              </w:rPr>
            </w:pPr>
            <w:r w:rsidRPr="00E266A0">
              <w:rPr>
                <w:rFonts w:cstheme="minorHAnsi"/>
                <w:b/>
                <w:bCs/>
                <w:lang w:val="ru-RU"/>
              </w:rPr>
              <w:t>Оригинал:</w:t>
            </w:r>
            <w:bookmarkStart w:id="3" w:name="Original"/>
            <w:bookmarkEnd w:id="3"/>
            <w:r w:rsidRPr="00E266A0">
              <w:rPr>
                <w:rFonts w:cstheme="minorHAnsi"/>
                <w:b/>
                <w:bCs/>
                <w:lang w:val="ru-RU"/>
              </w:rPr>
              <w:t xml:space="preserve"> английский</w:t>
            </w:r>
          </w:p>
        </w:tc>
      </w:tr>
      <w:tr w:rsidR="00CE6A95" w:rsidRPr="00E266A0" w14:paraId="68AE7D93" w14:textId="77777777" w:rsidTr="00682F01">
        <w:trPr>
          <w:cantSplit/>
          <w:trHeight w:val="852"/>
        </w:trPr>
        <w:tc>
          <w:tcPr>
            <w:tcW w:w="9888" w:type="dxa"/>
            <w:gridSpan w:val="2"/>
          </w:tcPr>
          <w:p w14:paraId="68C85695" w14:textId="77CE9413" w:rsidR="00CE6A95" w:rsidRPr="00E266A0" w:rsidRDefault="00A57B36" w:rsidP="00A57B36">
            <w:pPr>
              <w:pStyle w:val="Source"/>
              <w:spacing w:before="240" w:after="240"/>
              <w:rPr>
                <w:sz w:val="26"/>
                <w:szCs w:val="26"/>
                <w:lang w:val="ru-RU"/>
              </w:rPr>
            </w:pPr>
            <w:bookmarkStart w:id="4" w:name="Source"/>
            <w:bookmarkEnd w:id="4"/>
            <w:r w:rsidRPr="00E266A0">
              <w:rPr>
                <w:sz w:val="26"/>
                <w:szCs w:val="26"/>
                <w:lang w:val="ru-RU"/>
              </w:rPr>
              <w:t>Директор Бюро развития электросвязи</w:t>
            </w:r>
          </w:p>
        </w:tc>
      </w:tr>
      <w:tr w:rsidR="00CE6A95" w:rsidRPr="005C1BAD" w14:paraId="6D289EE5" w14:textId="77777777" w:rsidTr="00682F01">
        <w:trPr>
          <w:cantSplit/>
        </w:trPr>
        <w:tc>
          <w:tcPr>
            <w:tcW w:w="9888" w:type="dxa"/>
            <w:gridSpan w:val="2"/>
            <w:vAlign w:val="center"/>
          </w:tcPr>
          <w:p w14:paraId="09145C61" w14:textId="566804B4" w:rsidR="00CE6A95" w:rsidRPr="00E266A0" w:rsidRDefault="00A57B36" w:rsidP="00CE6A95">
            <w:pPr>
              <w:pStyle w:val="Title1"/>
              <w:spacing w:before="120" w:after="120"/>
              <w:rPr>
                <w:sz w:val="26"/>
                <w:szCs w:val="26"/>
                <w:lang w:val="ru-RU"/>
              </w:rPr>
            </w:pPr>
            <w:bookmarkStart w:id="5" w:name="Title"/>
            <w:bookmarkEnd w:id="5"/>
            <w:r w:rsidRPr="00E266A0">
              <w:rPr>
                <w:sz w:val="26"/>
                <w:szCs w:val="26"/>
                <w:lang w:val="ru-RU"/>
              </w:rPr>
              <w:t>Отчет о проделанной работе за 2018 год</w:t>
            </w:r>
          </w:p>
        </w:tc>
      </w:tr>
      <w:tr w:rsidR="00CE6A95" w:rsidRPr="005C1BAD" w14:paraId="14D0EFF5" w14:textId="77777777" w:rsidTr="00682F01">
        <w:trPr>
          <w:cantSplit/>
        </w:trPr>
        <w:tc>
          <w:tcPr>
            <w:tcW w:w="9888" w:type="dxa"/>
            <w:gridSpan w:val="2"/>
            <w:tcBorders>
              <w:bottom w:val="single" w:sz="4" w:space="0" w:color="auto"/>
            </w:tcBorders>
          </w:tcPr>
          <w:p w14:paraId="4A64B718" w14:textId="77777777" w:rsidR="00CE6A95" w:rsidRPr="00E266A0" w:rsidRDefault="00CE6A95" w:rsidP="00682F01">
            <w:pPr>
              <w:rPr>
                <w:lang w:val="ru-RU"/>
              </w:rPr>
            </w:pPr>
          </w:p>
        </w:tc>
      </w:tr>
      <w:tr w:rsidR="00CE6A95" w:rsidRPr="005C1BAD" w14:paraId="41348CE3" w14:textId="77777777" w:rsidTr="00682F01">
        <w:trPr>
          <w:cantSplit/>
        </w:trPr>
        <w:tc>
          <w:tcPr>
            <w:tcW w:w="9888" w:type="dxa"/>
            <w:gridSpan w:val="2"/>
            <w:tcBorders>
              <w:top w:val="single" w:sz="4" w:space="0" w:color="auto"/>
              <w:left w:val="single" w:sz="4" w:space="0" w:color="auto"/>
              <w:bottom w:val="single" w:sz="4" w:space="0" w:color="auto"/>
              <w:right w:val="single" w:sz="4" w:space="0" w:color="auto"/>
            </w:tcBorders>
          </w:tcPr>
          <w:p w14:paraId="2E92547C" w14:textId="337CA886" w:rsidR="00CE6A95" w:rsidRPr="00E266A0" w:rsidRDefault="00A57B36" w:rsidP="00682F01">
            <w:pPr>
              <w:spacing w:before="240"/>
              <w:rPr>
                <w:b/>
                <w:bCs/>
                <w:szCs w:val="24"/>
                <w:lang w:val="ru-RU"/>
              </w:rPr>
            </w:pPr>
            <w:r w:rsidRPr="00E266A0">
              <w:rPr>
                <w:b/>
                <w:bCs/>
                <w:lang w:val="ru-RU"/>
              </w:rPr>
              <w:t>Резюме</w:t>
            </w:r>
          </w:p>
          <w:p w14:paraId="3EBFE1A7" w14:textId="5B56F9CD" w:rsidR="00EA6A34" w:rsidRPr="00E266A0" w:rsidRDefault="00A57B36" w:rsidP="00EA6A34">
            <w:pPr>
              <w:rPr>
                <w:szCs w:val="24"/>
                <w:lang w:val="ru-RU"/>
              </w:rPr>
            </w:pPr>
            <w:r w:rsidRPr="00E266A0">
              <w:rPr>
                <w:lang w:val="ru-RU"/>
              </w:rPr>
              <w:t xml:space="preserve">В отчете о проделанной работе за 2018 год представлено состояние реализации задач, достижения намеченных и конечных результатов, описанных в Оперативном плане МСЭ-D. Особое внимание в отчете </w:t>
            </w:r>
            <w:r w:rsidR="003A3C13" w:rsidRPr="00E266A0">
              <w:rPr>
                <w:lang w:val="ru-RU"/>
              </w:rPr>
              <w:t>уделено результатам</w:t>
            </w:r>
            <w:r w:rsidRPr="00E266A0">
              <w:rPr>
                <w:lang w:val="ru-RU"/>
              </w:rPr>
              <w:t>, полученны</w:t>
            </w:r>
            <w:r w:rsidR="008D1C43" w:rsidRPr="00E266A0">
              <w:rPr>
                <w:lang w:val="ru-RU"/>
              </w:rPr>
              <w:t>м</w:t>
            </w:r>
            <w:r w:rsidRPr="00E266A0">
              <w:rPr>
                <w:lang w:val="ru-RU"/>
              </w:rPr>
              <w:t xml:space="preserve"> в ходе выполнения задач, достижения намеченных и конечных результатов в Секторе, а также показател</w:t>
            </w:r>
            <w:r w:rsidR="008D1C43" w:rsidRPr="00E266A0">
              <w:rPr>
                <w:lang w:val="ru-RU"/>
              </w:rPr>
              <w:t>ям</w:t>
            </w:r>
            <w:r w:rsidRPr="00E266A0">
              <w:rPr>
                <w:lang w:val="ru-RU"/>
              </w:rPr>
              <w:t xml:space="preserve"> деятельности.</w:t>
            </w:r>
          </w:p>
          <w:p w14:paraId="62409DE1" w14:textId="7F6793B1" w:rsidR="00EA6A34" w:rsidRPr="00E266A0" w:rsidRDefault="0018390C" w:rsidP="00EA6A34">
            <w:pPr>
              <w:rPr>
                <w:szCs w:val="24"/>
                <w:lang w:val="ru-RU"/>
              </w:rPr>
            </w:pPr>
            <w:r w:rsidRPr="00E266A0">
              <w:rPr>
                <w:lang w:val="ru-RU"/>
              </w:rPr>
              <w:t xml:space="preserve">Полный текст отчета размещен на веб-сайте по адресу </w:t>
            </w:r>
            <w:hyperlink r:id="rId12" w:history="1">
              <w:r w:rsidRPr="00E266A0">
                <w:rPr>
                  <w:rStyle w:val="Hyperlink"/>
                  <w:szCs w:val="24"/>
                  <w:lang w:val="ru-RU"/>
                </w:rPr>
                <w:t>https://www.itu.int/en/ITU-D/TIES_Protected/PerfReport2018.pdf</w:t>
              </w:r>
            </w:hyperlink>
            <w:r w:rsidRPr="00E266A0">
              <w:rPr>
                <w:lang w:val="ru-RU"/>
              </w:rPr>
              <w:t>.</w:t>
            </w:r>
          </w:p>
          <w:p w14:paraId="63F5B540" w14:textId="3FEC7C3F" w:rsidR="00CE6A95" w:rsidRPr="00E266A0" w:rsidRDefault="0018390C" w:rsidP="00EA6A34">
            <w:pPr>
              <w:tabs>
                <w:tab w:val="clear" w:pos="1871"/>
                <w:tab w:val="clear" w:pos="2268"/>
                <w:tab w:val="left" w:pos="4429"/>
              </w:tabs>
              <w:rPr>
                <w:b/>
                <w:bCs/>
                <w:szCs w:val="24"/>
                <w:lang w:val="ru-RU"/>
              </w:rPr>
            </w:pPr>
            <w:r w:rsidRPr="00E266A0">
              <w:rPr>
                <w:b/>
                <w:bCs/>
                <w:lang w:val="ru-RU"/>
              </w:rPr>
              <w:t>Необходимые действия</w:t>
            </w:r>
          </w:p>
          <w:p w14:paraId="64374365" w14:textId="569501DA" w:rsidR="00EA6A34" w:rsidRPr="00E266A0" w:rsidRDefault="0018390C" w:rsidP="007A0020">
            <w:pPr>
              <w:tabs>
                <w:tab w:val="left" w:pos="794"/>
                <w:tab w:val="left" w:pos="1191"/>
                <w:tab w:val="left" w:pos="1588"/>
                <w:tab w:val="left" w:pos="1985"/>
              </w:tabs>
              <w:rPr>
                <w:szCs w:val="24"/>
                <w:lang w:val="ru-RU"/>
              </w:rPr>
            </w:pPr>
            <w:proofErr w:type="spellStart"/>
            <w:r w:rsidRPr="00E266A0">
              <w:rPr>
                <w:color w:val="000000"/>
                <w:lang w:val="ru-RU"/>
              </w:rPr>
              <w:t>КГРЭ</w:t>
            </w:r>
            <w:proofErr w:type="spellEnd"/>
            <w:r w:rsidRPr="00E266A0">
              <w:rPr>
                <w:color w:val="000000"/>
                <w:lang w:val="ru-RU"/>
              </w:rPr>
              <w:t xml:space="preserve"> предлагается принять </w:t>
            </w:r>
            <w:r w:rsidR="005C1BAD" w:rsidRPr="00E266A0">
              <w:rPr>
                <w:color w:val="000000"/>
                <w:lang w:val="ru-RU"/>
              </w:rPr>
              <w:t xml:space="preserve">к сведению </w:t>
            </w:r>
            <w:r w:rsidRPr="00E266A0">
              <w:rPr>
                <w:color w:val="000000"/>
                <w:lang w:val="ru-RU"/>
              </w:rPr>
              <w:t xml:space="preserve">настоящий отчет и </w:t>
            </w:r>
            <w:r w:rsidR="005C1BAD" w:rsidRPr="005C1BAD">
              <w:rPr>
                <w:color w:val="000000"/>
                <w:lang w:val="ru-RU"/>
              </w:rPr>
              <w:t>представить руководящие указания, которые она сочтет необходимыми</w:t>
            </w:r>
            <w:r w:rsidRPr="00E266A0">
              <w:rPr>
                <w:color w:val="000000"/>
                <w:lang w:val="ru-RU"/>
              </w:rPr>
              <w:t>.</w:t>
            </w:r>
          </w:p>
          <w:p w14:paraId="37217027" w14:textId="4613063A" w:rsidR="00EA6A34" w:rsidRPr="00E266A0" w:rsidRDefault="0018390C" w:rsidP="00EA6A34">
            <w:pPr>
              <w:tabs>
                <w:tab w:val="left" w:pos="794"/>
                <w:tab w:val="left" w:pos="1191"/>
                <w:tab w:val="left" w:pos="1588"/>
                <w:tab w:val="left" w:pos="1985"/>
              </w:tabs>
              <w:rPr>
                <w:b/>
                <w:bCs/>
                <w:szCs w:val="24"/>
                <w:lang w:val="ru-RU"/>
              </w:rPr>
            </w:pPr>
            <w:r w:rsidRPr="00E266A0">
              <w:rPr>
                <w:b/>
                <w:bCs/>
                <w:lang w:val="ru-RU"/>
              </w:rPr>
              <w:t>Справочные материалы</w:t>
            </w:r>
          </w:p>
          <w:p w14:paraId="18D868AE" w14:textId="4399DD3E" w:rsidR="00CE6A95" w:rsidRPr="00E266A0" w:rsidRDefault="0018390C" w:rsidP="0045294F">
            <w:pPr>
              <w:spacing w:after="120"/>
              <w:rPr>
                <w:lang w:val="ru-RU"/>
              </w:rPr>
            </w:pPr>
            <w:r w:rsidRPr="00E266A0">
              <w:rPr>
                <w:lang w:val="ru-RU"/>
              </w:rPr>
              <w:t>Пункт 215EA Конвенции МСЭ</w:t>
            </w:r>
          </w:p>
        </w:tc>
      </w:tr>
    </w:tbl>
    <w:p w14:paraId="180DCAB7" w14:textId="77777777" w:rsidR="001E252D" w:rsidRPr="00E266A0" w:rsidRDefault="001E252D" w:rsidP="001E252D">
      <w:pPr>
        <w:overflowPunct/>
        <w:autoSpaceDE/>
        <w:autoSpaceDN/>
        <w:adjustRightInd/>
        <w:textAlignment w:val="auto"/>
        <w:rPr>
          <w:lang w:val="ru-RU"/>
        </w:rPr>
      </w:pPr>
    </w:p>
    <w:p w14:paraId="642697AF" w14:textId="77777777" w:rsidR="001E252D" w:rsidRPr="00E266A0" w:rsidRDefault="001E252D">
      <w:pPr>
        <w:tabs>
          <w:tab w:val="clear" w:pos="1134"/>
          <w:tab w:val="clear" w:pos="1871"/>
          <w:tab w:val="clear" w:pos="2268"/>
        </w:tabs>
        <w:overflowPunct/>
        <w:autoSpaceDE/>
        <w:autoSpaceDN/>
        <w:adjustRightInd/>
        <w:spacing w:before="0"/>
        <w:textAlignment w:val="auto"/>
        <w:rPr>
          <w:szCs w:val="24"/>
          <w:lang w:val="ru-RU"/>
        </w:rPr>
      </w:pPr>
    </w:p>
    <w:p w14:paraId="3796002C" w14:textId="77777777" w:rsidR="00075C63" w:rsidRPr="00E266A0" w:rsidRDefault="00075C63">
      <w:pPr>
        <w:tabs>
          <w:tab w:val="clear" w:pos="1134"/>
          <w:tab w:val="clear" w:pos="1871"/>
          <w:tab w:val="clear" w:pos="2268"/>
        </w:tabs>
        <w:overflowPunct/>
        <w:autoSpaceDE/>
        <w:autoSpaceDN/>
        <w:adjustRightInd/>
        <w:spacing w:before="0"/>
        <w:textAlignment w:val="auto"/>
        <w:rPr>
          <w:szCs w:val="24"/>
          <w:lang w:val="ru-RU"/>
        </w:rPr>
      </w:pPr>
      <w:r w:rsidRPr="00E266A0">
        <w:rPr>
          <w:szCs w:val="24"/>
          <w:lang w:val="ru-RU"/>
        </w:rPr>
        <w:br w:type="page"/>
      </w:r>
    </w:p>
    <w:p w14:paraId="10916B88" w14:textId="15F43C97" w:rsidR="00F974A4" w:rsidRPr="00E266A0" w:rsidRDefault="00851395" w:rsidP="00F974A4">
      <w:pPr>
        <w:rPr>
          <w:b/>
          <w:bCs/>
          <w:szCs w:val="24"/>
          <w:lang w:val="ru-RU"/>
        </w:rPr>
      </w:pPr>
      <w:r w:rsidRPr="00E266A0">
        <w:rPr>
          <w:b/>
          <w:lang w:val="ru-RU"/>
        </w:rPr>
        <w:lastRenderedPageBreak/>
        <w:t xml:space="preserve">Краткое содержание </w:t>
      </w:r>
      <w:r w:rsidR="0045294F" w:rsidRPr="00E266A0">
        <w:rPr>
          <w:b/>
          <w:lang w:val="ru-RU"/>
        </w:rPr>
        <w:t xml:space="preserve">отчета </w:t>
      </w:r>
      <w:r w:rsidRPr="00E266A0">
        <w:rPr>
          <w:b/>
          <w:lang w:val="ru-RU"/>
        </w:rPr>
        <w:t>о проделанной работе за 2018 год</w:t>
      </w:r>
    </w:p>
    <w:p w14:paraId="35D70830" w14:textId="0C15CFF5" w:rsidR="00F974A4" w:rsidRPr="00E266A0" w:rsidRDefault="00851395" w:rsidP="00F974A4">
      <w:pPr>
        <w:rPr>
          <w:szCs w:val="24"/>
          <w:lang w:val="ru-RU"/>
        </w:rPr>
      </w:pPr>
      <w:r w:rsidRPr="00E266A0">
        <w:rPr>
          <w:lang w:val="ru-RU"/>
        </w:rPr>
        <w:t xml:space="preserve">В </w:t>
      </w:r>
      <w:r w:rsidR="0045294F" w:rsidRPr="00E266A0">
        <w:rPr>
          <w:lang w:val="ru-RU"/>
        </w:rPr>
        <w:t xml:space="preserve">отчете </w:t>
      </w:r>
      <w:r w:rsidRPr="00E266A0">
        <w:rPr>
          <w:lang w:val="ru-RU"/>
        </w:rPr>
        <w:t>о проделанной работе за 2018</w:t>
      </w:r>
      <w:r w:rsidR="00C92409" w:rsidRPr="00E266A0">
        <w:rPr>
          <w:lang w:val="ru-RU"/>
        </w:rPr>
        <w:t> </w:t>
      </w:r>
      <w:r w:rsidRPr="00E266A0">
        <w:rPr>
          <w:lang w:val="ru-RU"/>
        </w:rPr>
        <w:t>год проводится сравнение конечных результатов и</w:t>
      </w:r>
      <w:r w:rsidR="00C92409" w:rsidRPr="00E266A0">
        <w:rPr>
          <w:lang w:val="ru-RU"/>
        </w:rPr>
        <w:t> </w:t>
      </w:r>
      <w:r w:rsidRPr="00E266A0">
        <w:rPr>
          <w:lang w:val="ru-RU"/>
        </w:rPr>
        <w:t>достижений, ожидаемых и достигнутых результатов, а также приводятся соответствующие показатели деятельности. В нем также содержится оценка угроз и рисков за 2018</w:t>
      </w:r>
      <w:r w:rsidR="00C92409" w:rsidRPr="00E266A0">
        <w:rPr>
          <w:lang w:val="ru-RU"/>
        </w:rPr>
        <w:t> </w:t>
      </w:r>
      <w:r w:rsidRPr="00E266A0">
        <w:rPr>
          <w:lang w:val="ru-RU"/>
        </w:rPr>
        <w:t xml:space="preserve">год. Показатели определены для каждой задачи и каждого соответствующего намеченного результата деятельности. Полный текст отчета размещен на веб-сайте по адресу </w:t>
      </w:r>
      <w:hyperlink r:id="rId13" w:history="1">
        <w:r w:rsidRPr="00E266A0">
          <w:rPr>
            <w:rStyle w:val="Hyperlink"/>
            <w:szCs w:val="24"/>
            <w:shd w:val="clear" w:color="auto" w:fill="FFFFFF" w:themeFill="background1"/>
            <w:lang w:val="ru-RU"/>
          </w:rPr>
          <w:t>https://www.itu.int/en/ITU-D/TIES_Protected/PerfReport2018.pdf</w:t>
        </w:r>
      </w:hyperlink>
      <w:r w:rsidRPr="00E266A0">
        <w:rPr>
          <w:lang w:val="ru-RU"/>
        </w:rPr>
        <w:t>.</w:t>
      </w:r>
      <w:r w:rsidR="00F974A4" w:rsidRPr="00E266A0">
        <w:rPr>
          <w:szCs w:val="24"/>
          <w:lang w:val="ru-RU"/>
        </w:rPr>
        <w:t xml:space="preserve"> </w:t>
      </w:r>
    </w:p>
    <w:p w14:paraId="1561F3BB" w14:textId="2C6A838D" w:rsidR="00F974A4" w:rsidRPr="00E266A0" w:rsidRDefault="008B1508" w:rsidP="00F974A4">
      <w:pPr>
        <w:rPr>
          <w:szCs w:val="24"/>
          <w:lang w:val="ru-RU"/>
        </w:rPr>
      </w:pPr>
      <w:r w:rsidRPr="00E266A0">
        <w:rPr>
          <w:lang w:val="ru-RU"/>
        </w:rPr>
        <w:t>Ниже приводятся основные результаты, достигнутые БРЭ в рамках выполнения его задач в течение 2018 года.</w:t>
      </w:r>
    </w:p>
    <w:p w14:paraId="69CFFBB0" w14:textId="27333183" w:rsidR="00F974A4" w:rsidRPr="00E266A0" w:rsidRDefault="008B1508" w:rsidP="00F974A4">
      <w:pPr>
        <w:pStyle w:val="ListParagraph"/>
        <w:keepNext/>
        <w:numPr>
          <w:ilvl w:val="0"/>
          <w:numId w:val="39"/>
        </w:numPr>
        <w:spacing w:after="120"/>
        <w:ind w:left="357" w:hanging="357"/>
        <w:contextualSpacing w:val="0"/>
        <w:rPr>
          <w:b/>
          <w:bCs/>
          <w:szCs w:val="24"/>
          <w:lang w:val="ru-RU"/>
        </w:rPr>
      </w:pPr>
      <w:r w:rsidRPr="00E266A0">
        <w:rPr>
          <w:b/>
          <w:lang w:val="ru-RU"/>
        </w:rPr>
        <w:t xml:space="preserve">Задача 1. </w:t>
      </w:r>
      <w:r w:rsidR="0045294F">
        <w:rPr>
          <w:b/>
          <w:lang w:val="ru-RU"/>
        </w:rPr>
        <w:t>Содействовать</w:t>
      </w:r>
      <w:r w:rsidRPr="00E266A0">
        <w:rPr>
          <w:b/>
          <w:lang w:val="ru-RU"/>
        </w:rPr>
        <w:t xml:space="preserve"> международному сотрудничеству по вопросам развития электросвязи/ИКТ</w:t>
      </w:r>
    </w:p>
    <w:p w14:paraId="6AF775F6" w14:textId="4F1F0E3F" w:rsidR="00F974A4" w:rsidRPr="00E266A0" w:rsidRDefault="008B1508" w:rsidP="00612977">
      <w:pPr>
        <w:pStyle w:val="ListParagraph"/>
        <w:keepNext/>
        <w:numPr>
          <w:ilvl w:val="1"/>
          <w:numId w:val="43"/>
        </w:numPr>
        <w:spacing w:after="120"/>
        <w:ind w:left="357" w:hanging="357"/>
        <w:contextualSpacing w:val="0"/>
        <w:rPr>
          <w:b/>
          <w:bCs/>
          <w:szCs w:val="24"/>
          <w:lang w:val="ru-RU"/>
        </w:rPr>
      </w:pPr>
      <w:r w:rsidRPr="00E266A0">
        <w:rPr>
          <w:b/>
          <w:lang w:val="ru-RU"/>
        </w:rPr>
        <w:t>Всемирная конференция по развитию электросвязи (ВКРЭ)</w:t>
      </w:r>
    </w:p>
    <w:tbl>
      <w:tblPr>
        <w:tblStyle w:val="TableGrid"/>
        <w:tblW w:w="9776" w:type="dxa"/>
        <w:tblLook w:val="04A0" w:firstRow="1" w:lastRow="0" w:firstColumn="1" w:lastColumn="0" w:noHBand="0" w:noVBand="1"/>
      </w:tblPr>
      <w:tblGrid>
        <w:gridCol w:w="2689"/>
        <w:gridCol w:w="7087"/>
      </w:tblGrid>
      <w:tr w:rsidR="00F974A4" w:rsidRPr="005C1BAD" w14:paraId="2B5FA2EB" w14:textId="77777777" w:rsidTr="00682F01">
        <w:tc>
          <w:tcPr>
            <w:tcW w:w="9776" w:type="dxa"/>
            <w:gridSpan w:val="2"/>
          </w:tcPr>
          <w:p w14:paraId="32755534" w14:textId="26953626" w:rsidR="00F974A4" w:rsidRPr="00E266A0" w:rsidRDefault="004D0B91" w:rsidP="00D3034E">
            <w:pPr>
              <w:shd w:val="clear" w:color="auto" w:fill="FFFFFF" w:themeFill="background1"/>
              <w:spacing w:before="60" w:after="60"/>
              <w:rPr>
                <w:rStyle w:val="Emphasis"/>
                <w:color w:val="000000" w:themeColor="text1"/>
                <w:szCs w:val="24"/>
                <w:lang w:val="ru-RU"/>
              </w:rPr>
            </w:pPr>
            <w:r w:rsidRPr="00E266A0">
              <w:rPr>
                <w:rFonts w:cstheme="minorHAnsi"/>
                <w:szCs w:val="22"/>
                <w:lang w:val="ru-RU"/>
              </w:rPr>
              <w:t xml:space="preserve">Следующая Всемирная конференция по развитию электросвязи (ВКРЭ) состоится в 2021 году. </w:t>
            </w:r>
            <w:hyperlink r:id="rId14" w:history="1">
              <w:r w:rsidR="0030533E" w:rsidRPr="00E266A0">
                <w:rPr>
                  <w:rStyle w:val="Hyperlink"/>
                  <w:rFonts w:cstheme="minorHAnsi"/>
                  <w:szCs w:val="22"/>
                  <w:lang w:val="ru-RU"/>
                </w:rPr>
                <w:t>Стал доступным</w:t>
              </w:r>
            </w:hyperlink>
            <w:r w:rsidRPr="00E266A0">
              <w:rPr>
                <w:rFonts w:cstheme="minorHAnsi"/>
                <w:szCs w:val="22"/>
                <w:lang w:val="ru-RU"/>
              </w:rPr>
              <w:t xml:space="preserve"> Заключительный отчет Всемирной конференции по развитию электросвязи 2017 года (ВКРЭ-17), которая состоялась в Буэнос-Айресе, Аргентина, 9–20 октября 2017 года</w:t>
            </w:r>
            <w:r w:rsidRPr="00E266A0">
              <w:rPr>
                <w:rStyle w:val="Emphasis"/>
                <w:rFonts w:cstheme="minorHAnsi"/>
                <w:color w:val="000000" w:themeColor="text1"/>
                <w:szCs w:val="22"/>
                <w:lang w:val="ru-RU"/>
              </w:rPr>
              <w:t>.</w:t>
            </w:r>
          </w:p>
          <w:p w14:paraId="5A528906" w14:textId="1224C8E3" w:rsidR="00F974A4" w:rsidRPr="00E266A0" w:rsidRDefault="004D0B91" w:rsidP="00D3034E">
            <w:pPr>
              <w:spacing w:before="60" w:after="60"/>
              <w:rPr>
                <w:i/>
                <w:iCs/>
                <w:lang w:val="ru-RU"/>
              </w:rPr>
            </w:pPr>
            <w:r w:rsidRPr="00E266A0">
              <w:rPr>
                <w:rFonts w:cstheme="minorHAnsi"/>
                <w:szCs w:val="22"/>
                <w:lang w:val="ru-RU"/>
              </w:rPr>
              <w:t xml:space="preserve">С 5 по 9 февраля 2018 года в Женеве было проведено выездное совещание руководства БРЭ. Участники проанализировали текущее состояние дел в отрасли ИКТ в свете решений ВКРЭ-17, а также вопрос о том, как Бюро развития электросвязи МСЭ (БРЭ) будет выполнять свой мандат в быстро меняющейся, все более сложной и </w:t>
            </w:r>
            <w:r w:rsidR="0030533E" w:rsidRPr="00E266A0">
              <w:rPr>
                <w:rFonts w:cstheme="minorHAnsi"/>
                <w:szCs w:val="22"/>
                <w:lang w:val="ru-RU"/>
              </w:rPr>
              <w:t>трудной</w:t>
            </w:r>
            <w:r w:rsidRPr="00E266A0">
              <w:rPr>
                <w:rFonts w:cstheme="minorHAnsi"/>
                <w:szCs w:val="22"/>
                <w:lang w:val="ru-RU"/>
              </w:rPr>
              <w:t xml:space="preserve"> обстановке. Основные области, которые были обсуждены в ходе выездного совещания, составляют основу для формирования надежных стратегии и </w:t>
            </w:r>
            <w:r w:rsidR="0045294F" w:rsidRPr="00E266A0">
              <w:rPr>
                <w:rFonts w:cstheme="minorHAnsi"/>
                <w:szCs w:val="22"/>
                <w:lang w:val="ru-RU"/>
              </w:rPr>
              <w:t xml:space="preserve">Плана </w:t>
            </w:r>
            <w:r w:rsidRPr="00E266A0">
              <w:rPr>
                <w:rFonts w:cstheme="minorHAnsi"/>
                <w:szCs w:val="22"/>
                <w:lang w:val="ru-RU"/>
              </w:rPr>
              <w:t xml:space="preserve">действий, </w:t>
            </w:r>
            <w:r w:rsidR="0030533E" w:rsidRPr="00E266A0">
              <w:rPr>
                <w:rFonts w:cstheme="minorHAnsi"/>
                <w:szCs w:val="22"/>
                <w:lang w:val="ru-RU"/>
              </w:rPr>
              <w:t>с тем чтобы</w:t>
            </w:r>
            <w:r w:rsidRPr="00E266A0">
              <w:rPr>
                <w:rFonts w:cstheme="minorHAnsi"/>
                <w:szCs w:val="22"/>
                <w:lang w:val="ru-RU"/>
              </w:rPr>
              <w:t xml:space="preserve"> БРЭ мог</w:t>
            </w:r>
            <w:r w:rsidR="0045294F">
              <w:rPr>
                <w:rFonts w:cstheme="minorHAnsi"/>
                <w:szCs w:val="22"/>
                <w:lang w:val="ru-RU"/>
              </w:rPr>
              <w:t>ло</w:t>
            </w:r>
            <w:r w:rsidRPr="00E266A0">
              <w:rPr>
                <w:rFonts w:cstheme="minorHAnsi"/>
                <w:szCs w:val="22"/>
                <w:lang w:val="ru-RU"/>
              </w:rPr>
              <w:t xml:space="preserve"> бы отреагировать на масштабные изменения, происходящие в отрасли, в то же время оправдывая большие надежды членов.</w:t>
            </w:r>
          </w:p>
        </w:tc>
      </w:tr>
      <w:tr w:rsidR="004D0B91" w:rsidRPr="00E266A0" w14:paraId="5206BD9A" w14:textId="77777777" w:rsidTr="00682F01">
        <w:tc>
          <w:tcPr>
            <w:tcW w:w="2689" w:type="dxa"/>
          </w:tcPr>
          <w:p w14:paraId="0EF9CEE4" w14:textId="2EE72103" w:rsidR="004D0B91" w:rsidRPr="00E266A0" w:rsidRDefault="004D0B91" w:rsidP="002D1A01">
            <w:pPr>
              <w:spacing w:before="40" w:after="40"/>
              <w:rPr>
                <w:i/>
                <w:iCs/>
                <w:szCs w:val="24"/>
                <w:lang w:val="ru-RU"/>
              </w:rPr>
            </w:pPr>
            <w:proofErr w:type="spellStart"/>
            <w:r w:rsidRPr="00E266A0">
              <w:rPr>
                <w:rFonts w:cstheme="minorHAnsi"/>
                <w:i/>
                <w:iCs/>
                <w:szCs w:val="22"/>
                <w:lang w:val="ru-RU"/>
              </w:rPr>
              <w:t>ВКРЭ</w:t>
            </w:r>
            <w:proofErr w:type="spellEnd"/>
            <w:r w:rsidRPr="00E266A0" w:rsidDel="00010C22">
              <w:rPr>
                <w:rFonts w:cstheme="minorHAnsi"/>
                <w:i/>
                <w:iCs/>
                <w:szCs w:val="22"/>
                <w:lang w:val="ru-RU"/>
              </w:rPr>
              <w:t xml:space="preserve"> </w:t>
            </w:r>
          </w:p>
        </w:tc>
        <w:tc>
          <w:tcPr>
            <w:tcW w:w="7087" w:type="dxa"/>
          </w:tcPr>
          <w:p w14:paraId="2082B92D" w14:textId="7D8D87DB" w:rsidR="004D0B91" w:rsidRPr="00E266A0" w:rsidRDefault="004D0B91" w:rsidP="002D1A01">
            <w:pPr>
              <w:spacing w:before="40" w:after="40"/>
              <w:rPr>
                <w:szCs w:val="24"/>
                <w:lang w:val="ru-RU"/>
              </w:rPr>
            </w:pPr>
            <w:r w:rsidRPr="00E266A0">
              <w:rPr>
                <w:rFonts w:cstheme="minorHAnsi"/>
                <w:szCs w:val="22"/>
                <w:lang w:val="ru-RU"/>
              </w:rPr>
              <w:t>Резолюции 1, 2, 5, 30, 33, 37, 50, 53, 59, 81, 82</w:t>
            </w:r>
          </w:p>
        </w:tc>
      </w:tr>
      <w:tr w:rsidR="00626992" w:rsidRPr="00E266A0" w14:paraId="2FC12623" w14:textId="77777777" w:rsidTr="00682F01">
        <w:trPr>
          <w:trHeight w:val="397"/>
        </w:trPr>
        <w:tc>
          <w:tcPr>
            <w:tcW w:w="2689" w:type="dxa"/>
          </w:tcPr>
          <w:p w14:paraId="67A49702" w14:textId="1DDA7B6A" w:rsidR="00626992" w:rsidRPr="00E266A0" w:rsidRDefault="00626992" w:rsidP="002D1A01">
            <w:pPr>
              <w:spacing w:before="40" w:after="40"/>
              <w:rPr>
                <w:i/>
                <w:iCs/>
                <w:szCs w:val="24"/>
                <w:lang w:val="ru-RU"/>
              </w:rPr>
            </w:pPr>
            <w:r w:rsidRPr="00E266A0">
              <w:rPr>
                <w:rFonts w:cstheme="minorHAnsi"/>
                <w:i/>
                <w:iCs/>
                <w:szCs w:val="22"/>
                <w:lang w:val="ru-RU"/>
              </w:rPr>
              <w:t>Полномочная конференция</w:t>
            </w:r>
          </w:p>
        </w:tc>
        <w:tc>
          <w:tcPr>
            <w:tcW w:w="7087" w:type="dxa"/>
          </w:tcPr>
          <w:p w14:paraId="398455BF" w14:textId="77777777" w:rsidR="00626992" w:rsidRPr="00E266A0" w:rsidRDefault="00626992" w:rsidP="002D1A01">
            <w:pPr>
              <w:spacing w:before="40" w:after="40"/>
              <w:rPr>
                <w:rFonts w:cstheme="minorHAnsi"/>
                <w:szCs w:val="22"/>
                <w:lang w:val="ru-RU"/>
              </w:rPr>
            </w:pPr>
            <w:r w:rsidRPr="00E266A0">
              <w:rPr>
                <w:rFonts w:cstheme="minorHAnsi"/>
                <w:szCs w:val="22"/>
                <w:lang w:val="ru-RU"/>
              </w:rPr>
              <w:t>Решения 5, 13</w:t>
            </w:r>
          </w:p>
          <w:p w14:paraId="712B935C" w14:textId="24DA6338" w:rsidR="00626992" w:rsidRPr="00E266A0" w:rsidRDefault="00626992" w:rsidP="002D1A01">
            <w:pPr>
              <w:spacing w:before="40" w:after="40"/>
              <w:rPr>
                <w:szCs w:val="24"/>
                <w:lang w:val="ru-RU"/>
              </w:rPr>
            </w:pPr>
            <w:r w:rsidRPr="00E266A0">
              <w:rPr>
                <w:rFonts w:cstheme="minorHAnsi"/>
                <w:szCs w:val="22"/>
                <w:lang w:val="ru-RU"/>
              </w:rPr>
              <w:t>Резолюции 25, 71, 72, 77, 111, 131, 133, 135, 139, 140, 151, 154, 165, 167</w:t>
            </w:r>
          </w:p>
        </w:tc>
      </w:tr>
      <w:tr w:rsidR="00626992" w:rsidRPr="00E266A0" w14:paraId="675ABC3A" w14:textId="77777777" w:rsidTr="00682F01">
        <w:tc>
          <w:tcPr>
            <w:tcW w:w="2689" w:type="dxa"/>
          </w:tcPr>
          <w:p w14:paraId="1FE0CDFB" w14:textId="6C8471FF" w:rsidR="00626992" w:rsidRPr="00E266A0" w:rsidRDefault="00626992" w:rsidP="002D1A01">
            <w:pPr>
              <w:spacing w:before="40" w:after="40"/>
              <w:rPr>
                <w:i/>
                <w:iCs/>
                <w:szCs w:val="24"/>
                <w:lang w:val="ru-RU"/>
              </w:rPr>
            </w:pPr>
            <w:r w:rsidRPr="00E266A0">
              <w:rPr>
                <w:rFonts w:cstheme="minorHAnsi"/>
                <w:i/>
                <w:iCs/>
                <w:szCs w:val="22"/>
                <w:lang w:val="ru-RU"/>
              </w:rPr>
              <w:t>Совет</w:t>
            </w:r>
          </w:p>
        </w:tc>
        <w:tc>
          <w:tcPr>
            <w:tcW w:w="7087" w:type="dxa"/>
          </w:tcPr>
          <w:p w14:paraId="0E4AD1AE" w14:textId="60CDE582" w:rsidR="00626992" w:rsidRPr="00E266A0" w:rsidRDefault="00626992" w:rsidP="002D1A01">
            <w:pPr>
              <w:spacing w:before="40" w:after="40"/>
              <w:rPr>
                <w:szCs w:val="24"/>
                <w:lang w:val="ru-RU"/>
              </w:rPr>
            </w:pPr>
            <w:r w:rsidRPr="00E266A0">
              <w:rPr>
                <w:rFonts w:cstheme="minorHAnsi"/>
                <w:szCs w:val="22"/>
                <w:lang w:val="ru-RU"/>
              </w:rPr>
              <w:t>Резолюция 1372</w:t>
            </w:r>
          </w:p>
        </w:tc>
      </w:tr>
      <w:tr w:rsidR="00626992" w:rsidRPr="005C1BAD" w14:paraId="095FF528" w14:textId="77777777" w:rsidTr="00682F01">
        <w:tc>
          <w:tcPr>
            <w:tcW w:w="2689" w:type="dxa"/>
            <w:shd w:val="clear" w:color="auto" w:fill="auto"/>
          </w:tcPr>
          <w:p w14:paraId="1EF3E9DE" w14:textId="215CA965" w:rsidR="00626992" w:rsidRPr="00E266A0" w:rsidRDefault="00626992" w:rsidP="002D1A01">
            <w:pPr>
              <w:spacing w:before="40" w:after="40"/>
              <w:rPr>
                <w:i/>
                <w:iCs/>
                <w:szCs w:val="24"/>
                <w:lang w:val="ru-RU"/>
              </w:rPr>
            </w:pPr>
            <w:r w:rsidRPr="00E266A0">
              <w:rPr>
                <w:rFonts w:cstheme="minorHAnsi"/>
                <w:i/>
                <w:iCs/>
                <w:szCs w:val="22"/>
                <w:lang w:val="ru-RU"/>
              </w:rPr>
              <w:t>Направления деятельности ВВУИО</w:t>
            </w:r>
          </w:p>
        </w:tc>
        <w:tc>
          <w:tcPr>
            <w:tcW w:w="7087" w:type="dxa"/>
            <w:shd w:val="clear" w:color="auto" w:fill="auto"/>
          </w:tcPr>
          <w:p w14:paraId="0E5FB99A" w14:textId="472C15C9" w:rsidR="00626992" w:rsidRPr="00E266A0" w:rsidRDefault="00626992" w:rsidP="002D1A01">
            <w:pPr>
              <w:spacing w:before="40" w:after="40"/>
              <w:rPr>
                <w:szCs w:val="24"/>
                <w:lang w:val="ru-RU"/>
              </w:rPr>
            </w:pPr>
            <w:r w:rsidRPr="00E266A0">
              <w:rPr>
                <w:rFonts w:cstheme="minorHAnsi"/>
                <w:szCs w:val="22"/>
                <w:lang w:val="ru-RU"/>
              </w:rPr>
              <w:t>Направления деятельности C1 и C11 ВВУИО</w:t>
            </w:r>
          </w:p>
        </w:tc>
      </w:tr>
      <w:tr w:rsidR="00626992" w:rsidRPr="005C1BAD" w14:paraId="5F5B260A" w14:textId="77777777" w:rsidTr="00682F01">
        <w:tc>
          <w:tcPr>
            <w:tcW w:w="2689" w:type="dxa"/>
            <w:shd w:val="clear" w:color="auto" w:fill="auto"/>
          </w:tcPr>
          <w:p w14:paraId="414CB973" w14:textId="721665D5" w:rsidR="00626992" w:rsidRPr="00E266A0" w:rsidRDefault="00626992" w:rsidP="002D1A01">
            <w:pPr>
              <w:spacing w:before="40" w:after="40"/>
              <w:rPr>
                <w:i/>
                <w:iCs/>
                <w:szCs w:val="24"/>
                <w:lang w:val="ru-RU"/>
              </w:rPr>
            </w:pPr>
            <w:r w:rsidRPr="00E266A0">
              <w:rPr>
                <w:rFonts w:cstheme="minorHAnsi"/>
                <w:i/>
                <w:iCs/>
                <w:szCs w:val="22"/>
                <w:lang w:val="ru-RU"/>
              </w:rPr>
              <w:t>Вклад в выполнение задач ЦУР</w:t>
            </w:r>
          </w:p>
        </w:tc>
        <w:tc>
          <w:tcPr>
            <w:tcW w:w="7087" w:type="dxa"/>
            <w:shd w:val="clear" w:color="auto" w:fill="auto"/>
          </w:tcPr>
          <w:p w14:paraId="37735A47" w14:textId="566D9757" w:rsidR="00626992" w:rsidRPr="00E266A0" w:rsidRDefault="0045294F" w:rsidP="0045294F">
            <w:pPr>
              <w:spacing w:before="40" w:after="40"/>
              <w:rPr>
                <w:szCs w:val="24"/>
                <w:lang w:val="ru-RU"/>
              </w:rPr>
            </w:pPr>
            <w:r>
              <w:rPr>
                <w:rFonts w:cstheme="minorHAnsi"/>
                <w:szCs w:val="22"/>
                <w:lang w:val="ru-RU"/>
              </w:rPr>
              <w:t>ЦУР</w:t>
            </w:r>
            <w:r w:rsidR="00626992" w:rsidRPr="00E266A0">
              <w:rPr>
                <w:rFonts w:cstheme="minorHAnsi"/>
                <w:szCs w:val="22"/>
                <w:lang w:val="ru-RU"/>
              </w:rPr>
              <w:t xml:space="preserve"> 1, 3 (задача 3.d), 5, 10, 16 (задачи 16.5, 16.6, 16.8),</w:t>
            </w:r>
            <w:r w:rsidR="00626992" w:rsidRPr="00E266A0">
              <w:rPr>
                <w:rFonts w:cstheme="minorHAnsi"/>
                <w:szCs w:val="22"/>
                <w:lang w:val="ru-RU"/>
              </w:rPr>
              <w:br/>
              <w:t>17 (задачи 17.9, 17.16, 17.17, 17.18, 17.19)</w:t>
            </w:r>
          </w:p>
        </w:tc>
      </w:tr>
    </w:tbl>
    <w:p w14:paraId="46CF3C14" w14:textId="7350DFCA" w:rsidR="00F974A4" w:rsidRPr="00E266A0" w:rsidRDefault="00626992" w:rsidP="00612977">
      <w:pPr>
        <w:pStyle w:val="ListParagraph"/>
        <w:keepNext/>
        <w:numPr>
          <w:ilvl w:val="1"/>
          <w:numId w:val="43"/>
        </w:numPr>
        <w:spacing w:after="120"/>
        <w:ind w:left="357" w:hanging="357"/>
        <w:contextualSpacing w:val="0"/>
        <w:rPr>
          <w:b/>
          <w:bCs/>
          <w:szCs w:val="24"/>
          <w:lang w:val="ru-RU"/>
        </w:rPr>
      </w:pPr>
      <w:r w:rsidRPr="00E266A0">
        <w:rPr>
          <w:b/>
          <w:lang w:val="ru-RU"/>
        </w:rPr>
        <w:t>Региональные подготовительные собрания (</w:t>
      </w:r>
      <w:proofErr w:type="spellStart"/>
      <w:r w:rsidRPr="00E266A0">
        <w:rPr>
          <w:b/>
          <w:lang w:val="ru-RU"/>
        </w:rPr>
        <w:t>РПС</w:t>
      </w:r>
      <w:proofErr w:type="spellEnd"/>
      <w:r w:rsidRPr="00E266A0">
        <w:rPr>
          <w:b/>
          <w:lang w:val="ru-RU"/>
        </w:rPr>
        <w:t>)</w:t>
      </w:r>
    </w:p>
    <w:tbl>
      <w:tblPr>
        <w:tblStyle w:val="TableGrid"/>
        <w:tblW w:w="0" w:type="auto"/>
        <w:tblLook w:val="04A0" w:firstRow="1" w:lastRow="0" w:firstColumn="1" w:lastColumn="0" w:noHBand="0" w:noVBand="1"/>
      </w:tblPr>
      <w:tblGrid>
        <w:gridCol w:w="2689"/>
        <w:gridCol w:w="6940"/>
      </w:tblGrid>
      <w:tr w:rsidR="00F974A4" w:rsidRPr="005C1BAD" w14:paraId="4B7C89ED" w14:textId="77777777" w:rsidTr="00682F01">
        <w:tc>
          <w:tcPr>
            <w:tcW w:w="9629" w:type="dxa"/>
            <w:gridSpan w:val="2"/>
          </w:tcPr>
          <w:p w14:paraId="17409B11" w14:textId="65339903" w:rsidR="00F974A4" w:rsidRPr="00E266A0" w:rsidRDefault="00626992" w:rsidP="00D3034E">
            <w:pPr>
              <w:shd w:val="clear" w:color="auto" w:fill="FFFFFF" w:themeFill="background1"/>
              <w:spacing w:before="60"/>
              <w:rPr>
                <w:rStyle w:val="Emphasis"/>
                <w:i w:val="0"/>
                <w:iCs w:val="0"/>
                <w:color w:val="000000" w:themeColor="text1"/>
                <w:szCs w:val="24"/>
                <w:lang w:val="ru-RU"/>
              </w:rPr>
            </w:pPr>
            <w:r w:rsidRPr="00E266A0">
              <w:rPr>
                <w:szCs w:val="22"/>
                <w:lang w:val="ru-RU"/>
              </w:rPr>
              <w:t>Следующие региональные подготовительные собрания (РПС) будут проведены в 2020 и 2021 годах.</w:t>
            </w:r>
          </w:p>
          <w:p w14:paraId="24899FD0" w14:textId="782A0D41" w:rsidR="00F974A4" w:rsidRPr="00E266A0" w:rsidRDefault="003659E0" w:rsidP="00D3034E">
            <w:pPr>
              <w:spacing w:before="60"/>
              <w:rPr>
                <w:rStyle w:val="Emphasis"/>
                <w:rFonts w:eastAsia="Batang"/>
                <w:i w:val="0"/>
                <w:iCs w:val="0"/>
                <w:color w:val="000000" w:themeColor="text1"/>
                <w:szCs w:val="24"/>
                <w:lang w:val="ru-RU"/>
              </w:rPr>
            </w:pPr>
            <w:r w:rsidRPr="00E266A0">
              <w:rPr>
                <w:rFonts w:eastAsia="Batang"/>
                <w:szCs w:val="22"/>
                <w:lang w:val="ru-RU"/>
              </w:rPr>
              <w:t xml:space="preserve">В целях содействия осуществлению региональных инициатив в 2018 году был проведен ряд региональных форумов </w:t>
            </w:r>
            <w:r w:rsidRPr="00E266A0">
              <w:rPr>
                <w:szCs w:val="22"/>
                <w:lang w:val="ru-RU"/>
              </w:rPr>
              <w:t>по вопросам развития, а именно</w:t>
            </w:r>
            <w:r w:rsidRPr="00E266A0">
              <w:rPr>
                <w:rFonts w:eastAsia="Batang"/>
                <w:szCs w:val="22"/>
                <w:lang w:val="ru-RU"/>
              </w:rPr>
              <w:t>:</w:t>
            </w:r>
          </w:p>
          <w:p w14:paraId="4EC4B0B9" w14:textId="4604C8D3" w:rsidR="00F974A4" w:rsidRPr="00E266A0" w:rsidRDefault="003659E0" w:rsidP="00D3034E">
            <w:pPr>
              <w:pStyle w:val="ListParagraph"/>
              <w:numPr>
                <w:ilvl w:val="0"/>
                <w:numId w:val="44"/>
              </w:numPr>
              <w:tabs>
                <w:tab w:val="clear" w:pos="1134"/>
                <w:tab w:val="clear" w:pos="1871"/>
                <w:tab w:val="clear" w:pos="2268"/>
              </w:tabs>
              <w:overflowPunct/>
              <w:autoSpaceDE/>
              <w:autoSpaceDN/>
              <w:adjustRightInd/>
              <w:spacing w:before="20" w:after="20"/>
              <w:ind w:left="357" w:hanging="357"/>
              <w:textAlignment w:val="auto"/>
              <w:rPr>
                <w:szCs w:val="24"/>
                <w:lang w:val="ru-RU"/>
              </w:rPr>
            </w:pPr>
            <w:r w:rsidRPr="00E266A0">
              <w:rPr>
                <w:szCs w:val="22"/>
                <w:lang w:val="ru-RU"/>
              </w:rPr>
              <w:t>Региональный форум МСЭ по вопросам развития для стран Африки в Аккре, Гана, 19−20 июля 2018 года;</w:t>
            </w:r>
          </w:p>
          <w:p w14:paraId="6ABC91F4" w14:textId="26A64621" w:rsidR="00F974A4" w:rsidRPr="00E266A0" w:rsidRDefault="003659E0" w:rsidP="00D3034E">
            <w:pPr>
              <w:pStyle w:val="ListParagraph"/>
              <w:numPr>
                <w:ilvl w:val="0"/>
                <w:numId w:val="44"/>
              </w:numPr>
              <w:tabs>
                <w:tab w:val="clear" w:pos="1134"/>
                <w:tab w:val="clear" w:pos="1871"/>
                <w:tab w:val="clear" w:pos="2268"/>
              </w:tabs>
              <w:overflowPunct/>
              <w:autoSpaceDE/>
              <w:autoSpaceDN/>
              <w:adjustRightInd/>
              <w:spacing w:before="20" w:after="20"/>
              <w:textAlignment w:val="auto"/>
              <w:rPr>
                <w:szCs w:val="24"/>
                <w:lang w:val="ru-RU"/>
              </w:rPr>
            </w:pPr>
            <w:r w:rsidRPr="00E266A0">
              <w:rPr>
                <w:szCs w:val="22"/>
                <w:lang w:val="ru-RU"/>
              </w:rPr>
              <w:t>Региональный форум МСЭ по вопросам развития для арабских государств в Алжире, Алжир, 12−13 февраля 2018 года;</w:t>
            </w:r>
          </w:p>
          <w:p w14:paraId="5F383B4B" w14:textId="7D357298" w:rsidR="00F974A4" w:rsidRPr="00E266A0" w:rsidRDefault="003659E0" w:rsidP="00D3034E">
            <w:pPr>
              <w:pStyle w:val="ListParagraph"/>
              <w:numPr>
                <w:ilvl w:val="0"/>
                <w:numId w:val="44"/>
              </w:numPr>
              <w:tabs>
                <w:tab w:val="clear" w:pos="1134"/>
                <w:tab w:val="clear" w:pos="1871"/>
                <w:tab w:val="clear" w:pos="2268"/>
              </w:tabs>
              <w:overflowPunct/>
              <w:autoSpaceDE/>
              <w:autoSpaceDN/>
              <w:adjustRightInd/>
              <w:spacing w:before="20" w:after="20"/>
              <w:textAlignment w:val="auto"/>
              <w:rPr>
                <w:rFonts w:cstheme="minorHAnsi"/>
                <w:szCs w:val="24"/>
                <w:lang w:val="ru-RU"/>
              </w:rPr>
            </w:pPr>
            <w:r w:rsidRPr="00E266A0">
              <w:rPr>
                <w:rFonts w:cstheme="minorHAnsi"/>
                <w:szCs w:val="22"/>
                <w:lang w:val="ru-RU"/>
              </w:rPr>
              <w:t xml:space="preserve">Региональный форум МСЭ по вопросам развития для стран </w:t>
            </w:r>
            <w:r w:rsidRPr="00E266A0">
              <w:rPr>
                <w:rFonts w:cstheme="minorHAnsi"/>
                <w:color w:val="000000"/>
                <w:shd w:val="clear" w:color="auto" w:fill="FFFFFF"/>
                <w:lang w:val="ru-RU"/>
              </w:rPr>
              <w:t xml:space="preserve">региона Северной и Южной Америки </w:t>
            </w:r>
            <w:r w:rsidRPr="00E266A0">
              <w:rPr>
                <w:rFonts w:cstheme="minorHAnsi"/>
                <w:szCs w:val="22"/>
                <w:lang w:val="ru-RU"/>
              </w:rPr>
              <w:t>в Лиме, Перу, 25</w:t>
            </w:r>
            <w:r w:rsidR="00D307C0" w:rsidRPr="00E266A0">
              <w:rPr>
                <w:rFonts w:cstheme="minorHAnsi"/>
                <w:szCs w:val="22"/>
                <w:lang w:val="ru-RU"/>
              </w:rPr>
              <w:t> </w:t>
            </w:r>
            <w:r w:rsidRPr="00E266A0">
              <w:rPr>
                <w:rFonts w:cstheme="minorHAnsi"/>
                <w:szCs w:val="22"/>
                <w:lang w:val="ru-RU"/>
              </w:rPr>
              <w:t>мая 2018 года;</w:t>
            </w:r>
          </w:p>
          <w:p w14:paraId="0B479D8B" w14:textId="71C7CC63" w:rsidR="00F974A4" w:rsidRPr="00E266A0" w:rsidRDefault="002E2953" w:rsidP="00D3034E">
            <w:pPr>
              <w:pStyle w:val="ListParagraph"/>
              <w:numPr>
                <w:ilvl w:val="0"/>
                <w:numId w:val="44"/>
              </w:numPr>
              <w:tabs>
                <w:tab w:val="clear" w:pos="1134"/>
                <w:tab w:val="clear" w:pos="1871"/>
                <w:tab w:val="clear" w:pos="2268"/>
              </w:tabs>
              <w:overflowPunct/>
              <w:autoSpaceDE/>
              <w:autoSpaceDN/>
              <w:adjustRightInd/>
              <w:spacing w:before="20" w:after="20"/>
              <w:textAlignment w:val="auto"/>
              <w:rPr>
                <w:szCs w:val="24"/>
                <w:lang w:val="ru-RU"/>
              </w:rPr>
            </w:pPr>
            <w:r w:rsidRPr="00E266A0">
              <w:rPr>
                <w:szCs w:val="22"/>
                <w:lang w:val="ru-RU"/>
              </w:rPr>
              <w:t>Региональный форум МСЭ по вопросам развития для стран Азиатско-Тихоокеанского региона в Бангкоке, Таиланд, 21−22 мая 2018 года;</w:t>
            </w:r>
          </w:p>
          <w:p w14:paraId="5573832F" w14:textId="56296C5B" w:rsidR="00F974A4" w:rsidRPr="00E266A0" w:rsidRDefault="002E2953" w:rsidP="00D3034E">
            <w:pPr>
              <w:pStyle w:val="ListParagraph"/>
              <w:numPr>
                <w:ilvl w:val="0"/>
                <w:numId w:val="44"/>
              </w:numPr>
              <w:tabs>
                <w:tab w:val="clear" w:pos="1134"/>
                <w:tab w:val="clear" w:pos="1871"/>
                <w:tab w:val="clear" w:pos="2268"/>
              </w:tabs>
              <w:overflowPunct/>
              <w:autoSpaceDE/>
              <w:autoSpaceDN/>
              <w:adjustRightInd/>
              <w:spacing w:before="20" w:after="20"/>
              <w:textAlignment w:val="auto"/>
              <w:rPr>
                <w:szCs w:val="24"/>
                <w:lang w:val="ru-RU"/>
              </w:rPr>
            </w:pPr>
            <w:r w:rsidRPr="00E266A0">
              <w:rPr>
                <w:rFonts w:cs="Arial"/>
                <w:szCs w:val="22"/>
                <w:shd w:val="clear" w:color="auto" w:fill="FFFFFF"/>
                <w:lang w:val="ru-RU"/>
              </w:rPr>
              <w:t>Региональный форум МСЭ по вопросам развития для европейских государств в Праге</w:t>
            </w:r>
            <w:r w:rsidRPr="00E266A0">
              <w:rPr>
                <w:szCs w:val="22"/>
                <w:lang w:val="ru-RU"/>
              </w:rPr>
              <w:t>, Чешская Республика, 11 июня 2018 года.</w:t>
            </w:r>
          </w:p>
        </w:tc>
      </w:tr>
      <w:tr w:rsidR="002E2953" w:rsidRPr="00E266A0" w14:paraId="13070D17" w14:textId="77777777" w:rsidTr="00682F01">
        <w:tc>
          <w:tcPr>
            <w:tcW w:w="2689" w:type="dxa"/>
          </w:tcPr>
          <w:p w14:paraId="03C41980" w14:textId="231CE1AB" w:rsidR="002E2953" w:rsidRPr="00E266A0" w:rsidRDefault="002E2953" w:rsidP="002D1A01">
            <w:pPr>
              <w:spacing w:before="40" w:after="40"/>
              <w:rPr>
                <w:i/>
                <w:iCs/>
                <w:szCs w:val="24"/>
                <w:lang w:val="ru-RU"/>
              </w:rPr>
            </w:pPr>
            <w:proofErr w:type="spellStart"/>
            <w:r w:rsidRPr="00E266A0">
              <w:rPr>
                <w:i/>
                <w:iCs/>
                <w:szCs w:val="22"/>
                <w:lang w:val="ru-RU"/>
              </w:rPr>
              <w:lastRenderedPageBreak/>
              <w:t>ВКРЭ</w:t>
            </w:r>
            <w:proofErr w:type="spellEnd"/>
            <w:r w:rsidRPr="00E266A0" w:rsidDel="007F59BB">
              <w:rPr>
                <w:i/>
                <w:iCs/>
                <w:szCs w:val="22"/>
                <w:lang w:val="ru-RU"/>
              </w:rPr>
              <w:t xml:space="preserve"> </w:t>
            </w:r>
          </w:p>
        </w:tc>
        <w:tc>
          <w:tcPr>
            <w:tcW w:w="6940" w:type="dxa"/>
          </w:tcPr>
          <w:p w14:paraId="1512F328" w14:textId="6D5C1608" w:rsidR="002E2953" w:rsidRPr="00E266A0" w:rsidRDefault="002E2953" w:rsidP="002D1A01">
            <w:pPr>
              <w:spacing w:before="40" w:after="40"/>
              <w:rPr>
                <w:szCs w:val="24"/>
                <w:lang w:val="ru-RU"/>
              </w:rPr>
            </w:pPr>
            <w:r w:rsidRPr="00E266A0">
              <w:rPr>
                <w:szCs w:val="22"/>
                <w:lang w:val="ru-RU"/>
              </w:rPr>
              <w:t>Резолюции 1, 5, 17, 25, 30, 31, 33, 37, 48, 50, 59, 61, 81</w:t>
            </w:r>
          </w:p>
        </w:tc>
      </w:tr>
      <w:tr w:rsidR="002E2953" w:rsidRPr="00E266A0" w14:paraId="38D6DE39" w14:textId="77777777" w:rsidTr="00682F01">
        <w:tc>
          <w:tcPr>
            <w:tcW w:w="2689" w:type="dxa"/>
          </w:tcPr>
          <w:p w14:paraId="108DF0BE" w14:textId="4E932E21" w:rsidR="002E2953" w:rsidRPr="00E266A0" w:rsidRDefault="002E2953" w:rsidP="002D1A01">
            <w:pPr>
              <w:spacing w:before="40" w:after="40"/>
              <w:rPr>
                <w:i/>
                <w:iCs/>
                <w:szCs w:val="24"/>
                <w:lang w:val="ru-RU"/>
              </w:rPr>
            </w:pPr>
            <w:r w:rsidRPr="00E266A0">
              <w:rPr>
                <w:i/>
                <w:iCs/>
                <w:szCs w:val="22"/>
                <w:lang w:val="ru-RU"/>
              </w:rPr>
              <w:t>Полномочная конференция</w:t>
            </w:r>
          </w:p>
        </w:tc>
        <w:tc>
          <w:tcPr>
            <w:tcW w:w="6940" w:type="dxa"/>
          </w:tcPr>
          <w:p w14:paraId="3FC0B0DF" w14:textId="77777777" w:rsidR="002E2953" w:rsidRPr="00E266A0" w:rsidRDefault="002E2953" w:rsidP="002D1A01">
            <w:pPr>
              <w:spacing w:before="40" w:after="40"/>
              <w:rPr>
                <w:szCs w:val="22"/>
                <w:lang w:val="ru-RU"/>
              </w:rPr>
            </w:pPr>
            <w:r w:rsidRPr="00E266A0">
              <w:rPr>
                <w:szCs w:val="22"/>
                <w:lang w:val="ru-RU"/>
              </w:rPr>
              <w:t>Решения 5, 13 ПК</w:t>
            </w:r>
          </w:p>
          <w:p w14:paraId="70639EFA" w14:textId="5E4E2185" w:rsidR="002E2953" w:rsidRPr="00E266A0" w:rsidRDefault="002E2953" w:rsidP="002D1A01">
            <w:pPr>
              <w:spacing w:before="40" w:after="40"/>
              <w:rPr>
                <w:szCs w:val="24"/>
                <w:lang w:val="ru-RU"/>
              </w:rPr>
            </w:pPr>
            <w:r w:rsidRPr="00E266A0">
              <w:rPr>
                <w:szCs w:val="22"/>
                <w:lang w:val="ru-RU"/>
              </w:rPr>
              <w:t>Резолюции 25, 71, 111, 135, 140, 165, 167 ПК</w:t>
            </w:r>
          </w:p>
        </w:tc>
      </w:tr>
      <w:tr w:rsidR="002E2953" w:rsidRPr="005C1BAD" w14:paraId="6609A9DA" w14:textId="77777777" w:rsidTr="00682F01">
        <w:tc>
          <w:tcPr>
            <w:tcW w:w="2689" w:type="dxa"/>
          </w:tcPr>
          <w:p w14:paraId="2617FEDC" w14:textId="2BF04640" w:rsidR="002E2953" w:rsidRPr="00E266A0" w:rsidRDefault="002E2953" w:rsidP="002D1A01">
            <w:pPr>
              <w:spacing w:before="40" w:after="40"/>
              <w:rPr>
                <w:i/>
                <w:iCs/>
                <w:szCs w:val="24"/>
                <w:lang w:val="ru-RU"/>
              </w:rPr>
            </w:pPr>
            <w:r w:rsidRPr="00E266A0">
              <w:rPr>
                <w:i/>
                <w:iCs/>
                <w:szCs w:val="22"/>
                <w:lang w:val="ru-RU"/>
              </w:rPr>
              <w:t>Направления деятельности ВВУИО</w:t>
            </w:r>
          </w:p>
        </w:tc>
        <w:tc>
          <w:tcPr>
            <w:tcW w:w="6940" w:type="dxa"/>
          </w:tcPr>
          <w:p w14:paraId="019902B6" w14:textId="5F9AFD58" w:rsidR="002E2953" w:rsidRPr="00E266A0" w:rsidRDefault="002E2953" w:rsidP="002D1A01">
            <w:pPr>
              <w:spacing w:before="40" w:after="40"/>
              <w:rPr>
                <w:szCs w:val="24"/>
                <w:lang w:val="ru-RU"/>
              </w:rPr>
            </w:pPr>
            <w:r w:rsidRPr="00E266A0">
              <w:rPr>
                <w:szCs w:val="22"/>
                <w:lang w:val="ru-RU"/>
              </w:rPr>
              <w:t>Направления деятельности C1 и C11 ВВУИО</w:t>
            </w:r>
          </w:p>
        </w:tc>
      </w:tr>
      <w:tr w:rsidR="002E2953" w:rsidRPr="005C1BAD" w14:paraId="63EB8F6C" w14:textId="77777777" w:rsidTr="00682F01">
        <w:tc>
          <w:tcPr>
            <w:tcW w:w="2689" w:type="dxa"/>
          </w:tcPr>
          <w:p w14:paraId="1BC5F0B5" w14:textId="120BF9E4" w:rsidR="002E2953" w:rsidRPr="00E266A0" w:rsidRDefault="002E2953" w:rsidP="002D1A01">
            <w:pPr>
              <w:spacing w:before="40" w:after="40"/>
              <w:rPr>
                <w:i/>
                <w:iCs/>
                <w:szCs w:val="24"/>
                <w:lang w:val="ru-RU"/>
              </w:rPr>
            </w:pPr>
            <w:r w:rsidRPr="00E266A0">
              <w:rPr>
                <w:i/>
                <w:iCs/>
                <w:szCs w:val="22"/>
                <w:lang w:val="ru-RU"/>
              </w:rPr>
              <w:t>Вклад в выполнение задач ЦУР</w:t>
            </w:r>
          </w:p>
        </w:tc>
        <w:tc>
          <w:tcPr>
            <w:tcW w:w="6940" w:type="dxa"/>
          </w:tcPr>
          <w:p w14:paraId="13B00CE6" w14:textId="3A44DB80" w:rsidR="002E2953" w:rsidRPr="00E266A0" w:rsidRDefault="002E2953" w:rsidP="0045294F">
            <w:pPr>
              <w:spacing w:before="40" w:after="40"/>
              <w:rPr>
                <w:szCs w:val="24"/>
                <w:lang w:val="ru-RU"/>
              </w:rPr>
            </w:pPr>
            <w:r w:rsidRPr="00E266A0">
              <w:rPr>
                <w:szCs w:val="22"/>
                <w:lang w:val="ru-RU"/>
              </w:rPr>
              <w:t xml:space="preserve">ЦУР 1, 3 (задача 3.d), 5, 10, 16 (задачи 16.5, 16.6, 16.8), </w:t>
            </w:r>
            <w:r w:rsidRPr="00E266A0">
              <w:rPr>
                <w:szCs w:val="22"/>
                <w:lang w:val="ru-RU"/>
              </w:rPr>
              <w:br/>
              <w:t>17 (задачи 17.9, 17.16, 17.17, 17.18, 17.19)</w:t>
            </w:r>
            <w:r w:rsidRPr="00E266A0">
              <w:rPr>
                <w:b/>
                <w:color w:val="800000"/>
                <w:szCs w:val="22"/>
                <w:lang w:val="ru-RU"/>
              </w:rPr>
              <w:t xml:space="preserve"> </w:t>
            </w:r>
          </w:p>
        </w:tc>
      </w:tr>
    </w:tbl>
    <w:p w14:paraId="5EEA0118" w14:textId="674C4375" w:rsidR="00F974A4" w:rsidRPr="00E266A0" w:rsidRDefault="00001139" w:rsidP="00612977">
      <w:pPr>
        <w:pStyle w:val="ListParagraph"/>
        <w:keepNext/>
        <w:numPr>
          <w:ilvl w:val="1"/>
          <w:numId w:val="43"/>
        </w:numPr>
        <w:spacing w:after="120"/>
        <w:ind w:left="357" w:hanging="357"/>
        <w:contextualSpacing w:val="0"/>
        <w:rPr>
          <w:b/>
          <w:bCs/>
          <w:szCs w:val="24"/>
          <w:lang w:val="ru-RU"/>
        </w:rPr>
      </w:pPr>
      <w:r w:rsidRPr="00E266A0">
        <w:rPr>
          <w:b/>
          <w:lang w:val="ru-RU"/>
        </w:rPr>
        <w:t>Консультативная группа по развитию электросвязи (КГРЭ)</w:t>
      </w:r>
    </w:p>
    <w:tbl>
      <w:tblPr>
        <w:tblStyle w:val="TableGrid"/>
        <w:tblW w:w="0" w:type="auto"/>
        <w:tblLook w:val="04A0" w:firstRow="1" w:lastRow="0" w:firstColumn="1" w:lastColumn="0" w:noHBand="0" w:noVBand="1"/>
      </w:tblPr>
      <w:tblGrid>
        <w:gridCol w:w="2689"/>
        <w:gridCol w:w="6940"/>
      </w:tblGrid>
      <w:tr w:rsidR="00F974A4" w:rsidRPr="00E266A0" w14:paraId="6D15BFA1" w14:textId="77777777" w:rsidTr="00682F01">
        <w:tc>
          <w:tcPr>
            <w:tcW w:w="9629" w:type="dxa"/>
            <w:gridSpan w:val="2"/>
          </w:tcPr>
          <w:p w14:paraId="5238CDE9" w14:textId="0DC40C8B" w:rsidR="00F974A4" w:rsidRPr="00E266A0" w:rsidRDefault="00001139" w:rsidP="002D1A01">
            <w:pPr>
              <w:spacing w:after="120"/>
              <w:rPr>
                <w:i/>
                <w:iCs/>
                <w:color w:val="000000" w:themeColor="text1"/>
                <w:szCs w:val="24"/>
                <w:lang w:val="ru-RU"/>
              </w:rPr>
            </w:pPr>
            <w:r w:rsidRPr="00E266A0">
              <w:rPr>
                <w:rStyle w:val="Emphasis"/>
                <w:i w:val="0"/>
                <w:iCs w:val="0"/>
                <w:color w:val="000000" w:themeColor="text1"/>
                <w:szCs w:val="22"/>
                <w:lang w:val="ru-RU"/>
              </w:rPr>
              <w:t>23</w:t>
            </w:r>
            <w:r w:rsidRPr="00E266A0">
              <w:rPr>
                <w:rStyle w:val="Emphasis"/>
                <w:i w:val="0"/>
                <w:iCs w:val="0"/>
                <w:color w:val="000000" w:themeColor="text1"/>
                <w:szCs w:val="22"/>
                <w:lang w:val="ru-RU"/>
              </w:rPr>
              <w:noBreakHyphen/>
              <w:t>е собрание Консультативной группы по развитию электросвязи (КГРЭ) состоялось с 9 по 11 апреля 2018 года в штаб-квартире МСЭ в Женеве.</w:t>
            </w:r>
          </w:p>
          <w:p w14:paraId="68403577" w14:textId="526A3E7D" w:rsidR="00F974A4" w:rsidRPr="00E266A0" w:rsidRDefault="00DD2B90" w:rsidP="002D1A01">
            <w:pPr>
              <w:spacing w:after="120"/>
              <w:rPr>
                <w:rStyle w:val="Emphasis"/>
                <w:i w:val="0"/>
                <w:iCs w:val="0"/>
                <w:color w:val="000000" w:themeColor="text1"/>
                <w:szCs w:val="24"/>
                <w:lang w:val="ru-RU"/>
              </w:rPr>
            </w:pPr>
            <w:r w:rsidRPr="00E266A0">
              <w:rPr>
                <w:rFonts w:cs="Segoe UI"/>
                <w:szCs w:val="22"/>
                <w:lang w:val="ru-RU"/>
              </w:rPr>
              <w:t>Повестка дня 23</w:t>
            </w:r>
            <w:r w:rsidRPr="00E266A0">
              <w:rPr>
                <w:rFonts w:cs="Segoe UI"/>
                <w:szCs w:val="22"/>
                <w:lang w:val="ru-RU"/>
              </w:rPr>
              <w:noBreakHyphen/>
              <w:t>го собрания КГРЭ была обширна, поскольку это было первое собрание КГРЭ после ВКРЭ-17. В частности на собрании обсуждались следующие темы</w:t>
            </w:r>
            <w:r w:rsidR="00E05840">
              <w:rPr>
                <w:rFonts w:cs="Segoe UI"/>
                <w:szCs w:val="22"/>
                <w:lang w:val="ru-RU"/>
              </w:rPr>
              <w:t>:</w:t>
            </w:r>
          </w:p>
          <w:p w14:paraId="024FFD90" w14:textId="3A4F8534" w:rsidR="00F974A4" w:rsidRPr="00E266A0" w:rsidRDefault="00E05840" w:rsidP="002D1A01">
            <w:pPr>
              <w:pStyle w:val="ListParagraph"/>
              <w:numPr>
                <w:ilvl w:val="0"/>
                <w:numId w:val="45"/>
              </w:numPr>
              <w:tabs>
                <w:tab w:val="clear" w:pos="1134"/>
                <w:tab w:val="clear" w:pos="1871"/>
                <w:tab w:val="clear" w:pos="2268"/>
              </w:tabs>
              <w:overflowPunct/>
              <w:autoSpaceDE/>
              <w:autoSpaceDN/>
              <w:adjustRightInd/>
              <w:spacing w:before="40" w:after="40"/>
              <w:ind w:left="357" w:hanging="357"/>
              <w:contextualSpacing w:val="0"/>
              <w:textAlignment w:val="auto"/>
              <w:rPr>
                <w:rFonts w:cs="Calibri"/>
                <w:szCs w:val="24"/>
                <w:lang w:val="ru-RU"/>
              </w:rPr>
            </w:pPr>
            <w:r w:rsidRPr="00E266A0">
              <w:rPr>
                <w:szCs w:val="22"/>
                <w:lang w:val="ru-RU"/>
              </w:rPr>
              <w:t xml:space="preserve">итоги </w:t>
            </w:r>
            <w:r w:rsidR="00D97BCC" w:rsidRPr="00E266A0">
              <w:rPr>
                <w:szCs w:val="22"/>
                <w:lang w:val="ru-RU"/>
              </w:rPr>
              <w:t>ВКРЭ-17 и их воздействие на работу МСЭ</w:t>
            </w:r>
            <w:r w:rsidR="00D97BCC" w:rsidRPr="00E266A0">
              <w:rPr>
                <w:szCs w:val="22"/>
                <w:lang w:val="ru-RU"/>
              </w:rPr>
              <w:noBreakHyphen/>
              <w:t>D, в том числе на сферу деятельности КГРЭ, сотрудничество с другими Секторами и финансовые последствия утвержденных региональных инициатив</w:t>
            </w:r>
            <w:r>
              <w:rPr>
                <w:rFonts w:cs="Calibri"/>
                <w:szCs w:val="22"/>
                <w:lang w:val="ru-RU"/>
              </w:rPr>
              <w:t>;</w:t>
            </w:r>
          </w:p>
          <w:p w14:paraId="116AF8D4" w14:textId="30B7FE51" w:rsidR="00D97BCC" w:rsidRPr="00E266A0" w:rsidRDefault="00E05840" w:rsidP="002D1A01">
            <w:pPr>
              <w:pStyle w:val="ListParagraph"/>
              <w:numPr>
                <w:ilvl w:val="0"/>
                <w:numId w:val="45"/>
              </w:numPr>
              <w:tabs>
                <w:tab w:val="clear" w:pos="1134"/>
                <w:tab w:val="clear" w:pos="1871"/>
                <w:tab w:val="clear" w:pos="2268"/>
              </w:tabs>
              <w:overflowPunct/>
              <w:autoSpaceDE/>
              <w:autoSpaceDN/>
              <w:adjustRightInd/>
              <w:spacing w:before="40" w:after="40"/>
              <w:ind w:left="357" w:hanging="357"/>
              <w:contextualSpacing w:val="0"/>
              <w:textAlignment w:val="auto"/>
              <w:rPr>
                <w:rFonts w:cs="Calibri"/>
                <w:szCs w:val="22"/>
                <w:lang w:val="ru-RU"/>
              </w:rPr>
            </w:pPr>
            <w:r w:rsidRPr="00E266A0">
              <w:rPr>
                <w:szCs w:val="22"/>
                <w:lang w:val="ru-RU"/>
              </w:rPr>
              <w:t xml:space="preserve">выполнение </w:t>
            </w:r>
            <w:r w:rsidR="00D97BCC" w:rsidRPr="00E266A0">
              <w:rPr>
                <w:szCs w:val="22"/>
                <w:lang w:val="ru-RU"/>
              </w:rPr>
              <w:t xml:space="preserve">Стратегического плана и Оперативного плана МСЭ-D на 2017 год, а также четырехгодичного скользящего Оперативного плана МСЭ-D на </w:t>
            </w:r>
            <w:r w:rsidR="003540FD" w:rsidRPr="00E266A0">
              <w:rPr>
                <w:szCs w:val="22"/>
                <w:lang w:val="ru-RU"/>
              </w:rPr>
              <w:t xml:space="preserve">период </w:t>
            </w:r>
            <w:r w:rsidR="00D97BCC" w:rsidRPr="00E266A0">
              <w:rPr>
                <w:szCs w:val="22"/>
                <w:lang w:val="ru-RU"/>
              </w:rPr>
              <w:t>2019–2022 год</w:t>
            </w:r>
            <w:r w:rsidR="003540FD" w:rsidRPr="00E266A0">
              <w:rPr>
                <w:szCs w:val="22"/>
                <w:lang w:val="ru-RU"/>
              </w:rPr>
              <w:t>ов</w:t>
            </w:r>
            <w:r>
              <w:rPr>
                <w:rFonts w:cs="Calibri"/>
                <w:szCs w:val="22"/>
                <w:lang w:val="ru-RU"/>
              </w:rPr>
              <w:t>;</w:t>
            </w:r>
          </w:p>
          <w:p w14:paraId="4FD8A6BF" w14:textId="00C69ADF" w:rsidR="00D97BCC" w:rsidRPr="00E266A0" w:rsidRDefault="00E05840" w:rsidP="002D1A01">
            <w:pPr>
              <w:pStyle w:val="ListParagraph"/>
              <w:numPr>
                <w:ilvl w:val="0"/>
                <w:numId w:val="45"/>
              </w:numPr>
              <w:tabs>
                <w:tab w:val="clear" w:pos="1134"/>
                <w:tab w:val="clear" w:pos="1871"/>
                <w:tab w:val="clear" w:pos="2268"/>
              </w:tabs>
              <w:overflowPunct/>
              <w:autoSpaceDE/>
              <w:autoSpaceDN/>
              <w:adjustRightInd/>
              <w:spacing w:before="40" w:after="40"/>
              <w:ind w:left="357" w:hanging="357"/>
              <w:contextualSpacing w:val="0"/>
              <w:textAlignment w:val="auto"/>
              <w:rPr>
                <w:rFonts w:cs="Calibri"/>
                <w:szCs w:val="22"/>
                <w:lang w:val="ru-RU"/>
              </w:rPr>
            </w:pPr>
            <w:r w:rsidRPr="00E266A0">
              <w:rPr>
                <w:szCs w:val="22"/>
                <w:lang w:val="ru-RU"/>
              </w:rPr>
              <w:t xml:space="preserve">вклад </w:t>
            </w:r>
            <w:r w:rsidR="00D97BCC" w:rsidRPr="00E266A0">
              <w:rPr>
                <w:szCs w:val="22"/>
                <w:lang w:val="ru-RU"/>
              </w:rPr>
              <w:t>МСЭ-D в выполнение решений ВВУИО и Повестки дня в области устойчивого развития на период до 2030 года</w:t>
            </w:r>
            <w:r>
              <w:rPr>
                <w:rFonts w:cs="Calibri"/>
                <w:szCs w:val="22"/>
                <w:lang w:val="ru-RU"/>
              </w:rPr>
              <w:t>;</w:t>
            </w:r>
          </w:p>
          <w:p w14:paraId="4581BD09" w14:textId="528D063A" w:rsidR="00D97BCC" w:rsidRPr="00E266A0" w:rsidRDefault="00E05840" w:rsidP="002D1A01">
            <w:pPr>
              <w:pStyle w:val="ListParagraph"/>
              <w:numPr>
                <w:ilvl w:val="0"/>
                <w:numId w:val="45"/>
              </w:numPr>
              <w:tabs>
                <w:tab w:val="clear" w:pos="1134"/>
                <w:tab w:val="clear" w:pos="1871"/>
                <w:tab w:val="clear" w:pos="2268"/>
              </w:tabs>
              <w:overflowPunct/>
              <w:autoSpaceDE/>
              <w:autoSpaceDN/>
              <w:adjustRightInd/>
              <w:spacing w:before="40" w:after="40"/>
              <w:ind w:left="357" w:hanging="357"/>
              <w:contextualSpacing w:val="0"/>
              <w:textAlignment w:val="auto"/>
              <w:rPr>
                <w:szCs w:val="22"/>
                <w:lang w:val="ru-RU"/>
              </w:rPr>
            </w:pPr>
            <w:r w:rsidRPr="00E266A0">
              <w:rPr>
                <w:rFonts w:cs="Arial"/>
                <w:szCs w:val="22"/>
                <w:shd w:val="clear" w:color="auto" w:fill="FFFFFF"/>
                <w:lang w:val="ru-RU"/>
              </w:rPr>
              <w:t>вопросы</w:t>
            </w:r>
            <w:r w:rsidR="00D97BCC" w:rsidRPr="00E266A0">
              <w:rPr>
                <w:rFonts w:cs="Arial"/>
                <w:szCs w:val="22"/>
                <w:shd w:val="clear" w:color="auto" w:fill="FFFFFF"/>
                <w:lang w:val="ru-RU"/>
              </w:rPr>
              <w:t xml:space="preserve">, связанные с исследовательскими </w:t>
            </w:r>
            <w:r w:rsidR="00D97BCC" w:rsidRPr="00E266A0">
              <w:rPr>
                <w:szCs w:val="22"/>
                <w:lang w:val="ru-RU"/>
              </w:rPr>
              <w:t>комиссиями МСЭ-D</w:t>
            </w:r>
            <w:r>
              <w:rPr>
                <w:rFonts w:cs="Calibri"/>
                <w:szCs w:val="22"/>
                <w:lang w:val="ru-RU"/>
              </w:rPr>
              <w:t>;</w:t>
            </w:r>
          </w:p>
          <w:p w14:paraId="1D3DDF55" w14:textId="0BC02237" w:rsidR="00D97BCC" w:rsidRPr="00E266A0" w:rsidRDefault="00E05840" w:rsidP="002D1A01">
            <w:pPr>
              <w:pStyle w:val="ListParagraph"/>
              <w:numPr>
                <w:ilvl w:val="0"/>
                <w:numId w:val="45"/>
              </w:numPr>
              <w:tabs>
                <w:tab w:val="clear" w:pos="1134"/>
                <w:tab w:val="clear" w:pos="1871"/>
                <w:tab w:val="clear" w:pos="2268"/>
              </w:tabs>
              <w:overflowPunct/>
              <w:autoSpaceDE/>
              <w:autoSpaceDN/>
              <w:adjustRightInd/>
              <w:spacing w:before="40" w:after="40"/>
              <w:ind w:left="357" w:hanging="357"/>
              <w:contextualSpacing w:val="0"/>
              <w:textAlignment w:val="auto"/>
              <w:rPr>
                <w:szCs w:val="22"/>
                <w:lang w:val="ru-RU"/>
              </w:rPr>
            </w:pPr>
            <w:r w:rsidRPr="00E266A0">
              <w:rPr>
                <w:szCs w:val="22"/>
                <w:lang w:val="ru-RU"/>
              </w:rPr>
              <w:t xml:space="preserve">региональные </w:t>
            </w:r>
            <w:r w:rsidR="00D97BCC" w:rsidRPr="00E266A0">
              <w:rPr>
                <w:szCs w:val="22"/>
                <w:lang w:val="ru-RU"/>
              </w:rPr>
              <w:t>форумы по вопросам развития (РФР)</w:t>
            </w:r>
            <w:r>
              <w:rPr>
                <w:rFonts w:cs="Calibri"/>
                <w:szCs w:val="22"/>
                <w:lang w:val="ru-RU"/>
              </w:rPr>
              <w:t>;</w:t>
            </w:r>
          </w:p>
          <w:p w14:paraId="69AD8A48" w14:textId="64F04BC7" w:rsidR="00D97BCC" w:rsidRPr="00E266A0" w:rsidRDefault="00E05840" w:rsidP="002D1A01">
            <w:pPr>
              <w:pStyle w:val="ListParagraph"/>
              <w:numPr>
                <w:ilvl w:val="0"/>
                <w:numId w:val="45"/>
              </w:numPr>
              <w:tabs>
                <w:tab w:val="clear" w:pos="1134"/>
                <w:tab w:val="clear" w:pos="1871"/>
                <w:tab w:val="clear" w:pos="2268"/>
              </w:tabs>
              <w:overflowPunct/>
              <w:autoSpaceDE/>
              <w:autoSpaceDN/>
              <w:adjustRightInd/>
              <w:spacing w:before="40" w:after="40"/>
              <w:ind w:left="357" w:hanging="357"/>
              <w:contextualSpacing w:val="0"/>
              <w:textAlignment w:val="auto"/>
              <w:rPr>
                <w:szCs w:val="22"/>
                <w:lang w:val="ru-RU"/>
              </w:rPr>
            </w:pPr>
            <w:r w:rsidRPr="00E266A0">
              <w:rPr>
                <w:szCs w:val="22"/>
                <w:lang w:val="ru-RU"/>
              </w:rPr>
              <w:t xml:space="preserve">основные </w:t>
            </w:r>
            <w:r w:rsidR="00D97BCC" w:rsidRPr="00E266A0">
              <w:rPr>
                <w:szCs w:val="22"/>
                <w:lang w:val="ru-RU"/>
              </w:rPr>
              <w:t>мероприятия и инициативы МСЭ-D, в том числе Глобальный симпозиум для регуляторных органов (ГСР), мероприятия по созданию потенциала, Симпозиум по</w:t>
            </w:r>
            <w:r>
              <w:rPr>
                <w:szCs w:val="22"/>
                <w:lang w:val="ru-RU"/>
              </w:rPr>
              <w:t> </w:t>
            </w:r>
            <w:r w:rsidR="00D97BCC" w:rsidRPr="00E266A0">
              <w:rPr>
                <w:szCs w:val="22"/>
                <w:lang w:val="ru-RU"/>
              </w:rPr>
              <w:t>всемирным показателям в области электросвязи/ИКТ (WTIS) и инновации</w:t>
            </w:r>
            <w:r>
              <w:rPr>
                <w:rFonts w:cs="Calibri"/>
                <w:szCs w:val="22"/>
                <w:lang w:val="ru-RU"/>
              </w:rPr>
              <w:t>;</w:t>
            </w:r>
          </w:p>
          <w:p w14:paraId="419ED428" w14:textId="798EBDA5" w:rsidR="00D97BCC" w:rsidRPr="00E266A0" w:rsidRDefault="00E05840" w:rsidP="002D1A01">
            <w:pPr>
              <w:pStyle w:val="ListParagraph"/>
              <w:numPr>
                <w:ilvl w:val="0"/>
                <w:numId w:val="45"/>
              </w:numPr>
              <w:tabs>
                <w:tab w:val="clear" w:pos="1134"/>
                <w:tab w:val="clear" w:pos="1871"/>
                <w:tab w:val="clear" w:pos="2268"/>
              </w:tabs>
              <w:overflowPunct/>
              <w:autoSpaceDE/>
              <w:autoSpaceDN/>
              <w:adjustRightInd/>
              <w:spacing w:before="40" w:after="40"/>
              <w:ind w:left="357" w:hanging="357"/>
              <w:contextualSpacing w:val="0"/>
              <w:textAlignment w:val="auto"/>
              <w:rPr>
                <w:rFonts w:cs="Calibri"/>
                <w:szCs w:val="22"/>
                <w:lang w:val="ru-RU"/>
              </w:rPr>
            </w:pPr>
            <w:r w:rsidRPr="00E266A0">
              <w:rPr>
                <w:szCs w:val="22"/>
                <w:lang w:val="ru-RU"/>
              </w:rPr>
              <w:t>вопросы</w:t>
            </w:r>
            <w:r w:rsidR="00D97BCC" w:rsidRPr="00E266A0">
              <w:rPr>
                <w:szCs w:val="22"/>
                <w:lang w:val="ru-RU"/>
              </w:rPr>
              <w:t>, связанные с членским составом, парт</w:t>
            </w:r>
            <w:r w:rsidR="00D97BCC" w:rsidRPr="00E266A0">
              <w:rPr>
                <w:rFonts w:cs="Arial"/>
                <w:szCs w:val="22"/>
                <w:shd w:val="clear" w:color="auto" w:fill="FFFFFF"/>
                <w:lang w:val="ru-RU"/>
              </w:rPr>
              <w:t>нерствами и частным сектором</w:t>
            </w:r>
            <w:r>
              <w:rPr>
                <w:rFonts w:cs="Calibri"/>
                <w:szCs w:val="22"/>
                <w:lang w:val="ru-RU"/>
              </w:rPr>
              <w:t>;</w:t>
            </w:r>
          </w:p>
          <w:p w14:paraId="5A7C4952" w14:textId="36B09729" w:rsidR="00F974A4" w:rsidRPr="00E266A0" w:rsidRDefault="00E05840" w:rsidP="002D1A01">
            <w:pPr>
              <w:pStyle w:val="ListParagraph"/>
              <w:numPr>
                <w:ilvl w:val="0"/>
                <w:numId w:val="45"/>
              </w:numPr>
              <w:tabs>
                <w:tab w:val="clear" w:pos="1134"/>
                <w:tab w:val="clear" w:pos="1871"/>
                <w:tab w:val="clear" w:pos="2268"/>
              </w:tabs>
              <w:overflowPunct/>
              <w:autoSpaceDE/>
              <w:autoSpaceDN/>
              <w:adjustRightInd/>
              <w:spacing w:before="40" w:after="40"/>
              <w:ind w:left="357" w:hanging="357"/>
              <w:contextualSpacing w:val="0"/>
              <w:textAlignment w:val="auto"/>
              <w:rPr>
                <w:rFonts w:cs="Calibri"/>
                <w:lang w:val="ru-RU"/>
              </w:rPr>
            </w:pPr>
            <w:r w:rsidRPr="00E266A0">
              <w:rPr>
                <w:rFonts w:cs="Arial"/>
                <w:szCs w:val="22"/>
                <w:shd w:val="clear" w:color="auto" w:fill="FFFFFF"/>
                <w:lang w:val="ru-RU"/>
              </w:rPr>
              <w:t xml:space="preserve">календарь </w:t>
            </w:r>
            <w:r w:rsidR="00D97BCC" w:rsidRPr="00E266A0">
              <w:rPr>
                <w:rFonts w:cs="Arial"/>
                <w:szCs w:val="22"/>
                <w:shd w:val="clear" w:color="auto" w:fill="FFFFFF"/>
                <w:lang w:val="ru-RU"/>
              </w:rPr>
              <w:t>мероприятий МСЭ-D</w:t>
            </w:r>
            <w:r w:rsidR="0045294F">
              <w:rPr>
                <w:rFonts w:cs="Arial"/>
                <w:szCs w:val="22"/>
                <w:shd w:val="clear" w:color="auto" w:fill="FFFFFF"/>
                <w:lang w:val="ru-RU"/>
              </w:rPr>
              <w:t>.</w:t>
            </w:r>
          </w:p>
        </w:tc>
      </w:tr>
      <w:tr w:rsidR="001C1D20" w:rsidRPr="00E266A0" w14:paraId="60915CF0" w14:textId="77777777" w:rsidTr="00682F01">
        <w:tc>
          <w:tcPr>
            <w:tcW w:w="2689" w:type="dxa"/>
          </w:tcPr>
          <w:p w14:paraId="76657274" w14:textId="7B41A72E" w:rsidR="001C1D20" w:rsidRPr="00E266A0" w:rsidRDefault="001C1D20" w:rsidP="002D1A01">
            <w:pPr>
              <w:spacing w:before="40" w:after="40"/>
              <w:rPr>
                <w:i/>
                <w:iCs/>
                <w:szCs w:val="24"/>
                <w:lang w:val="ru-RU"/>
              </w:rPr>
            </w:pPr>
            <w:r w:rsidRPr="00E266A0">
              <w:rPr>
                <w:i/>
                <w:iCs/>
                <w:szCs w:val="28"/>
                <w:lang w:val="ru-RU"/>
              </w:rPr>
              <w:t>ВКРЭ</w:t>
            </w:r>
          </w:p>
        </w:tc>
        <w:tc>
          <w:tcPr>
            <w:tcW w:w="6940" w:type="dxa"/>
          </w:tcPr>
          <w:p w14:paraId="2CE4CCCB" w14:textId="3B050D9B" w:rsidR="001C1D20" w:rsidRPr="00E266A0" w:rsidRDefault="001C1D20" w:rsidP="002D1A01">
            <w:pPr>
              <w:spacing w:before="40" w:after="40"/>
              <w:rPr>
                <w:szCs w:val="24"/>
                <w:lang w:val="ru-RU"/>
              </w:rPr>
            </w:pPr>
            <w:r w:rsidRPr="00E266A0">
              <w:rPr>
                <w:szCs w:val="28"/>
                <w:lang w:val="ru-RU"/>
              </w:rPr>
              <w:t>Резолюции 1, 5, 17, 24, 30, 33, 37, 50, 59, 61, 81</w:t>
            </w:r>
          </w:p>
        </w:tc>
      </w:tr>
      <w:tr w:rsidR="001C1D20" w:rsidRPr="00E266A0" w14:paraId="68142B47" w14:textId="77777777" w:rsidTr="00682F01">
        <w:tc>
          <w:tcPr>
            <w:tcW w:w="2689" w:type="dxa"/>
          </w:tcPr>
          <w:p w14:paraId="43A7512F" w14:textId="15E9E5A9" w:rsidR="001C1D20" w:rsidRPr="00E266A0" w:rsidRDefault="001C1D20" w:rsidP="002D1A01">
            <w:pPr>
              <w:spacing w:before="40" w:after="40"/>
              <w:rPr>
                <w:i/>
                <w:iCs/>
                <w:szCs w:val="24"/>
                <w:lang w:val="ru-RU"/>
              </w:rPr>
            </w:pPr>
            <w:r w:rsidRPr="00E266A0">
              <w:rPr>
                <w:i/>
                <w:iCs/>
                <w:szCs w:val="28"/>
                <w:lang w:val="ru-RU"/>
              </w:rPr>
              <w:t>Полномочная конференция</w:t>
            </w:r>
          </w:p>
        </w:tc>
        <w:tc>
          <w:tcPr>
            <w:tcW w:w="6940" w:type="dxa"/>
          </w:tcPr>
          <w:p w14:paraId="5E21AEF2" w14:textId="77777777" w:rsidR="001C1D20" w:rsidRPr="00E266A0" w:rsidRDefault="001C1D20" w:rsidP="002D1A01">
            <w:pPr>
              <w:spacing w:before="40" w:after="40"/>
              <w:rPr>
                <w:szCs w:val="28"/>
                <w:lang w:val="ru-RU"/>
              </w:rPr>
            </w:pPr>
            <w:r w:rsidRPr="00E266A0">
              <w:rPr>
                <w:szCs w:val="28"/>
                <w:lang w:val="ru-RU"/>
              </w:rPr>
              <w:t>Решения 5, 13 ПК</w:t>
            </w:r>
          </w:p>
          <w:p w14:paraId="7767E6F5" w14:textId="4D415986" w:rsidR="001C1D20" w:rsidRPr="00E266A0" w:rsidRDefault="001C1D20" w:rsidP="002D1A01">
            <w:pPr>
              <w:spacing w:before="40" w:after="40"/>
              <w:rPr>
                <w:szCs w:val="24"/>
                <w:lang w:val="ru-RU"/>
              </w:rPr>
            </w:pPr>
            <w:r w:rsidRPr="00E266A0">
              <w:rPr>
                <w:szCs w:val="28"/>
                <w:lang w:val="ru-RU"/>
              </w:rPr>
              <w:t>Резолюции 25, 71, 111, 135, 140, 151, 154, 165, 166, 167 ПК</w:t>
            </w:r>
          </w:p>
        </w:tc>
      </w:tr>
      <w:tr w:rsidR="001C1D20" w:rsidRPr="00E266A0" w14:paraId="3475015F" w14:textId="77777777" w:rsidTr="00682F01">
        <w:tc>
          <w:tcPr>
            <w:tcW w:w="2689" w:type="dxa"/>
          </w:tcPr>
          <w:p w14:paraId="68CD40BF" w14:textId="2621A5FE" w:rsidR="001C1D20" w:rsidRPr="00E266A0" w:rsidRDefault="001C1D20" w:rsidP="002D1A01">
            <w:pPr>
              <w:spacing w:before="40" w:after="40"/>
              <w:rPr>
                <w:i/>
                <w:iCs/>
                <w:szCs w:val="24"/>
                <w:lang w:val="ru-RU"/>
              </w:rPr>
            </w:pPr>
            <w:r w:rsidRPr="00E266A0">
              <w:rPr>
                <w:i/>
                <w:iCs/>
                <w:szCs w:val="28"/>
                <w:lang w:val="ru-RU"/>
              </w:rPr>
              <w:t>Совет</w:t>
            </w:r>
          </w:p>
        </w:tc>
        <w:tc>
          <w:tcPr>
            <w:tcW w:w="6940" w:type="dxa"/>
          </w:tcPr>
          <w:p w14:paraId="2539C631" w14:textId="6A5D1DAD" w:rsidR="001C1D20" w:rsidRPr="00E266A0" w:rsidRDefault="001C1D20" w:rsidP="002D1A01">
            <w:pPr>
              <w:spacing w:before="40" w:after="40"/>
              <w:rPr>
                <w:szCs w:val="24"/>
                <w:lang w:val="ru-RU"/>
              </w:rPr>
            </w:pPr>
            <w:r w:rsidRPr="00E266A0">
              <w:rPr>
                <w:szCs w:val="28"/>
                <w:lang w:val="ru-RU"/>
              </w:rPr>
              <w:t>Резолюция 1372</w:t>
            </w:r>
          </w:p>
        </w:tc>
      </w:tr>
      <w:tr w:rsidR="001C1D20" w:rsidRPr="005C1BAD" w14:paraId="6CEC67E2" w14:textId="77777777" w:rsidTr="00682F01">
        <w:tc>
          <w:tcPr>
            <w:tcW w:w="2689" w:type="dxa"/>
          </w:tcPr>
          <w:p w14:paraId="07C25C80" w14:textId="1FC3D1FD" w:rsidR="001C1D20" w:rsidRPr="00E266A0" w:rsidRDefault="001C1D20" w:rsidP="002D1A01">
            <w:pPr>
              <w:spacing w:before="40" w:after="40"/>
              <w:rPr>
                <w:i/>
                <w:iCs/>
                <w:szCs w:val="24"/>
                <w:lang w:val="ru-RU"/>
              </w:rPr>
            </w:pPr>
            <w:r w:rsidRPr="00E266A0">
              <w:rPr>
                <w:i/>
                <w:iCs/>
                <w:szCs w:val="28"/>
                <w:lang w:val="ru-RU"/>
              </w:rPr>
              <w:t>Направления деятельности ВВУИО</w:t>
            </w:r>
          </w:p>
        </w:tc>
        <w:tc>
          <w:tcPr>
            <w:tcW w:w="6940" w:type="dxa"/>
          </w:tcPr>
          <w:p w14:paraId="46635CD0" w14:textId="73D5673C" w:rsidR="001C1D20" w:rsidRPr="00E266A0" w:rsidRDefault="001C1D20" w:rsidP="002D1A01">
            <w:pPr>
              <w:spacing w:before="40" w:after="40"/>
              <w:rPr>
                <w:szCs w:val="24"/>
                <w:lang w:val="ru-RU"/>
              </w:rPr>
            </w:pPr>
            <w:r w:rsidRPr="00E266A0">
              <w:rPr>
                <w:szCs w:val="28"/>
                <w:lang w:val="ru-RU"/>
              </w:rPr>
              <w:t>Направления деятельности C1 и C11 ВВУИО</w:t>
            </w:r>
          </w:p>
        </w:tc>
      </w:tr>
      <w:tr w:rsidR="001C1D20" w:rsidRPr="005C1BAD" w14:paraId="587000BB" w14:textId="77777777" w:rsidTr="00682F01">
        <w:tc>
          <w:tcPr>
            <w:tcW w:w="2689" w:type="dxa"/>
          </w:tcPr>
          <w:p w14:paraId="445A3E84" w14:textId="0AF89D8C" w:rsidR="001C1D20" w:rsidRPr="00E266A0" w:rsidRDefault="001C1D20" w:rsidP="002D1A01">
            <w:pPr>
              <w:spacing w:before="40" w:after="40"/>
              <w:rPr>
                <w:i/>
                <w:iCs/>
                <w:szCs w:val="24"/>
                <w:lang w:val="ru-RU"/>
              </w:rPr>
            </w:pPr>
            <w:r w:rsidRPr="00E266A0">
              <w:rPr>
                <w:i/>
                <w:iCs/>
                <w:szCs w:val="28"/>
                <w:lang w:val="ru-RU"/>
              </w:rPr>
              <w:t>Вклад в выполнение задач ЦУР</w:t>
            </w:r>
          </w:p>
        </w:tc>
        <w:tc>
          <w:tcPr>
            <w:tcW w:w="6940" w:type="dxa"/>
          </w:tcPr>
          <w:p w14:paraId="551D19B4" w14:textId="2561CEA0" w:rsidR="001C1D20" w:rsidRPr="00E266A0" w:rsidRDefault="001C1D20" w:rsidP="0045294F">
            <w:pPr>
              <w:spacing w:before="40" w:after="40"/>
              <w:rPr>
                <w:szCs w:val="24"/>
                <w:lang w:val="ru-RU"/>
              </w:rPr>
            </w:pPr>
            <w:r w:rsidRPr="00E266A0">
              <w:rPr>
                <w:szCs w:val="28"/>
                <w:lang w:val="ru-RU"/>
              </w:rPr>
              <w:t xml:space="preserve">ЦУР 1, 3 (задача 3.d), 5, 10, 16 (задачи 16.5, 16.6, 16.8), </w:t>
            </w:r>
            <w:r w:rsidRPr="00E266A0">
              <w:rPr>
                <w:szCs w:val="28"/>
                <w:lang w:val="ru-RU"/>
              </w:rPr>
              <w:br/>
              <w:t>17 (задачи 17.9, 17.16, 17.17, 17.18, 17.19)</w:t>
            </w:r>
          </w:p>
        </w:tc>
      </w:tr>
    </w:tbl>
    <w:p w14:paraId="711A8336" w14:textId="77777777" w:rsidR="00863FB2" w:rsidRPr="00E266A0" w:rsidRDefault="00863FB2">
      <w:pPr>
        <w:tabs>
          <w:tab w:val="clear" w:pos="1134"/>
          <w:tab w:val="clear" w:pos="1871"/>
          <w:tab w:val="clear" w:pos="2268"/>
        </w:tabs>
        <w:overflowPunct/>
        <w:autoSpaceDE/>
        <w:autoSpaceDN/>
        <w:adjustRightInd/>
        <w:spacing w:before="0"/>
        <w:textAlignment w:val="auto"/>
        <w:rPr>
          <w:b/>
          <w:lang w:val="ru-RU"/>
        </w:rPr>
      </w:pPr>
      <w:r w:rsidRPr="00E266A0">
        <w:rPr>
          <w:b/>
          <w:lang w:val="ru-RU"/>
        </w:rPr>
        <w:br w:type="page"/>
      </w:r>
    </w:p>
    <w:p w14:paraId="5BD8E6D1" w14:textId="3FB07F90" w:rsidR="00F974A4" w:rsidRPr="00E266A0" w:rsidRDefault="001C1D20" w:rsidP="00612977">
      <w:pPr>
        <w:pStyle w:val="ListParagraph"/>
        <w:keepNext/>
        <w:numPr>
          <w:ilvl w:val="1"/>
          <w:numId w:val="43"/>
        </w:numPr>
        <w:spacing w:after="120"/>
        <w:ind w:left="357" w:hanging="357"/>
        <w:contextualSpacing w:val="0"/>
        <w:rPr>
          <w:b/>
          <w:bCs/>
          <w:szCs w:val="24"/>
          <w:lang w:val="ru-RU"/>
        </w:rPr>
      </w:pPr>
      <w:r w:rsidRPr="00E266A0">
        <w:rPr>
          <w:b/>
          <w:lang w:val="ru-RU"/>
        </w:rPr>
        <w:lastRenderedPageBreak/>
        <w:t>Исследовательские комиссии</w:t>
      </w:r>
    </w:p>
    <w:tbl>
      <w:tblPr>
        <w:tblStyle w:val="TableGrid"/>
        <w:tblW w:w="0" w:type="auto"/>
        <w:tblLook w:val="04A0" w:firstRow="1" w:lastRow="0" w:firstColumn="1" w:lastColumn="0" w:noHBand="0" w:noVBand="1"/>
      </w:tblPr>
      <w:tblGrid>
        <w:gridCol w:w="2689"/>
        <w:gridCol w:w="6940"/>
      </w:tblGrid>
      <w:tr w:rsidR="00F974A4" w:rsidRPr="005C1BAD" w14:paraId="155130F9" w14:textId="77777777" w:rsidTr="00682F01">
        <w:tc>
          <w:tcPr>
            <w:tcW w:w="9629" w:type="dxa"/>
            <w:gridSpan w:val="2"/>
          </w:tcPr>
          <w:p w14:paraId="2B1BB472" w14:textId="78A91125" w:rsidR="00F974A4" w:rsidRPr="00E266A0" w:rsidRDefault="00CB49BE" w:rsidP="002D1A01">
            <w:pPr>
              <w:spacing w:after="120"/>
              <w:rPr>
                <w:rStyle w:val="Emphasis"/>
                <w:rFonts w:eastAsia="Batang" w:cstheme="minorHAnsi"/>
                <w:i w:val="0"/>
                <w:iCs w:val="0"/>
                <w:szCs w:val="24"/>
                <w:lang w:val="ru-RU"/>
              </w:rPr>
            </w:pPr>
            <w:hyperlink r:id="rId15" w:history="1">
              <w:r w:rsidR="001C1D20" w:rsidRPr="00E266A0">
                <w:rPr>
                  <w:rStyle w:val="Hyperlink"/>
                  <w:rFonts w:cstheme="minorHAnsi"/>
                  <w:szCs w:val="28"/>
                  <w:lang w:val="ru-RU"/>
                </w:rPr>
                <w:t>1-я</w:t>
              </w:r>
            </w:hyperlink>
            <w:r w:rsidR="001C1D20" w:rsidRPr="00E266A0">
              <w:rPr>
                <w:rStyle w:val="Emphasis"/>
                <w:rFonts w:cstheme="minorHAnsi"/>
                <w:i w:val="0"/>
                <w:iCs w:val="0"/>
                <w:szCs w:val="28"/>
                <w:lang w:val="ru-RU"/>
              </w:rPr>
              <w:t xml:space="preserve"> и </w:t>
            </w:r>
            <w:hyperlink r:id="rId16" w:history="1">
              <w:r w:rsidR="001C1D20" w:rsidRPr="00E266A0">
                <w:rPr>
                  <w:rStyle w:val="Hyperlink"/>
                  <w:rFonts w:cstheme="minorHAnsi"/>
                  <w:szCs w:val="28"/>
                  <w:lang w:val="ru-RU"/>
                </w:rPr>
                <w:t>2-я</w:t>
              </w:r>
            </w:hyperlink>
            <w:r w:rsidR="001C1D20" w:rsidRPr="00E266A0">
              <w:rPr>
                <w:rStyle w:val="Emphasis"/>
                <w:rFonts w:cstheme="minorHAnsi"/>
                <w:i w:val="0"/>
                <w:iCs w:val="0"/>
                <w:szCs w:val="28"/>
                <w:lang w:val="ru-RU"/>
              </w:rPr>
              <w:t xml:space="preserve"> </w:t>
            </w:r>
            <w:r w:rsidR="009E0293" w:rsidRPr="00E266A0">
              <w:rPr>
                <w:rStyle w:val="Emphasis"/>
                <w:rFonts w:cstheme="minorHAnsi"/>
                <w:i w:val="0"/>
                <w:iCs w:val="0"/>
                <w:szCs w:val="28"/>
                <w:lang w:val="ru-RU"/>
              </w:rPr>
              <w:t xml:space="preserve">Исследовательские </w:t>
            </w:r>
            <w:r w:rsidR="001C1D20" w:rsidRPr="00E266A0">
              <w:rPr>
                <w:rStyle w:val="Emphasis"/>
                <w:rFonts w:cstheme="minorHAnsi"/>
                <w:i w:val="0"/>
                <w:iCs w:val="0"/>
                <w:szCs w:val="28"/>
                <w:lang w:val="ru-RU"/>
              </w:rPr>
              <w:t>комиссии МСЭ-D провели свои первые собрания в новом исследовательском периоде 2018–2021 годов</w:t>
            </w:r>
            <w:r w:rsidR="005D3C5C" w:rsidRPr="00E266A0">
              <w:rPr>
                <w:rStyle w:val="Emphasis"/>
                <w:rFonts w:cstheme="minorHAnsi"/>
                <w:i w:val="0"/>
                <w:iCs w:val="0"/>
                <w:szCs w:val="28"/>
                <w:lang w:val="ru-RU"/>
              </w:rPr>
              <w:t xml:space="preserve"> </w:t>
            </w:r>
            <w:r w:rsidR="001C1D20" w:rsidRPr="00E266A0">
              <w:rPr>
                <w:rStyle w:val="Emphasis"/>
                <w:rFonts w:cstheme="minorHAnsi"/>
                <w:i w:val="0"/>
                <w:iCs w:val="0"/>
                <w:szCs w:val="28"/>
                <w:lang w:val="ru-RU"/>
              </w:rPr>
              <w:t>с 30</w:t>
            </w:r>
            <w:r w:rsidR="00640742" w:rsidRPr="00E266A0">
              <w:rPr>
                <w:rStyle w:val="Emphasis"/>
                <w:rFonts w:cstheme="minorHAnsi"/>
                <w:i w:val="0"/>
                <w:iCs w:val="0"/>
                <w:szCs w:val="28"/>
                <w:lang w:val="ru-RU"/>
              </w:rPr>
              <w:t> </w:t>
            </w:r>
            <w:r w:rsidR="001C1D20" w:rsidRPr="00E266A0">
              <w:rPr>
                <w:rStyle w:val="Emphasis"/>
                <w:rFonts w:cstheme="minorHAnsi"/>
                <w:i w:val="0"/>
                <w:iCs w:val="0"/>
                <w:szCs w:val="28"/>
                <w:lang w:val="ru-RU"/>
              </w:rPr>
              <w:t>апреля по 4</w:t>
            </w:r>
            <w:r w:rsidR="00640742" w:rsidRPr="00E266A0">
              <w:rPr>
                <w:rStyle w:val="Emphasis"/>
                <w:rFonts w:cstheme="minorHAnsi"/>
                <w:i w:val="0"/>
                <w:iCs w:val="0"/>
                <w:szCs w:val="28"/>
                <w:lang w:val="ru-RU"/>
              </w:rPr>
              <w:t> </w:t>
            </w:r>
            <w:r w:rsidR="001C1D20" w:rsidRPr="00E266A0">
              <w:rPr>
                <w:rStyle w:val="Emphasis"/>
                <w:rFonts w:cstheme="minorHAnsi"/>
                <w:i w:val="0"/>
                <w:iCs w:val="0"/>
                <w:szCs w:val="28"/>
                <w:lang w:val="ru-RU"/>
              </w:rPr>
              <w:t>мая и с 7 по 11</w:t>
            </w:r>
            <w:r w:rsidR="00640742" w:rsidRPr="00E266A0">
              <w:rPr>
                <w:rStyle w:val="Emphasis"/>
                <w:rFonts w:cstheme="minorHAnsi"/>
                <w:i w:val="0"/>
                <w:iCs w:val="0"/>
                <w:szCs w:val="28"/>
                <w:lang w:val="ru-RU"/>
              </w:rPr>
              <w:t> </w:t>
            </w:r>
            <w:r w:rsidR="001C1D20" w:rsidRPr="00E266A0">
              <w:rPr>
                <w:rStyle w:val="Emphasis"/>
                <w:rFonts w:cstheme="minorHAnsi"/>
                <w:i w:val="0"/>
                <w:iCs w:val="0"/>
                <w:szCs w:val="28"/>
                <w:lang w:val="ru-RU"/>
              </w:rPr>
              <w:t>мая</w:t>
            </w:r>
            <w:r w:rsidR="009E0293" w:rsidRPr="00E266A0">
              <w:rPr>
                <w:rStyle w:val="Emphasis"/>
                <w:rFonts w:cstheme="minorHAnsi"/>
                <w:i w:val="0"/>
                <w:iCs w:val="0"/>
                <w:szCs w:val="28"/>
                <w:lang w:val="ru-RU"/>
              </w:rPr>
              <w:t xml:space="preserve"> соответственно</w:t>
            </w:r>
            <w:r w:rsidR="001C1D20" w:rsidRPr="00E266A0">
              <w:rPr>
                <w:rStyle w:val="Emphasis"/>
                <w:rFonts w:cstheme="minorHAnsi"/>
                <w:i w:val="0"/>
                <w:iCs w:val="0"/>
                <w:szCs w:val="28"/>
                <w:lang w:val="ru-RU"/>
              </w:rPr>
              <w:t>. Собрания были проведены в соответствии с их планами, и в ходе них были назначены 139</w:t>
            </w:r>
            <w:r w:rsidR="00640742" w:rsidRPr="00E266A0">
              <w:rPr>
                <w:rStyle w:val="Emphasis"/>
                <w:rFonts w:cstheme="minorHAnsi"/>
                <w:i w:val="0"/>
                <w:iCs w:val="0"/>
                <w:szCs w:val="28"/>
                <w:lang w:val="ru-RU"/>
              </w:rPr>
              <w:t> </w:t>
            </w:r>
            <w:r w:rsidR="001C1D20" w:rsidRPr="00E266A0">
              <w:rPr>
                <w:rStyle w:val="Emphasis"/>
                <w:rFonts w:cstheme="minorHAnsi"/>
                <w:i w:val="0"/>
                <w:iCs w:val="0"/>
                <w:szCs w:val="28"/>
                <w:lang w:val="ru-RU"/>
              </w:rPr>
              <w:t xml:space="preserve">новых </w:t>
            </w:r>
            <w:r w:rsidR="00644D34" w:rsidRPr="00E266A0">
              <w:rPr>
                <w:rStyle w:val="Emphasis"/>
                <w:rFonts w:cstheme="minorHAnsi"/>
                <w:i w:val="0"/>
                <w:iCs w:val="0"/>
                <w:szCs w:val="28"/>
                <w:lang w:val="ru-RU"/>
              </w:rPr>
              <w:t xml:space="preserve">Докладчиков </w:t>
            </w:r>
            <w:r w:rsidR="001C1D20" w:rsidRPr="00E266A0">
              <w:rPr>
                <w:rStyle w:val="Emphasis"/>
                <w:rFonts w:cstheme="minorHAnsi"/>
                <w:i w:val="0"/>
                <w:iCs w:val="0"/>
                <w:szCs w:val="28"/>
                <w:lang w:val="ru-RU"/>
              </w:rPr>
              <w:t xml:space="preserve">и заместителей </w:t>
            </w:r>
            <w:r w:rsidR="00644D34" w:rsidRPr="00E266A0">
              <w:rPr>
                <w:rStyle w:val="Emphasis"/>
                <w:rFonts w:cstheme="minorHAnsi"/>
                <w:i w:val="0"/>
                <w:iCs w:val="0"/>
                <w:szCs w:val="28"/>
                <w:lang w:val="ru-RU"/>
              </w:rPr>
              <w:t>Докладчиков</w:t>
            </w:r>
            <w:r w:rsidR="001C1D20" w:rsidRPr="00E266A0">
              <w:rPr>
                <w:rStyle w:val="Emphasis"/>
                <w:rFonts w:cstheme="minorHAnsi"/>
                <w:i w:val="0"/>
                <w:iCs w:val="0"/>
                <w:szCs w:val="28"/>
                <w:lang w:val="ru-RU"/>
              </w:rPr>
              <w:t xml:space="preserve">. Они согласовали планы работы по всем исследуемым Вопросам, по большинству из которых имелись обзоры и </w:t>
            </w:r>
            <w:r w:rsidR="009E0293" w:rsidRPr="00E266A0">
              <w:rPr>
                <w:rStyle w:val="Emphasis"/>
                <w:rFonts w:cstheme="minorHAnsi"/>
                <w:i w:val="0"/>
                <w:iCs w:val="0"/>
                <w:szCs w:val="28"/>
                <w:lang w:val="ru-RU"/>
              </w:rPr>
              <w:t>оглавления представленных документов</w:t>
            </w:r>
            <w:r w:rsidR="001C1D20" w:rsidRPr="00E266A0">
              <w:rPr>
                <w:rStyle w:val="Emphasis"/>
                <w:rFonts w:cstheme="minorHAnsi"/>
                <w:i w:val="0"/>
                <w:iCs w:val="0"/>
                <w:szCs w:val="28"/>
                <w:lang w:val="ru-RU"/>
              </w:rPr>
              <w:t>.</w:t>
            </w:r>
          </w:p>
          <w:p w14:paraId="60E64F0E" w14:textId="457BBC6C" w:rsidR="00F974A4" w:rsidRPr="00E266A0" w:rsidRDefault="00C64DF7" w:rsidP="002D1A01">
            <w:pPr>
              <w:spacing w:after="120"/>
              <w:rPr>
                <w:rStyle w:val="Emphasis"/>
                <w:i w:val="0"/>
                <w:iCs w:val="0"/>
                <w:szCs w:val="24"/>
                <w:lang w:val="ru-RU"/>
              </w:rPr>
            </w:pPr>
            <w:r w:rsidRPr="00E266A0">
              <w:rPr>
                <w:rStyle w:val="Emphasis"/>
                <w:rFonts w:cstheme="minorHAnsi"/>
                <w:i w:val="0"/>
                <w:iCs w:val="0"/>
                <w:szCs w:val="28"/>
                <w:lang w:val="ru-RU"/>
              </w:rPr>
              <w:t xml:space="preserve">Собрания групп Докладчиков </w:t>
            </w:r>
            <w:hyperlink r:id="rId17" w:history="1">
              <w:r w:rsidRPr="00E266A0">
                <w:rPr>
                  <w:rStyle w:val="Hyperlink"/>
                  <w:rFonts w:cstheme="minorHAnsi"/>
                  <w:szCs w:val="28"/>
                  <w:lang w:val="ru-RU"/>
                </w:rPr>
                <w:t>ИК1</w:t>
              </w:r>
            </w:hyperlink>
            <w:r w:rsidRPr="00E266A0">
              <w:rPr>
                <w:rStyle w:val="Emphasis"/>
                <w:rFonts w:cstheme="minorHAnsi"/>
                <w:i w:val="0"/>
                <w:iCs w:val="0"/>
                <w:szCs w:val="28"/>
                <w:lang w:val="ru-RU"/>
              </w:rPr>
              <w:t xml:space="preserve"> и </w:t>
            </w:r>
            <w:hyperlink r:id="rId18" w:history="1">
              <w:r w:rsidRPr="00E266A0">
                <w:rPr>
                  <w:rStyle w:val="Hyperlink"/>
                  <w:rFonts w:cstheme="minorHAnsi"/>
                  <w:szCs w:val="28"/>
                  <w:lang w:val="ru-RU"/>
                </w:rPr>
                <w:t>ИК2</w:t>
              </w:r>
            </w:hyperlink>
            <w:r w:rsidRPr="00E266A0">
              <w:rPr>
                <w:rStyle w:val="Emphasis"/>
                <w:rFonts w:cstheme="minorHAnsi"/>
                <w:i w:val="0"/>
                <w:iCs w:val="0"/>
                <w:szCs w:val="28"/>
                <w:lang w:val="ru-RU"/>
              </w:rPr>
              <w:t xml:space="preserve"> </w:t>
            </w:r>
            <w:r w:rsidR="009E0293" w:rsidRPr="00E266A0">
              <w:rPr>
                <w:rStyle w:val="Emphasis"/>
                <w:rFonts w:cstheme="minorHAnsi"/>
                <w:i w:val="0"/>
                <w:iCs w:val="0"/>
                <w:szCs w:val="28"/>
                <w:lang w:val="ru-RU"/>
              </w:rPr>
              <w:t xml:space="preserve">МСЭ-D </w:t>
            </w:r>
            <w:r w:rsidRPr="00E266A0">
              <w:rPr>
                <w:rStyle w:val="Emphasis"/>
                <w:rFonts w:cstheme="minorHAnsi"/>
                <w:i w:val="0"/>
                <w:iCs w:val="0"/>
                <w:szCs w:val="28"/>
                <w:lang w:val="ru-RU"/>
              </w:rPr>
              <w:t>в 2018 году были проведены в период с</w:t>
            </w:r>
            <w:r w:rsidR="009E0293" w:rsidRPr="00E266A0">
              <w:rPr>
                <w:rStyle w:val="Emphasis"/>
                <w:rFonts w:cstheme="minorHAnsi"/>
                <w:i w:val="0"/>
                <w:iCs w:val="0"/>
                <w:szCs w:val="28"/>
                <w:lang w:val="ru-RU"/>
              </w:rPr>
              <w:t> </w:t>
            </w:r>
            <w:r w:rsidRPr="00E266A0">
              <w:rPr>
                <w:rStyle w:val="Emphasis"/>
                <w:rFonts w:cstheme="minorHAnsi"/>
                <w:i w:val="0"/>
                <w:iCs w:val="0"/>
                <w:szCs w:val="28"/>
                <w:lang w:val="ru-RU"/>
              </w:rPr>
              <w:t>17 сентября по 11 октября 2018 года. Было проведено 10 демонстрационных сессий/семинаров</w:t>
            </w:r>
            <w:r w:rsidR="009E0293" w:rsidRPr="00E266A0">
              <w:rPr>
                <w:rStyle w:val="Emphasis"/>
                <w:rFonts w:cstheme="minorHAnsi"/>
                <w:i w:val="0"/>
                <w:iCs w:val="0"/>
                <w:szCs w:val="28"/>
                <w:lang w:val="ru-RU"/>
              </w:rPr>
              <w:noBreakHyphen/>
            </w:r>
            <w:r w:rsidRPr="00E266A0">
              <w:rPr>
                <w:rStyle w:val="Emphasis"/>
                <w:rFonts w:cstheme="minorHAnsi"/>
                <w:i w:val="0"/>
                <w:iCs w:val="0"/>
                <w:szCs w:val="28"/>
                <w:lang w:val="ru-RU"/>
              </w:rPr>
              <w:t xml:space="preserve">практикумов и сессий по </w:t>
            </w:r>
            <w:r w:rsidR="009E0293" w:rsidRPr="00E266A0">
              <w:rPr>
                <w:rStyle w:val="Emphasis"/>
                <w:rFonts w:cstheme="minorHAnsi"/>
                <w:i w:val="0"/>
                <w:iCs w:val="0"/>
                <w:szCs w:val="28"/>
                <w:lang w:val="ru-RU"/>
              </w:rPr>
              <w:t>созданию</w:t>
            </w:r>
            <w:r w:rsidRPr="00E266A0">
              <w:rPr>
                <w:rStyle w:val="Emphasis"/>
                <w:rFonts w:cstheme="minorHAnsi"/>
                <w:i w:val="0"/>
                <w:iCs w:val="0"/>
                <w:szCs w:val="28"/>
                <w:lang w:val="ru-RU"/>
              </w:rPr>
              <w:t xml:space="preserve"> потенциала, посвященных различным темам.</w:t>
            </w:r>
          </w:p>
          <w:p w14:paraId="4CC17D19" w14:textId="6C54C9F2" w:rsidR="007C6FA5" w:rsidRPr="00E266A0" w:rsidRDefault="007C6FA5" w:rsidP="002D1A01">
            <w:pPr>
              <w:spacing w:after="120"/>
              <w:rPr>
                <w:rFonts w:cstheme="minorHAnsi"/>
                <w:szCs w:val="28"/>
                <w:lang w:val="ru-RU"/>
              </w:rPr>
            </w:pPr>
            <w:r w:rsidRPr="00E266A0">
              <w:rPr>
                <w:rStyle w:val="Emphasis"/>
                <w:rFonts w:cstheme="minorHAnsi"/>
                <w:i w:val="0"/>
                <w:iCs w:val="0"/>
                <w:szCs w:val="28"/>
                <w:lang w:val="ru-RU"/>
              </w:rPr>
              <w:t xml:space="preserve">В </w:t>
            </w:r>
            <w:r w:rsidRPr="00E266A0">
              <w:rPr>
                <w:lang w:val="ru-RU"/>
              </w:rPr>
              <w:t xml:space="preserve">целях </w:t>
            </w:r>
            <w:r w:rsidRPr="00E266A0">
              <w:rPr>
                <w:rFonts w:cstheme="minorHAnsi"/>
                <w:szCs w:val="28"/>
                <w:lang w:val="ru-RU"/>
              </w:rPr>
              <w:t xml:space="preserve">облегчения координации и дальнейшего укрепления сотрудничества между этими двумя исследовательскими комиссиями МСЭ-D и исследовательскими комиссиями других Секторов в ходе собраний групп Докладчиков ИК1 и ИК2 была продолжена работа над тремя таблицами </w:t>
            </w:r>
            <w:r w:rsidR="00644D34">
              <w:rPr>
                <w:rFonts w:cstheme="minorHAnsi"/>
                <w:szCs w:val="28"/>
                <w:lang w:val="ru-RU"/>
              </w:rPr>
              <w:t>соответствий</w:t>
            </w:r>
            <w:r w:rsidRPr="00E266A0">
              <w:rPr>
                <w:rFonts w:cstheme="minorHAnsi"/>
                <w:szCs w:val="28"/>
                <w:lang w:val="ru-RU"/>
              </w:rPr>
              <w:t>. Кроме того, был изучен имевш</w:t>
            </w:r>
            <w:r w:rsidR="00DB1866" w:rsidRPr="00E266A0">
              <w:rPr>
                <w:rFonts w:cstheme="minorHAnsi"/>
                <w:szCs w:val="28"/>
                <w:lang w:val="ru-RU"/>
              </w:rPr>
              <w:t>ий</w:t>
            </w:r>
            <w:r w:rsidRPr="00E266A0">
              <w:rPr>
                <w:rFonts w:cstheme="minorHAnsi"/>
                <w:szCs w:val="28"/>
                <w:lang w:val="ru-RU"/>
              </w:rPr>
              <w:t xml:space="preserve"> место в 2018 году </w:t>
            </w:r>
            <w:r w:rsidR="00DB1866" w:rsidRPr="00E266A0">
              <w:rPr>
                <w:rFonts w:cstheme="minorHAnsi"/>
                <w:szCs w:val="28"/>
                <w:lang w:val="ru-RU"/>
              </w:rPr>
              <w:t xml:space="preserve">эффект </w:t>
            </w:r>
            <w:r w:rsidRPr="00E266A0">
              <w:rPr>
                <w:rFonts w:cstheme="minorHAnsi"/>
                <w:szCs w:val="28"/>
                <w:lang w:val="ru-RU"/>
              </w:rPr>
              <w:t>синерги</w:t>
            </w:r>
            <w:r w:rsidR="00DB1866" w:rsidRPr="00E266A0">
              <w:rPr>
                <w:rFonts w:cstheme="minorHAnsi"/>
                <w:szCs w:val="28"/>
                <w:lang w:val="ru-RU"/>
              </w:rPr>
              <w:t>и</w:t>
            </w:r>
            <w:r w:rsidRPr="00E266A0">
              <w:rPr>
                <w:rFonts w:cstheme="minorHAnsi"/>
                <w:szCs w:val="28"/>
                <w:lang w:val="ru-RU"/>
              </w:rPr>
              <w:t xml:space="preserve"> между темами, </w:t>
            </w:r>
            <w:r w:rsidR="00DB1866" w:rsidRPr="00E266A0">
              <w:rPr>
                <w:rFonts w:cstheme="minorHAnsi"/>
                <w:szCs w:val="28"/>
                <w:lang w:val="ru-RU"/>
              </w:rPr>
              <w:t>изучаемыми</w:t>
            </w:r>
            <w:r w:rsidRPr="00E266A0">
              <w:rPr>
                <w:rFonts w:cstheme="minorHAnsi"/>
                <w:szCs w:val="28"/>
                <w:lang w:val="ru-RU"/>
              </w:rPr>
              <w:t xml:space="preserve"> исследовательскими комиссиями, и в регионах были проведены семинары-практикумы и семинары. Положительные примеры можно </w:t>
            </w:r>
            <w:r w:rsidR="00DB1866" w:rsidRPr="00E266A0">
              <w:rPr>
                <w:rFonts w:cstheme="minorHAnsi"/>
                <w:szCs w:val="28"/>
                <w:lang w:val="ru-RU"/>
              </w:rPr>
              <w:t>найти</w:t>
            </w:r>
            <w:r w:rsidRPr="00E266A0">
              <w:rPr>
                <w:rFonts w:cstheme="minorHAnsi"/>
                <w:szCs w:val="28"/>
                <w:lang w:val="ru-RU"/>
              </w:rPr>
              <w:t xml:space="preserve"> в рамках пилотных проектов, проведенных в Венгрии (вместе с региональным семинаром по внедрению 5G в Европе и СНГ), Мексике (вместе с Региональным экономическим диалогом МСЭ по вопросам электросвязи/ИКТ для Латинской Америки и Карибского бассейна) и Буркина-Фасо (вместе с Региональным экономическим диалогом для Африки 2018 года).</w:t>
            </w:r>
          </w:p>
          <w:p w14:paraId="35E9181A" w14:textId="47148F22" w:rsidR="007C6FA5" w:rsidRPr="00E266A0" w:rsidRDefault="007C6FA5" w:rsidP="005C1BAD">
            <w:pPr>
              <w:spacing w:after="120"/>
              <w:rPr>
                <w:lang w:val="ru-RU"/>
              </w:rPr>
            </w:pPr>
            <w:r w:rsidRPr="00E266A0">
              <w:rPr>
                <w:rFonts w:cstheme="minorHAnsi"/>
                <w:szCs w:val="28"/>
                <w:lang w:val="ru-RU"/>
              </w:rPr>
              <w:t>Региональный экономический диалог МСЭ по вопросам электросвязи/ИКТ для Латинской Америки и Карибского бассейна (</w:t>
            </w:r>
            <w:r w:rsidR="005C1BAD" w:rsidRPr="005C1BAD">
              <w:rPr>
                <w:rFonts w:cstheme="minorHAnsi"/>
                <w:szCs w:val="28"/>
                <w:lang w:val="ru-RU"/>
              </w:rPr>
              <w:t>РЭД-</w:t>
            </w:r>
            <w:proofErr w:type="spellStart"/>
            <w:r w:rsidR="005C1BAD" w:rsidRPr="005C1BAD">
              <w:rPr>
                <w:rFonts w:cstheme="minorHAnsi"/>
                <w:szCs w:val="28"/>
                <w:lang w:val="ru-RU"/>
              </w:rPr>
              <w:t>АМР</w:t>
            </w:r>
            <w:proofErr w:type="spellEnd"/>
            <w:r w:rsidRPr="00E266A0">
              <w:rPr>
                <w:rFonts w:cstheme="minorHAnsi"/>
                <w:szCs w:val="28"/>
                <w:lang w:val="ru-RU"/>
              </w:rPr>
              <w:t xml:space="preserve">) состоялся в период с 4 по 6 сентября 2018 года в Мехико, Мексика. В ходе </w:t>
            </w:r>
            <w:r w:rsidR="005C1BAD">
              <w:rPr>
                <w:rFonts w:cstheme="minorHAnsi"/>
                <w:szCs w:val="28"/>
                <w:lang w:val="ru-RU"/>
              </w:rPr>
              <w:t>РЭД</w:t>
            </w:r>
            <w:r w:rsidRPr="00E266A0">
              <w:rPr>
                <w:rFonts w:cstheme="minorHAnsi"/>
                <w:szCs w:val="28"/>
                <w:lang w:val="ru-RU"/>
              </w:rPr>
              <w:t xml:space="preserve"> также </w:t>
            </w:r>
            <w:r w:rsidR="00DB1866" w:rsidRPr="00E266A0">
              <w:rPr>
                <w:rFonts w:cstheme="minorHAnsi"/>
                <w:szCs w:val="28"/>
                <w:lang w:val="ru-RU"/>
              </w:rPr>
              <w:t>состоялась встреча</w:t>
            </w:r>
            <w:r w:rsidRPr="00E266A0">
              <w:rPr>
                <w:rFonts w:cstheme="minorHAnsi"/>
                <w:szCs w:val="28"/>
                <w:lang w:val="ru-RU"/>
              </w:rPr>
              <w:t xml:space="preserve"> экспертов, посвященн</w:t>
            </w:r>
            <w:r w:rsidR="00DB1866" w:rsidRPr="00E266A0">
              <w:rPr>
                <w:rFonts w:cstheme="minorHAnsi"/>
                <w:szCs w:val="28"/>
                <w:lang w:val="ru-RU"/>
              </w:rPr>
              <w:t>ая</w:t>
            </w:r>
            <w:r w:rsidRPr="00E266A0">
              <w:rPr>
                <w:rFonts w:cstheme="minorHAnsi"/>
                <w:szCs w:val="28"/>
                <w:lang w:val="ru-RU"/>
              </w:rPr>
              <w:t xml:space="preserve"> обмену знаниями по Вопросу 4/1 МСЭ-D, </w:t>
            </w:r>
            <w:r w:rsidR="00DB1866" w:rsidRPr="00E266A0">
              <w:rPr>
                <w:rFonts w:cstheme="minorHAnsi"/>
                <w:szCs w:val="28"/>
                <w:lang w:val="ru-RU"/>
              </w:rPr>
              <w:t>в целях</w:t>
            </w:r>
            <w:r w:rsidRPr="00E266A0">
              <w:rPr>
                <w:rFonts w:cstheme="minorHAnsi"/>
                <w:szCs w:val="28"/>
                <w:lang w:val="ru-RU"/>
              </w:rPr>
              <w:t xml:space="preserve"> обсуждения и сбора информации о региональном опыте.</w:t>
            </w:r>
          </w:p>
          <w:p w14:paraId="1D991898" w14:textId="1454EB8A" w:rsidR="00F974A4" w:rsidRPr="00E266A0" w:rsidRDefault="007C6FA5" w:rsidP="00DB1866">
            <w:pPr>
              <w:spacing w:after="120"/>
              <w:rPr>
                <w:i/>
                <w:iCs/>
                <w:highlight w:val="yellow"/>
                <w:lang w:val="ru-RU"/>
              </w:rPr>
            </w:pPr>
            <w:r w:rsidRPr="00E266A0">
              <w:rPr>
                <w:rFonts w:cstheme="minorHAnsi"/>
                <w:szCs w:val="28"/>
                <w:lang w:val="ru-RU"/>
              </w:rPr>
              <w:t xml:space="preserve">Обе исследовательские комиссии МСЭ-D решили </w:t>
            </w:r>
            <w:r w:rsidR="00DB1866" w:rsidRPr="00E266A0">
              <w:rPr>
                <w:rFonts w:cstheme="minorHAnsi"/>
                <w:szCs w:val="28"/>
                <w:lang w:val="ru-RU"/>
              </w:rPr>
              <w:t>продолжить</w:t>
            </w:r>
            <w:r w:rsidRPr="00E266A0">
              <w:rPr>
                <w:rFonts w:cstheme="minorHAnsi"/>
                <w:szCs w:val="28"/>
                <w:lang w:val="ru-RU"/>
              </w:rPr>
              <w:t xml:space="preserve"> реализаци</w:t>
            </w:r>
            <w:r w:rsidR="00DB1866" w:rsidRPr="00E266A0">
              <w:rPr>
                <w:rFonts w:cstheme="minorHAnsi"/>
                <w:szCs w:val="28"/>
                <w:lang w:val="ru-RU"/>
              </w:rPr>
              <w:t>ю</w:t>
            </w:r>
            <w:r w:rsidRPr="00E266A0">
              <w:rPr>
                <w:rFonts w:cstheme="minorHAnsi"/>
                <w:szCs w:val="28"/>
                <w:lang w:val="ru-RU"/>
              </w:rPr>
              <w:t xml:space="preserve"> инициированного Советом 2017 года пилотного проекта МСП </w:t>
            </w:r>
            <w:r w:rsidR="00DB1866" w:rsidRPr="00E266A0">
              <w:rPr>
                <w:rFonts w:cstheme="minorHAnsi"/>
                <w:szCs w:val="28"/>
                <w:lang w:val="ru-RU"/>
              </w:rPr>
              <w:t xml:space="preserve">по привлечению к участию </w:t>
            </w:r>
            <w:r w:rsidRPr="00E266A0">
              <w:rPr>
                <w:rFonts w:cstheme="minorHAnsi"/>
                <w:szCs w:val="28"/>
                <w:lang w:val="ru-RU"/>
              </w:rPr>
              <w:t>в работе исследовательских комиссий МСЭ. В 2018 году в пилотном проекте при поддержке своих администраций приняли участие семь МСП.</w:t>
            </w:r>
          </w:p>
        </w:tc>
      </w:tr>
      <w:tr w:rsidR="00D120CD" w:rsidRPr="00E266A0" w14:paraId="0539146B" w14:textId="77777777" w:rsidTr="00682F01">
        <w:tc>
          <w:tcPr>
            <w:tcW w:w="2689" w:type="dxa"/>
          </w:tcPr>
          <w:p w14:paraId="66D08B4F" w14:textId="6AD2E803" w:rsidR="00D120CD" w:rsidRPr="00E266A0" w:rsidRDefault="00D120CD" w:rsidP="002D1A01">
            <w:pPr>
              <w:spacing w:before="40" w:after="40"/>
              <w:rPr>
                <w:i/>
                <w:iCs/>
                <w:szCs w:val="24"/>
                <w:lang w:val="ru-RU"/>
              </w:rPr>
            </w:pPr>
            <w:proofErr w:type="spellStart"/>
            <w:r w:rsidRPr="00E266A0">
              <w:rPr>
                <w:rFonts w:cstheme="minorHAnsi"/>
                <w:i/>
                <w:iCs/>
                <w:szCs w:val="28"/>
                <w:lang w:val="ru-RU"/>
              </w:rPr>
              <w:t>ВКРЭ</w:t>
            </w:r>
            <w:proofErr w:type="spellEnd"/>
          </w:p>
        </w:tc>
        <w:tc>
          <w:tcPr>
            <w:tcW w:w="6940" w:type="dxa"/>
          </w:tcPr>
          <w:p w14:paraId="697D4125" w14:textId="1A4085C1" w:rsidR="00D120CD" w:rsidRPr="00E266A0" w:rsidRDefault="00D120CD" w:rsidP="002D1A01">
            <w:pPr>
              <w:keepNext/>
              <w:spacing w:before="40" w:after="40"/>
              <w:rPr>
                <w:szCs w:val="24"/>
                <w:lang w:val="ru-RU"/>
              </w:rPr>
            </w:pPr>
            <w:r w:rsidRPr="00E266A0">
              <w:rPr>
                <w:rFonts w:cstheme="minorHAnsi"/>
                <w:szCs w:val="28"/>
                <w:lang w:val="ru-RU"/>
              </w:rPr>
              <w:t>Резолюции 1, 2, 5, 9, 17, 21, 30, 33, 50, 59, 61, 80, 81</w:t>
            </w:r>
          </w:p>
        </w:tc>
      </w:tr>
      <w:tr w:rsidR="00D120CD" w:rsidRPr="00E266A0" w14:paraId="598E5826" w14:textId="77777777" w:rsidTr="00682F01">
        <w:tc>
          <w:tcPr>
            <w:tcW w:w="2689" w:type="dxa"/>
          </w:tcPr>
          <w:p w14:paraId="79D0F687" w14:textId="243F19CB" w:rsidR="00D120CD" w:rsidRPr="00E266A0" w:rsidRDefault="00D120CD" w:rsidP="002D1A01">
            <w:pPr>
              <w:spacing w:before="40" w:after="40"/>
              <w:rPr>
                <w:i/>
                <w:iCs/>
                <w:szCs w:val="24"/>
                <w:lang w:val="ru-RU"/>
              </w:rPr>
            </w:pPr>
            <w:r w:rsidRPr="00E266A0">
              <w:rPr>
                <w:rFonts w:cstheme="minorHAnsi"/>
                <w:i/>
                <w:iCs/>
                <w:szCs w:val="28"/>
                <w:lang w:val="ru-RU"/>
              </w:rPr>
              <w:t>МСЭ-D</w:t>
            </w:r>
            <w:r w:rsidRPr="00E266A0" w:rsidDel="006F111B">
              <w:rPr>
                <w:rFonts w:cstheme="minorHAnsi"/>
                <w:i/>
                <w:iCs/>
                <w:szCs w:val="28"/>
                <w:lang w:val="ru-RU"/>
              </w:rPr>
              <w:t xml:space="preserve"> </w:t>
            </w:r>
          </w:p>
        </w:tc>
        <w:tc>
          <w:tcPr>
            <w:tcW w:w="6940" w:type="dxa"/>
          </w:tcPr>
          <w:p w14:paraId="608E98F2" w14:textId="1336966D" w:rsidR="00D120CD" w:rsidRPr="00E266A0" w:rsidRDefault="00D120CD" w:rsidP="002D1A01">
            <w:pPr>
              <w:spacing w:before="40" w:after="40"/>
              <w:rPr>
                <w:szCs w:val="24"/>
                <w:lang w:val="ru-RU"/>
              </w:rPr>
            </w:pPr>
            <w:r w:rsidRPr="00E266A0">
              <w:rPr>
                <w:rFonts w:cstheme="minorHAnsi"/>
                <w:szCs w:val="28"/>
                <w:lang w:val="ru-RU"/>
              </w:rPr>
              <w:t>Рекомендации 15, 16, 17, 19, 20, 21, 22</w:t>
            </w:r>
          </w:p>
        </w:tc>
      </w:tr>
      <w:tr w:rsidR="00D120CD" w:rsidRPr="00E266A0" w14:paraId="06C3E413" w14:textId="77777777" w:rsidTr="00682F01">
        <w:tc>
          <w:tcPr>
            <w:tcW w:w="2689" w:type="dxa"/>
          </w:tcPr>
          <w:p w14:paraId="44D89AA6" w14:textId="0EEAE854" w:rsidR="00D120CD" w:rsidRPr="00E266A0" w:rsidRDefault="00D120CD" w:rsidP="002D1A01">
            <w:pPr>
              <w:spacing w:before="40" w:after="40"/>
              <w:rPr>
                <w:i/>
                <w:iCs/>
                <w:szCs w:val="24"/>
                <w:lang w:val="ru-RU"/>
              </w:rPr>
            </w:pPr>
            <w:r w:rsidRPr="00E266A0">
              <w:rPr>
                <w:rFonts w:cstheme="minorHAnsi"/>
                <w:i/>
                <w:iCs/>
                <w:szCs w:val="28"/>
                <w:lang w:val="ru-RU"/>
              </w:rPr>
              <w:t>Полномочная конференция</w:t>
            </w:r>
          </w:p>
        </w:tc>
        <w:tc>
          <w:tcPr>
            <w:tcW w:w="6940" w:type="dxa"/>
          </w:tcPr>
          <w:p w14:paraId="732F4991" w14:textId="77777777" w:rsidR="00D120CD" w:rsidRPr="00E266A0" w:rsidRDefault="00D120CD" w:rsidP="002D1A01">
            <w:pPr>
              <w:spacing w:before="40" w:after="40"/>
              <w:rPr>
                <w:rFonts w:cstheme="minorHAnsi"/>
                <w:szCs w:val="28"/>
                <w:lang w:val="ru-RU"/>
              </w:rPr>
            </w:pPr>
            <w:r w:rsidRPr="00E266A0">
              <w:rPr>
                <w:rFonts w:cstheme="minorHAnsi"/>
                <w:szCs w:val="28"/>
                <w:lang w:val="ru-RU"/>
              </w:rPr>
              <w:t>Решения 5, 13 ПК</w:t>
            </w:r>
          </w:p>
          <w:p w14:paraId="6C90B6DB" w14:textId="78263DB4" w:rsidR="00D120CD" w:rsidRPr="00E266A0" w:rsidRDefault="00D120CD" w:rsidP="002D1A01">
            <w:pPr>
              <w:spacing w:before="40" w:after="40"/>
              <w:rPr>
                <w:szCs w:val="24"/>
                <w:lang w:val="ru-RU"/>
              </w:rPr>
            </w:pPr>
            <w:r w:rsidRPr="00E266A0">
              <w:rPr>
                <w:rFonts w:cstheme="minorHAnsi"/>
                <w:szCs w:val="28"/>
                <w:lang w:val="ru-RU"/>
              </w:rPr>
              <w:t>Резолюции 25, 71, 133, 135, 140, 154, 165, 166, 167 ПК</w:t>
            </w:r>
          </w:p>
        </w:tc>
      </w:tr>
      <w:tr w:rsidR="00D120CD" w:rsidRPr="00E266A0" w14:paraId="38CFCCAB" w14:textId="77777777" w:rsidTr="00682F01">
        <w:tc>
          <w:tcPr>
            <w:tcW w:w="2689" w:type="dxa"/>
          </w:tcPr>
          <w:p w14:paraId="241171C3" w14:textId="78EAD2C7" w:rsidR="00D120CD" w:rsidRPr="00E266A0" w:rsidRDefault="00D120CD" w:rsidP="002D1A01">
            <w:pPr>
              <w:spacing w:before="40" w:after="40"/>
              <w:rPr>
                <w:i/>
                <w:iCs/>
                <w:szCs w:val="24"/>
                <w:lang w:val="ru-RU"/>
              </w:rPr>
            </w:pPr>
            <w:r w:rsidRPr="00E266A0">
              <w:rPr>
                <w:rFonts w:cstheme="minorHAnsi"/>
                <w:i/>
                <w:iCs/>
                <w:szCs w:val="28"/>
                <w:lang w:val="ru-RU"/>
              </w:rPr>
              <w:t>Совет</w:t>
            </w:r>
          </w:p>
        </w:tc>
        <w:tc>
          <w:tcPr>
            <w:tcW w:w="6940" w:type="dxa"/>
          </w:tcPr>
          <w:p w14:paraId="4C461CE8" w14:textId="71980401" w:rsidR="00D120CD" w:rsidRPr="00E266A0" w:rsidRDefault="00E05840" w:rsidP="002D1A01">
            <w:pPr>
              <w:spacing w:before="40" w:after="40"/>
              <w:rPr>
                <w:szCs w:val="24"/>
                <w:lang w:val="ru-RU"/>
              </w:rPr>
            </w:pPr>
            <w:r>
              <w:rPr>
                <w:rFonts w:cstheme="minorHAnsi"/>
                <w:szCs w:val="28"/>
                <w:lang w:val="ru-RU"/>
              </w:rPr>
              <w:t xml:space="preserve">Резолюция </w:t>
            </w:r>
            <w:r w:rsidR="00D120CD" w:rsidRPr="00E266A0">
              <w:rPr>
                <w:rFonts w:cstheme="minorHAnsi"/>
                <w:szCs w:val="28"/>
                <w:lang w:val="ru-RU"/>
              </w:rPr>
              <w:t>1372</w:t>
            </w:r>
          </w:p>
        </w:tc>
      </w:tr>
      <w:tr w:rsidR="00D120CD" w:rsidRPr="005C1BAD" w14:paraId="43D40D1A" w14:textId="77777777" w:rsidTr="00682F01">
        <w:tc>
          <w:tcPr>
            <w:tcW w:w="2689" w:type="dxa"/>
          </w:tcPr>
          <w:p w14:paraId="16EB948A" w14:textId="7E34E233" w:rsidR="00D120CD" w:rsidRPr="00E266A0" w:rsidRDefault="00D120CD" w:rsidP="002D1A01">
            <w:pPr>
              <w:spacing w:before="40" w:after="40"/>
              <w:rPr>
                <w:i/>
                <w:iCs/>
                <w:szCs w:val="24"/>
                <w:lang w:val="ru-RU"/>
              </w:rPr>
            </w:pPr>
            <w:r w:rsidRPr="00E266A0">
              <w:rPr>
                <w:rFonts w:cstheme="minorHAnsi"/>
                <w:i/>
                <w:iCs/>
                <w:szCs w:val="28"/>
                <w:lang w:val="ru-RU"/>
              </w:rPr>
              <w:t>Направления деятельности ВВУИО</w:t>
            </w:r>
          </w:p>
        </w:tc>
        <w:tc>
          <w:tcPr>
            <w:tcW w:w="6940" w:type="dxa"/>
          </w:tcPr>
          <w:p w14:paraId="66AE327F" w14:textId="3FD07B2B" w:rsidR="00D120CD" w:rsidRPr="00E266A0" w:rsidRDefault="00D120CD" w:rsidP="002D1A01">
            <w:pPr>
              <w:spacing w:before="40" w:after="40"/>
              <w:rPr>
                <w:szCs w:val="24"/>
                <w:lang w:val="ru-RU"/>
              </w:rPr>
            </w:pPr>
            <w:r w:rsidRPr="00E266A0">
              <w:rPr>
                <w:rFonts w:cstheme="minorHAnsi"/>
                <w:szCs w:val="28"/>
                <w:lang w:val="ru-RU"/>
              </w:rPr>
              <w:t>Направления деятельности C1 и C11 ВВУИО</w:t>
            </w:r>
          </w:p>
        </w:tc>
      </w:tr>
      <w:tr w:rsidR="00D120CD" w:rsidRPr="005C1BAD" w14:paraId="1B337A87" w14:textId="77777777" w:rsidTr="00682F01">
        <w:tc>
          <w:tcPr>
            <w:tcW w:w="2689" w:type="dxa"/>
          </w:tcPr>
          <w:p w14:paraId="3907658E" w14:textId="16D108EA" w:rsidR="00D120CD" w:rsidRPr="00E266A0" w:rsidRDefault="00D120CD" w:rsidP="002D1A01">
            <w:pPr>
              <w:spacing w:before="40" w:after="40"/>
              <w:rPr>
                <w:i/>
                <w:iCs/>
                <w:szCs w:val="24"/>
                <w:lang w:val="ru-RU"/>
              </w:rPr>
            </w:pPr>
            <w:r w:rsidRPr="00E266A0">
              <w:rPr>
                <w:rFonts w:cstheme="minorHAnsi"/>
                <w:i/>
                <w:iCs/>
                <w:szCs w:val="28"/>
                <w:lang w:val="ru-RU"/>
              </w:rPr>
              <w:t>Вклад в выполнение задач ЦУР</w:t>
            </w:r>
          </w:p>
        </w:tc>
        <w:tc>
          <w:tcPr>
            <w:tcW w:w="6940" w:type="dxa"/>
          </w:tcPr>
          <w:p w14:paraId="6BCFBA85" w14:textId="77A9C388" w:rsidR="00D120CD" w:rsidRPr="00E266A0" w:rsidRDefault="00644D34" w:rsidP="002D1A01">
            <w:pPr>
              <w:spacing w:before="40" w:after="40"/>
              <w:rPr>
                <w:szCs w:val="24"/>
                <w:lang w:val="ru-RU"/>
              </w:rPr>
            </w:pPr>
            <w:r>
              <w:rPr>
                <w:rFonts w:cstheme="minorHAnsi"/>
                <w:szCs w:val="28"/>
                <w:lang w:val="ru-RU"/>
              </w:rPr>
              <w:t>ЦУР</w:t>
            </w:r>
            <w:r w:rsidR="00D120CD" w:rsidRPr="00E266A0">
              <w:rPr>
                <w:rFonts w:cstheme="minorHAnsi"/>
                <w:szCs w:val="28"/>
                <w:lang w:val="ru-RU"/>
              </w:rPr>
              <w:t xml:space="preserve"> 1 (задача 1.b), 3 (задача 3.d), 5, 10, 16 (задачи 16.5, 16.6, 16.10), </w:t>
            </w:r>
            <w:r w:rsidR="00D120CD" w:rsidRPr="00E266A0">
              <w:rPr>
                <w:rFonts w:cstheme="minorHAnsi"/>
                <w:szCs w:val="28"/>
                <w:lang w:val="ru-RU"/>
              </w:rPr>
              <w:br/>
            </w:r>
            <w:r>
              <w:rPr>
                <w:rFonts w:cstheme="minorHAnsi"/>
                <w:szCs w:val="28"/>
                <w:lang w:val="ru-RU"/>
              </w:rPr>
              <w:t>1</w:t>
            </w:r>
            <w:r w:rsidR="00D120CD" w:rsidRPr="00E266A0">
              <w:rPr>
                <w:rFonts w:cstheme="minorHAnsi"/>
                <w:szCs w:val="28"/>
                <w:lang w:val="ru-RU"/>
              </w:rPr>
              <w:t>7 (задачи 17.9, 17.16, 17.17, 17.18)</w:t>
            </w:r>
          </w:p>
        </w:tc>
      </w:tr>
    </w:tbl>
    <w:p w14:paraId="64768441" w14:textId="77777777" w:rsidR="00D3034E" w:rsidRPr="00E266A0" w:rsidRDefault="00D3034E">
      <w:pPr>
        <w:tabs>
          <w:tab w:val="clear" w:pos="1134"/>
          <w:tab w:val="clear" w:pos="1871"/>
          <w:tab w:val="clear" w:pos="2268"/>
        </w:tabs>
        <w:overflowPunct/>
        <w:autoSpaceDE/>
        <w:autoSpaceDN/>
        <w:adjustRightInd/>
        <w:spacing w:before="0"/>
        <w:textAlignment w:val="auto"/>
        <w:rPr>
          <w:b/>
          <w:lang w:val="ru-RU"/>
        </w:rPr>
      </w:pPr>
      <w:r w:rsidRPr="00E266A0">
        <w:rPr>
          <w:b/>
          <w:lang w:val="ru-RU"/>
        </w:rPr>
        <w:br w:type="page"/>
      </w:r>
    </w:p>
    <w:p w14:paraId="20F04A69" w14:textId="0545A3A2" w:rsidR="00F974A4" w:rsidRPr="00E266A0" w:rsidRDefault="00D120CD" w:rsidP="00D3034E">
      <w:pPr>
        <w:pStyle w:val="ListParagraph"/>
        <w:keepNext/>
        <w:numPr>
          <w:ilvl w:val="0"/>
          <w:numId w:val="43"/>
        </w:numPr>
        <w:spacing w:after="120"/>
        <w:ind w:left="357" w:hanging="357"/>
        <w:contextualSpacing w:val="0"/>
        <w:rPr>
          <w:b/>
          <w:bCs/>
          <w:szCs w:val="24"/>
          <w:lang w:val="ru-RU"/>
        </w:rPr>
      </w:pPr>
      <w:r w:rsidRPr="00E266A0">
        <w:rPr>
          <w:b/>
          <w:lang w:val="ru-RU"/>
        </w:rPr>
        <w:lastRenderedPageBreak/>
        <w:t>Задача 2. 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p w14:paraId="3D636EEB" w14:textId="20860742" w:rsidR="00F974A4" w:rsidRPr="00E266A0" w:rsidRDefault="00F974A4" w:rsidP="00612977">
      <w:pPr>
        <w:keepNext/>
        <w:spacing w:after="120"/>
        <w:ind w:left="357" w:hanging="357"/>
        <w:rPr>
          <w:b/>
          <w:bCs/>
          <w:szCs w:val="24"/>
          <w:lang w:val="ru-RU"/>
        </w:rPr>
      </w:pPr>
      <w:r w:rsidRPr="00E266A0">
        <w:rPr>
          <w:b/>
          <w:bCs/>
          <w:szCs w:val="24"/>
          <w:lang w:val="ru-RU"/>
        </w:rPr>
        <w:t>2.1</w:t>
      </w:r>
      <w:r w:rsidRPr="00E266A0">
        <w:rPr>
          <w:b/>
          <w:bCs/>
          <w:szCs w:val="24"/>
          <w:lang w:val="ru-RU"/>
        </w:rPr>
        <w:tab/>
      </w:r>
      <w:r w:rsidR="00EB48D5" w:rsidRPr="00E266A0">
        <w:rPr>
          <w:b/>
          <w:lang w:val="ru-RU"/>
        </w:rPr>
        <w:t>Политическая и регуляторная база</w:t>
      </w:r>
    </w:p>
    <w:tbl>
      <w:tblPr>
        <w:tblStyle w:val="TableGrid"/>
        <w:tblW w:w="0" w:type="auto"/>
        <w:tblLook w:val="04A0" w:firstRow="1" w:lastRow="0" w:firstColumn="1" w:lastColumn="0" w:noHBand="0" w:noVBand="1"/>
      </w:tblPr>
      <w:tblGrid>
        <w:gridCol w:w="2689"/>
        <w:gridCol w:w="6940"/>
      </w:tblGrid>
      <w:tr w:rsidR="00F974A4" w:rsidRPr="005C1BAD" w14:paraId="0F8179A0" w14:textId="77777777" w:rsidTr="00682F01">
        <w:tc>
          <w:tcPr>
            <w:tcW w:w="9629" w:type="dxa"/>
            <w:gridSpan w:val="2"/>
          </w:tcPr>
          <w:p w14:paraId="2AA2FFDE" w14:textId="2B97547E" w:rsidR="00F974A4" w:rsidRPr="00E266A0" w:rsidRDefault="00EB48D5" w:rsidP="00C40F4D">
            <w:pPr>
              <w:spacing w:after="120"/>
              <w:rPr>
                <w:szCs w:val="24"/>
                <w:lang w:val="ru-RU"/>
              </w:rPr>
            </w:pPr>
            <w:r w:rsidRPr="00E266A0">
              <w:rPr>
                <w:szCs w:val="22"/>
                <w:lang w:val="ru-RU"/>
              </w:rPr>
              <w:t xml:space="preserve">МСЭ-D продолжил проведение всемирных и региональных форумов для Членов Сектора и других национальных и международных заинтересованных сторон </w:t>
            </w:r>
            <w:r w:rsidR="00FE39C3" w:rsidRPr="00E266A0">
              <w:rPr>
                <w:szCs w:val="22"/>
                <w:lang w:val="ru-RU"/>
              </w:rPr>
              <w:t>в целях</w:t>
            </w:r>
            <w:r w:rsidRPr="00E266A0">
              <w:rPr>
                <w:szCs w:val="22"/>
                <w:lang w:val="ru-RU"/>
              </w:rPr>
              <w:t xml:space="preserve"> обсуждения глобальных тенденций в отношении регулирования, организовывая Глобальный симпозиум для регуляторных органов (ГСР), а также проводя стратегические диалоги по политическим, юридическим и регуляторным вопросам, </w:t>
            </w:r>
            <w:r w:rsidR="00C40F4D">
              <w:rPr>
                <w:szCs w:val="22"/>
                <w:lang w:val="ru-RU"/>
              </w:rPr>
              <w:t>в том числе</w:t>
            </w:r>
            <w:r w:rsidRPr="00E266A0">
              <w:rPr>
                <w:szCs w:val="22"/>
                <w:lang w:val="ru-RU"/>
              </w:rPr>
              <w:t xml:space="preserve"> экономическим и финансовым вопросам и вопросам развития рынка. 18</w:t>
            </w:r>
            <w:r w:rsidRPr="00E266A0">
              <w:rPr>
                <w:szCs w:val="22"/>
                <w:lang w:val="ru-RU"/>
              </w:rPr>
              <w:noBreakHyphen/>
              <w:t xml:space="preserve">й Глобальный симпозиум для регуляторных органов (ГСР-18) </w:t>
            </w:r>
            <w:r w:rsidR="00FE39C3" w:rsidRPr="00E266A0">
              <w:rPr>
                <w:szCs w:val="22"/>
                <w:lang w:val="ru-RU"/>
              </w:rPr>
              <w:t>состоялся</w:t>
            </w:r>
            <w:r w:rsidRPr="00E266A0">
              <w:rPr>
                <w:szCs w:val="22"/>
                <w:lang w:val="ru-RU"/>
              </w:rPr>
              <w:t xml:space="preserve"> 9−12 июля в Женеве и был посвящен теме "</w:t>
            </w:r>
            <w:r w:rsidRPr="00E266A0">
              <w:rPr>
                <w:bCs/>
                <w:szCs w:val="22"/>
                <w:lang w:val="ru-RU"/>
              </w:rPr>
              <w:t>Новые границы регулирования"</w:t>
            </w:r>
            <w:r w:rsidRPr="00E266A0">
              <w:rPr>
                <w:rFonts w:eastAsiaTheme="minorEastAsia"/>
                <w:szCs w:val="22"/>
                <w:lang w:val="ru-RU"/>
              </w:rPr>
              <w:t xml:space="preserve">. </w:t>
            </w:r>
            <w:r w:rsidRPr="00E266A0">
              <w:rPr>
                <w:szCs w:val="22"/>
                <w:lang w:val="ru-RU"/>
              </w:rPr>
              <w:t xml:space="preserve">Мероприятие завершилось принятием представителями регуляторных органов в области ИКТ комплекса руководящих указаний на </w:t>
            </w:r>
            <w:r w:rsidRPr="00E266A0">
              <w:rPr>
                <w:szCs w:val="24"/>
                <w:lang w:val="ru-RU"/>
              </w:rPr>
              <w:t>основе</w:t>
            </w:r>
            <w:r w:rsidRPr="00E266A0">
              <w:rPr>
                <w:szCs w:val="22"/>
                <w:lang w:val="ru-RU"/>
              </w:rPr>
              <w:t xml:space="preserve"> примеров передового опыта, касающихся новых границ регулирования для обеспечения цифровой трансформации.</w:t>
            </w:r>
          </w:p>
          <w:p w14:paraId="7C0B1078" w14:textId="1DB80576" w:rsidR="00EB48D5" w:rsidRPr="00E266A0" w:rsidRDefault="00EB48D5" w:rsidP="005C1BAD">
            <w:pPr>
              <w:spacing w:after="120"/>
              <w:rPr>
                <w:szCs w:val="22"/>
                <w:lang w:val="ru-RU"/>
              </w:rPr>
            </w:pPr>
            <w:r w:rsidRPr="00E266A0">
              <w:rPr>
                <w:szCs w:val="22"/>
                <w:lang w:val="ru-RU"/>
              </w:rPr>
              <w:t xml:space="preserve">МСЭ-D продолжил предоставлять высококачественные данные, исследовательско-аналитические материалы и инструменты (документы для обсуждения в рамках ГСР, публикации и базы данных) </w:t>
            </w:r>
            <w:r w:rsidR="00FE39C3" w:rsidRPr="00E266A0">
              <w:rPr>
                <w:szCs w:val="22"/>
                <w:lang w:val="ru-RU"/>
              </w:rPr>
              <w:t xml:space="preserve">в целях </w:t>
            </w:r>
            <w:r w:rsidRPr="00E266A0">
              <w:rPr>
                <w:szCs w:val="22"/>
                <w:lang w:val="ru-RU"/>
              </w:rPr>
              <w:t>оказания Членам содействия во внедрении и анализе стратегий, политики и нормативно-правовой базы, а также в процессе перехода к принятию решений на основе фактической информации. К числу публикаций относятся, в частности, отчет МСЭ на тему "Подготовка к</w:t>
            </w:r>
            <w:r w:rsidR="0031486B" w:rsidRPr="00E266A0">
              <w:rPr>
                <w:szCs w:val="22"/>
                <w:lang w:val="ru-RU"/>
              </w:rPr>
              <w:t> </w:t>
            </w:r>
            <w:r w:rsidRPr="00E266A0">
              <w:rPr>
                <w:szCs w:val="22"/>
                <w:lang w:val="ru-RU"/>
              </w:rPr>
              <w:t>внедрению 5G: возможности и проблемы", отчет "Экономический вклад широкополосной связи, цифровизации и регулирования в сфере ИКТ", а также отчет "Регуляторные проблемы и возможности в новой экосистеме ИКТ". В четвертом квартале 2018</w:t>
            </w:r>
            <w:r w:rsidR="0031486B" w:rsidRPr="00E266A0">
              <w:rPr>
                <w:szCs w:val="22"/>
                <w:lang w:val="ru-RU"/>
              </w:rPr>
              <w:t> </w:t>
            </w:r>
            <w:r w:rsidRPr="00E266A0">
              <w:rPr>
                <w:szCs w:val="22"/>
                <w:lang w:val="ru-RU"/>
              </w:rPr>
              <w:t>года был выпущен отчет "Глобальные регуляторные перспективы в области ИКТ</w:t>
            </w:r>
            <w:r w:rsidR="00FE39C3" w:rsidRPr="00E266A0">
              <w:rPr>
                <w:szCs w:val="22"/>
                <w:lang w:val="ru-RU"/>
              </w:rPr>
              <w:t>,</w:t>
            </w:r>
            <w:r w:rsidRPr="00E266A0">
              <w:rPr>
                <w:szCs w:val="22"/>
                <w:lang w:val="ru-RU"/>
              </w:rPr>
              <w:t xml:space="preserve"> 2018</w:t>
            </w:r>
            <w:r w:rsidR="0031486B" w:rsidRPr="00E266A0">
              <w:rPr>
                <w:szCs w:val="22"/>
                <w:lang w:val="ru-RU"/>
              </w:rPr>
              <w:t> </w:t>
            </w:r>
            <w:r w:rsidRPr="00E266A0">
              <w:rPr>
                <w:szCs w:val="22"/>
                <w:lang w:val="ru-RU"/>
              </w:rPr>
              <w:t>год" – второй отчет из серии ежегодных публикаций, в которых отслеживаются тенденции рынка и регулирования в секторе ИКТ и их воздействие. Данные о регулировании и политике за 2017</w:t>
            </w:r>
            <w:r w:rsidR="0031486B" w:rsidRPr="00E266A0">
              <w:rPr>
                <w:szCs w:val="22"/>
                <w:lang w:val="ru-RU"/>
              </w:rPr>
              <w:t> </w:t>
            </w:r>
            <w:r w:rsidRPr="00E266A0">
              <w:rPr>
                <w:szCs w:val="22"/>
                <w:lang w:val="ru-RU"/>
              </w:rPr>
              <w:t>год были опубликованы в</w:t>
            </w:r>
            <w:r w:rsidR="0031486B" w:rsidRPr="00E266A0">
              <w:rPr>
                <w:szCs w:val="22"/>
                <w:lang w:val="ru-RU"/>
              </w:rPr>
              <w:t> </w:t>
            </w:r>
            <w:r w:rsidR="005C1BAD" w:rsidRPr="005C1BAD">
              <w:rPr>
                <w:szCs w:val="22"/>
                <w:lang w:val="ru-RU"/>
              </w:rPr>
              <w:t>Инструмент</w:t>
            </w:r>
            <w:r w:rsidR="005C1BAD">
              <w:rPr>
                <w:szCs w:val="22"/>
                <w:lang w:val="ru-RU"/>
              </w:rPr>
              <w:t>е</w:t>
            </w:r>
            <w:r w:rsidR="005C1BAD" w:rsidRPr="005C1BAD">
              <w:rPr>
                <w:szCs w:val="22"/>
                <w:lang w:val="ru-RU"/>
              </w:rPr>
              <w:t xml:space="preserve"> отслеживания нормативно-правовой базы в области ИКТ </w:t>
            </w:r>
            <w:r w:rsidRPr="00E266A0">
              <w:rPr>
                <w:szCs w:val="22"/>
                <w:lang w:val="ru-RU"/>
              </w:rPr>
              <w:t>и размещены на веб-сайте МСЭ.</w:t>
            </w:r>
          </w:p>
          <w:p w14:paraId="4F83D0BE" w14:textId="625AAC32" w:rsidR="00EB48D5" w:rsidRPr="00E266A0" w:rsidRDefault="00EB48D5" w:rsidP="002D1A01">
            <w:pPr>
              <w:spacing w:after="120"/>
              <w:rPr>
                <w:szCs w:val="22"/>
                <w:lang w:val="ru-RU"/>
              </w:rPr>
            </w:pPr>
            <w:r w:rsidRPr="00E266A0">
              <w:rPr>
                <w:szCs w:val="22"/>
                <w:lang w:val="ru-RU"/>
              </w:rPr>
              <w:t>МСЭ-D также обеспечивал инструменты и платформы для обмена знаниями (порталы МСЭ по</w:t>
            </w:r>
            <w:r w:rsidR="0031486B" w:rsidRPr="00E266A0">
              <w:rPr>
                <w:szCs w:val="22"/>
                <w:lang w:val="ru-RU"/>
              </w:rPr>
              <w:t> </w:t>
            </w:r>
            <w:r w:rsidRPr="00E266A0">
              <w:rPr>
                <w:szCs w:val="22"/>
                <w:lang w:val="ru-RU"/>
              </w:rPr>
              <w:t xml:space="preserve">ресурсам международного мобильного роуминга (ММР), качеству обслуживания, цифровой экосистеме, развитию инфраструктуры и портал региональных ассоциаций регуляторных органов) </w:t>
            </w:r>
            <w:r w:rsidR="00A54244" w:rsidRPr="00E266A0">
              <w:rPr>
                <w:szCs w:val="22"/>
                <w:lang w:val="ru-RU"/>
              </w:rPr>
              <w:t>в целях</w:t>
            </w:r>
            <w:r w:rsidRPr="00E266A0">
              <w:rPr>
                <w:szCs w:val="22"/>
                <w:lang w:val="ru-RU"/>
              </w:rPr>
              <w:t xml:space="preserve"> содействия развитию всеобъемлющего диалога, расширению сотрудничества и повышению информированности на национальном и региональном уровнях в вопросе о важности формирования благоприятной среды. </w:t>
            </w:r>
          </w:p>
          <w:p w14:paraId="3F49DBC9" w14:textId="0EA0FC91" w:rsidR="00F974A4" w:rsidRPr="00E266A0" w:rsidRDefault="00EB48D5" w:rsidP="00ED6D9A">
            <w:pPr>
              <w:spacing w:after="120"/>
              <w:rPr>
                <w:szCs w:val="24"/>
                <w:lang w:val="ru-RU"/>
              </w:rPr>
            </w:pPr>
            <w:r w:rsidRPr="00E266A0">
              <w:rPr>
                <w:szCs w:val="22"/>
                <w:lang w:val="ru-RU"/>
              </w:rPr>
              <w:t xml:space="preserve">МСЭ-D продолжал оказывать странам содействие посредством повышения уровня информированности, создания и укрепления потенциала и оказания технической поддержки </w:t>
            </w:r>
            <w:r w:rsidR="00A54244" w:rsidRPr="00E266A0">
              <w:rPr>
                <w:szCs w:val="22"/>
                <w:lang w:val="ru-RU"/>
              </w:rPr>
              <w:t>путем реализации</w:t>
            </w:r>
            <w:r w:rsidRPr="00E266A0">
              <w:rPr>
                <w:szCs w:val="22"/>
                <w:lang w:val="ru-RU"/>
              </w:rPr>
              <w:t xml:space="preserve"> проектов, </w:t>
            </w:r>
            <w:r w:rsidR="00A54244" w:rsidRPr="00E266A0">
              <w:rPr>
                <w:szCs w:val="22"/>
                <w:lang w:val="ru-RU"/>
              </w:rPr>
              <w:t xml:space="preserve">проведения </w:t>
            </w:r>
            <w:r w:rsidRPr="00E266A0">
              <w:rPr>
                <w:szCs w:val="22"/>
                <w:lang w:val="ru-RU"/>
              </w:rPr>
              <w:t xml:space="preserve">программ профессиональной подготовки, семинаров-практикумов, семинаров, форумов и конференций. Были охвачены такие темы, как нормативно-правовая база, развитие ИКТ, инфраструктура широкополосной связи, приложения и услуги, международный мобильный роуминг (ММР), связь 5G, электронное сельское хозяйство, электронное здравоохранение, появляющиеся технологии, развитие инфраструктуры, управление использованием спектра, </w:t>
            </w:r>
            <w:r w:rsidR="00A54244" w:rsidRPr="00E266A0">
              <w:rPr>
                <w:szCs w:val="22"/>
                <w:lang w:val="ru-RU"/>
              </w:rPr>
              <w:t xml:space="preserve">спутниковая </w:t>
            </w:r>
            <w:r w:rsidRPr="00E266A0">
              <w:rPr>
                <w:szCs w:val="22"/>
                <w:lang w:val="ru-RU"/>
              </w:rPr>
              <w:t xml:space="preserve">координация, доступ в </w:t>
            </w:r>
            <w:r w:rsidR="00E67705" w:rsidRPr="00E266A0">
              <w:rPr>
                <w:szCs w:val="22"/>
                <w:lang w:val="ru-RU"/>
              </w:rPr>
              <w:t>интернет</w:t>
            </w:r>
            <w:r w:rsidRPr="00E266A0">
              <w:rPr>
                <w:szCs w:val="22"/>
                <w:lang w:val="ru-RU"/>
              </w:rPr>
              <w:t>, лицензирование, ценообразование, сотрудничество в области политики и регулирования в отношении цифровых финансовых услуг и</w:t>
            </w:r>
            <w:r w:rsidR="0031486B" w:rsidRPr="00E266A0">
              <w:rPr>
                <w:szCs w:val="22"/>
                <w:lang w:val="ru-RU"/>
              </w:rPr>
              <w:t> </w:t>
            </w:r>
            <w:r w:rsidRPr="00E266A0">
              <w:rPr>
                <w:szCs w:val="22"/>
                <w:lang w:val="ru-RU"/>
              </w:rPr>
              <w:t>охвата</w:t>
            </w:r>
            <w:r w:rsidR="00ED6D9A">
              <w:rPr>
                <w:szCs w:val="22"/>
                <w:lang w:val="ru-RU"/>
              </w:rPr>
              <w:t xml:space="preserve"> цифровыми финансовыми услугами</w:t>
            </w:r>
            <w:r w:rsidRPr="00E266A0">
              <w:rPr>
                <w:szCs w:val="22"/>
                <w:lang w:val="ru-RU"/>
              </w:rPr>
              <w:t xml:space="preserve"> и развитие этих сфер,</w:t>
            </w:r>
            <w:r w:rsidR="00ED6D9A">
              <w:rPr>
                <w:szCs w:val="22"/>
                <w:lang w:val="ru-RU"/>
              </w:rPr>
              <w:t xml:space="preserve"> </w:t>
            </w:r>
            <w:r w:rsidRPr="00E266A0">
              <w:rPr>
                <w:szCs w:val="22"/>
                <w:lang w:val="ru-RU"/>
              </w:rPr>
              <w:t>цифровая экономика и другие темы.</w:t>
            </w:r>
          </w:p>
        </w:tc>
      </w:tr>
      <w:tr w:rsidR="0031486B" w:rsidRPr="00E266A0" w14:paraId="2D893C73" w14:textId="77777777" w:rsidTr="00682F01">
        <w:tc>
          <w:tcPr>
            <w:tcW w:w="2689" w:type="dxa"/>
          </w:tcPr>
          <w:p w14:paraId="7523AD2A" w14:textId="39FAC6AD" w:rsidR="0031486B" w:rsidRPr="00E266A0" w:rsidRDefault="0031486B" w:rsidP="002D1A01">
            <w:pPr>
              <w:spacing w:before="40" w:after="40"/>
              <w:rPr>
                <w:i/>
                <w:iCs/>
                <w:szCs w:val="24"/>
                <w:lang w:val="ru-RU"/>
              </w:rPr>
            </w:pPr>
            <w:proofErr w:type="spellStart"/>
            <w:r w:rsidRPr="00E266A0">
              <w:rPr>
                <w:i/>
                <w:iCs/>
                <w:szCs w:val="22"/>
                <w:lang w:val="ru-RU"/>
              </w:rPr>
              <w:t>ВКРЭ</w:t>
            </w:r>
            <w:proofErr w:type="spellEnd"/>
            <w:r w:rsidRPr="00E266A0" w:rsidDel="00475D90">
              <w:rPr>
                <w:i/>
                <w:iCs/>
                <w:szCs w:val="22"/>
                <w:lang w:val="ru-RU"/>
              </w:rPr>
              <w:t xml:space="preserve"> </w:t>
            </w:r>
          </w:p>
        </w:tc>
        <w:tc>
          <w:tcPr>
            <w:tcW w:w="6940" w:type="dxa"/>
          </w:tcPr>
          <w:p w14:paraId="74B70D61" w14:textId="1C10E87E" w:rsidR="0031486B" w:rsidRPr="00E266A0" w:rsidRDefault="0031486B" w:rsidP="002D1A01">
            <w:pPr>
              <w:spacing w:before="40" w:after="40"/>
              <w:rPr>
                <w:szCs w:val="24"/>
                <w:lang w:val="ru-RU"/>
              </w:rPr>
            </w:pPr>
            <w:r w:rsidRPr="00E266A0">
              <w:rPr>
                <w:szCs w:val="22"/>
                <w:lang w:val="ru-RU"/>
              </w:rPr>
              <w:t>Резолюции 1, 9, 17, 21, 23, 30, 32, 43, 48, 62</w:t>
            </w:r>
          </w:p>
        </w:tc>
      </w:tr>
      <w:tr w:rsidR="0031486B" w:rsidRPr="00E266A0" w14:paraId="16C806A3" w14:textId="77777777" w:rsidTr="00682F01">
        <w:tc>
          <w:tcPr>
            <w:tcW w:w="2689" w:type="dxa"/>
          </w:tcPr>
          <w:p w14:paraId="04E0C526" w14:textId="4618856F" w:rsidR="0031486B" w:rsidRPr="00E266A0" w:rsidRDefault="0031486B" w:rsidP="002D1A01">
            <w:pPr>
              <w:spacing w:before="40" w:after="40"/>
              <w:rPr>
                <w:i/>
                <w:iCs/>
                <w:szCs w:val="24"/>
                <w:lang w:val="ru-RU"/>
              </w:rPr>
            </w:pPr>
            <w:r w:rsidRPr="00E266A0">
              <w:rPr>
                <w:i/>
                <w:iCs/>
                <w:szCs w:val="22"/>
                <w:lang w:val="ru-RU"/>
              </w:rPr>
              <w:t>Полномочная конференция</w:t>
            </w:r>
          </w:p>
        </w:tc>
        <w:tc>
          <w:tcPr>
            <w:tcW w:w="6940" w:type="dxa"/>
          </w:tcPr>
          <w:p w14:paraId="33D6539A" w14:textId="77777777" w:rsidR="0031486B" w:rsidRPr="00E266A0" w:rsidRDefault="0031486B" w:rsidP="002D1A01">
            <w:pPr>
              <w:spacing w:before="40" w:after="40"/>
              <w:rPr>
                <w:szCs w:val="22"/>
                <w:lang w:val="ru-RU"/>
              </w:rPr>
            </w:pPr>
            <w:r w:rsidRPr="00E266A0">
              <w:rPr>
                <w:szCs w:val="22"/>
                <w:lang w:val="ru-RU"/>
              </w:rPr>
              <w:t>Решения 5, 13 ПК</w:t>
            </w:r>
          </w:p>
          <w:p w14:paraId="6B542979" w14:textId="405216E2" w:rsidR="0031486B" w:rsidRPr="00E266A0" w:rsidRDefault="0031486B" w:rsidP="002D1A01">
            <w:pPr>
              <w:spacing w:before="40" w:after="40"/>
              <w:rPr>
                <w:szCs w:val="24"/>
                <w:lang w:val="ru-RU"/>
              </w:rPr>
            </w:pPr>
            <w:r w:rsidRPr="00E266A0">
              <w:rPr>
                <w:szCs w:val="22"/>
                <w:lang w:val="ru-RU"/>
              </w:rPr>
              <w:t>Резолюции 25, 71, 102, 135, 138, 154, 165 ПК</w:t>
            </w:r>
          </w:p>
        </w:tc>
      </w:tr>
      <w:tr w:rsidR="0031486B" w:rsidRPr="00E266A0" w14:paraId="496235FB" w14:textId="77777777" w:rsidTr="00682F01">
        <w:tc>
          <w:tcPr>
            <w:tcW w:w="2689" w:type="dxa"/>
          </w:tcPr>
          <w:p w14:paraId="12B3627A" w14:textId="6E49D8A0" w:rsidR="0031486B" w:rsidRPr="00E266A0" w:rsidRDefault="0031486B" w:rsidP="002D1A01">
            <w:pPr>
              <w:spacing w:before="40" w:after="40"/>
              <w:rPr>
                <w:i/>
                <w:iCs/>
                <w:szCs w:val="24"/>
                <w:lang w:val="ru-RU"/>
              </w:rPr>
            </w:pPr>
            <w:r w:rsidRPr="00E266A0">
              <w:rPr>
                <w:i/>
                <w:iCs/>
                <w:szCs w:val="22"/>
                <w:lang w:val="ru-RU"/>
              </w:rPr>
              <w:lastRenderedPageBreak/>
              <w:t>ВКМЭ</w:t>
            </w:r>
          </w:p>
        </w:tc>
        <w:tc>
          <w:tcPr>
            <w:tcW w:w="6940" w:type="dxa"/>
          </w:tcPr>
          <w:p w14:paraId="06D58BD6" w14:textId="38EBB421" w:rsidR="0031486B" w:rsidRPr="00E266A0" w:rsidRDefault="0031486B" w:rsidP="002D1A01">
            <w:pPr>
              <w:spacing w:before="40" w:after="40"/>
              <w:rPr>
                <w:szCs w:val="24"/>
                <w:lang w:val="ru-RU"/>
              </w:rPr>
            </w:pPr>
            <w:r w:rsidRPr="00E266A0">
              <w:rPr>
                <w:szCs w:val="22"/>
                <w:lang w:val="ru-RU"/>
              </w:rPr>
              <w:t>Резолюция 3</w:t>
            </w:r>
          </w:p>
        </w:tc>
      </w:tr>
      <w:tr w:rsidR="0031486B" w:rsidRPr="005C1BAD" w14:paraId="71E8CA2A" w14:textId="77777777" w:rsidTr="00682F01">
        <w:tc>
          <w:tcPr>
            <w:tcW w:w="2689" w:type="dxa"/>
          </w:tcPr>
          <w:p w14:paraId="57BDC296" w14:textId="136C6434" w:rsidR="0031486B" w:rsidRPr="00E266A0" w:rsidRDefault="0031486B" w:rsidP="002D1A01">
            <w:pPr>
              <w:spacing w:before="40" w:after="40"/>
              <w:rPr>
                <w:i/>
                <w:iCs/>
                <w:szCs w:val="24"/>
                <w:lang w:val="ru-RU"/>
              </w:rPr>
            </w:pPr>
            <w:r w:rsidRPr="00E266A0">
              <w:rPr>
                <w:i/>
                <w:iCs/>
                <w:szCs w:val="22"/>
                <w:lang w:val="ru-RU"/>
              </w:rPr>
              <w:t>Направления деятельности ВВУИО</w:t>
            </w:r>
          </w:p>
        </w:tc>
        <w:tc>
          <w:tcPr>
            <w:tcW w:w="6940" w:type="dxa"/>
          </w:tcPr>
          <w:p w14:paraId="25DEDD9E" w14:textId="12839303" w:rsidR="0031486B" w:rsidRPr="00E266A0" w:rsidRDefault="0031486B" w:rsidP="00E67705">
            <w:pPr>
              <w:spacing w:before="40" w:after="40"/>
              <w:rPr>
                <w:szCs w:val="24"/>
                <w:lang w:val="ru-RU"/>
              </w:rPr>
            </w:pPr>
            <w:r w:rsidRPr="00E266A0">
              <w:rPr>
                <w:szCs w:val="22"/>
                <w:lang w:val="ru-RU"/>
              </w:rPr>
              <w:t>Направление деятельности C6 Женевского плана действий и </w:t>
            </w:r>
            <w:r w:rsidR="00E67705" w:rsidRPr="00E266A0">
              <w:rPr>
                <w:szCs w:val="22"/>
                <w:lang w:val="ru-RU"/>
              </w:rPr>
              <w:t>пункты</w:t>
            </w:r>
            <w:r w:rsidRPr="00E266A0">
              <w:rPr>
                <w:szCs w:val="22"/>
                <w:lang w:val="ru-RU"/>
              </w:rPr>
              <w:t> 112−119 Тунисской программы для информационного общества ВВУИО</w:t>
            </w:r>
          </w:p>
        </w:tc>
      </w:tr>
      <w:tr w:rsidR="0031486B" w:rsidRPr="005C1BAD" w14:paraId="658D743C" w14:textId="77777777" w:rsidTr="00863FB2">
        <w:trPr>
          <w:cantSplit/>
        </w:trPr>
        <w:tc>
          <w:tcPr>
            <w:tcW w:w="2689" w:type="dxa"/>
          </w:tcPr>
          <w:p w14:paraId="0AA0B050" w14:textId="77FE5872" w:rsidR="0031486B" w:rsidRPr="00E266A0" w:rsidRDefault="0031486B" w:rsidP="002D1A01">
            <w:pPr>
              <w:spacing w:before="40" w:after="40"/>
              <w:rPr>
                <w:i/>
                <w:iCs/>
                <w:szCs w:val="24"/>
                <w:lang w:val="ru-RU"/>
              </w:rPr>
            </w:pPr>
            <w:r w:rsidRPr="00E266A0">
              <w:rPr>
                <w:i/>
                <w:iCs/>
                <w:szCs w:val="22"/>
                <w:lang w:val="ru-RU"/>
              </w:rPr>
              <w:t>Вклад в выполнение задач ЦУР</w:t>
            </w:r>
          </w:p>
        </w:tc>
        <w:tc>
          <w:tcPr>
            <w:tcW w:w="6940" w:type="dxa"/>
          </w:tcPr>
          <w:p w14:paraId="519894B3" w14:textId="5105FC40" w:rsidR="0031486B" w:rsidRPr="00E266A0" w:rsidRDefault="0031486B" w:rsidP="00ED6D9A">
            <w:pPr>
              <w:spacing w:before="40" w:after="40"/>
              <w:rPr>
                <w:szCs w:val="24"/>
                <w:lang w:val="ru-RU"/>
              </w:rPr>
            </w:pPr>
            <w:r w:rsidRPr="00E266A0">
              <w:rPr>
                <w:szCs w:val="22"/>
                <w:lang w:val="ru-RU"/>
              </w:rPr>
              <w:t xml:space="preserve">ЦУР 1 (задачи 1.1, 1.2, 1.3, 1.4, 1.5, 1.a, 1.b), 2 (задачи 2.3, 2.4, 2.c), </w:t>
            </w:r>
            <w:r w:rsidRPr="00E266A0">
              <w:rPr>
                <w:szCs w:val="22"/>
                <w:lang w:val="ru-RU"/>
              </w:rPr>
              <w:br/>
              <w:t xml:space="preserve">3 (задачи 3.8, 3.d), 4 (задачи 4.3, 4.4, 4.5, 4.7, 4.c), 5 (задачи 5.1, 5.b), </w:t>
            </w:r>
            <w:r w:rsidRPr="00E266A0">
              <w:rPr>
                <w:szCs w:val="22"/>
                <w:lang w:val="ru-RU"/>
              </w:rPr>
              <w:br/>
              <w:t xml:space="preserve">7 (задачи 7.a, 7.b), 8 (задачи 8.2, 8.3, 8.9, 8.10), 9 (задачи 9.1, 9.3, 9.5, 9.a, 9.c), 10 (задачи 10.3, 10.c), 11 (задача 11.1), 12 (задачи 12.8, 12.b), 13 (задача 13.3), 16 (задачи 16.6, 16.7, 16.8, 16.10, 16.b), </w:t>
            </w:r>
            <w:r w:rsidRPr="00E266A0">
              <w:rPr>
                <w:szCs w:val="22"/>
                <w:lang w:val="ru-RU"/>
              </w:rPr>
              <w:br/>
              <w:t>17 (задачи 17.6, 17.8, 17.9, 17.14, 17.16, 17.17)</w:t>
            </w:r>
          </w:p>
        </w:tc>
      </w:tr>
    </w:tbl>
    <w:p w14:paraId="7EB1207F" w14:textId="6A33DF88" w:rsidR="00F974A4" w:rsidRPr="00E266A0" w:rsidRDefault="00F974A4" w:rsidP="00C40F4D">
      <w:pPr>
        <w:keepNext/>
        <w:spacing w:after="120"/>
        <w:ind w:left="357" w:hanging="357"/>
        <w:rPr>
          <w:b/>
          <w:bCs/>
          <w:szCs w:val="24"/>
          <w:lang w:val="ru-RU"/>
        </w:rPr>
      </w:pPr>
      <w:r w:rsidRPr="00E266A0">
        <w:rPr>
          <w:b/>
          <w:bCs/>
          <w:szCs w:val="24"/>
          <w:lang w:val="ru-RU"/>
        </w:rPr>
        <w:t>2.2</w:t>
      </w:r>
      <w:r w:rsidRPr="00E266A0">
        <w:rPr>
          <w:b/>
          <w:bCs/>
          <w:szCs w:val="24"/>
          <w:lang w:val="ru-RU"/>
        </w:rPr>
        <w:tab/>
      </w:r>
      <w:r w:rsidR="00E656CE" w:rsidRPr="00E266A0">
        <w:rPr>
          <w:b/>
          <w:lang w:val="ru-RU"/>
        </w:rPr>
        <w:t xml:space="preserve">Сети электросвязи/ИКТ, </w:t>
      </w:r>
      <w:r w:rsidR="00C40F4D" w:rsidRPr="00C40F4D">
        <w:rPr>
          <w:b/>
          <w:lang w:val="ru-RU"/>
        </w:rPr>
        <w:t xml:space="preserve">включая соответствие и </w:t>
      </w:r>
      <w:proofErr w:type="gramStart"/>
      <w:r w:rsidR="00C40F4D" w:rsidRPr="00C40F4D">
        <w:rPr>
          <w:b/>
          <w:lang w:val="ru-RU"/>
        </w:rPr>
        <w:t>функциональную совместимость</w:t>
      </w:r>
      <w:proofErr w:type="gramEnd"/>
      <w:r w:rsidR="00C40F4D" w:rsidRPr="00C40F4D">
        <w:rPr>
          <w:b/>
          <w:lang w:val="ru-RU"/>
        </w:rPr>
        <w:t xml:space="preserve"> и преодоление разрыва в стандартизации</w:t>
      </w:r>
    </w:p>
    <w:tbl>
      <w:tblPr>
        <w:tblStyle w:val="TableGrid"/>
        <w:tblW w:w="0" w:type="auto"/>
        <w:tblLook w:val="04A0" w:firstRow="1" w:lastRow="0" w:firstColumn="1" w:lastColumn="0" w:noHBand="0" w:noVBand="1"/>
      </w:tblPr>
      <w:tblGrid>
        <w:gridCol w:w="2689"/>
        <w:gridCol w:w="7054"/>
      </w:tblGrid>
      <w:tr w:rsidR="00F974A4" w:rsidRPr="005C1BAD" w14:paraId="7EB985C6" w14:textId="77777777" w:rsidTr="00682F01">
        <w:tc>
          <w:tcPr>
            <w:tcW w:w="9743" w:type="dxa"/>
            <w:gridSpan w:val="2"/>
          </w:tcPr>
          <w:p w14:paraId="6C38AE42" w14:textId="1E905F8B" w:rsidR="00F974A4" w:rsidRPr="00ED6D9A" w:rsidRDefault="00E656CE" w:rsidP="001D5D5C">
            <w:pPr>
              <w:rPr>
                <w:rFonts w:cstheme="minorHAnsi"/>
                <w:szCs w:val="24"/>
                <w:lang w:val="ru-RU"/>
              </w:rPr>
            </w:pPr>
            <w:r w:rsidRPr="00ED6D9A">
              <w:rPr>
                <w:rFonts w:cstheme="minorHAnsi"/>
                <w:szCs w:val="22"/>
                <w:lang w:val="ru-RU"/>
              </w:rPr>
              <w:t>МСЭ-D разрабатывает и обновляет интерактивные карты наземной передачи МСЭ (</w:t>
            </w:r>
            <w:hyperlink r:id="rId19" w:history="1">
              <w:r w:rsidRPr="00ED6D9A">
                <w:rPr>
                  <w:rStyle w:val="Hyperlink"/>
                  <w:rFonts w:cstheme="minorHAnsi"/>
                  <w:szCs w:val="22"/>
                  <w:lang w:val="ru-RU"/>
                </w:rPr>
                <w:t>http</w:t>
              </w:r>
              <w:r w:rsidRPr="00ED6D9A">
                <w:rPr>
                  <w:rStyle w:val="Hyperlink"/>
                  <w:rFonts w:cstheme="minorHAnsi"/>
                  <w:lang w:val="ru-RU"/>
                </w:rPr>
                <w:t>://itu.int/go/Maps</w:t>
              </w:r>
            </w:hyperlink>
            <w:r w:rsidRPr="00ED6D9A">
              <w:rPr>
                <w:rFonts w:cstheme="minorHAnsi"/>
                <w:szCs w:val="22"/>
                <w:lang w:val="ru-RU"/>
              </w:rPr>
              <w:t xml:space="preserve">). На них отображена важнейшая инфраструктура ИКТ, представленная волоконно-оптическими широкополосными магистральными линиями, микроволновыми линиями, земными станциями спутниковой связи, а также подводными кабелями. </w:t>
            </w:r>
            <w:r w:rsidRPr="00ED6D9A">
              <w:rPr>
                <w:rFonts w:cstheme="minorHAnsi"/>
                <w:color w:val="000000"/>
                <w:shd w:val="clear" w:color="auto" w:fill="FFFFFF"/>
                <w:lang w:val="ru-RU"/>
              </w:rPr>
              <w:t>Следует напомнить, что</w:t>
            </w:r>
            <w:r w:rsidRPr="00ED6D9A">
              <w:rPr>
                <w:rFonts w:cstheme="minorHAnsi"/>
                <w:szCs w:val="22"/>
                <w:lang w:val="ru-RU"/>
              </w:rPr>
              <w:t xml:space="preserve"> интерфейс данных карт был обновлен с учетом новых возможностей визуализации и анализа данных. В частности, были учтены предложения по повышению качества графического изображения, введена каркасная сетка для ориентированных на смартфоны и планшетные компьютеры приложений, а также добавлены информационная панель и инструмент статистики. Функции видео и демонстрации событий находятся на стадии разработки и скоро будут внедрены. На момент составления данного отчета на карте отображалась информация, получаемая от 443 сетей операторов и </w:t>
            </w:r>
            <w:r w:rsidRPr="00ED6D9A">
              <w:rPr>
                <w:rFonts w:cstheme="minorHAnsi"/>
                <w:color w:val="000000"/>
                <w:szCs w:val="22"/>
                <w:lang w:val="ru-RU"/>
              </w:rPr>
              <w:t>21 806 </w:t>
            </w:r>
            <w:r w:rsidRPr="00ED6D9A">
              <w:rPr>
                <w:rFonts w:cstheme="minorHAnsi"/>
                <w:szCs w:val="22"/>
                <w:lang w:val="ru-RU"/>
              </w:rPr>
              <w:t xml:space="preserve">узлов, расположенных по всему миру. Протяженность маршрутов, охваченных исследованием в области линий передачи данных, достигла </w:t>
            </w:r>
            <w:r w:rsidRPr="00ED6D9A">
              <w:rPr>
                <w:rFonts w:cstheme="minorHAnsi"/>
                <w:color w:val="000000"/>
                <w:szCs w:val="22"/>
                <w:lang w:val="ru-RU"/>
              </w:rPr>
              <w:t>13 726 736 </w:t>
            </w:r>
            <w:r w:rsidRPr="00ED6D9A">
              <w:rPr>
                <w:rFonts w:cstheme="minorHAnsi"/>
                <w:szCs w:val="22"/>
                <w:lang w:val="ru-RU"/>
              </w:rPr>
              <w:t xml:space="preserve">км; при этом </w:t>
            </w:r>
            <w:r w:rsidRPr="00ED6D9A">
              <w:rPr>
                <w:rFonts w:cstheme="minorHAnsi"/>
                <w:color w:val="000000"/>
                <w:szCs w:val="22"/>
                <w:lang w:val="ru-RU"/>
              </w:rPr>
              <w:t xml:space="preserve">3 546 379 </w:t>
            </w:r>
            <w:r w:rsidRPr="00ED6D9A">
              <w:rPr>
                <w:rFonts w:cstheme="minorHAnsi"/>
                <w:szCs w:val="22"/>
                <w:lang w:val="ru-RU"/>
              </w:rPr>
              <w:t>км маршрутов уже импортировано в карту. Добавлены новая веб-страница, дополнительные слои (пункты обмена трафиком интернета (IXP) – в сотрудничестве с Telegeography) и информационные панели; обновлена информация по подводным кабелям и земным станциям спутниковой связи.</w:t>
            </w:r>
            <w:r w:rsidRPr="00ED6D9A">
              <w:rPr>
                <w:rFonts w:cstheme="minorHAnsi"/>
                <w:lang w:val="ru-RU"/>
              </w:rPr>
              <w:t xml:space="preserve"> </w:t>
            </w:r>
          </w:p>
          <w:p w14:paraId="61DF1848" w14:textId="6E1197D0" w:rsidR="00E656CE" w:rsidRPr="00E266A0" w:rsidRDefault="00E656CE" w:rsidP="001D5D5C">
            <w:pPr>
              <w:rPr>
                <w:szCs w:val="22"/>
                <w:lang w:val="ru-RU"/>
              </w:rPr>
            </w:pPr>
            <w:r w:rsidRPr="00E266A0">
              <w:rPr>
                <w:szCs w:val="22"/>
                <w:lang w:val="ru-RU"/>
              </w:rPr>
              <w:t xml:space="preserve">В настоящее время ведется дальнейшая разработка программного обеспечения </w:t>
            </w:r>
            <w:r w:rsidR="001D5D5C" w:rsidRPr="00E266A0">
              <w:rPr>
                <w:szCs w:val="22"/>
                <w:lang w:val="ru-RU"/>
              </w:rPr>
              <w:t xml:space="preserve">системы </w:t>
            </w:r>
            <w:r w:rsidRPr="00E266A0">
              <w:rPr>
                <w:szCs w:val="22"/>
                <w:lang w:val="ru-RU"/>
              </w:rPr>
              <w:t>управления использованием спектра для развивающихся стран (SMS4DC), охватывающего административные функции и функции радиосвязи. Нескольким странам и регионам была оказана техническая помощь, а также были организованы программы профессиональной подготовки в</w:t>
            </w:r>
            <w:r w:rsidR="003C5ADA" w:rsidRPr="00E266A0">
              <w:rPr>
                <w:szCs w:val="22"/>
                <w:lang w:val="ru-RU"/>
              </w:rPr>
              <w:t> </w:t>
            </w:r>
            <w:r w:rsidRPr="00E266A0">
              <w:rPr>
                <w:szCs w:val="22"/>
                <w:lang w:val="ru-RU"/>
              </w:rPr>
              <w:t xml:space="preserve">данной области. </w:t>
            </w:r>
          </w:p>
          <w:p w14:paraId="46B37013" w14:textId="33F9E9FE" w:rsidR="00E656CE" w:rsidRPr="00E266A0" w:rsidRDefault="00E656CE" w:rsidP="001D5D5C">
            <w:pPr>
              <w:rPr>
                <w:szCs w:val="22"/>
                <w:lang w:val="ru-RU"/>
              </w:rPr>
            </w:pPr>
            <w:r w:rsidRPr="00E266A0">
              <w:rPr>
                <w:szCs w:val="22"/>
                <w:lang w:val="ru-RU"/>
              </w:rPr>
              <w:t xml:space="preserve">Продолжается оказание помощи в области </w:t>
            </w:r>
            <w:r w:rsidR="00E67705" w:rsidRPr="00E266A0">
              <w:rPr>
                <w:szCs w:val="22"/>
                <w:lang w:val="ru-RU"/>
              </w:rPr>
              <w:t xml:space="preserve">установления </w:t>
            </w:r>
            <w:r w:rsidRPr="00E266A0">
              <w:rPr>
                <w:szCs w:val="22"/>
                <w:lang w:val="ru-RU"/>
              </w:rPr>
              <w:t xml:space="preserve">широкополосных соединений и разработки приложений </w:t>
            </w:r>
            <w:r w:rsidR="00BC2A6E" w:rsidRPr="00E266A0">
              <w:rPr>
                <w:szCs w:val="22"/>
                <w:lang w:val="ru-RU"/>
              </w:rPr>
              <w:t xml:space="preserve">ИКТ </w:t>
            </w:r>
            <w:r w:rsidR="00E67705" w:rsidRPr="00E266A0">
              <w:rPr>
                <w:szCs w:val="22"/>
                <w:lang w:val="ru-RU"/>
              </w:rPr>
              <w:t>в целях</w:t>
            </w:r>
            <w:r w:rsidRPr="00E266A0">
              <w:rPr>
                <w:szCs w:val="22"/>
                <w:lang w:val="ru-RU"/>
              </w:rPr>
              <w:t xml:space="preserve"> обеспечения бесплатного или недорогого цифрового доступа для школ, больниц, а также в </w:t>
            </w:r>
            <w:r w:rsidR="00BC2A6E" w:rsidRPr="00E266A0">
              <w:rPr>
                <w:szCs w:val="22"/>
                <w:lang w:val="ru-RU"/>
              </w:rPr>
              <w:t>недостаточной степени обслуживаемых групп</w:t>
            </w:r>
            <w:r w:rsidRPr="00E266A0">
              <w:rPr>
                <w:szCs w:val="22"/>
                <w:lang w:val="ru-RU"/>
              </w:rPr>
              <w:t xml:space="preserve"> населения в сельских и</w:t>
            </w:r>
            <w:r w:rsidR="003C5ADA" w:rsidRPr="00E266A0">
              <w:rPr>
                <w:szCs w:val="22"/>
                <w:lang w:val="ru-RU"/>
              </w:rPr>
              <w:t> </w:t>
            </w:r>
            <w:r w:rsidRPr="00E266A0">
              <w:rPr>
                <w:szCs w:val="22"/>
                <w:lang w:val="ru-RU"/>
              </w:rPr>
              <w:t xml:space="preserve">отдаленных районах в отдельных странах. Например, в Бурунди </w:t>
            </w:r>
            <w:r w:rsidR="003C5ADA" w:rsidRPr="00E266A0">
              <w:rPr>
                <w:szCs w:val="22"/>
                <w:lang w:val="ru-RU"/>
              </w:rPr>
              <w:t xml:space="preserve">в полном объеме функционирует </w:t>
            </w:r>
            <w:r w:rsidRPr="00E266A0">
              <w:rPr>
                <w:szCs w:val="22"/>
                <w:lang w:val="ru-RU"/>
              </w:rPr>
              <w:t>ш</w:t>
            </w:r>
            <w:r w:rsidR="003C5ADA" w:rsidRPr="00E266A0">
              <w:rPr>
                <w:szCs w:val="22"/>
                <w:lang w:val="ru-RU"/>
              </w:rPr>
              <w:t xml:space="preserve">ирокополосная беспроводная сеть, </w:t>
            </w:r>
            <w:r w:rsidR="001D5D5C">
              <w:rPr>
                <w:szCs w:val="22"/>
                <w:lang w:val="ru-RU"/>
              </w:rPr>
              <w:t xml:space="preserve">к </w:t>
            </w:r>
            <w:r w:rsidR="003C5ADA" w:rsidRPr="00E266A0">
              <w:rPr>
                <w:szCs w:val="22"/>
                <w:lang w:val="ru-RU"/>
              </w:rPr>
              <w:t xml:space="preserve">которой </w:t>
            </w:r>
            <w:r w:rsidRPr="00E266A0">
              <w:rPr>
                <w:szCs w:val="22"/>
                <w:lang w:val="ru-RU"/>
              </w:rPr>
              <w:t>подключено 437 учреждений и пользователей. В</w:t>
            </w:r>
            <w:r w:rsidR="003C5ADA" w:rsidRPr="00E266A0">
              <w:rPr>
                <w:szCs w:val="22"/>
                <w:lang w:val="ru-RU"/>
              </w:rPr>
              <w:t> </w:t>
            </w:r>
            <w:r w:rsidRPr="00E266A0">
              <w:rPr>
                <w:szCs w:val="22"/>
                <w:lang w:val="ru-RU"/>
              </w:rPr>
              <w:t>Буркина-Фасо широкополосная беспроводная сеть установлена и функционирует</w:t>
            </w:r>
            <w:r w:rsidR="003C5ADA" w:rsidRPr="00E266A0">
              <w:rPr>
                <w:szCs w:val="22"/>
                <w:lang w:val="ru-RU"/>
              </w:rPr>
              <w:t xml:space="preserve"> в полном объеме</w:t>
            </w:r>
            <w:r w:rsidRPr="00E266A0">
              <w:rPr>
                <w:szCs w:val="22"/>
                <w:lang w:val="ru-RU"/>
              </w:rPr>
              <w:t xml:space="preserve">. В Джибути все 5 провинций соединены, и широкополосная сеть </w:t>
            </w:r>
            <w:r w:rsidR="003C5ADA" w:rsidRPr="00E266A0">
              <w:rPr>
                <w:szCs w:val="22"/>
                <w:lang w:val="ru-RU"/>
              </w:rPr>
              <w:t>действует в полном объеме</w:t>
            </w:r>
            <w:r w:rsidRPr="00E266A0">
              <w:rPr>
                <w:szCs w:val="22"/>
                <w:lang w:val="ru-RU"/>
              </w:rPr>
              <w:t>. Широкополосные беспроводные сети были также установлены в таких странах, как, в частности, Руанда, Антигуа и Барбуда и Сент-Китс и Невис.</w:t>
            </w:r>
          </w:p>
          <w:p w14:paraId="6CDF74A6" w14:textId="0197E792" w:rsidR="00E656CE" w:rsidRPr="00E266A0" w:rsidRDefault="00E656CE" w:rsidP="001D5D5C">
            <w:pPr>
              <w:rPr>
                <w:szCs w:val="22"/>
                <w:lang w:val="ru-RU"/>
              </w:rPr>
            </w:pPr>
            <w:r w:rsidRPr="00E266A0">
              <w:rPr>
                <w:szCs w:val="22"/>
                <w:lang w:val="ru-RU"/>
              </w:rPr>
              <w:t>В соответствии с Резолюцией 47 (Пересм. Дубай, 2014 год) ВКРЭ в ряде стран и регионов были проведены региональные форумы и курсы профессиональной подготовки по вопросам C&amp;I.</w:t>
            </w:r>
          </w:p>
          <w:p w14:paraId="538AE5C9" w14:textId="4A639845" w:rsidR="00E656CE" w:rsidRPr="00E266A0" w:rsidRDefault="00E656CE" w:rsidP="001D5D5C">
            <w:pPr>
              <w:rPr>
                <w:szCs w:val="22"/>
                <w:lang w:val="ru-RU"/>
              </w:rPr>
            </w:pPr>
            <w:r w:rsidRPr="00E266A0">
              <w:rPr>
                <w:szCs w:val="22"/>
                <w:lang w:val="ru-RU"/>
              </w:rPr>
              <w:t>Развитие потенциала членов МСЭ и программы профессиональной подготовки осуществлялись в</w:t>
            </w:r>
            <w:r w:rsidR="003C5ADA" w:rsidRPr="00E266A0">
              <w:rPr>
                <w:szCs w:val="22"/>
                <w:lang w:val="ru-RU"/>
              </w:rPr>
              <w:t> </w:t>
            </w:r>
            <w:r w:rsidRPr="00E266A0">
              <w:rPr>
                <w:szCs w:val="22"/>
                <w:lang w:val="ru-RU"/>
              </w:rPr>
              <w:t xml:space="preserve">таких областях, как вопросы сетей электросвязи/ИКТ, включая соответствие и функциональную совместимость, цифровое наземное телевидение, IPv6, SMS4DC, управление использованием </w:t>
            </w:r>
            <w:r w:rsidRPr="00E266A0">
              <w:rPr>
                <w:szCs w:val="22"/>
                <w:lang w:val="ru-RU"/>
              </w:rPr>
              <w:lastRenderedPageBreak/>
              <w:t>спектра и распределение спектра, планирование и координаци</w:t>
            </w:r>
            <w:r w:rsidR="00E05840">
              <w:rPr>
                <w:szCs w:val="22"/>
                <w:lang w:val="ru-RU"/>
              </w:rPr>
              <w:t>ю</w:t>
            </w:r>
            <w:r w:rsidRPr="00E266A0">
              <w:rPr>
                <w:szCs w:val="22"/>
                <w:lang w:val="ru-RU"/>
              </w:rPr>
              <w:t xml:space="preserve"> частот и т. д.</w:t>
            </w:r>
          </w:p>
          <w:p w14:paraId="13B415EB" w14:textId="31D8AAC4" w:rsidR="00F974A4" w:rsidRPr="00E266A0" w:rsidRDefault="00E656CE" w:rsidP="001D5D5C">
            <w:pPr>
              <w:rPr>
                <w:szCs w:val="24"/>
                <w:lang w:val="ru-RU"/>
              </w:rPr>
            </w:pPr>
            <w:r w:rsidRPr="00E266A0">
              <w:rPr>
                <w:szCs w:val="22"/>
                <w:lang w:val="ru-RU"/>
              </w:rPr>
              <w:t xml:space="preserve">Была предоставлена прямая помощь в отношении планирования частот, структур и деятельности в области управления использованием спектра, перехода от аналогового к цифровому наземному телевизионному радиовещанию, будущего обмена трафиком интернета и широкополосной связи на базе протокола IPv6, внедрения сетей беспроводной широкополосной связи, радиовещания, национальных и региональных </w:t>
            </w:r>
            <w:r w:rsidR="003C5ADA" w:rsidRPr="00E266A0">
              <w:rPr>
                <w:szCs w:val="22"/>
                <w:lang w:val="ru-RU"/>
              </w:rPr>
              <w:t>пунктов обмена трафиком интернета (</w:t>
            </w:r>
            <w:r w:rsidRPr="00E266A0">
              <w:rPr>
                <w:szCs w:val="22"/>
                <w:lang w:val="ru-RU"/>
              </w:rPr>
              <w:t>IXP</w:t>
            </w:r>
            <w:r w:rsidR="003C5ADA" w:rsidRPr="00E266A0">
              <w:rPr>
                <w:szCs w:val="22"/>
                <w:lang w:val="ru-RU"/>
              </w:rPr>
              <w:t>)</w:t>
            </w:r>
            <w:r w:rsidRPr="00E266A0">
              <w:rPr>
                <w:szCs w:val="22"/>
                <w:lang w:val="ru-RU"/>
              </w:rPr>
              <w:t xml:space="preserve"> и т. д.</w:t>
            </w:r>
            <w:r w:rsidR="00F974A4" w:rsidRPr="00E266A0">
              <w:rPr>
                <w:rFonts w:cstheme="minorHAnsi"/>
                <w:szCs w:val="24"/>
                <w:lang w:val="ru-RU"/>
              </w:rPr>
              <w:t xml:space="preserve"> </w:t>
            </w:r>
          </w:p>
        </w:tc>
      </w:tr>
      <w:tr w:rsidR="00841645" w:rsidRPr="00E266A0" w14:paraId="52160EDC" w14:textId="77777777" w:rsidTr="00682F01">
        <w:tc>
          <w:tcPr>
            <w:tcW w:w="2689" w:type="dxa"/>
          </w:tcPr>
          <w:p w14:paraId="2E4DFFFB" w14:textId="75333988" w:rsidR="00841645" w:rsidRPr="00E266A0" w:rsidRDefault="00841645" w:rsidP="002D1A01">
            <w:pPr>
              <w:spacing w:before="40" w:after="40"/>
              <w:rPr>
                <w:i/>
                <w:iCs/>
                <w:szCs w:val="24"/>
                <w:lang w:val="ru-RU"/>
              </w:rPr>
            </w:pPr>
            <w:proofErr w:type="spellStart"/>
            <w:r w:rsidRPr="00E266A0">
              <w:rPr>
                <w:i/>
                <w:iCs/>
                <w:szCs w:val="22"/>
                <w:lang w:val="ru-RU"/>
              </w:rPr>
              <w:lastRenderedPageBreak/>
              <w:t>ВКРЭ</w:t>
            </w:r>
            <w:proofErr w:type="spellEnd"/>
          </w:p>
        </w:tc>
        <w:tc>
          <w:tcPr>
            <w:tcW w:w="7054" w:type="dxa"/>
          </w:tcPr>
          <w:p w14:paraId="43EF3EC6" w14:textId="77777777" w:rsidR="00841645" w:rsidRPr="00E266A0" w:rsidRDefault="00841645" w:rsidP="002D1A01">
            <w:pPr>
              <w:spacing w:before="40" w:after="40"/>
              <w:rPr>
                <w:szCs w:val="22"/>
                <w:lang w:val="ru-RU"/>
              </w:rPr>
            </w:pPr>
            <w:r w:rsidRPr="00E266A0">
              <w:rPr>
                <w:szCs w:val="22"/>
                <w:lang w:val="ru-RU"/>
              </w:rPr>
              <w:t>Резолюции 1, 9, 10, 11, 13, 17, 18, 20, 21, 22, 23, 25, 30, 32, 35, 37, 39, 43, 47, 48, 50, 51, 52, 57, 62, 63, 77</w:t>
            </w:r>
          </w:p>
          <w:p w14:paraId="29C6FE49" w14:textId="4C47FA9C" w:rsidR="00841645" w:rsidRPr="00E266A0" w:rsidRDefault="00841645" w:rsidP="002D1A01">
            <w:pPr>
              <w:spacing w:before="40" w:after="40"/>
              <w:rPr>
                <w:szCs w:val="24"/>
                <w:lang w:val="ru-RU"/>
              </w:rPr>
            </w:pPr>
            <w:r w:rsidRPr="00E266A0">
              <w:rPr>
                <w:szCs w:val="22"/>
                <w:lang w:val="ru-RU"/>
              </w:rPr>
              <w:t>Рекомендации 17, 19, 22</w:t>
            </w:r>
          </w:p>
        </w:tc>
      </w:tr>
      <w:tr w:rsidR="00841645" w:rsidRPr="00E266A0" w14:paraId="5CFABCAE" w14:textId="77777777" w:rsidTr="002D1A01">
        <w:trPr>
          <w:cantSplit/>
        </w:trPr>
        <w:tc>
          <w:tcPr>
            <w:tcW w:w="2689" w:type="dxa"/>
          </w:tcPr>
          <w:p w14:paraId="3344F92F" w14:textId="67148296" w:rsidR="00841645" w:rsidRPr="00E266A0" w:rsidRDefault="00841645" w:rsidP="002D1A01">
            <w:pPr>
              <w:spacing w:before="40" w:after="40"/>
              <w:rPr>
                <w:i/>
                <w:iCs/>
                <w:szCs w:val="24"/>
                <w:lang w:val="ru-RU"/>
              </w:rPr>
            </w:pPr>
            <w:r w:rsidRPr="00E266A0">
              <w:rPr>
                <w:i/>
                <w:iCs/>
                <w:szCs w:val="22"/>
                <w:lang w:val="ru-RU"/>
              </w:rPr>
              <w:t>Полномочная конференция</w:t>
            </w:r>
          </w:p>
        </w:tc>
        <w:tc>
          <w:tcPr>
            <w:tcW w:w="7054" w:type="dxa"/>
          </w:tcPr>
          <w:p w14:paraId="4921946A" w14:textId="77777777" w:rsidR="00841645" w:rsidRPr="00E266A0" w:rsidRDefault="00841645" w:rsidP="002D1A01">
            <w:pPr>
              <w:spacing w:before="40" w:after="40"/>
              <w:rPr>
                <w:szCs w:val="22"/>
                <w:lang w:val="ru-RU"/>
              </w:rPr>
            </w:pPr>
            <w:r w:rsidRPr="00E266A0">
              <w:rPr>
                <w:szCs w:val="22"/>
                <w:lang w:val="ru-RU"/>
              </w:rPr>
              <w:t>Решения 5, 13 ПК</w:t>
            </w:r>
          </w:p>
          <w:p w14:paraId="5678379F" w14:textId="284793FB" w:rsidR="00841645" w:rsidRPr="00E266A0" w:rsidRDefault="00841645" w:rsidP="002D1A01">
            <w:pPr>
              <w:spacing w:before="40" w:after="40"/>
              <w:rPr>
                <w:szCs w:val="24"/>
                <w:lang w:val="ru-RU"/>
              </w:rPr>
            </w:pPr>
            <w:r w:rsidRPr="00E266A0">
              <w:rPr>
                <w:szCs w:val="22"/>
                <w:lang w:val="ru-RU"/>
              </w:rPr>
              <w:t>Резолюции 25, 71, 101, 123, 176, 177, 178, 203 ПК</w:t>
            </w:r>
          </w:p>
        </w:tc>
      </w:tr>
      <w:tr w:rsidR="00841645" w:rsidRPr="00E266A0" w14:paraId="236F6151" w14:textId="77777777" w:rsidTr="00682F01">
        <w:tc>
          <w:tcPr>
            <w:tcW w:w="2689" w:type="dxa"/>
          </w:tcPr>
          <w:p w14:paraId="1A254AF6" w14:textId="1B31671C" w:rsidR="00841645" w:rsidRPr="00E266A0" w:rsidRDefault="00841645" w:rsidP="002D1A01">
            <w:pPr>
              <w:spacing w:before="40" w:after="40"/>
              <w:rPr>
                <w:i/>
                <w:iCs/>
                <w:szCs w:val="24"/>
                <w:lang w:val="ru-RU"/>
              </w:rPr>
            </w:pPr>
            <w:r w:rsidRPr="00E266A0">
              <w:rPr>
                <w:i/>
                <w:iCs/>
                <w:szCs w:val="22"/>
                <w:lang w:val="ru-RU"/>
              </w:rPr>
              <w:t>ВКР</w:t>
            </w:r>
          </w:p>
        </w:tc>
        <w:tc>
          <w:tcPr>
            <w:tcW w:w="7054" w:type="dxa"/>
          </w:tcPr>
          <w:p w14:paraId="1F94510A" w14:textId="77777777" w:rsidR="00841645" w:rsidRPr="00E266A0" w:rsidRDefault="00841645" w:rsidP="002D1A01">
            <w:pPr>
              <w:spacing w:before="40" w:after="40"/>
              <w:rPr>
                <w:szCs w:val="22"/>
                <w:lang w:val="ru-RU"/>
              </w:rPr>
            </w:pPr>
            <w:r w:rsidRPr="00E266A0">
              <w:rPr>
                <w:szCs w:val="22"/>
                <w:lang w:val="ru-RU"/>
              </w:rPr>
              <w:t>Резолюции 12, 55, 212, 223, 224, 238, 908</w:t>
            </w:r>
          </w:p>
          <w:p w14:paraId="1D9CCCF4" w14:textId="17F59CE4" w:rsidR="00841645" w:rsidRPr="00E266A0" w:rsidRDefault="00841645" w:rsidP="002D1A01">
            <w:pPr>
              <w:spacing w:before="40" w:after="40"/>
              <w:rPr>
                <w:szCs w:val="24"/>
                <w:lang w:val="ru-RU"/>
              </w:rPr>
            </w:pPr>
            <w:r w:rsidRPr="00E266A0">
              <w:rPr>
                <w:szCs w:val="22"/>
                <w:lang w:val="ru-RU"/>
              </w:rPr>
              <w:t>Рекомендация 207</w:t>
            </w:r>
          </w:p>
        </w:tc>
      </w:tr>
      <w:tr w:rsidR="00841645" w:rsidRPr="00E266A0" w14:paraId="5FF08F6E" w14:textId="77777777" w:rsidTr="00682F01">
        <w:tc>
          <w:tcPr>
            <w:tcW w:w="2689" w:type="dxa"/>
          </w:tcPr>
          <w:p w14:paraId="02F52E81" w14:textId="77F4258E" w:rsidR="00841645" w:rsidRPr="00E266A0" w:rsidRDefault="00841645" w:rsidP="002D1A01">
            <w:pPr>
              <w:spacing w:before="40" w:after="40"/>
              <w:rPr>
                <w:i/>
                <w:iCs/>
                <w:szCs w:val="24"/>
                <w:lang w:val="ru-RU"/>
              </w:rPr>
            </w:pPr>
            <w:r w:rsidRPr="00E266A0">
              <w:rPr>
                <w:i/>
                <w:iCs/>
                <w:szCs w:val="22"/>
                <w:lang w:val="ru-RU"/>
              </w:rPr>
              <w:t>ВАСЭ</w:t>
            </w:r>
          </w:p>
        </w:tc>
        <w:tc>
          <w:tcPr>
            <w:tcW w:w="7054" w:type="dxa"/>
          </w:tcPr>
          <w:p w14:paraId="1305C8AF" w14:textId="17C31CC5" w:rsidR="00841645" w:rsidRPr="00E266A0" w:rsidRDefault="00841645" w:rsidP="002D1A01">
            <w:pPr>
              <w:spacing w:before="40" w:after="40"/>
              <w:rPr>
                <w:szCs w:val="24"/>
                <w:lang w:val="ru-RU"/>
              </w:rPr>
            </w:pPr>
            <w:r w:rsidRPr="00E266A0">
              <w:rPr>
                <w:szCs w:val="22"/>
                <w:lang w:val="ru-RU"/>
              </w:rPr>
              <w:t>Резолюции 17, 20, 29, 44, 64, 72</w:t>
            </w:r>
          </w:p>
        </w:tc>
      </w:tr>
      <w:tr w:rsidR="00841645" w:rsidRPr="00E266A0" w14:paraId="671ECA14" w14:textId="77777777" w:rsidTr="00682F01">
        <w:tc>
          <w:tcPr>
            <w:tcW w:w="2689" w:type="dxa"/>
          </w:tcPr>
          <w:p w14:paraId="2ABB6619" w14:textId="553F6E19" w:rsidR="00841645" w:rsidRPr="00E266A0" w:rsidRDefault="00841645" w:rsidP="002D1A01">
            <w:pPr>
              <w:spacing w:before="40" w:after="40"/>
              <w:rPr>
                <w:i/>
                <w:iCs/>
                <w:szCs w:val="24"/>
                <w:lang w:val="ru-RU"/>
              </w:rPr>
            </w:pPr>
            <w:r w:rsidRPr="00E266A0">
              <w:rPr>
                <w:i/>
                <w:iCs/>
                <w:szCs w:val="22"/>
                <w:lang w:val="ru-RU"/>
              </w:rPr>
              <w:t>ВКМЭ</w:t>
            </w:r>
          </w:p>
        </w:tc>
        <w:tc>
          <w:tcPr>
            <w:tcW w:w="7054" w:type="dxa"/>
          </w:tcPr>
          <w:p w14:paraId="72489F93" w14:textId="3EAAA44D" w:rsidR="00841645" w:rsidRPr="00E266A0" w:rsidRDefault="00841645" w:rsidP="002D1A01">
            <w:pPr>
              <w:spacing w:before="40" w:after="40"/>
              <w:rPr>
                <w:szCs w:val="24"/>
                <w:lang w:val="ru-RU"/>
              </w:rPr>
            </w:pPr>
            <w:r w:rsidRPr="00E266A0">
              <w:rPr>
                <w:szCs w:val="22"/>
                <w:lang w:val="ru-RU"/>
              </w:rPr>
              <w:t>Резолюция 5</w:t>
            </w:r>
          </w:p>
        </w:tc>
      </w:tr>
      <w:tr w:rsidR="00841645" w:rsidRPr="005C1BAD" w14:paraId="12BB1736" w14:textId="77777777" w:rsidTr="00682F01">
        <w:tc>
          <w:tcPr>
            <w:tcW w:w="2689" w:type="dxa"/>
          </w:tcPr>
          <w:p w14:paraId="233B4EE3" w14:textId="19D79A1F" w:rsidR="00841645" w:rsidRPr="00E266A0" w:rsidRDefault="00841645" w:rsidP="002D1A01">
            <w:pPr>
              <w:spacing w:before="40" w:after="40"/>
              <w:rPr>
                <w:i/>
                <w:iCs/>
                <w:szCs w:val="24"/>
                <w:lang w:val="ru-RU"/>
              </w:rPr>
            </w:pPr>
            <w:r w:rsidRPr="00E266A0">
              <w:rPr>
                <w:i/>
                <w:iCs/>
                <w:szCs w:val="22"/>
                <w:lang w:val="ru-RU"/>
              </w:rPr>
              <w:t>Направления деятельности ВВУИО</w:t>
            </w:r>
          </w:p>
        </w:tc>
        <w:tc>
          <w:tcPr>
            <w:tcW w:w="7054" w:type="dxa"/>
          </w:tcPr>
          <w:p w14:paraId="354E2A57" w14:textId="3AD021D5" w:rsidR="00841645" w:rsidRPr="00E266A0" w:rsidRDefault="00841645" w:rsidP="002D1A01">
            <w:pPr>
              <w:spacing w:before="40" w:after="40"/>
              <w:rPr>
                <w:szCs w:val="24"/>
                <w:lang w:val="ru-RU"/>
              </w:rPr>
            </w:pPr>
            <w:r w:rsidRPr="00E266A0">
              <w:rPr>
                <w:szCs w:val="22"/>
                <w:lang w:val="ru-RU"/>
              </w:rPr>
              <w:t xml:space="preserve">Направления деятельности C2, C3, C7 и C9 Женевского плана действий, а также </w:t>
            </w:r>
            <w:r w:rsidR="00E05840" w:rsidRPr="00E266A0">
              <w:rPr>
                <w:szCs w:val="22"/>
                <w:lang w:val="ru-RU"/>
              </w:rPr>
              <w:t xml:space="preserve">раздел </w:t>
            </w:r>
            <w:r w:rsidRPr="00E266A0">
              <w:rPr>
                <w:szCs w:val="22"/>
                <w:lang w:val="ru-RU"/>
              </w:rPr>
              <w:t>"Финансовые механизмы для решения задач в области ИКТ в целях развития" Тунисской программы для информационного общества ВВУИО</w:t>
            </w:r>
          </w:p>
        </w:tc>
      </w:tr>
      <w:tr w:rsidR="00841645" w:rsidRPr="005C1BAD" w14:paraId="2B68804D" w14:textId="77777777" w:rsidTr="00682F01">
        <w:tc>
          <w:tcPr>
            <w:tcW w:w="2689" w:type="dxa"/>
          </w:tcPr>
          <w:p w14:paraId="2E7630A9" w14:textId="62DEA714" w:rsidR="00841645" w:rsidRPr="00E266A0" w:rsidRDefault="00841645" w:rsidP="002D1A01">
            <w:pPr>
              <w:spacing w:before="40" w:after="40"/>
              <w:rPr>
                <w:i/>
                <w:iCs/>
                <w:szCs w:val="24"/>
                <w:lang w:val="ru-RU"/>
              </w:rPr>
            </w:pPr>
            <w:r w:rsidRPr="00E266A0">
              <w:rPr>
                <w:i/>
                <w:iCs/>
                <w:szCs w:val="22"/>
                <w:lang w:val="ru-RU"/>
              </w:rPr>
              <w:t>Вклад в выполнение задач ЦУР</w:t>
            </w:r>
          </w:p>
        </w:tc>
        <w:tc>
          <w:tcPr>
            <w:tcW w:w="7054" w:type="dxa"/>
          </w:tcPr>
          <w:p w14:paraId="07358629" w14:textId="1594220D" w:rsidR="00841645" w:rsidRPr="00E266A0" w:rsidRDefault="00E05840" w:rsidP="002D1A01">
            <w:pPr>
              <w:spacing w:before="40" w:after="40"/>
              <w:rPr>
                <w:szCs w:val="24"/>
                <w:lang w:val="ru-RU"/>
              </w:rPr>
            </w:pPr>
            <w:r>
              <w:rPr>
                <w:szCs w:val="22"/>
                <w:lang w:val="ru-RU"/>
              </w:rPr>
              <w:t>ЦУР</w:t>
            </w:r>
            <w:r w:rsidR="00841645" w:rsidRPr="00E266A0">
              <w:rPr>
                <w:szCs w:val="22"/>
                <w:lang w:val="ru-RU"/>
              </w:rPr>
              <w:t xml:space="preserve"> 1 (задачи 1.a, 1.4), 4 (задачи 4.4, 4.6, 4.a, 4.c), 6 (задачи 6.5, 6.a, 6.b), 7 (задачи 7.1, 7.b), 8 (задачи 8.2, 8.5), 9 (задачи 9.1, 9.4, 9.5, 9.a, 9.b, 9.c), 11 (задачи 11.1, 11.5, 11.a, 11.b), 17 (задачи 17.3, 17.5)</w:t>
            </w:r>
          </w:p>
        </w:tc>
      </w:tr>
    </w:tbl>
    <w:p w14:paraId="630EE6A8" w14:textId="7D640EBA" w:rsidR="00F974A4" w:rsidRPr="00E266A0" w:rsidRDefault="00F974A4" w:rsidP="00612977">
      <w:pPr>
        <w:keepNext/>
        <w:spacing w:after="120"/>
        <w:ind w:left="357" w:hanging="357"/>
        <w:rPr>
          <w:b/>
          <w:bCs/>
          <w:szCs w:val="24"/>
          <w:lang w:val="ru-RU"/>
        </w:rPr>
      </w:pPr>
      <w:r w:rsidRPr="00E266A0">
        <w:rPr>
          <w:b/>
          <w:bCs/>
          <w:szCs w:val="24"/>
          <w:lang w:val="ru-RU"/>
        </w:rPr>
        <w:t>2.3</w:t>
      </w:r>
      <w:r w:rsidRPr="00E266A0">
        <w:rPr>
          <w:b/>
          <w:bCs/>
          <w:szCs w:val="24"/>
          <w:lang w:val="ru-RU"/>
        </w:rPr>
        <w:tab/>
      </w:r>
      <w:r w:rsidR="00AA3FA2" w:rsidRPr="00E266A0">
        <w:rPr>
          <w:b/>
          <w:lang w:val="ru-RU"/>
        </w:rPr>
        <w:t>Инновации и партнерство</w:t>
      </w:r>
    </w:p>
    <w:tbl>
      <w:tblPr>
        <w:tblStyle w:val="TableGrid"/>
        <w:tblW w:w="0" w:type="auto"/>
        <w:tblLook w:val="04A0" w:firstRow="1" w:lastRow="0" w:firstColumn="1" w:lastColumn="0" w:noHBand="0" w:noVBand="1"/>
      </w:tblPr>
      <w:tblGrid>
        <w:gridCol w:w="2689"/>
        <w:gridCol w:w="7054"/>
      </w:tblGrid>
      <w:tr w:rsidR="00F974A4" w:rsidRPr="005C1BAD" w14:paraId="56DF01D1" w14:textId="77777777" w:rsidTr="00682F01">
        <w:tc>
          <w:tcPr>
            <w:tcW w:w="9743" w:type="dxa"/>
            <w:gridSpan w:val="2"/>
          </w:tcPr>
          <w:p w14:paraId="4DB3AF52" w14:textId="46E04CC4" w:rsidR="00F974A4" w:rsidRPr="00E266A0" w:rsidRDefault="00AA3FA2" w:rsidP="002D1A01">
            <w:pPr>
              <w:spacing w:after="120"/>
              <w:rPr>
                <w:szCs w:val="24"/>
                <w:lang w:val="ru-RU"/>
              </w:rPr>
            </w:pPr>
            <w:r w:rsidRPr="00E266A0">
              <w:rPr>
                <w:b/>
                <w:szCs w:val="22"/>
                <w:lang w:val="ru-RU"/>
              </w:rPr>
              <w:t>Партнерство в экосистеме ИКТ.</w:t>
            </w:r>
            <w:r w:rsidRPr="00E266A0">
              <w:rPr>
                <w:szCs w:val="22"/>
                <w:lang w:val="ru-RU"/>
              </w:rPr>
              <w:t xml:space="preserve"> Поддержание прямых контактов, установление профессиональных связей, проведение совещаний с помощью конференц-связи, организация командировок и встреч способствовали укреплению партнерских отношений и мобилизации ресурсов. В 2018 году с различными заинтересованными сторонами было подписано 38 новых соглашений: 13 в области создания благоприятной среды, 6 в области инфраструктуры, 4 соглашения, каждое в области наращивания потенциала, кибербезопасности и комплексные, 2 соглашения, каждое в области электросвязи в чрезвычайных ситуациях, в области приложений ИКТ и в области электронных отходов и 1 в области охвата цифровыми технологиями. Регионами</w:t>
            </w:r>
            <w:r w:rsidR="003C5ADA" w:rsidRPr="00E266A0">
              <w:rPr>
                <w:szCs w:val="22"/>
                <w:lang w:val="ru-RU"/>
              </w:rPr>
              <w:t xml:space="preserve"> – </w:t>
            </w:r>
            <w:r w:rsidRPr="00E266A0">
              <w:rPr>
                <w:szCs w:val="22"/>
                <w:lang w:val="ru-RU"/>
              </w:rPr>
              <w:t>бенефициарами новых подписанных соглашений были следующие: весь мир в целом (19), Северная и Южная Америка и Азиатско-Тихоокеанский регион (по 5 соглашений с каждым), Африка (4), арабские государства (3) и Европа и СНГ (по 1 соглашению с каждым).</w:t>
            </w:r>
          </w:p>
          <w:p w14:paraId="32E0723F" w14:textId="3D432DD4" w:rsidR="00A00A90" w:rsidRPr="00E266A0" w:rsidRDefault="00A00A90" w:rsidP="002D1A01">
            <w:pPr>
              <w:spacing w:after="120"/>
              <w:rPr>
                <w:szCs w:val="22"/>
                <w:lang w:val="ru-RU"/>
              </w:rPr>
            </w:pPr>
            <w:r w:rsidRPr="00E266A0">
              <w:rPr>
                <w:b/>
                <w:szCs w:val="22"/>
                <w:lang w:val="ru-RU"/>
              </w:rPr>
              <w:t xml:space="preserve">Возможности </w:t>
            </w:r>
            <w:r w:rsidR="003C5ADA" w:rsidRPr="00E266A0">
              <w:rPr>
                <w:b/>
                <w:szCs w:val="22"/>
                <w:lang w:val="ru-RU"/>
              </w:rPr>
              <w:t xml:space="preserve">оказания </w:t>
            </w:r>
            <w:r w:rsidRPr="00E266A0">
              <w:rPr>
                <w:b/>
                <w:szCs w:val="22"/>
                <w:lang w:val="ru-RU"/>
              </w:rPr>
              <w:t>спонсорской поддержки.</w:t>
            </w:r>
            <w:r w:rsidRPr="00E266A0">
              <w:rPr>
                <w:szCs w:val="22"/>
                <w:lang w:val="ru-RU"/>
              </w:rPr>
              <w:t xml:space="preserve"> С января 2018 года было </w:t>
            </w:r>
            <w:r w:rsidR="003C5ADA" w:rsidRPr="00E266A0">
              <w:rPr>
                <w:szCs w:val="22"/>
                <w:lang w:val="ru-RU"/>
              </w:rPr>
              <w:t>предоставлено</w:t>
            </w:r>
            <w:r w:rsidRPr="00E266A0">
              <w:rPr>
                <w:szCs w:val="22"/>
                <w:lang w:val="ru-RU"/>
              </w:rPr>
              <w:t xml:space="preserve"> 4 </w:t>
            </w:r>
            <w:r w:rsidR="003C5ADA" w:rsidRPr="00E266A0">
              <w:rPr>
                <w:szCs w:val="22"/>
                <w:lang w:val="ru-RU"/>
              </w:rPr>
              <w:t>варианта возможностей оказания</w:t>
            </w:r>
            <w:r w:rsidRPr="00E266A0">
              <w:rPr>
                <w:szCs w:val="22"/>
                <w:lang w:val="ru-RU"/>
              </w:rPr>
              <w:t xml:space="preserve"> спонсорской поддержки для проведения собраний исследовательских комиссий МСЭ-D </w:t>
            </w:r>
            <w:r w:rsidR="003C5ADA" w:rsidRPr="00E266A0">
              <w:rPr>
                <w:szCs w:val="22"/>
                <w:lang w:val="ru-RU"/>
              </w:rPr>
              <w:t xml:space="preserve">по теме </w:t>
            </w:r>
            <w:r w:rsidRPr="00E266A0">
              <w:rPr>
                <w:szCs w:val="22"/>
                <w:lang w:val="ru-RU"/>
              </w:rPr>
              <w:t xml:space="preserve">ICT④SDGs: платформа для партнерства МСЭ и Академических организаций, ГСР-18 и собрания групп Докладчиков исследовательских комиссий МСЭ-D. Они были размещены на интерактивной платформе/веб-странице возможностей </w:t>
            </w:r>
            <w:r w:rsidR="003C5ADA" w:rsidRPr="00E266A0">
              <w:rPr>
                <w:szCs w:val="22"/>
                <w:lang w:val="ru-RU"/>
              </w:rPr>
              <w:t xml:space="preserve">оказания </w:t>
            </w:r>
            <w:r w:rsidRPr="00E266A0">
              <w:rPr>
                <w:szCs w:val="22"/>
                <w:lang w:val="ru-RU"/>
              </w:rPr>
              <w:t>спонсорской поддержки БРЭ, которая начала функционировать в 2017 году. Из 38 новых подписанных соглашений о партнерстве 10 являются соглашениями о спонсорской поддержке.</w:t>
            </w:r>
          </w:p>
          <w:p w14:paraId="678B982D" w14:textId="467E1FD1" w:rsidR="00A00A90" w:rsidRPr="001D5D5C" w:rsidRDefault="00A00A90" w:rsidP="002F437D">
            <w:pPr>
              <w:spacing w:after="120"/>
              <w:rPr>
                <w:rFonts w:cstheme="minorHAnsi"/>
                <w:szCs w:val="22"/>
                <w:lang w:val="ru-RU"/>
              </w:rPr>
            </w:pPr>
            <w:r w:rsidRPr="001D5D5C">
              <w:rPr>
                <w:rFonts w:cstheme="minorHAnsi"/>
                <w:b/>
                <w:bCs/>
                <w:szCs w:val="22"/>
                <w:lang w:val="ru-RU"/>
              </w:rPr>
              <w:t>Члены МСЭ-D</w:t>
            </w:r>
            <w:r w:rsidRPr="001D5D5C">
              <w:rPr>
                <w:rFonts w:cstheme="minorHAnsi"/>
                <w:b/>
                <w:szCs w:val="22"/>
                <w:lang w:val="ru-RU"/>
              </w:rPr>
              <w:t>.</w:t>
            </w:r>
            <w:r w:rsidRPr="001D5D5C">
              <w:rPr>
                <w:rFonts w:cstheme="minorHAnsi"/>
                <w:szCs w:val="22"/>
                <w:lang w:val="ru-RU"/>
              </w:rPr>
              <w:t xml:space="preserve"> </w:t>
            </w:r>
            <w:r w:rsidR="001D5D5C" w:rsidRPr="001D5D5C">
              <w:rPr>
                <w:rFonts w:cstheme="minorHAnsi"/>
                <w:szCs w:val="22"/>
                <w:lang w:val="ru-RU"/>
              </w:rPr>
              <w:t>К</w:t>
            </w:r>
            <w:r w:rsidRPr="001D5D5C">
              <w:rPr>
                <w:rFonts w:cstheme="minorHAnsi"/>
                <w:szCs w:val="22"/>
                <w:lang w:val="ru-RU"/>
              </w:rPr>
              <w:t xml:space="preserve"> работе МСЭ-D в 2018 году присоединились 8 новых Членов Секторов, 4 новых Ассоциированных члена и 37 новых </w:t>
            </w:r>
            <w:r w:rsidRPr="001D5D5C">
              <w:rPr>
                <w:rFonts w:cstheme="minorHAnsi"/>
                <w:color w:val="000000"/>
                <w:shd w:val="clear" w:color="auto" w:fill="FFFFFF"/>
                <w:lang w:val="ru-RU"/>
              </w:rPr>
              <w:t>аффилированных</w:t>
            </w:r>
            <w:r w:rsidRPr="001D5D5C">
              <w:rPr>
                <w:rFonts w:cstheme="minorHAnsi"/>
                <w:szCs w:val="22"/>
                <w:lang w:val="ru-RU"/>
              </w:rPr>
              <w:t xml:space="preserve"> академических учреждений; количество </w:t>
            </w:r>
            <w:r w:rsidR="002F437D">
              <w:rPr>
                <w:rFonts w:cstheme="minorHAnsi"/>
                <w:szCs w:val="22"/>
                <w:lang w:val="ru-RU"/>
              </w:rPr>
              <w:t xml:space="preserve">отказов </w:t>
            </w:r>
            <w:r w:rsidRPr="001D5D5C">
              <w:rPr>
                <w:rFonts w:cstheme="minorHAnsi"/>
                <w:szCs w:val="22"/>
                <w:lang w:val="ru-RU"/>
              </w:rPr>
              <w:t xml:space="preserve">Членов Секторов и Ассоциированных членов </w:t>
            </w:r>
            <w:r w:rsidR="002F437D">
              <w:rPr>
                <w:rFonts w:cstheme="minorHAnsi"/>
                <w:szCs w:val="22"/>
                <w:lang w:val="ru-RU"/>
              </w:rPr>
              <w:t>от участия</w:t>
            </w:r>
            <w:r w:rsidR="002F437D" w:rsidRPr="001D5D5C">
              <w:rPr>
                <w:rFonts w:cstheme="minorHAnsi"/>
                <w:szCs w:val="22"/>
                <w:lang w:val="ru-RU"/>
              </w:rPr>
              <w:t xml:space="preserve"> </w:t>
            </w:r>
            <w:r w:rsidRPr="001D5D5C">
              <w:rPr>
                <w:rFonts w:cstheme="minorHAnsi"/>
                <w:szCs w:val="22"/>
                <w:lang w:val="ru-RU"/>
              </w:rPr>
              <w:t xml:space="preserve">составило в общей сложности 12. </w:t>
            </w:r>
          </w:p>
          <w:p w14:paraId="7159E683" w14:textId="534E319E" w:rsidR="00A00A90" w:rsidRPr="00E266A0" w:rsidRDefault="00A00A90" w:rsidP="002D1A01">
            <w:pPr>
              <w:spacing w:after="120"/>
              <w:rPr>
                <w:szCs w:val="22"/>
                <w:lang w:val="ru-RU"/>
              </w:rPr>
            </w:pPr>
            <w:r w:rsidRPr="00E266A0">
              <w:rPr>
                <w:b/>
                <w:szCs w:val="22"/>
                <w:lang w:val="ru-RU"/>
              </w:rPr>
              <w:t>Инновации.</w:t>
            </w:r>
            <w:r w:rsidRPr="00E266A0">
              <w:rPr>
                <w:szCs w:val="22"/>
                <w:lang w:val="ru-RU"/>
              </w:rPr>
              <w:t xml:space="preserve"> </w:t>
            </w:r>
            <w:r w:rsidR="00152201" w:rsidRPr="00E266A0">
              <w:rPr>
                <w:bCs/>
                <w:szCs w:val="22"/>
                <w:lang w:val="ru-RU"/>
              </w:rPr>
              <w:t>В целях</w:t>
            </w:r>
            <w:r w:rsidRPr="00E266A0">
              <w:rPr>
                <w:b/>
                <w:bCs/>
                <w:szCs w:val="22"/>
                <w:lang w:val="ru-RU"/>
              </w:rPr>
              <w:t xml:space="preserve"> </w:t>
            </w:r>
            <w:r w:rsidRPr="00E266A0">
              <w:rPr>
                <w:bCs/>
                <w:szCs w:val="22"/>
                <w:lang w:val="ru-RU"/>
              </w:rPr>
              <w:t xml:space="preserve">ускорения реализации Плана действий Буэнос-Айреса в рамках программы инноваций продолжалось дальнейшее укрепление платформы инноваций посредством разработки </w:t>
            </w:r>
            <w:r w:rsidRPr="00E266A0">
              <w:rPr>
                <w:bCs/>
                <w:szCs w:val="22"/>
                <w:lang w:val="ru-RU"/>
              </w:rPr>
              <w:lastRenderedPageBreak/>
              <w:t xml:space="preserve">новых продуктов и услуг, таких как </w:t>
            </w:r>
            <w:r w:rsidR="00152201" w:rsidRPr="00E266A0">
              <w:rPr>
                <w:bCs/>
                <w:szCs w:val="22"/>
                <w:lang w:val="ru-RU"/>
              </w:rPr>
              <w:t>профильные отчеты по</w:t>
            </w:r>
            <w:r w:rsidRPr="00E266A0">
              <w:rPr>
                <w:bCs/>
                <w:szCs w:val="22"/>
                <w:lang w:val="ru-RU"/>
              </w:rPr>
              <w:t xml:space="preserve"> цифровы</w:t>
            </w:r>
            <w:r w:rsidR="00152201" w:rsidRPr="00E266A0">
              <w:rPr>
                <w:bCs/>
                <w:szCs w:val="22"/>
                <w:lang w:val="ru-RU"/>
              </w:rPr>
              <w:t>м</w:t>
            </w:r>
            <w:r w:rsidRPr="00E266A0">
              <w:rPr>
                <w:bCs/>
                <w:szCs w:val="22"/>
                <w:lang w:val="ru-RU"/>
              </w:rPr>
              <w:t xml:space="preserve"> инноваци</w:t>
            </w:r>
            <w:r w:rsidR="00152201" w:rsidRPr="00E266A0">
              <w:rPr>
                <w:bCs/>
                <w:szCs w:val="22"/>
                <w:lang w:val="ru-RU"/>
              </w:rPr>
              <w:t>ям</w:t>
            </w:r>
            <w:r w:rsidRPr="00E266A0">
              <w:rPr>
                <w:bCs/>
                <w:szCs w:val="22"/>
                <w:lang w:val="ru-RU"/>
              </w:rPr>
              <w:t xml:space="preserve">, обзоры экосистем, конкурс инноваций и глобальные отчеты о примерах передового опыта. Благодаря технической помощи были разработаны и опубликованы </w:t>
            </w:r>
            <w:r w:rsidR="00DA73B8" w:rsidRPr="00E266A0">
              <w:rPr>
                <w:bCs/>
                <w:szCs w:val="22"/>
                <w:lang w:val="ru-RU"/>
              </w:rPr>
              <w:t xml:space="preserve">профильные отчеты по цифровым инновациям </w:t>
            </w:r>
            <w:r w:rsidRPr="00E266A0">
              <w:rPr>
                <w:bCs/>
                <w:szCs w:val="22"/>
                <w:lang w:val="ru-RU"/>
              </w:rPr>
              <w:t>для Боснии и Герцеговины, Сербии и Южной Африки. В настоящее время в</w:t>
            </w:r>
            <w:r w:rsidR="00DA73B8" w:rsidRPr="00E266A0">
              <w:rPr>
                <w:bCs/>
                <w:szCs w:val="22"/>
                <w:lang w:val="ru-RU"/>
              </w:rPr>
              <w:t> </w:t>
            </w:r>
            <w:r w:rsidRPr="00E266A0">
              <w:rPr>
                <w:bCs/>
                <w:szCs w:val="22"/>
                <w:lang w:val="ru-RU"/>
              </w:rPr>
              <w:t xml:space="preserve">стадии разработки находятся </w:t>
            </w:r>
            <w:r w:rsidR="00152201" w:rsidRPr="00E266A0">
              <w:rPr>
                <w:bCs/>
                <w:szCs w:val="22"/>
                <w:lang w:val="ru-RU"/>
              </w:rPr>
              <w:t>профильные отчеты по</w:t>
            </w:r>
            <w:r w:rsidRPr="00E266A0">
              <w:rPr>
                <w:bCs/>
                <w:szCs w:val="22"/>
                <w:lang w:val="ru-RU"/>
              </w:rPr>
              <w:t xml:space="preserve"> цифровы</w:t>
            </w:r>
            <w:r w:rsidR="00152201" w:rsidRPr="00E266A0">
              <w:rPr>
                <w:bCs/>
                <w:szCs w:val="22"/>
                <w:lang w:val="ru-RU"/>
              </w:rPr>
              <w:t>м</w:t>
            </w:r>
            <w:r w:rsidRPr="00E266A0">
              <w:rPr>
                <w:bCs/>
                <w:szCs w:val="22"/>
                <w:lang w:val="ru-RU"/>
              </w:rPr>
              <w:t xml:space="preserve"> </w:t>
            </w:r>
            <w:r w:rsidR="005D3C5C" w:rsidRPr="00E266A0">
              <w:rPr>
                <w:bCs/>
                <w:szCs w:val="22"/>
                <w:lang w:val="ru-RU"/>
              </w:rPr>
              <w:t>инновациям</w:t>
            </w:r>
            <w:r w:rsidRPr="00E266A0">
              <w:rPr>
                <w:bCs/>
                <w:szCs w:val="22"/>
                <w:lang w:val="ru-RU"/>
              </w:rPr>
              <w:t xml:space="preserve"> для </w:t>
            </w:r>
            <w:r w:rsidR="00DA73B8" w:rsidRPr="00E266A0">
              <w:rPr>
                <w:bCs/>
                <w:szCs w:val="22"/>
                <w:lang w:val="ru-RU"/>
              </w:rPr>
              <w:t xml:space="preserve">БЮР </w:t>
            </w:r>
            <w:r w:rsidRPr="00E266A0">
              <w:rPr>
                <w:bCs/>
                <w:szCs w:val="22"/>
                <w:lang w:val="ru-RU"/>
              </w:rPr>
              <w:t>Македони</w:t>
            </w:r>
            <w:r w:rsidR="00DA73B8" w:rsidRPr="00E266A0">
              <w:rPr>
                <w:bCs/>
                <w:szCs w:val="22"/>
                <w:lang w:val="ru-RU"/>
              </w:rPr>
              <w:t>я</w:t>
            </w:r>
            <w:r w:rsidRPr="00E266A0">
              <w:rPr>
                <w:bCs/>
                <w:szCs w:val="22"/>
                <w:lang w:val="ru-RU"/>
              </w:rPr>
              <w:t>, Зимбабве и Черногории. В ходе ВВУИО 2018 года был представлен один Глобальный отчет о</w:t>
            </w:r>
            <w:r w:rsidR="00863FB2" w:rsidRPr="00E266A0">
              <w:rPr>
                <w:bCs/>
                <w:szCs w:val="22"/>
                <w:lang w:val="ru-RU"/>
              </w:rPr>
              <w:t> </w:t>
            </w:r>
            <w:r w:rsidRPr="00E266A0">
              <w:rPr>
                <w:bCs/>
                <w:szCs w:val="22"/>
                <w:lang w:val="ru-RU"/>
              </w:rPr>
              <w:t>примерах передового опыта в Европе, что включало перевыпуск предыдущей версии комплекта материалов на шести языках ООН</w:t>
            </w:r>
            <w:r w:rsidRPr="00E266A0">
              <w:rPr>
                <w:szCs w:val="22"/>
                <w:lang w:val="ru-RU"/>
              </w:rPr>
              <w:t>.</w:t>
            </w:r>
          </w:p>
          <w:p w14:paraId="20ED2C93" w14:textId="5B47B3B3" w:rsidR="00A00A90" w:rsidRPr="00E266A0" w:rsidRDefault="00A00A90" w:rsidP="002D1A01">
            <w:pPr>
              <w:spacing w:after="120"/>
              <w:rPr>
                <w:szCs w:val="22"/>
                <w:lang w:val="ru-RU"/>
              </w:rPr>
            </w:pPr>
            <w:r w:rsidRPr="00E266A0">
              <w:rPr>
                <w:szCs w:val="22"/>
                <w:lang w:val="ru-RU"/>
              </w:rPr>
              <w:t>МСЭ продолж</w:t>
            </w:r>
            <w:r w:rsidR="00DA73B8" w:rsidRPr="00E266A0">
              <w:rPr>
                <w:szCs w:val="22"/>
                <w:lang w:val="ru-RU"/>
              </w:rPr>
              <w:t>и</w:t>
            </w:r>
            <w:r w:rsidRPr="00E266A0">
              <w:rPr>
                <w:szCs w:val="22"/>
                <w:lang w:val="ru-RU"/>
              </w:rPr>
              <w:t>л организовывать диалоги об инновациях</w:t>
            </w:r>
            <w:r w:rsidR="00DA73B8" w:rsidRPr="00E266A0">
              <w:rPr>
                <w:szCs w:val="22"/>
                <w:lang w:val="ru-RU"/>
              </w:rPr>
              <w:t xml:space="preserve"> в рамках </w:t>
            </w:r>
            <w:r w:rsidRPr="00E266A0">
              <w:rPr>
                <w:szCs w:val="22"/>
                <w:lang w:val="ru-RU"/>
              </w:rPr>
              <w:t>ежегодн</w:t>
            </w:r>
            <w:r w:rsidR="00DA73B8" w:rsidRPr="00E266A0">
              <w:rPr>
                <w:szCs w:val="22"/>
                <w:lang w:val="ru-RU"/>
              </w:rPr>
              <w:t>ого</w:t>
            </w:r>
            <w:r w:rsidRPr="00E266A0">
              <w:rPr>
                <w:szCs w:val="22"/>
                <w:lang w:val="ru-RU"/>
              </w:rPr>
              <w:t xml:space="preserve"> сегмент</w:t>
            </w:r>
            <w:r w:rsidR="00DA73B8" w:rsidRPr="00E266A0">
              <w:rPr>
                <w:szCs w:val="22"/>
                <w:lang w:val="ru-RU"/>
              </w:rPr>
              <w:t>а</w:t>
            </w:r>
            <w:r w:rsidRPr="00E266A0">
              <w:rPr>
                <w:szCs w:val="22"/>
                <w:lang w:val="ru-RU"/>
              </w:rPr>
              <w:t xml:space="preserve"> инноваций ВВУИО. В 2018 году в ходе </w:t>
            </w:r>
            <w:r w:rsidR="001D5D5C">
              <w:rPr>
                <w:szCs w:val="22"/>
                <w:lang w:val="ru-RU"/>
              </w:rPr>
              <w:t xml:space="preserve">пяти </w:t>
            </w:r>
            <w:r w:rsidRPr="00E266A0">
              <w:rPr>
                <w:szCs w:val="22"/>
                <w:lang w:val="ru-RU"/>
              </w:rPr>
              <w:t xml:space="preserve">сессий, в том числе </w:t>
            </w:r>
            <w:r w:rsidR="00330287">
              <w:rPr>
                <w:szCs w:val="22"/>
                <w:lang w:val="ru-RU"/>
              </w:rPr>
              <w:t>на</w:t>
            </w:r>
            <w:r w:rsidRPr="00E266A0">
              <w:rPr>
                <w:szCs w:val="22"/>
                <w:lang w:val="ru-RU"/>
              </w:rPr>
              <w:t xml:space="preserve"> собрани</w:t>
            </w:r>
            <w:r w:rsidR="00330287">
              <w:rPr>
                <w:szCs w:val="22"/>
                <w:lang w:val="ru-RU"/>
              </w:rPr>
              <w:t>и</w:t>
            </w:r>
            <w:r w:rsidRPr="00E266A0">
              <w:rPr>
                <w:szCs w:val="22"/>
                <w:lang w:val="ru-RU"/>
              </w:rPr>
              <w:t xml:space="preserve"> группы экспертов высокого уровня на тему "Ускорение цифровой трансформации, создание экосистем инноваций, ориентированных на ИКТ" были рассмотрены следующие три ключевые области: опирающаяся на фактические данные практика инноваций, инструменты реализации экосистем инноваций и политика финансирования высокоэффективных устойчивых флагманских проектов. Кроме того, БРЭ совместно с ЮНИДО и ГМИС организовало несколько мероприятий на Всемирном мероприятии ITU Telecom 2018 года </w:t>
            </w:r>
            <w:r w:rsidR="00330287">
              <w:rPr>
                <w:szCs w:val="22"/>
                <w:lang w:val="ru-RU"/>
              </w:rPr>
              <w:t xml:space="preserve">и </w:t>
            </w:r>
            <w:r w:rsidR="00DA73B8" w:rsidRPr="00E266A0">
              <w:rPr>
                <w:szCs w:val="22"/>
                <w:lang w:val="ru-RU"/>
              </w:rPr>
              <w:t>в рамках</w:t>
            </w:r>
            <w:r w:rsidRPr="00E266A0">
              <w:rPr>
                <w:szCs w:val="22"/>
                <w:lang w:val="ru-RU"/>
              </w:rPr>
              <w:t xml:space="preserve"> собраний исследовательских комиссий МСЭ-D, посвященных экосистеме цифровых инноваций</w:t>
            </w:r>
            <w:r w:rsidR="00DA73B8" w:rsidRPr="00E266A0">
              <w:rPr>
                <w:szCs w:val="22"/>
                <w:lang w:val="ru-RU"/>
              </w:rPr>
              <w:t>,</w:t>
            </w:r>
            <w:r w:rsidRPr="00E266A0">
              <w:rPr>
                <w:szCs w:val="22"/>
                <w:lang w:val="ru-RU"/>
              </w:rPr>
              <w:t xml:space="preserve"> индустрии 4.0 и "умному" обществу. </w:t>
            </w:r>
          </w:p>
          <w:p w14:paraId="533C99A4" w14:textId="56D8CF49" w:rsidR="00F974A4" w:rsidRPr="00E266A0" w:rsidRDefault="00A00A90" w:rsidP="007A0020">
            <w:pPr>
              <w:spacing w:after="120"/>
              <w:rPr>
                <w:szCs w:val="24"/>
                <w:lang w:val="ru-RU"/>
              </w:rPr>
            </w:pPr>
            <w:r w:rsidRPr="00E266A0">
              <w:rPr>
                <w:szCs w:val="22"/>
                <w:lang w:val="ru-RU"/>
              </w:rPr>
              <w:t xml:space="preserve">Благодаря семинарам-практикумам по созданию потенциала в области инноваций и обмену знаниями более 90 человек из более чем 54 стран </w:t>
            </w:r>
            <w:r w:rsidR="00DA73B8" w:rsidRPr="00E266A0">
              <w:rPr>
                <w:szCs w:val="22"/>
                <w:lang w:val="ru-RU"/>
              </w:rPr>
              <w:t>получили</w:t>
            </w:r>
            <w:r w:rsidRPr="00E266A0">
              <w:rPr>
                <w:szCs w:val="22"/>
                <w:lang w:val="ru-RU"/>
              </w:rPr>
              <w:t xml:space="preserve"> подготовку по вопросу </w:t>
            </w:r>
            <w:r w:rsidR="00DA73B8" w:rsidRPr="00E266A0">
              <w:rPr>
                <w:szCs w:val="22"/>
                <w:lang w:val="ru-RU"/>
              </w:rPr>
              <w:t>о способах</w:t>
            </w:r>
            <w:r w:rsidRPr="00E266A0">
              <w:rPr>
                <w:szCs w:val="22"/>
                <w:lang w:val="ru-RU"/>
              </w:rPr>
              <w:t xml:space="preserve"> </w:t>
            </w:r>
            <w:r w:rsidR="00DA73B8" w:rsidRPr="00E266A0">
              <w:rPr>
                <w:szCs w:val="22"/>
                <w:lang w:val="ru-RU"/>
              </w:rPr>
              <w:t>создания</w:t>
            </w:r>
            <w:r w:rsidRPr="00E266A0">
              <w:rPr>
                <w:szCs w:val="22"/>
                <w:lang w:val="ru-RU"/>
              </w:rPr>
              <w:t xml:space="preserve"> экосистемы цифровых инноваций, в том числе в рамках таких мероприятий, как Форум молодых лидеров в сфере ИКТ (конкурс инноваций), который был проведен в Пусане, Республика Корея, Региональный форум по вопросам инноваций, состоявшийся в Осло, Норвегия, и национальные семинары-практикумы в Таиланде и Южной Африке. Результатом некоторых из этих семинаров-практикумов по созданию потенциала стали новые проекты, </w:t>
            </w:r>
            <w:r w:rsidR="00DA73B8" w:rsidRPr="00E266A0">
              <w:rPr>
                <w:szCs w:val="22"/>
                <w:lang w:val="ru-RU"/>
              </w:rPr>
              <w:t>организуемые</w:t>
            </w:r>
            <w:r w:rsidRPr="00E266A0">
              <w:rPr>
                <w:szCs w:val="22"/>
                <w:lang w:val="ru-RU"/>
              </w:rPr>
              <w:t xml:space="preserve"> совместно с </w:t>
            </w:r>
            <w:r w:rsidR="002F437D" w:rsidRPr="00E266A0">
              <w:rPr>
                <w:szCs w:val="22"/>
                <w:lang w:val="ru-RU"/>
              </w:rPr>
              <w:t xml:space="preserve">членами </w:t>
            </w:r>
            <w:r w:rsidRPr="00E266A0">
              <w:rPr>
                <w:szCs w:val="22"/>
                <w:lang w:val="ru-RU"/>
              </w:rPr>
              <w:t>МСЭ, такие как инициатива по созданию центра цифровой трансформации, которая начала осуществляться в Дурбане, Южн</w:t>
            </w:r>
            <w:r w:rsidR="002F437D">
              <w:rPr>
                <w:szCs w:val="22"/>
                <w:lang w:val="ru-RU"/>
              </w:rPr>
              <w:t>о-</w:t>
            </w:r>
            <w:r w:rsidRPr="00E266A0">
              <w:rPr>
                <w:szCs w:val="22"/>
                <w:lang w:val="ru-RU"/>
              </w:rPr>
              <w:t>Африка</w:t>
            </w:r>
            <w:r w:rsidR="002F437D">
              <w:rPr>
                <w:szCs w:val="22"/>
                <w:lang w:val="ru-RU"/>
              </w:rPr>
              <w:t>нская Ре</w:t>
            </w:r>
            <w:r w:rsidR="007A0020">
              <w:rPr>
                <w:szCs w:val="22"/>
                <w:lang w:val="ru-RU"/>
              </w:rPr>
              <w:t>с</w:t>
            </w:r>
            <w:r w:rsidR="002F437D">
              <w:rPr>
                <w:szCs w:val="22"/>
                <w:lang w:val="ru-RU"/>
              </w:rPr>
              <w:t>публика</w:t>
            </w:r>
            <w:r w:rsidRPr="00E266A0">
              <w:rPr>
                <w:szCs w:val="22"/>
                <w:lang w:val="ru-RU"/>
              </w:rPr>
              <w:t>, или проект в области инноваций "В стадии разработки", осуществляемый Университетом Осло в Осло, Норвегия.</w:t>
            </w:r>
          </w:p>
        </w:tc>
      </w:tr>
      <w:tr w:rsidR="002B21D6" w:rsidRPr="00E266A0" w14:paraId="2A3A5E12" w14:textId="77777777" w:rsidTr="00682F01">
        <w:tc>
          <w:tcPr>
            <w:tcW w:w="2689" w:type="dxa"/>
          </w:tcPr>
          <w:p w14:paraId="44559594" w14:textId="234D58C7" w:rsidR="002B21D6" w:rsidRPr="00E266A0" w:rsidRDefault="002B21D6" w:rsidP="002D1A01">
            <w:pPr>
              <w:spacing w:before="40" w:after="40"/>
              <w:rPr>
                <w:i/>
                <w:iCs/>
                <w:szCs w:val="24"/>
                <w:lang w:val="ru-RU"/>
              </w:rPr>
            </w:pPr>
            <w:proofErr w:type="spellStart"/>
            <w:r w:rsidRPr="00E266A0">
              <w:rPr>
                <w:i/>
                <w:iCs/>
                <w:szCs w:val="22"/>
                <w:lang w:val="ru-RU"/>
              </w:rPr>
              <w:lastRenderedPageBreak/>
              <w:t>ВКРЭ</w:t>
            </w:r>
            <w:proofErr w:type="spellEnd"/>
          </w:p>
        </w:tc>
        <w:tc>
          <w:tcPr>
            <w:tcW w:w="7054" w:type="dxa"/>
          </w:tcPr>
          <w:p w14:paraId="225822C3" w14:textId="45CA20AF" w:rsidR="002B21D6" w:rsidRPr="00E266A0" w:rsidRDefault="002B21D6" w:rsidP="002D1A01">
            <w:pPr>
              <w:spacing w:before="40" w:after="40"/>
              <w:rPr>
                <w:szCs w:val="24"/>
                <w:lang w:val="ru-RU"/>
              </w:rPr>
            </w:pPr>
            <w:r w:rsidRPr="00E266A0">
              <w:rPr>
                <w:szCs w:val="22"/>
                <w:lang w:val="ru-RU"/>
              </w:rPr>
              <w:t>Резолюции 1, 5, 30, 33, 50, 59, 71, 157</w:t>
            </w:r>
          </w:p>
        </w:tc>
      </w:tr>
      <w:tr w:rsidR="002B21D6" w:rsidRPr="00E266A0" w14:paraId="4BFCFDCC" w14:textId="77777777" w:rsidTr="00682F01">
        <w:tc>
          <w:tcPr>
            <w:tcW w:w="2689" w:type="dxa"/>
          </w:tcPr>
          <w:p w14:paraId="1C379A1B" w14:textId="292C09ED" w:rsidR="002B21D6" w:rsidRPr="00E266A0" w:rsidRDefault="002B21D6" w:rsidP="002D1A01">
            <w:pPr>
              <w:spacing w:before="40" w:after="40"/>
              <w:rPr>
                <w:i/>
                <w:iCs/>
                <w:szCs w:val="24"/>
                <w:lang w:val="ru-RU"/>
              </w:rPr>
            </w:pPr>
            <w:r w:rsidRPr="00E266A0">
              <w:rPr>
                <w:i/>
                <w:iCs/>
                <w:szCs w:val="22"/>
                <w:lang w:val="ru-RU"/>
              </w:rPr>
              <w:t>Полномочная конференция</w:t>
            </w:r>
          </w:p>
        </w:tc>
        <w:tc>
          <w:tcPr>
            <w:tcW w:w="7054" w:type="dxa"/>
          </w:tcPr>
          <w:p w14:paraId="3261D58E" w14:textId="77777777" w:rsidR="002B21D6" w:rsidRPr="00E266A0" w:rsidRDefault="002B21D6" w:rsidP="002D1A01">
            <w:pPr>
              <w:spacing w:before="40" w:after="40"/>
              <w:rPr>
                <w:szCs w:val="22"/>
                <w:lang w:val="ru-RU"/>
              </w:rPr>
            </w:pPr>
            <w:r w:rsidRPr="00E266A0">
              <w:rPr>
                <w:szCs w:val="22"/>
                <w:lang w:val="ru-RU"/>
              </w:rPr>
              <w:t>Решения 5, 13 ПК</w:t>
            </w:r>
          </w:p>
          <w:p w14:paraId="06823377" w14:textId="6E4A862B" w:rsidR="002B21D6" w:rsidRPr="00E266A0" w:rsidRDefault="002B21D6" w:rsidP="002D1A01">
            <w:pPr>
              <w:spacing w:before="40" w:after="40"/>
              <w:rPr>
                <w:szCs w:val="24"/>
                <w:lang w:val="ru-RU"/>
              </w:rPr>
            </w:pPr>
            <w:r w:rsidRPr="00E266A0">
              <w:rPr>
                <w:szCs w:val="22"/>
                <w:lang w:val="ru-RU"/>
              </w:rPr>
              <w:t>Резолюции 25, 71, 72 ПК</w:t>
            </w:r>
          </w:p>
        </w:tc>
      </w:tr>
      <w:tr w:rsidR="002B21D6" w:rsidRPr="005C1BAD" w14:paraId="605411AC" w14:textId="77777777" w:rsidTr="00682F01">
        <w:tc>
          <w:tcPr>
            <w:tcW w:w="2689" w:type="dxa"/>
          </w:tcPr>
          <w:p w14:paraId="43A16356" w14:textId="6AB31BFD" w:rsidR="002B21D6" w:rsidRPr="00E266A0" w:rsidRDefault="002B21D6" w:rsidP="002D1A01">
            <w:pPr>
              <w:spacing w:before="40" w:after="40"/>
              <w:rPr>
                <w:i/>
                <w:iCs/>
                <w:szCs w:val="24"/>
                <w:lang w:val="ru-RU"/>
              </w:rPr>
            </w:pPr>
            <w:r w:rsidRPr="00E266A0">
              <w:rPr>
                <w:i/>
                <w:iCs/>
                <w:szCs w:val="22"/>
                <w:lang w:val="ru-RU"/>
              </w:rPr>
              <w:t>Направления деятельности ВВУИО</w:t>
            </w:r>
          </w:p>
        </w:tc>
        <w:tc>
          <w:tcPr>
            <w:tcW w:w="7054" w:type="dxa"/>
          </w:tcPr>
          <w:p w14:paraId="216CA71F" w14:textId="0715D4D8" w:rsidR="002B21D6" w:rsidRPr="00E266A0" w:rsidRDefault="002B21D6" w:rsidP="002D1A01">
            <w:pPr>
              <w:spacing w:before="40" w:after="40"/>
              <w:rPr>
                <w:szCs w:val="24"/>
                <w:lang w:val="ru-RU"/>
              </w:rPr>
            </w:pPr>
            <w:r w:rsidRPr="00E266A0">
              <w:rPr>
                <w:szCs w:val="22"/>
                <w:lang w:val="ru-RU"/>
              </w:rPr>
              <w:t xml:space="preserve">Направления деятельности C3, C4, C5, С6 и C7 Женевского плана действий, а также </w:t>
            </w:r>
            <w:r w:rsidR="00330287" w:rsidRPr="00E266A0">
              <w:rPr>
                <w:szCs w:val="22"/>
                <w:lang w:val="ru-RU"/>
              </w:rPr>
              <w:t xml:space="preserve">раздел </w:t>
            </w:r>
            <w:r w:rsidRPr="00E266A0">
              <w:rPr>
                <w:szCs w:val="22"/>
                <w:lang w:val="ru-RU"/>
              </w:rPr>
              <w:t>"Финансовые механизмы для решения задач в области ИКТ в целях развития" Тунисской программы для информационного общества ВВУИО</w:t>
            </w:r>
          </w:p>
        </w:tc>
      </w:tr>
      <w:tr w:rsidR="002B21D6" w:rsidRPr="005C1BAD" w14:paraId="30F63C02" w14:textId="77777777" w:rsidTr="00682F01">
        <w:tc>
          <w:tcPr>
            <w:tcW w:w="2689" w:type="dxa"/>
          </w:tcPr>
          <w:p w14:paraId="1436E348" w14:textId="23C3BC7C" w:rsidR="002B21D6" w:rsidRPr="00E266A0" w:rsidRDefault="002B21D6" w:rsidP="002D1A01">
            <w:pPr>
              <w:spacing w:before="40" w:after="40"/>
              <w:rPr>
                <w:i/>
                <w:iCs/>
                <w:szCs w:val="24"/>
                <w:lang w:val="ru-RU"/>
              </w:rPr>
            </w:pPr>
            <w:r w:rsidRPr="00E266A0">
              <w:rPr>
                <w:i/>
                <w:iCs/>
                <w:szCs w:val="22"/>
                <w:lang w:val="ru-RU"/>
              </w:rPr>
              <w:t>Вклад в выполнение задач ЦУР</w:t>
            </w:r>
          </w:p>
        </w:tc>
        <w:tc>
          <w:tcPr>
            <w:tcW w:w="7054" w:type="dxa"/>
          </w:tcPr>
          <w:p w14:paraId="18B9F4EF" w14:textId="30692F1E" w:rsidR="002B21D6" w:rsidRPr="00E266A0" w:rsidRDefault="002B21D6" w:rsidP="00330287">
            <w:pPr>
              <w:spacing w:before="40" w:after="40"/>
              <w:rPr>
                <w:szCs w:val="24"/>
                <w:lang w:val="ru-RU"/>
              </w:rPr>
            </w:pPr>
            <w:r w:rsidRPr="00E266A0">
              <w:rPr>
                <w:szCs w:val="22"/>
                <w:lang w:val="ru-RU"/>
              </w:rPr>
              <w:t>ЦУР</w:t>
            </w:r>
            <w:r w:rsidR="00330287">
              <w:rPr>
                <w:szCs w:val="22"/>
                <w:lang w:val="ru-RU"/>
              </w:rPr>
              <w:t xml:space="preserve"> </w:t>
            </w:r>
            <w:r w:rsidRPr="00E266A0">
              <w:rPr>
                <w:szCs w:val="22"/>
                <w:lang w:val="ru-RU"/>
              </w:rPr>
              <w:t>1 (задачи 1.a</w:t>
            </w:r>
            <w:r w:rsidR="00330287">
              <w:rPr>
                <w:szCs w:val="22"/>
                <w:lang w:val="ru-RU"/>
              </w:rPr>
              <w:t>,</w:t>
            </w:r>
            <w:r w:rsidRPr="00E266A0">
              <w:rPr>
                <w:szCs w:val="22"/>
                <w:lang w:val="ru-RU"/>
              </w:rPr>
              <w:t xml:space="preserve"> 1.b), 2 (задачи 2.a, 2.c), 3, 4 (задачи 4.a, 4.b, 4.3, 4.7), 5 (задачи 5.b, 5.6), 8 (задачи 8.2, 8.3, 8.6, 8.10, 8.b), 9 (задачи 9.5, 9.b, 9.c), 10, 11 (задачи 11.1, 11.4), 12, 13 (задача 13.3), 16, 17 (задачи 17.1, 17.3, 17.9, 17.14, 17.16, 17.17)</w:t>
            </w:r>
          </w:p>
        </w:tc>
      </w:tr>
    </w:tbl>
    <w:p w14:paraId="7168E1A1" w14:textId="3B202DC0" w:rsidR="00F974A4" w:rsidRPr="00E266A0" w:rsidRDefault="00F974A4" w:rsidP="00863FB2">
      <w:pPr>
        <w:keepNext/>
        <w:spacing w:before="240" w:after="120"/>
        <w:ind w:left="357" w:hanging="357"/>
        <w:rPr>
          <w:b/>
          <w:bCs/>
          <w:szCs w:val="24"/>
          <w:lang w:val="ru-RU"/>
        </w:rPr>
      </w:pPr>
      <w:r w:rsidRPr="00E266A0">
        <w:rPr>
          <w:b/>
          <w:bCs/>
          <w:szCs w:val="24"/>
          <w:lang w:val="ru-RU"/>
        </w:rPr>
        <w:t>3</w:t>
      </w:r>
      <w:r w:rsidRPr="00E266A0">
        <w:rPr>
          <w:b/>
          <w:bCs/>
          <w:szCs w:val="24"/>
          <w:lang w:val="ru-RU"/>
        </w:rPr>
        <w:tab/>
      </w:r>
      <w:r w:rsidR="00395148" w:rsidRPr="00E266A0">
        <w:rPr>
          <w:b/>
          <w:lang w:val="ru-RU"/>
        </w:rPr>
        <w:t xml:space="preserve">Задача 3. Повышать доверие и безопасность при использовании электросвязи/ИКТ, </w:t>
      </w:r>
      <w:r w:rsidR="002D1A01" w:rsidRPr="00E266A0">
        <w:rPr>
          <w:b/>
          <w:lang w:val="ru-RU"/>
        </w:rPr>
        <w:br/>
      </w:r>
      <w:r w:rsidR="00395148" w:rsidRPr="00E266A0">
        <w:rPr>
          <w:b/>
          <w:lang w:val="ru-RU"/>
        </w:rPr>
        <w:t>а также при развертывании соответствующих приложений и услуг</w:t>
      </w:r>
    </w:p>
    <w:p w14:paraId="5FA4D393" w14:textId="4A4D27E4" w:rsidR="00F974A4" w:rsidRPr="00E266A0" w:rsidRDefault="00F974A4" w:rsidP="00863FB2">
      <w:pPr>
        <w:keepNext/>
        <w:spacing w:before="240" w:after="120"/>
        <w:ind w:left="357" w:hanging="357"/>
        <w:rPr>
          <w:b/>
          <w:bCs/>
          <w:szCs w:val="24"/>
          <w:lang w:val="ru-RU"/>
        </w:rPr>
      </w:pPr>
      <w:r w:rsidRPr="00E266A0">
        <w:rPr>
          <w:b/>
          <w:bCs/>
          <w:szCs w:val="24"/>
          <w:lang w:val="ru-RU"/>
        </w:rPr>
        <w:t>3.1</w:t>
      </w:r>
      <w:r w:rsidRPr="00E266A0">
        <w:rPr>
          <w:b/>
          <w:bCs/>
          <w:szCs w:val="24"/>
          <w:lang w:val="ru-RU"/>
        </w:rPr>
        <w:tab/>
      </w:r>
      <w:r w:rsidR="00395148" w:rsidRPr="00E266A0">
        <w:rPr>
          <w:b/>
          <w:lang w:val="ru-RU"/>
        </w:rPr>
        <w:t>Укрепление доверия и безопасности при использовании ИКТ</w:t>
      </w:r>
    </w:p>
    <w:tbl>
      <w:tblPr>
        <w:tblStyle w:val="TableGrid"/>
        <w:tblW w:w="0" w:type="auto"/>
        <w:tblLayout w:type="fixed"/>
        <w:tblLook w:val="04A0" w:firstRow="1" w:lastRow="0" w:firstColumn="1" w:lastColumn="0" w:noHBand="0" w:noVBand="1"/>
      </w:tblPr>
      <w:tblGrid>
        <w:gridCol w:w="2689"/>
        <w:gridCol w:w="7054"/>
      </w:tblGrid>
      <w:tr w:rsidR="00F974A4" w:rsidRPr="005C1BAD" w14:paraId="2F1BCB75" w14:textId="77777777" w:rsidTr="00682F01">
        <w:tc>
          <w:tcPr>
            <w:tcW w:w="9743" w:type="dxa"/>
            <w:gridSpan w:val="2"/>
          </w:tcPr>
          <w:p w14:paraId="3192D12C" w14:textId="77777777" w:rsidR="00395148" w:rsidRDefault="00395148" w:rsidP="00330287">
            <w:pPr>
              <w:rPr>
                <w:szCs w:val="22"/>
                <w:lang w:val="ru-RU"/>
              </w:rPr>
            </w:pPr>
            <w:r w:rsidRPr="00E266A0">
              <w:rPr>
                <w:szCs w:val="22"/>
                <w:lang w:val="ru-RU"/>
              </w:rPr>
              <w:t>БРЭ продолжило оказывать поддержку членам МСЭ, в частности развивающимся странам, в сфере укрепления доверия и безопасности при использовании ИКТ. Проводимые БРЭ мероприятия включали, среди прочего, реализацию инициатив по созданию потенциала и информационно-пропагандистской деятельности, проведение мероприятий, касающихся правовых и технических улучшений, а также международного сотрудничества.</w:t>
            </w:r>
          </w:p>
          <w:p w14:paraId="5A5AEB0A" w14:textId="77777777" w:rsidR="00330287" w:rsidRPr="00E266A0" w:rsidRDefault="00330287" w:rsidP="00330287">
            <w:pPr>
              <w:rPr>
                <w:szCs w:val="22"/>
                <w:lang w:val="ru-RU"/>
              </w:rPr>
            </w:pPr>
          </w:p>
          <w:p w14:paraId="686F5634" w14:textId="468AA264" w:rsidR="00395148" w:rsidRPr="00E266A0" w:rsidRDefault="00395148" w:rsidP="00330287">
            <w:pPr>
              <w:rPr>
                <w:szCs w:val="22"/>
                <w:lang w:val="ru-RU"/>
              </w:rPr>
            </w:pPr>
            <w:r w:rsidRPr="00E266A0">
              <w:rPr>
                <w:szCs w:val="22"/>
                <w:lang w:val="ru-RU"/>
              </w:rPr>
              <w:t>Была начата работа над третьим выпуском Глобального индекса кибербезопасности (GCI), который предназначен для измерения уровня приверженности Государств</w:t>
            </w:r>
            <w:r w:rsidR="00DA73B8" w:rsidRPr="00E266A0">
              <w:rPr>
                <w:szCs w:val="22"/>
                <w:lang w:val="ru-RU"/>
              </w:rPr>
              <w:t xml:space="preserve"> – </w:t>
            </w:r>
            <w:r w:rsidRPr="00E266A0">
              <w:rPr>
                <w:szCs w:val="22"/>
                <w:lang w:val="ru-RU"/>
              </w:rPr>
              <w:t>Членов МСЭ обеспечени</w:t>
            </w:r>
            <w:r w:rsidR="00DA73B8" w:rsidRPr="00E266A0">
              <w:rPr>
                <w:szCs w:val="22"/>
                <w:lang w:val="ru-RU"/>
              </w:rPr>
              <w:t>ю</w:t>
            </w:r>
            <w:r w:rsidRPr="00E266A0">
              <w:rPr>
                <w:szCs w:val="22"/>
                <w:lang w:val="ru-RU"/>
              </w:rPr>
              <w:t xml:space="preserve"> кибербезопасности. Публикация запланирована на 1</w:t>
            </w:r>
            <w:r w:rsidRPr="00E266A0">
              <w:rPr>
                <w:szCs w:val="22"/>
                <w:lang w:val="ru-RU"/>
              </w:rPr>
              <w:noBreakHyphen/>
              <w:t>й квартал 2019 года.</w:t>
            </w:r>
          </w:p>
          <w:p w14:paraId="124B0533" w14:textId="78C59099" w:rsidR="00395148" w:rsidRPr="00E266A0" w:rsidRDefault="00395148" w:rsidP="002D1A01">
            <w:pPr>
              <w:spacing w:after="120"/>
              <w:rPr>
                <w:szCs w:val="22"/>
                <w:lang w:val="ru-RU"/>
              </w:rPr>
            </w:pPr>
            <w:r w:rsidRPr="00E266A0">
              <w:rPr>
                <w:szCs w:val="22"/>
                <w:lang w:val="ru-RU"/>
              </w:rPr>
              <w:t xml:space="preserve">На Всемирном мероприятии ITU </w:t>
            </w:r>
            <w:r w:rsidR="00330287" w:rsidRPr="00E266A0">
              <w:rPr>
                <w:szCs w:val="22"/>
                <w:lang w:val="ru-RU"/>
              </w:rPr>
              <w:t xml:space="preserve">Telecom </w:t>
            </w:r>
            <w:r w:rsidRPr="00E266A0">
              <w:rPr>
                <w:szCs w:val="22"/>
                <w:lang w:val="ru-RU"/>
              </w:rPr>
              <w:t>было представлено "Руководство по национальным стратегиям кибербезопасности" как многосторонний проект, осуществляемый при поддержке МСЭ в партнерстве с Оксфордским университетом, компаниями Deloitte, Microsoft, Институтом Потомак, RAND Europe, ЮНКТАД, Всемирным банком и т. д.</w:t>
            </w:r>
          </w:p>
          <w:p w14:paraId="6313361D" w14:textId="510A5698" w:rsidR="00395148" w:rsidRPr="00E266A0" w:rsidRDefault="00395148" w:rsidP="002D1A01">
            <w:pPr>
              <w:spacing w:after="120"/>
              <w:rPr>
                <w:szCs w:val="22"/>
                <w:lang w:val="ru-RU"/>
              </w:rPr>
            </w:pPr>
            <w:r w:rsidRPr="00E266A0">
              <w:rPr>
                <w:szCs w:val="22"/>
                <w:lang w:val="ru-RU"/>
              </w:rPr>
              <w:t>Был реализован ряд инициатив и мероприятий в области пропаганды культуры кибербезопасности и решения соответствующих проблем (например, в Тунисе, Иране, Камеруне, на Украине и</w:t>
            </w:r>
            <w:r w:rsidR="003B6B40" w:rsidRPr="00E266A0">
              <w:rPr>
                <w:szCs w:val="22"/>
                <w:lang w:val="ru-RU"/>
              </w:rPr>
              <w:t> </w:t>
            </w:r>
            <w:r w:rsidRPr="00E266A0">
              <w:rPr>
                <w:szCs w:val="22"/>
                <w:lang w:val="ru-RU"/>
              </w:rPr>
              <w:t>т.</w:t>
            </w:r>
            <w:r w:rsidR="003B6B40" w:rsidRPr="00E266A0">
              <w:rPr>
                <w:szCs w:val="22"/>
                <w:lang w:val="ru-RU"/>
              </w:rPr>
              <w:t> </w:t>
            </w:r>
            <w:r w:rsidRPr="00E266A0">
              <w:rPr>
                <w:szCs w:val="22"/>
                <w:lang w:val="ru-RU"/>
              </w:rPr>
              <w:t xml:space="preserve">д.). </w:t>
            </w:r>
          </w:p>
          <w:p w14:paraId="730FE666" w14:textId="42563A11" w:rsidR="00395148" w:rsidRPr="00E266A0" w:rsidRDefault="00395148" w:rsidP="002D1A01">
            <w:pPr>
              <w:spacing w:after="120"/>
              <w:rPr>
                <w:szCs w:val="22"/>
                <w:lang w:val="ru-RU"/>
              </w:rPr>
            </w:pPr>
            <w:r w:rsidRPr="00E266A0">
              <w:rPr>
                <w:szCs w:val="22"/>
                <w:lang w:val="ru-RU"/>
              </w:rPr>
              <w:t>БРЭ оказывало помощь в создании и укреплении национальных CIRT (например, на Кипре, в</w:t>
            </w:r>
            <w:r w:rsidR="003B6B40" w:rsidRPr="00E266A0">
              <w:rPr>
                <w:szCs w:val="22"/>
                <w:lang w:val="ru-RU"/>
              </w:rPr>
              <w:t> </w:t>
            </w:r>
            <w:r w:rsidRPr="00E266A0">
              <w:rPr>
                <w:szCs w:val="22"/>
                <w:lang w:val="ru-RU"/>
              </w:rPr>
              <w:t>Кыргызстане, Малави, Ботсване, Гамбии, Бурунди, Самоа, Тонге и</w:t>
            </w:r>
            <w:r w:rsidR="003B6B40" w:rsidRPr="00E266A0">
              <w:rPr>
                <w:szCs w:val="22"/>
                <w:lang w:val="ru-RU"/>
              </w:rPr>
              <w:t> </w:t>
            </w:r>
            <w:r w:rsidRPr="00E266A0">
              <w:rPr>
                <w:szCs w:val="22"/>
                <w:lang w:val="ru-RU"/>
              </w:rPr>
              <w:t>т.</w:t>
            </w:r>
            <w:r w:rsidR="003B6B40" w:rsidRPr="00E266A0">
              <w:rPr>
                <w:szCs w:val="22"/>
                <w:lang w:val="ru-RU"/>
              </w:rPr>
              <w:t> </w:t>
            </w:r>
            <w:r w:rsidRPr="00E266A0">
              <w:rPr>
                <w:szCs w:val="22"/>
                <w:lang w:val="ru-RU"/>
              </w:rPr>
              <w:t xml:space="preserve">д.). </w:t>
            </w:r>
          </w:p>
          <w:p w14:paraId="481029AE" w14:textId="682DB849" w:rsidR="00F974A4" w:rsidRPr="00E266A0" w:rsidRDefault="00395148" w:rsidP="002D1A01">
            <w:pPr>
              <w:spacing w:after="120"/>
              <w:rPr>
                <w:szCs w:val="24"/>
                <w:lang w:val="ru-RU"/>
              </w:rPr>
            </w:pPr>
            <w:r w:rsidRPr="00E266A0">
              <w:rPr>
                <w:szCs w:val="22"/>
                <w:lang w:val="ru-RU"/>
              </w:rPr>
              <w:t>Было проведено пять региональных тренировочных занятий по кибербезопасности – в</w:t>
            </w:r>
            <w:r w:rsidR="003B6B40" w:rsidRPr="00E266A0">
              <w:rPr>
                <w:szCs w:val="22"/>
                <w:lang w:val="ru-RU"/>
              </w:rPr>
              <w:t> </w:t>
            </w:r>
            <w:r w:rsidRPr="00E266A0">
              <w:rPr>
                <w:szCs w:val="22"/>
                <w:lang w:val="ru-RU"/>
              </w:rPr>
              <w:t xml:space="preserve">Азербайджане, Кувейте, </w:t>
            </w:r>
            <w:r w:rsidR="00330287">
              <w:rPr>
                <w:szCs w:val="22"/>
                <w:lang w:val="ru-RU"/>
              </w:rPr>
              <w:t xml:space="preserve">на </w:t>
            </w:r>
            <w:r w:rsidRPr="00E266A0">
              <w:rPr>
                <w:szCs w:val="22"/>
                <w:lang w:val="ru-RU"/>
              </w:rPr>
              <w:t xml:space="preserve">Кипре, </w:t>
            </w:r>
            <w:r w:rsidR="00330287">
              <w:rPr>
                <w:szCs w:val="22"/>
                <w:lang w:val="ru-RU"/>
              </w:rPr>
              <w:t xml:space="preserve">в </w:t>
            </w:r>
            <w:r w:rsidRPr="00E266A0">
              <w:rPr>
                <w:szCs w:val="22"/>
                <w:lang w:val="ru-RU"/>
              </w:rPr>
              <w:t>Аргентине и Кот-д</w:t>
            </w:r>
            <w:r w:rsidR="003B6B40" w:rsidRPr="00E266A0">
              <w:rPr>
                <w:szCs w:val="22"/>
                <w:lang w:val="ru-RU"/>
              </w:rPr>
              <w:t>’</w:t>
            </w:r>
            <w:r w:rsidRPr="00E266A0">
              <w:rPr>
                <w:szCs w:val="22"/>
                <w:lang w:val="ru-RU"/>
              </w:rPr>
              <w:t>Ивуаре.</w:t>
            </w:r>
          </w:p>
        </w:tc>
      </w:tr>
      <w:tr w:rsidR="00ED78CD" w:rsidRPr="00E266A0" w14:paraId="184DEC03" w14:textId="77777777" w:rsidTr="00682F01">
        <w:tc>
          <w:tcPr>
            <w:tcW w:w="2689" w:type="dxa"/>
          </w:tcPr>
          <w:p w14:paraId="585919C6" w14:textId="4AE9D39D" w:rsidR="00ED78CD" w:rsidRPr="00E266A0" w:rsidRDefault="00ED78CD" w:rsidP="002D1A01">
            <w:pPr>
              <w:spacing w:before="40" w:after="40"/>
              <w:rPr>
                <w:i/>
                <w:iCs/>
                <w:szCs w:val="24"/>
                <w:lang w:val="ru-RU"/>
              </w:rPr>
            </w:pPr>
            <w:proofErr w:type="spellStart"/>
            <w:r w:rsidRPr="00E266A0">
              <w:rPr>
                <w:i/>
                <w:iCs/>
                <w:szCs w:val="22"/>
                <w:lang w:val="ru-RU"/>
              </w:rPr>
              <w:lastRenderedPageBreak/>
              <w:t>ВКРЭ</w:t>
            </w:r>
            <w:proofErr w:type="spellEnd"/>
          </w:p>
        </w:tc>
        <w:tc>
          <w:tcPr>
            <w:tcW w:w="7054" w:type="dxa"/>
          </w:tcPr>
          <w:p w14:paraId="6D3EABB3" w14:textId="3D142D45" w:rsidR="00ED78CD" w:rsidRPr="00E266A0" w:rsidRDefault="00ED78CD" w:rsidP="002D1A01">
            <w:pPr>
              <w:spacing w:before="40" w:after="40"/>
              <w:rPr>
                <w:szCs w:val="24"/>
                <w:lang w:val="ru-RU"/>
              </w:rPr>
            </w:pPr>
            <w:r w:rsidRPr="00E266A0">
              <w:rPr>
                <w:szCs w:val="22"/>
                <w:lang w:val="ru-RU"/>
              </w:rPr>
              <w:t>Резолюции 1, 5, 9, 15, 30, 33, 37, 45, 50, 59, 64, 67, 69, 78, 79</w:t>
            </w:r>
          </w:p>
        </w:tc>
      </w:tr>
      <w:tr w:rsidR="00ED78CD" w:rsidRPr="00E266A0" w14:paraId="1B27089C" w14:textId="77777777" w:rsidTr="00682F01">
        <w:tc>
          <w:tcPr>
            <w:tcW w:w="2689" w:type="dxa"/>
          </w:tcPr>
          <w:p w14:paraId="0063FDD8" w14:textId="52C64431" w:rsidR="00ED78CD" w:rsidRPr="00E266A0" w:rsidRDefault="00ED78CD" w:rsidP="002D1A01">
            <w:pPr>
              <w:spacing w:before="40" w:after="40"/>
              <w:rPr>
                <w:i/>
                <w:iCs/>
                <w:szCs w:val="24"/>
                <w:lang w:val="ru-RU"/>
              </w:rPr>
            </w:pPr>
            <w:r w:rsidRPr="00E266A0">
              <w:rPr>
                <w:i/>
                <w:iCs/>
                <w:szCs w:val="22"/>
                <w:lang w:val="ru-RU"/>
              </w:rPr>
              <w:t>Полномочная конференция</w:t>
            </w:r>
          </w:p>
        </w:tc>
        <w:tc>
          <w:tcPr>
            <w:tcW w:w="7054" w:type="dxa"/>
          </w:tcPr>
          <w:p w14:paraId="0B1950D2" w14:textId="77777777" w:rsidR="00ED78CD" w:rsidRPr="00E266A0" w:rsidRDefault="00ED78CD" w:rsidP="002D1A01">
            <w:pPr>
              <w:spacing w:before="40" w:after="40"/>
              <w:rPr>
                <w:szCs w:val="22"/>
                <w:lang w:val="ru-RU"/>
              </w:rPr>
            </w:pPr>
            <w:r w:rsidRPr="00E266A0">
              <w:rPr>
                <w:szCs w:val="22"/>
                <w:lang w:val="ru-RU"/>
              </w:rPr>
              <w:t>Решения 5, 13 ПК</w:t>
            </w:r>
          </w:p>
          <w:p w14:paraId="0DD40DED" w14:textId="4F84B782" w:rsidR="00ED78CD" w:rsidRPr="00E266A0" w:rsidRDefault="00ED78CD" w:rsidP="002D1A01">
            <w:pPr>
              <w:spacing w:before="40" w:after="40"/>
              <w:rPr>
                <w:szCs w:val="24"/>
                <w:lang w:val="ru-RU"/>
              </w:rPr>
            </w:pPr>
            <w:r w:rsidRPr="00E266A0">
              <w:rPr>
                <w:szCs w:val="22"/>
                <w:lang w:val="ru-RU"/>
              </w:rPr>
              <w:t>Резолюции 25, 71, 72, 130, 179, 181 ПК</w:t>
            </w:r>
          </w:p>
        </w:tc>
      </w:tr>
      <w:tr w:rsidR="00ED78CD" w:rsidRPr="00E266A0" w14:paraId="78E9FB79" w14:textId="77777777" w:rsidTr="00682F01">
        <w:tc>
          <w:tcPr>
            <w:tcW w:w="2689" w:type="dxa"/>
          </w:tcPr>
          <w:p w14:paraId="43820798" w14:textId="080DF851" w:rsidR="00ED78CD" w:rsidRPr="00E266A0" w:rsidRDefault="00DA73B8" w:rsidP="002D1A01">
            <w:pPr>
              <w:spacing w:before="40" w:after="40"/>
              <w:rPr>
                <w:i/>
                <w:iCs/>
                <w:szCs w:val="24"/>
                <w:lang w:val="ru-RU"/>
              </w:rPr>
            </w:pPr>
            <w:r w:rsidRPr="00E266A0">
              <w:rPr>
                <w:i/>
                <w:iCs/>
                <w:szCs w:val="22"/>
                <w:lang w:val="ru-RU"/>
              </w:rPr>
              <w:t>ВАСЭ</w:t>
            </w:r>
          </w:p>
        </w:tc>
        <w:tc>
          <w:tcPr>
            <w:tcW w:w="7054" w:type="dxa"/>
          </w:tcPr>
          <w:p w14:paraId="6E6A23BD" w14:textId="5DFC3BBF" w:rsidR="00ED78CD" w:rsidRPr="00E266A0" w:rsidRDefault="00ED78CD" w:rsidP="002D1A01">
            <w:pPr>
              <w:spacing w:before="40" w:after="40"/>
              <w:rPr>
                <w:szCs w:val="24"/>
                <w:lang w:val="ru-RU"/>
              </w:rPr>
            </w:pPr>
            <w:r w:rsidRPr="00E266A0">
              <w:rPr>
                <w:szCs w:val="22"/>
                <w:lang w:val="ru-RU"/>
              </w:rPr>
              <w:t xml:space="preserve">Резолюции 50, 52, 58 </w:t>
            </w:r>
          </w:p>
        </w:tc>
      </w:tr>
      <w:tr w:rsidR="00ED78CD" w:rsidRPr="00E266A0" w14:paraId="7CA837BE" w14:textId="77777777" w:rsidTr="00682F01">
        <w:tc>
          <w:tcPr>
            <w:tcW w:w="2689" w:type="dxa"/>
          </w:tcPr>
          <w:p w14:paraId="43614DDD" w14:textId="2C114413" w:rsidR="00ED78CD" w:rsidRPr="00E266A0" w:rsidRDefault="00ED78CD" w:rsidP="002D1A01">
            <w:pPr>
              <w:spacing w:before="40" w:after="40"/>
              <w:rPr>
                <w:i/>
                <w:iCs/>
                <w:szCs w:val="24"/>
                <w:lang w:val="ru-RU"/>
              </w:rPr>
            </w:pPr>
            <w:r w:rsidRPr="00E266A0">
              <w:rPr>
                <w:i/>
                <w:iCs/>
                <w:szCs w:val="22"/>
                <w:lang w:val="ru-RU"/>
              </w:rPr>
              <w:t>Направления деятельности ВВУИО</w:t>
            </w:r>
          </w:p>
        </w:tc>
        <w:tc>
          <w:tcPr>
            <w:tcW w:w="7054" w:type="dxa"/>
          </w:tcPr>
          <w:p w14:paraId="06F4E956" w14:textId="584AC15C" w:rsidR="00ED78CD" w:rsidRPr="00E266A0" w:rsidRDefault="00ED78CD" w:rsidP="002D1A01">
            <w:pPr>
              <w:spacing w:before="40" w:after="40"/>
              <w:rPr>
                <w:szCs w:val="24"/>
                <w:lang w:val="ru-RU"/>
              </w:rPr>
            </w:pPr>
            <w:r w:rsidRPr="00E266A0">
              <w:rPr>
                <w:szCs w:val="22"/>
                <w:lang w:val="ru-RU"/>
              </w:rPr>
              <w:t>Направление деятельности C5 ВВУИО</w:t>
            </w:r>
          </w:p>
        </w:tc>
      </w:tr>
      <w:tr w:rsidR="00ED78CD" w:rsidRPr="005C1BAD" w14:paraId="5DFC6B51" w14:textId="77777777" w:rsidTr="00682F01">
        <w:tc>
          <w:tcPr>
            <w:tcW w:w="2689" w:type="dxa"/>
          </w:tcPr>
          <w:p w14:paraId="5C6F7A5E" w14:textId="6B35AFB9" w:rsidR="00ED78CD" w:rsidRPr="00E266A0" w:rsidRDefault="00ED78CD" w:rsidP="002D1A01">
            <w:pPr>
              <w:spacing w:before="40" w:after="40"/>
              <w:rPr>
                <w:i/>
                <w:iCs/>
                <w:szCs w:val="24"/>
                <w:lang w:val="ru-RU"/>
              </w:rPr>
            </w:pPr>
            <w:r w:rsidRPr="00E266A0">
              <w:rPr>
                <w:i/>
                <w:iCs/>
                <w:szCs w:val="22"/>
                <w:lang w:val="ru-RU"/>
              </w:rPr>
              <w:t>Вклад в выполнение задач ЦУР</w:t>
            </w:r>
          </w:p>
        </w:tc>
        <w:tc>
          <w:tcPr>
            <w:tcW w:w="7054" w:type="dxa"/>
          </w:tcPr>
          <w:p w14:paraId="3BB65C37" w14:textId="0BD38F5A" w:rsidR="00ED78CD" w:rsidRPr="00E266A0" w:rsidRDefault="00DA73B8" w:rsidP="00356DE4">
            <w:pPr>
              <w:spacing w:before="40" w:after="40"/>
              <w:rPr>
                <w:szCs w:val="24"/>
                <w:lang w:val="ru-RU"/>
              </w:rPr>
            </w:pPr>
            <w:r w:rsidRPr="00E266A0">
              <w:rPr>
                <w:szCs w:val="22"/>
                <w:lang w:val="ru-RU"/>
              </w:rPr>
              <w:t>ЦУР</w:t>
            </w:r>
            <w:r w:rsidR="00ED78CD" w:rsidRPr="00E266A0">
              <w:rPr>
                <w:szCs w:val="22"/>
                <w:lang w:val="ru-RU"/>
              </w:rPr>
              <w:t xml:space="preserve"> 1, 3 (задача 3.5), 4 (задача 4.a), 5 (задачи 5.2, 5.3, 5.b), </w:t>
            </w:r>
            <w:r w:rsidR="003B5622" w:rsidRPr="00E266A0">
              <w:rPr>
                <w:szCs w:val="22"/>
                <w:lang w:val="ru-RU"/>
              </w:rPr>
              <w:br/>
            </w:r>
            <w:r w:rsidR="00ED78CD" w:rsidRPr="00E266A0">
              <w:rPr>
                <w:szCs w:val="22"/>
                <w:lang w:val="ru-RU"/>
              </w:rPr>
              <w:t>7, 8, 9, 10 (задача 10.2), 11, 16, 17</w:t>
            </w:r>
          </w:p>
        </w:tc>
      </w:tr>
    </w:tbl>
    <w:p w14:paraId="37ADEB40" w14:textId="264850DF" w:rsidR="00F974A4" w:rsidRPr="00E266A0" w:rsidRDefault="00F974A4" w:rsidP="00612977">
      <w:pPr>
        <w:keepNext/>
        <w:spacing w:after="120"/>
        <w:ind w:left="357" w:hanging="357"/>
        <w:rPr>
          <w:b/>
          <w:bCs/>
          <w:szCs w:val="24"/>
          <w:lang w:val="ru-RU"/>
        </w:rPr>
      </w:pPr>
      <w:r w:rsidRPr="00E266A0">
        <w:rPr>
          <w:b/>
          <w:bCs/>
          <w:szCs w:val="24"/>
          <w:lang w:val="ru-RU"/>
        </w:rPr>
        <w:t>3.2</w:t>
      </w:r>
      <w:r w:rsidRPr="00E266A0">
        <w:rPr>
          <w:b/>
          <w:bCs/>
          <w:szCs w:val="24"/>
          <w:lang w:val="ru-RU"/>
        </w:rPr>
        <w:tab/>
      </w:r>
      <w:r w:rsidR="00C97BDE" w:rsidRPr="00E266A0">
        <w:rPr>
          <w:b/>
          <w:lang w:val="ru-RU"/>
        </w:rPr>
        <w:t>Приложения и услуги ИКТ</w:t>
      </w:r>
    </w:p>
    <w:p w14:paraId="27C56D7C" w14:textId="5C0603FD" w:rsidR="00356DE4" w:rsidRDefault="00356DE4"/>
    <w:tbl>
      <w:tblPr>
        <w:tblStyle w:val="TableGrid"/>
        <w:tblW w:w="0" w:type="auto"/>
        <w:tblLook w:val="04A0" w:firstRow="1" w:lastRow="0" w:firstColumn="1" w:lastColumn="0" w:noHBand="0" w:noVBand="1"/>
      </w:tblPr>
      <w:tblGrid>
        <w:gridCol w:w="2689"/>
        <w:gridCol w:w="7054"/>
      </w:tblGrid>
      <w:tr w:rsidR="00F974A4" w:rsidRPr="005C1BAD" w14:paraId="6728FA11" w14:textId="77777777" w:rsidTr="00682F01">
        <w:tc>
          <w:tcPr>
            <w:tcW w:w="9743" w:type="dxa"/>
            <w:gridSpan w:val="2"/>
          </w:tcPr>
          <w:p w14:paraId="2626D483" w14:textId="784C722F" w:rsidR="00F974A4" w:rsidRPr="00E266A0" w:rsidRDefault="00C97BDE" w:rsidP="002D1A01">
            <w:pPr>
              <w:spacing w:after="120"/>
              <w:rPr>
                <w:szCs w:val="24"/>
                <w:lang w:val="ru-RU"/>
              </w:rPr>
            </w:pPr>
            <w:r w:rsidRPr="00E266A0">
              <w:rPr>
                <w:szCs w:val="22"/>
                <w:lang w:val="ru-RU"/>
              </w:rPr>
              <w:t>Развитие потенциала Государств</w:t>
            </w:r>
            <w:r w:rsidR="00DA73B8" w:rsidRPr="00E266A0">
              <w:rPr>
                <w:szCs w:val="22"/>
                <w:lang w:val="ru-RU"/>
              </w:rPr>
              <w:t xml:space="preserve"> – </w:t>
            </w:r>
            <w:r w:rsidRPr="00E266A0">
              <w:rPr>
                <w:szCs w:val="22"/>
                <w:lang w:val="ru-RU"/>
              </w:rPr>
              <w:t>Членов МСЭ для разработки национальных электронных стратегий содействия формированию благоприятной среды в целях расширения масштабов использования приложений ИКТ и далее осуществлялось в рамках самых разных мероприятий, включая среди прочего следующие</w:t>
            </w:r>
            <w:r w:rsidR="00356DE4">
              <w:rPr>
                <w:szCs w:val="22"/>
                <w:lang w:val="ru-RU"/>
              </w:rPr>
              <w:t>.</w:t>
            </w:r>
          </w:p>
          <w:p w14:paraId="3AB36C66" w14:textId="14B0164B" w:rsidR="00F974A4" w:rsidRPr="00E266A0" w:rsidRDefault="0094744D" w:rsidP="002D1A01">
            <w:pPr>
              <w:keepNext/>
              <w:spacing w:after="120"/>
              <w:rPr>
                <w:szCs w:val="24"/>
                <w:lang w:val="ru-RU"/>
              </w:rPr>
            </w:pPr>
            <w:r w:rsidRPr="00E266A0">
              <w:rPr>
                <w:szCs w:val="22"/>
                <w:lang w:val="ru-RU"/>
              </w:rPr>
              <w:t>В сфере электронного здравоохранения</w:t>
            </w:r>
          </w:p>
          <w:p w14:paraId="1052517C" w14:textId="3FBEC59E" w:rsidR="00F974A4" w:rsidRPr="00E266A0" w:rsidRDefault="0094744D" w:rsidP="002D1A01">
            <w:pPr>
              <w:pStyle w:val="ListParagraph"/>
              <w:numPr>
                <w:ilvl w:val="0"/>
                <w:numId w:val="46"/>
              </w:numPr>
              <w:tabs>
                <w:tab w:val="clear" w:pos="1134"/>
                <w:tab w:val="clear" w:pos="1871"/>
                <w:tab w:val="clear" w:pos="2268"/>
              </w:tabs>
              <w:overflowPunct/>
              <w:autoSpaceDE/>
              <w:autoSpaceDN/>
              <w:adjustRightInd/>
              <w:spacing w:before="40" w:after="40"/>
              <w:ind w:left="357" w:hanging="357"/>
              <w:contextualSpacing w:val="0"/>
              <w:jc w:val="both"/>
              <w:textAlignment w:val="auto"/>
              <w:rPr>
                <w:szCs w:val="24"/>
                <w:lang w:val="ru-RU"/>
              </w:rPr>
            </w:pPr>
            <w:r w:rsidRPr="00E266A0">
              <w:rPr>
                <w:szCs w:val="22"/>
                <w:lang w:val="ru-RU"/>
              </w:rPr>
              <w:t xml:space="preserve">В рамках инициативы в сфере мобильного и электронного здравоохранения в Северной и Южной Америке МСЭ и ПАОЗ согласовали применение комплекта материалов по национальной стратегии в области электронного здравоохранения в Гайане. Полный </w:t>
            </w:r>
            <w:r w:rsidR="00DA73B8" w:rsidRPr="00E266A0">
              <w:rPr>
                <w:szCs w:val="22"/>
                <w:lang w:val="ru-RU"/>
              </w:rPr>
              <w:t xml:space="preserve">текст </w:t>
            </w:r>
            <w:r w:rsidRPr="00E266A0">
              <w:rPr>
                <w:szCs w:val="22"/>
                <w:lang w:val="ru-RU"/>
              </w:rPr>
              <w:t>проект</w:t>
            </w:r>
            <w:r w:rsidR="00DA73B8" w:rsidRPr="00E266A0">
              <w:rPr>
                <w:szCs w:val="22"/>
                <w:lang w:val="ru-RU"/>
              </w:rPr>
              <w:t>а</w:t>
            </w:r>
            <w:r w:rsidRPr="00E266A0">
              <w:rPr>
                <w:szCs w:val="22"/>
                <w:lang w:val="ru-RU"/>
              </w:rPr>
              <w:t xml:space="preserve"> стратегии был доработан и представлен в качестве вклада МСЭ в более долгосрочный процесс </w:t>
            </w:r>
            <w:r w:rsidR="00356DE4">
              <w:rPr>
                <w:szCs w:val="22"/>
                <w:lang w:val="ru-RU"/>
              </w:rPr>
              <w:t xml:space="preserve">сотрудничества </w:t>
            </w:r>
            <w:r w:rsidRPr="00E266A0">
              <w:rPr>
                <w:szCs w:val="22"/>
                <w:lang w:val="ru-RU"/>
              </w:rPr>
              <w:t>между ПАОЗ и Гайаной, который будет продолжаться до июля 2019 года.</w:t>
            </w:r>
          </w:p>
          <w:p w14:paraId="1F08137D" w14:textId="6A44122A" w:rsidR="00E921CF" w:rsidRPr="00E266A0" w:rsidRDefault="00DA73B8" w:rsidP="002D1A01">
            <w:pPr>
              <w:pStyle w:val="ListParagraph"/>
              <w:numPr>
                <w:ilvl w:val="0"/>
                <w:numId w:val="46"/>
              </w:numPr>
              <w:tabs>
                <w:tab w:val="clear" w:pos="1134"/>
                <w:tab w:val="clear" w:pos="1871"/>
                <w:tab w:val="clear" w:pos="2268"/>
              </w:tabs>
              <w:overflowPunct/>
              <w:autoSpaceDE/>
              <w:autoSpaceDN/>
              <w:adjustRightInd/>
              <w:spacing w:before="40" w:after="40"/>
              <w:ind w:left="357" w:hanging="357"/>
              <w:contextualSpacing w:val="0"/>
              <w:jc w:val="both"/>
              <w:textAlignment w:val="auto"/>
              <w:rPr>
                <w:szCs w:val="22"/>
                <w:lang w:val="ru-RU"/>
              </w:rPr>
            </w:pPr>
            <w:r w:rsidRPr="00E266A0">
              <w:rPr>
                <w:szCs w:val="22"/>
                <w:lang w:val="ru-RU"/>
              </w:rPr>
              <w:t>В рамках Встречи на высшем уровне</w:t>
            </w:r>
            <w:r w:rsidR="00E921CF" w:rsidRPr="00E266A0">
              <w:rPr>
                <w:szCs w:val="22"/>
                <w:lang w:val="ru-RU"/>
              </w:rPr>
              <w:t xml:space="preserve"> "Преобразуем Африку" 8–9 мая 2018 года МСЭ совместно с </w:t>
            </w:r>
            <w:r w:rsidRPr="00E266A0">
              <w:rPr>
                <w:szCs w:val="22"/>
                <w:lang w:val="ru-RU"/>
              </w:rPr>
              <w:t xml:space="preserve">регионом Африки </w:t>
            </w:r>
            <w:r w:rsidR="00E921CF" w:rsidRPr="00E266A0">
              <w:rPr>
                <w:szCs w:val="22"/>
                <w:lang w:val="ru-RU"/>
              </w:rPr>
              <w:t xml:space="preserve">ВОЗ и </w:t>
            </w:r>
            <w:r w:rsidRPr="00E266A0">
              <w:rPr>
                <w:szCs w:val="22"/>
                <w:lang w:val="ru-RU"/>
              </w:rPr>
              <w:t>организаторами Встречи на высшем уровне</w:t>
            </w:r>
            <w:r w:rsidR="00E921CF" w:rsidRPr="00E266A0">
              <w:rPr>
                <w:szCs w:val="22"/>
                <w:lang w:val="ru-RU"/>
              </w:rPr>
              <w:t xml:space="preserve"> "Преобразуем Африку" </w:t>
            </w:r>
            <w:r w:rsidRPr="00E266A0">
              <w:rPr>
                <w:szCs w:val="22"/>
                <w:lang w:val="ru-RU"/>
              </w:rPr>
              <w:t>создал</w:t>
            </w:r>
            <w:r w:rsidR="00E921CF" w:rsidRPr="00E266A0">
              <w:rPr>
                <w:szCs w:val="22"/>
                <w:lang w:val="ru-RU"/>
              </w:rPr>
              <w:t xml:space="preserve"> платформу в области цифрового здравоохранения. В рамках этой платформы был проведен ряд политических диалогов и были представлены примеры передового опыта в области внедрения цифрового здравоохранения в Африке. </w:t>
            </w:r>
          </w:p>
          <w:p w14:paraId="212F1540" w14:textId="77E38F7F" w:rsidR="00F974A4" w:rsidRPr="00356DE4" w:rsidRDefault="00E921CF" w:rsidP="002D1A01">
            <w:pPr>
              <w:pStyle w:val="ListParagraph"/>
              <w:keepNext/>
              <w:numPr>
                <w:ilvl w:val="0"/>
                <w:numId w:val="46"/>
              </w:numPr>
              <w:tabs>
                <w:tab w:val="clear" w:pos="1134"/>
                <w:tab w:val="clear" w:pos="1871"/>
                <w:tab w:val="clear" w:pos="2268"/>
              </w:tabs>
              <w:overflowPunct/>
              <w:autoSpaceDE/>
              <w:autoSpaceDN/>
              <w:adjustRightInd/>
              <w:spacing w:before="40" w:after="40"/>
              <w:ind w:left="357" w:hanging="357"/>
              <w:contextualSpacing w:val="0"/>
              <w:jc w:val="both"/>
              <w:textAlignment w:val="auto"/>
              <w:rPr>
                <w:szCs w:val="24"/>
                <w:lang w:val="ru-RU"/>
              </w:rPr>
            </w:pPr>
            <w:r w:rsidRPr="00E266A0">
              <w:rPr>
                <w:szCs w:val="22"/>
                <w:lang w:val="ru-RU"/>
              </w:rPr>
              <w:t xml:space="preserve">МСЭ в партнерстве с ВОЗ оказывал поддержку Сенегалу в реализации проекта по уходу за больными диабетом с помощью мобильных средств </w:t>
            </w:r>
            <w:r w:rsidR="00BC4919">
              <w:rPr>
                <w:szCs w:val="22"/>
                <w:lang w:val="ru-RU"/>
              </w:rPr>
              <w:t>(</w:t>
            </w:r>
            <w:proofErr w:type="spellStart"/>
            <w:r w:rsidRPr="00E266A0">
              <w:rPr>
                <w:szCs w:val="22"/>
                <w:lang w:val="ru-RU"/>
              </w:rPr>
              <w:t>mDiabetes</w:t>
            </w:r>
            <w:proofErr w:type="spellEnd"/>
            <w:r w:rsidR="00BC4919">
              <w:rPr>
                <w:szCs w:val="22"/>
                <w:lang w:val="ru-RU"/>
              </w:rPr>
              <w:t>)</w:t>
            </w:r>
            <w:r w:rsidRPr="00E266A0">
              <w:rPr>
                <w:szCs w:val="22"/>
                <w:lang w:val="ru-RU"/>
              </w:rPr>
              <w:t>, который является одним из компонентов глобальной программы "Будь здоров</w:t>
            </w:r>
            <w:r w:rsidR="00DA73B8" w:rsidRPr="00E266A0">
              <w:rPr>
                <w:szCs w:val="22"/>
                <w:lang w:val="ru-RU"/>
              </w:rPr>
              <w:t>ым</w:t>
            </w:r>
            <w:r w:rsidRPr="00E266A0">
              <w:rPr>
                <w:szCs w:val="22"/>
                <w:lang w:val="ru-RU"/>
              </w:rPr>
              <w:t>, будь мобильным".</w:t>
            </w:r>
          </w:p>
          <w:p w14:paraId="3589A8C9" w14:textId="77777777" w:rsidR="00356DE4" w:rsidRPr="00356DE4" w:rsidRDefault="00356DE4" w:rsidP="00356DE4">
            <w:pPr>
              <w:keepNext/>
              <w:tabs>
                <w:tab w:val="clear" w:pos="1134"/>
                <w:tab w:val="clear" w:pos="1871"/>
                <w:tab w:val="clear" w:pos="2268"/>
              </w:tabs>
              <w:overflowPunct/>
              <w:autoSpaceDE/>
              <w:autoSpaceDN/>
              <w:adjustRightInd/>
              <w:spacing w:before="40" w:after="40"/>
              <w:jc w:val="both"/>
              <w:textAlignment w:val="auto"/>
              <w:rPr>
                <w:szCs w:val="24"/>
                <w:lang w:val="ru-RU"/>
              </w:rPr>
            </w:pPr>
          </w:p>
          <w:p w14:paraId="264EE9C8" w14:textId="4253F132" w:rsidR="00F974A4" w:rsidRPr="00E266A0" w:rsidRDefault="00886AD3" w:rsidP="002D1A01">
            <w:pPr>
              <w:keepNext/>
              <w:spacing w:after="120"/>
              <w:rPr>
                <w:szCs w:val="24"/>
                <w:lang w:val="ru-RU"/>
              </w:rPr>
            </w:pPr>
            <w:r w:rsidRPr="00E266A0">
              <w:rPr>
                <w:szCs w:val="22"/>
                <w:lang w:val="ru-RU"/>
              </w:rPr>
              <w:lastRenderedPageBreak/>
              <w:t>В сфере электронного сельского хозяйства</w:t>
            </w:r>
          </w:p>
          <w:p w14:paraId="7FA1CDA6" w14:textId="2BDB99C5" w:rsidR="00886AD3" w:rsidRPr="00E266A0" w:rsidRDefault="00886AD3" w:rsidP="00356DE4">
            <w:pPr>
              <w:pStyle w:val="ListParagraph"/>
              <w:keepNext/>
              <w:numPr>
                <w:ilvl w:val="0"/>
                <w:numId w:val="46"/>
              </w:numPr>
              <w:tabs>
                <w:tab w:val="clear" w:pos="1134"/>
                <w:tab w:val="clear" w:pos="1871"/>
                <w:tab w:val="clear" w:pos="2268"/>
              </w:tabs>
              <w:overflowPunct/>
              <w:autoSpaceDE/>
              <w:autoSpaceDN/>
              <w:adjustRightInd/>
              <w:spacing w:before="40" w:after="40"/>
              <w:ind w:left="357" w:hanging="357"/>
              <w:contextualSpacing w:val="0"/>
              <w:jc w:val="both"/>
              <w:textAlignment w:val="auto"/>
              <w:rPr>
                <w:szCs w:val="22"/>
                <w:lang w:val="ru-RU"/>
              </w:rPr>
            </w:pPr>
            <w:r w:rsidRPr="00E266A0">
              <w:rPr>
                <w:szCs w:val="22"/>
                <w:lang w:val="ru-RU"/>
              </w:rPr>
              <w:t xml:space="preserve">В сотрудничестве с Продовольственной и сельскохозяйственной организацией (ФАО) был проведен Хакатон против голода (#HackAgainstHunger), цель которого заключалась в выявлении и поддержке инновационных решений, направленных на устранение проблем в области продовольствия и сельского хозяйства. </w:t>
            </w:r>
          </w:p>
          <w:p w14:paraId="7C7332C1" w14:textId="1650EA15" w:rsidR="00F974A4" w:rsidRPr="00E266A0" w:rsidRDefault="00886AD3" w:rsidP="002D1A01">
            <w:pPr>
              <w:pStyle w:val="ListParagraph"/>
              <w:numPr>
                <w:ilvl w:val="0"/>
                <w:numId w:val="46"/>
              </w:numPr>
              <w:tabs>
                <w:tab w:val="clear" w:pos="1134"/>
                <w:tab w:val="clear" w:pos="1871"/>
                <w:tab w:val="clear" w:pos="2268"/>
              </w:tabs>
              <w:overflowPunct/>
              <w:autoSpaceDE/>
              <w:autoSpaceDN/>
              <w:adjustRightInd/>
              <w:spacing w:before="40" w:after="40"/>
              <w:ind w:left="357" w:hanging="357"/>
              <w:contextualSpacing w:val="0"/>
              <w:jc w:val="both"/>
              <w:textAlignment w:val="auto"/>
              <w:rPr>
                <w:szCs w:val="24"/>
                <w:lang w:val="ru-RU"/>
              </w:rPr>
            </w:pPr>
            <w:r w:rsidRPr="00E266A0">
              <w:rPr>
                <w:szCs w:val="22"/>
                <w:lang w:val="ru-RU"/>
              </w:rPr>
              <w:t>В партнерстве с ФАО и правительством Афганистана стране была оказана помощь в разработке национальной стратегии электронного сельского хозяйства.</w:t>
            </w:r>
          </w:p>
          <w:p w14:paraId="6A6F00F5" w14:textId="22A6D72F" w:rsidR="00F974A4" w:rsidRPr="00E266A0" w:rsidRDefault="00D15AE6" w:rsidP="002D1A01">
            <w:pPr>
              <w:keepNext/>
              <w:spacing w:after="120"/>
              <w:rPr>
                <w:szCs w:val="24"/>
                <w:lang w:val="ru-RU"/>
              </w:rPr>
            </w:pPr>
            <w:r w:rsidRPr="00E266A0">
              <w:rPr>
                <w:szCs w:val="22"/>
                <w:lang w:val="ru-RU"/>
              </w:rPr>
              <w:t>В сфере электронного обучения</w:t>
            </w:r>
          </w:p>
          <w:p w14:paraId="3F84B81B" w14:textId="261B0E50" w:rsidR="00F974A4" w:rsidRPr="00E266A0" w:rsidRDefault="00D15AE6" w:rsidP="002D1A01">
            <w:pPr>
              <w:pStyle w:val="ListParagraph"/>
              <w:numPr>
                <w:ilvl w:val="0"/>
                <w:numId w:val="46"/>
              </w:numPr>
              <w:tabs>
                <w:tab w:val="clear" w:pos="1134"/>
                <w:tab w:val="clear" w:pos="1871"/>
                <w:tab w:val="clear" w:pos="2268"/>
              </w:tabs>
              <w:overflowPunct/>
              <w:autoSpaceDE/>
              <w:autoSpaceDN/>
              <w:adjustRightInd/>
              <w:spacing w:before="40" w:after="40"/>
              <w:ind w:left="357" w:hanging="357"/>
              <w:contextualSpacing w:val="0"/>
              <w:jc w:val="both"/>
              <w:textAlignment w:val="auto"/>
              <w:rPr>
                <w:szCs w:val="24"/>
                <w:u w:val="single"/>
                <w:lang w:val="ru-RU"/>
              </w:rPr>
            </w:pPr>
            <w:r w:rsidRPr="00E266A0">
              <w:rPr>
                <w:szCs w:val="22"/>
                <w:lang w:val="ru-RU"/>
              </w:rPr>
              <w:t xml:space="preserve">МСЭ совместно с ЮНЕСКО провел Неделю мобильного обучения 2018 года, которая была посвящена стратегиям </w:t>
            </w:r>
            <w:r w:rsidR="00DA73B8" w:rsidRPr="00E266A0">
              <w:rPr>
                <w:szCs w:val="22"/>
                <w:lang w:val="ru-RU"/>
              </w:rPr>
              <w:t>предоставления</w:t>
            </w:r>
            <w:r w:rsidRPr="00E266A0">
              <w:rPr>
                <w:szCs w:val="22"/>
                <w:lang w:val="ru-RU"/>
              </w:rPr>
              <w:t xml:space="preserve"> возможностей развития цифровых навыков </w:t>
            </w:r>
            <w:r w:rsidR="00DA73B8" w:rsidRPr="00E266A0">
              <w:rPr>
                <w:szCs w:val="22"/>
                <w:lang w:val="ru-RU"/>
              </w:rPr>
              <w:t xml:space="preserve">для всех </w:t>
            </w:r>
            <w:r w:rsidRPr="00E266A0">
              <w:rPr>
                <w:szCs w:val="22"/>
                <w:lang w:val="ru-RU"/>
              </w:rPr>
              <w:t>и связанным с этим проблемам.</w:t>
            </w:r>
          </w:p>
          <w:p w14:paraId="492E1428" w14:textId="7CE69D54" w:rsidR="00D15AE6" w:rsidRPr="00E266A0" w:rsidRDefault="00D15AE6" w:rsidP="002D1A01">
            <w:pPr>
              <w:keepNext/>
              <w:spacing w:after="120"/>
              <w:rPr>
                <w:szCs w:val="22"/>
                <w:lang w:val="ru-RU"/>
              </w:rPr>
            </w:pPr>
            <w:r w:rsidRPr="00E266A0">
              <w:rPr>
                <w:szCs w:val="22"/>
                <w:lang w:val="ru-RU"/>
              </w:rPr>
              <w:t>Была начата реализация проекта "Цифровая идентичность в интересах развития", цель которого заключается в том, чтобы помочь странам, особенно странам с низким и средним уровнем дохода (СНСД), в развертывании инициатив, относящихся к цифровой идентичности, которые могут создать условия для дополнительных услуг в большинстве отраслей цифровой экономики, включая финансовые услуги, здравоохранение, сельское хозяйство, образование и т. д.</w:t>
            </w:r>
          </w:p>
          <w:p w14:paraId="15227D2E" w14:textId="724C5ADC" w:rsidR="00F974A4" w:rsidRPr="00E266A0" w:rsidRDefault="00D15AE6" w:rsidP="00415C84">
            <w:pPr>
              <w:keepNext/>
              <w:spacing w:after="120"/>
              <w:rPr>
                <w:szCs w:val="24"/>
                <w:lang w:val="ru-RU"/>
              </w:rPr>
            </w:pPr>
            <w:r w:rsidRPr="00E266A0">
              <w:rPr>
                <w:szCs w:val="22"/>
                <w:lang w:val="ru-RU"/>
              </w:rPr>
              <w:t>Были успешно проведены мероприятия на Украине (электронное здравоохранение), в Ливане (электронное здравоохранение), Нигере (электронные приложения) и</w:t>
            </w:r>
            <w:r w:rsidR="00415C84" w:rsidRPr="00E266A0">
              <w:rPr>
                <w:szCs w:val="22"/>
                <w:lang w:val="ru-RU"/>
              </w:rPr>
              <w:t> </w:t>
            </w:r>
            <w:r w:rsidRPr="00E266A0">
              <w:rPr>
                <w:szCs w:val="22"/>
                <w:lang w:val="ru-RU"/>
              </w:rPr>
              <w:t>т.</w:t>
            </w:r>
            <w:r w:rsidR="00415C84" w:rsidRPr="00E266A0">
              <w:rPr>
                <w:szCs w:val="22"/>
                <w:lang w:val="ru-RU"/>
              </w:rPr>
              <w:t> </w:t>
            </w:r>
            <w:r w:rsidRPr="00E266A0">
              <w:rPr>
                <w:szCs w:val="22"/>
                <w:lang w:val="ru-RU"/>
              </w:rPr>
              <w:t>д.</w:t>
            </w:r>
            <w:r w:rsidR="00F974A4" w:rsidRPr="00E266A0">
              <w:rPr>
                <w:szCs w:val="24"/>
                <w:lang w:val="ru-RU"/>
              </w:rPr>
              <w:t xml:space="preserve"> </w:t>
            </w:r>
          </w:p>
        </w:tc>
      </w:tr>
      <w:tr w:rsidR="00D15AE6" w:rsidRPr="00E266A0" w14:paraId="6425FE46" w14:textId="77777777" w:rsidTr="00682F01">
        <w:tc>
          <w:tcPr>
            <w:tcW w:w="2689" w:type="dxa"/>
          </w:tcPr>
          <w:p w14:paraId="2A0E4C66" w14:textId="3DD712A1" w:rsidR="00D15AE6" w:rsidRPr="00E266A0" w:rsidRDefault="00356DE4" w:rsidP="002D1A01">
            <w:pPr>
              <w:spacing w:before="40" w:after="40"/>
              <w:rPr>
                <w:i/>
                <w:iCs/>
                <w:szCs w:val="24"/>
                <w:lang w:val="ru-RU"/>
              </w:rPr>
            </w:pPr>
            <w:proofErr w:type="spellStart"/>
            <w:r>
              <w:rPr>
                <w:i/>
                <w:iCs/>
                <w:szCs w:val="22"/>
                <w:lang w:val="ru-RU"/>
              </w:rPr>
              <w:lastRenderedPageBreak/>
              <w:t>ВКРЭ</w:t>
            </w:r>
            <w:proofErr w:type="spellEnd"/>
          </w:p>
        </w:tc>
        <w:tc>
          <w:tcPr>
            <w:tcW w:w="7054" w:type="dxa"/>
          </w:tcPr>
          <w:p w14:paraId="01959FF4" w14:textId="328433E9" w:rsidR="00D15AE6" w:rsidRPr="00E266A0" w:rsidRDefault="00D15AE6" w:rsidP="002D1A01">
            <w:pPr>
              <w:spacing w:before="40" w:after="40"/>
              <w:rPr>
                <w:szCs w:val="24"/>
                <w:lang w:val="ru-RU"/>
              </w:rPr>
            </w:pPr>
            <w:r w:rsidRPr="00E266A0">
              <w:rPr>
                <w:szCs w:val="22"/>
                <w:lang w:val="ru-RU"/>
              </w:rPr>
              <w:t>Резолюции 1, 5, 30, 54</w:t>
            </w:r>
          </w:p>
        </w:tc>
      </w:tr>
      <w:tr w:rsidR="00D15AE6" w:rsidRPr="00E266A0" w14:paraId="4CEF33EB" w14:textId="77777777" w:rsidTr="00682F01">
        <w:tc>
          <w:tcPr>
            <w:tcW w:w="2689" w:type="dxa"/>
          </w:tcPr>
          <w:p w14:paraId="2098AAD6" w14:textId="635DC1B5" w:rsidR="00D15AE6" w:rsidRPr="00E266A0" w:rsidRDefault="00D15AE6" w:rsidP="002D1A01">
            <w:pPr>
              <w:spacing w:before="40" w:after="40"/>
              <w:rPr>
                <w:i/>
                <w:iCs/>
                <w:szCs w:val="24"/>
                <w:lang w:val="ru-RU"/>
              </w:rPr>
            </w:pPr>
            <w:r w:rsidRPr="00E266A0">
              <w:rPr>
                <w:i/>
                <w:iCs/>
                <w:szCs w:val="22"/>
                <w:lang w:val="ru-RU"/>
              </w:rPr>
              <w:t>Полномочная конференция</w:t>
            </w:r>
          </w:p>
        </w:tc>
        <w:tc>
          <w:tcPr>
            <w:tcW w:w="7054" w:type="dxa"/>
          </w:tcPr>
          <w:p w14:paraId="26814B4F" w14:textId="77777777" w:rsidR="00D15AE6" w:rsidRPr="00E266A0" w:rsidRDefault="00D15AE6" w:rsidP="002D1A01">
            <w:pPr>
              <w:spacing w:before="40" w:after="40"/>
              <w:rPr>
                <w:szCs w:val="22"/>
                <w:lang w:val="ru-RU"/>
              </w:rPr>
            </w:pPr>
            <w:r w:rsidRPr="00E266A0">
              <w:rPr>
                <w:szCs w:val="22"/>
                <w:lang w:val="ru-RU"/>
              </w:rPr>
              <w:t>Решения 5, 13 ПК</w:t>
            </w:r>
          </w:p>
          <w:p w14:paraId="42BFA379" w14:textId="4932E75F" w:rsidR="00D15AE6" w:rsidRPr="00E266A0" w:rsidRDefault="00D15AE6" w:rsidP="002D1A01">
            <w:pPr>
              <w:spacing w:before="40" w:after="40"/>
              <w:rPr>
                <w:szCs w:val="24"/>
                <w:lang w:val="ru-RU"/>
              </w:rPr>
            </w:pPr>
            <w:r w:rsidRPr="00E266A0">
              <w:rPr>
                <w:szCs w:val="22"/>
                <w:lang w:val="ru-RU"/>
              </w:rPr>
              <w:t>Резолюции 25, 71, 72, 139, 140, 183, 202 ПК</w:t>
            </w:r>
          </w:p>
        </w:tc>
      </w:tr>
      <w:tr w:rsidR="00D15AE6" w:rsidRPr="005C1BAD" w14:paraId="56254CA0" w14:textId="77777777" w:rsidTr="00682F01">
        <w:tc>
          <w:tcPr>
            <w:tcW w:w="2689" w:type="dxa"/>
          </w:tcPr>
          <w:p w14:paraId="0FA7ABD8" w14:textId="5FA66C24" w:rsidR="00D15AE6" w:rsidRPr="00E266A0" w:rsidRDefault="00D15AE6" w:rsidP="002D1A01">
            <w:pPr>
              <w:spacing w:before="40" w:after="40"/>
              <w:rPr>
                <w:i/>
                <w:iCs/>
                <w:szCs w:val="24"/>
                <w:lang w:val="ru-RU"/>
              </w:rPr>
            </w:pPr>
            <w:r w:rsidRPr="00E266A0">
              <w:rPr>
                <w:i/>
                <w:iCs/>
                <w:szCs w:val="22"/>
                <w:lang w:val="ru-RU"/>
              </w:rPr>
              <w:t>Направления деятельности ВВУИО</w:t>
            </w:r>
          </w:p>
        </w:tc>
        <w:tc>
          <w:tcPr>
            <w:tcW w:w="7054" w:type="dxa"/>
          </w:tcPr>
          <w:p w14:paraId="2E783F68" w14:textId="350EB124" w:rsidR="00D15AE6" w:rsidRPr="00E266A0" w:rsidRDefault="00D15AE6" w:rsidP="002D1A01">
            <w:pPr>
              <w:spacing w:before="40" w:after="40"/>
              <w:rPr>
                <w:szCs w:val="24"/>
                <w:lang w:val="ru-RU"/>
              </w:rPr>
            </w:pPr>
            <w:r w:rsidRPr="00E266A0">
              <w:rPr>
                <w:szCs w:val="22"/>
                <w:lang w:val="ru-RU"/>
              </w:rPr>
              <w:t>Направление деятельности C7 Женевского плана действий ВВУИО</w:t>
            </w:r>
          </w:p>
        </w:tc>
      </w:tr>
      <w:tr w:rsidR="00D15AE6" w:rsidRPr="005C1BAD" w14:paraId="32A8008F" w14:textId="77777777" w:rsidTr="00682F01">
        <w:tc>
          <w:tcPr>
            <w:tcW w:w="2689" w:type="dxa"/>
          </w:tcPr>
          <w:p w14:paraId="6FF979C7" w14:textId="3748BBE3" w:rsidR="00D15AE6" w:rsidRPr="00E266A0" w:rsidRDefault="00D15AE6" w:rsidP="002D1A01">
            <w:pPr>
              <w:spacing w:before="40" w:after="40"/>
              <w:rPr>
                <w:i/>
                <w:iCs/>
                <w:szCs w:val="24"/>
                <w:lang w:val="ru-RU"/>
              </w:rPr>
            </w:pPr>
            <w:r w:rsidRPr="00E266A0">
              <w:rPr>
                <w:i/>
                <w:iCs/>
                <w:szCs w:val="22"/>
                <w:lang w:val="ru-RU"/>
              </w:rPr>
              <w:t>Вклад в выполнение задач ЦУР</w:t>
            </w:r>
          </w:p>
        </w:tc>
        <w:tc>
          <w:tcPr>
            <w:tcW w:w="7054" w:type="dxa"/>
          </w:tcPr>
          <w:p w14:paraId="50C1B776" w14:textId="7EF27590" w:rsidR="00D15AE6" w:rsidRPr="00E266A0" w:rsidRDefault="00D15AE6" w:rsidP="00356DE4">
            <w:pPr>
              <w:spacing w:before="40" w:after="40"/>
              <w:rPr>
                <w:szCs w:val="24"/>
                <w:lang w:val="ru-RU"/>
              </w:rPr>
            </w:pPr>
            <w:r w:rsidRPr="00E266A0">
              <w:rPr>
                <w:szCs w:val="22"/>
                <w:lang w:val="ru-RU"/>
              </w:rPr>
              <w:t>ЦУР 2, 3, 4 (задачи 4.1, 4.2, 4.3, 4.4, 4.5, 4.6, 4.7), 6, 7, 8 (задачи 8.1, 8.3, 8.8), 9 (задачи 9.1, 9.b), 11</w:t>
            </w:r>
          </w:p>
        </w:tc>
      </w:tr>
    </w:tbl>
    <w:p w14:paraId="722A4DDB" w14:textId="106CFA72" w:rsidR="00F974A4" w:rsidRPr="00E266A0" w:rsidRDefault="00F974A4" w:rsidP="00612977">
      <w:pPr>
        <w:keepNext/>
        <w:spacing w:after="120"/>
        <w:ind w:left="357" w:hanging="357"/>
        <w:rPr>
          <w:b/>
          <w:bCs/>
          <w:szCs w:val="24"/>
          <w:lang w:val="ru-RU"/>
        </w:rPr>
      </w:pPr>
      <w:r w:rsidRPr="00E266A0">
        <w:rPr>
          <w:b/>
          <w:bCs/>
          <w:szCs w:val="24"/>
          <w:lang w:val="ru-RU"/>
        </w:rPr>
        <w:t>4</w:t>
      </w:r>
      <w:r w:rsidRPr="00E266A0">
        <w:rPr>
          <w:b/>
          <w:bCs/>
          <w:szCs w:val="24"/>
          <w:lang w:val="ru-RU"/>
        </w:rPr>
        <w:tab/>
      </w:r>
      <w:r w:rsidR="000D022C" w:rsidRPr="00E266A0">
        <w:rPr>
          <w:b/>
          <w:lang w:val="ru-RU"/>
        </w:rPr>
        <w:t>Задача 4. 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p w14:paraId="5BF9B794" w14:textId="6FDB4123" w:rsidR="00F974A4" w:rsidRPr="00E266A0" w:rsidRDefault="00F974A4" w:rsidP="00612977">
      <w:pPr>
        <w:keepNext/>
        <w:spacing w:after="120"/>
        <w:ind w:left="357" w:hanging="357"/>
        <w:rPr>
          <w:b/>
          <w:bCs/>
          <w:szCs w:val="24"/>
          <w:lang w:val="ru-RU"/>
        </w:rPr>
      </w:pPr>
      <w:r w:rsidRPr="00E266A0">
        <w:rPr>
          <w:b/>
          <w:bCs/>
          <w:szCs w:val="24"/>
          <w:lang w:val="ru-RU"/>
        </w:rPr>
        <w:t>4.1</w:t>
      </w:r>
      <w:r w:rsidRPr="00E266A0">
        <w:rPr>
          <w:b/>
          <w:bCs/>
          <w:szCs w:val="24"/>
          <w:lang w:val="ru-RU"/>
        </w:rPr>
        <w:tab/>
      </w:r>
      <w:r w:rsidR="004D0055" w:rsidRPr="00E266A0">
        <w:rPr>
          <w:b/>
          <w:lang w:val="ru-RU"/>
        </w:rPr>
        <w:t>Создание потенциала</w:t>
      </w:r>
    </w:p>
    <w:tbl>
      <w:tblPr>
        <w:tblStyle w:val="TableGrid"/>
        <w:tblW w:w="0" w:type="auto"/>
        <w:tblLayout w:type="fixed"/>
        <w:tblLook w:val="04A0" w:firstRow="1" w:lastRow="0" w:firstColumn="1" w:lastColumn="0" w:noHBand="0" w:noVBand="1"/>
      </w:tblPr>
      <w:tblGrid>
        <w:gridCol w:w="2689"/>
        <w:gridCol w:w="7054"/>
      </w:tblGrid>
      <w:tr w:rsidR="00F974A4" w:rsidRPr="005C1BAD" w14:paraId="6AD96FB9" w14:textId="77777777" w:rsidTr="00682F01">
        <w:tc>
          <w:tcPr>
            <w:tcW w:w="9743" w:type="dxa"/>
            <w:gridSpan w:val="2"/>
          </w:tcPr>
          <w:p w14:paraId="78D4BFAA" w14:textId="197096A0" w:rsidR="00360EE5" w:rsidRPr="00E266A0" w:rsidRDefault="00360EE5" w:rsidP="004B5584">
            <w:pPr>
              <w:spacing w:before="60"/>
              <w:rPr>
                <w:szCs w:val="22"/>
                <w:lang w:val="ru-RU"/>
              </w:rPr>
            </w:pPr>
            <w:r w:rsidRPr="00E266A0">
              <w:rPr>
                <w:szCs w:val="22"/>
                <w:lang w:val="ru-RU"/>
              </w:rPr>
              <w:t xml:space="preserve">В 2018 году БРЭ </w:t>
            </w:r>
            <w:r w:rsidR="00415C84" w:rsidRPr="00E266A0">
              <w:rPr>
                <w:szCs w:val="22"/>
                <w:lang w:val="ru-RU"/>
              </w:rPr>
              <w:t>провело</w:t>
            </w:r>
            <w:r w:rsidRPr="00E266A0">
              <w:rPr>
                <w:szCs w:val="22"/>
                <w:lang w:val="ru-RU"/>
              </w:rPr>
              <w:t xml:space="preserve"> ряд </w:t>
            </w:r>
            <w:r w:rsidR="00415C84" w:rsidRPr="00E266A0">
              <w:rPr>
                <w:szCs w:val="22"/>
                <w:lang w:val="ru-RU"/>
              </w:rPr>
              <w:t>мероприятий</w:t>
            </w:r>
            <w:r w:rsidRPr="00E266A0">
              <w:rPr>
                <w:szCs w:val="22"/>
                <w:lang w:val="ru-RU"/>
              </w:rPr>
              <w:t xml:space="preserve"> по созданию потенциала, которые способствовали совершенствованию повышения квалификации специалистов и расширению познаний Членов МСЭ в области электросвязи/ИКТ.</w:t>
            </w:r>
          </w:p>
          <w:p w14:paraId="47BCB2D7" w14:textId="3FD0992B" w:rsidR="00F974A4" w:rsidRPr="00E266A0" w:rsidRDefault="00360EE5" w:rsidP="004B5584">
            <w:pPr>
              <w:spacing w:before="60"/>
              <w:rPr>
                <w:szCs w:val="24"/>
                <w:lang w:val="ru-RU"/>
              </w:rPr>
            </w:pPr>
            <w:r w:rsidRPr="00E266A0">
              <w:rPr>
                <w:b/>
                <w:bCs/>
                <w:szCs w:val="22"/>
                <w:lang w:val="ru-RU"/>
              </w:rPr>
              <w:t>Организация профессиональной подготовки и установление партнерских отношений</w:t>
            </w:r>
            <w:r w:rsidR="00356DE4">
              <w:rPr>
                <w:b/>
                <w:bCs/>
                <w:szCs w:val="22"/>
                <w:lang w:val="ru-RU"/>
              </w:rPr>
              <w:t>.</w:t>
            </w:r>
            <w:r w:rsidRPr="00E266A0">
              <w:rPr>
                <w:b/>
                <w:bCs/>
                <w:szCs w:val="22"/>
                <w:lang w:val="ru-RU"/>
              </w:rPr>
              <w:t xml:space="preserve"> </w:t>
            </w:r>
            <w:r w:rsidRPr="00E266A0">
              <w:rPr>
                <w:szCs w:val="22"/>
                <w:lang w:val="ru-RU"/>
              </w:rPr>
              <w:t xml:space="preserve">Мероприятия по созданию потенциала проводятся в тесном сотрудничестве с партнерами, в том числе с центрами профессионального мастерства (ЦПМ), частным сектором, академическими организациями и другими учреждениями профессиональной подготовки. В качестве основного канала </w:t>
            </w:r>
            <w:r w:rsidR="005A7670" w:rsidRPr="00E266A0">
              <w:rPr>
                <w:szCs w:val="22"/>
                <w:lang w:val="ru-RU"/>
              </w:rPr>
              <w:t>проведения</w:t>
            </w:r>
            <w:r w:rsidRPr="00E266A0">
              <w:rPr>
                <w:szCs w:val="22"/>
                <w:lang w:val="ru-RU"/>
              </w:rPr>
              <w:t xml:space="preserve"> мероприятий МСЭ в области профессиональной подготовки служит</w:t>
            </w:r>
            <w:r w:rsidRPr="00E266A0">
              <w:rPr>
                <w:lang w:val="ru-RU"/>
              </w:rPr>
              <w:t xml:space="preserve"> </w:t>
            </w:r>
            <w:r w:rsidRPr="00E266A0">
              <w:rPr>
                <w:szCs w:val="22"/>
                <w:lang w:val="ru-RU"/>
              </w:rPr>
              <w:t xml:space="preserve">платформа </w:t>
            </w:r>
            <w:hyperlink r:id="rId20" w:history="1">
              <w:r w:rsidRPr="00E266A0">
                <w:rPr>
                  <w:rStyle w:val="Hyperlink"/>
                  <w:szCs w:val="22"/>
                  <w:lang w:val="ru-RU"/>
                </w:rPr>
                <w:t>Академии МСЭ</w:t>
              </w:r>
            </w:hyperlink>
            <w:r w:rsidRPr="00E266A0">
              <w:rPr>
                <w:szCs w:val="22"/>
                <w:lang w:val="ru-RU"/>
              </w:rPr>
              <w:t>.</w:t>
            </w:r>
            <w:r w:rsidR="00F974A4" w:rsidRPr="00E266A0">
              <w:rPr>
                <w:szCs w:val="24"/>
                <w:lang w:val="ru-RU"/>
              </w:rPr>
              <w:t xml:space="preserve"> </w:t>
            </w:r>
          </w:p>
          <w:p w14:paraId="7519557E" w14:textId="45524D25" w:rsidR="00360EE5" w:rsidRPr="00E266A0" w:rsidRDefault="00360EE5" w:rsidP="004B5584">
            <w:pPr>
              <w:spacing w:before="60"/>
              <w:rPr>
                <w:szCs w:val="22"/>
                <w:lang w:val="ru-RU"/>
              </w:rPr>
            </w:pPr>
            <w:r w:rsidRPr="00E266A0">
              <w:rPr>
                <w:szCs w:val="22"/>
                <w:lang w:val="ru-RU"/>
              </w:rPr>
              <w:t xml:space="preserve">В 2018 году профессиональную подготовку прошли около 1840 участников в рамках 55 курсов, проведенных сетью ЦПМ. Кроме того, в сотрудничестве с другими партнерами в 2018 году было проведено 37 мероприятий в области профессиональной подготовки и </w:t>
            </w:r>
            <w:r w:rsidR="005A7670" w:rsidRPr="00E266A0">
              <w:rPr>
                <w:szCs w:val="22"/>
                <w:lang w:val="ru-RU"/>
              </w:rPr>
              <w:t>создания потенциала</w:t>
            </w:r>
            <w:r w:rsidRPr="00E266A0">
              <w:rPr>
                <w:szCs w:val="22"/>
                <w:lang w:val="ru-RU"/>
              </w:rPr>
              <w:t xml:space="preserve">, в которых приняли участие 1883 человека, в том числе 17 мероприятий на региональном уровне. Мероприятия в области </w:t>
            </w:r>
            <w:r w:rsidR="005A7670" w:rsidRPr="00E266A0">
              <w:rPr>
                <w:szCs w:val="22"/>
                <w:lang w:val="ru-RU"/>
              </w:rPr>
              <w:t>создания потенциала</w:t>
            </w:r>
            <w:r w:rsidRPr="00E266A0">
              <w:rPr>
                <w:szCs w:val="22"/>
                <w:lang w:val="ru-RU"/>
              </w:rPr>
              <w:t xml:space="preserve"> охватывали следующие основные области: политик</w:t>
            </w:r>
            <w:r w:rsidR="002C314D">
              <w:rPr>
                <w:szCs w:val="22"/>
                <w:lang w:val="ru-RU"/>
              </w:rPr>
              <w:t>у</w:t>
            </w:r>
            <w:r w:rsidRPr="00E266A0">
              <w:rPr>
                <w:szCs w:val="22"/>
                <w:lang w:val="ru-RU"/>
              </w:rPr>
              <w:t xml:space="preserve"> и</w:t>
            </w:r>
            <w:r w:rsidR="005A7670" w:rsidRPr="00E266A0">
              <w:rPr>
                <w:szCs w:val="22"/>
                <w:lang w:val="ru-RU"/>
              </w:rPr>
              <w:t> </w:t>
            </w:r>
            <w:r w:rsidRPr="00E266A0">
              <w:rPr>
                <w:szCs w:val="22"/>
                <w:lang w:val="ru-RU"/>
              </w:rPr>
              <w:t xml:space="preserve">регулирование, широкополосный доступ, кибербезопасность, приложения и услуги ИКТ, </w:t>
            </w:r>
            <w:r w:rsidRPr="00E266A0">
              <w:rPr>
                <w:szCs w:val="22"/>
                <w:lang w:val="ru-RU"/>
              </w:rPr>
              <w:lastRenderedPageBreak/>
              <w:t>управление использованием спектра, управление использованием интернета, инновации, цифровое радиовещание, соответствие и функциональн</w:t>
            </w:r>
            <w:r w:rsidR="00356DE4">
              <w:rPr>
                <w:szCs w:val="22"/>
                <w:lang w:val="ru-RU"/>
              </w:rPr>
              <w:t>ую</w:t>
            </w:r>
            <w:r w:rsidRPr="00E266A0">
              <w:rPr>
                <w:szCs w:val="22"/>
                <w:lang w:val="ru-RU"/>
              </w:rPr>
              <w:t xml:space="preserve"> совместимость, облачные вычисления, качество обслуживания и доступность ИКТ.</w:t>
            </w:r>
          </w:p>
          <w:p w14:paraId="67F1CA18" w14:textId="4D7B5601" w:rsidR="00360EE5" w:rsidRPr="00E266A0" w:rsidRDefault="00360EE5" w:rsidP="004B5584">
            <w:pPr>
              <w:spacing w:before="60"/>
              <w:rPr>
                <w:szCs w:val="22"/>
                <w:lang w:val="ru-RU"/>
              </w:rPr>
            </w:pPr>
            <w:r w:rsidRPr="00E266A0">
              <w:rPr>
                <w:szCs w:val="22"/>
                <w:lang w:val="ru-RU"/>
              </w:rPr>
              <w:t>МСЭ продолж</w:t>
            </w:r>
            <w:r w:rsidR="005A7670" w:rsidRPr="00E266A0">
              <w:rPr>
                <w:szCs w:val="22"/>
                <w:lang w:val="ru-RU"/>
              </w:rPr>
              <w:t>и</w:t>
            </w:r>
            <w:r w:rsidRPr="00E266A0">
              <w:rPr>
                <w:szCs w:val="22"/>
                <w:lang w:val="ru-RU"/>
              </w:rPr>
              <w:t xml:space="preserve">л </w:t>
            </w:r>
            <w:r w:rsidR="005A7670" w:rsidRPr="00E266A0">
              <w:rPr>
                <w:szCs w:val="22"/>
                <w:lang w:val="ru-RU"/>
              </w:rPr>
              <w:t>проведение курсов</w:t>
            </w:r>
            <w:r w:rsidRPr="00E266A0">
              <w:rPr>
                <w:szCs w:val="22"/>
                <w:lang w:val="ru-RU"/>
              </w:rPr>
              <w:t xml:space="preserve"> профессиональной подготовки для развивающихся стран в сотрудничестве со своими партнерами, такими как Африканский высший институт электросвязи (AFRALTI), Международная организация спутниковой связи (ITSO), компания Rohde and Schwarz и Международный центр теоретической физики (ICTP) в Италии. В прошлом году эти мероприятия в</w:t>
            </w:r>
            <w:r w:rsidR="00863FB2" w:rsidRPr="00E266A0">
              <w:rPr>
                <w:szCs w:val="22"/>
                <w:lang w:val="ru-RU"/>
              </w:rPr>
              <w:t> </w:t>
            </w:r>
            <w:r w:rsidRPr="00E266A0">
              <w:rPr>
                <w:szCs w:val="22"/>
                <w:lang w:val="ru-RU"/>
              </w:rPr>
              <w:t xml:space="preserve">области профессиональной подготовки были </w:t>
            </w:r>
            <w:r w:rsidR="005A7670" w:rsidRPr="00E266A0">
              <w:rPr>
                <w:szCs w:val="22"/>
                <w:lang w:val="ru-RU"/>
              </w:rPr>
              <w:t>посвящены таким областям</w:t>
            </w:r>
            <w:r w:rsidRPr="00E266A0">
              <w:rPr>
                <w:szCs w:val="22"/>
                <w:lang w:val="ru-RU"/>
              </w:rPr>
              <w:t xml:space="preserve">, как спутниковая связь, контроль за использованием спектра и управление использованием спектра, а также интернет вещей. В партнерстве с Академией электросвязи Соединенного Королевства (UKTA) МСЭ продолжал реализацию на базе Академии МСЭ онлайновой программы обучения для получения степени магистра в сфере управления связью. </w:t>
            </w:r>
          </w:p>
          <w:p w14:paraId="686BCEDA" w14:textId="69AC7ED6" w:rsidR="00F974A4" w:rsidRPr="00E266A0" w:rsidRDefault="00360EE5" w:rsidP="004B5584">
            <w:pPr>
              <w:keepNext/>
              <w:keepLines/>
              <w:spacing w:before="60"/>
              <w:rPr>
                <w:szCs w:val="22"/>
                <w:lang w:val="ru-RU"/>
              </w:rPr>
            </w:pPr>
            <w:r w:rsidRPr="00E266A0">
              <w:rPr>
                <w:szCs w:val="22"/>
                <w:lang w:val="ru-RU"/>
              </w:rPr>
              <w:t xml:space="preserve">Были заключены новые партнерские соглашения с компанией Wayfindr </w:t>
            </w:r>
            <w:r w:rsidR="00E004A8">
              <w:rPr>
                <w:szCs w:val="22"/>
                <w:lang w:val="ru-RU"/>
              </w:rPr>
              <w:t>в целях</w:t>
            </w:r>
            <w:r w:rsidRPr="00E266A0">
              <w:rPr>
                <w:szCs w:val="22"/>
                <w:lang w:val="ru-RU"/>
              </w:rPr>
              <w:t xml:space="preserve"> </w:t>
            </w:r>
            <w:r w:rsidR="005A7670" w:rsidRPr="00E266A0">
              <w:rPr>
                <w:szCs w:val="22"/>
                <w:lang w:val="ru-RU"/>
              </w:rPr>
              <w:t>проведения</w:t>
            </w:r>
            <w:r w:rsidRPr="00E266A0">
              <w:rPr>
                <w:szCs w:val="22"/>
                <w:lang w:val="ru-RU"/>
              </w:rPr>
              <w:t xml:space="preserve"> профессиональной подготовки в области проектирования аудиоориентированных систем навигации для людей с нарушениями зрения, а также с четырьмя партнерами в Латинской Америке </w:t>
            </w:r>
            <w:r w:rsidR="005A7670" w:rsidRPr="00E266A0">
              <w:rPr>
                <w:szCs w:val="22"/>
                <w:lang w:val="ru-RU"/>
              </w:rPr>
              <w:t>в целях</w:t>
            </w:r>
            <w:r w:rsidRPr="00E266A0">
              <w:rPr>
                <w:szCs w:val="22"/>
                <w:lang w:val="ru-RU"/>
              </w:rPr>
              <w:t xml:space="preserve"> реализации </w:t>
            </w:r>
            <w:r w:rsidR="005A7670" w:rsidRPr="00E266A0">
              <w:rPr>
                <w:szCs w:val="22"/>
                <w:lang w:val="ru-RU"/>
              </w:rPr>
              <w:t xml:space="preserve">стратегической </w:t>
            </w:r>
            <w:r w:rsidRPr="00E266A0">
              <w:rPr>
                <w:szCs w:val="22"/>
                <w:lang w:val="ru-RU"/>
              </w:rPr>
              <w:t>программы в области стратегического управления электросвязью.</w:t>
            </w:r>
          </w:p>
          <w:p w14:paraId="7063F1F8" w14:textId="7D12A186" w:rsidR="002D1A01" w:rsidRPr="00E266A0" w:rsidRDefault="002D1A01" w:rsidP="004B5584">
            <w:pPr>
              <w:spacing w:after="120"/>
              <w:rPr>
                <w:szCs w:val="22"/>
                <w:lang w:val="ru-RU"/>
              </w:rPr>
            </w:pPr>
            <w:r w:rsidRPr="00E266A0">
              <w:rPr>
                <w:b/>
                <w:bCs/>
                <w:szCs w:val="22"/>
                <w:lang w:val="ru-RU"/>
              </w:rPr>
              <w:t>Разработка курсов профессиональной подготовки</w:t>
            </w:r>
            <w:r w:rsidR="005A7670" w:rsidRPr="00E266A0">
              <w:rPr>
                <w:b/>
                <w:szCs w:val="22"/>
                <w:lang w:val="ru-RU"/>
              </w:rPr>
              <w:t>.</w:t>
            </w:r>
            <w:r w:rsidRPr="00E266A0">
              <w:rPr>
                <w:szCs w:val="22"/>
                <w:lang w:val="ru-RU"/>
              </w:rPr>
              <w:t xml:space="preserve"> В рамках Академии МСЭ БРЭ разработало высококачественные комплексные учебные программы. В 2018 году были обновлены, доработаны или начаты </w:t>
            </w:r>
            <w:r w:rsidR="005A7670" w:rsidRPr="00E266A0">
              <w:rPr>
                <w:szCs w:val="22"/>
                <w:lang w:val="ru-RU"/>
              </w:rPr>
              <w:t xml:space="preserve">учебные </w:t>
            </w:r>
            <w:r w:rsidRPr="00E266A0">
              <w:rPr>
                <w:szCs w:val="22"/>
                <w:lang w:val="ru-RU"/>
              </w:rPr>
              <w:t xml:space="preserve">программы по следующим темам: управление использованием спектра, качество обслуживания, ИКТ и изменение климата и интернет вещей (IoT). В апреле 2018 года Центральное агентство по оценке и аккредитации (ZEvA), являющееся членом Европейской ассоциации гарантии качества </w:t>
            </w:r>
            <w:r w:rsidR="005A7670" w:rsidRPr="00E266A0">
              <w:rPr>
                <w:szCs w:val="22"/>
                <w:lang w:val="ru-RU"/>
              </w:rPr>
              <w:t>высшего образования</w:t>
            </w:r>
            <w:r w:rsidRPr="00E266A0">
              <w:rPr>
                <w:szCs w:val="22"/>
                <w:lang w:val="ru-RU"/>
              </w:rPr>
              <w:t xml:space="preserve">, удостоило Программу профессиональной подготовки МСЭ </w:t>
            </w:r>
            <w:r w:rsidR="005A7670" w:rsidRPr="00E266A0">
              <w:rPr>
                <w:szCs w:val="22"/>
                <w:lang w:val="ru-RU"/>
              </w:rPr>
              <w:t>по вопросам</w:t>
            </w:r>
            <w:r w:rsidRPr="00E266A0">
              <w:rPr>
                <w:szCs w:val="22"/>
                <w:lang w:val="ru-RU"/>
              </w:rPr>
              <w:t xml:space="preserve"> управления использованием спектра (SMTP) знака качества высшего образования и признания модулей SMTP в качестве эквивалента модулей обучения магистерской ступени. Благодаря этому SMTP может быть увязан</w:t>
            </w:r>
            <w:r w:rsidR="002C314D">
              <w:rPr>
                <w:szCs w:val="22"/>
                <w:lang w:val="ru-RU"/>
              </w:rPr>
              <w:t>а</w:t>
            </w:r>
            <w:r w:rsidRPr="00E266A0">
              <w:rPr>
                <w:szCs w:val="22"/>
                <w:lang w:val="ru-RU"/>
              </w:rPr>
              <w:t xml:space="preserve"> с магистерскими программами на международном уровне, что облегчает использование этой программы университетами.</w:t>
            </w:r>
          </w:p>
          <w:p w14:paraId="02E7D03F" w14:textId="1B079615" w:rsidR="00F974A4" w:rsidRPr="00E266A0" w:rsidRDefault="002D1A01" w:rsidP="002D1A01">
            <w:pPr>
              <w:spacing w:after="120"/>
              <w:rPr>
                <w:szCs w:val="24"/>
                <w:lang w:val="ru-RU"/>
              </w:rPr>
            </w:pPr>
            <w:r w:rsidRPr="00E266A0">
              <w:rPr>
                <w:b/>
                <w:bCs/>
                <w:szCs w:val="22"/>
                <w:lang w:val="ru-RU"/>
              </w:rPr>
              <w:t>Глобальный симпозиум МСЭ по созданию потенциала в области ИКТ</w:t>
            </w:r>
            <w:r w:rsidR="005A7670" w:rsidRPr="00E266A0">
              <w:rPr>
                <w:b/>
                <w:szCs w:val="22"/>
                <w:lang w:val="ru-RU"/>
              </w:rPr>
              <w:t>.</w:t>
            </w:r>
            <w:r w:rsidR="005A7670" w:rsidRPr="00E266A0">
              <w:rPr>
                <w:szCs w:val="22"/>
                <w:lang w:val="ru-RU"/>
              </w:rPr>
              <w:t xml:space="preserve"> </w:t>
            </w:r>
            <w:hyperlink r:id="rId21" w:history="1">
              <w:r w:rsidRPr="00E266A0">
                <w:rPr>
                  <w:rStyle w:val="Hyperlink"/>
                  <w:szCs w:val="22"/>
                  <w:lang w:val="ru-RU"/>
                </w:rPr>
                <w:t>Глобальный симпозиум МСЭ по созданию потенциала в области ИКТ (ССП)</w:t>
              </w:r>
            </w:hyperlink>
            <w:r w:rsidRPr="00E266A0">
              <w:rPr>
                <w:szCs w:val="22"/>
                <w:lang w:val="ru-RU"/>
              </w:rPr>
              <w:t xml:space="preserve"> </w:t>
            </w:r>
            <w:r w:rsidR="005A7670" w:rsidRPr="00E266A0">
              <w:rPr>
                <w:szCs w:val="22"/>
                <w:lang w:val="ru-RU"/>
              </w:rPr>
              <w:t xml:space="preserve">2018 года </w:t>
            </w:r>
            <w:r w:rsidRPr="00E266A0">
              <w:rPr>
                <w:szCs w:val="22"/>
                <w:lang w:val="ru-RU"/>
              </w:rPr>
              <w:t>прошел 18–20 июня 2018</w:t>
            </w:r>
            <w:r w:rsidR="004B5584" w:rsidRPr="00E266A0">
              <w:rPr>
                <w:szCs w:val="22"/>
                <w:lang w:val="ru-RU"/>
              </w:rPr>
              <w:t> </w:t>
            </w:r>
            <w:r w:rsidRPr="00E266A0">
              <w:rPr>
                <w:szCs w:val="22"/>
                <w:lang w:val="ru-RU"/>
              </w:rPr>
              <w:t>года в</w:t>
            </w:r>
            <w:r w:rsidR="005A7670" w:rsidRPr="00E266A0">
              <w:rPr>
                <w:szCs w:val="22"/>
                <w:lang w:val="ru-RU"/>
              </w:rPr>
              <w:t> </w:t>
            </w:r>
            <w:r w:rsidRPr="00E266A0">
              <w:rPr>
                <w:szCs w:val="22"/>
                <w:lang w:val="ru-RU"/>
              </w:rPr>
              <w:t>Санто</w:t>
            </w:r>
            <w:r w:rsidR="005A7670" w:rsidRPr="00E266A0">
              <w:rPr>
                <w:szCs w:val="22"/>
                <w:lang w:val="ru-RU"/>
              </w:rPr>
              <w:noBreakHyphen/>
            </w:r>
            <w:r w:rsidRPr="00E266A0">
              <w:rPr>
                <w:szCs w:val="22"/>
                <w:lang w:val="ru-RU"/>
              </w:rPr>
              <w:t>Доминго, Доминиканская Республика, и был посвящен теме "Развитие навыков для цифровой экономики и цифрового общества". Симпозиум является главным глобальным мероприятием в сфере развития потенциала в области ИКТ. В симпозиуме приняли участие 331</w:t>
            </w:r>
            <w:r w:rsidR="004B5584" w:rsidRPr="00E266A0">
              <w:rPr>
                <w:szCs w:val="22"/>
                <w:lang w:val="ru-RU"/>
              </w:rPr>
              <w:t> </w:t>
            </w:r>
            <w:r w:rsidRPr="00E266A0">
              <w:rPr>
                <w:szCs w:val="22"/>
                <w:lang w:val="ru-RU"/>
              </w:rPr>
              <w:t>представитель из 36</w:t>
            </w:r>
            <w:r w:rsidR="004B5584" w:rsidRPr="00E266A0">
              <w:rPr>
                <w:szCs w:val="22"/>
                <w:lang w:val="ru-RU"/>
              </w:rPr>
              <w:t> </w:t>
            </w:r>
            <w:r w:rsidRPr="00E266A0">
              <w:rPr>
                <w:szCs w:val="22"/>
                <w:lang w:val="ru-RU"/>
              </w:rPr>
              <w:t xml:space="preserve">стран. Результаты симпозиума обеспечивают для национального и международного сообщества </w:t>
            </w:r>
            <w:r w:rsidR="005A7670" w:rsidRPr="00E266A0">
              <w:rPr>
                <w:szCs w:val="22"/>
                <w:lang w:val="ru-RU"/>
              </w:rPr>
              <w:t>стратегическое руководство в вопросах</w:t>
            </w:r>
            <w:r w:rsidRPr="00E266A0">
              <w:rPr>
                <w:szCs w:val="22"/>
                <w:lang w:val="ru-RU"/>
              </w:rPr>
              <w:t xml:space="preserve"> развития навыков в области ИКТ и цифровых технологий. Кроме того, симпозиум способствовал укреплению сотрудничества между МСЭ, государственным и</w:t>
            </w:r>
            <w:r w:rsidR="004B5584" w:rsidRPr="00E266A0">
              <w:rPr>
                <w:szCs w:val="22"/>
                <w:lang w:val="ru-RU"/>
              </w:rPr>
              <w:t> </w:t>
            </w:r>
            <w:r w:rsidRPr="00E266A0">
              <w:rPr>
                <w:szCs w:val="22"/>
                <w:lang w:val="ru-RU"/>
              </w:rPr>
              <w:t>частным секторами, деловыми кругами и научным сообществом в</w:t>
            </w:r>
            <w:r w:rsidR="005A7670" w:rsidRPr="00E266A0">
              <w:rPr>
                <w:szCs w:val="22"/>
                <w:lang w:val="ru-RU"/>
              </w:rPr>
              <w:t> </w:t>
            </w:r>
            <w:r w:rsidRPr="00E266A0">
              <w:rPr>
                <w:szCs w:val="22"/>
                <w:lang w:val="ru-RU"/>
              </w:rPr>
              <w:t>развитии потенциала, необходимого для цифрового будущего.</w:t>
            </w:r>
          </w:p>
          <w:p w14:paraId="5CF10603" w14:textId="77777777" w:rsidR="002D1A01" w:rsidRPr="00E266A0" w:rsidRDefault="002D1A01" w:rsidP="004B5584">
            <w:pPr>
              <w:spacing w:after="120"/>
              <w:rPr>
                <w:b/>
                <w:bCs/>
                <w:szCs w:val="22"/>
                <w:lang w:val="ru-RU"/>
              </w:rPr>
            </w:pPr>
            <w:r w:rsidRPr="00E266A0">
              <w:rPr>
                <w:b/>
                <w:bCs/>
                <w:szCs w:val="22"/>
                <w:lang w:val="ru-RU"/>
              </w:rPr>
              <w:t>Создание потенциала в условиях изменяющейся среды ИКТ</w:t>
            </w:r>
          </w:p>
          <w:p w14:paraId="57AB89FC" w14:textId="0BFE8330" w:rsidR="00F974A4" w:rsidRPr="00E266A0" w:rsidRDefault="002D1A01" w:rsidP="00E004A8">
            <w:pPr>
              <w:spacing w:after="120"/>
              <w:rPr>
                <w:szCs w:val="24"/>
                <w:lang w:val="ru-RU"/>
              </w:rPr>
            </w:pPr>
            <w:r w:rsidRPr="00E266A0">
              <w:rPr>
                <w:szCs w:val="22"/>
                <w:lang w:val="ru-RU"/>
              </w:rPr>
              <w:t>Публикация под названием "Создание потенциала в условиях изменяющейся среды ИКТ</w:t>
            </w:r>
            <w:r w:rsidR="005A7670" w:rsidRPr="00E266A0">
              <w:rPr>
                <w:szCs w:val="22"/>
                <w:lang w:val="ru-RU"/>
              </w:rPr>
              <w:t>, 2018 год</w:t>
            </w:r>
            <w:r w:rsidRPr="00E266A0">
              <w:rPr>
                <w:szCs w:val="22"/>
                <w:lang w:val="ru-RU"/>
              </w:rPr>
              <w:t xml:space="preserve">" вышла в свет в 2018 году. Во </w:t>
            </w:r>
            <w:hyperlink r:id="rId22" w:history="1">
              <w:r w:rsidRPr="00E266A0">
                <w:rPr>
                  <w:rStyle w:val="Hyperlink"/>
                  <w:szCs w:val="22"/>
                  <w:lang w:val="ru-RU"/>
                </w:rPr>
                <w:t>втором выпуске</w:t>
              </w:r>
            </w:hyperlink>
            <w:r w:rsidRPr="00E266A0">
              <w:rPr>
                <w:szCs w:val="22"/>
                <w:lang w:val="ru-RU"/>
              </w:rPr>
              <w:t xml:space="preserve"> содержатся статьи, в которых освещаются различные уровни требуемых навыков</w:t>
            </w:r>
            <w:r w:rsidR="00E004A8">
              <w:rPr>
                <w:szCs w:val="22"/>
                <w:lang w:val="ru-RU"/>
              </w:rPr>
              <w:t xml:space="preserve"> –</w:t>
            </w:r>
            <w:r w:rsidRPr="00E266A0">
              <w:rPr>
                <w:szCs w:val="22"/>
                <w:lang w:val="ru-RU"/>
              </w:rPr>
              <w:t xml:space="preserve"> от базовых </w:t>
            </w:r>
            <w:r w:rsidR="005A7670" w:rsidRPr="00E266A0">
              <w:rPr>
                <w:szCs w:val="22"/>
                <w:lang w:val="ru-RU"/>
              </w:rPr>
              <w:t xml:space="preserve">цифровых </w:t>
            </w:r>
            <w:r w:rsidRPr="00E266A0">
              <w:rPr>
                <w:szCs w:val="22"/>
                <w:lang w:val="ru-RU"/>
              </w:rPr>
              <w:t>навыков</w:t>
            </w:r>
            <w:r w:rsidR="005A7670" w:rsidRPr="00E266A0">
              <w:rPr>
                <w:szCs w:val="22"/>
                <w:lang w:val="ru-RU"/>
              </w:rPr>
              <w:t>,</w:t>
            </w:r>
            <w:r w:rsidRPr="00E266A0">
              <w:rPr>
                <w:szCs w:val="22"/>
                <w:lang w:val="ru-RU"/>
              </w:rPr>
              <w:t xml:space="preserve"> направленны</w:t>
            </w:r>
            <w:r w:rsidR="005A7670" w:rsidRPr="00E266A0">
              <w:rPr>
                <w:szCs w:val="22"/>
                <w:lang w:val="ru-RU"/>
              </w:rPr>
              <w:t>х</w:t>
            </w:r>
            <w:r w:rsidRPr="00E266A0">
              <w:rPr>
                <w:szCs w:val="22"/>
                <w:lang w:val="ru-RU"/>
              </w:rPr>
              <w:t xml:space="preserve"> на повышение информированности об ИКТ и </w:t>
            </w:r>
            <w:r w:rsidR="005A7670" w:rsidRPr="00E266A0">
              <w:rPr>
                <w:szCs w:val="22"/>
                <w:lang w:val="ru-RU"/>
              </w:rPr>
              <w:t>способствующих использованию простых</w:t>
            </w:r>
            <w:r w:rsidRPr="00E266A0">
              <w:rPr>
                <w:szCs w:val="22"/>
                <w:lang w:val="ru-RU"/>
              </w:rPr>
              <w:t xml:space="preserve"> приложени</w:t>
            </w:r>
            <w:r w:rsidR="005A7670" w:rsidRPr="00E266A0">
              <w:rPr>
                <w:szCs w:val="22"/>
                <w:lang w:val="ru-RU"/>
              </w:rPr>
              <w:t>й</w:t>
            </w:r>
            <w:r w:rsidRPr="00E266A0">
              <w:rPr>
                <w:szCs w:val="22"/>
                <w:lang w:val="ru-RU"/>
              </w:rPr>
              <w:t>, до</w:t>
            </w:r>
            <w:r w:rsidR="005A7670" w:rsidRPr="00E266A0">
              <w:rPr>
                <w:szCs w:val="22"/>
                <w:lang w:val="ru-RU"/>
              </w:rPr>
              <w:t> продвинутых цифровых</w:t>
            </w:r>
            <w:r w:rsidRPr="00E266A0">
              <w:rPr>
                <w:szCs w:val="22"/>
                <w:lang w:val="ru-RU"/>
              </w:rPr>
              <w:t xml:space="preserve"> навыков, ориентированных на более сложные требования, такие как управление сетью и анализ данных.</w:t>
            </w:r>
            <w:r w:rsidR="00F974A4" w:rsidRPr="00E266A0">
              <w:rPr>
                <w:lang w:val="ru-RU"/>
              </w:rPr>
              <w:t xml:space="preserve"> </w:t>
            </w:r>
          </w:p>
        </w:tc>
      </w:tr>
      <w:tr w:rsidR="004B5584" w:rsidRPr="00E266A0" w14:paraId="47F243A0" w14:textId="77777777" w:rsidTr="00682F01">
        <w:tc>
          <w:tcPr>
            <w:tcW w:w="2689" w:type="dxa"/>
          </w:tcPr>
          <w:p w14:paraId="329FEA9E" w14:textId="65B808A5" w:rsidR="004B5584" w:rsidRPr="00E266A0" w:rsidRDefault="004B5584" w:rsidP="00863FB2">
            <w:pPr>
              <w:spacing w:before="20" w:after="20"/>
              <w:rPr>
                <w:rFonts w:eastAsia="PMingLiU-ExtB"/>
                <w:i/>
                <w:iCs/>
                <w:szCs w:val="24"/>
                <w:lang w:val="ru-RU"/>
              </w:rPr>
            </w:pPr>
            <w:proofErr w:type="spellStart"/>
            <w:r w:rsidRPr="00E266A0">
              <w:rPr>
                <w:i/>
                <w:iCs/>
                <w:szCs w:val="22"/>
                <w:lang w:val="ru-RU"/>
              </w:rPr>
              <w:lastRenderedPageBreak/>
              <w:t>ВКРЭ</w:t>
            </w:r>
            <w:proofErr w:type="spellEnd"/>
          </w:p>
        </w:tc>
        <w:tc>
          <w:tcPr>
            <w:tcW w:w="7054" w:type="dxa"/>
          </w:tcPr>
          <w:p w14:paraId="3BF88425" w14:textId="4153DEF2" w:rsidR="004B5584" w:rsidRPr="00E266A0" w:rsidRDefault="004B5584" w:rsidP="00863FB2">
            <w:pPr>
              <w:spacing w:before="20" w:after="20"/>
              <w:rPr>
                <w:rFonts w:eastAsia="PMingLiU-ExtB"/>
                <w:szCs w:val="24"/>
                <w:lang w:val="ru-RU"/>
              </w:rPr>
            </w:pPr>
            <w:r w:rsidRPr="00E266A0">
              <w:rPr>
                <w:szCs w:val="22"/>
                <w:lang w:val="ru-RU"/>
              </w:rPr>
              <w:t>Резолюции 1, 5, 9, 15, 20, 21, 22, 30, 32, 33, 36, 40, 50, 59, 73, 77</w:t>
            </w:r>
          </w:p>
        </w:tc>
      </w:tr>
      <w:tr w:rsidR="004B5584" w:rsidRPr="00E266A0" w14:paraId="708808D6" w14:textId="77777777" w:rsidTr="00682F01">
        <w:tc>
          <w:tcPr>
            <w:tcW w:w="2689" w:type="dxa"/>
          </w:tcPr>
          <w:p w14:paraId="34193634" w14:textId="1E7BCFE0" w:rsidR="004B5584" w:rsidRPr="00E266A0" w:rsidRDefault="004B5584" w:rsidP="00863FB2">
            <w:pPr>
              <w:spacing w:before="20" w:after="20"/>
              <w:rPr>
                <w:rFonts w:eastAsia="PMingLiU-ExtB"/>
                <w:i/>
                <w:iCs/>
                <w:szCs w:val="24"/>
                <w:lang w:val="ru-RU"/>
              </w:rPr>
            </w:pPr>
            <w:r w:rsidRPr="00E266A0">
              <w:rPr>
                <w:i/>
                <w:iCs/>
                <w:szCs w:val="22"/>
                <w:lang w:val="ru-RU"/>
              </w:rPr>
              <w:t>Полномочная конференция</w:t>
            </w:r>
          </w:p>
        </w:tc>
        <w:tc>
          <w:tcPr>
            <w:tcW w:w="7054" w:type="dxa"/>
          </w:tcPr>
          <w:p w14:paraId="2092BE14" w14:textId="77777777" w:rsidR="004B5584" w:rsidRPr="00E266A0" w:rsidRDefault="004B5584" w:rsidP="00863FB2">
            <w:pPr>
              <w:spacing w:before="20" w:after="20"/>
              <w:rPr>
                <w:rFonts w:eastAsia="PMingLiU-ExtB"/>
                <w:szCs w:val="22"/>
                <w:lang w:val="ru-RU"/>
              </w:rPr>
            </w:pPr>
            <w:r w:rsidRPr="00E266A0">
              <w:rPr>
                <w:rFonts w:eastAsia="PMingLiU-ExtB"/>
                <w:szCs w:val="22"/>
                <w:lang w:val="ru-RU"/>
              </w:rPr>
              <w:t>Решения 5, 13 ПК</w:t>
            </w:r>
          </w:p>
          <w:p w14:paraId="50DAAF68" w14:textId="3892BE49" w:rsidR="004B5584" w:rsidRPr="00E266A0" w:rsidRDefault="004B5584" w:rsidP="00863FB2">
            <w:pPr>
              <w:spacing w:before="20" w:after="20"/>
              <w:rPr>
                <w:rFonts w:eastAsia="PMingLiU-ExtB"/>
                <w:szCs w:val="24"/>
                <w:lang w:val="ru-RU"/>
              </w:rPr>
            </w:pPr>
            <w:r w:rsidRPr="00E266A0">
              <w:rPr>
                <w:rFonts w:eastAsia="PMingLiU-ExtB"/>
                <w:szCs w:val="22"/>
                <w:lang w:val="ru-RU"/>
              </w:rPr>
              <w:t>Резолюции 25, 71, 72, 137, 139, 140, 176, 188, 189, 197, 199, 202 ПК</w:t>
            </w:r>
          </w:p>
        </w:tc>
      </w:tr>
      <w:tr w:rsidR="004B5584" w:rsidRPr="00E266A0" w14:paraId="79AF6167" w14:textId="77777777" w:rsidTr="00682F01">
        <w:tc>
          <w:tcPr>
            <w:tcW w:w="2689" w:type="dxa"/>
          </w:tcPr>
          <w:p w14:paraId="2DC7F4B3" w14:textId="7F887BF6" w:rsidR="004B5584" w:rsidRPr="00E266A0" w:rsidRDefault="004B5584" w:rsidP="00863FB2">
            <w:pPr>
              <w:spacing w:before="20" w:after="20"/>
              <w:rPr>
                <w:i/>
                <w:iCs/>
                <w:szCs w:val="24"/>
                <w:lang w:val="ru-RU"/>
              </w:rPr>
            </w:pPr>
            <w:r w:rsidRPr="00E266A0">
              <w:rPr>
                <w:i/>
                <w:iCs/>
                <w:szCs w:val="22"/>
                <w:lang w:val="ru-RU"/>
              </w:rPr>
              <w:t>Совет</w:t>
            </w:r>
          </w:p>
        </w:tc>
        <w:tc>
          <w:tcPr>
            <w:tcW w:w="7054" w:type="dxa"/>
          </w:tcPr>
          <w:p w14:paraId="6B0353B6" w14:textId="09B2B512" w:rsidR="004B5584" w:rsidRPr="00E266A0" w:rsidRDefault="004B5584" w:rsidP="00863FB2">
            <w:pPr>
              <w:spacing w:before="20" w:after="20"/>
              <w:rPr>
                <w:szCs w:val="24"/>
                <w:lang w:val="ru-RU"/>
              </w:rPr>
            </w:pPr>
            <w:r w:rsidRPr="00E266A0">
              <w:rPr>
                <w:szCs w:val="22"/>
                <w:lang w:val="ru-RU"/>
              </w:rPr>
              <w:t>Резолюция 1143</w:t>
            </w:r>
          </w:p>
        </w:tc>
      </w:tr>
      <w:tr w:rsidR="004B5584" w:rsidRPr="00E266A0" w14:paraId="2A357DD6" w14:textId="77777777" w:rsidTr="00682F01">
        <w:tc>
          <w:tcPr>
            <w:tcW w:w="2689" w:type="dxa"/>
          </w:tcPr>
          <w:p w14:paraId="5838A906" w14:textId="5089B853" w:rsidR="004B5584" w:rsidRPr="00E266A0" w:rsidRDefault="004B5584" w:rsidP="00863FB2">
            <w:pPr>
              <w:spacing w:before="20" w:after="20"/>
              <w:rPr>
                <w:i/>
                <w:iCs/>
                <w:szCs w:val="24"/>
                <w:lang w:val="ru-RU"/>
              </w:rPr>
            </w:pPr>
            <w:r w:rsidRPr="00E266A0">
              <w:rPr>
                <w:i/>
                <w:iCs/>
                <w:szCs w:val="22"/>
                <w:lang w:val="ru-RU"/>
              </w:rPr>
              <w:t>ВАСЭ</w:t>
            </w:r>
          </w:p>
        </w:tc>
        <w:tc>
          <w:tcPr>
            <w:tcW w:w="7054" w:type="dxa"/>
          </w:tcPr>
          <w:p w14:paraId="10B927B8" w14:textId="6420CB3B" w:rsidR="004B5584" w:rsidRPr="00E266A0" w:rsidRDefault="004B5584" w:rsidP="00863FB2">
            <w:pPr>
              <w:spacing w:before="20" w:after="20"/>
              <w:rPr>
                <w:szCs w:val="24"/>
                <w:lang w:val="ru-RU"/>
              </w:rPr>
            </w:pPr>
            <w:r w:rsidRPr="00E266A0">
              <w:rPr>
                <w:szCs w:val="22"/>
                <w:lang w:val="ru-RU"/>
              </w:rPr>
              <w:t>Резолюции 54, 59, 72</w:t>
            </w:r>
          </w:p>
        </w:tc>
      </w:tr>
      <w:tr w:rsidR="004B5584" w:rsidRPr="005C1BAD" w14:paraId="4F1ED410" w14:textId="77777777" w:rsidTr="005A7670">
        <w:trPr>
          <w:cantSplit/>
        </w:trPr>
        <w:tc>
          <w:tcPr>
            <w:tcW w:w="2689" w:type="dxa"/>
          </w:tcPr>
          <w:p w14:paraId="612932DD" w14:textId="73F9924C" w:rsidR="004B5584" w:rsidRPr="00E266A0" w:rsidRDefault="004B5584" w:rsidP="00863FB2">
            <w:pPr>
              <w:spacing w:before="20" w:after="20"/>
              <w:rPr>
                <w:i/>
                <w:iCs/>
                <w:szCs w:val="24"/>
                <w:lang w:val="ru-RU"/>
              </w:rPr>
            </w:pPr>
            <w:r w:rsidRPr="00E266A0">
              <w:rPr>
                <w:i/>
                <w:iCs/>
                <w:szCs w:val="22"/>
                <w:lang w:val="ru-RU"/>
              </w:rPr>
              <w:lastRenderedPageBreak/>
              <w:t>Направления деятельности ВВУИО</w:t>
            </w:r>
          </w:p>
        </w:tc>
        <w:tc>
          <w:tcPr>
            <w:tcW w:w="7054" w:type="dxa"/>
          </w:tcPr>
          <w:p w14:paraId="04912400" w14:textId="0DE58C88" w:rsidR="004B5584" w:rsidRPr="00E266A0" w:rsidRDefault="004B5584" w:rsidP="00863FB2">
            <w:pPr>
              <w:spacing w:before="20" w:after="20"/>
              <w:rPr>
                <w:szCs w:val="24"/>
                <w:lang w:val="ru-RU"/>
              </w:rPr>
            </w:pPr>
            <w:r w:rsidRPr="00E266A0">
              <w:rPr>
                <w:szCs w:val="22"/>
                <w:lang w:val="ru-RU"/>
              </w:rPr>
              <w:t xml:space="preserve">Направление деятельности C4 Женевского плана действий и </w:t>
            </w:r>
            <w:r w:rsidR="005A7670" w:rsidRPr="00E266A0">
              <w:rPr>
                <w:szCs w:val="22"/>
                <w:lang w:val="ru-RU"/>
              </w:rPr>
              <w:t>пункты </w:t>
            </w:r>
            <w:r w:rsidRPr="00E266A0">
              <w:rPr>
                <w:szCs w:val="22"/>
                <w:lang w:val="ru-RU"/>
              </w:rPr>
              <w:t>8, 22, 23a, 26g, 49, 51, 65, 72h, 86, 87, 90c, d, f, 95, 114b Тунисской программы для информационного общества ВВУИО</w:t>
            </w:r>
          </w:p>
        </w:tc>
      </w:tr>
      <w:tr w:rsidR="004B5584" w:rsidRPr="005C1BAD" w14:paraId="39411320" w14:textId="77777777" w:rsidTr="00682F01">
        <w:tc>
          <w:tcPr>
            <w:tcW w:w="2689" w:type="dxa"/>
          </w:tcPr>
          <w:p w14:paraId="6CBA4F43" w14:textId="04E42D8D" w:rsidR="004B5584" w:rsidRPr="00E266A0" w:rsidRDefault="004B5584" w:rsidP="00863FB2">
            <w:pPr>
              <w:spacing w:before="20" w:after="20"/>
              <w:rPr>
                <w:rFonts w:eastAsia="PMingLiU-ExtB"/>
                <w:i/>
                <w:iCs/>
                <w:szCs w:val="24"/>
                <w:lang w:val="ru-RU"/>
              </w:rPr>
            </w:pPr>
            <w:r w:rsidRPr="00E266A0">
              <w:rPr>
                <w:i/>
                <w:iCs/>
                <w:szCs w:val="22"/>
                <w:lang w:val="ru-RU"/>
              </w:rPr>
              <w:t>Вклад в выполнение задач ЦУР</w:t>
            </w:r>
          </w:p>
        </w:tc>
        <w:tc>
          <w:tcPr>
            <w:tcW w:w="7054" w:type="dxa"/>
          </w:tcPr>
          <w:p w14:paraId="427FBB4B" w14:textId="3DFB802F" w:rsidR="004B5584" w:rsidRPr="00E266A0" w:rsidRDefault="004B5584" w:rsidP="00E004A8">
            <w:pPr>
              <w:spacing w:before="20" w:after="20"/>
              <w:rPr>
                <w:rFonts w:eastAsia="PMingLiU-ExtB"/>
                <w:szCs w:val="24"/>
                <w:lang w:val="ru-RU"/>
              </w:rPr>
            </w:pPr>
            <w:r w:rsidRPr="00E266A0">
              <w:rPr>
                <w:szCs w:val="22"/>
                <w:lang w:val="ru-RU"/>
              </w:rPr>
              <w:t xml:space="preserve">ЦУР 1 (задача 1.b), 2 (задача 2.3), 3 (задачи 3.7, 3.b, 3.d), 4 (задачи 4.4, 4.7), 5 (задачи 5.5, 5.b), 6 (задача 6.a), 8 (задача 8.2), 9 (задачи 9.1, 9.b, 9.c), 12 (задачи 12.7, 12.8, 12.a, 12.b), 13 (задачи 13.2, 13.3, 13.b), </w:t>
            </w:r>
            <w:r w:rsidRPr="00E266A0">
              <w:rPr>
                <w:szCs w:val="22"/>
                <w:lang w:val="ru-RU"/>
              </w:rPr>
              <w:br/>
              <w:t>14 (задача 14.a), 16 (задача 16.a), 17 (задачи 17.9, 17.18)</w:t>
            </w:r>
          </w:p>
        </w:tc>
      </w:tr>
    </w:tbl>
    <w:p w14:paraId="1087752A" w14:textId="7D36D2DC" w:rsidR="00F974A4" w:rsidRPr="00E266A0" w:rsidRDefault="00F974A4" w:rsidP="00612977">
      <w:pPr>
        <w:keepNext/>
        <w:spacing w:after="120"/>
        <w:ind w:left="357" w:hanging="357"/>
        <w:rPr>
          <w:b/>
          <w:bCs/>
          <w:szCs w:val="24"/>
          <w:lang w:val="ru-RU"/>
        </w:rPr>
      </w:pPr>
      <w:r w:rsidRPr="00E266A0">
        <w:rPr>
          <w:b/>
          <w:bCs/>
          <w:szCs w:val="24"/>
          <w:lang w:val="ru-RU"/>
        </w:rPr>
        <w:t>4.2</w:t>
      </w:r>
      <w:r w:rsidRPr="00E266A0">
        <w:rPr>
          <w:b/>
          <w:bCs/>
          <w:szCs w:val="24"/>
          <w:lang w:val="ru-RU"/>
        </w:rPr>
        <w:tab/>
      </w:r>
      <w:r w:rsidR="004B5584" w:rsidRPr="00E266A0">
        <w:rPr>
          <w:b/>
          <w:szCs w:val="24"/>
          <w:lang w:val="ru-RU"/>
        </w:rPr>
        <w:t>Статистические данные по электросвязи/ИКТ</w:t>
      </w:r>
    </w:p>
    <w:tbl>
      <w:tblPr>
        <w:tblStyle w:val="TableGrid"/>
        <w:tblW w:w="0" w:type="auto"/>
        <w:tblLayout w:type="fixed"/>
        <w:tblLook w:val="04A0" w:firstRow="1" w:lastRow="0" w:firstColumn="1" w:lastColumn="0" w:noHBand="0" w:noVBand="1"/>
      </w:tblPr>
      <w:tblGrid>
        <w:gridCol w:w="2689"/>
        <w:gridCol w:w="7054"/>
      </w:tblGrid>
      <w:tr w:rsidR="00F974A4" w:rsidRPr="005C1BAD" w14:paraId="159522D5" w14:textId="77777777" w:rsidTr="00682F01">
        <w:tc>
          <w:tcPr>
            <w:tcW w:w="9743" w:type="dxa"/>
            <w:gridSpan w:val="2"/>
          </w:tcPr>
          <w:p w14:paraId="6D8AFB62" w14:textId="5C135C08" w:rsidR="004B5584" w:rsidRPr="00E266A0" w:rsidRDefault="004B5584" w:rsidP="004B5584">
            <w:pPr>
              <w:spacing w:after="120"/>
              <w:rPr>
                <w:szCs w:val="22"/>
                <w:lang w:val="ru-RU"/>
              </w:rPr>
            </w:pPr>
            <w:r w:rsidRPr="00E266A0">
              <w:rPr>
                <w:szCs w:val="22"/>
                <w:lang w:val="ru-RU"/>
              </w:rPr>
              <w:t>В БРЭ имеются наиболее полные наборы данных, в том числе статистических, в области ИКТ со всего мира, относящиеся к различным тематическим областям, среди которых инфраструктура ИКТ, доступ и использование, политика и регулирование, вопросы затрат и тарифной политики. Усилия МСЭ по достижению данного намеченного результата деятельности привели к повышению доступности и более широкому распространению актуальных, сравнимых на международном уровне баз статистических данных по ИКТ.</w:t>
            </w:r>
          </w:p>
          <w:p w14:paraId="07DAC33C" w14:textId="07A2E091" w:rsidR="004B5584" w:rsidRPr="00E266A0" w:rsidRDefault="004B5584" w:rsidP="004B5584">
            <w:pPr>
              <w:spacing w:after="120"/>
              <w:rPr>
                <w:szCs w:val="22"/>
                <w:lang w:val="ru-RU"/>
              </w:rPr>
            </w:pPr>
            <w:r w:rsidRPr="00E266A0">
              <w:rPr>
                <w:szCs w:val="22"/>
                <w:lang w:val="ru-RU"/>
              </w:rPr>
              <w:t>16-й Симпозиум МСЭ по всемирным показателям в области электросвязи/ИКТ (WTIS) прошел в Женеве в декабре 2018 года. В WTIS-18 приняли участие более 320 участников из 85 стран, представляющих государственные и частные организации, в том числе министерства, регуляторные органы, национальные статистические управления, университеты и исследовательские институты, операторов связи, компании в сфере ИКТ, а также региональные и международные организации. В</w:t>
            </w:r>
            <w:r w:rsidR="00CE6F99">
              <w:rPr>
                <w:szCs w:val="22"/>
                <w:lang w:val="ru-RU"/>
              </w:rPr>
              <w:t> </w:t>
            </w:r>
            <w:r w:rsidRPr="00E266A0">
              <w:rPr>
                <w:szCs w:val="22"/>
                <w:lang w:val="ru-RU"/>
              </w:rPr>
              <w:t xml:space="preserve">рамках WTIS-18 были проведены пленарные заседания, посвященные экономическому и социальному воздействию ИКТ, потребностям в данных для отслеживания социального воздействия ИКТ, </w:t>
            </w:r>
            <w:r w:rsidR="00A81727" w:rsidRPr="00E266A0">
              <w:rPr>
                <w:szCs w:val="22"/>
                <w:lang w:val="ru-RU"/>
              </w:rPr>
              <w:t>содействию устойчивому развитию</w:t>
            </w:r>
            <w:r w:rsidRPr="00E266A0">
              <w:rPr>
                <w:szCs w:val="22"/>
                <w:lang w:val="ru-RU"/>
              </w:rPr>
              <w:t xml:space="preserve"> </w:t>
            </w:r>
            <w:r w:rsidR="00CE6F99">
              <w:rPr>
                <w:szCs w:val="22"/>
                <w:lang w:val="ru-RU"/>
              </w:rPr>
              <w:t xml:space="preserve">с помощью </w:t>
            </w:r>
            <w:r w:rsidRPr="00E266A0">
              <w:rPr>
                <w:szCs w:val="22"/>
                <w:lang w:val="ru-RU"/>
              </w:rPr>
              <w:t xml:space="preserve">ИКТ, </w:t>
            </w:r>
            <w:r w:rsidR="00A81727" w:rsidRPr="00E266A0">
              <w:rPr>
                <w:szCs w:val="22"/>
                <w:lang w:val="ru-RU"/>
              </w:rPr>
              <w:t xml:space="preserve">в соответствии с принципом, </w:t>
            </w:r>
            <w:r w:rsidRPr="00E266A0">
              <w:rPr>
                <w:szCs w:val="22"/>
                <w:lang w:val="ru-RU"/>
              </w:rPr>
              <w:t xml:space="preserve">чтобы "никто не был забыт", науке о данных и ИКТ, выпуску отчета "Измерение информационного общества", включая отчет о состоянии нового индекса развития ИКТ, необходимым для будущего навыкам в области ИКТ, новым потребностям в данных для цифровой экономики, "умным" данным для "умного" регулирования и разработки политики в сфере ИКТ, а также приемлемости услуг ИКТ в ценовом отношении. </w:t>
            </w:r>
          </w:p>
          <w:p w14:paraId="66EF82DD" w14:textId="5E1A5DAC" w:rsidR="00F974A4" w:rsidRPr="00E266A0" w:rsidRDefault="004B5584" w:rsidP="004B5584">
            <w:pPr>
              <w:spacing w:after="120"/>
              <w:rPr>
                <w:szCs w:val="24"/>
                <w:lang w:val="ru-RU"/>
              </w:rPr>
            </w:pPr>
            <w:r w:rsidRPr="00E266A0">
              <w:rPr>
                <w:szCs w:val="22"/>
                <w:lang w:val="ru-RU"/>
              </w:rPr>
              <w:t>В 2018 году вышел в свет ряд статистических материалов, призванных повысить осведомленность и расширить знания директивных органов и других заинтересованных сторон о нынешних тенденциях и событиях в сфере электросвязи/ИКТ на основе высококачественных, сопоставимых на международном уровне статистических данных.</w:t>
            </w:r>
          </w:p>
          <w:p w14:paraId="0C4D1D5F" w14:textId="1E658FCC" w:rsidR="004B5584" w:rsidRPr="00E266A0" w:rsidRDefault="004B5584" w:rsidP="004B5584">
            <w:pPr>
              <w:pStyle w:val="ListParagraph"/>
              <w:numPr>
                <w:ilvl w:val="0"/>
                <w:numId w:val="48"/>
              </w:numPr>
              <w:spacing w:before="40" w:after="40"/>
              <w:ind w:left="357" w:hanging="357"/>
              <w:contextualSpacing w:val="0"/>
              <w:rPr>
                <w:szCs w:val="22"/>
                <w:lang w:val="ru-RU"/>
              </w:rPr>
            </w:pPr>
            <w:r w:rsidRPr="00E266A0">
              <w:rPr>
                <w:szCs w:val="22"/>
                <w:lang w:val="ru-RU"/>
              </w:rPr>
              <w:t>В июне 2018 года вышли в свет последняя версия Базы данных МСЭ по всемирным показателям в области электросвязи/ИКТ и совместное издание МСЭ и Всемирного банка под названием "Малый статистический справочник по информационно-коммуникационным технологиям 2018 года". Содержащаяся в них информация позволит пользователям принимать обоснованные решения в области ИКТ с учетом сопоставимых на международном уровне статистических данных.</w:t>
            </w:r>
          </w:p>
          <w:p w14:paraId="056C7B9D" w14:textId="47D405F4" w:rsidR="004B5584" w:rsidRPr="00E266A0" w:rsidRDefault="004B5584" w:rsidP="004B5584">
            <w:pPr>
              <w:pStyle w:val="ListParagraph"/>
              <w:numPr>
                <w:ilvl w:val="0"/>
                <w:numId w:val="48"/>
              </w:numPr>
              <w:spacing w:before="40" w:after="40"/>
              <w:ind w:left="357" w:hanging="357"/>
              <w:contextualSpacing w:val="0"/>
              <w:rPr>
                <w:szCs w:val="22"/>
                <w:lang w:val="ru-RU"/>
              </w:rPr>
            </w:pPr>
            <w:r w:rsidRPr="00E266A0">
              <w:rPr>
                <w:szCs w:val="22"/>
                <w:lang w:val="ru-RU"/>
              </w:rPr>
              <w:t>Успешно был завершен сбор данных за 2018 год. Свои ответы в рамках заполнения большого вопросника WTI за 2018 год прислали около 160 стран, 105 стран предоставили ответы в рамках заполнения краткого вопросника по домашним хозяйствам за 2018 год, и 149 стран – в рамках заполнения вопросника по корзине цен на услуги ИКТ за 2018 год.</w:t>
            </w:r>
          </w:p>
          <w:p w14:paraId="2DCEEF0F" w14:textId="6DF29836" w:rsidR="004B5584" w:rsidRPr="00E266A0" w:rsidRDefault="004B5584" w:rsidP="004B5584">
            <w:pPr>
              <w:pStyle w:val="ListParagraph"/>
              <w:numPr>
                <w:ilvl w:val="0"/>
                <w:numId w:val="48"/>
              </w:numPr>
              <w:spacing w:before="40" w:after="40"/>
              <w:ind w:left="357" w:hanging="357"/>
              <w:contextualSpacing w:val="0"/>
              <w:rPr>
                <w:szCs w:val="22"/>
                <w:lang w:val="ru-RU"/>
              </w:rPr>
            </w:pPr>
            <w:r w:rsidRPr="00E266A0">
              <w:rPr>
                <w:szCs w:val="22"/>
                <w:lang w:val="ru-RU"/>
              </w:rPr>
              <w:t xml:space="preserve">В конце 2018 года были выпущены всемирные и региональные оценки ключевых показателей ИКТ, включая данные о доле населения, </w:t>
            </w:r>
            <w:r w:rsidR="00A81727" w:rsidRPr="00E266A0">
              <w:rPr>
                <w:szCs w:val="22"/>
                <w:lang w:val="ru-RU"/>
              </w:rPr>
              <w:t>пользующейся интернетом</w:t>
            </w:r>
            <w:r w:rsidRPr="00E266A0">
              <w:rPr>
                <w:szCs w:val="22"/>
                <w:lang w:val="ru-RU"/>
              </w:rPr>
              <w:t>, которая к концу 2018 года превысила 50%.</w:t>
            </w:r>
          </w:p>
          <w:p w14:paraId="23DC593C" w14:textId="7A08D31D" w:rsidR="00F974A4" w:rsidRPr="00E266A0" w:rsidRDefault="004B5584" w:rsidP="004B5584">
            <w:pPr>
              <w:pStyle w:val="ListParagraph"/>
              <w:numPr>
                <w:ilvl w:val="0"/>
                <w:numId w:val="48"/>
              </w:numPr>
              <w:spacing w:before="40" w:after="40"/>
              <w:ind w:left="357" w:hanging="357"/>
              <w:contextualSpacing w:val="0"/>
              <w:rPr>
                <w:szCs w:val="24"/>
                <w:lang w:val="ru-RU"/>
              </w:rPr>
            </w:pPr>
            <w:r w:rsidRPr="00E266A0">
              <w:rPr>
                <w:szCs w:val="22"/>
                <w:lang w:val="ru-RU"/>
              </w:rPr>
              <w:t>На WTIS</w:t>
            </w:r>
            <w:r w:rsidR="00A81727" w:rsidRPr="00E266A0">
              <w:rPr>
                <w:szCs w:val="22"/>
                <w:lang w:val="ru-RU"/>
              </w:rPr>
              <w:t>-18</w:t>
            </w:r>
            <w:r w:rsidRPr="00E266A0">
              <w:rPr>
                <w:szCs w:val="22"/>
                <w:lang w:val="ru-RU"/>
              </w:rPr>
              <w:t xml:space="preserve"> был представлен отчет "Измерение информационного общества за 2018 год", в котором содержится анализ результатов измерения навыков в области ИКТ с использованием данных МСЭ по домашним хозяйствам и </w:t>
            </w:r>
            <w:r w:rsidR="00A81727" w:rsidRPr="00E266A0">
              <w:rPr>
                <w:szCs w:val="22"/>
                <w:lang w:val="ru-RU"/>
              </w:rPr>
              <w:t xml:space="preserve">данных </w:t>
            </w:r>
            <w:r w:rsidRPr="00E266A0">
              <w:rPr>
                <w:szCs w:val="22"/>
                <w:lang w:val="ru-RU"/>
              </w:rPr>
              <w:t>из других источников, анализ доходов и</w:t>
            </w:r>
            <w:r w:rsidR="00A81727" w:rsidRPr="00E266A0">
              <w:rPr>
                <w:szCs w:val="22"/>
                <w:lang w:val="ru-RU"/>
              </w:rPr>
              <w:t> </w:t>
            </w:r>
            <w:r w:rsidRPr="00E266A0">
              <w:rPr>
                <w:szCs w:val="22"/>
                <w:lang w:val="ru-RU"/>
              </w:rPr>
              <w:t xml:space="preserve">инвестиций в секторе электросвязи, а также различные показатели, которые МСЭ собирает </w:t>
            </w:r>
            <w:r w:rsidRPr="00E266A0">
              <w:rPr>
                <w:szCs w:val="22"/>
                <w:lang w:val="ru-RU"/>
              </w:rPr>
              <w:lastRenderedPageBreak/>
              <w:t>для отслеживания и сопоставления цен на услуги ИКТ и их приемлемости в ценовом отношении в масштабах всего мира. Данный отчет помог повысить уровень знаний директивных органов, инвесторов и бизнесменов о текущих тенденциях рынка ИКТ, что позволило им принимать решения с учетом фактических данных на основе точного анализа развития сектора электросвязи/ИКТ на общемировом уровне.</w:t>
            </w:r>
          </w:p>
          <w:p w14:paraId="13704180" w14:textId="5AE00CC5" w:rsidR="00235A46" w:rsidRPr="00E266A0" w:rsidRDefault="00235A46" w:rsidP="00235A46">
            <w:pPr>
              <w:spacing w:after="120"/>
              <w:rPr>
                <w:szCs w:val="22"/>
                <w:lang w:val="ru-RU"/>
              </w:rPr>
            </w:pPr>
            <w:r w:rsidRPr="00E266A0">
              <w:rPr>
                <w:szCs w:val="22"/>
                <w:lang w:val="ru-RU"/>
              </w:rPr>
              <w:t xml:space="preserve">В рамках </w:t>
            </w:r>
            <w:r w:rsidR="00A81727" w:rsidRPr="00E266A0">
              <w:rPr>
                <w:szCs w:val="22"/>
                <w:lang w:val="ru-RU"/>
              </w:rPr>
              <w:t xml:space="preserve">достижения </w:t>
            </w:r>
            <w:r w:rsidRPr="00E266A0">
              <w:rPr>
                <w:szCs w:val="22"/>
                <w:lang w:val="ru-RU"/>
              </w:rPr>
              <w:t xml:space="preserve">данного намеченного результата деятельности МСЭ </w:t>
            </w:r>
            <w:r w:rsidR="00A81727" w:rsidRPr="00E266A0">
              <w:rPr>
                <w:szCs w:val="22"/>
                <w:lang w:val="ru-RU"/>
              </w:rPr>
              <w:t xml:space="preserve">продолжал содействовать развитию </w:t>
            </w:r>
            <w:r w:rsidRPr="00E266A0">
              <w:rPr>
                <w:szCs w:val="22"/>
                <w:lang w:val="ru-RU"/>
              </w:rPr>
              <w:t xml:space="preserve">сотрудничества и совершенствованию методик и международных стандартов в области статистических данных по ИКТ посредством </w:t>
            </w:r>
            <w:r w:rsidR="00A81727" w:rsidRPr="00E266A0">
              <w:rPr>
                <w:szCs w:val="22"/>
                <w:lang w:val="ru-RU"/>
              </w:rPr>
              <w:t>работы</w:t>
            </w:r>
            <w:r w:rsidRPr="00E266A0">
              <w:rPr>
                <w:szCs w:val="22"/>
                <w:lang w:val="ru-RU"/>
              </w:rPr>
              <w:t xml:space="preserve">, </w:t>
            </w:r>
            <w:r w:rsidR="00A81727" w:rsidRPr="00E266A0">
              <w:rPr>
                <w:szCs w:val="22"/>
                <w:lang w:val="ru-RU"/>
              </w:rPr>
              <w:t>проводимой</w:t>
            </w:r>
            <w:r w:rsidRPr="00E266A0">
              <w:rPr>
                <w:szCs w:val="22"/>
                <w:lang w:val="ru-RU"/>
              </w:rPr>
              <w:t xml:space="preserve"> Группой экспертов МСЭ по показателям в области электросвязи/ИКТ (EGTI) и Группой экспертов по показателям ИКТ в</w:t>
            </w:r>
            <w:r w:rsidR="00A81727" w:rsidRPr="00E266A0">
              <w:rPr>
                <w:szCs w:val="22"/>
                <w:lang w:val="ru-RU"/>
              </w:rPr>
              <w:t xml:space="preserve"> </w:t>
            </w:r>
            <w:r w:rsidRPr="00E266A0">
              <w:rPr>
                <w:szCs w:val="22"/>
                <w:lang w:val="ru-RU"/>
              </w:rPr>
              <w:t>домашних хозяйствах (EGH). В октября 2018</w:t>
            </w:r>
            <w:r w:rsidR="00A81727" w:rsidRPr="00E266A0">
              <w:rPr>
                <w:szCs w:val="22"/>
                <w:lang w:val="ru-RU"/>
              </w:rPr>
              <w:t> </w:t>
            </w:r>
            <w:r w:rsidRPr="00E266A0">
              <w:rPr>
                <w:szCs w:val="22"/>
                <w:lang w:val="ru-RU"/>
              </w:rPr>
              <w:t>года в Женеве, Швейцария, прошли собрания EGTI и EGH. На собраниях присутствовали около 130</w:t>
            </w:r>
            <w:r w:rsidR="00A81727" w:rsidRPr="00E266A0">
              <w:rPr>
                <w:szCs w:val="22"/>
                <w:lang w:val="ru-RU"/>
              </w:rPr>
              <w:t> </w:t>
            </w:r>
            <w:r w:rsidRPr="00E266A0">
              <w:rPr>
                <w:szCs w:val="22"/>
                <w:lang w:val="ru-RU"/>
              </w:rPr>
              <w:t>экспертов по статистике от связанных с ИКТ министерств, национальных управлений по статистике, органов регулирования в области электросвязи и международных организаций из 54</w:t>
            </w:r>
            <w:r w:rsidR="00A81727" w:rsidRPr="00E266A0">
              <w:rPr>
                <w:szCs w:val="22"/>
                <w:lang w:val="ru-RU"/>
              </w:rPr>
              <w:t> </w:t>
            </w:r>
            <w:r w:rsidRPr="00E266A0">
              <w:rPr>
                <w:szCs w:val="22"/>
                <w:lang w:val="ru-RU"/>
              </w:rPr>
              <w:t xml:space="preserve">стран, которые обсудили </w:t>
            </w:r>
            <w:r w:rsidR="00A81727" w:rsidRPr="00E266A0">
              <w:rPr>
                <w:szCs w:val="22"/>
                <w:lang w:val="ru-RU"/>
              </w:rPr>
              <w:t xml:space="preserve">вопрос о </w:t>
            </w:r>
            <w:r w:rsidRPr="00E266A0">
              <w:rPr>
                <w:szCs w:val="22"/>
                <w:lang w:val="ru-RU"/>
              </w:rPr>
              <w:t>наиболее эффективны</w:t>
            </w:r>
            <w:r w:rsidR="00A81727" w:rsidRPr="00E266A0">
              <w:rPr>
                <w:szCs w:val="22"/>
                <w:lang w:val="ru-RU"/>
              </w:rPr>
              <w:t>х</w:t>
            </w:r>
            <w:r w:rsidRPr="00E266A0">
              <w:rPr>
                <w:szCs w:val="22"/>
                <w:lang w:val="ru-RU"/>
              </w:rPr>
              <w:t xml:space="preserve"> способ</w:t>
            </w:r>
            <w:r w:rsidR="00A81727" w:rsidRPr="00E266A0">
              <w:rPr>
                <w:szCs w:val="22"/>
                <w:lang w:val="ru-RU"/>
              </w:rPr>
              <w:t>ах</w:t>
            </w:r>
            <w:r w:rsidRPr="00E266A0">
              <w:rPr>
                <w:szCs w:val="22"/>
                <w:lang w:val="ru-RU"/>
              </w:rPr>
              <w:t xml:space="preserve"> отслеживания получения доступа к ИКТ и их использования домохозяйствами и отдельными лицами, а также </w:t>
            </w:r>
            <w:r w:rsidR="00CE6F99">
              <w:rPr>
                <w:szCs w:val="22"/>
                <w:lang w:val="ru-RU"/>
              </w:rPr>
              <w:t xml:space="preserve">о </w:t>
            </w:r>
            <w:r w:rsidRPr="00E266A0">
              <w:rPr>
                <w:szCs w:val="22"/>
                <w:lang w:val="ru-RU"/>
              </w:rPr>
              <w:t>возможн</w:t>
            </w:r>
            <w:r w:rsidR="00CE6F99">
              <w:rPr>
                <w:szCs w:val="22"/>
                <w:lang w:val="ru-RU"/>
              </w:rPr>
              <w:t>ых</w:t>
            </w:r>
            <w:r w:rsidRPr="00E266A0">
              <w:rPr>
                <w:szCs w:val="22"/>
                <w:lang w:val="ru-RU"/>
              </w:rPr>
              <w:t xml:space="preserve"> способ</w:t>
            </w:r>
            <w:r w:rsidR="00CE6F99">
              <w:rPr>
                <w:szCs w:val="22"/>
                <w:lang w:val="ru-RU"/>
              </w:rPr>
              <w:t>ах</w:t>
            </w:r>
            <w:r w:rsidRPr="00E266A0">
              <w:rPr>
                <w:szCs w:val="22"/>
                <w:lang w:val="ru-RU"/>
              </w:rPr>
              <w:t xml:space="preserve"> использования данных, получаемых от поставщиков услуг в области ИКТ, для предоставления необходимой информации директивным и регуляторным органам</w:t>
            </w:r>
            <w:r w:rsidR="00262C97">
              <w:rPr>
                <w:szCs w:val="22"/>
                <w:lang w:val="ru-RU"/>
              </w:rPr>
              <w:t xml:space="preserve"> </w:t>
            </w:r>
            <w:r w:rsidR="00A81727" w:rsidRPr="00E266A0">
              <w:rPr>
                <w:szCs w:val="22"/>
                <w:lang w:val="ru-RU"/>
              </w:rPr>
              <w:t>и</w:t>
            </w:r>
            <w:r w:rsidRPr="00E266A0">
              <w:rPr>
                <w:szCs w:val="22"/>
                <w:lang w:val="ru-RU"/>
              </w:rPr>
              <w:t xml:space="preserve"> содействия мониторингу и стимулирования развития ИКТ.</w:t>
            </w:r>
          </w:p>
          <w:p w14:paraId="6998FEB5" w14:textId="2AEABBFE" w:rsidR="00F974A4" w:rsidRPr="00E266A0" w:rsidRDefault="00235A46" w:rsidP="00235A46">
            <w:pPr>
              <w:spacing w:after="120"/>
              <w:rPr>
                <w:szCs w:val="24"/>
                <w:lang w:val="ru-RU"/>
              </w:rPr>
            </w:pPr>
            <w:r w:rsidRPr="00E266A0">
              <w:rPr>
                <w:szCs w:val="22"/>
                <w:lang w:val="ru-RU"/>
              </w:rPr>
              <w:t xml:space="preserve">Повышение потенциала и навыков производителей статистических данных в области ИКТ, необходимых для сбора данных, разработки и анализа сравнимых на международном уровне показателей в области ИКТ, было достигнуто благодаря </w:t>
            </w:r>
            <w:r w:rsidR="00A81727" w:rsidRPr="00E266A0">
              <w:rPr>
                <w:szCs w:val="22"/>
                <w:lang w:val="ru-RU"/>
              </w:rPr>
              <w:t>проведению ряда</w:t>
            </w:r>
            <w:r w:rsidRPr="00E266A0">
              <w:rPr>
                <w:szCs w:val="22"/>
                <w:lang w:val="ru-RU"/>
              </w:rPr>
              <w:t xml:space="preserve"> мероприятий по</w:t>
            </w:r>
            <w:r w:rsidR="00A81727" w:rsidRPr="00E266A0">
              <w:rPr>
                <w:szCs w:val="22"/>
                <w:lang w:val="ru-RU"/>
              </w:rPr>
              <w:t> </w:t>
            </w:r>
            <w:r w:rsidRPr="00E266A0">
              <w:rPr>
                <w:szCs w:val="22"/>
                <w:lang w:val="ru-RU"/>
              </w:rPr>
              <w:t>созданию потенциала, включая среди прочего следующие:</w:t>
            </w:r>
          </w:p>
          <w:p w14:paraId="2D705C24" w14:textId="4ADD0849" w:rsidR="00F974A4" w:rsidRPr="00E266A0" w:rsidRDefault="00F61E85" w:rsidP="00DC4FEE">
            <w:pPr>
              <w:pStyle w:val="ListParagraph"/>
              <w:numPr>
                <w:ilvl w:val="0"/>
                <w:numId w:val="49"/>
              </w:numPr>
              <w:tabs>
                <w:tab w:val="clear" w:pos="1134"/>
                <w:tab w:val="clear" w:pos="1871"/>
                <w:tab w:val="clear" w:pos="2268"/>
              </w:tabs>
              <w:overflowPunct/>
              <w:autoSpaceDE/>
              <w:autoSpaceDN/>
              <w:adjustRightInd/>
              <w:spacing w:before="40" w:after="40"/>
              <w:contextualSpacing w:val="0"/>
              <w:textAlignment w:val="auto"/>
              <w:rPr>
                <w:szCs w:val="24"/>
                <w:lang w:val="ru-RU"/>
              </w:rPr>
            </w:pPr>
            <w:r w:rsidRPr="00E266A0">
              <w:rPr>
                <w:szCs w:val="22"/>
                <w:lang w:val="ru-RU"/>
              </w:rPr>
              <w:t xml:space="preserve">Региональный семинар-практикум по </w:t>
            </w:r>
            <w:r w:rsidR="00CE6F99">
              <w:rPr>
                <w:szCs w:val="22"/>
                <w:lang w:val="ru-RU"/>
              </w:rPr>
              <w:t>статистическим данным</w:t>
            </w:r>
            <w:r w:rsidRPr="00E266A0">
              <w:rPr>
                <w:szCs w:val="22"/>
                <w:lang w:val="ru-RU"/>
              </w:rPr>
              <w:t xml:space="preserve"> в области ИКТ для региона СНГ в</w:t>
            </w:r>
            <w:r w:rsidR="00CE6F99">
              <w:rPr>
                <w:szCs w:val="22"/>
                <w:lang w:val="ru-RU"/>
              </w:rPr>
              <w:t> </w:t>
            </w:r>
            <w:r w:rsidRPr="00E266A0">
              <w:rPr>
                <w:szCs w:val="22"/>
                <w:lang w:val="ru-RU"/>
              </w:rPr>
              <w:t>Алматы, Казахстан;</w:t>
            </w:r>
            <w:r w:rsidR="00F974A4" w:rsidRPr="00E266A0">
              <w:rPr>
                <w:szCs w:val="24"/>
                <w:lang w:val="ru-RU"/>
              </w:rPr>
              <w:t xml:space="preserve"> </w:t>
            </w:r>
          </w:p>
          <w:p w14:paraId="1C424A55" w14:textId="09EF65AB" w:rsidR="000D214A" w:rsidRPr="00E266A0" w:rsidRDefault="000D214A" w:rsidP="00537408">
            <w:pPr>
              <w:pStyle w:val="ListParagraph"/>
              <w:numPr>
                <w:ilvl w:val="0"/>
                <w:numId w:val="49"/>
              </w:numPr>
              <w:tabs>
                <w:tab w:val="clear" w:pos="1134"/>
                <w:tab w:val="clear" w:pos="1871"/>
                <w:tab w:val="clear" w:pos="2268"/>
              </w:tabs>
              <w:overflowPunct/>
              <w:autoSpaceDE/>
              <w:autoSpaceDN/>
              <w:adjustRightInd/>
              <w:spacing w:before="40" w:after="40"/>
              <w:contextualSpacing w:val="0"/>
              <w:textAlignment w:val="auto"/>
              <w:rPr>
                <w:szCs w:val="22"/>
                <w:lang w:val="ru-RU"/>
              </w:rPr>
            </w:pPr>
            <w:r w:rsidRPr="00E266A0">
              <w:rPr>
                <w:szCs w:val="22"/>
                <w:lang w:val="ru-RU"/>
              </w:rPr>
              <w:t xml:space="preserve">Региональный семинар-практикум по </w:t>
            </w:r>
            <w:r w:rsidR="00A81727" w:rsidRPr="00E266A0">
              <w:rPr>
                <w:szCs w:val="22"/>
                <w:lang w:val="ru-RU"/>
              </w:rPr>
              <w:t>статистическим данным</w:t>
            </w:r>
            <w:r w:rsidRPr="00E266A0">
              <w:rPr>
                <w:szCs w:val="22"/>
                <w:lang w:val="ru-RU"/>
              </w:rPr>
              <w:t xml:space="preserve"> в области ИКТ для</w:t>
            </w:r>
            <w:r w:rsidR="00A81727" w:rsidRPr="00E266A0">
              <w:rPr>
                <w:szCs w:val="22"/>
                <w:lang w:val="ru-RU"/>
              </w:rPr>
              <w:t> </w:t>
            </w:r>
            <w:r w:rsidRPr="00E266A0">
              <w:rPr>
                <w:szCs w:val="22"/>
                <w:lang w:val="ru-RU"/>
              </w:rPr>
              <w:t>Азиатско</w:t>
            </w:r>
            <w:r w:rsidR="00A81727" w:rsidRPr="00E266A0">
              <w:rPr>
                <w:szCs w:val="22"/>
                <w:lang w:val="ru-RU"/>
              </w:rPr>
              <w:noBreakHyphen/>
            </w:r>
            <w:r w:rsidRPr="00E266A0">
              <w:rPr>
                <w:szCs w:val="22"/>
                <w:lang w:val="ru-RU"/>
              </w:rPr>
              <w:t xml:space="preserve">Тихоокеанского региона в Маниле, Филиппины; </w:t>
            </w:r>
          </w:p>
          <w:p w14:paraId="362A5B0C" w14:textId="48D81828" w:rsidR="000D214A" w:rsidRPr="00E266A0" w:rsidRDefault="000D214A" w:rsidP="00537408">
            <w:pPr>
              <w:pStyle w:val="ListParagraph"/>
              <w:numPr>
                <w:ilvl w:val="0"/>
                <w:numId w:val="49"/>
              </w:numPr>
              <w:tabs>
                <w:tab w:val="clear" w:pos="1134"/>
                <w:tab w:val="clear" w:pos="1871"/>
                <w:tab w:val="clear" w:pos="2268"/>
              </w:tabs>
              <w:overflowPunct/>
              <w:autoSpaceDE/>
              <w:autoSpaceDN/>
              <w:adjustRightInd/>
              <w:spacing w:before="40" w:after="40"/>
              <w:contextualSpacing w:val="0"/>
              <w:textAlignment w:val="auto"/>
              <w:rPr>
                <w:szCs w:val="22"/>
                <w:lang w:val="ru-RU"/>
              </w:rPr>
            </w:pPr>
            <w:r w:rsidRPr="00E266A0">
              <w:rPr>
                <w:szCs w:val="22"/>
                <w:lang w:val="ru-RU"/>
              </w:rPr>
              <w:t xml:space="preserve">Региональный семинар-практикум </w:t>
            </w:r>
            <w:r w:rsidR="00A81727" w:rsidRPr="00E266A0">
              <w:rPr>
                <w:szCs w:val="22"/>
                <w:lang w:val="ru-RU"/>
              </w:rPr>
              <w:t xml:space="preserve">по статистическим данным </w:t>
            </w:r>
            <w:r w:rsidRPr="00E266A0">
              <w:rPr>
                <w:szCs w:val="22"/>
                <w:lang w:val="ru-RU"/>
              </w:rPr>
              <w:t xml:space="preserve">в области ИКТ для региона Африки в Лилонгве, Малави; </w:t>
            </w:r>
          </w:p>
          <w:p w14:paraId="11F3AFBB" w14:textId="5EDF6FC5" w:rsidR="000D214A" w:rsidRPr="00E266A0" w:rsidRDefault="000D214A" w:rsidP="00537408">
            <w:pPr>
              <w:pStyle w:val="ListParagraph"/>
              <w:numPr>
                <w:ilvl w:val="0"/>
                <w:numId w:val="49"/>
              </w:numPr>
              <w:tabs>
                <w:tab w:val="clear" w:pos="1134"/>
                <w:tab w:val="clear" w:pos="1871"/>
                <w:tab w:val="clear" w:pos="2268"/>
              </w:tabs>
              <w:overflowPunct/>
              <w:autoSpaceDE/>
              <w:autoSpaceDN/>
              <w:adjustRightInd/>
              <w:spacing w:before="40" w:after="40"/>
              <w:contextualSpacing w:val="0"/>
              <w:textAlignment w:val="auto"/>
              <w:rPr>
                <w:szCs w:val="22"/>
                <w:lang w:val="ru-RU"/>
              </w:rPr>
            </w:pPr>
            <w:r w:rsidRPr="00E266A0">
              <w:rPr>
                <w:szCs w:val="22"/>
                <w:lang w:val="ru-RU"/>
              </w:rPr>
              <w:t xml:space="preserve">Региональный семинар-практикум </w:t>
            </w:r>
            <w:r w:rsidR="00A81727" w:rsidRPr="00E266A0">
              <w:rPr>
                <w:szCs w:val="22"/>
                <w:lang w:val="ru-RU"/>
              </w:rPr>
              <w:t xml:space="preserve">по статистическим данным </w:t>
            </w:r>
            <w:r w:rsidRPr="00E266A0">
              <w:rPr>
                <w:szCs w:val="22"/>
                <w:lang w:val="ru-RU"/>
              </w:rPr>
              <w:t>в области ИКТ для арабских государств в</w:t>
            </w:r>
            <w:r w:rsidR="00537408" w:rsidRPr="00E266A0">
              <w:rPr>
                <w:szCs w:val="22"/>
                <w:lang w:val="ru-RU"/>
              </w:rPr>
              <w:t> </w:t>
            </w:r>
            <w:r w:rsidRPr="00E266A0">
              <w:rPr>
                <w:szCs w:val="22"/>
                <w:lang w:val="ru-RU"/>
              </w:rPr>
              <w:t xml:space="preserve">Манаме, Бахрейн; </w:t>
            </w:r>
          </w:p>
          <w:p w14:paraId="4CA960A4" w14:textId="0A6BA9E2" w:rsidR="000D214A" w:rsidRPr="00E266A0" w:rsidRDefault="000D214A" w:rsidP="00537408">
            <w:pPr>
              <w:pStyle w:val="ListParagraph"/>
              <w:numPr>
                <w:ilvl w:val="0"/>
                <w:numId w:val="49"/>
              </w:numPr>
              <w:tabs>
                <w:tab w:val="clear" w:pos="1134"/>
                <w:tab w:val="clear" w:pos="1871"/>
                <w:tab w:val="clear" w:pos="2268"/>
              </w:tabs>
              <w:overflowPunct/>
              <w:autoSpaceDE/>
              <w:autoSpaceDN/>
              <w:adjustRightInd/>
              <w:spacing w:before="40" w:after="40"/>
              <w:contextualSpacing w:val="0"/>
              <w:textAlignment w:val="auto"/>
              <w:rPr>
                <w:szCs w:val="22"/>
                <w:lang w:val="ru-RU"/>
              </w:rPr>
            </w:pPr>
            <w:r w:rsidRPr="00E266A0">
              <w:rPr>
                <w:szCs w:val="22"/>
                <w:lang w:val="ru-RU"/>
              </w:rPr>
              <w:t xml:space="preserve">Субрегиональный семинар-практикум </w:t>
            </w:r>
            <w:r w:rsidR="00A81727" w:rsidRPr="00E266A0">
              <w:rPr>
                <w:szCs w:val="22"/>
                <w:lang w:val="ru-RU"/>
              </w:rPr>
              <w:t xml:space="preserve">по статистическим данным </w:t>
            </w:r>
            <w:r w:rsidRPr="00E266A0">
              <w:rPr>
                <w:szCs w:val="22"/>
                <w:lang w:val="ru-RU"/>
              </w:rPr>
              <w:t xml:space="preserve">в области ИКТ для стран Тихоокеанского региона в Нади, Фиджи; </w:t>
            </w:r>
          </w:p>
          <w:p w14:paraId="6E7EE7F2" w14:textId="268CD5AE" w:rsidR="00F974A4" w:rsidRPr="00E266A0" w:rsidRDefault="000D214A" w:rsidP="00537408">
            <w:pPr>
              <w:pStyle w:val="ListParagraph"/>
              <w:numPr>
                <w:ilvl w:val="0"/>
                <w:numId w:val="49"/>
              </w:numPr>
              <w:tabs>
                <w:tab w:val="clear" w:pos="1134"/>
                <w:tab w:val="clear" w:pos="1871"/>
                <w:tab w:val="clear" w:pos="2268"/>
              </w:tabs>
              <w:overflowPunct/>
              <w:autoSpaceDE/>
              <w:autoSpaceDN/>
              <w:adjustRightInd/>
              <w:spacing w:before="40" w:after="40"/>
              <w:contextualSpacing w:val="0"/>
              <w:textAlignment w:val="auto"/>
              <w:rPr>
                <w:szCs w:val="24"/>
                <w:lang w:val="ru-RU"/>
              </w:rPr>
            </w:pPr>
            <w:r w:rsidRPr="00E266A0">
              <w:rPr>
                <w:szCs w:val="22"/>
                <w:lang w:val="ru-RU"/>
              </w:rPr>
              <w:t xml:space="preserve">Региональный семинар-практикум САДК </w:t>
            </w:r>
            <w:r w:rsidR="00A81727" w:rsidRPr="00E266A0">
              <w:rPr>
                <w:szCs w:val="22"/>
                <w:lang w:val="ru-RU"/>
              </w:rPr>
              <w:t xml:space="preserve">по статистическим данным </w:t>
            </w:r>
            <w:r w:rsidRPr="00E266A0">
              <w:rPr>
                <w:szCs w:val="22"/>
                <w:lang w:val="ru-RU"/>
              </w:rPr>
              <w:t>в области ИКТ в Ботсване.</w:t>
            </w:r>
          </w:p>
        </w:tc>
      </w:tr>
      <w:tr w:rsidR="00EB1BDA" w:rsidRPr="00E266A0" w14:paraId="5E039FD2" w14:textId="77777777" w:rsidTr="00682F01">
        <w:tc>
          <w:tcPr>
            <w:tcW w:w="2689" w:type="dxa"/>
          </w:tcPr>
          <w:p w14:paraId="1565F8DC" w14:textId="3968FA24" w:rsidR="00EB1BDA" w:rsidRPr="00E266A0" w:rsidRDefault="00EB1BDA" w:rsidP="00EB1BDA">
            <w:pPr>
              <w:spacing w:before="40" w:after="40"/>
              <w:rPr>
                <w:i/>
                <w:iCs/>
                <w:szCs w:val="24"/>
                <w:lang w:val="ru-RU"/>
              </w:rPr>
            </w:pPr>
            <w:proofErr w:type="spellStart"/>
            <w:r w:rsidRPr="00E266A0">
              <w:rPr>
                <w:i/>
                <w:iCs/>
                <w:szCs w:val="22"/>
                <w:lang w:val="ru-RU"/>
              </w:rPr>
              <w:lastRenderedPageBreak/>
              <w:t>ВКРЭ</w:t>
            </w:r>
            <w:proofErr w:type="spellEnd"/>
          </w:p>
        </w:tc>
        <w:tc>
          <w:tcPr>
            <w:tcW w:w="7054" w:type="dxa"/>
          </w:tcPr>
          <w:p w14:paraId="0408BB3C" w14:textId="405BF509" w:rsidR="00EB1BDA" w:rsidRPr="00E266A0" w:rsidRDefault="00EB1BDA" w:rsidP="00EB1BDA">
            <w:pPr>
              <w:spacing w:before="40" w:after="40"/>
              <w:rPr>
                <w:szCs w:val="24"/>
                <w:lang w:val="ru-RU"/>
              </w:rPr>
            </w:pPr>
            <w:r w:rsidRPr="00E266A0">
              <w:rPr>
                <w:szCs w:val="22"/>
                <w:lang w:val="ru-RU"/>
              </w:rPr>
              <w:t>Резолюции 1, 5, 8, 30, 33, 37, 43, 50, 51, 52, 57, 59, 60</w:t>
            </w:r>
          </w:p>
        </w:tc>
      </w:tr>
      <w:tr w:rsidR="00EB1BDA" w:rsidRPr="00E266A0" w14:paraId="6AC145A1" w14:textId="77777777" w:rsidTr="00682F01">
        <w:tc>
          <w:tcPr>
            <w:tcW w:w="2689" w:type="dxa"/>
          </w:tcPr>
          <w:p w14:paraId="4C172FE1" w14:textId="3FE8DE7A" w:rsidR="00EB1BDA" w:rsidRPr="00E266A0" w:rsidRDefault="00EB1BDA" w:rsidP="00EB1BDA">
            <w:pPr>
              <w:spacing w:before="40" w:after="40"/>
              <w:rPr>
                <w:i/>
                <w:iCs/>
                <w:szCs w:val="24"/>
                <w:lang w:val="ru-RU"/>
              </w:rPr>
            </w:pPr>
            <w:r w:rsidRPr="00E266A0">
              <w:rPr>
                <w:i/>
                <w:iCs/>
                <w:szCs w:val="22"/>
                <w:lang w:val="ru-RU"/>
              </w:rPr>
              <w:t>Полномочная конференция</w:t>
            </w:r>
          </w:p>
        </w:tc>
        <w:tc>
          <w:tcPr>
            <w:tcW w:w="7054" w:type="dxa"/>
          </w:tcPr>
          <w:p w14:paraId="4EF14CAA" w14:textId="77777777" w:rsidR="00EB1BDA" w:rsidRPr="00E266A0" w:rsidRDefault="00EB1BDA" w:rsidP="00EB1BDA">
            <w:pPr>
              <w:spacing w:before="40" w:after="40"/>
              <w:rPr>
                <w:szCs w:val="22"/>
                <w:lang w:val="ru-RU"/>
              </w:rPr>
            </w:pPr>
            <w:r w:rsidRPr="00E266A0">
              <w:rPr>
                <w:szCs w:val="22"/>
                <w:lang w:val="ru-RU"/>
              </w:rPr>
              <w:t>Решения 5, 13 ПК</w:t>
            </w:r>
          </w:p>
          <w:p w14:paraId="4F5E2BC0" w14:textId="1A16E3FC" w:rsidR="00EB1BDA" w:rsidRPr="00E266A0" w:rsidRDefault="00EB1BDA" w:rsidP="00EB1BDA">
            <w:pPr>
              <w:spacing w:before="40" w:after="40"/>
              <w:rPr>
                <w:szCs w:val="24"/>
                <w:lang w:val="ru-RU"/>
              </w:rPr>
            </w:pPr>
            <w:r w:rsidRPr="00E266A0">
              <w:rPr>
                <w:szCs w:val="22"/>
                <w:lang w:val="ru-RU"/>
              </w:rPr>
              <w:t>Резолюции 25, 71, 72, 137, 139, 140, 176, 188, 189, 197, 199, 202 ПК</w:t>
            </w:r>
          </w:p>
        </w:tc>
      </w:tr>
      <w:tr w:rsidR="00EB1BDA" w:rsidRPr="005C1BAD" w14:paraId="4553DF9C" w14:textId="77777777" w:rsidTr="00682F01">
        <w:tc>
          <w:tcPr>
            <w:tcW w:w="2689" w:type="dxa"/>
          </w:tcPr>
          <w:p w14:paraId="13992C60" w14:textId="3C3F83F3" w:rsidR="00EB1BDA" w:rsidRPr="00E266A0" w:rsidRDefault="00EB1BDA" w:rsidP="00EB1BDA">
            <w:pPr>
              <w:spacing w:before="40" w:after="40"/>
              <w:rPr>
                <w:i/>
                <w:iCs/>
                <w:szCs w:val="24"/>
                <w:lang w:val="ru-RU"/>
              </w:rPr>
            </w:pPr>
            <w:r w:rsidRPr="00E266A0">
              <w:rPr>
                <w:i/>
                <w:iCs/>
                <w:szCs w:val="22"/>
                <w:lang w:val="ru-RU"/>
              </w:rPr>
              <w:t>Направления деятельности ВВУИО</w:t>
            </w:r>
          </w:p>
        </w:tc>
        <w:tc>
          <w:tcPr>
            <w:tcW w:w="7054" w:type="dxa"/>
          </w:tcPr>
          <w:p w14:paraId="76480E27" w14:textId="35BE8778" w:rsidR="00EB1BDA" w:rsidRPr="00E266A0" w:rsidRDefault="00EB1BDA" w:rsidP="00A81727">
            <w:pPr>
              <w:spacing w:before="40" w:after="40"/>
              <w:rPr>
                <w:szCs w:val="24"/>
                <w:highlight w:val="yellow"/>
                <w:lang w:val="ru-RU"/>
              </w:rPr>
            </w:pPr>
            <w:r w:rsidRPr="00E266A0">
              <w:rPr>
                <w:szCs w:val="22"/>
                <w:lang w:val="ru-RU"/>
              </w:rPr>
              <w:t xml:space="preserve">Статистические данные по электросвязи/ИКТ актуальны для мониторинга осуществления всех Направлений деятельности Женевского плана действий ВВУИО и упоминаются в пунктах 112–119 Тунисской программы для информационного общества, а также в пункте 70 итогового документа </w:t>
            </w:r>
            <w:r w:rsidR="00A81727" w:rsidRPr="00E266A0">
              <w:rPr>
                <w:szCs w:val="22"/>
                <w:lang w:val="ru-RU"/>
              </w:rPr>
              <w:t>совещания</w:t>
            </w:r>
            <w:r w:rsidRPr="00E266A0">
              <w:rPr>
                <w:szCs w:val="22"/>
                <w:lang w:val="ru-RU"/>
              </w:rPr>
              <w:t xml:space="preserve"> высокого уровня Генеральной Ассамблеи</w:t>
            </w:r>
            <w:r w:rsidR="00A81727" w:rsidRPr="00E266A0">
              <w:rPr>
                <w:szCs w:val="22"/>
                <w:lang w:val="ru-RU"/>
              </w:rPr>
              <w:t>,</w:t>
            </w:r>
            <w:r w:rsidRPr="00E266A0">
              <w:rPr>
                <w:szCs w:val="22"/>
                <w:lang w:val="ru-RU"/>
              </w:rPr>
              <w:t xml:space="preserve"> </w:t>
            </w:r>
            <w:r w:rsidR="00A81727" w:rsidRPr="00E266A0">
              <w:rPr>
                <w:szCs w:val="22"/>
                <w:lang w:val="ru-RU"/>
              </w:rPr>
              <w:t>посвященного</w:t>
            </w:r>
            <w:r w:rsidRPr="00E266A0">
              <w:rPr>
                <w:szCs w:val="22"/>
                <w:lang w:val="ru-RU"/>
              </w:rPr>
              <w:t xml:space="preserve"> общему обзору </w:t>
            </w:r>
            <w:r w:rsidR="00A81727" w:rsidRPr="00E266A0">
              <w:rPr>
                <w:szCs w:val="22"/>
                <w:lang w:val="ru-RU"/>
              </w:rPr>
              <w:t xml:space="preserve">хода </w:t>
            </w:r>
            <w:r w:rsidRPr="00E266A0">
              <w:rPr>
                <w:szCs w:val="22"/>
                <w:lang w:val="ru-RU"/>
              </w:rPr>
              <w:t>осуществления решений ВВУИО</w:t>
            </w:r>
          </w:p>
        </w:tc>
      </w:tr>
      <w:tr w:rsidR="00EB1BDA" w:rsidRPr="005C1BAD" w14:paraId="022B374C" w14:textId="77777777" w:rsidTr="00682F01">
        <w:tc>
          <w:tcPr>
            <w:tcW w:w="2689" w:type="dxa"/>
          </w:tcPr>
          <w:p w14:paraId="3DB63DD0" w14:textId="3BA9663F" w:rsidR="00EB1BDA" w:rsidRPr="00E266A0" w:rsidRDefault="00EB1BDA" w:rsidP="00EB1BDA">
            <w:pPr>
              <w:spacing w:before="40" w:after="40"/>
              <w:rPr>
                <w:i/>
                <w:iCs/>
                <w:szCs w:val="24"/>
                <w:lang w:val="ru-RU"/>
              </w:rPr>
            </w:pPr>
            <w:r w:rsidRPr="00E266A0">
              <w:rPr>
                <w:i/>
                <w:iCs/>
                <w:szCs w:val="22"/>
                <w:lang w:val="ru-RU"/>
              </w:rPr>
              <w:t>Вклад в выполнение задач ЦУР</w:t>
            </w:r>
          </w:p>
        </w:tc>
        <w:tc>
          <w:tcPr>
            <w:tcW w:w="7054" w:type="dxa"/>
          </w:tcPr>
          <w:p w14:paraId="136E1BBF" w14:textId="7152093E" w:rsidR="00EB1BDA" w:rsidRPr="00E266A0" w:rsidRDefault="00EB1BDA" w:rsidP="00EB1BDA">
            <w:pPr>
              <w:spacing w:before="40" w:after="40"/>
              <w:rPr>
                <w:szCs w:val="24"/>
                <w:highlight w:val="yellow"/>
                <w:lang w:val="ru-RU"/>
              </w:rPr>
            </w:pPr>
            <w:r w:rsidRPr="00E266A0">
              <w:rPr>
                <w:szCs w:val="22"/>
                <w:lang w:val="ru-RU"/>
              </w:rPr>
              <w:t xml:space="preserve">Статистические данные по электросвязи/ИКТ актуальны для мониторинга достижения всех ЦУР и упоминаются в пунктах 48, 57, </w:t>
            </w:r>
            <w:r w:rsidRPr="00E266A0">
              <w:rPr>
                <w:szCs w:val="22"/>
                <w:lang w:val="ru-RU"/>
              </w:rPr>
              <w:br/>
              <w:t>74–76 и 83 Повестки дня в области устойчивого развития на период до 2030 года</w:t>
            </w:r>
          </w:p>
        </w:tc>
      </w:tr>
    </w:tbl>
    <w:p w14:paraId="4EF507F8" w14:textId="58A5C4C0" w:rsidR="00F974A4" w:rsidRPr="00E266A0" w:rsidRDefault="00F974A4" w:rsidP="00612977">
      <w:pPr>
        <w:keepNext/>
        <w:spacing w:after="120"/>
        <w:ind w:left="357" w:hanging="357"/>
        <w:rPr>
          <w:b/>
          <w:bCs/>
          <w:szCs w:val="24"/>
          <w:lang w:val="ru-RU"/>
        </w:rPr>
      </w:pPr>
      <w:r w:rsidRPr="00E266A0">
        <w:rPr>
          <w:b/>
          <w:bCs/>
          <w:szCs w:val="24"/>
          <w:lang w:val="ru-RU"/>
        </w:rPr>
        <w:lastRenderedPageBreak/>
        <w:t>4.3</w:t>
      </w:r>
      <w:r w:rsidRPr="00E266A0">
        <w:rPr>
          <w:b/>
          <w:bCs/>
          <w:szCs w:val="24"/>
          <w:lang w:val="ru-RU"/>
        </w:rPr>
        <w:tab/>
      </w:r>
      <w:r w:rsidR="00115412" w:rsidRPr="00E266A0">
        <w:rPr>
          <w:b/>
          <w:szCs w:val="24"/>
          <w:lang w:val="ru-RU"/>
        </w:rPr>
        <w:t>Охват цифровыми технологи</w:t>
      </w:r>
      <w:r w:rsidR="00623BE5" w:rsidRPr="00E266A0">
        <w:rPr>
          <w:b/>
          <w:szCs w:val="24"/>
          <w:lang w:val="ru-RU"/>
        </w:rPr>
        <w:t>ями</w:t>
      </w:r>
      <w:r w:rsidR="00115412" w:rsidRPr="00E266A0">
        <w:rPr>
          <w:b/>
          <w:szCs w:val="24"/>
          <w:lang w:val="ru-RU"/>
        </w:rPr>
        <w:t xml:space="preserve"> лиц с особыми потребностями</w:t>
      </w:r>
    </w:p>
    <w:tbl>
      <w:tblPr>
        <w:tblStyle w:val="TableGrid"/>
        <w:tblW w:w="0" w:type="auto"/>
        <w:tblLayout w:type="fixed"/>
        <w:tblLook w:val="04A0" w:firstRow="1" w:lastRow="0" w:firstColumn="1" w:lastColumn="0" w:noHBand="0" w:noVBand="1"/>
      </w:tblPr>
      <w:tblGrid>
        <w:gridCol w:w="2547"/>
        <w:gridCol w:w="7196"/>
      </w:tblGrid>
      <w:tr w:rsidR="00F974A4" w:rsidRPr="00E266A0" w14:paraId="42FD7EDE" w14:textId="77777777" w:rsidTr="00682F01">
        <w:tc>
          <w:tcPr>
            <w:tcW w:w="9743" w:type="dxa"/>
            <w:gridSpan w:val="2"/>
          </w:tcPr>
          <w:p w14:paraId="68C74869" w14:textId="1E3C4B2D" w:rsidR="006F4A29" w:rsidRPr="00E266A0" w:rsidRDefault="006F4A29" w:rsidP="00E84D42">
            <w:pPr>
              <w:spacing w:after="120"/>
              <w:rPr>
                <w:szCs w:val="22"/>
                <w:lang w:val="ru-RU"/>
              </w:rPr>
            </w:pPr>
            <w:proofErr w:type="spellStart"/>
            <w:r w:rsidRPr="00E266A0">
              <w:rPr>
                <w:szCs w:val="22"/>
                <w:lang w:val="ru-RU"/>
              </w:rPr>
              <w:t>БРЭ</w:t>
            </w:r>
            <w:proofErr w:type="spellEnd"/>
            <w:r w:rsidRPr="00E266A0">
              <w:rPr>
                <w:szCs w:val="22"/>
                <w:lang w:val="ru-RU"/>
              </w:rPr>
              <w:t xml:space="preserve"> пред</w:t>
            </w:r>
            <w:r w:rsidR="00785DDE" w:rsidRPr="00E266A0">
              <w:rPr>
                <w:szCs w:val="22"/>
                <w:lang w:val="ru-RU"/>
              </w:rPr>
              <w:t>о</w:t>
            </w:r>
            <w:r w:rsidRPr="00E266A0">
              <w:rPr>
                <w:szCs w:val="22"/>
                <w:lang w:val="ru-RU"/>
              </w:rPr>
              <w:t>став</w:t>
            </w:r>
            <w:r w:rsidR="00E84D42">
              <w:rPr>
                <w:szCs w:val="22"/>
                <w:lang w:val="ru-RU"/>
              </w:rPr>
              <w:t xml:space="preserve">ило </w:t>
            </w:r>
            <w:r w:rsidRPr="00E266A0">
              <w:rPr>
                <w:szCs w:val="22"/>
                <w:lang w:val="ru-RU"/>
              </w:rPr>
              <w:t xml:space="preserve">всем членам МСЭ инновационные </w:t>
            </w:r>
            <w:r w:rsidR="00785DDE" w:rsidRPr="00E266A0">
              <w:rPr>
                <w:szCs w:val="22"/>
                <w:lang w:val="ru-RU"/>
              </w:rPr>
              <w:t>стратегии для оказания им содействия в разработке собственных национальных стратегий развития цифровых навыков и с этой целью опубликовал</w:t>
            </w:r>
            <w:r w:rsidR="00E84D42">
              <w:rPr>
                <w:szCs w:val="22"/>
                <w:lang w:val="ru-RU"/>
              </w:rPr>
              <w:t>о</w:t>
            </w:r>
            <w:r w:rsidR="00785DDE" w:rsidRPr="00E266A0">
              <w:rPr>
                <w:szCs w:val="22"/>
                <w:lang w:val="ru-RU"/>
              </w:rPr>
              <w:t xml:space="preserve"> на веб-сайте МСЭ комплект материалов по цифровым навыкам МСЭ. Данный комплект </w:t>
            </w:r>
            <w:r w:rsidRPr="00E266A0">
              <w:rPr>
                <w:szCs w:val="22"/>
                <w:lang w:val="ru-RU"/>
              </w:rPr>
              <w:t>материалов по цифровым навыкам доступен на шести официальных языках МСЭ, а также в форме электронной публикации и в версии для устройства Kindle. Информация о комплекте материалов по цифровым навыкам, а также о кампании "Цифровые навыки для достойных рабочих мест"</w:t>
            </w:r>
            <w:r w:rsidR="00785DDE" w:rsidRPr="00E266A0">
              <w:rPr>
                <w:szCs w:val="22"/>
                <w:lang w:val="ru-RU"/>
              </w:rPr>
              <w:t>, проводимой МСЭ совместно с МОТ</w:t>
            </w:r>
            <w:r w:rsidRPr="00E266A0">
              <w:rPr>
                <w:szCs w:val="22"/>
                <w:lang w:val="ru-RU"/>
              </w:rPr>
              <w:t xml:space="preserve"> в рамках глобальной инициативы по обеспечению достойных рабочих мест для молодежи</w:t>
            </w:r>
            <w:r w:rsidR="00785DDE" w:rsidRPr="00E266A0">
              <w:rPr>
                <w:szCs w:val="22"/>
                <w:lang w:val="ru-RU"/>
              </w:rPr>
              <w:t>,</w:t>
            </w:r>
            <w:r w:rsidRPr="00E266A0">
              <w:rPr>
                <w:szCs w:val="22"/>
                <w:lang w:val="ru-RU"/>
              </w:rPr>
              <w:t xml:space="preserve"> </w:t>
            </w:r>
            <w:r w:rsidR="00785DDE" w:rsidRPr="00E266A0">
              <w:rPr>
                <w:szCs w:val="22"/>
                <w:lang w:val="ru-RU"/>
              </w:rPr>
              <w:t>призванной стимулировать</w:t>
            </w:r>
            <w:r w:rsidRPr="00E266A0">
              <w:rPr>
                <w:szCs w:val="22"/>
                <w:lang w:val="ru-RU"/>
              </w:rPr>
              <w:t xml:space="preserve"> заинтересованны</w:t>
            </w:r>
            <w:r w:rsidR="00785DDE" w:rsidRPr="00E266A0">
              <w:rPr>
                <w:szCs w:val="22"/>
                <w:lang w:val="ru-RU"/>
              </w:rPr>
              <w:t>е</w:t>
            </w:r>
            <w:r w:rsidRPr="00E266A0">
              <w:rPr>
                <w:szCs w:val="22"/>
                <w:lang w:val="ru-RU"/>
              </w:rPr>
              <w:t xml:space="preserve"> сторон</w:t>
            </w:r>
            <w:r w:rsidR="00785DDE" w:rsidRPr="00E266A0">
              <w:rPr>
                <w:szCs w:val="22"/>
                <w:lang w:val="ru-RU"/>
              </w:rPr>
              <w:t>ы</w:t>
            </w:r>
            <w:r w:rsidRPr="00E266A0">
              <w:rPr>
                <w:szCs w:val="22"/>
                <w:lang w:val="ru-RU"/>
              </w:rPr>
              <w:t xml:space="preserve"> </w:t>
            </w:r>
            <w:r w:rsidR="00785DDE" w:rsidRPr="00E266A0">
              <w:rPr>
                <w:szCs w:val="22"/>
                <w:lang w:val="ru-RU"/>
              </w:rPr>
              <w:t xml:space="preserve">обучить </w:t>
            </w:r>
            <w:r w:rsidRPr="00E266A0">
              <w:rPr>
                <w:szCs w:val="22"/>
                <w:lang w:val="ru-RU"/>
              </w:rPr>
              <w:t xml:space="preserve">5 миллионов молодых женщин и мужчин цифровым навыкам, которые позволят им получить рабочие места, была представлена 1250 Членам МСЭ и другим заинтересованным сторонам в ходе различных мероприятий, включая Диалог высокого уровня по вопросам цифровых навыков в рамках ВВУИО, Неделю мобильного обучения, проходившую в Париже, мероприятие "Цифровые навыки для всех: ускорение </w:t>
            </w:r>
            <w:r w:rsidR="00785DDE" w:rsidRPr="00E266A0">
              <w:rPr>
                <w:szCs w:val="22"/>
                <w:lang w:val="ru-RU"/>
              </w:rPr>
              <w:t xml:space="preserve">повышения </w:t>
            </w:r>
            <w:r w:rsidRPr="00E266A0">
              <w:rPr>
                <w:szCs w:val="22"/>
                <w:lang w:val="ru-RU"/>
              </w:rPr>
              <w:t>конкурентоспособности и инклюзивного роста в</w:t>
            </w:r>
            <w:r w:rsidR="00785DDE" w:rsidRPr="00E266A0">
              <w:rPr>
                <w:szCs w:val="22"/>
                <w:lang w:val="ru-RU"/>
              </w:rPr>
              <w:t> </w:t>
            </w:r>
            <w:r w:rsidRPr="00E266A0">
              <w:rPr>
                <w:szCs w:val="22"/>
                <w:lang w:val="ru-RU"/>
              </w:rPr>
              <w:t xml:space="preserve">Европе", состоявшееся в Брюсселе, Бельгия; и прочие. </w:t>
            </w:r>
          </w:p>
          <w:p w14:paraId="4031D2BD" w14:textId="679057B7" w:rsidR="006F4A29" w:rsidRPr="00E266A0" w:rsidRDefault="006F4A29" w:rsidP="006F4A29">
            <w:pPr>
              <w:spacing w:after="120"/>
              <w:rPr>
                <w:szCs w:val="22"/>
                <w:lang w:val="ru-RU"/>
              </w:rPr>
            </w:pPr>
            <w:r w:rsidRPr="00E266A0">
              <w:rPr>
                <w:szCs w:val="22"/>
                <w:lang w:val="ru-RU"/>
              </w:rPr>
              <w:t xml:space="preserve">В 2018 году 131 страна организовала мероприятия, посвященные Международному дню "Девушки в ИКТ", в рамках которых 57 748 девушек приняли участие в 2186 мероприятиях, </w:t>
            </w:r>
            <w:r w:rsidR="00785DDE" w:rsidRPr="00E266A0">
              <w:rPr>
                <w:szCs w:val="22"/>
                <w:lang w:val="ru-RU"/>
              </w:rPr>
              <w:t>нацеленных на то, чтобы поощрять девушек строить карьеру и получать образование</w:t>
            </w:r>
            <w:r w:rsidRPr="00E266A0">
              <w:rPr>
                <w:szCs w:val="22"/>
                <w:lang w:val="ru-RU"/>
              </w:rPr>
              <w:t xml:space="preserve"> в сфере ИКТ. Были проведены мероприятия в 20 странах Африканского региона, 31 стране в регионе Северной и Южной Америки, 10 странах в арабском регионе, 22 странах в Азиатско-Тихоокеанском регионе, 8 странах в регионе СНГ и 30 странах в</w:t>
            </w:r>
            <w:r w:rsidR="00785DDE" w:rsidRPr="00E266A0">
              <w:rPr>
                <w:szCs w:val="22"/>
                <w:lang w:val="ru-RU"/>
              </w:rPr>
              <w:t xml:space="preserve"> </w:t>
            </w:r>
            <w:r w:rsidRPr="00E266A0">
              <w:rPr>
                <w:szCs w:val="22"/>
                <w:lang w:val="ru-RU"/>
              </w:rPr>
              <w:t>регионе Европы. К числу новых стран, присоединившихся к кампании в 2018</w:t>
            </w:r>
            <w:r w:rsidR="00785DDE" w:rsidRPr="00E266A0">
              <w:rPr>
                <w:szCs w:val="22"/>
                <w:lang w:val="ru-RU"/>
              </w:rPr>
              <w:t> </w:t>
            </w:r>
            <w:r w:rsidRPr="00E266A0">
              <w:rPr>
                <w:szCs w:val="22"/>
                <w:lang w:val="ru-RU"/>
              </w:rPr>
              <w:t xml:space="preserve">году, относятся Монголия, Соломоновы Острова, Таджикистан, Тимор-Лешти и Узбекистан. Член Сектора МСЭ </w:t>
            </w:r>
            <w:r w:rsidR="00785DDE" w:rsidRPr="00E266A0">
              <w:rPr>
                <w:szCs w:val="22"/>
                <w:lang w:val="ru-RU"/>
              </w:rPr>
              <w:t xml:space="preserve">компания </w:t>
            </w:r>
            <w:r w:rsidRPr="00E266A0">
              <w:rPr>
                <w:szCs w:val="22"/>
                <w:lang w:val="ru-RU"/>
              </w:rPr>
              <w:t>Cisco организовал</w:t>
            </w:r>
            <w:r w:rsidR="00785DDE" w:rsidRPr="00E266A0">
              <w:rPr>
                <w:szCs w:val="22"/>
                <w:lang w:val="ru-RU"/>
              </w:rPr>
              <w:t>а</w:t>
            </w:r>
            <w:r w:rsidRPr="00E266A0">
              <w:rPr>
                <w:szCs w:val="22"/>
                <w:lang w:val="ru-RU"/>
              </w:rPr>
              <w:t xml:space="preserve"> мероприятия для 4349 девушек, а Microsoft – для 3600 девушек. Германия, Нидерланды, Италия, Испания, Сенегал, Колумбия, Гватемала и Чили привлекли наибольшее количество девушек (перечислены в порядке уменьшения количества)</w:t>
            </w:r>
            <w:r w:rsidR="00CE6F99">
              <w:rPr>
                <w:szCs w:val="22"/>
                <w:lang w:val="ru-RU"/>
              </w:rPr>
              <w:t>.</w:t>
            </w:r>
          </w:p>
          <w:p w14:paraId="526E7A65" w14:textId="2781F2DB" w:rsidR="006F4A29" w:rsidRPr="00E266A0" w:rsidRDefault="00785DDE" w:rsidP="006F4A29">
            <w:pPr>
              <w:spacing w:after="120"/>
              <w:rPr>
                <w:szCs w:val="22"/>
                <w:lang w:val="ru-RU"/>
              </w:rPr>
            </w:pPr>
            <w:r w:rsidRPr="00E266A0">
              <w:rPr>
                <w:szCs w:val="22"/>
                <w:lang w:val="ru-RU"/>
              </w:rPr>
              <w:t>У</w:t>
            </w:r>
            <w:r w:rsidR="006F4A29" w:rsidRPr="00E266A0">
              <w:rPr>
                <w:szCs w:val="22"/>
                <w:lang w:val="ru-RU"/>
              </w:rPr>
              <w:t xml:space="preserve"> более чем 1500</w:t>
            </w:r>
            <w:r w:rsidRPr="00E266A0">
              <w:rPr>
                <w:szCs w:val="22"/>
                <w:lang w:val="ru-RU"/>
              </w:rPr>
              <w:t> </w:t>
            </w:r>
            <w:r w:rsidR="006F4A29" w:rsidRPr="00E266A0">
              <w:rPr>
                <w:szCs w:val="22"/>
                <w:lang w:val="ru-RU"/>
              </w:rPr>
              <w:t xml:space="preserve">Членов МСЭ и заинтересованных сторон </w:t>
            </w:r>
            <w:r w:rsidRPr="00E266A0">
              <w:rPr>
                <w:szCs w:val="22"/>
                <w:lang w:val="ru-RU"/>
              </w:rPr>
              <w:t xml:space="preserve">был повышен </w:t>
            </w:r>
            <w:r w:rsidR="006F4A29" w:rsidRPr="00E266A0">
              <w:rPr>
                <w:szCs w:val="22"/>
                <w:lang w:val="ru-RU"/>
              </w:rPr>
              <w:t>уров</w:t>
            </w:r>
            <w:r w:rsidRPr="00E266A0">
              <w:rPr>
                <w:szCs w:val="22"/>
                <w:lang w:val="ru-RU"/>
              </w:rPr>
              <w:t xml:space="preserve">ень </w:t>
            </w:r>
            <w:r w:rsidR="006F4A29" w:rsidRPr="00E266A0">
              <w:rPr>
                <w:szCs w:val="22"/>
                <w:lang w:val="ru-RU"/>
              </w:rPr>
              <w:t xml:space="preserve">информированности о деятельности и мероприятиях МСЭ-D, а также об основных ресурсах, </w:t>
            </w:r>
            <w:r w:rsidRPr="00E266A0">
              <w:rPr>
                <w:szCs w:val="22"/>
                <w:lang w:val="ru-RU"/>
              </w:rPr>
              <w:t>выделенных</w:t>
            </w:r>
            <w:r w:rsidR="006F4A29" w:rsidRPr="00E266A0">
              <w:rPr>
                <w:szCs w:val="22"/>
                <w:lang w:val="ru-RU"/>
              </w:rPr>
              <w:t xml:space="preserve"> для поддержки наших Членов в </w:t>
            </w:r>
            <w:r w:rsidRPr="00E266A0">
              <w:rPr>
                <w:szCs w:val="22"/>
                <w:lang w:val="ru-RU"/>
              </w:rPr>
              <w:t>решении задач</w:t>
            </w:r>
            <w:r w:rsidR="00CE6F99">
              <w:rPr>
                <w:szCs w:val="22"/>
                <w:lang w:val="ru-RU"/>
              </w:rPr>
              <w:t>и</w:t>
            </w:r>
            <w:r w:rsidRPr="00E266A0">
              <w:rPr>
                <w:szCs w:val="22"/>
                <w:lang w:val="ru-RU"/>
              </w:rPr>
              <w:t xml:space="preserve"> по </w:t>
            </w:r>
            <w:r w:rsidR="006F4A29" w:rsidRPr="00E266A0">
              <w:rPr>
                <w:szCs w:val="22"/>
                <w:lang w:val="ru-RU"/>
              </w:rPr>
              <w:t>обеспечени</w:t>
            </w:r>
            <w:r w:rsidRPr="00E266A0">
              <w:rPr>
                <w:szCs w:val="22"/>
                <w:lang w:val="ru-RU"/>
              </w:rPr>
              <w:t>ю</w:t>
            </w:r>
            <w:r w:rsidR="006F4A29" w:rsidRPr="00E266A0">
              <w:rPr>
                <w:szCs w:val="22"/>
                <w:lang w:val="ru-RU"/>
              </w:rPr>
              <w:t xml:space="preserve"> доступности ИКТ.</w:t>
            </w:r>
          </w:p>
          <w:p w14:paraId="735A5772" w14:textId="7B51CB96" w:rsidR="006F4A29" w:rsidRPr="00E266A0" w:rsidRDefault="006F4A29" w:rsidP="006F4A29">
            <w:pPr>
              <w:spacing w:after="120"/>
              <w:rPr>
                <w:szCs w:val="22"/>
                <w:lang w:val="ru-RU"/>
              </w:rPr>
            </w:pPr>
            <w:r w:rsidRPr="00E266A0">
              <w:rPr>
                <w:szCs w:val="22"/>
                <w:lang w:val="ru-RU"/>
              </w:rPr>
              <w:t>В течение 2018 года на новостном ресурсе МСЭ-D</w:t>
            </w:r>
            <w:r w:rsidR="00785DDE" w:rsidRPr="00E266A0">
              <w:rPr>
                <w:szCs w:val="22"/>
                <w:lang w:val="ru-RU"/>
              </w:rPr>
              <w:t xml:space="preserve"> п</w:t>
            </w:r>
            <w:r w:rsidR="008077E5" w:rsidRPr="00E266A0">
              <w:rPr>
                <w:szCs w:val="22"/>
                <w:lang w:val="ru-RU"/>
              </w:rPr>
              <w:t>о</w:t>
            </w:r>
            <w:r w:rsidR="00785DDE" w:rsidRPr="00E266A0">
              <w:rPr>
                <w:szCs w:val="22"/>
                <w:lang w:val="ru-RU"/>
              </w:rPr>
              <w:t xml:space="preserve"> </w:t>
            </w:r>
            <w:r w:rsidRPr="00E266A0">
              <w:rPr>
                <w:szCs w:val="22"/>
                <w:lang w:val="ru-RU"/>
              </w:rPr>
              <w:t xml:space="preserve">охвату цифровыми технологиями была размещена информация о 192 программах охвата цифровыми технологиями и соответствующем опыте, при этом число просмотров новостных сообщений на данном ресурсе составило 6585. Осуществлялось повышение уровня информированности и обмен передовым опытом между членами МСЭ в рамках еженедельной публикации </w:t>
            </w:r>
            <w:r w:rsidR="009F1085" w:rsidRPr="00E266A0">
              <w:rPr>
                <w:szCs w:val="22"/>
                <w:lang w:val="ru-RU"/>
              </w:rPr>
              <w:t>примеров</w:t>
            </w:r>
            <w:r w:rsidR="00785DDE" w:rsidRPr="00E266A0">
              <w:rPr>
                <w:szCs w:val="22"/>
                <w:lang w:val="ru-RU"/>
              </w:rPr>
              <w:t xml:space="preserve"> </w:t>
            </w:r>
            <w:r w:rsidRPr="00E266A0">
              <w:rPr>
                <w:szCs w:val="22"/>
                <w:lang w:val="ru-RU"/>
              </w:rPr>
              <w:t>инновационн</w:t>
            </w:r>
            <w:r w:rsidR="005E0A6E" w:rsidRPr="00E266A0">
              <w:rPr>
                <w:szCs w:val="22"/>
                <w:lang w:val="ru-RU"/>
              </w:rPr>
              <w:t>ой</w:t>
            </w:r>
            <w:r w:rsidRPr="00E266A0">
              <w:rPr>
                <w:szCs w:val="22"/>
                <w:lang w:val="ru-RU"/>
              </w:rPr>
              <w:t xml:space="preserve"> практик</w:t>
            </w:r>
            <w:r w:rsidR="005E0A6E" w:rsidRPr="00E266A0">
              <w:rPr>
                <w:szCs w:val="22"/>
                <w:lang w:val="ru-RU"/>
              </w:rPr>
              <w:t>и</w:t>
            </w:r>
            <w:r w:rsidRPr="00E266A0">
              <w:rPr>
                <w:szCs w:val="22"/>
                <w:lang w:val="ru-RU"/>
              </w:rPr>
              <w:t xml:space="preserve"> и стратеги</w:t>
            </w:r>
            <w:r w:rsidR="00262C97">
              <w:rPr>
                <w:szCs w:val="22"/>
                <w:lang w:val="ru-RU"/>
              </w:rPr>
              <w:t>и</w:t>
            </w:r>
            <w:r w:rsidRPr="00E266A0">
              <w:rPr>
                <w:szCs w:val="22"/>
                <w:lang w:val="ru-RU"/>
              </w:rPr>
              <w:t xml:space="preserve"> охвата цифровыми технологиями на новостном ресурсе МСЭ-D, посвященном охвату цифровыми технологиями. </w:t>
            </w:r>
          </w:p>
          <w:p w14:paraId="6BD999B0" w14:textId="4F80EF02" w:rsidR="006F4A29" w:rsidRPr="00E266A0" w:rsidRDefault="006F4A29" w:rsidP="006F4A29">
            <w:pPr>
              <w:spacing w:after="120"/>
              <w:rPr>
                <w:szCs w:val="22"/>
                <w:lang w:val="ru-RU"/>
              </w:rPr>
            </w:pPr>
            <w:r w:rsidRPr="00E266A0">
              <w:rPr>
                <w:szCs w:val="22"/>
                <w:lang w:val="ru-RU"/>
              </w:rPr>
              <w:t xml:space="preserve">Были организованы региональные мероприятия в поддержку региональных инициатив по обеспечению доступности в регионах Северной и Южной Америки, Европы, Африки и арабских государств. </w:t>
            </w:r>
          </w:p>
          <w:p w14:paraId="78D29DD2" w14:textId="77264D65" w:rsidR="00F974A4" w:rsidRPr="00E266A0" w:rsidRDefault="006F4A29" w:rsidP="00CE6F99">
            <w:pPr>
              <w:spacing w:after="120"/>
              <w:rPr>
                <w:szCs w:val="24"/>
                <w:highlight w:val="yellow"/>
                <w:lang w:val="ru-RU"/>
              </w:rPr>
            </w:pPr>
            <w:r w:rsidRPr="00E266A0">
              <w:rPr>
                <w:szCs w:val="22"/>
                <w:lang w:val="ru-RU"/>
              </w:rPr>
              <w:t xml:space="preserve">Была разработана серия, состоящая из трех (3) </w:t>
            </w:r>
            <w:r w:rsidR="005E0A6E" w:rsidRPr="00E266A0">
              <w:rPr>
                <w:szCs w:val="22"/>
                <w:lang w:val="ru-RU"/>
              </w:rPr>
              <w:t>проводимых по гибкому графику</w:t>
            </w:r>
            <w:r w:rsidRPr="00E266A0">
              <w:rPr>
                <w:szCs w:val="22"/>
                <w:lang w:val="ru-RU"/>
              </w:rPr>
              <w:t xml:space="preserve"> </w:t>
            </w:r>
            <w:r w:rsidR="00CE6F99">
              <w:rPr>
                <w:szCs w:val="22"/>
                <w:lang w:val="ru-RU"/>
              </w:rPr>
              <w:t xml:space="preserve">курсов </w:t>
            </w:r>
            <w:r w:rsidRPr="00E266A0">
              <w:rPr>
                <w:szCs w:val="22"/>
                <w:lang w:val="ru-RU"/>
              </w:rPr>
              <w:t xml:space="preserve">онлайновой подготовки, под названием "Доступность ИКТ: </w:t>
            </w:r>
            <w:r w:rsidR="005E0A6E" w:rsidRPr="00E266A0">
              <w:rPr>
                <w:szCs w:val="22"/>
                <w:lang w:val="ru-RU"/>
              </w:rPr>
              <w:t>ключевой фактор обеспечения инклюзивности связи</w:t>
            </w:r>
            <w:r w:rsidRPr="00E266A0">
              <w:rPr>
                <w:szCs w:val="22"/>
                <w:lang w:val="ru-RU"/>
              </w:rPr>
              <w:t xml:space="preserve">", </w:t>
            </w:r>
            <w:r w:rsidR="005E0A6E" w:rsidRPr="00E266A0">
              <w:rPr>
                <w:szCs w:val="22"/>
                <w:lang w:val="ru-RU"/>
              </w:rPr>
              <w:t xml:space="preserve">призванных обеспечить глубокое понимание </w:t>
            </w:r>
            <w:r w:rsidRPr="00E266A0">
              <w:rPr>
                <w:szCs w:val="22"/>
                <w:lang w:val="ru-RU"/>
              </w:rPr>
              <w:t>всеми соответствующими заинтересованными сторонами вопросов, связанных с доступностью ИКТ. Особое внимание в этих курсах уделяется, в</w:t>
            </w:r>
            <w:r w:rsidR="00CE6F99">
              <w:rPr>
                <w:szCs w:val="22"/>
                <w:lang w:val="ru-RU"/>
              </w:rPr>
              <w:t> </w:t>
            </w:r>
            <w:r w:rsidRPr="00E266A0">
              <w:rPr>
                <w:szCs w:val="22"/>
                <w:lang w:val="ru-RU"/>
              </w:rPr>
              <w:t>частности, соответствующей политике, регуляторным положения</w:t>
            </w:r>
            <w:r w:rsidR="005E0A6E" w:rsidRPr="00E266A0">
              <w:rPr>
                <w:szCs w:val="22"/>
                <w:lang w:val="ru-RU"/>
              </w:rPr>
              <w:t>м</w:t>
            </w:r>
            <w:r w:rsidRPr="00E266A0">
              <w:rPr>
                <w:szCs w:val="22"/>
                <w:lang w:val="ru-RU"/>
              </w:rPr>
              <w:t>, тенденциям в области технологий и правилам государственных закупок. Этот курс был разработан в соответствии с</w:t>
            </w:r>
            <w:r w:rsidR="00CE6F99">
              <w:rPr>
                <w:szCs w:val="22"/>
                <w:lang w:val="ru-RU"/>
              </w:rPr>
              <w:t> </w:t>
            </w:r>
            <w:r w:rsidRPr="00E266A0">
              <w:rPr>
                <w:szCs w:val="22"/>
                <w:lang w:val="ru-RU"/>
              </w:rPr>
              <w:t>решениями ВКРЭ-17.</w:t>
            </w:r>
          </w:p>
        </w:tc>
      </w:tr>
      <w:tr w:rsidR="00C84A9B" w:rsidRPr="00E266A0" w14:paraId="61B63BF6" w14:textId="77777777" w:rsidTr="00682F01">
        <w:tc>
          <w:tcPr>
            <w:tcW w:w="2547" w:type="dxa"/>
          </w:tcPr>
          <w:p w14:paraId="11F8F4FA" w14:textId="2F7D7B04" w:rsidR="00C84A9B" w:rsidRPr="00E266A0" w:rsidRDefault="00C84A9B" w:rsidP="00886A07">
            <w:pPr>
              <w:keepNext/>
              <w:spacing w:before="40" w:after="40"/>
              <w:rPr>
                <w:i/>
                <w:iCs/>
                <w:szCs w:val="24"/>
                <w:lang w:val="ru-RU"/>
              </w:rPr>
            </w:pPr>
            <w:r w:rsidRPr="00E266A0">
              <w:rPr>
                <w:i/>
                <w:iCs/>
                <w:szCs w:val="22"/>
                <w:lang w:val="ru-RU"/>
              </w:rPr>
              <w:lastRenderedPageBreak/>
              <w:t>ВКРЭ</w:t>
            </w:r>
          </w:p>
        </w:tc>
        <w:tc>
          <w:tcPr>
            <w:tcW w:w="7196" w:type="dxa"/>
          </w:tcPr>
          <w:p w14:paraId="16DAC4A2" w14:textId="1D480C9D" w:rsidR="00C84A9B" w:rsidRPr="00E266A0" w:rsidRDefault="00C84A9B" w:rsidP="00886A07">
            <w:pPr>
              <w:keepNext/>
              <w:spacing w:before="40" w:after="40"/>
              <w:rPr>
                <w:szCs w:val="24"/>
                <w:lang w:val="ru-RU"/>
              </w:rPr>
            </w:pPr>
            <w:r w:rsidRPr="00E266A0">
              <w:rPr>
                <w:szCs w:val="22"/>
                <w:lang w:val="ru-RU"/>
              </w:rPr>
              <w:t>Резолюции 1, 5, 9, 11, 15, 20, 21, 22, 23, 30, 32, 55, 58, 68, 76, 77</w:t>
            </w:r>
          </w:p>
        </w:tc>
      </w:tr>
      <w:tr w:rsidR="00C84A9B" w:rsidRPr="00E266A0" w14:paraId="3D8D0A6F" w14:textId="77777777" w:rsidTr="00886A07">
        <w:trPr>
          <w:cantSplit/>
        </w:trPr>
        <w:tc>
          <w:tcPr>
            <w:tcW w:w="2547" w:type="dxa"/>
          </w:tcPr>
          <w:p w14:paraId="272746A7" w14:textId="7DFC0719" w:rsidR="00C84A9B" w:rsidRPr="00E266A0" w:rsidRDefault="00C84A9B" w:rsidP="00C84A9B">
            <w:pPr>
              <w:spacing w:before="40" w:after="40"/>
              <w:rPr>
                <w:i/>
                <w:iCs/>
                <w:szCs w:val="24"/>
                <w:lang w:val="ru-RU"/>
              </w:rPr>
            </w:pPr>
            <w:r w:rsidRPr="00E266A0">
              <w:rPr>
                <w:i/>
                <w:iCs/>
                <w:szCs w:val="22"/>
                <w:lang w:val="ru-RU"/>
              </w:rPr>
              <w:t>Полномочная конференция</w:t>
            </w:r>
          </w:p>
        </w:tc>
        <w:tc>
          <w:tcPr>
            <w:tcW w:w="7196" w:type="dxa"/>
          </w:tcPr>
          <w:p w14:paraId="2165A656" w14:textId="77777777" w:rsidR="00C84A9B" w:rsidRPr="00E266A0" w:rsidRDefault="00C84A9B" w:rsidP="00C84A9B">
            <w:pPr>
              <w:spacing w:before="40" w:after="40"/>
              <w:rPr>
                <w:szCs w:val="22"/>
                <w:lang w:val="ru-RU"/>
              </w:rPr>
            </w:pPr>
            <w:r w:rsidRPr="00E266A0">
              <w:rPr>
                <w:szCs w:val="22"/>
                <w:lang w:val="ru-RU"/>
              </w:rPr>
              <w:t>Решения 5, 13 ПК</w:t>
            </w:r>
          </w:p>
          <w:p w14:paraId="0A6AC826" w14:textId="53AB06CF" w:rsidR="00C84A9B" w:rsidRPr="00E266A0" w:rsidRDefault="00C84A9B" w:rsidP="00C84A9B">
            <w:pPr>
              <w:spacing w:before="40" w:after="40"/>
              <w:rPr>
                <w:szCs w:val="24"/>
                <w:lang w:val="ru-RU"/>
              </w:rPr>
            </w:pPr>
            <w:r w:rsidRPr="00E266A0">
              <w:rPr>
                <w:szCs w:val="22"/>
                <w:lang w:val="ru-RU"/>
              </w:rPr>
              <w:t>Резолюции 25, 30, 32, 33, 34, 36, 37, 64, 70, 71, 131, 139, 140, 175, 184, 198, 202 ПК</w:t>
            </w:r>
          </w:p>
        </w:tc>
      </w:tr>
      <w:tr w:rsidR="00C84A9B" w:rsidRPr="00E266A0" w14:paraId="1152D64E" w14:textId="77777777" w:rsidTr="00682F01">
        <w:tc>
          <w:tcPr>
            <w:tcW w:w="2547" w:type="dxa"/>
          </w:tcPr>
          <w:p w14:paraId="66D619BE" w14:textId="6E4C2D98" w:rsidR="00C84A9B" w:rsidRPr="00E266A0" w:rsidRDefault="00C84A9B" w:rsidP="00C84A9B">
            <w:pPr>
              <w:spacing w:before="40" w:after="40"/>
              <w:rPr>
                <w:i/>
                <w:iCs/>
                <w:szCs w:val="24"/>
                <w:lang w:val="ru-RU"/>
              </w:rPr>
            </w:pPr>
            <w:r w:rsidRPr="00E266A0">
              <w:rPr>
                <w:i/>
                <w:iCs/>
                <w:szCs w:val="22"/>
                <w:lang w:val="ru-RU"/>
              </w:rPr>
              <w:t>ВАСЭ</w:t>
            </w:r>
          </w:p>
        </w:tc>
        <w:tc>
          <w:tcPr>
            <w:tcW w:w="7196" w:type="dxa"/>
          </w:tcPr>
          <w:p w14:paraId="3EA66A8F" w14:textId="2BBDD9E3" w:rsidR="00C84A9B" w:rsidRPr="00E266A0" w:rsidRDefault="00C84A9B" w:rsidP="00C84A9B">
            <w:pPr>
              <w:spacing w:before="40" w:after="40"/>
              <w:rPr>
                <w:szCs w:val="24"/>
                <w:lang w:val="ru-RU"/>
              </w:rPr>
            </w:pPr>
            <w:r w:rsidRPr="00E266A0">
              <w:rPr>
                <w:szCs w:val="22"/>
                <w:lang w:val="ru-RU"/>
              </w:rPr>
              <w:t>Резолюции 55, 69</w:t>
            </w:r>
          </w:p>
        </w:tc>
      </w:tr>
      <w:tr w:rsidR="00C84A9B" w:rsidRPr="005C1BAD" w14:paraId="4AB74E68" w14:textId="77777777" w:rsidTr="00682F01">
        <w:tc>
          <w:tcPr>
            <w:tcW w:w="2547" w:type="dxa"/>
          </w:tcPr>
          <w:p w14:paraId="31F42675" w14:textId="551BAE41" w:rsidR="00C84A9B" w:rsidRPr="00E266A0" w:rsidRDefault="00C84A9B" w:rsidP="00C84A9B">
            <w:pPr>
              <w:spacing w:before="40" w:after="40"/>
              <w:rPr>
                <w:i/>
                <w:iCs/>
                <w:szCs w:val="24"/>
                <w:lang w:val="ru-RU"/>
              </w:rPr>
            </w:pPr>
            <w:r w:rsidRPr="00E266A0">
              <w:rPr>
                <w:i/>
                <w:iCs/>
                <w:szCs w:val="22"/>
                <w:lang w:val="ru-RU"/>
              </w:rPr>
              <w:t>Направления деятельности ВВУИО</w:t>
            </w:r>
          </w:p>
        </w:tc>
        <w:tc>
          <w:tcPr>
            <w:tcW w:w="7196" w:type="dxa"/>
          </w:tcPr>
          <w:p w14:paraId="7E743236" w14:textId="7F7A3622" w:rsidR="00C84A9B" w:rsidRPr="00E266A0" w:rsidRDefault="00C84A9B" w:rsidP="00B752D0">
            <w:pPr>
              <w:spacing w:before="40" w:after="40"/>
              <w:rPr>
                <w:szCs w:val="24"/>
                <w:lang w:val="ru-RU"/>
              </w:rPr>
            </w:pPr>
            <w:r w:rsidRPr="00E266A0">
              <w:rPr>
                <w:szCs w:val="22"/>
                <w:lang w:val="ru-RU"/>
              </w:rPr>
              <w:t>Направления деятельности C2, C4, C7 и C8 Женевского плана действий, а</w:t>
            </w:r>
            <w:r w:rsidR="00B752D0" w:rsidRPr="00E266A0">
              <w:rPr>
                <w:szCs w:val="22"/>
                <w:lang w:val="ru-RU"/>
              </w:rPr>
              <w:t> </w:t>
            </w:r>
            <w:r w:rsidRPr="00E266A0">
              <w:rPr>
                <w:szCs w:val="22"/>
                <w:lang w:val="ru-RU"/>
              </w:rPr>
              <w:t>также пункт</w:t>
            </w:r>
            <w:r w:rsidR="00B752D0" w:rsidRPr="00E266A0">
              <w:rPr>
                <w:szCs w:val="22"/>
                <w:lang w:val="ru-RU"/>
              </w:rPr>
              <w:t> </w:t>
            </w:r>
            <w:r w:rsidRPr="00E266A0">
              <w:rPr>
                <w:szCs w:val="22"/>
                <w:lang w:val="ru-RU"/>
              </w:rPr>
              <w:t>90 Тунисской программы для информационного общества ВВУИО</w:t>
            </w:r>
          </w:p>
        </w:tc>
      </w:tr>
      <w:tr w:rsidR="00C84A9B" w:rsidRPr="005C1BAD" w14:paraId="279EA0CF" w14:textId="77777777" w:rsidTr="00863FB2">
        <w:trPr>
          <w:cantSplit/>
        </w:trPr>
        <w:tc>
          <w:tcPr>
            <w:tcW w:w="2547" w:type="dxa"/>
          </w:tcPr>
          <w:p w14:paraId="7547D14E" w14:textId="29D3F72A" w:rsidR="00C84A9B" w:rsidRPr="00E266A0" w:rsidRDefault="00C84A9B" w:rsidP="00C84A9B">
            <w:pPr>
              <w:spacing w:before="40" w:after="40"/>
              <w:rPr>
                <w:i/>
                <w:iCs/>
                <w:szCs w:val="24"/>
                <w:lang w:val="ru-RU"/>
              </w:rPr>
            </w:pPr>
            <w:r w:rsidRPr="00E266A0">
              <w:rPr>
                <w:i/>
                <w:iCs/>
                <w:szCs w:val="22"/>
                <w:lang w:val="ru-RU"/>
              </w:rPr>
              <w:t>Вклад в выполнение задач ЦУР</w:t>
            </w:r>
          </w:p>
        </w:tc>
        <w:tc>
          <w:tcPr>
            <w:tcW w:w="7196" w:type="dxa"/>
          </w:tcPr>
          <w:p w14:paraId="5F35A242" w14:textId="660A75BD" w:rsidR="00C84A9B" w:rsidRPr="00E266A0" w:rsidRDefault="00C84A9B" w:rsidP="00262C97">
            <w:pPr>
              <w:spacing w:before="40" w:after="40"/>
              <w:rPr>
                <w:szCs w:val="24"/>
                <w:lang w:val="ru-RU"/>
              </w:rPr>
            </w:pPr>
            <w:r w:rsidRPr="00E266A0">
              <w:rPr>
                <w:szCs w:val="22"/>
                <w:lang w:val="ru-RU"/>
              </w:rPr>
              <w:t>ЦУР 1 (задачи 1.2, 1.4, 1.a, 1.b), 4 (задачи 4.1, 4.2, 4.3, 4.4, 4.5, 4.a, 4.b), 5</w:t>
            </w:r>
            <w:r w:rsidR="00B752D0" w:rsidRPr="00E266A0">
              <w:rPr>
                <w:szCs w:val="22"/>
                <w:lang w:val="ru-RU"/>
              </w:rPr>
              <w:t> </w:t>
            </w:r>
            <w:r w:rsidRPr="00E266A0">
              <w:rPr>
                <w:szCs w:val="22"/>
                <w:lang w:val="ru-RU"/>
              </w:rPr>
              <w:t>(</w:t>
            </w:r>
            <w:r w:rsidR="00CE6F99">
              <w:rPr>
                <w:szCs w:val="22"/>
                <w:lang w:val="ru-RU"/>
              </w:rPr>
              <w:t xml:space="preserve">задачи </w:t>
            </w:r>
            <w:r w:rsidRPr="00E266A0">
              <w:rPr>
                <w:szCs w:val="22"/>
                <w:lang w:val="ru-RU"/>
              </w:rPr>
              <w:t xml:space="preserve">5.1, 5.5, 5.b, 5.c), 8 (задачи 8.2, 8.3, 8.5, 8.6, 8.10, 8.b), </w:t>
            </w:r>
            <w:r w:rsidR="00CE6F99">
              <w:rPr>
                <w:szCs w:val="22"/>
                <w:lang w:val="ru-RU"/>
              </w:rPr>
              <w:br/>
            </w:r>
            <w:r w:rsidRPr="00E266A0">
              <w:rPr>
                <w:szCs w:val="22"/>
                <w:lang w:val="ru-RU"/>
              </w:rPr>
              <w:t>9 (задача 9.c), 10</w:t>
            </w:r>
            <w:r w:rsidR="00B752D0" w:rsidRPr="00E266A0">
              <w:rPr>
                <w:szCs w:val="22"/>
                <w:lang w:val="ru-RU"/>
              </w:rPr>
              <w:t> </w:t>
            </w:r>
            <w:r w:rsidRPr="00E266A0">
              <w:rPr>
                <w:szCs w:val="22"/>
                <w:lang w:val="ru-RU"/>
              </w:rPr>
              <w:t>(задачи 10.2, 10.3), 11 (задачи 11.2, 11.7, 11.c), 16</w:t>
            </w:r>
            <w:r w:rsidR="00262C97">
              <w:rPr>
                <w:lang w:val="ru-RU"/>
              </w:rPr>
              <w:t> </w:t>
            </w:r>
            <w:r w:rsidRPr="00E266A0">
              <w:rPr>
                <w:szCs w:val="22"/>
                <w:lang w:val="ru-RU"/>
              </w:rPr>
              <w:t>(задача 16.b), 17</w:t>
            </w:r>
            <w:r w:rsidR="00B752D0" w:rsidRPr="00E266A0">
              <w:rPr>
                <w:szCs w:val="22"/>
                <w:lang w:val="ru-RU"/>
              </w:rPr>
              <w:t> </w:t>
            </w:r>
            <w:r w:rsidRPr="00E266A0">
              <w:rPr>
                <w:szCs w:val="22"/>
                <w:lang w:val="ru-RU"/>
              </w:rPr>
              <w:t>(задачи 17.6, 17.7, 17.8, 17.17)</w:t>
            </w:r>
          </w:p>
        </w:tc>
      </w:tr>
    </w:tbl>
    <w:p w14:paraId="0B8BEF15" w14:textId="4C9C14E2" w:rsidR="00F974A4" w:rsidRPr="00E266A0" w:rsidRDefault="00F974A4" w:rsidP="00612977">
      <w:pPr>
        <w:keepNext/>
        <w:spacing w:after="120"/>
        <w:ind w:left="357" w:hanging="357"/>
        <w:rPr>
          <w:b/>
          <w:bCs/>
          <w:szCs w:val="24"/>
          <w:lang w:val="ru-RU"/>
        </w:rPr>
      </w:pPr>
      <w:r w:rsidRPr="00E266A0">
        <w:rPr>
          <w:b/>
          <w:bCs/>
          <w:szCs w:val="24"/>
          <w:lang w:val="ru-RU"/>
        </w:rPr>
        <w:t>4.4</w:t>
      </w:r>
      <w:r w:rsidRPr="00E266A0">
        <w:rPr>
          <w:b/>
          <w:bCs/>
          <w:szCs w:val="24"/>
          <w:lang w:val="ru-RU"/>
        </w:rPr>
        <w:tab/>
      </w:r>
      <w:r w:rsidR="00B752D0" w:rsidRPr="00E266A0">
        <w:rPr>
          <w:b/>
          <w:lang w:val="ru-RU"/>
        </w:rPr>
        <w:t xml:space="preserve">Концентрированная помощь </w:t>
      </w:r>
      <w:proofErr w:type="spellStart"/>
      <w:r w:rsidR="00B752D0" w:rsidRPr="00E266A0">
        <w:rPr>
          <w:b/>
          <w:lang w:val="ru-RU"/>
        </w:rPr>
        <w:t>НРС</w:t>
      </w:r>
      <w:proofErr w:type="spellEnd"/>
      <w:r w:rsidR="00B752D0" w:rsidRPr="00E266A0">
        <w:rPr>
          <w:b/>
          <w:lang w:val="ru-RU"/>
        </w:rPr>
        <w:t>, СИДС и ЛЛДС</w:t>
      </w:r>
    </w:p>
    <w:tbl>
      <w:tblPr>
        <w:tblStyle w:val="TableGrid"/>
        <w:tblW w:w="0" w:type="auto"/>
        <w:tblLayout w:type="fixed"/>
        <w:tblLook w:val="04A0" w:firstRow="1" w:lastRow="0" w:firstColumn="1" w:lastColumn="0" w:noHBand="0" w:noVBand="1"/>
      </w:tblPr>
      <w:tblGrid>
        <w:gridCol w:w="2689"/>
        <w:gridCol w:w="7054"/>
      </w:tblGrid>
      <w:tr w:rsidR="00F974A4" w:rsidRPr="005C1BAD" w14:paraId="5DE84B9B" w14:textId="77777777" w:rsidTr="00682F01">
        <w:tc>
          <w:tcPr>
            <w:tcW w:w="9743" w:type="dxa"/>
            <w:gridSpan w:val="2"/>
          </w:tcPr>
          <w:p w14:paraId="55FB66A1" w14:textId="22CC385F" w:rsidR="00B752D0" w:rsidRPr="00E266A0" w:rsidRDefault="00B752D0" w:rsidP="00B752D0">
            <w:pPr>
              <w:spacing w:after="120"/>
              <w:rPr>
                <w:szCs w:val="22"/>
                <w:lang w:val="ru-RU"/>
              </w:rPr>
            </w:pPr>
            <w:r w:rsidRPr="00E266A0">
              <w:rPr>
                <w:szCs w:val="22"/>
                <w:lang w:val="ru-RU"/>
              </w:rPr>
              <w:t>БРЭ оказало концентрированную помощь следующим НРС, ЛЛДС и СИДС: Афганистан, Боливия, Бурунди, Гвинея-Бисау, Эсватини, Гаити, Кирибати, Малави, Мьянма, Парагвай, Сан-Томе и Принсипи, Соломоновы Острова, Сомали, Южный Судан, Судан, Суринам, Тимор-Лешти, Уганда, Узбекистан. Помощь оказывалась во всех видах деятельности, связанной с ИКТ, в том числе в таких областях, как регуляторные реформы рынка, электросвязь в чрезвычайных ситуациях и реагирование на бедствия, гендерное равенство, кибербезопасность, а также инфраструктура ИКТ и управление использованием спектра</w:t>
            </w:r>
            <w:r w:rsidRPr="00E266A0">
              <w:rPr>
                <w:rFonts w:cs="Arial"/>
                <w:color w:val="444444"/>
                <w:szCs w:val="22"/>
                <w:shd w:val="clear" w:color="auto" w:fill="FFFFFF"/>
                <w:lang w:val="ru-RU"/>
              </w:rPr>
              <w:t>.</w:t>
            </w:r>
          </w:p>
          <w:p w14:paraId="289D0662" w14:textId="3A53B179" w:rsidR="00B752D0" w:rsidRPr="00E266A0" w:rsidRDefault="00B752D0" w:rsidP="00B752D0">
            <w:pPr>
              <w:spacing w:after="120"/>
              <w:rPr>
                <w:szCs w:val="22"/>
                <w:lang w:val="ru-RU"/>
              </w:rPr>
            </w:pPr>
            <w:r w:rsidRPr="00E266A0">
              <w:rPr>
                <w:szCs w:val="22"/>
                <w:lang w:val="ru-RU"/>
              </w:rPr>
              <w:t xml:space="preserve">БРЭ опубликовало специальный отчет "ИКТ, НРС и ЦУР – </w:t>
            </w:r>
            <w:r w:rsidR="00DE0F0B" w:rsidRPr="00E266A0">
              <w:rPr>
                <w:szCs w:val="22"/>
                <w:lang w:val="ru-RU"/>
              </w:rPr>
              <w:t xml:space="preserve">внедрение </w:t>
            </w:r>
            <w:r w:rsidRPr="00E266A0">
              <w:rPr>
                <w:szCs w:val="22"/>
                <w:lang w:val="ru-RU"/>
              </w:rPr>
              <w:t>универсального и приемлемого в ценовом отношении интернета в наименее развитых странах". В отчете, который был подготовлен в сотрудничестве с Канцелярией Высокого представителя ООН по наименее развитым странам, развивающимся странам, не имеющим выхода к морю, и малым островным развивающимся государствам (КВПНРМ), основное внимание уделяется инфраструктуре ИКТ и динамике приемлемости в ценовом отношении (ЦУР 9, задача 9</w:t>
            </w:r>
            <w:r w:rsidR="00262C97">
              <w:rPr>
                <w:szCs w:val="22"/>
                <w:lang w:val="ru-RU"/>
              </w:rPr>
              <w:t>.</w:t>
            </w:r>
            <w:r w:rsidRPr="00E266A0">
              <w:rPr>
                <w:szCs w:val="22"/>
                <w:lang w:val="ru-RU"/>
              </w:rPr>
              <w:t>c). В отчете подчеркивается, что хотя доступ к</w:t>
            </w:r>
            <w:r w:rsidR="00DE0F0B">
              <w:rPr>
                <w:szCs w:val="22"/>
                <w:lang w:val="ru-RU"/>
              </w:rPr>
              <w:t> </w:t>
            </w:r>
            <w:r w:rsidRPr="00E266A0">
              <w:rPr>
                <w:szCs w:val="22"/>
                <w:lang w:val="ru-RU"/>
              </w:rPr>
              <w:t xml:space="preserve">интернету существенно </w:t>
            </w:r>
            <w:r w:rsidR="00886A07" w:rsidRPr="00E266A0">
              <w:rPr>
                <w:szCs w:val="22"/>
                <w:lang w:val="ru-RU"/>
              </w:rPr>
              <w:t>расширился</w:t>
            </w:r>
            <w:r w:rsidRPr="00E266A0">
              <w:rPr>
                <w:szCs w:val="22"/>
                <w:lang w:val="ru-RU"/>
              </w:rPr>
              <w:t>, 800 </w:t>
            </w:r>
            <w:r w:rsidR="00886A07" w:rsidRPr="00E266A0">
              <w:rPr>
                <w:szCs w:val="22"/>
                <w:lang w:val="ru-RU"/>
              </w:rPr>
              <w:t xml:space="preserve">миллионов </w:t>
            </w:r>
            <w:r w:rsidRPr="00E266A0">
              <w:rPr>
                <w:szCs w:val="22"/>
                <w:lang w:val="ru-RU"/>
              </w:rPr>
              <w:t>человек в НРС остаются неподключенными, а</w:t>
            </w:r>
            <w:r w:rsidR="00886A07" w:rsidRPr="00E266A0">
              <w:rPr>
                <w:szCs w:val="22"/>
                <w:lang w:val="ru-RU"/>
              </w:rPr>
              <w:t> </w:t>
            </w:r>
            <w:r w:rsidRPr="00E266A0">
              <w:rPr>
                <w:szCs w:val="22"/>
                <w:lang w:val="ru-RU"/>
              </w:rPr>
              <w:t>в</w:t>
            </w:r>
            <w:r w:rsidR="00886A07" w:rsidRPr="00E266A0">
              <w:rPr>
                <w:szCs w:val="22"/>
                <w:lang w:val="ru-RU"/>
              </w:rPr>
              <w:t> </w:t>
            </w:r>
            <w:r w:rsidRPr="00E266A0">
              <w:rPr>
                <w:szCs w:val="22"/>
                <w:lang w:val="ru-RU"/>
              </w:rPr>
              <w:t xml:space="preserve">2020 году менее </w:t>
            </w:r>
            <w:r w:rsidR="00886A07" w:rsidRPr="00E266A0">
              <w:rPr>
                <w:szCs w:val="22"/>
                <w:lang w:val="ru-RU"/>
              </w:rPr>
              <w:t>четверти населения</w:t>
            </w:r>
            <w:r w:rsidRPr="00E266A0">
              <w:rPr>
                <w:szCs w:val="22"/>
                <w:lang w:val="ru-RU"/>
              </w:rPr>
              <w:t xml:space="preserve"> в НРС буд</w:t>
            </w:r>
            <w:r w:rsidR="00DE0F0B">
              <w:rPr>
                <w:szCs w:val="22"/>
                <w:lang w:val="ru-RU"/>
              </w:rPr>
              <w:t>у</w:t>
            </w:r>
            <w:r w:rsidRPr="00E266A0">
              <w:rPr>
                <w:szCs w:val="22"/>
                <w:lang w:val="ru-RU"/>
              </w:rPr>
              <w:t xml:space="preserve">т </w:t>
            </w:r>
            <w:r w:rsidR="00886A07" w:rsidRPr="00E266A0">
              <w:rPr>
                <w:szCs w:val="22"/>
                <w:lang w:val="ru-RU"/>
              </w:rPr>
              <w:t>пользоваться интернетом</w:t>
            </w:r>
            <w:r w:rsidRPr="00E266A0">
              <w:rPr>
                <w:szCs w:val="22"/>
                <w:lang w:val="ru-RU"/>
              </w:rPr>
              <w:t>. Многим людям не</w:t>
            </w:r>
            <w:r w:rsidR="00886A07" w:rsidRPr="00E266A0">
              <w:rPr>
                <w:szCs w:val="22"/>
                <w:lang w:val="ru-RU"/>
              </w:rPr>
              <w:t> </w:t>
            </w:r>
            <w:r w:rsidRPr="00E266A0">
              <w:rPr>
                <w:szCs w:val="22"/>
                <w:lang w:val="ru-RU"/>
              </w:rPr>
              <w:t>хватает необходимых навыков, и правительства должны увязывать стратегические планы по сектору ИКТ и политику в области образования. В отчете также предлагается новая трехмерная основа, в которой НРС классифицируются по трем категориям на основании их общих показателей в областях доступа, приемлемости в ценовом отношении и навыков. Это поможет странам определить области</w:t>
            </w:r>
            <w:r w:rsidR="00886A07" w:rsidRPr="00E266A0">
              <w:rPr>
                <w:szCs w:val="22"/>
                <w:lang w:val="ru-RU"/>
              </w:rPr>
              <w:t xml:space="preserve"> с самыми неотложными проблемами, на решение которых</w:t>
            </w:r>
            <w:r w:rsidRPr="00E266A0">
              <w:rPr>
                <w:szCs w:val="22"/>
                <w:lang w:val="ru-RU"/>
              </w:rPr>
              <w:t xml:space="preserve"> необходимо направлять меры политики и ограниченные финансовые и людские ресурсы. </w:t>
            </w:r>
          </w:p>
          <w:p w14:paraId="7BEA1303" w14:textId="72DD380D" w:rsidR="00F974A4" w:rsidRPr="00E266A0" w:rsidRDefault="00B752D0" w:rsidP="00DE0F0B">
            <w:pPr>
              <w:spacing w:after="120"/>
              <w:rPr>
                <w:szCs w:val="24"/>
                <w:lang w:val="ru-RU"/>
              </w:rPr>
            </w:pPr>
            <w:r w:rsidRPr="00E266A0">
              <w:rPr>
                <w:szCs w:val="22"/>
                <w:lang w:val="ru-RU"/>
              </w:rPr>
              <w:t xml:space="preserve">БРЭ также провело исследования конкретных ситуаций в странах по </w:t>
            </w:r>
            <w:r w:rsidR="00886A07" w:rsidRPr="00E266A0">
              <w:rPr>
                <w:szCs w:val="22"/>
                <w:lang w:val="ru-RU"/>
              </w:rPr>
              <w:t xml:space="preserve">таким </w:t>
            </w:r>
            <w:r w:rsidRPr="00E266A0">
              <w:rPr>
                <w:szCs w:val="22"/>
                <w:lang w:val="ru-RU"/>
              </w:rPr>
              <w:t>ЛЛДС</w:t>
            </w:r>
            <w:r w:rsidR="00886A07" w:rsidRPr="00E266A0">
              <w:rPr>
                <w:szCs w:val="22"/>
                <w:lang w:val="ru-RU"/>
              </w:rPr>
              <w:t>, как</w:t>
            </w:r>
            <w:r w:rsidRPr="00E266A0">
              <w:rPr>
                <w:szCs w:val="22"/>
                <w:lang w:val="ru-RU"/>
              </w:rPr>
              <w:t xml:space="preserve"> Боливи</w:t>
            </w:r>
            <w:r w:rsidR="00886A07" w:rsidRPr="00E266A0">
              <w:rPr>
                <w:szCs w:val="22"/>
                <w:lang w:val="ru-RU"/>
              </w:rPr>
              <w:t>я</w:t>
            </w:r>
            <w:r w:rsidRPr="00E266A0">
              <w:rPr>
                <w:szCs w:val="22"/>
                <w:lang w:val="ru-RU"/>
              </w:rPr>
              <w:t xml:space="preserve"> и</w:t>
            </w:r>
            <w:r w:rsidR="00886A07" w:rsidRPr="00E266A0">
              <w:rPr>
                <w:szCs w:val="22"/>
                <w:lang w:val="ru-RU"/>
              </w:rPr>
              <w:t> </w:t>
            </w:r>
            <w:r w:rsidRPr="00E266A0">
              <w:rPr>
                <w:szCs w:val="22"/>
                <w:lang w:val="ru-RU"/>
              </w:rPr>
              <w:t>Парагва</w:t>
            </w:r>
            <w:r w:rsidR="00DE0F0B">
              <w:rPr>
                <w:szCs w:val="22"/>
                <w:lang w:val="ru-RU"/>
              </w:rPr>
              <w:t>й</w:t>
            </w:r>
            <w:r w:rsidRPr="00E266A0">
              <w:rPr>
                <w:szCs w:val="22"/>
                <w:lang w:val="ru-RU"/>
              </w:rPr>
              <w:t xml:space="preserve">, проанализировав проблемы и перспективы в области возможностей установления соединений. В течение года БРЭ </w:t>
            </w:r>
            <w:r w:rsidR="00886A07" w:rsidRPr="00E266A0">
              <w:rPr>
                <w:szCs w:val="22"/>
                <w:lang w:val="ru-RU"/>
              </w:rPr>
              <w:t>обеспечило дальнейшее улучшение доступа</w:t>
            </w:r>
            <w:r w:rsidRPr="00E266A0">
              <w:rPr>
                <w:szCs w:val="22"/>
                <w:lang w:val="ru-RU"/>
              </w:rPr>
              <w:t xml:space="preserve"> к информации и примерам передового опыта и укрепило потенциал, организовав и посетив ряд семинаров, специально посвященных потребностям НРС, ЛЛДС и СИДС.</w:t>
            </w:r>
          </w:p>
        </w:tc>
      </w:tr>
      <w:tr w:rsidR="00B752D0" w:rsidRPr="00E266A0" w14:paraId="09EB9938" w14:textId="77777777" w:rsidTr="00682F01">
        <w:tc>
          <w:tcPr>
            <w:tcW w:w="2689" w:type="dxa"/>
          </w:tcPr>
          <w:p w14:paraId="33A95A58" w14:textId="12DEA7D8" w:rsidR="00B752D0" w:rsidRPr="00E266A0" w:rsidRDefault="00B752D0" w:rsidP="00B752D0">
            <w:pPr>
              <w:spacing w:before="40" w:after="40"/>
              <w:rPr>
                <w:i/>
                <w:iCs/>
                <w:szCs w:val="24"/>
                <w:lang w:val="ru-RU"/>
              </w:rPr>
            </w:pPr>
            <w:proofErr w:type="spellStart"/>
            <w:r w:rsidRPr="00E266A0">
              <w:rPr>
                <w:i/>
                <w:iCs/>
                <w:szCs w:val="22"/>
                <w:lang w:val="ru-RU"/>
              </w:rPr>
              <w:t>ВКРЭ</w:t>
            </w:r>
            <w:proofErr w:type="spellEnd"/>
          </w:p>
        </w:tc>
        <w:tc>
          <w:tcPr>
            <w:tcW w:w="7054" w:type="dxa"/>
          </w:tcPr>
          <w:p w14:paraId="02FB9E11" w14:textId="76ED392D" w:rsidR="00B752D0" w:rsidRPr="00E266A0" w:rsidRDefault="00B752D0" w:rsidP="00B752D0">
            <w:pPr>
              <w:spacing w:before="40" w:after="40"/>
              <w:rPr>
                <w:szCs w:val="24"/>
                <w:lang w:val="ru-RU"/>
              </w:rPr>
            </w:pPr>
            <w:r w:rsidRPr="00E266A0">
              <w:rPr>
                <w:szCs w:val="22"/>
                <w:lang w:val="ru-RU"/>
              </w:rPr>
              <w:t>Резолюции 16, 17, 18, 21, 25, 26, 30, 33, 36, 37, 50, 51, 52, 53, 57, 60</w:t>
            </w:r>
          </w:p>
        </w:tc>
      </w:tr>
      <w:tr w:rsidR="00B752D0" w:rsidRPr="00E266A0" w14:paraId="1E19A101" w14:textId="77777777" w:rsidTr="00682F01">
        <w:tc>
          <w:tcPr>
            <w:tcW w:w="2689" w:type="dxa"/>
          </w:tcPr>
          <w:p w14:paraId="2E619ED0" w14:textId="69E1706F" w:rsidR="00B752D0" w:rsidRPr="00E266A0" w:rsidRDefault="00B752D0" w:rsidP="00B752D0">
            <w:pPr>
              <w:spacing w:before="40" w:after="40"/>
              <w:rPr>
                <w:i/>
                <w:iCs/>
                <w:szCs w:val="24"/>
                <w:lang w:val="ru-RU"/>
              </w:rPr>
            </w:pPr>
            <w:r w:rsidRPr="00E266A0">
              <w:rPr>
                <w:i/>
                <w:iCs/>
                <w:szCs w:val="22"/>
                <w:lang w:val="ru-RU"/>
              </w:rPr>
              <w:t>Полномочная конференция</w:t>
            </w:r>
          </w:p>
        </w:tc>
        <w:tc>
          <w:tcPr>
            <w:tcW w:w="7054" w:type="dxa"/>
          </w:tcPr>
          <w:p w14:paraId="784F2881" w14:textId="77777777" w:rsidR="00B752D0" w:rsidRPr="00E266A0" w:rsidRDefault="00B752D0" w:rsidP="00B752D0">
            <w:pPr>
              <w:spacing w:before="40" w:after="40"/>
              <w:rPr>
                <w:szCs w:val="22"/>
                <w:lang w:val="ru-RU"/>
              </w:rPr>
            </w:pPr>
            <w:r w:rsidRPr="00E266A0">
              <w:rPr>
                <w:szCs w:val="22"/>
                <w:lang w:val="ru-RU"/>
              </w:rPr>
              <w:t>Решения 5, 13 ПК</w:t>
            </w:r>
          </w:p>
          <w:p w14:paraId="5DCD0A86" w14:textId="0FD1C3F8" w:rsidR="00B752D0" w:rsidRPr="00E266A0" w:rsidRDefault="00B752D0" w:rsidP="00B752D0">
            <w:pPr>
              <w:spacing w:before="40" w:after="40"/>
              <w:rPr>
                <w:szCs w:val="24"/>
                <w:lang w:val="ru-RU"/>
              </w:rPr>
            </w:pPr>
            <w:r w:rsidRPr="00E266A0">
              <w:rPr>
                <w:szCs w:val="22"/>
                <w:lang w:val="ru-RU"/>
              </w:rPr>
              <w:t>Резолюции 25, 30, 32, 33, 34, 36, 70, 71, 123, 124, 125, 126, 127, 135, 159, 160, 161, 193, 202 ПК</w:t>
            </w:r>
          </w:p>
        </w:tc>
      </w:tr>
      <w:tr w:rsidR="00B752D0" w:rsidRPr="00E266A0" w14:paraId="14C8E2CF" w14:textId="77777777" w:rsidTr="00682F01">
        <w:tc>
          <w:tcPr>
            <w:tcW w:w="2689" w:type="dxa"/>
          </w:tcPr>
          <w:p w14:paraId="58427389" w14:textId="285B1ADA" w:rsidR="00B752D0" w:rsidRPr="00E266A0" w:rsidRDefault="00B752D0" w:rsidP="00B752D0">
            <w:pPr>
              <w:spacing w:before="40" w:after="40"/>
              <w:rPr>
                <w:i/>
                <w:iCs/>
                <w:szCs w:val="24"/>
                <w:lang w:val="ru-RU"/>
              </w:rPr>
            </w:pPr>
            <w:r w:rsidRPr="00E266A0">
              <w:rPr>
                <w:i/>
                <w:iCs/>
                <w:szCs w:val="22"/>
                <w:lang w:val="ru-RU"/>
              </w:rPr>
              <w:t>ВКР</w:t>
            </w:r>
          </w:p>
        </w:tc>
        <w:tc>
          <w:tcPr>
            <w:tcW w:w="7054" w:type="dxa"/>
          </w:tcPr>
          <w:p w14:paraId="08573640" w14:textId="10C1CBF7" w:rsidR="00B752D0" w:rsidRPr="00E266A0" w:rsidRDefault="00B752D0" w:rsidP="00B752D0">
            <w:pPr>
              <w:spacing w:before="40" w:after="40"/>
              <w:rPr>
                <w:szCs w:val="24"/>
                <w:lang w:val="ru-RU"/>
              </w:rPr>
            </w:pPr>
            <w:r w:rsidRPr="00E266A0">
              <w:rPr>
                <w:szCs w:val="22"/>
                <w:lang w:val="ru-RU"/>
              </w:rPr>
              <w:t>Резолюция 12</w:t>
            </w:r>
          </w:p>
        </w:tc>
      </w:tr>
      <w:tr w:rsidR="00B752D0" w:rsidRPr="00E266A0" w14:paraId="38AC575D" w14:textId="77777777" w:rsidTr="00682F01">
        <w:tc>
          <w:tcPr>
            <w:tcW w:w="2689" w:type="dxa"/>
          </w:tcPr>
          <w:p w14:paraId="79B1E375" w14:textId="109CFB2A" w:rsidR="00B752D0" w:rsidRPr="00E266A0" w:rsidRDefault="00B752D0" w:rsidP="00B752D0">
            <w:pPr>
              <w:spacing w:before="40" w:after="40"/>
              <w:rPr>
                <w:i/>
                <w:iCs/>
                <w:szCs w:val="24"/>
                <w:lang w:val="ru-RU"/>
              </w:rPr>
            </w:pPr>
            <w:r w:rsidRPr="00E266A0">
              <w:rPr>
                <w:i/>
                <w:iCs/>
                <w:szCs w:val="22"/>
                <w:lang w:val="ru-RU"/>
              </w:rPr>
              <w:t>ВКМЭ</w:t>
            </w:r>
          </w:p>
        </w:tc>
        <w:tc>
          <w:tcPr>
            <w:tcW w:w="7054" w:type="dxa"/>
          </w:tcPr>
          <w:p w14:paraId="386FEB8D" w14:textId="7BE56DD7" w:rsidR="00B752D0" w:rsidRPr="00E266A0" w:rsidRDefault="00B752D0" w:rsidP="00B752D0">
            <w:pPr>
              <w:spacing w:before="40" w:after="40"/>
              <w:rPr>
                <w:szCs w:val="24"/>
                <w:lang w:val="ru-RU"/>
              </w:rPr>
            </w:pPr>
            <w:r w:rsidRPr="00E266A0">
              <w:rPr>
                <w:szCs w:val="22"/>
                <w:lang w:val="ru-RU"/>
              </w:rPr>
              <w:t>Резолюция 1</w:t>
            </w:r>
          </w:p>
        </w:tc>
      </w:tr>
      <w:tr w:rsidR="00B752D0" w:rsidRPr="005C1BAD" w14:paraId="1C5C369E" w14:textId="77777777" w:rsidTr="00682F01">
        <w:tc>
          <w:tcPr>
            <w:tcW w:w="2689" w:type="dxa"/>
          </w:tcPr>
          <w:p w14:paraId="46A06E24" w14:textId="2B74A0D4" w:rsidR="00B752D0" w:rsidRPr="00E266A0" w:rsidRDefault="00B752D0" w:rsidP="00B752D0">
            <w:pPr>
              <w:spacing w:before="40" w:after="40"/>
              <w:rPr>
                <w:i/>
                <w:iCs/>
                <w:szCs w:val="24"/>
                <w:lang w:val="ru-RU"/>
              </w:rPr>
            </w:pPr>
            <w:r w:rsidRPr="00E266A0">
              <w:rPr>
                <w:i/>
                <w:iCs/>
                <w:szCs w:val="22"/>
                <w:lang w:val="ru-RU"/>
              </w:rPr>
              <w:lastRenderedPageBreak/>
              <w:t>Направления деятельности ВВУИО</w:t>
            </w:r>
          </w:p>
        </w:tc>
        <w:tc>
          <w:tcPr>
            <w:tcW w:w="7054" w:type="dxa"/>
          </w:tcPr>
          <w:p w14:paraId="13AE2F60" w14:textId="305DE231" w:rsidR="00B752D0" w:rsidRPr="00E266A0" w:rsidRDefault="00B752D0" w:rsidP="00B752D0">
            <w:pPr>
              <w:spacing w:before="40" w:after="40"/>
              <w:rPr>
                <w:szCs w:val="24"/>
                <w:lang w:val="ru-RU"/>
              </w:rPr>
            </w:pPr>
            <w:r w:rsidRPr="00E266A0">
              <w:rPr>
                <w:szCs w:val="22"/>
                <w:lang w:val="ru-RU"/>
              </w:rPr>
              <w:t>Направления деятельности C4 и C7 Женевского плана действий, а также пунктов 9, 23, 26, 49, 59, 87 и 95 Тунисской программы для информационного общества ВВУИО</w:t>
            </w:r>
          </w:p>
        </w:tc>
      </w:tr>
      <w:tr w:rsidR="00B752D0" w:rsidRPr="005C1BAD" w14:paraId="7939CE3F" w14:textId="77777777" w:rsidTr="00682F01">
        <w:tc>
          <w:tcPr>
            <w:tcW w:w="2689" w:type="dxa"/>
          </w:tcPr>
          <w:p w14:paraId="18A7FC7B" w14:textId="56B696BE" w:rsidR="00B752D0" w:rsidRPr="00E266A0" w:rsidRDefault="00B752D0" w:rsidP="00B752D0">
            <w:pPr>
              <w:spacing w:before="40" w:after="40"/>
              <w:rPr>
                <w:i/>
                <w:iCs/>
                <w:szCs w:val="24"/>
                <w:lang w:val="ru-RU"/>
              </w:rPr>
            </w:pPr>
            <w:r w:rsidRPr="00E266A0">
              <w:rPr>
                <w:i/>
                <w:iCs/>
                <w:szCs w:val="22"/>
                <w:lang w:val="ru-RU"/>
              </w:rPr>
              <w:t>Вклад в выполнение задач ЦУР</w:t>
            </w:r>
          </w:p>
        </w:tc>
        <w:tc>
          <w:tcPr>
            <w:tcW w:w="7054" w:type="dxa"/>
          </w:tcPr>
          <w:p w14:paraId="7F8DAD2F" w14:textId="7B59E7F5" w:rsidR="00B752D0" w:rsidRPr="00E266A0" w:rsidRDefault="00B752D0" w:rsidP="00DE0F0B">
            <w:pPr>
              <w:spacing w:before="40" w:after="40"/>
              <w:rPr>
                <w:szCs w:val="24"/>
                <w:lang w:val="ru-RU"/>
              </w:rPr>
            </w:pPr>
            <w:r w:rsidRPr="00E266A0">
              <w:rPr>
                <w:szCs w:val="22"/>
                <w:lang w:val="ru-RU"/>
              </w:rPr>
              <w:t xml:space="preserve">ЦУР 1 (задача 1.4), 3, 4 (задачи 4.3, 4.5, 4.6, 4.a, 4.b), 5 (задача 5.b), </w:t>
            </w:r>
            <w:r w:rsidR="00DE0F0B">
              <w:rPr>
                <w:szCs w:val="22"/>
                <w:lang w:val="ru-RU"/>
              </w:rPr>
              <w:br/>
            </w:r>
            <w:r w:rsidRPr="00E266A0">
              <w:rPr>
                <w:szCs w:val="22"/>
                <w:lang w:val="ru-RU"/>
              </w:rPr>
              <w:t xml:space="preserve">6, 8 (задача 8.5), 9 (задачи 9.1, 9.2, 9.5, 9.a, 9.c), 10 (задачи 10.2, 10.b), 11 (задачи 11.1, 11.2, 11.7), 12 (задача 12.b), 13 (задача 13.b), </w:t>
            </w:r>
            <w:r w:rsidR="00DE0F0B">
              <w:rPr>
                <w:szCs w:val="22"/>
                <w:lang w:val="ru-RU"/>
              </w:rPr>
              <w:br/>
            </w:r>
            <w:r w:rsidRPr="00E266A0">
              <w:rPr>
                <w:szCs w:val="22"/>
                <w:lang w:val="ru-RU"/>
              </w:rPr>
              <w:t>14, 15, 16, 17 (задачи 17.7, 17.8, 17.9, 17.18)</w:t>
            </w:r>
          </w:p>
        </w:tc>
      </w:tr>
    </w:tbl>
    <w:p w14:paraId="39AA2F90" w14:textId="5B3B07EF" w:rsidR="00F974A4" w:rsidRPr="00E266A0" w:rsidRDefault="00F974A4" w:rsidP="004824A2">
      <w:pPr>
        <w:keepNext/>
        <w:spacing w:after="120"/>
        <w:ind w:left="357" w:hanging="357"/>
        <w:rPr>
          <w:b/>
          <w:bCs/>
          <w:szCs w:val="24"/>
          <w:lang w:val="ru-RU"/>
        </w:rPr>
      </w:pPr>
      <w:r w:rsidRPr="00E266A0">
        <w:rPr>
          <w:b/>
          <w:bCs/>
          <w:szCs w:val="24"/>
          <w:lang w:val="ru-RU"/>
        </w:rPr>
        <w:t>5</w:t>
      </w:r>
      <w:r w:rsidRPr="00E266A0">
        <w:rPr>
          <w:b/>
          <w:bCs/>
          <w:szCs w:val="24"/>
          <w:lang w:val="ru-RU"/>
        </w:rPr>
        <w:tab/>
      </w:r>
      <w:r w:rsidR="006636D7" w:rsidRPr="00E266A0">
        <w:rPr>
          <w:b/>
          <w:lang w:val="ru-RU"/>
        </w:rPr>
        <w:t xml:space="preserve">Задача 5. Совершенствовать с помощью электросвязи/ИКТ охрану окружающей среды, </w:t>
      </w:r>
      <w:r w:rsidR="00DE0F0B">
        <w:rPr>
          <w:b/>
          <w:lang w:val="ru-RU"/>
        </w:rPr>
        <w:br/>
      </w:r>
      <w:r w:rsidR="006636D7" w:rsidRPr="00E266A0">
        <w:rPr>
          <w:b/>
          <w:lang w:val="ru-RU"/>
        </w:rPr>
        <w:t xml:space="preserve">меры по смягчению последствий изменения климата, адаптации к ним, </w:t>
      </w:r>
      <w:r w:rsidR="00DE0F0B">
        <w:rPr>
          <w:b/>
          <w:lang w:val="ru-RU"/>
        </w:rPr>
        <w:br/>
      </w:r>
      <w:r w:rsidR="006636D7" w:rsidRPr="00E266A0">
        <w:rPr>
          <w:b/>
          <w:lang w:val="ru-RU"/>
        </w:rPr>
        <w:t>а также меры по управлению операциями при бедствиях</w:t>
      </w:r>
    </w:p>
    <w:p w14:paraId="50EF77B6" w14:textId="2AA05FEC" w:rsidR="00F974A4" w:rsidRPr="00E266A0" w:rsidRDefault="00F974A4" w:rsidP="004824A2">
      <w:pPr>
        <w:keepNext/>
        <w:spacing w:after="120"/>
        <w:ind w:left="357" w:hanging="357"/>
        <w:rPr>
          <w:b/>
          <w:bCs/>
          <w:szCs w:val="24"/>
          <w:lang w:val="ru-RU"/>
        </w:rPr>
      </w:pPr>
      <w:r w:rsidRPr="00E266A0">
        <w:rPr>
          <w:b/>
          <w:bCs/>
          <w:szCs w:val="24"/>
          <w:lang w:val="ru-RU"/>
        </w:rPr>
        <w:t>5.1</w:t>
      </w:r>
      <w:r w:rsidRPr="00E266A0">
        <w:rPr>
          <w:b/>
          <w:bCs/>
          <w:szCs w:val="24"/>
          <w:lang w:val="ru-RU"/>
        </w:rPr>
        <w:tab/>
      </w:r>
      <w:r w:rsidR="006636D7" w:rsidRPr="00E266A0">
        <w:rPr>
          <w:b/>
          <w:lang w:val="ru-RU"/>
        </w:rPr>
        <w:t>ИКТ и адаптация к изменению климата и смягчение его последствий</w:t>
      </w:r>
    </w:p>
    <w:tbl>
      <w:tblPr>
        <w:tblStyle w:val="TableGrid"/>
        <w:tblW w:w="0" w:type="auto"/>
        <w:tblLayout w:type="fixed"/>
        <w:tblLook w:val="04A0" w:firstRow="1" w:lastRow="0" w:firstColumn="1" w:lastColumn="0" w:noHBand="0" w:noVBand="1"/>
      </w:tblPr>
      <w:tblGrid>
        <w:gridCol w:w="2547"/>
        <w:gridCol w:w="7196"/>
      </w:tblGrid>
      <w:tr w:rsidR="00F974A4" w:rsidRPr="005C1BAD" w14:paraId="4532C198" w14:textId="77777777" w:rsidTr="00682F01">
        <w:tc>
          <w:tcPr>
            <w:tcW w:w="9743" w:type="dxa"/>
            <w:gridSpan w:val="2"/>
          </w:tcPr>
          <w:p w14:paraId="523D0E7A" w14:textId="031770B8" w:rsidR="0032528F" w:rsidRPr="00DE0F0B" w:rsidRDefault="0032528F" w:rsidP="0032528F">
            <w:pPr>
              <w:spacing w:after="120"/>
              <w:rPr>
                <w:rFonts w:eastAsiaTheme="majorEastAsia" w:cstheme="minorHAnsi"/>
                <w:szCs w:val="22"/>
                <w:lang w:val="ru-RU"/>
              </w:rPr>
            </w:pPr>
            <w:r w:rsidRPr="00DE0F0B">
              <w:rPr>
                <w:rFonts w:eastAsiaTheme="majorEastAsia" w:cstheme="minorHAnsi"/>
                <w:szCs w:val="22"/>
                <w:lang w:val="ru-RU"/>
              </w:rPr>
              <w:t xml:space="preserve">БРЭ наращивает потенциал в области изменения климата и электронных отходов посредством проведения ряда семинаров-практикумов и </w:t>
            </w:r>
            <w:r w:rsidRPr="00DE0F0B">
              <w:rPr>
                <w:rFonts w:cstheme="minorHAnsi"/>
                <w:color w:val="000000"/>
                <w:shd w:val="clear" w:color="auto" w:fill="FFFFFF"/>
                <w:lang w:val="ru-RU"/>
              </w:rPr>
              <w:t>курсов профессиональной подготовки</w:t>
            </w:r>
            <w:r w:rsidRPr="00DE0F0B">
              <w:rPr>
                <w:rFonts w:eastAsiaTheme="majorEastAsia" w:cstheme="minorHAnsi"/>
                <w:szCs w:val="22"/>
                <w:lang w:val="ru-RU"/>
              </w:rPr>
              <w:t xml:space="preserve">, в том числе в области </w:t>
            </w:r>
            <w:r w:rsidR="00E61120" w:rsidRPr="00DE0F0B">
              <w:rPr>
                <w:rFonts w:eastAsiaTheme="majorEastAsia" w:cstheme="minorHAnsi"/>
                <w:szCs w:val="22"/>
                <w:lang w:val="ru-RU"/>
              </w:rPr>
              <w:t>статистических данных об</w:t>
            </w:r>
            <w:r w:rsidRPr="00DE0F0B">
              <w:rPr>
                <w:rFonts w:eastAsiaTheme="majorEastAsia" w:cstheme="minorHAnsi"/>
                <w:szCs w:val="22"/>
                <w:lang w:val="ru-RU"/>
              </w:rPr>
              <w:t xml:space="preserve"> электронных отход</w:t>
            </w:r>
            <w:r w:rsidR="00E61120" w:rsidRPr="00DE0F0B">
              <w:rPr>
                <w:rFonts w:eastAsiaTheme="majorEastAsia" w:cstheme="minorHAnsi"/>
                <w:szCs w:val="22"/>
                <w:lang w:val="ru-RU"/>
              </w:rPr>
              <w:t>ах</w:t>
            </w:r>
            <w:r w:rsidRPr="00DE0F0B">
              <w:rPr>
                <w:rFonts w:eastAsiaTheme="majorEastAsia" w:cstheme="minorHAnsi"/>
                <w:szCs w:val="22"/>
                <w:lang w:val="ru-RU"/>
              </w:rPr>
              <w:t xml:space="preserve">, электромагнитных полей, изменения климата, </w:t>
            </w:r>
            <w:r w:rsidRPr="00DE0F0B">
              <w:rPr>
                <w:rFonts w:cstheme="minorHAnsi"/>
                <w:szCs w:val="22"/>
                <w:lang w:val="ru-RU"/>
              </w:rPr>
              <w:t>управления операциями в случае бедствий</w:t>
            </w:r>
            <w:r w:rsidRPr="00DE0F0B">
              <w:rPr>
                <w:rFonts w:eastAsiaTheme="majorEastAsia" w:cstheme="minorHAnsi"/>
                <w:szCs w:val="22"/>
                <w:lang w:val="ru-RU"/>
              </w:rPr>
              <w:t xml:space="preserve"> и роли ИКТ в смягчении последствий изменения климата. </w:t>
            </w:r>
          </w:p>
          <w:p w14:paraId="0B614A38" w14:textId="6A74DD9C" w:rsidR="0032528F" w:rsidRPr="00E266A0" w:rsidRDefault="0032528F" w:rsidP="0032528F">
            <w:pPr>
              <w:spacing w:after="120"/>
              <w:rPr>
                <w:rFonts w:eastAsiaTheme="majorEastAsia"/>
                <w:szCs w:val="22"/>
                <w:lang w:val="ru-RU"/>
              </w:rPr>
            </w:pPr>
            <w:r w:rsidRPr="00E266A0">
              <w:rPr>
                <w:rFonts w:eastAsiaTheme="majorEastAsia"/>
                <w:szCs w:val="22"/>
                <w:lang w:val="ru-RU"/>
              </w:rPr>
              <w:t xml:space="preserve">МСЭ продолжает укреплять сотрудничество с Глобальным партнерством по статистическим данным об электронных отходах, </w:t>
            </w:r>
            <w:r w:rsidR="00E61120" w:rsidRPr="00E266A0">
              <w:rPr>
                <w:rFonts w:eastAsiaTheme="majorEastAsia"/>
                <w:szCs w:val="22"/>
                <w:lang w:val="ru-RU"/>
              </w:rPr>
              <w:t>в которое</w:t>
            </w:r>
            <w:r w:rsidRPr="00E266A0">
              <w:rPr>
                <w:rFonts w:eastAsiaTheme="majorEastAsia"/>
                <w:szCs w:val="22"/>
                <w:lang w:val="ru-RU"/>
              </w:rPr>
              <w:t xml:space="preserve"> входят МСЭ, Университет Организации Объединенных Наций (УООН) и Международная ассоциация по твердым отходам (МАТО). </w:t>
            </w:r>
            <w:r w:rsidR="00E61120" w:rsidRPr="00E266A0">
              <w:rPr>
                <w:rFonts w:eastAsiaTheme="majorEastAsia"/>
                <w:szCs w:val="22"/>
                <w:lang w:val="ru-RU"/>
              </w:rPr>
              <w:t>В рамках этого сотрудничества</w:t>
            </w:r>
            <w:r w:rsidRPr="00E266A0">
              <w:rPr>
                <w:rFonts w:eastAsiaTheme="majorEastAsia"/>
                <w:szCs w:val="22"/>
                <w:lang w:val="ru-RU"/>
              </w:rPr>
              <w:t xml:space="preserve"> Партнерство опубликовало </w:t>
            </w:r>
            <w:r w:rsidR="00886D95" w:rsidRPr="00E266A0">
              <w:rPr>
                <w:rFonts w:eastAsiaTheme="majorEastAsia"/>
                <w:szCs w:val="22"/>
                <w:lang w:val="ru-RU"/>
              </w:rPr>
              <w:t xml:space="preserve">отчет </w:t>
            </w:r>
            <w:r w:rsidRPr="00E266A0">
              <w:rPr>
                <w:rFonts w:eastAsiaTheme="majorEastAsia"/>
                <w:szCs w:val="22"/>
                <w:lang w:val="ru-RU"/>
              </w:rPr>
              <w:t>"Глобальный мониторинг электронных отходов", где дается количественная оценка проблем электронных отходов и представляются национальные и региональные показатели по электронным отходам. В отчете отмечается, что ежегодно производятся почти 45 млн. тонн электронных отходов. Данные отчета также показывают, что хотя все больше стран и людей охвачены законодательством по электронным отходам, только 20% электронных отходов официально документируются и утилизируются.</w:t>
            </w:r>
          </w:p>
          <w:p w14:paraId="2E690F66" w14:textId="5EE2B14D" w:rsidR="0032528F" w:rsidRPr="00E266A0" w:rsidRDefault="0032528F" w:rsidP="0032528F">
            <w:pPr>
              <w:spacing w:after="120"/>
              <w:rPr>
                <w:rFonts w:eastAsiaTheme="majorEastAsia"/>
                <w:szCs w:val="22"/>
                <w:lang w:val="ru-RU"/>
              </w:rPr>
            </w:pPr>
            <w:r w:rsidRPr="00E266A0">
              <w:rPr>
                <w:rFonts w:eastAsiaTheme="majorEastAsia"/>
                <w:szCs w:val="22"/>
                <w:lang w:val="ru-RU"/>
              </w:rPr>
              <w:t xml:space="preserve">БРЭ является активным членом Группы по рациональному природопользованию (ГРП) и основной движущей силой Коалиции по электронным отходам, которая была учреждена на сессии диалога высокого уровня по "Созданию Коалиции по электронным отходам" на Форуме ВВУИО 2018 года. Коалиция по электронным отходам, в которой участвуют семь руководителей учреждений системы ООН, осуществляющих деятельность в области электронных отходов, разрабатывает новую концепцию для циркуляционной экономики, </w:t>
            </w:r>
            <w:r w:rsidR="00886D95" w:rsidRPr="00E266A0">
              <w:rPr>
                <w:rFonts w:eastAsiaTheme="majorEastAsia"/>
                <w:szCs w:val="22"/>
                <w:lang w:val="ru-RU"/>
              </w:rPr>
              <w:t>уделяя</w:t>
            </w:r>
            <w:r w:rsidRPr="00E266A0">
              <w:rPr>
                <w:rFonts w:eastAsiaTheme="majorEastAsia"/>
                <w:szCs w:val="22"/>
                <w:lang w:val="ru-RU"/>
              </w:rPr>
              <w:t xml:space="preserve"> основное внимание электронным отходам. Эта</w:t>
            </w:r>
            <w:r w:rsidR="00886D95" w:rsidRPr="00E266A0">
              <w:rPr>
                <w:rFonts w:eastAsiaTheme="majorEastAsia"/>
                <w:szCs w:val="22"/>
                <w:lang w:val="ru-RU"/>
              </w:rPr>
              <w:t> </w:t>
            </w:r>
            <w:r w:rsidRPr="00E266A0">
              <w:rPr>
                <w:rFonts w:eastAsiaTheme="majorEastAsia"/>
                <w:szCs w:val="22"/>
                <w:lang w:val="ru-RU"/>
              </w:rPr>
              <w:t xml:space="preserve">инициатива повышает осведомленность о необходимости решения проблемы электронных отходов и </w:t>
            </w:r>
            <w:r w:rsidR="00886D95" w:rsidRPr="00E266A0">
              <w:rPr>
                <w:rFonts w:eastAsiaTheme="majorEastAsia"/>
                <w:szCs w:val="22"/>
                <w:lang w:val="ru-RU"/>
              </w:rPr>
              <w:t xml:space="preserve">предоставляет руководящие указания </w:t>
            </w:r>
            <w:r w:rsidRPr="00E266A0">
              <w:rPr>
                <w:rFonts w:eastAsiaTheme="majorEastAsia"/>
                <w:szCs w:val="22"/>
                <w:lang w:val="ru-RU"/>
              </w:rPr>
              <w:t>государственн</w:t>
            </w:r>
            <w:r w:rsidR="00886D95" w:rsidRPr="00E266A0">
              <w:rPr>
                <w:rFonts w:eastAsiaTheme="majorEastAsia"/>
                <w:szCs w:val="22"/>
                <w:lang w:val="ru-RU"/>
              </w:rPr>
              <w:t>ому</w:t>
            </w:r>
            <w:r w:rsidRPr="00E266A0">
              <w:rPr>
                <w:rFonts w:eastAsiaTheme="majorEastAsia"/>
                <w:szCs w:val="22"/>
                <w:lang w:val="ru-RU"/>
              </w:rPr>
              <w:t xml:space="preserve"> и частн</w:t>
            </w:r>
            <w:r w:rsidR="00886D95" w:rsidRPr="00E266A0">
              <w:rPr>
                <w:rFonts w:eastAsiaTheme="majorEastAsia"/>
                <w:szCs w:val="22"/>
                <w:lang w:val="ru-RU"/>
              </w:rPr>
              <w:t>ому</w:t>
            </w:r>
            <w:r w:rsidRPr="00E266A0">
              <w:rPr>
                <w:rFonts w:eastAsiaTheme="majorEastAsia"/>
                <w:szCs w:val="22"/>
                <w:lang w:val="ru-RU"/>
              </w:rPr>
              <w:t xml:space="preserve"> сектор</w:t>
            </w:r>
            <w:r w:rsidR="00886D95" w:rsidRPr="00E266A0">
              <w:rPr>
                <w:rFonts w:eastAsiaTheme="majorEastAsia"/>
                <w:szCs w:val="22"/>
                <w:lang w:val="ru-RU"/>
              </w:rPr>
              <w:t>ам</w:t>
            </w:r>
            <w:r w:rsidRPr="00E266A0">
              <w:rPr>
                <w:rFonts w:eastAsiaTheme="majorEastAsia"/>
                <w:szCs w:val="22"/>
                <w:lang w:val="ru-RU"/>
              </w:rPr>
              <w:t>. Ее</w:t>
            </w:r>
            <w:r w:rsidR="00886D95" w:rsidRPr="00E266A0">
              <w:rPr>
                <w:rFonts w:eastAsiaTheme="majorEastAsia"/>
                <w:szCs w:val="22"/>
                <w:lang w:val="ru-RU"/>
              </w:rPr>
              <w:t> </w:t>
            </w:r>
            <w:r w:rsidRPr="00E266A0">
              <w:rPr>
                <w:rFonts w:eastAsiaTheme="majorEastAsia"/>
                <w:szCs w:val="22"/>
                <w:lang w:val="ru-RU"/>
              </w:rPr>
              <w:t>поддерживают Всемирный совет деловых кругов по вопросам устойчивого развития (WBCSD) и Всемирный экономический форум (ВЭФ).</w:t>
            </w:r>
          </w:p>
          <w:p w14:paraId="0F8099B8" w14:textId="3463A769" w:rsidR="0032528F" w:rsidRDefault="00747864" w:rsidP="0032528F">
            <w:pPr>
              <w:spacing w:after="120"/>
              <w:rPr>
                <w:rFonts w:eastAsiaTheme="majorEastAsia"/>
                <w:szCs w:val="22"/>
                <w:lang w:val="ru-RU"/>
              </w:rPr>
            </w:pPr>
            <w:r w:rsidRPr="00E266A0">
              <w:rPr>
                <w:rFonts w:eastAsiaTheme="majorEastAsia"/>
                <w:szCs w:val="22"/>
                <w:lang w:val="ru-RU"/>
              </w:rPr>
              <w:t xml:space="preserve">Для содействия странам в создании потенциала и обеспечения для них руководства в разработке политики по </w:t>
            </w:r>
            <w:r w:rsidR="00E266A0" w:rsidRPr="00E266A0">
              <w:rPr>
                <w:rFonts w:eastAsiaTheme="majorEastAsia"/>
                <w:szCs w:val="22"/>
                <w:lang w:val="ru-RU"/>
              </w:rPr>
              <w:t>электронным</w:t>
            </w:r>
            <w:r w:rsidRPr="00E266A0">
              <w:rPr>
                <w:rFonts w:eastAsiaTheme="majorEastAsia"/>
                <w:szCs w:val="22"/>
                <w:lang w:val="ru-RU"/>
              </w:rPr>
              <w:t xml:space="preserve"> отходам БРЭ опубликовало </w:t>
            </w:r>
            <w:r w:rsidR="00DE0F0B" w:rsidRPr="00E266A0">
              <w:rPr>
                <w:rFonts w:eastAsiaTheme="majorEastAsia"/>
                <w:szCs w:val="22"/>
                <w:lang w:val="ru-RU"/>
              </w:rPr>
              <w:t xml:space="preserve">Справочник </w:t>
            </w:r>
            <w:r w:rsidRPr="00E266A0">
              <w:rPr>
                <w:rFonts w:eastAsiaTheme="majorEastAsia"/>
                <w:szCs w:val="22"/>
                <w:lang w:val="ru-RU"/>
              </w:rPr>
              <w:t xml:space="preserve">по разработке нормативно-правовой базы в области электронных отходов и отходов, связанных с ИКТ. </w:t>
            </w:r>
            <w:r w:rsidR="0032528F" w:rsidRPr="00E266A0">
              <w:rPr>
                <w:rFonts w:eastAsiaTheme="majorEastAsia"/>
                <w:szCs w:val="22"/>
                <w:lang w:val="ru-RU"/>
              </w:rPr>
              <w:t>В этом справочнике содержатся руководящие указания по основным аспектам, которые следует учитывать при разработке, внедрении и совершенствовании правовой, регуляторной и политической системы в области электронных отходов/отходов</w:t>
            </w:r>
            <w:r w:rsidRPr="00E266A0">
              <w:rPr>
                <w:rFonts w:eastAsiaTheme="majorEastAsia"/>
                <w:szCs w:val="22"/>
                <w:lang w:val="ru-RU"/>
              </w:rPr>
              <w:t>, связанных с</w:t>
            </w:r>
            <w:r w:rsidR="0032528F" w:rsidRPr="00E266A0">
              <w:rPr>
                <w:rFonts w:eastAsiaTheme="majorEastAsia"/>
                <w:szCs w:val="22"/>
                <w:lang w:val="ru-RU"/>
              </w:rPr>
              <w:t xml:space="preserve"> ИКТ. Предлагаемая система будет способствовать управлению электронными отходами/отходами</w:t>
            </w:r>
            <w:r w:rsidRPr="00E266A0">
              <w:rPr>
                <w:rFonts w:eastAsiaTheme="majorEastAsia"/>
                <w:szCs w:val="22"/>
                <w:lang w:val="ru-RU"/>
              </w:rPr>
              <w:t>, связанными с</w:t>
            </w:r>
            <w:r w:rsidR="0032528F" w:rsidRPr="00E266A0">
              <w:rPr>
                <w:rFonts w:eastAsiaTheme="majorEastAsia"/>
                <w:szCs w:val="22"/>
                <w:lang w:val="ru-RU"/>
              </w:rPr>
              <w:t xml:space="preserve"> ИКТ</w:t>
            </w:r>
            <w:r w:rsidR="00DE0F0B">
              <w:rPr>
                <w:rFonts w:eastAsiaTheme="majorEastAsia"/>
                <w:szCs w:val="22"/>
                <w:lang w:val="ru-RU"/>
              </w:rPr>
              <w:t>,</w:t>
            </w:r>
            <w:r w:rsidR="0032528F" w:rsidRPr="00E266A0">
              <w:rPr>
                <w:rFonts w:eastAsiaTheme="majorEastAsia"/>
                <w:szCs w:val="22"/>
                <w:lang w:val="ru-RU"/>
              </w:rPr>
              <w:t xml:space="preserve"> на основании концепций устойчивого развития, "зеленых" ИКТ и циркуляционной экономики. На основании этого справочника была разработана национальная политическая и регуляторная система в области электронных отходов для Малави. </w:t>
            </w:r>
          </w:p>
          <w:p w14:paraId="1B290CEC" w14:textId="77777777" w:rsidR="00DE0F0B" w:rsidRDefault="00DE0F0B" w:rsidP="0032528F">
            <w:pPr>
              <w:spacing w:after="120"/>
              <w:rPr>
                <w:rFonts w:eastAsiaTheme="majorEastAsia"/>
                <w:szCs w:val="22"/>
                <w:lang w:val="ru-RU"/>
              </w:rPr>
            </w:pPr>
          </w:p>
          <w:p w14:paraId="10E18544" w14:textId="77777777" w:rsidR="00DE0F0B" w:rsidRPr="00E266A0" w:rsidRDefault="00DE0F0B" w:rsidP="0032528F">
            <w:pPr>
              <w:spacing w:after="120"/>
              <w:rPr>
                <w:rFonts w:eastAsiaTheme="majorEastAsia"/>
                <w:szCs w:val="22"/>
                <w:lang w:val="ru-RU"/>
              </w:rPr>
            </w:pPr>
          </w:p>
          <w:p w14:paraId="3B1C3BE6" w14:textId="01894639" w:rsidR="00F974A4" w:rsidRPr="00E266A0" w:rsidRDefault="0032528F" w:rsidP="00DE0F0B">
            <w:pPr>
              <w:spacing w:after="120"/>
              <w:rPr>
                <w:b/>
                <w:bCs/>
                <w:szCs w:val="24"/>
                <w:lang w:val="ru-RU"/>
              </w:rPr>
            </w:pPr>
            <w:r w:rsidRPr="00E266A0">
              <w:rPr>
                <w:rFonts w:eastAsiaTheme="majorEastAsia"/>
                <w:szCs w:val="22"/>
                <w:lang w:val="ru-RU"/>
              </w:rPr>
              <w:t xml:space="preserve">БРЭ завершило реализацию пилотного проекта по созданию предприятия по переработке электронных отходов, который был разработан совместно с Университетом Ла-Плата в Аргентине. Предприятие позволяет получить конкретные </w:t>
            </w:r>
            <w:r w:rsidR="00747864" w:rsidRPr="00E266A0">
              <w:rPr>
                <w:rFonts w:eastAsiaTheme="majorEastAsia"/>
                <w:szCs w:val="22"/>
                <w:lang w:val="ru-RU"/>
              </w:rPr>
              <w:t>решения связанных с</w:t>
            </w:r>
            <w:r w:rsidRPr="00E266A0">
              <w:rPr>
                <w:rFonts w:eastAsiaTheme="majorEastAsia"/>
                <w:szCs w:val="22"/>
                <w:lang w:val="ru-RU"/>
              </w:rPr>
              <w:t xml:space="preserve"> электронными отходами проблем в городах в соответствии с </w:t>
            </w:r>
            <w:r w:rsidR="00DE0F0B">
              <w:rPr>
                <w:rFonts w:eastAsiaTheme="majorEastAsia"/>
                <w:szCs w:val="22"/>
                <w:lang w:val="ru-RU"/>
              </w:rPr>
              <w:t>ц</w:t>
            </w:r>
            <w:r w:rsidRPr="00E266A0">
              <w:rPr>
                <w:rFonts w:eastAsiaTheme="majorEastAsia"/>
                <w:szCs w:val="22"/>
                <w:lang w:val="ru-RU"/>
              </w:rPr>
              <w:t xml:space="preserve">елями в области устойчивого развития. В рамках проекта был разработан отчет </w:t>
            </w:r>
            <w:r w:rsidR="00747864" w:rsidRPr="00E266A0">
              <w:rPr>
                <w:rFonts w:eastAsiaTheme="majorEastAsia"/>
                <w:szCs w:val="22"/>
                <w:lang w:val="ru-RU"/>
              </w:rPr>
              <w:t xml:space="preserve">об успешных </w:t>
            </w:r>
            <w:r w:rsidRPr="00E266A0">
              <w:rPr>
                <w:rFonts w:eastAsiaTheme="majorEastAsia"/>
                <w:szCs w:val="22"/>
                <w:lang w:val="ru-RU"/>
              </w:rPr>
              <w:t>инициатив</w:t>
            </w:r>
            <w:r w:rsidR="00747864" w:rsidRPr="00E266A0">
              <w:rPr>
                <w:rFonts w:eastAsiaTheme="majorEastAsia"/>
                <w:szCs w:val="22"/>
                <w:lang w:val="ru-RU"/>
              </w:rPr>
              <w:t>ах</w:t>
            </w:r>
            <w:r w:rsidRPr="00E266A0">
              <w:rPr>
                <w:rFonts w:eastAsiaTheme="majorEastAsia"/>
                <w:szCs w:val="22"/>
                <w:lang w:val="ru-RU"/>
              </w:rPr>
              <w:t xml:space="preserve"> по управлению электронными отходами, в котором содержится информация о различных инициативах по управлению электронными отходами в шести различных странах мира.</w:t>
            </w:r>
          </w:p>
        </w:tc>
      </w:tr>
      <w:tr w:rsidR="00214C35" w:rsidRPr="00E266A0" w14:paraId="5A7DE8D1" w14:textId="77777777" w:rsidTr="00682F01">
        <w:tc>
          <w:tcPr>
            <w:tcW w:w="2547" w:type="dxa"/>
          </w:tcPr>
          <w:p w14:paraId="4739B24B" w14:textId="02E4D58A" w:rsidR="00214C35" w:rsidRPr="00E266A0" w:rsidRDefault="00214C35" w:rsidP="00863FB2">
            <w:pPr>
              <w:keepNext/>
              <w:spacing w:before="40" w:after="40"/>
              <w:rPr>
                <w:rFonts w:eastAsiaTheme="majorEastAsia"/>
                <w:i/>
                <w:iCs/>
                <w:szCs w:val="24"/>
                <w:lang w:val="ru-RU"/>
              </w:rPr>
            </w:pPr>
            <w:proofErr w:type="spellStart"/>
            <w:r w:rsidRPr="00E266A0">
              <w:rPr>
                <w:i/>
                <w:iCs/>
                <w:szCs w:val="22"/>
                <w:lang w:val="ru-RU"/>
              </w:rPr>
              <w:lastRenderedPageBreak/>
              <w:t>ВКРЭ</w:t>
            </w:r>
            <w:proofErr w:type="spellEnd"/>
          </w:p>
        </w:tc>
        <w:tc>
          <w:tcPr>
            <w:tcW w:w="7196" w:type="dxa"/>
          </w:tcPr>
          <w:p w14:paraId="0B79CB6E" w14:textId="0EA4B4AF" w:rsidR="00214C35" w:rsidRPr="00E266A0" w:rsidRDefault="00214C35" w:rsidP="00863FB2">
            <w:pPr>
              <w:keepNext/>
              <w:spacing w:before="40" w:after="40"/>
              <w:rPr>
                <w:rFonts w:eastAsiaTheme="majorEastAsia"/>
                <w:szCs w:val="24"/>
                <w:lang w:val="ru-RU"/>
              </w:rPr>
            </w:pPr>
            <w:r w:rsidRPr="00E266A0">
              <w:rPr>
                <w:szCs w:val="22"/>
                <w:lang w:val="ru-RU"/>
              </w:rPr>
              <w:t>Резолюции 17, 21, 30, 32, 37, 50, 52, 53, 66</w:t>
            </w:r>
          </w:p>
        </w:tc>
      </w:tr>
      <w:tr w:rsidR="00214C35" w:rsidRPr="00E266A0" w14:paraId="40F3EF76" w14:textId="77777777" w:rsidTr="00682F01">
        <w:tc>
          <w:tcPr>
            <w:tcW w:w="2547" w:type="dxa"/>
          </w:tcPr>
          <w:p w14:paraId="2B597A0F" w14:textId="232EB60D" w:rsidR="00214C35" w:rsidRPr="00E266A0" w:rsidRDefault="00214C35" w:rsidP="00863FB2">
            <w:pPr>
              <w:keepNext/>
              <w:spacing w:before="40" w:after="40"/>
              <w:rPr>
                <w:rFonts w:eastAsiaTheme="majorEastAsia"/>
                <w:i/>
                <w:iCs/>
                <w:szCs w:val="24"/>
                <w:lang w:val="ru-RU"/>
              </w:rPr>
            </w:pPr>
            <w:r w:rsidRPr="00E266A0">
              <w:rPr>
                <w:i/>
                <w:iCs/>
                <w:szCs w:val="22"/>
                <w:lang w:val="ru-RU"/>
              </w:rPr>
              <w:t>Полномочная конференция</w:t>
            </w:r>
          </w:p>
        </w:tc>
        <w:tc>
          <w:tcPr>
            <w:tcW w:w="7196" w:type="dxa"/>
          </w:tcPr>
          <w:p w14:paraId="0700B18F" w14:textId="5DBDB80B" w:rsidR="00214C35" w:rsidRPr="00E266A0" w:rsidRDefault="00DE0F0B" w:rsidP="00214C35">
            <w:pPr>
              <w:spacing w:before="40" w:after="40"/>
              <w:rPr>
                <w:rFonts w:eastAsiaTheme="majorEastAsia"/>
                <w:szCs w:val="22"/>
                <w:lang w:val="ru-RU"/>
              </w:rPr>
            </w:pPr>
            <w:r>
              <w:rPr>
                <w:rFonts w:eastAsiaTheme="majorEastAsia"/>
                <w:szCs w:val="22"/>
                <w:lang w:val="ru-RU"/>
              </w:rPr>
              <w:t>Решения</w:t>
            </w:r>
            <w:r w:rsidR="00214C35" w:rsidRPr="00E266A0">
              <w:rPr>
                <w:rFonts w:eastAsiaTheme="majorEastAsia"/>
                <w:szCs w:val="22"/>
                <w:lang w:val="ru-RU"/>
              </w:rPr>
              <w:t xml:space="preserve"> 5, 13 ПК</w:t>
            </w:r>
          </w:p>
          <w:p w14:paraId="4BDEE494" w14:textId="524A62BD" w:rsidR="00214C35" w:rsidRPr="00E266A0" w:rsidRDefault="00214C35" w:rsidP="00DE0F0B">
            <w:pPr>
              <w:spacing w:before="40" w:after="40"/>
              <w:rPr>
                <w:rFonts w:eastAsiaTheme="majorEastAsia"/>
                <w:szCs w:val="24"/>
                <w:lang w:val="ru-RU"/>
              </w:rPr>
            </w:pPr>
            <w:r w:rsidRPr="00E266A0">
              <w:rPr>
                <w:rFonts w:eastAsiaTheme="majorEastAsia"/>
                <w:szCs w:val="22"/>
                <w:lang w:val="ru-RU"/>
              </w:rPr>
              <w:t>Резолюции 25, 71, 182 ПК</w:t>
            </w:r>
          </w:p>
        </w:tc>
      </w:tr>
      <w:tr w:rsidR="00214C35" w:rsidRPr="00E266A0" w14:paraId="4D41A35C" w14:textId="77777777" w:rsidTr="00682F01">
        <w:tc>
          <w:tcPr>
            <w:tcW w:w="2547" w:type="dxa"/>
          </w:tcPr>
          <w:p w14:paraId="693658B5" w14:textId="2F1F7CF5" w:rsidR="00214C35" w:rsidRPr="00E266A0" w:rsidRDefault="00214C35" w:rsidP="00214C35">
            <w:pPr>
              <w:spacing w:before="40" w:after="40"/>
              <w:rPr>
                <w:i/>
                <w:iCs/>
                <w:szCs w:val="24"/>
                <w:lang w:val="ru-RU"/>
              </w:rPr>
            </w:pPr>
            <w:r w:rsidRPr="00E266A0">
              <w:rPr>
                <w:i/>
                <w:iCs/>
                <w:szCs w:val="22"/>
                <w:lang w:val="ru-RU"/>
              </w:rPr>
              <w:t>ВАСЭ</w:t>
            </w:r>
          </w:p>
        </w:tc>
        <w:tc>
          <w:tcPr>
            <w:tcW w:w="7196" w:type="dxa"/>
          </w:tcPr>
          <w:p w14:paraId="64F60599" w14:textId="164964E2" w:rsidR="00214C35" w:rsidRPr="00E266A0" w:rsidRDefault="00214C35" w:rsidP="00214C35">
            <w:pPr>
              <w:spacing w:before="40" w:after="40"/>
              <w:rPr>
                <w:szCs w:val="24"/>
                <w:lang w:val="ru-RU"/>
              </w:rPr>
            </w:pPr>
            <w:r w:rsidRPr="00E266A0">
              <w:rPr>
                <w:szCs w:val="22"/>
                <w:lang w:val="ru-RU"/>
              </w:rPr>
              <w:t>Резолюция 73</w:t>
            </w:r>
          </w:p>
        </w:tc>
      </w:tr>
      <w:tr w:rsidR="00214C35" w:rsidRPr="005C1BAD" w14:paraId="2A135351" w14:textId="77777777" w:rsidTr="00682F01">
        <w:tc>
          <w:tcPr>
            <w:tcW w:w="2547" w:type="dxa"/>
          </w:tcPr>
          <w:p w14:paraId="6A24E606" w14:textId="2E075BF3" w:rsidR="00214C35" w:rsidRPr="00E266A0" w:rsidRDefault="00214C35" w:rsidP="00214C35">
            <w:pPr>
              <w:spacing w:before="40" w:after="40"/>
              <w:rPr>
                <w:rFonts w:eastAsiaTheme="majorEastAsia"/>
                <w:i/>
                <w:iCs/>
                <w:szCs w:val="24"/>
                <w:lang w:val="ru-RU"/>
              </w:rPr>
            </w:pPr>
            <w:r w:rsidRPr="00E266A0">
              <w:rPr>
                <w:i/>
                <w:iCs/>
                <w:szCs w:val="22"/>
                <w:lang w:val="ru-RU"/>
              </w:rPr>
              <w:t>Направления деятельности ВВУИО</w:t>
            </w:r>
          </w:p>
        </w:tc>
        <w:tc>
          <w:tcPr>
            <w:tcW w:w="7196" w:type="dxa"/>
          </w:tcPr>
          <w:p w14:paraId="249959B6" w14:textId="342DAEB3" w:rsidR="00214C35" w:rsidRPr="00E266A0" w:rsidRDefault="00214C35" w:rsidP="00214C35">
            <w:pPr>
              <w:spacing w:before="40" w:after="40"/>
              <w:rPr>
                <w:rFonts w:eastAsiaTheme="majorEastAsia"/>
                <w:szCs w:val="24"/>
                <w:lang w:val="ru-RU"/>
              </w:rPr>
            </w:pPr>
            <w:r w:rsidRPr="00E266A0">
              <w:rPr>
                <w:szCs w:val="22"/>
                <w:lang w:val="ru-RU"/>
              </w:rPr>
              <w:t>Направление деятельности C7 (</w:t>
            </w:r>
            <w:r w:rsidR="00DE0F0B" w:rsidRPr="00E266A0">
              <w:rPr>
                <w:szCs w:val="22"/>
                <w:lang w:val="ru-RU"/>
              </w:rPr>
              <w:t xml:space="preserve">электронная </w:t>
            </w:r>
            <w:r w:rsidRPr="00E266A0">
              <w:rPr>
                <w:szCs w:val="22"/>
                <w:lang w:val="ru-RU"/>
              </w:rPr>
              <w:t>охрана окружающей среды) Женевского плана действий ВВУИО тесно связано с Намеченным результатом деятельности D.5.1</w:t>
            </w:r>
          </w:p>
        </w:tc>
      </w:tr>
      <w:tr w:rsidR="00214C35" w:rsidRPr="005C1BAD" w14:paraId="75044157" w14:textId="77777777" w:rsidTr="00682F01">
        <w:tc>
          <w:tcPr>
            <w:tcW w:w="2547" w:type="dxa"/>
          </w:tcPr>
          <w:p w14:paraId="427006BE" w14:textId="57D9CC37" w:rsidR="00214C35" w:rsidRPr="00E266A0" w:rsidRDefault="00214C35" w:rsidP="00214C35">
            <w:pPr>
              <w:spacing w:before="40" w:after="40"/>
              <w:rPr>
                <w:rFonts w:eastAsiaTheme="majorEastAsia"/>
                <w:i/>
                <w:iCs/>
                <w:szCs w:val="24"/>
                <w:lang w:val="ru-RU"/>
              </w:rPr>
            </w:pPr>
            <w:r w:rsidRPr="00E266A0">
              <w:rPr>
                <w:i/>
                <w:iCs/>
                <w:szCs w:val="22"/>
                <w:lang w:val="ru-RU"/>
              </w:rPr>
              <w:t>Вклад в выполнение задач ЦУР</w:t>
            </w:r>
          </w:p>
        </w:tc>
        <w:tc>
          <w:tcPr>
            <w:tcW w:w="7196" w:type="dxa"/>
          </w:tcPr>
          <w:p w14:paraId="5EBF8954" w14:textId="2FB33295" w:rsidR="00214C35" w:rsidRPr="00E266A0" w:rsidRDefault="00214C35" w:rsidP="00262C97">
            <w:pPr>
              <w:spacing w:before="40" w:after="40"/>
              <w:rPr>
                <w:rFonts w:eastAsiaTheme="majorEastAsia"/>
                <w:szCs w:val="24"/>
                <w:lang w:val="ru-RU"/>
              </w:rPr>
            </w:pPr>
            <w:r w:rsidRPr="00E266A0">
              <w:rPr>
                <w:szCs w:val="22"/>
                <w:lang w:val="ru-RU"/>
              </w:rPr>
              <w:t>ЦУР</w:t>
            </w:r>
            <w:r w:rsidR="00DE0F0B">
              <w:rPr>
                <w:szCs w:val="22"/>
                <w:lang w:val="ru-RU"/>
              </w:rPr>
              <w:t xml:space="preserve"> </w:t>
            </w:r>
            <w:r w:rsidRPr="00E266A0">
              <w:rPr>
                <w:szCs w:val="22"/>
                <w:lang w:val="ru-RU"/>
              </w:rPr>
              <w:t xml:space="preserve"> 3 (задача 3.9), 5 (задача 5</w:t>
            </w:r>
            <w:r w:rsidR="00DE0F0B">
              <w:rPr>
                <w:szCs w:val="22"/>
                <w:lang w:val="ru-RU"/>
              </w:rPr>
              <w:t>.</w:t>
            </w:r>
            <w:r w:rsidRPr="00E266A0">
              <w:rPr>
                <w:szCs w:val="22"/>
                <w:lang w:val="ru-RU"/>
              </w:rPr>
              <w:t>b), 9, 11 (задач</w:t>
            </w:r>
            <w:r w:rsidR="00262C97">
              <w:rPr>
                <w:szCs w:val="22"/>
                <w:lang w:val="ru-RU"/>
              </w:rPr>
              <w:t>а</w:t>
            </w:r>
            <w:r w:rsidRPr="00E266A0">
              <w:rPr>
                <w:szCs w:val="22"/>
                <w:lang w:val="ru-RU"/>
              </w:rPr>
              <w:t xml:space="preserve"> 11</w:t>
            </w:r>
            <w:r w:rsidR="00DE0F0B">
              <w:rPr>
                <w:szCs w:val="22"/>
                <w:lang w:val="ru-RU"/>
              </w:rPr>
              <w:t>.</w:t>
            </w:r>
            <w:r w:rsidRPr="00E266A0">
              <w:rPr>
                <w:szCs w:val="22"/>
                <w:lang w:val="ru-RU"/>
              </w:rPr>
              <w:t xml:space="preserve">b), </w:t>
            </w:r>
            <w:r w:rsidR="00DE0F0B">
              <w:rPr>
                <w:szCs w:val="22"/>
                <w:lang w:val="ru-RU"/>
              </w:rPr>
              <w:br/>
            </w:r>
            <w:r w:rsidRPr="00E266A0">
              <w:rPr>
                <w:szCs w:val="22"/>
                <w:lang w:val="ru-RU"/>
              </w:rPr>
              <w:t xml:space="preserve">13 (задачи 13.1, 13.2 </w:t>
            </w:r>
            <w:r w:rsidR="008507BF" w:rsidRPr="00E266A0">
              <w:rPr>
                <w:szCs w:val="22"/>
                <w:lang w:val="ru-RU"/>
              </w:rPr>
              <w:t>и</w:t>
            </w:r>
            <w:r w:rsidRPr="00E266A0">
              <w:rPr>
                <w:szCs w:val="22"/>
                <w:lang w:val="ru-RU"/>
              </w:rPr>
              <w:t xml:space="preserve"> 13.3), 14, 15</w:t>
            </w:r>
          </w:p>
        </w:tc>
      </w:tr>
    </w:tbl>
    <w:p w14:paraId="3F4BA10A" w14:textId="17C5FC84" w:rsidR="00F974A4" w:rsidRPr="00E266A0" w:rsidRDefault="00F974A4" w:rsidP="004824A2">
      <w:pPr>
        <w:keepNext/>
        <w:spacing w:after="120"/>
        <w:ind w:left="357" w:hanging="357"/>
        <w:rPr>
          <w:b/>
          <w:bCs/>
          <w:szCs w:val="24"/>
          <w:lang w:val="ru-RU"/>
        </w:rPr>
      </w:pPr>
      <w:r w:rsidRPr="00E266A0">
        <w:rPr>
          <w:b/>
          <w:bCs/>
          <w:szCs w:val="24"/>
          <w:lang w:val="ru-RU"/>
        </w:rPr>
        <w:t>5.2</w:t>
      </w:r>
      <w:r w:rsidRPr="00E266A0">
        <w:rPr>
          <w:b/>
          <w:bCs/>
          <w:szCs w:val="24"/>
          <w:lang w:val="ru-RU"/>
        </w:rPr>
        <w:tab/>
      </w:r>
      <w:r w:rsidR="008507BF" w:rsidRPr="00E266A0">
        <w:rPr>
          <w:b/>
          <w:lang w:val="ru-RU"/>
        </w:rPr>
        <w:t>Электросвязь в чрезвычайных ситуациях</w:t>
      </w:r>
    </w:p>
    <w:tbl>
      <w:tblPr>
        <w:tblStyle w:val="TableGrid"/>
        <w:tblW w:w="0" w:type="auto"/>
        <w:tblLayout w:type="fixed"/>
        <w:tblLook w:val="04A0" w:firstRow="1" w:lastRow="0" w:firstColumn="1" w:lastColumn="0" w:noHBand="0" w:noVBand="1"/>
      </w:tblPr>
      <w:tblGrid>
        <w:gridCol w:w="2689"/>
        <w:gridCol w:w="7054"/>
      </w:tblGrid>
      <w:tr w:rsidR="00F974A4" w:rsidRPr="005C1BAD" w14:paraId="3C2EE9D0" w14:textId="77777777" w:rsidTr="00682F01">
        <w:tc>
          <w:tcPr>
            <w:tcW w:w="9743" w:type="dxa"/>
            <w:gridSpan w:val="2"/>
          </w:tcPr>
          <w:p w14:paraId="0A3893B4" w14:textId="0330BAFD" w:rsidR="006C0F46" w:rsidRPr="00E266A0" w:rsidRDefault="006C0F46" w:rsidP="006C0F46">
            <w:pPr>
              <w:spacing w:after="120"/>
              <w:rPr>
                <w:szCs w:val="22"/>
                <w:lang w:val="ru-RU"/>
              </w:rPr>
            </w:pPr>
            <w:r w:rsidRPr="00E266A0">
              <w:rPr>
                <w:szCs w:val="22"/>
                <w:lang w:val="ru-RU"/>
              </w:rPr>
              <w:t>БРЭ оказывает поддержку Государствам – Членам МСЭ на всех этапах управления операциями в случае бедствий. Оно укрепляет способности стран координировать усилия по оказанию помощи при бедствиях и ликвидировать непосредственные последствия бедствий, предоставляя оборудование для электросвязи в чрезвычайных ситуациях странам, запрашивающим помощь. В 2018</w:t>
            </w:r>
            <w:r w:rsidR="00747864" w:rsidRPr="00E266A0">
              <w:rPr>
                <w:szCs w:val="22"/>
                <w:lang w:val="ru-RU"/>
              </w:rPr>
              <w:t> </w:t>
            </w:r>
            <w:r w:rsidRPr="00E266A0">
              <w:rPr>
                <w:szCs w:val="22"/>
                <w:lang w:val="ru-RU"/>
              </w:rPr>
              <w:t xml:space="preserve">году помощь получили две страны (Тонга и Папуа – Новая Гвинея). </w:t>
            </w:r>
          </w:p>
          <w:p w14:paraId="36AA3E90" w14:textId="26F4971C" w:rsidR="00F974A4" w:rsidRPr="00E266A0" w:rsidRDefault="006C0F46" w:rsidP="000A0587">
            <w:pPr>
              <w:spacing w:after="120"/>
              <w:rPr>
                <w:szCs w:val="24"/>
                <w:lang w:val="ru-RU"/>
              </w:rPr>
            </w:pPr>
            <w:r w:rsidRPr="00E266A0">
              <w:rPr>
                <w:szCs w:val="22"/>
                <w:lang w:val="ru-RU"/>
              </w:rPr>
              <w:t>БРЭ обеспечивало готовность к бедствиям</w:t>
            </w:r>
            <w:r w:rsidR="00747864" w:rsidRPr="00E266A0">
              <w:rPr>
                <w:szCs w:val="22"/>
                <w:lang w:val="ru-RU"/>
              </w:rPr>
              <w:t xml:space="preserve"> посредством </w:t>
            </w:r>
            <w:r w:rsidR="000A0587" w:rsidRPr="00E266A0">
              <w:rPr>
                <w:szCs w:val="22"/>
                <w:lang w:val="ru-RU"/>
              </w:rPr>
              <w:t>развертывания нескольких</w:t>
            </w:r>
            <w:r w:rsidRPr="00E266A0">
              <w:rPr>
                <w:szCs w:val="22"/>
                <w:lang w:val="ru-RU"/>
              </w:rPr>
              <w:t xml:space="preserve"> систем раннего предупреждения (СРП) в Замбии. Оно также провело оценку потребностей в системах электросвязи в чрезвычайных ситуациях в Карибском бассейне и поручило развернуть мобильную платформу раннего предупреждения и обмена информацией, учитывающую различные виды бедствий. БРЭ обеспечило укрепление потенциала и повышение информированности о возможностях ИКТ для электросвязи в чрезвычайных ситуациях, проведя ряд семинаров-практикумов и курсов профессиональной подготовки с участием многих заинтересованных сторон, а также приняв участие в соответствующих региональных и глобальных мероприятиях. Цель семинаров-практикумов заключалась в том, чтобы создать условия для более широкого применения ИКТ для управления операциями в случае бедствий и решить основные вопросы, касающиеся наиболее эффективного использования ИКТ для уменьшения риска бедствий и управления операциями в случае бедствий. </w:t>
            </w:r>
            <w:r w:rsidR="000A0587" w:rsidRPr="00E266A0">
              <w:rPr>
                <w:szCs w:val="22"/>
                <w:lang w:val="ru-RU"/>
              </w:rPr>
              <w:t>Эти семинары-практикумы</w:t>
            </w:r>
            <w:r w:rsidRPr="00E266A0">
              <w:rPr>
                <w:szCs w:val="22"/>
                <w:lang w:val="ru-RU"/>
              </w:rPr>
              <w:t xml:space="preserve"> также служат платформой для обмена новым опытом и </w:t>
            </w:r>
            <w:r w:rsidR="000A0587" w:rsidRPr="00E266A0">
              <w:rPr>
                <w:szCs w:val="22"/>
                <w:lang w:val="ru-RU"/>
              </w:rPr>
              <w:t xml:space="preserve">передовыми </w:t>
            </w:r>
            <w:r w:rsidRPr="00E266A0">
              <w:rPr>
                <w:szCs w:val="22"/>
                <w:lang w:val="ru-RU"/>
              </w:rPr>
              <w:t xml:space="preserve">практическими методами использования современных технологий для мониторинга и раннего предупреждения. БРЭ также тесно сотрудничало со Всемирной </w:t>
            </w:r>
            <w:r w:rsidR="00DE0F0B" w:rsidRPr="00E266A0">
              <w:rPr>
                <w:szCs w:val="22"/>
                <w:lang w:val="ru-RU"/>
              </w:rPr>
              <w:t xml:space="preserve">метеорологической организацией </w:t>
            </w:r>
            <w:r w:rsidRPr="00E266A0">
              <w:rPr>
                <w:szCs w:val="22"/>
                <w:lang w:val="ru-RU"/>
              </w:rPr>
              <w:t>(ВМО) в целях повышения информированности и оказания странам помощи во внедрении Протокола общего оповещения (CAP) – платформы для передачи сообщений о предупреждении. БРЭ осуществляет свою работу в тесном сотрудничестве с региональными и международными партнерами, в том числе с Тематическим блоком по вопросам электросвязи в чрезвычайных ситуациях (ETC), МСУОБ ООН и ВОЗ.</w:t>
            </w:r>
          </w:p>
        </w:tc>
      </w:tr>
      <w:tr w:rsidR="00863FB2" w:rsidRPr="00E266A0" w14:paraId="7AD83C74" w14:textId="77777777" w:rsidTr="00682F01">
        <w:tc>
          <w:tcPr>
            <w:tcW w:w="2689" w:type="dxa"/>
          </w:tcPr>
          <w:p w14:paraId="6ECC9FAF" w14:textId="50EB1EB9" w:rsidR="00863FB2" w:rsidRPr="00E266A0" w:rsidRDefault="00863FB2" w:rsidP="00DE0F0B">
            <w:pPr>
              <w:keepNext/>
              <w:spacing w:before="40" w:after="40"/>
              <w:rPr>
                <w:i/>
                <w:iCs/>
                <w:szCs w:val="24"/>
                <w:lang w:val="ru-RU"/>
              </w:rPr>
            </w:pPr>
            <w:proofErr w:type="spellStart"/>
            <w:r w:rsidRPr="00E266A0">
              <w:rPr>
                <w:i/>
                <w:iCs/>
                <w:szCs w:val="22"/>
                <w:lang w:val="ru-RU"/>
              </w:rPr>
              <w:lastRenderedPageBreak/>
              <w:t>ВКРЭ</w:t>
            </w:r>
            <w:proofErr w:type="spellEnd"/>
          </w:p>
        </w:tc>
        <w:tc>
          <w:tcPr>
            <w:tcW w:w="7054" w:type="dxa"/>
          </w:tcPr>
          <w:p w14:paraId="3B16F596" w14:textId="00F69529" w:rsidR="00863FB2" w:rsidRPr="00E266A0" w:rsidRDefault="00863FB2" w:rsidP="00DE0F0B">
            <w:pPr>
              <w:keepNext/>
              <w:spacing w:before="40" w:after="40"/>
              <w:rPr>
                <w:szCs w:val="24"/>
                <w:lang w:val="ru-RU"/>
              </w:rPr>
            </w:pPr>
            <w:r w:rsidRPr="00E266A0">
              <w:rPr>
                <w:szCs w:val="22"/>
                <w:lang w:val="ru-RU"/>
              </w:rPr>
              <w:t>Резолюции 1, 5, 17, 21, 30, 32, 34, 37, 50, 52, 53, 69</w:t>
            </w:r>
          </w:p>
        </w:tc>
      </w:tr>
      <w:tr w:rsidR="00863FB2" w:rsidRPr="00E266A0" w14:paraId="065CB15F" w14:textId="77777777" w:rsidTr="00682F01">
        <w:tc>
          <w:tcPr>
            <w:tcW w:w="2689" w:type="dxa"/>
          </w:tcPr>
          <w:p w14:paraId="54941A7C" w14:textId="369F57AD" w:rsidR="00863FB2" w:rsidRPr="00E266A0" w:rsidRDefault="00863FB2" w:rsidP="00DE0F0B">
            <w:pPr>
              <w:keepNext/>
              <w:spacing w:before="40" w:after="40"/>
              <w:rPr>
                <w:i/>
                <w:iCs/>
                <w:szCs w:val="24"/>
                <w:lang w:val="ru-RU"/>
              </w:rPr>
            </w:pPr>
            <w:r w:rsidRPr="00E266A0">
              <w:rPr>
                <w:i/>
                <w:iCs/>
                <w:szCs w:val="22"/>
                <w:lang w:val="ru-RU"/>
              </w:rPr>
              <w:t>Полномочная конференция</w:t>
            </w:r>
          </w:p>
        </w:tc>
        <w:tc>
          <w:tcPr>
            <w:tcW w:w="7054" w:type="dxa"/>
          </w:tcPr>
          <w:p w14:paraId="276670B1" w14:textId="77777777" w:rsidR="00863FB2" w:rsidRPr="00E266A0" w:rsidRDefault="00863FB2" w:rsidP="00DE0F0B">
            <w:pPr>
              <w:keepNext/>
              <w:spacing w:before="60" w:after="60"/>
              <w:rPr>
                <w:szCs w:val="22"/>
                <w:lang w:val="ru-RU"/>
              </w:rPr>
            </w:pPr>
            <w:r w:rsidRPr="00E266A0">
              <w:rPr>
                <w:szCs w:val="22"/>
                <w:lang w:val="ru-RU"/>
              </w:rPr>
              <w:t>Решения 5, 13 ПК</w:t>
            </w:r>
          </w:p>
          <w:p w14:paraId="492E0AAF" w14:textId="1FFDEC40" w:rsidR="00863FB2" w:rsidRPr="00E266A0" w:rsidRDefault="00863FB2" w:rsidP="00DE0F0B">
            <w:pPr>
              <w:keepNext/>
              <w:spacing w:before="40" w:after="40"/>
              <w:rPr>
                <w:szCs w:val="24"/>
                <w:lang w:val="ru-RU"/>
              </w:rPr>
            </w:pPr>
            <w:r w:rsidRPr="00E266A0">
              <w:rPr>
                <w:szCs w:val="22"/>
                <w:lang w:val="ru-RU"/>
              </w:rPr>
              <w:t>Резолюции 25, 37, 71, 98, 136, 140, 182, 202 ПК</w:t>
            </w:r>
          </w:p>
        </w:tc>
      </w:tr>
      <w:tr w:rsidR="00863FB2" w:rsidRPr="00E266A0" w14:paraId="2FFCABB9" w14:textId="77777777" w:rsidTr="00682F01">
        <w:tc>
          <w:tcPr>
            <w:tcW w:w="2689" w:type="dxa"/>
          </w:tcPr>
          <w:p w14:paraId="2D0D3C2A" w14:textId="6F55AB82" w:rsidR="00863FB2" w:rsidRPr="00E266A0" w:rsidRDefault="00863FB2" w:rsidP="00037F06">
            <w:pPr>
              <w:spacing w:before="40" w:after="40"/>
              <w:rPr>
                <w:i/>
                <w:iCs/>
                <w:szCs w:val="24"/>
                <w:lang w:val="ru-RU"/>
              </w:rPr>
            </w:pPr>
            <w:r w:rsidRPr="00E266A0">
              <w:rPr>
                <w:i/>
                <w:iCs/>
                <w:szCs w:val="22"/>
                <w:lang w:val="ru-RU"/>
              </w:rPr>
              <w:t>ВКР</w:t>
            </w:r>
          </w:p>
        </w:tc>
        <w:tc>
          <w:tcPr>
            <w:tcW w:w="7054" w:type="dxa"/>
          </w:tcPr>
          <w:p w14:paraId="6FC9E901" w14:textId="06CAFE6B" w:rsidR="00863FB2" w:rsidRPr="00E266A0" w:rsidRDefault="00863FB2" w:rsidP="00037F06">
            <w:pPr>
              <w:spacing w:before="40" w:after="40"/>
              <w:rPr>
                <w:szCs w:val="24"/>
                <w:lang w:val="ru-RU"/>
              </w:rPr>
            </w:pPr>
            <w:r w:rsidRPr="00E266A0">
              <w:rPr>
                <w:szCs w:val="22"/>
                <w:lang w:val="ru-RU"/>
              </w:rPr>
              <w:t>Резолюции 646, 647</w:t>
            </w:r>
          </w:p>
        </w:tc>
      </w:tr>
      <w:tr w:rsidR="00863FB2" w:rsidRPr="00E266A0" w14:paraId="3C852B0A" w14:textId="77777777" w:rsidTr="00682F01">
        <w:tc>
          <w:tcPr>
            <w:tcW w:w="2689" w:type="dxa"/>
          </w:tcPr>
          <w:p w14:paraId="0B54A277" w14:textId="6DE6BBAA" w:rsidR="00863FB2" w:rsidRPr="00E266A0" w:rsidRDefault="00863FB2" w:rsidP="00037F06">
            <w:pPr>
              <w:spacing w:before="40" w:after="40"/>
              <w:rPr>
                <w:i/>
                <w:iCs/>
                <w:szCs w:val="24"/>
                <w:lang w:val="ru-RU"/>
              </w:rPr>
            </w:pPr>
            <w:r w:rsidRPr="00E266A0">
              <w:rPr>
                <w:i/>
                <w:iCs/>
                <w:szCs w:val="22"/>
                <w:lang w:val="ru-RU"/>
              </w:rPr>
              <w:t>ВКМЭ</w:t>
            </w:r>
          </w:p>
        </w:tc>
        <w:tc>
          <w:tcPr>
            <w:tcW w:w="7054" w:type="dxa"/>
          </w:tcPr>
          <w:p w14:paraId="48E962EE" w14:textId="53C42946" w:rsidR="00863FB2" w:rsidRPr="00E266A0" w:rsidRDefault="00863FB2" w:rsidP="00037F06">
            <w:pPr>
              <w:spacing w:before="40" w:after="40"/>
              <w:rPr>
                <w:szCs w:val="24"/>
                <w:lang w:val="ru-RU"/>
              </w:rPr>
            </w:pPr>
            <w:r w:rsidRPr="00E266A0">
              <w:rPr>
                <w:szCs w:val="22"/>
                <w:lang w:val="ru-RU"/>
              </w:rPr>
              <w:t>Резолюция 2</w:t>
            </w:r>
          </w:p>
        </w:tc>
      </w:tr>
      <w:tr w:rsidR="00863FB2" w:rsidRPr="00E266A0" w14:paraId="4A973D93" w14:textId="77777777" w:rsidTr="00682F01">
        <w:tc>
          <w:tcPr>
            <w:tcW w:w="2689" w:type="dxa"/>
          </w:tcPr>
          <w:p w14:paraId="5BD0EBA8" w14:textId="188B4BD1" w:rsidR="00863FB2" w:rsidRPr="00E266A0" w:rsidRDefault="00863FB2" w:rsidP="00037F06">
            <w:pPr>
              <w:spacing w:before="40" w:after="40"/>
              <w:rPr>
                <w:i/>
                <w:iCs/>
                <w:szCs w:val="24"/>
                <w:lang w:val="ru-RU"/>
              </w:rPr>
            </w:pPr>
            <w:r w:rsidRPr="00E266A0">
              <w:rPr>
                <w:i/>
                <w:iCs/>
                <w:szCs w:val="22"/>
                <w:lang w:val="ru-RU"/>
              </w:rPr>
              <w:t>Направления деятельности ВВУИО</w:t>
            </w:r>
          </w:p>
        </w:tc>
        <w:tc>
          <w:tcPr>
            <w:tcW w:w="7054" w:type="dxa"/>
          </w:tcPr>
          <w:p w14:paraId="78ED81BE" w14:textId="5DED5BD3" w:rsidR="00863FB2" w:rsidRPr="00E266A0" w:rsidRDefault="00863FB2" w:rsidP="00CB49BE">
            <w:pPr>
              <w:spacing w:before="40" w:after="40"/>
              <w:rPr>
                <w:szCs w:val="24"/>
                <w:lang w:val="ru-RU"/>
              </w:rPr>
            </w:pPr>
            <w:r w:rsidRPr="00E266A0">
              <w:rPr>
                <w:szCs w:val="22"/>
                <w:lang w:val="ru-RU"/>
              </w:rPr>
              <w:t xml:space="preserve">Направление деятельности </w:t>
            </w:r>
            <w:proofErr w:type="spellStart"/>
            <w:r w:rsidRPr="00E266A0">
              <w:rPr>
                <w:szCs w:val="22"/>
                <w:lang w:val="ru-RU"/>
              </w:rPr>
              <w:t>C7</w:t>
            </w:r>
            <w:bookmarkStart w:id="6" w:name="_GoBack"/>
            <w:bookmarkEnd w:id="6"/>
            <w:proofErr w:type="spellEnd"/>
          </w:p>
        </w:tc>
      </w:tr>
      <w:tr w:rsidR="00863FB2" w:rsidRPr="005C1BAD" w14:paraId="6FC6FBCD" w14:textId="77777777" w:rsidTr="00682F01">
        <w:tc>
          <w:tcPr>
            <w:tcW w:w="2689" w:type="dxa"/>
          </w:tcPr>
          <w:p w14:paraId="27220B71" w14:textId="4BFC756D" w:rsidR="00863FB2" w:rsidRPr="00E266A0" w:rsidRDefault="00863FB2" w:rsidP="00037F06">
            <w:pPr>
              <w:spacing w:before="40" w:after="40"/>
              <w:rPr>
                <w:i/>
                <w:iCs/>
                <w:szCs w:val="24"/>
                <w:lang w:val="ru-RU"/>
              </w:rPr>
            </w:pPr>
            <w:r w:rsidRPr="00E266A0">
              <w:rPr>
                <w:i/>
                <w:iCs/>
                <w:szCs w:val="22"/>
                <w:lang w:val="ru-RU"/>
              </w:rPr>
              <w:t>Вклад в выполнение задач ЦУР</w:t>
            </w:r>
          </w:p>
        </w:tc>
        <w:tc>
          <w:tcPr>
            <w:tcW w:w="7054" w:type="dxa"/>
          </w:tcPr>
          <w:p w14:paraId="601DBC20" w14:textId="641BD78C" w:rsidR="00863FB2" w:rsidRPr="00E266A0" w:rsidRDefault="00863FB2" w:rsidP="00DE0F0B">
            <w:pPr>
              <w:spacing w:before="40" w:after="40"/>
              <w:rPr>
                <w:szCs w:val="24"/>
                <w:lang w:val="ru-RU"/>
              </w:rPr>
            </w:pPr>
            <w:r w:rsidRPr="00E266A0">
              <w:rPr>
                <w:szCs w:val="22"/>
                <w:lang w:val="ru-RU"/>
              </w:rPr>
              <w:t>ЦУР 3 (задача 3.9), 5 (задача 5</w:t>
            </w:r>
            <w:r w:rsidR="00DE0F0B">
              <w:rPr>
                <w:szCs w:val="22"/>
                <w:lang w:val="ru-RU"/>
              </w:rPr>
              <w:t>.</w:t>
            </w:r>
            <w:r w:rsidRPr="00E266A0">
              <w:rPr>
                <w:szCs w:val="22"/>
                <w:lang w:val="ru-RU"/>
              </w:rPr>
              <w:t>b), 9, 11 (задача 11</w:t>
            </w:r>
            <w:r w:rsidR="00DE0F0B">
              <w:rPr>
                <w:szCs w:val="22"/>
                <w:lang w:val="ru-RU"/>
              </w:rPr>
              <w:t>.</w:t>
            </w:r>
            <w:r w:rsidRPr="00E266A0">
              <w:rPr>
                <w:szCs w:val="22"/>
                <w:lang w:val="ru-RU"/>
              </w:rPr>
              <w:t xml:space="preserve">b), </w:t>
            </w:r>
            <w:r w:rsidR="00DE0F0B">
              <w:rPr>
                <w:szCs w:val="22"/>
                <w:lang w:val="ru-RU"/>
              </w:rPr>
              <w:br/>
            </w:r>
            <w:r w:rsidRPr="00E266A0">
              <w:rPr>
                <w:szCs w:val="22"/>
                <w:lang w:val="ru-RU"/>
              </w:rPr>
              <w:t>13 (задачи 13.1, 13.2 и 13.3), 14, 15</w:t>
            </w:r>
          </w:p>
        </w:tc>
      </w:tr>
    </w:tbl>
    <w:p w14:paraId="3FB6E20E" w14:textId="77777777" w:rsidR="00D83BF5" w:rsidRPr="00E266A0" w:rsidRDefault="00FE0BFA" w:rsidP="00B7112E">
      <w:pPr>
        <w:tabs>
          <w:tab w:val="clear" w:pos="1134"/>
          <w:tab w:val="clear" w:pos="1871"/>
          <w:tab w:val="clear" w:pos="2268"/>
        </w:tabs>
        <w:jc w:val="center"/>
        <w:rPr>
          <w:szCs w:val="24"/>
          <w:lang w:val="ru-RU"/>
        </w:rPr>
      </w:pPr>
      <w:r w:rsidRPr="00E266A0">
        <w:rPr>
          <w:lang w:val="ru-RU"/>
        </w:rPr>
        <w:t>________________</w:t>
      </w:r>
    </w:p>
    <w:p w14:paraId="4D7FDDAE" w14:textId="77777777" w:rsidR="00E266A0" w:rsidRPr="00E266A0" w:rsidRDefault="00E266A0">
      <w:pPr>
        <w:tabs>
          <w:tab w:val="clear" w:pos="1134"/>
          <w:tab w:val="clear" w:pos="1871"/>
          <w:tab w:val="clear" w:pos="2268"/>
        </w:tabs>
        <w:jc w:val="center"/>
        <w:rPr>
          <w:szCs w:val="24"/>
          <w:lang w:val="ru-RU"/>
        </w:rPr>
      </w:pPr>
    </w:p>
    <w:sectPr w:rsidR="00E266A0" w:rsidRPr="00E266A0" w:rsidSect="009B7D33">
      <w:headerReference w:type="default" r:id="rId23"/>
      <w:footerReference w:type="even" r:id="rId24"/>
      <w:headerReference w:type="first" r:id="rId25"/>
      <w:footerReference w:type="first" r:id="rId2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C57A8" w14:textId="77777777" w:rsidR="00342F2B" w:rsidRDefault="00342F2B">
      <w:r>
        <w:separator/>
      </w:r>
    </w:p>
  </w:endnote>
  <w:endnote w:type="continuationSeparator" w:id="0">
    <w:p w14:paraId="2E454688" w14:textId="77777777" w:rsidR="00342F2B" w:rsidRDefault="0034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charset w:val="00"/>
    <w:family w:val="roman"/>
    <w:pitch w:val="variable"/>
    <w:sig w:usb0="00002003" w:usb1="00000000" w:usb2="00000000" w:usb3="00000000" w:csb0="00000041"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456C6" w14:textId="77777777" w:rsidR="00623BE5" w:rsidRDefault="00623BE5">
    <w:pPr>
      <w:framePr w:wrap="around" w:vAnchor="text" w:hAnchor="margin" w:xAlign="right" w:y="1"/>
    </w:pPr>
    <w:r>
      <w:fldChar w:fldCharType="begin"/>
    </w:r>
    <w:r>
      <w:instrText xml:space="preserve">PAGE  </w:instrText>
    </w:r>
    <w:r>
      <w:fldChar w:fldCharType="end"/>
    </w:r>
  </w:p>
  <w:p w14:paraId="7F91C989" w14:textId="76D6D9EF" w:rsidR="00623BE5" w:rsidRPr="0041348E" w:rsidRDefault="00623BE5">
    <w:pPr>
      <w:ind w:right="360"/>
      <w:rPr>
        <w:lang w:val="en-US"/>
      </w:rPr>
    </w:pPr>
    <w:r>
      <w:fldChar w:fldCharType="begin"/>
    </w:r>
    <w:r w:rsidRPr="0041348E">
      <w:rPr>
        <w:lang w:val="en-US"/>
      </w:rPr>
      <w:instrText xml:space="preserve"> FILENAME \p  \* MERGEFORMAT </w:instrText>
    </w:r>
    <w:r>
      <w:fldChar w:fldCharType="separate"/>
    </w:r>
    <w:r w:rsidR="00F82D2F">
      <w:rPr>
        <w:noProof/>
        <w:lang w:val="en-US"/>
      </w:rPr>
      <w:t>D:\ITU-JOBS\298\449201\449201.docx</w:t>
    </w:r>
    <w:r>
      <w:fldChar w:fldCharType="end"/>
    </w:r>
    <w:r w:rsidRPr="0041348E">
      <w:rPr>
        <w:lang w:val="en-US"/>
      </w:rPr>
      <w:tab/>
    </w:r>
    <w:r>
      <w:fldChar w:fldCharType="begin"/>
    </w:r>
    <w:r>
      <w:instrText xml:space="preserve"> SAVEDATE \@ DD.MM.YY </w:instrText>
    </w:r>
    <w:r>
      <w:fldChar w:fldCharType="separate"/>
    </w:r>
    <w:r w:rsidR="005C1BAD">
      <w:rPr>
        <w:noProof/>
      </w:rPr>
      <w:t>12.03.19</w:t>
    </w:r>
    <w:r>
      <w:fldChar w:fldCharType="end"/>
    </w:r>
    <w:r w:rsidRPr="0041348E">
      <w:rPr>
        <w:lang w:val="en-US"/>
      </w:rPr>
      <w:tab/>
    </w:r>
    <w:r>
      <w:fldChar w:fldCharType="begin"/>
    </w:r>
    <w:r>
      <w:instrText xml:space="preserve"> PRINTDATE \@ DD.MM.YY </w:instrText>
    </w:r>
    <w:r>
      <w:fldChar w:fldCharType="separate"/>
    </w:r>
    <w:r w:rsidR="00F82D2F">
      <w:rPr>
        <w:noProof/>
      </w:rPr>
      <w:t>12.03.19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623BE5" w:rsidRPr="005C1BAD" w14:paraId="17EC4D8E" w14:textId="77777777" w:rsidTr="00483C1A">
      <w:tc>
        <w:tcPr>
          <w:tcW w:w="1418" w:type="dxa"/>
          <w:tcBorders>
            <w:top w:val="single" w:sz="4" w:space="0" w:color="000000"/>
          </w:tcBorders>
          <w:shd w:val="clear" w:color="auto" w:fill="auto"/>
        </w:tcPr>
        <w:p w14:paraId="2BE096D6" w14:textId="6C4EF288" w:rsidR="00623BE5" w:rsidRPr="0018390C" w:rsidRDefault="00623BE5" w:rsidP="00483C1A">
          <w:pPr>
            <w:pStyle w:val="FirstFooter"/>
            <w:tabs>
              <w:tab w:val="left" w:pos="1559"/>
              <w:tab w:val="left" w:pos="3828"/>
            </w:tabs>
            <w:rPr>
              <w:sz w:val="18"/>
              <w:szCs w:val="18"/>
              <w:lang w:val="en-US"/>
            </w:rPr>
          </w:pPr>
          <w:r w:rsidRPr="008436F4">
            <w:rPr>
              <w:sz w:val="18"/>
              <w:szCs w:val="18"/>
            </w:rPr>
            <w:t>Координатор</w:t>
          </w:r>
          <w:r w:rsidRPr="008436F4">
            <w:rPr>
              <w:sz w:val="18"/>
              <w:szCs w:val="18"/>
              <w:lang w:val="en-US"/>
            </w:rPr>
            <w:t>:</w:t>
          </w:r>
        </w:p>
      </w:tc>
      <w:tc>
        <w:tcPr>
          <w:tcW w:w="2518" w:type="dxa"/>
          <w:tcBorders>
            <w:top w:val="single" w:sz="4" w:space="0" w:color="000000"/>
          </w:tcBorders>
          <w:shd w:val="clear" w:color="auto" w:fill="auto"/>
        </w:tcPr>
        <w:p w14:paraId="62074E61" w14:textId="1B53404A" w:rsidR="00623BE5" w:rsidRPr="0018390C" w:rsidRDefault="00623BE5" w:rsidP="0018390C">
          <w:pPr>
            <w:pStyle w:val="FirstFooter"/>
            <w:tabs>
              <w:tab w:val="left" w:pos="2302"/>
            </w:tabs>
            <w:rPr>
              <w:sz w:val="18"/>
              <w:szCs w:val="18"/>
              <w:lang w:val="en-US"/>
            </w:rPr>
          </w:pPr>
          <w:r w:rsidRPr="008436F4">
            <w:rPr>
              <w:sz w:val="18"/>
              <w:szCs w:val="18"/>
            </w:rPr>
            <w:t>Фамилия/организация/</w:t>
          </w:r>
          <w:r>
            <w:rPr>
              <w:sz w:val="18"/>
              <w:szCs w:val="18"/>
              <w:lang w:val="ru-RU"/>
            </w:rPr>
            <w:br/>
          </w:r>
          <w:r w:rsidRPr="008436F4">
            <w:rPr>
              <w:sz w:val="18"/>
              <w:szCs w:val="18"/>
            </w:rPr>
            <w:t>объединение:</w:t>
          </w:r>
        </w:p>
      </w:tc>
      <w:tc>
        <w:tcPr>
          <w:tcW w:w="5987" w:type="dxa"/>
          <w:tcBorders>
            <w:top w:val="single" w:sz="4" w:space="0" w:color="000000"/>
          </w:tcBorders>
        </w:tcPr>
        <w:p w14:paraId="4D56D9BF" w14:textId="4EFEA705" w:rsidR="00623BE5" w:rsidRPr="005C1BAD" w:rsidRDefault="00623BE5" w:rsidP="0018390C">
          <w:pPr>
            <w:pStyle w:val="FirstFooter"/>
            <w:tabs>
              <w:tab w:val="left" w:pos="2302"/>
            </w:tabs>
            <w:rPr>
              <w:sz w:val="18"/>
              <w:szCs w:val="18"/>
              <w:lang w:val="ru-RU"/>
            </w:rPr>
          </w:pPr>
          <w:r>
            <w:rPr>
              <w:sz w:val="18"/>
              <w:szCs w:val="18"/>
              <w:lang w:val="ru-RU"/>
            </w:rPr>
            <w:t>Г</w:t>
          </w:r>
          <w:r w:rsidRPr="005C1BAD">
            <w:rPr>
              <w:sz w:val="18"/>
              <w:szCs w:val="18"/>
              <w:lang w:val="ru-RU"/>
            </w:rPr>
            <w:t xml:space="preserve">-н Юси </w:t>
          </w:r>
          <w:proofErr w:type="spellStart"/>
          <w:r w:rsidRPr="005C1BAD">
            <w:rPr>
              <w:sz w:val="18"/>
              <w:szCs w:val="18"/>
              <w:lang w:val="ru-RU"/>
            </w:rPr>
            <w:t>Торигое</w:t>
          </w:r>
          <w:proofErr w:type="spellEnd"/>
          <w:r w:rsidRPr="005C1BAD">
            <w:rPr>
              <w:sz w:val="18"/>
              <w:szCs w:val="18"/>
              <w:lang w:val="ru-RU"/>
            </w:rPr>
            <w:t xml:space="preserve"> </w:t>
          </w:r>
          <w:r>
            <w:rPr>
              <w:sz w:val="18"/>
              <w:szCs w:val="18"/>
              <w:lang w:val="ru-RU"/>
            </w:rPr>
            <w:t>(</w:t>
          </w:r>
          <w:proofErr w:type="spellStart"/>
          <w:r w:rsidRPr="0018390C">
            <w:rPr>
              <w:sz w:val="18"/>
              <w:szCs w:val="18"/>
              <w:lang w:val="en-US"/>
            </w:rPr>
            <w:t>Mr</w:t>
          </w:r>
          <w:proofErr w:type="spellEnd"/>
          <w:r w:rsidRPr="005C1BAD">
            <w:rPr>
              <w:sz w:val="18"/>
              <w:szCs w:val="18"/>
              <w:lang w:val="ru-RU"/>
            </w:rPr>
            <w:t xml:space="preserve"> </w:t>
          </w:r>
          <w:proofErr w:type="spellStart"/>
          <w:r w:rsidRPr="0018390C">
            <w:rPr>
              <w:sz w:val="18"/>
              <w:szCs w:val="18"/>
              <w:lang w:val="en-US"/>
            </w:rPr>
            <w:t>Yushi</w:t>
          </w:r>
          <w:proofErr w:type="spellEnd"/>
          <w:r w:rsidRPr="005C1BAD">
            <w:rPr>
              <w:sz w:val="18"/>
              <w:szCs w:val="18"/>
              <w:lang w:val="ru-RU"/>
            </w:rPr>
            <w:t xml:space="preserve"> </w:t>
          </w:r>
          <w:proofErr w:type="spellStart"/>
          <w:r w:rsidRPr="0018390C">
            <w:rPr>
              <w:sz w:val="18"/>
              <w:szCs w:val="18"/>
              <w:lang w:val="en-US"/>
            </w:rPr>
            <w:t>Torigoe</w:t>
          </w:r>
          <w:proofErr w:type="spellEnd"/>
          <w:r>
            <w:rPr>
              <w:sz w:val="18"/>
              <w:szCs w:val="18"/>
              <w:lang w:val="ru-RU"/>
            </w:rPr>
            <w:t>)</w:t>
          </w:r>
          <w:r w:rsidR="0045294F">
            <w:rPr>
              <w:sz w:val="18"/>
              <w:szCs w:val="18"/>
              <w:lang w:val="ru-RU"/>
            </w:rPr>
            <w:t>,</w:t>
          </w:r>
          <w:r>
            <w:rPr>
              <w:sz w:val="18"/>
              <w:szCs w:val="18"/>
              <w:lang w:val="ru-RU"/>
            </w:rPr>
            <w:t xml:space="preserve"> </w:t>
          </w:r>
          <w:r w:rsidRPr="005C1BAD">
            <w:rPr>
              <w:sz w:val="18"/>
              <w:szCs w:val="18"/>
              <w:lang w:val="ru-RU"/>
            </w:rPr>
            <w:t>заместитель Директора Бюро развития электросвязи</w:t>
          </w:r>
        </w:p>
      </w:tc>
    </w:tr>
    <w:tr w:rsidR="00623BE5" w:rsidRPr="0018390C" w14:paraId="5451EFBA" w14:textId="77777777" w:rsidTr="0045294F">
      <w:tc>
        <w:tcPr>
          <w:tcW w:w="1418" w:type="dxa"/>
          <w:shd w:val="clear" w:color="auto" w:fill="auto"/>
        </w:tcPr>
        <w:p w14:paraId="5F67F9E8" w14:textId="77777777" w:rsidR="00623BE5" w:rsidRPr="005C1BAD" w:rsidRDefault="00623BE5" w:rsidP="00483C1A">
          <w:pPr>
            <w:pStyle w:val="FirstFooter"/>
            <w:tabs>
              <w:tab w:val="left" w:pos="1559"/>
              <w:tab w:val="left" w:pos="3828"/>
            </w:tabs>
            <w:rPr>
              <w:sz w:val="18"/>
              <w:szCs w:val="18"/>
              <w:lang w:val="ru-RU"/>
            </w:rPr>
          </w:pPr>
        </w:p>
      </w:tc>
      <w:tc>
        <w:tcPr>
          <w:tcW w:w="2518" w:type="dxa"/>
          <w:shd w:val="clear" w:color="auto" w:fill="auto"/>
        </w:tcPr>
        <w:p w14:paraId="32EB1166" w14:textId="1FD28AD4" w:rsidR="00623BE5" w:rsidRPr="0018390C" w:rsidRDefault="00623BE5" w:rsidP="00483C1A">
          <w:pPr>
            <w:pStyle w:val="FirstFooter"/>
            <w:tabs>
              <w:tab w:val="left" w:pos="2302"/>
            </w:tabs>
            <w:ind w:left="2302" w:hanging="2302"/>
            <w:rPr>
              <w:sz w:val="18"/>
              <w:szCs w:val="18"/>
              <w:lang w:val="en-US"/>
            </w:rPr>
          </w:pPr>
          <w:r>
            <w:rPr>
              <w:sz w:val="18"/>
              <w:szCs w:val="18"/>
              <w:lang w:val="ru-RU"/>
            </w:rPr>
            <w:t>Тел.</w:t>
          </w:r>
          <w:r w:rsidRPr="0018390C">
            <w:rPr>
              <w:sz w:val="18"/>
              <w:szCs w:val="18"/>
              <w:lang w:val="en-US"/>
            </w:rPr>
            <w:t>:</w:t>
          </w:r>
        </w:p>
      </w:tc>
      <w:tc>
        <w:tcPr>
          <w:tcW w:w="5987" w:type="dxa"/>
        </w:tcPr>
        <w:p w14:paraId="7F0740E8" w14:textId="77777777" w:rsidR="00623BE5" w:rsidRPr="0018390C" w:rsidRDefault="00623BE5" w:rsidP="00483C1A">
          <w:pPr>
            <w:pStyle w:val="FirstFooter"/>
            <w:tabs>
              <w:tab w:val="left" w:pos="2302"/>
            </w:tabs>
            <w:rPr>
              <w:sz w:val="18"/>
              <w:szCs w:val="18"/>
              <w:lang w:val="en-US"/>
            </w:rPr>
          </w:pPr>
          <w:r w:rsidRPr="0018390C">
            <w:rPr>
              <w:sz w:val="18"/>
              <w:szCs w:val="18"/>
              <w:lang w:val="en-US"/>
            </w:rPr>
            <w:t>+ 41 22 730 5784</w:t>
          </w:r>
        </w:p>
      </w:tc>
    </w:tr>
    <w:tr w:rsidR="00623BE5" w:rsidRPr="0018390C" w14:paraId="3F277320" w14:textId="77777777" w:rsidTr="0045294F">
      <w:tc>
        <w:tcPr>
          <w:tcW w:w="1418" w:type="dxa"/>
          <w:shd w:val="clear" w:color="auto" w:fill="auto"/>
        </w:tcPr>
        <w:p w14:paraId="66669EB1" w14:textId="77777777" w:rsidR="00623BE5" w:rsidRPr="0018390C" w:rsidRDefault="00623BE5" w:rsidP="00483C1A">
          <w:pPr>
            <w:pStyle w:val="FirstFooter"/>
            <w:tabs>
              <w:tab w:val="left" w:pos="1559"/>
              <w:tab w:val="left" w:pos="3828"/>
            </w:tabs>
            <w:rPr>
              <w:sz w:val="18"/>
              <w:szCs w:val="18"/>
              <w:lang w:val="fr-CH"/>
            </w:rPr>
          </w:pPr>
        </w:p>
      </w:tc>
      <w:tc>
        <w:tcPr>
          <w:tcW w:w="2518" w:type="dxa"/>
          <w:shd w:val="clear" w:color="auto" w:fill="auto"/>
        </w:tcPr>
        <w:p w14:paraId="09E2CA44" w14:textId="2AC120DE" w:rsidR="00623BE5" w:rsidRPr="0018390C" w:rsidRDefault="00623BE5" w:rsidP="00483C1A">
          <w:pPr>
            <w:pStyle w:val="FirstFooter"/>
            <w:tabs>
              <w:tab w:val="left" w:pos="2302"/>
            </w:tabs>
            <w:rPr>
              <w:sz w:val="18"/>
              <w:szCs w:val="18"/>
              <w:lang w:val="ru-RU"/>
            </w:rPr>
          </w:pPr>
          <w:r>
            <w:rPr>
              <w:sz w:val="18"/>
              <w:szCs w:val="18"/>
              <w:lang w:val="ru-RU"/>
            </w:rPr>
            <w:t>Эл. почта:</w:t>
          </w:r>
        </w:p>
      </w:tc>
      <w:tc>
        <w:tcPr>
          <w:tcW w:w="5987" w:type="dxa"/>
        </w:tcPr>
        <w:p w14:paraId="5C763DA3" w14:textId="77777777" w:rsidR="00623BE5" w:rsidRPr="0018390C" w:rsidRDefault="00CB49BE" w:rsidP="00483C1A">
          <w:pPr>
            <w:pStyle w:val="FirstFooter"/>
            <w:tabs>
              <w:tab w:val="left" w:pos="2302"/>
            </w:tabs>
            <w:rPr>
              <w:sz w:val="18"/>
              <w:szCs w:val="18"/>
              <w:lang w:val="en-US"/>
            </w:rPr>
          </w:pPr>
          <w:hyperlink r:id="rId1" w:history="1">
            <w:r w:rsidR="00623BE5" w:rsidRPr="0018390C">
              <w:rPr>
                <w:rStyle w:val="Hyperlink"/>
                <w:sz w:val="18"/>
                <w:szCs w:val="18"/>
                <w:lang w:val="en-US"/>
              </w:rPr>
              <w:t>yushi.torigoe@itu.int</w:t>
            </w:r>
          </w:hyperlink>
          <w:r w:rsidR="00623BE5" w:rsidRPr="0018390C">
            <w:rPr>
              <w:sz w:val="18"/>
              <w:szCs w:val="18"/>
              <w:lang w:val="en-US"/>
            </w:rPr>
            <w:t xml:space="preserve">  </w:t>
          </w:r>
        </w:p>
      </w:tc>
    </w:tr>
  </w:tbl>
  <w:p w14:paraId="67787574" w14:textId="4CE1AC40" w:rsidR="00623BE5" w:rsidRPr="0018390C" w:rsidRDefault="00CB49BE" w:rsidP="00600B35">
    <w:pPr>
      <w:jc w:val="center"/>
      <w:rPr>
        <w:sz w:val="18"/>
        <w:szCs w:val="18"/>
      </w:rPr>
    </w:pPr>
    <w:hyperlink r:id="rId2" w:history="1">
      <w:r w:rsidR="00623BE5">
        <w:rPr>
          <w:rStyle w:val="Hyperlink"/>
          <w:sz w:val="18"/>
          <w:szCs w:val="18"/>
          <w:lang w:val="ru-RU"/>
        </w:rPr>
        <w:t>КГРЭ</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FE3C7" w14:textId="77777777" w:rsidR="00342F2B" w:rsidRDefault="00342F2B">
      <w:r>
        <w:rPr>
          <w:b/>
        </w:rPr>
        <w:t>_______________</w:t>
      </w:r>
    </w:p>
  </w:footnote>
  <w:footnote w:type="continuationSeparator" w:id="0">
    <w:p w14:paraId="00FD0EEC" w14:textId="77777777" w:rsidR="00342F2B" w:rsidRDefault="0034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A8DC" w14:textId="0056ED42" w:rsidR="00623BE5" w:rsidRPr="0018390C" w:rsidRDefault="00623BE5" w:rsidP="00EA6A34">
    <w:pPr>
      <w:tabs>
        <w:tab w:val="clear" w:pos="1134"/>
        <w:tab w:val="clear" w:pos="1871"/>
        <w:tab w:val="clear" w:pos="2268"/>
        <w:tab w:val="center" w:pos="4820"/>
        <w:tab w:val="right" w:pos="10206"/>
      </w:tabs>
      <w:ind w:right="1"/>
      <w:rPr>
        <w:smallCaps/>
        <w:spacing w:val="24"/>
        <w:szCs w:val="22"/>
        <w:lang w:val="es-ES_tradnl"/>
      </w:rPr>
    </w:pPr>
    <w:r w:rsidRPr="0018390C">
      <w:rPr>
        <w:szCs w:val="22"/>
      </w:rPr>
      <w:tab/>
    </w:r>
    <w:r w:rsidRPr="0018390C">
      <w:rPr>
        <w:szCs w:val="22"/>
        <w:lang w:val="es-ES_tradnl"/>
      </w:rPr>
      <w:t>TDAG-19/2-</w:t>
    </w:r>
    <w:r>
      <w:rPr>
        <w:szCs w:val="22"/>
        <w:lang w:val="en-US"/>
      </w:rPr>
      <w:t>R</w:t>
    </w:r>
    <w:r w:rsidRPr="0018390C">
      <w:rPr>
        <w:szCs w:val="22"/>
        <w:lang w:val="es-ES_tradnl"/>
      </w:rPr>
      <w:tab/>
    </w:r>
    <w:r>
      <w:rPr>
        <w:szCs w:val="22"/>
        <w:lang w:val="ru-RU"/>
      </w:rPr>
      <w:t>Страница</w:t>
    </w:r>
    <w:r w:rsidRPr="0018390C">
      <w:rPr>
        <w:szCs w:val="22"/>
        <w:lang w:val="es-ES_tradnl"/>
      </w:rPr>
      <w:t xml:space="preserve"> </w:t>
    </w:r>
    <w:r w:rsidRPr="0018390C">
      <w:rPr>
        <w:szCs w:val="22"/>
      </w:rPr>
      <w:fldChar w:fldCharType="begin"/>
    </w:r>
    <w:r w:rsidRPr="0018390C">
      <w:rPr>
        <w:szCs w:val="22"/>
        <w:lang w:val="es-ES_tradnl"/>
      </w:rPr>
      <w:instrText xml:space="preserve"> PAGE </w:instrText>
    </w:r>
    <w:r w:rsidRPr="0018390C">
      <w:rPr>
        <w:szCs w:val="22"/>
      </w:rPr>
      <w:fldChar w:fldCharType="separate"/>
    </w:r>
    <w:r w:rsidR="00CB49BE">
      <w:rPr>
        <w:noProof/>
        <w:szCs w:val="22"/>
        <w:lang w:val="es-ES_tradnl"/>
      </w:rPr>
      <w:t>17</w:t>
    </w:r>
    <w:r w:rsidRPr="0018390C">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88D35" w14:textId="77777777" w:rsidR="00623BE5" w:rsidRPr="009B7D33" w:rsidRDefault="00623BE5" w:rsidP="009B7D33">
    <w:pPr>
      <w:tabs>
        <w:tab w:val="clear" w:pos="1134"/>
        <w:tab w:val="clear" w:pos="1871"/>
        <w:tab w:val="clear" w:pos="2268"/>
        <w:tab w:val="center" w:pos="4820"/>
        <w:tab w:val="right" w:pos="10206"/>
      </w:tabs>
      <w:ind w:right="1"/>
      <w:rPr>
        <w:smallCaps/>
        <w:spacing w:val="24"/>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7D6D"/>
    <w:multiLevelType w:val="hybridMultilevel"/>
    <w:tmpl w:val="E716E472"/>
    <w:lvl w:ilvl="0" w:tplc="9CDC48FC">
      <w:start w:val="1"/>
      <w:numFmt w:val="bullet"/>
      <w:lvlText w:val=""/>
      <w:lvlJc w:val="left"/>
      <w:pPr>
        <w:ind w:left="360" w:hanging="360"/>
      </w:pPr>
      <w:rPr>
        <w:rFonts w:ascii="Symbol" w:hAnsi="Symbol" w:hint="default"/>
      </w:rPr>
    </w:lvl>
    <w:lvl w:ilvl="1" w:tplc="C7080F58">
      <w:numFmt w:val="bullet"/>
      <w:lvlText w:val="•"/>
      <w:lvlJc w:val="left"/>
      <w:pPr>
        <w:ind w:left="1800" w:hanging="1080"/>
      </w:pPr>
      <w:rPr>
        <w:rFonts w:asciiTheme="minorHAnsi" w:eastAsiaTheme="minorHAnsi" w:hAnsiTheme="minorHAnsi" w:cstheme="minorBidi" w:hint="default"/>
      </w:rPr>
    </w:lvl>
    <w:lvl w:ilvl="2" w:tplc="8C620F10">
      <w:start w:val="1"/>
      <w:numFmt w:val="bullet"/>
      <w:lvlText w:val="-"/>
      <w:lvlJc w:val="left"/>
      <w:pPr>
        <w:ind w:left="2580" w:hanging="1140"/>
      </w:pPr>
      <w:rPr>
        <w:rFonts w:ascii="Calibri" w:eastAsia="Times New Roman" w:hAnsi="Calibri"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B351480"/>
    <w:multiLevelType w:val="hybridMultilevel"/>
    <w:tmpl w:val="DC262BAA"/>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C131C2"/>
    <w:multiLevelType w:val="hybridMultilevel"/>
    <w:tmpl w:val="272AE8D4"/>
    <w:lvl w:ilvl="0" w:tplc="B0622010">
      <w:start w:val="19"/>
      <w:numFmt w:val="bullet"/>
      <w:lvlText w:val="-"/>
      <w:lvlJc w:val="left"/>
      <w:pPr>
        <w:ind w:left="360" w:hanging="360"/>
      </w:pPr>
      <w:rPr>
        <w:rFonts w:ascii="Arial" w:eastAsia="Batang"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E146EE"/>
    <w:multiLevelType w:val="hybridMultilevel"/>
    <w:tmpl w:val="AAEED92E"/>
    <w:lvl w:ilvl="0" w:tplc="9CDC48FC">
      <w:start w:val="1"/>
      <w:numFmt w:val="bullet"/>
      <w:lvlText w:val=""/>
      <w:lvlJc w:val="left"/>
      <w:pPr>
        <w:ind w:left="360" w:hanging="360"/>
      </w:pPr>
      <w:rPr>
        <w:rFonts w:ascii="Symbol" w:hAnsi="Symbol" w:hint="default"/>
      </w:rPr>
    </w:lvl>
    <w:lvl w:ilvl="1" w:tplc="C7080F58">
      <w:numFmt w:val="bullet"/>
      <w:lvlText w:val="•"/>
      <w:lvlJc w:val="left"/>
      <w:pPr>
        <w:ind w:left="1800" w:hanging="1080"/>
      </w:pPr>
      <w:rPr>
        <w:rFonts w:asciiTheme="minorHAnsi" w:eastAsiaTheme="minorHAnsi" w:hAnsiTheme="minorHAns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65189B"/>
    <w:multiLevelType w:val="hybridMultilevel"/>
    <w:tmpl w:val="5DEC9E14"/>
    <w:lvl w:ilvl="0" w:tplc="B0622010">
      <w:start w:val="19"/>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45AC3"/>
    <w:multiLevelType w:val="hybridMultilevel"/>
    <w:tmpl w:val="8D9E6F90"/>
    <w:lvl w:ilvl="0" w:tplc="92A0832C">
      <w:start w:val="1"/>
      <w:numFmt w:val="decimal"/>
      <w:lvlText w:val="%1"/>
      <w:lvlJc w:val="left"/>
      <w:pPr>
        <w:ind w:left="93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B44AE"/>
    <w:multiLevelType w:val="hybridMultilevel"/>
    <w:tmpl w:val="F8522AC4"/>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E5F7D"/>
    <w:multiLevelType w:val="hybridMultilevel"/>
    <w:tmpl w:val="0B365534"/>
    <w:lvl w:ilvl="0" w:tplc="9CDC48F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B47967"/>
    <w:multiLevelType w:val="hybridMultilevel"/>
    <w:tmpl w:val="73261528"/>
    <w:lvl w:ilvl="0" w:tplc="9CDC48FC">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53B58"/>
    <w:multiLevelType w:val="hybridMultilevel"/>
    <w:tmpl w:val="A2D69C9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22" w15:restartNumberingAfterBreak="0">
    <w:nsid w:val="43AA211E"/>
    <w:multiLevelType w:val="multilevel"/>
    <w:tmpl w:val="8C343018"/>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BF2A4B"/>
    <w:multiLevelType w:val="hybridMultilevel"/>
    <w:tmpl w:val="862E2004"/>
    <w:lvl w:ilvl="0" w:tplc="70608D16">
      <w:start w:val="1"/>
      <w:numFmt w:val="bullet"/>
      <w:lvlText w:val=""/>
      <w:lvlJc w:val="left"/>
      <w:pPr>
        <w:ind w:left="360" w:hanging="360"/>
      </w:pPr>
      <w:rPr>
        <w:rFonts w:ascii="Symbol" w:hAnsi="Symbol"/>
      </w:rPr>
    </w:lvl>
    <w:lvl w:ilvl="1" w:tplc="04090001">
      <w:start w:val="1"/>
      <w:numFmt w:val="bullet"/>
      <w:lvlText w:val=""/>
      <w:lvlJc w:val="left"/>
      <w:pPr>
        <w:ind w:left="1080" w:hanging="360"/>
      </w:pPr>
      <w:rPr>
        <w:rFonts w:ascii="Symbol" w:hAnsi="Symbol" w:hint="default"/>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4" w15:restartNumberingAfterBreak="0">
    <w:nsid w:val="489B3494"/>
    <w:multiLevelType w:val="hybridMultilevel"/>
    <w:tmpl w:val="B96E36B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5" w15:restartNumberingAfterBreak="0">
    <w:nsid w:val="4BE0129A"/>
    <w:multiLevelType w:val="hybridMultilevel"/>
    <w:tmpl w:val="B6BE1E62"/>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66EFE"/>
    <w:multiLevelType w:val="hybridMultilevel"/>
    <w:tmpl w:val="B738645A"/>
    <w:lvl w:ilvl="0" w:tplc="086EE522">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9F1824"/>
    <w:multiLevelType w:val="hybridMultilevel"/>
    <w:tmpl w:val="97D2C382"/>
    <w:lvl w:ilvl="0" w:tplc="54F6D100">
      <w:start w:val="3"/>
      <w:numFmt w:val="bullet"/>
      <w:lvlText w:val="-"/>
      <w:lvlJc w:val="left"/>
      <w:pPr>
        <w:ind w:left="720" w:hanging="360"/>
      </w:pPr>
      <w:rPr>
        <w:rFonts w:ascii="Calibri" w:eastAsia="Times New Roman"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B47CE"/>
    <w:multiLevelType w:val="hybridMultilevel"/>
    <w:tmpl w:val="5226E992"/>
    <w:lvl w:ilvl="0" w:tplc="0409000F">
      <w:start w:val="1"/>
      <w:numFmt w:val="decimal"/>
      <w:lvlText w:val="%1."/>
      <w:lvlJc w:val="left"/>
      <w:pPr>
        <w:ind w:left="360" w:hanging="360"/>
      </w:pPr>
    </w:lvl>
    <w:lvl w:ilvl="1" w:tplc="B1B037BA">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F861FA"/>
    <w:multiLevelType w:val="hybridMultilevel"/>
    <w:tmpl w:val="E84AF6DE"/>
    <w:lvl w:ilvl="0" w:tplc="494C61EA">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3C4165"/>
    <w:multiLevelType w:val="hybridMultilevel"/>
    <w:tmpl w:val="4D82089E"/>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8"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5E504B"/>
    <w:multiLevelType w:val="hybridMultilevel"/>
    <w:tmpl w:val="2A62564A"/>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613AE1"/>
    <w:multiLevelType w:val="hybridMultilevel"/>
    <w:tmpl w:val="F12CA622"/>
    <w:lvl w:ilvl="0" w:tplc="C282A2AC">
      <w:start w:val="1"/>
      <w:numFmt w:val="decimal"/>
      <w:lvlText w:val="2.%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8A4003"/>
    <w:multiLevelType w:val="hybridMultilevel"/>
    <w:tmpl w:val="2704172E"/>
    <w:lvl w:ilvl="0" w:tplc="0ECE77F4">
      <w:start w:val="1"/>
      <w:numFmt w:val="bullet"/>
      <w:lvlText w:val="-"/>
      <w:lvlJc w:val="left"/>
      <w:pPr>
        <w:ind w:left="360" w:hanging="360"/>
      </w:pPr>
      <w:rPr>
        <w:rFonts w:ascii="Calibri" w:eastAsiaTheme="minorHAnsi" w:hAnsi="Calibri" w:cstheme="minorBidi" w:hint="default"/>
      </w:rPr>
    </w:lvl>
    <w:lvl w:ilvl="1" w:tplc="C7080F58">
      <w:numFmt w:val="bullet"/>
      <w:lvlText w:val="•"/>
      <w:lvlJc w:val="left"/>
      <w:pPr>
        <w:ind w:left="1800" w:hanging="1080"/>
      </w:pPr>
      <w:rPr>
        <w:rFonts w:asciiTheme="minorHAnsi" w:eastAsiaTheme="minorHAnsi" w:hAnsiTheme="minorHAns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47"/>
  </w:num>
  <w:num w:numId="3">
    <w:abstractNumId w:val="38"/>
  </w:num>
  <w:num w:numId="4">
    <w:abstractNumId w:val="42"/>
  </w:num>
  <w:num w:numId="5">
    <w:abstractNumId w:val="13"/>
  </w:num>
  <w:num w:numId="6">
    <w:abstractNumId w:val="20"/>
  </w:num>
  <w:num w:numId="7">
    <w:abstractNumId w:val="35"/>
  </w:num>
  <w:num w:numId="8">
    <w:abstractNumId w:val="2"/>
  </w:num>
  <w:num w:numId="9">
    <w:abstractNumId w:val="19"/>
  </w:num>
  <w:num w:numId="10">
    <w:abstractNumId w:val="17"/>
  </w:num>
  <w:num w:numId="11">
    <w:abstractNumId w:val="41"/>
  </w:num>
  <w:num w:numId="12">
    <w:abstractNumId w:val="43"/>
  </w:num>
  <w:num w:numId="13">
    <w:abstractNumId w:val="31"/>
  </w:num>
  <w:num w:numId="14">
    <w:abstractNumId w:val="27"/>
  </w:num>
  <w:num w:numId="15">
    <w:abstractNumId w:val="21"/>
  </w:num>
  <w:num w:numId="16">
    <w:abstractNumId w:val="18"/>
  </w:num>
  <w:num w:numId="17">
    <w:abstractNumId w:val="4"/>
  </w:num>
  <w:num w:numId="18">
    <w:abstractNumId w:val="12"/>
  </w:num>
  <w:num w:numId="19">
    <w:abstractNumId w:val="36"/>
  </w:num>
  <w:num w:numId="20">
    <w:abstractNumId w:val="10"/>
  </w:num>
  <w:num w:numId="21">
    <w:abstractNumId w:val="40"/>
  </w:num>
  <w:num w:numId="22">
    <w:abstractNumId w:val="29"/>
  </w:num>
  <w:num w:numId="23">
    <w:abstractNumId w:val="32"/>
  </w:num>
  <w:num w:numId="24">
    <w:abstractNumId w:val="44"/>
  </w:num>
  <w:num w:numId="25">
    <w:abstractNumId w:val="8"/>
  </w:num>
  <w:num w:numId="26">
    <w:abstractNumId w:val="26"/>
  </w:num>
  <w:num w:numId="27">
    <w:abstractNumId w:val="37"/>
  </w:num>
  <w:num w:numId="28">
    <w:abstractNumId w:val="28"/>
  </w:num>
  <w:num w:numId="29">
    <w:abstractNumId w:val="22"/>
  </w:num>
  <w:num w:numId="30">
    <w:abstractNumId w:val="30"/>
  </w:num>
  <w:num w:numId="31">
    <w:abstractNumId w:val="14"/>
  </w:num>
  <w:num w:numId="32">
    <w:abstractNumId w:val="15"/>
  </w:num>
  <w:num w:numId="33">
    <w:abstractNumId w:val="1"/>
  </w:num>
  <w:num w:numId="34">
    <w:abstractNumId w:val="24"/>
  </w:num>
  <w:num w:numId="35">
    <w:abstractNumId w:val="23"/>
  </w:num>
  <w:num w:numId="36">
    <w:abstractNumId w:val="48"/>
  </w:num>
  <w:num w:numId="37">
    <w:abstractNumId w:val="5"/>
  </w:num>
  <w:num w:numId="38">
    <w:abstractNumId w:val="7"/>
  </w:num>
  <w:num w:numId="39">
    <w:abstractNumId w:val="3"/>
  </w:num>
  <w:num w:numId="40">
    <w:abstractNumId w:val="9"/>
  </w:num>
  <w:num w:numId="41">
    <w:abstractNumId w:val="34"/>
  </w:num>
  <w:num w:numId="42">
    <w:abstractNumId w:val="46"/>
  </w:num>
  <w:num w:numId="43">
    <w:abstractNumId w:val="33"/>
  </w:num>
  <w:num w:numId="44">
    <w:abstractNumId w:val="11"/>
  </w:num>
  <w:num w:numId="45">
    <w:abstractNumId w:val="6"/>
  </w:num>
  <w:num w:numId="46">
    <w:abstractNumId w:val="0"/>
  </w:num>
  <w:num w:numId="47">
    <w:abstractNumId w:val="25"/>
  </w:num>
  <w:num w:numId="48">
    <w:abstractNumId w:val="45"/>
  </w:num>
  <w:num w:numId="4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139"/>
    <w:rsid w:val="000041EA"/>
    <w:rsid w:val="000101BA"/>
    <w:rsid w:val="00022A29"/>
    <w:rsid w:val="00027415"/>
    <w:rsid w:val="00031642"/>
    <w:rsid w:val="000355FD"/>
    <w:rsid w:val="000372AB"/>
    <w:rsid w:val="00037F06"/>
    <w:rsid w:val="0004156E"/>
    <w:rsid w:val="00051E39"/>
    <w:rsid w:val="00075C63"/>
    <w:rsid w:val="00077239"/>
    <w:rsid w:val="00080905"/>
    <w:rsid w:val="000822BE"/>
    <w:rsid w:val="00086491"/>
    <w:rsid w:val="00091346"/>
    <w:rsid w:val="000A0587"/>
    <w:rsid w:val="000D022C"/>
    <w:rsid w:val="000D049E"/>
    <w:rsid w:val="000D214A"/>
    <w:rsid w:val="000D4875"/>
    <w:rsid w:val="000F474B"/>
    <w:rsid w:val="000F73FF"/>
    <w:rsid w:val="00114CF7"/>
    <w:rsid w:val="00115412"/>
    <w:rsid w:val="00123B68"/>
    <w:rsid w:val="00126F2E"/>
    <w:rsid w:val="00146F6F"/>
    <w:rsid w:val="00147DA1"/>
    <w:rsid w:val="00152201"/>
    <w:rsid w:val="00152957"/>
    <w:rsid w:val="0018390C"/>
    <w:rsid w:val="0018673E"/>
    <w:rsid w:val="00187BD9"/>
    <w:rsid w:val="00190B55"/>
    <w:rsid w:val="00194CFB"/>
    <w:rsid w:val="001B2ED3"/>
    <w:rsid w:val="001B7EA3"/>
    <w:rsid w:val="001C1D20"/>
    <w:rsid w:val="001C3B5F"/>
    <w:rsid w:val="001D058F"/>
    <w:rsid w:val="001D0A2D"/>
    <w:rsid w:val="001D16F0"/>
    <w:rsid w:val="001D385E"/>
    <w:rsid w:val="001D5D5C"/>
    <w:rsid w:val="001E252D"/>
    <w:rsid w:val="001E274D"/>
    <w:rsid w:val="001F6050"/>
    <w:rsid w:val="001F687C"/>
    <w:rsid w:val="002009EA"/>
    <w:rsid w:val="00202CA0"/>
    <w:rsid w:val="00214C35"/>
    <w:rsid w:val="002154A6"/>
    <w:rsid w:val="00215F69"/>
    <w:rsid w:val="002162CD"/>
    <w:rsid w:val="00216853"/>
    <w:rsid w:val="002255B3"/>
    <w:rsid w:val="002309D0"/>
    <w:rsid w:val="00235A46"/>
    <w:rsid w:val="00236E8A"/>
    <w:rsid w:val="002454B9"/>
    <w:rsid w:val="00262C97"/>
    <w:rsid w:val="00271316"/>
    <w:rsid w:val="00286C30"/>
    <w:rsid w:val="002928BD"/>
    <w:rsid w:val="00296313"/>
    <w:rsid w:val="002B21D6"/>
    <w:rsid w:val="002B2743"/>
    <w:rsid w:val="002B3C84"/>
    <w:rsid w:val="002C314D"/>
    <w:rsid w:val="002D0297"/>
    <w:rsid w:val="002D1A01"/>
    <w:rsid w:val="002D58BE"/>
    <w:rsid w:val="002E2253"/>
    <w:rsid w:val="002E2953"/>
    <w:rsid w:val="002E5362"/>
    <w:rsid w:val="002F437D"/>
    <w:rsid w:val="003013EE"/>
    <w:rsid w:val="0030533E"/>
    <w:rsid w:val="00314037"/>
    <w:rsid w:val="0031486B"/>
    <w:rsid w:val="00317161"/>
    <w:rsid w:val="0032528F"/>
    <w:rsid w:val="00330287"/>
    <w:rsid w:val="00330DCC"/>
    <w:rsid w:val="00335BE6"/>
    <w:rsid w:val="00342F2B"/>
    <w:rsid w:val="00351729"/>
    <w:rsid w:val="003540FD"/>
    <w:rsid w:val="00356DE4"/>
    <w:rsid w:val="00360EE5"/>
    <w:rsid w:val="003659E0"/>
    <w:rsid w:val="00377BD3"/>
    <w:rsid w:val="00382E92"/>
    <w:rsid w:val="00384088"/>
    <w:rsid w:val="0038489B"/>
    <w:rsid w:val="00384E7B"/>
    <w:rsid w:val="0039169B"/>
    <w:rsid w:val="00393FCD"/>
    <w:rsid w:val="00395148"/>
    <w:rsid w:val="003A13C2"/>
    <w:rsid w:val="003A3C13"/>
    <w:rsid w:val="003A7F8C"/>
    <w:rsid w:val="003B08BF"/>
    <w:rsid w:val="003B2F93"/>
    <w:rsid w:val="003B307E"/>
    <w:rsid w:val="003B3981"/>
    <w:rsid w:val="003B532E"/>
    <w:rsid w:val="003B5622"/>
    <w:rsid w:val="003B6B40"/>
    <w:rsid w:val="003B6F14"/>
    <w:rsid w:val="003C5ADA"/>
    <w:rsid w:val="003D0F8B"/>
    <w:rsid w:val="003F4BE7"/>
    <w:rsid w:val="003F7E19"/>
    <w:rsid w:val="00403E2D"/>
    <w:rsid w:val="004131D4"/>
    <w:rsid w:val="0041348E"/>
    <w:rsid w:val="00415C84"/>
    <w:rsid w:val="00417C1E"/>
    <w:rsid w:val="004216C5"/>
    <w:rsid w:val="00444FAF"/>
    <w:rsid w:val="00447308"/>
    <w:rsid w:val="0045294F"/>
    <w:rsid w:val="004730A6"/>
    <w:rsid w:val="00475D0C"/>
    <w:rsid w:val="004765FF"/>
    <w:rsid w:val="004824A2"/>
    <w:rsid w:val="00483C1A"/>
    <w:rsid w:val="00483F84"/>
    <w:rsid w:val="00492075"/>
    <w:rsid w:val="004969AD"/>
    <w:rsid w:val="004B1156"/>
    <w:rsid w:val="004B13CB"/>
    <w:rsid w:val="004B4FDF"/>
    <w:rsid w:val="004B5584"/>
    <w:rsid w:val="004B7B43"/>
    <w:rsid w:val="004D0055"/>
    <w:rsid w:val="004D0B91"/>
    <w:rsid w:val="004D26CE"/>
    <w:rsid w:val="004D5D5C"/>
    <w:rsid w:val="0050139F"/>
    <w:rsid w:val="005034F3"/>
    <w:rsid w:val="0051142B"/>
    <w:rsid w:val="00520ABF"/>
    <w:rsid w:val="00521223"/>
    <w:rsid w:val="00522EB1"/>
    <w:rsid w:val="00524DF1"/>
    <w:rsid w:val="00526948"/>
    <w:rsid w:val="00535A92"/>
    <w:rsid w:val="00537408"/>
    <w:rsid w:val="00546225"/>
    <w:rsid w:val="0055140B"/>
    <w:rsid w:val="00554C4F"/>
    <w:rsid w:val="00560105"/>
    <w:rsid w:val="005604DF"/>
    <w:rsid w:val="00561D72"/>
    <w:rsid w:val="00566457"/>
    <w:rsid w:val="005964AB"/>
    <w:rsid w:val="005A7670"/>
    <w:rsid w:val="005B44F5"/>
    <w:rsid w:val="005C099A"/>
    <w:rsid w:val="005C1BAD"/>
    <w:rsid w:val="005C31A5"/>
    <w:rsid w:val="005C32E6"/>
    <w:rsid w:val="005C649F"/>
    <w:rsid w:val="005D3C5C"/>
    <w:rsid w:val="005E0A6E"/>
    <w:rsid w:val="005E10C9"/>
    <w:rsid w:val="005E243C"/>
    <w:rsid w:val="005E61DD"/>
    <w:rsid w:val="005E6321"/>
    <w:rsid w:val="005F012D"/>
    <w:rsid w:val="00600B35"/>
    <w:rsid w:val="006023DF"/>
    <w:rsid w:val="00612977"/>
    <w:rsid w:val="00623BE5"/>
    <w:rsid w:val="00626992"/>
    <w:rsid w:val="0062710B"/>
    <w:rsid w:val="00640742"/>
    <w:rsid w:val="0064322F"/>
    <w:rsid w:val="00644D34"/>
    <w:rsid w:val="00657DE0"/>
    <w:rsid w:val="00660BB0"/>
    <w:rsid w:val="006636D7"/>
    <w:rsid w:val="00666E77"/>
    <w:rsid w:val="0067199F"/>
    <w:rsid w:val="00677048"/>
    <w:rsid w:val="00677882"/>
    <w:rsid w:val="00682F01"/>
    <w:rsid w:val="00685313"/>
    <w:rsid w:val="006907AB"/>
    <w:rsid w:val="006A58D5"/>
    <w:rsid w:val="006A6254"/>
    <w:rsid w:val="006A6E9B"/>
    <w:rsid w:val="006B4C2E"/>
    <w:rsid w:val="006B6A10"/>
    <w:rsid w:val="006B7C2A"/>
    <w:rsid w:val="006C0F46"/>
    <w:rsid w:val="006C23DA"/>
    <w:rsid w:val="006E3D45"/>
    <w:rsid w:val="006E4000"/>
    <w:rsid w:val="006F4A29"/>
    <w:rsid w:val="006F6D0F"/>
    <w:rsid w:val="007149F9"/>
    <w:rsid w:val="0072320B"/>
    <w:rsid w:val="00727B93"/>
    <w:rsid w:val="00733A30"/>
    <w:rsid w:val="00745AEE"/>
    <w:rsid w:val="00747864"/>
    <w:rsid w:val="007479EA"/>
    <w:rsid w:val="00750F10"/>
    <w:rsid w:val="007742CA"/>
    <w:rsid w:val="00785DDE"/>
    <w:rsid w:val="007865B0"/>
    <w:rsid w:val="00795570"/>
    <w:rsid w:val="00795BED"/>
    <w:rsid w:val="007A0020"/>
    <w:rsid w:val="007C6FA5"/>
    <w:rsid w:val="007D06F0"/>
    <w:rsid w:val="007D45E3"/>
    <w:rsid w:val="007D5320"/>
    <w:rsid w:val="007F4B47"/>
    <w:rsid w:val="007F735C"/>
    <w:rsid w:val="00800972"/>
    <w:rsid w:val="00804475"/>
    <w:rsid w:val="008077E5"/>
    <w:rsid w:val="00811633"/>
    <w:rsid w:val="00821CEF"/>
    <w:rsid w:val="00827836"/>
    <w:rsid w:val="00832828"/>
    <w:rsid w:val="0083327A"/>
    <w:rsid w:val="0083645A"/>
    <w:rsid w:val="00840B0F"/>
    <w:rsid w:val="00841645"/>
    <w:rsid w:val="00841B70"/>
    <w:rsid w:val="008507BF"/>
    <w:rsid w:val="00851395"/>
    <w:rsid w:val="00863FB2"/>
    <w:rsid w:val="008711AE"/>
    <w:rsid w:val="00872FC8"/>
    <w:rsid w:val="0087404B"/>
    <w:rsid w:val="008801D3"/>
    <w:rsid w:val="008845D0"/>
    <w:rsid w:val="00886A07"/>
    <w:rsid w:val="00886AD3"/>
    <w:rsid w:val="00886D95"/>
    <w:rsid w:val="008A51DA"/>
    <w:rsid w:val="008B1508"/>
    <w:rsid w:val="008B22F9"/>
    <w:rsid w:val="008B43F2"/>
    <w:rsid w:val="008B61EA"/>
    <w:rsid w:val="008B6CFF"/>
    <w:rsid w:val="008C0FBE"/>
    <w:rsid w:val="008C2D57"/>
    <w:rsid w:val="008C4122"/>
    <w:rsid w:val="008D1C43"/>
    <w:rsid w:val="008E7341"/>
    <w:rsid w:val="00910B26"/>
    <w:rsid w:val="009274B4"/>
    <w:rsid w:val="00934EA2"/>
    <w:rsid w:val="00941DB5"/>
    <w:rsid w:val="00944A5C"/>
    <w:rsid w:val="0094744D"/>
    <w:rsid w:val="0095095F"/>
    <w:rsid w:val="009512CE"/>
    <w:rsid w:val="00952A66"/>
    <w:rsid w:val="009A3B95"/>
    <w:rsid w:val="009A4038"/>
    <w:rsid w:val="009B7D33"/>
    <w:rsid w:val="009C2757"/>
    <w:rsid w:val="009C56E5"/>
    <w:rsid w:val="009E0293"/>
    <w:rsid w:val="009E5FC8"/>
    <w:rsid w:val="009E687A"/>
    <w:rsid w:val="009F1085"/>
    <w:rsid w:val="00A00A90"/>
    <w:rsid w:val="00A03C5C"/>
    <w:rsid w:val="00A066F1"/>
    <w:rsid w:val="00A13075"/>
    <w:rsid w:val="00A141AF"/>
    <w:rsid w:val="00A16D29"/>
    <w:rsid w:val="00A20E5E"/>
    <w:rsid w:val="00A30305"/>
    <w:rsid w:val="00A31D2D"/>
    <w:rsid w:val="00A4600A"/>
    <w:rsid w:val="00A538A6"/>
    <w:rsid w:val="00A54244"/>
    <w:rsid w:val="00A54C25"/>
    <w:rsid w:val="00A57B36"/>
    <w:rsid w:val="00A62C60"/>
    <w:rsid w:val="00A671EB"/>
    <w:rsid w:val="00A710E7"/>
    <w:rsid w:val="00A7372E"/>
    <w:rsid w:val="00A80AB2"/>
    <w:rsid w:val="00A81727"/>
    <w:rsid w:val="00A90292"/>
    <w:rsid w:val="00A93B85"/>
    <w:rsid w:val="00AA0B18"/>
    <w:rsid w:val="00AA3FA2"/>
    <w:rsid w:val="00AA666F"/>
    <w:rsid w:val="00AB4927"/>
    <w:rsid w:val="00AC034F"/>
    <w:rsid w:val="00AD560A"/>
    <w:rsid w:val="00AE0A51"/>
    <w:rsid w:val="00AF39FD"/>
    <w:rsid w:val="00B004E5"/>
    <w:rsid w:val="00B15F9D"/>
    <w:rsid w:val="00B243AF"/>
    <w:rsid w:val="00B26EA2"/>
    <w:rsid w:val="00B56502"/>
    <w:rsid w:val="00B62876"/>
    <w:rsid w:val="00B639E9"/>
    <w:rsid w:val="00B7112E"/>
    <w:rsid w:val="00B752D0"/>
    <w:rsid w:val="00B817CD"/>
    <w:rsid w:val="00B911B2"/>
    <w:rsid w:val="00B951D0"/>
    <w:rsid w:val="00B95362"/>
    <w:rsid w:val="00B95DA2"/>
    <w:rsid w:val="00BB29C8"/>
    <w:rsid w:val="00BB3A95"/>
    <w:rsid w:val="00BC0382"/>
    <w:rsid w:val="00BC2A6E"/>
    <w:rsid w:val="00BC3F36"/>
    <w:rsid w:val="00BC4919"/>
    <w:rsid w:val="00BD0476"/>
    <w:rsid w:val="00BD62C6"/>
    <w:rsid w:val="00BF05F3"/>
    <w:rsid w:val="00C0018F"/>
    <w:rsid w:val="00C04037"/>
    <w:rsid w:val="00C16917"/>
    <w:rsid w:val="00C20466"/>
    <w:rsid w:val="00C214ED"/>
    <w:rsid w:val="00C234E6"/>
    <w:rsid w:val="00C324A8"/>
    <w:rsid w:val="00C40F4D"/>
    <w:rsid w:val="00C4520A"/>
    <w:rsid w:val="00C54517"/>
    <w:rsid w:val="00C64CD8"/>
    <w:rsid w:val="00C64DF7"/>
    <w:rsid w:val="00C76BB4"/>
    <w:rsid w:val="00C84A9B"/>
    <w:rsid w:val="00C92409"/>
    <w:rsid w:val="00C97BDE"/>
    <w:rsid w:val="00C97C68"/>
    <w:rsid w:val="00CA1A47"/>
    <w:rsid w:val="00CB1214"/>
    <w:rsid w:val="00CB49BE"/>
    <w:rsid w:val="00CC247A"/>
    <w:rsid w:val="00CE5E47"/>
    <w:rsid w:val="00CE6A95"/>
    <w:rsid w:val="00CE6F99"/>
    <w:rsid w:val="00CF020F"/>
    <w:rsid w:val="00CF2B5B"/>
    <w:rsid w:val="00D0433F"/>
    <w:rsid w:val="00D120CD"/>
    <w:rsid w:val="00D14CE0"/>
    <w:rsid w:val="00D15AE6"/>
    <w:rsid w:val="00D3034E"/>
    <w:rsid w:val="00D307C0"/>
    <w:rsid w:val="00D36333"/>
    <w:rsid w:val="00D5651D"/>
    <w:rsid w:val="00D57344"/>
    <w:rsid w:val="00D60983"/>
    <w:rsid w:val="00D74898"/>
    <w:rsid w:val="00D801ED"/>
    <w:rsid w:val="00D83BF5"/>
    <w:rsid w:val="00D925C2"/>
    <w:rsid w:val="00D936BC"/>
    <w:rsid w:val="00D95FD2"/>
    <w:rsid w:val="00D9621A"/>
    <w:rsid w:val="00D96530"/>
    <w:rsid w:val="00D96B4B"/>
    <w:rsid w:val="00D97BCC"/>
    <w:rsid w:val="00DA2345"/>
    <w:rsid w:val="00DA453A"/>
    <w:rsid w:val="00DA7078"/>
    <w:rsid w:val="00DA73B8"/>
    <w:rsid w:val="00DB1866"/>
    <w:rsid w:val="00DC2789"/>
    <w:rsid w:val="00DC4FEE"/>
    <w:rsid w:val="00DD08B4"/>
    <w:rsid w:val="00DD2B90"/>
    <w:rsid w:val="00DD44AF"/>
    <w:rsid w:val="00DD44C5"/>
    <w:rsid w:val="00DD5ECF"/>
    <w:rsid w:val="00DE0F0B"/>
    <w:rsid w:val="00DE2AC3"/>
    <w:rsid w:val="00DE434C"/>
    <w:rsid w:val="00DE5692"/>
    <w:rsid w:val="00DF6F8E"/>
    <w:rsid w:val="00E004A8"/>
    <w:rsid w:val="00E03C94"/>
    <w:rsid w:val="00E05840"/>
    <w:rsid w:val="00E07105"/>
    <w:rsid w:val="00E26226"/>
    <w:rsid w:val="00E266A0"/>
    <w:rsid w:val="00E4165C"/>
    <w:rsid w:val="00E45D05"/>
    <w:rsid w:val="00E55816"/>
    <w:rsid w:val="00E55AEF"/>
    <w:rsid w:val="00E61120"/>
    <w:rsid w:val="00E656CE"/>
    <w:rsid w:val="00E67705"/>
    <w:rsid w:val="00E84D42"/>
    <w:rsid w:val="00E921CF"/>
    <w:rsid w:val="00E976C1"/>
    <w:rsid w:val="00EA12E5"/>
    <w:rsid w:val="00EA6A34"/>
    <w:rsid w:val="00EB1BDA"/>
    <w:rsid w:val="00EB3CB3"/>
    <w:rsid w:val="00EB48D5"/>
    <w:rsid w:val="00EC2BB6"/>
    <w:rsid w:val="00ED6D9A"/>
    <w:rsid w:val="00ED78CD"/>
    <w:rsid w:val="00EE18A3"/>
    <w:rsid w:val="00EF2C99"/>
    <w:rsid w:val="00F02766"/>
    <w:rsid w:val="00F04067"/>
    <w:rsid w:val="00F05BD4"/>
    <w:rsid w:val="00F104EF"/>
    <w:rsid w:val="00F11A98"/>
    <w:rsid w:val="00F21A1D"/>
    <w:rsid w:val="00F21F2B"/>
    <w:rsid w:val="00F61E85"/>
    <w:rsid w:val="00F64F19"/>
    <w:rsid w:val="00F65C19"/>
    <w:rsid w:val="00F82D2F"/>
    <w:rsid w:val="00F91E4B"/>
    <w:rsid w:val="00F974A4"/>
    <w:rsid w:val="00FB625D"/>
    <w:rsid w:val="00FD2546"/>
    <w:rsid w:val="00FD772E"/>
    <w:rsid w:val="00FE0BFA"/>
    <w:rsid w:val="00FE3926"/>
    <w:rsid w:val="00FE39C3"/>
    <w:rsid w:val="00FE78C7"/>
    <w:rsid w:val="00FF43AC"/>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0DB122"/>
  <w15:docId w15:val="{60972104-C32C-4957-945A-27FA84FF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36"/>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0202289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TIES_Protected/PerfReport2018.pdf" TargetMode="External"/><Relationship Id="rId18" Type="http://schemas.openxmlformats.org/officeDocument/2006/relationships/hyperlink" Target="https://www.itu.int/net4/ITU-D/CDS/sg/blkmeetings.asp?lg=6&amp;sp=2018&amp;blk=2035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https://www.itu.int/ru/ITU-D/Capacity-Building/Pages/events/CBS/2018/default.aspx" TargetMode="External"/><Relationship Id="rId7" Type="http://schemas.openxmlformats.org/officeDocument/2006/relationships/settings" Target="settings.xml"/><Relationship Id="rId12" Type="http://schemas.openxmlformats.org/officeDocument/2006/relationships/hyperlink" Target="https://www.itu.int/en/ITU-D/TIES_Protected/PerfReport2018.pdf" TargetMode="External"/><Relationship Id="rId17" Type="http://schemas.openxmlformats.org/officeDocument/2006/relationships/hyperlink" Target="https://www.itu.int/net4/ITU-D/CDS/sg/blkmeetings.asp?lg=6&amp;sp=2018&amp;blk=2035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ttps://www.itu.int/net4/ITU-D/CDS/sg/blkmeetings.asp?lg=6&amp;sp=2018&amp;blk=20349" TargetMode="External"/><Relationship Id="rId20" Type="http://schemas.openxmlformats.org/officeDocument/2006/relationships/hyperlink" Target="https://academy.itu.int/index.php?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net4/ITU-D/CDS/sg/blkmeetings.asp?lg=6&amp;sp=2018&amp;blk=20348"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ru/ITU-D/Technology/Pages/InteractiveTransmissionMap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onferences/WTDC/WTDC17/Documents/WTDC17_final_report_en.pdf" TargetMode="External"/><Relationship Id="rId22" Type="http://schemas.openxmlformats.org/officeDocument/2006/relationships/hyperlink" Target="https://academy.itu.int/index.php?option=com_content&amp;view=article&amp;id=236&amp;Itemid=688&amp;lang=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ru/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22DDA3F36C643BD2A6491AF59FF82" ma:contentTypeVersion="7" ma:contentTypeDescription="Create a new document." ma:contentTypeScope="" ma:versionID="7a59548a4c83c0762edbaf0ed08e8d2d">
  <xsd:schema xmlns:xsd="http://www.w3.org/2001/XMLSchema" xmlns:xs="http://www.w3.org/2001/XMLSchema" xmlns:p="http://schemas.microsoft.com/office/2006/metadata/properties" xmlns:ns2="c1e983c1-841f-482a-95bd-91ef85ccc98f" xmlns:ns3="537d122c-552e-4337-8e4c-318eb22827d7" targetNamespace="http://schemas.microsoft.com/office/2006/metadata/properties" ma:root="true" ma:fieldsID="593484f598b90246ed505ef9cd68d029" ns2:_="" ns3:_="">
    <xsd:import namespace="c1e983c1-841f-482a-95bd-91ef85ccc98f"/>
    <xsd:import namespace="537d122c-552e-4337-8e4c-318eb22827d7"/>
    <xsd:element name="properties">
      <xsd:complexType>
        <xsd:sequence>
          <xsd:element name="documentManagement">
            <xsd:complexType>
              <xsd:all>
                <xsd:element ref="ns2:SharedWithUsers" minOccurs="0"/>
                <xsd:element ref="ns3:Service" minOccurs="0"/>
                <xsd:element ref="ns3:Document_x0020_Type" minOccurs="0"/>
                <xsd:element ref="ns3:Benefici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983c1-841f-482a-95bd-91ef85ccc9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d122c-552e-4337-8e4c-318eb22827d7" elementFormDefault="qualified">
    <xsd:import namespace="http://schemas.microsoft.com/office/2006/documentManagement/types"/>
    <xsd:import namespace="http://schemas.microsoft.com/office/infopath/2007/PartnerControls"/>
    <xsd:element name="Service" ma:index="9" nillable="true" ma:displayName="Related Service" ma:internalName="Service">
      <xsd:complexType>
        <xsd:complexContent>
          <xsd:extension base="dms:MultiChoiceFillIn">
            <xsd:sequence>
              <xsd:element name="Value" maxOccurs="unbounded" minOccurs="0" nillable="true">
                <xsd:simpleType>
                  <xsd:union memberTypes="dms:Text">
                    <xsd:simpleType>
                      <xsd:restriction base="dms:Choice">
                        <xsd:enumeration value="CIRT"/>
                        <xsd:enumeration value="NCS"/>
                        <xsd:enumeration value="CyberDrill"/>
                        <xsd:enumeration value="GCI"/>
                      </xsd:restriction>
                    </xsd:simpleType>
                  </xsd:union>
                </xsd:simpleType>
              </xsd:element>
            </xsd:sequence>
          </xsd:extension>
        </xsd:complexContent>
      </xsd:complexType>
    </xsd:element>
    <xsd:element name="Document_x0020_Type" ma:index="10" nillable="true" ma:displayName="Document Type" ma:internalName="Document_x0020_Type">
      <xsd:complexType>
        <xsd:complexContent>
          <xsd:extension base="dms:MultiChoiceFillIn">
            <xsd:sequence>
              <xsd:element name="Value" maxOccurs="unbounded" minOccurs="0" nillable="true">
                <xsd:simpleType>
                  <xsd:union memberTypes="dms:Text">
                    <xsd:simpleType>
                      <xsd:restriction base="dms:Choice">
                        <xsd:enumeration value="Presentation"/>
                        <xsd:enumeration value="Report"/>
                        <xsd:enumeration value="Proposal"/>
                        <xsd:enumeration value="Quotation"/>
                        <xsd:enumeration value="TA"/>
                      </xsd:restriction>
                    </xsd:simpleType>
                  </xsd:union>
                </xsd:simpleType>
              </xsd:element>
            </xsd:sequence>
          </xsd:extension>
        </xsd:complexContent>
      </xsd:complexType>
    </xsd:element>
    <xsd:element name="Beneficiary" ma:index="11" nillable="true" ma:displayName="Beneficiary" ma:internalName="Beneficia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rvice xmlns="537d122c-552e-4337-8e4c-318eb22827d7"/>
    <Document_x0020_Type xmlns="537d122c-552e-4337-8e4c-318eb22827d7"/>
    <Beneficiary xmlns="537d122c-552e-4337-8e4c-318eb22827d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3B7C-5773-423F-AB1E-0F04A17F1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983c1-841f-482a-95bd-91ef85ccc98f"/>
    <ds:schemaRef ds:uri="537d122c-552e-4337-8e4c-318eb228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c1e983c1-841f-482a-95bd-91ef85ccc98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7d122c-552e-4337-8e4c-318eb22827d7"/>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E227257-EC4A-4376-A22C-EDE2D24B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18</Pages>
  <Words>8065</Words>
  <Characters>45975</Characters>
  <Application>Microsoft Office Word</Application>
  <DocSecurity>0</DocSecurity>
  <Lines>383</Lines>
  <Paragraphs>107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53933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Svechnikov, Andrey</cp:lastModifiedBy>
  <cp:revision>103</cp:revision>
  <cp:lastPrinted>2019-03-12T09:31:00Z</cp:lastPrinted>
  <dcterms:created xsi:type="dcterms:W3CDTF">2019-02-22T08:29:00Z</dcterms:created>
  <dcterms:modified xsi:type="dcterms:W3CDTF">2019-03-25T16:09:00Z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0x01010094322DDA3F36C643BD2A6491AF59FF82</vt:lpwstr>
  </property>
  <property fmtid="{D5CDD505-2E9C-101B-9397-08002B2CF9AE}" pid="10" name="_dlc_DocIdItemGuid">
    <vt:lpwstr>1277586e-23f4-4a9c-8b22-c68c4fc349db</vt:lpwstr>
  </property>
</Properties>
</file>