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F767CD" w:rsidTr="009009A1">
        <w:trPr>
          <w:cantSplit/>
          <w:trHeight w:val="1134"/>
        </w:trPr>
        <w:tc>
          <w:tcPr>
            <w:tcW w:w="6663" w:type="dxa"/>
            <w:tcBorders>
              <w:bottom w:val="single" w:sz="12" w:space="0" w:color="auto"/>
            </w:tcBorders>
          </w:tcPr>
          <w:p w:rsidR="00D372A5" w:rsidRPr="00F767CD" w:rsidRDefault="00D372A5" w:rsidP="00483815">
            <w:pPr>
              <w:rPr>
                <w:b/>
                <w:bCs/>
                <w:sz w:val="32"/>
                <w:szCs w:val="32"/>
                <w:lang w:val="es-ES"/>
              </w:rPr>
            </w:pPr>
            <w:r w:rsidRPr="00F767CD">
              <w:rPr>
                <w:rFonts w:cstheme="minorHAnsi"/>
                <w:b/>
                <w:bCs/>
                <w:sz w:val="32"/>
                <w:szCs w:val="32"/>
                <w:lang w:val="es-ES"/>
              </w:rPr>
              <w:t>Grupo Asesor de Desarrollo de las Telecomunicaciones (GADT</w:t>
            </w:r>
            <w:r w:rsidRPr="00F767CD">
              <w:rPr>
                <w:b/>
                <w:bCs/>
                <w:sz w:val="32"/>
                <w:szCs w:val="32"/>
                <w:lang w:val="es-ES"/>
              </w:rPr>
              <w:t>)</w:t>
            </w:r>
          </w:p>
          <w:p w:rsidR="00D372A5" w:rsidRPr="00F767CD" w:rsidRDefault="004E7861" w:rsidP="00483815">
            <w:pPr>
              <w:spacing w:before="100" w:after="120"/>
              <w:rPr>
                <w:rFonts w:ascii="Verdana" w:hAnsi="Verdana"/>
                <w:sz w:val="28"/>
                <w:szCs w:val="28"/>
                <w:lang w:val="es-ES"/>
              </w:rPr>
            </w:pPr>
            <w:r w:rsidRPr="00F767CD">
              <w:rPr>
                <w:b/>
                <w:bCs/>
                <w:sz w:val="26"/>
                <w:szCs w:val="26"/>
                <w:lang w:val="es-ES"/>
              </w:rPr>
              <w:t>24ª reunión, Ginebra, 3-5 de abril de 2019</w:t>
            </w:r>
          </w:p>
        </w:tc>
        <w:tc>
          <w:tcPr>
            <w:tcW w:w="3225" w:type="dxa"/>
            <w:tcBorders>
              <w:bottom w:val="single" w:sz="12" w:space="0" w:color="auto"/>
            </w:tcBorders>
          </w:tcPr>
          <w:p w:rsidR="00D372A5" w:rsidRPr="00F767CD" w:rsidRDefault="004E7861" w:rsidP="00483815">
            <w:pPr>
              <w:spacing w:before="40" w:after="80"/>
              <w:ind w:right="142"/>
              <w:jc w:val="right"/>
              <w:rPr>
                <w:lang w:val="es-ES"/>
              </w:rPr>
            </w:pPr>
            <w:r w:rsidRPr="00F767CD">
              <w:rPr>
                <w:noProof/>
                <w:color w:val="3399FF"/>
                <w:lang w:val="en-GB" w:eastAsia="zh-CN"/>
              </w:rPr>
              <w:drawing>
                <wp:inline distT="0" distB="0" distL="0" distR="0" wp14:anchorId="3180C089" wp14:editId="33672535">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B7893" w:rsidRPr="00F767CD" w:rsidTr="004B7893">
        <w:trPr>
          <w:cantSplit/>
        </w:trPr>
        <w:tc>
          <w:tcPr>
            <w:tcW w:w="6663" w:type="dxa"/>
            <w:tcBorders>
              <w:top w:val="single" w:sz="12" w:space="0" w:color="auto"/>
            </w:tcBorders>
          </w:tcPr>
          <w:p w:rsidR="004B7893" w:rsidRPr="00F767CD" w:rsidRDefault="004B7893" w:rsidP="00483815">
            <w:pPr>
              <w:spacing w:before="0"/>
              <w:rPr>
                <w:rFonts w:cs="Arial"/>
                <w:b/>
                <w:bCs/>
                <w:sz w:val="20"/>
                <w:lang w:val="es-ES"/>
              </w:rPr>
            </w:pPr>
          </w:p>
        </w:tc>
        <w:tc>
          <w:tcPr>
            <w:tcW w:w="3225" w:type="dxa"/>
            <w:tcBorders>
              <w:top w:val="single" w:sz="12" w:space="0" w:color="auto"/>
            </w:tcBorders>
          </w:tcPr>
          <w:p w:rsidR="004B7893" w:rsidRPr="00F767CD" w:rsidRDefault="004B7893" w:rsidP="00483815">
            <w:pPr>
              <w:spacing w:before="0"/>
              <w:rPr>
                <w:b/>
                <w:bCs/>
                <w:sz w:val="20"/>
                <w:lang w:val="es-ES"/>
              </w:rPr>
            </w:pPr>
          </w:p>
        </w:tc>
      </w:tr>
      <w:tr w:rsidR="004B7893" w:rsidRPr="00F767CD" w:rsidTr="004B7893">
        <w:trPr>
          <w:cantSplit/>
        </w:trPr>
        <w:tc>
          <w:tcPr>
            <w:tcW w:w="6663" w:type="dxa"/>
          </w:tcPr>
          <w:p w:rsidR="004B7893" w:rsidRPr="00F767CD" w:rsidRDefault="004B7893" w:rsidP="00483815">
            <w:pPr>
              <w:pStyle w:val="Committee"/>
              <w:spacing w:before="0"/>
              <w:rPr>
                <w:b w:val="0"/>
                <w:lang w:val="es-ES"/>
              </w:rPr>
            </w:pPr>
          </w:p>
        </w:tc>
        <w:tc>
          <w:tcPr>
            <w:tcW w:w="3225" w:type="dxa"/>
          </w:tcPr>
          <w:p w:rsidR="004B7893" w:rsidRPr="00F767CD" w:rsidRDefault="005637B9" w:rsidP="00483815">
            <w:pPr>
              <w:spacing w:before="0"/>
              <w:rPr>
                <w:bCs/>
                <w:lang w:val="es-ES"/>
              </w:rPr>
            </w:pPr>
            <w:r w:rsidRPr="00F767CD">
              <w:rPr>
                <w:b/>
                <w:bCs/>
                <w:lang w:val="es-ES"/>
              </w:rPr>
              <w:t xml:space="preserve">Documento </w:t>
            </w:r>
            <w:bookmarkStart w:id="0" w:name="DocRef1"/>
            <w:bookmarkEnd w:id="0"/>
            <w:r w:rsidRPr="00F767CD">
              <w:rPr>
                <w:b/>
                <w:bCs/>
                <w:lang w:val="es-ES"/>
              </w:rPr>
              <w:t>TDAG</w:t>
            </w:r>
            <w:r w:rsidR="00602B27" w:rsidRPr="00F767CD">
              <w:rPr>
                <w:b/>
                <w:bCs/>
                <w:lang w:val="es-ES"/>
              </w:rPr>
              <w:t>-</w:t>
            </w:r>
            <w:r w:rsidRPr="00F767CD">
              <w:rPr>
                <w:b/>
                <w:bCs/>
                <w:lang w:val="es-ES"/>
              </w:rPr>
              <w:t>1</w:t>
            </w:r>
            <w:r w:rsidR="004E7861" w:rsidRPr="00F767CD">
              <w:rPr>
                <w:b/>
                <w:bCs/>
                <w:lang w:val="es-ES"/>
              </w:rPr>
              <w:t>9</w:t>
            </w:r>
            <w:r w:rsidRPr="00F767CD">
              <w:rPr>
                <w:b/>
                <w:bCs/>
                <w:lang w:val="es-ES"/>
              </w:rPr>
              <w:t>/</w:t>
            </w:r>
            <w:bookmarkStart w:id="1" w:name="DocNo1"/>
            <w:bookmarkEnd w:id="1"/>
            <w:r w:rsidR="00E55103" w:rsidRPr="00F767CD">
              <w:rPr>
                <w:b/>
                <w:bCs/>
                <w:lang w:val="es-ES"/>
              </w:rPr>
              <w:t>2</w:t>
            </w:r>
            <w:r w:rsidRPr="00F767CD">
              <w:rPr>
                <w:b/>
                <w:bCs/>
                <w:lang w:val="es-ES"/>
              </w:rPr>
              <w:t>-S</w:t>
            </w:r>
          </w:p>
        </w:tc>
      </w:tr>
      <w:tr w:rsidR="004B7893" w:rsidRPr="00F767CD" w:rsidTr="004B7893">
        <w:trPr>
          <w:cantSplit/>
        </w:trPr>
        <w:tc>
          <w:tcPr>
            <w:tcW w:w="6663" w:type="dxa"/>
          </w:tcPr>
          <w:p w:rsidR="004B7893" w:rsidRPr="00F767CD" w:rsidRDefault="004B7893" w:rsidP="00483815">
            <w:pPr>
              <w:spacing w:before="0"/>
              <w:rPr>
                <w:b/>
                <w:bCs/>
                <w:smallCaps/>
                <w:lang w:val="es-ES"/>
              </w:rPr>
            </w:pPr>
          </w:p>
        </w:tc>
        <w:tc>
          <w:tcPr>
            <w:tcW w:w="3225" w:type="dxa"/>
          </w:tcPr>
          <w:p w:rsidR="004B7893" w:rsidRPr="00F767CD" w:rsidRDefault="00E55103" w:rsidP="00483815">
            <w:pPr>
              <w:spacing w:before="0"/>
              <w:rPr>
                <w:b/>
                <w:lang w:val="es-ES"/>
              </w:rPr>
            </w:pPr>
            <w:bookmarkStart w:id="2" w:name="CreationDate"/>
            <w:bookmarkEnd w:id="2"/>
            <w:r w:rsidRPr="00F767CD">
              <w:rPr>
                <w:b/>
                <w:bCs/>
                <w:szCs w:val="28"/>
                <w:lang w:val="es-ES"/>
              </w:rPr>
              <w:t>25 de enero</w:t>
            </w:r>
            <w:r w:rsidR="00BC7208" w:rsidRPr="00F767CD">
              <w:rPr>
                <w:b/>
                <w:bCs/>
                <w:szCs w:val="28"/>
                <w:lang w:val="es-ES"/>
              </w:rPr>
              <w:t xml:space="preserve"> </w:t>
            </w:r>
            <w:r w:rsidR="000208A5" w:rsidRPr="00F767CD">
              <w:rPr>
                <w:b/>
                <w:bCs/>
                <w:szCs w:val="28"/>
                <w:lang w:val="es-ES"/>
              </w:rPr>
              <w:t xml:space="preserve">de </w:t>
            </w:r>
            <w:r w:rsidR="00BC7208" w:rsidRPr="00F767CD">
              <w:rPr>
                <w:b/>
                <w:bCs/>
                <w:szCs w:val="28"/>
                <w:lang w:val="es-ES"/>
              </w:rPr>
              <w:t>201</w:t>
            </w:r>
            <w:r w:rsidR="004E7861" w:rsidRPr="00F767CD">
              <w:rPr>
                <w:b/>
                <w:bCs/>
                <w:szCs w:val="28"/>
                <w:lang w:val="es-ES"/>
              </w:rPr>
              <w:t>9</w:t>
            </w:r>
          </w:p>
        </w:tc>
      </w:tr>
      <w:tr w:rsidR="004B7893" w:rsidRPr="00F767CD" w:rsidTr="004B7893">
        <w:trPr>
          <w:cantSplit/>
        </w:trPr>
        <w:tc>
          <w:tcPr>
            <w:tcW w:w="6663" w:type="dxa"/>
          </w:tcPr>
          <w:p w:rsidR="004B7893" w:rsidRPr="00F767CD" w:rsidRDefault="004B7893" w:rsidP="00483815">
            <w:pPr>
              <w:spacing w:before="0"/>
              <w:rPr>
                <w:b/>
                <w:bCs/>
                <w:smallCaps/>
                <w:lang w:val="es-ES"/>
              </w:rPr>
            </w:pPr>
          </w:p>
        </w:tc>
        <w:tc>
          <w:tcPr>
            <w:tcW w:w="3225" w:type="dxa"/>
          </w:tcPr>
          <w:p w:rsidR="004B7893" w:rsidRPr="00F767CD" w:rsidRDefault="005637B9" w:rsidP="00483815">
            <w:pPr>
              <w:spacing w:before="0"/>
              <w:rPr>
                <w:szCs w:val="24"/>
                <w:lang w:val="es-ES"/>
              </w:rPr>
            </w:pPr>
            <w:r w:rsidRPr="00F767CD">
              <w:rPr>
                <w:b/>
                <w:lang w:val="es-ES"/>
              </w:rPr>
              <w:t>Original:</w:t>
            </w:r>
            <w:bookmarkStart w:id="3" w:name="Original"/>
            <w:bookmarkEnd w:id="3"/>
            <w:r w:rsidRPr="00F767CD">
              <w:rPr>
                <w:b/>
                <w:lang w:val="es-ES"/>
              </w:rPr>
              <w:t xml:space="preserve"> </w:t>
            </w:r>
            <w:r w:rsidR="00E55103" w:rsidRPr="00F767CD">
              <w:rPr>
                <w:b/>
                <w:lang w:val="es-ES"/>
              </w:rPr>
              <w:t>inglés</w:t>
            </w:r>
          </w:p>
        </w:tc>
      </w:tr>
      <w:tr w:rsidR="004B7893" w:rsidRPr="004E44DD" w:rsidTr="004B7893">
        <w:trPr>
          <w:cantSplit/>
          <w:trHeight w:val="852"/>
        </w:trPr>
        <w:tc>
          <w:tcPr>
            <w:tcW w:w="9888" w:type="dxa"/>
            <w:gridSpan w:val="2"/>
          </w:tcPr>
          <w:p w:rsidR="004B7893" w:rsidRPr="00F767CD" w:rsidRDefault="00E55103" w:rsidP="00483815">
            <w:pPr>
              <w:pStyle w:val="Source"/>
              <w:rPr>
                <w:szCs w:val="28"/>
                <w:lang w:val="es-ES"/>
              </w:rPr>
            </w:pPr>
            <w:bookmarkStart w:id="4" w:name="Source"/>
            <w:bookmarkEnd w:id="4"/>
            <w:r w:rsidRPr="00F767CD">
              <w:rPr>
                <w:rFonts w:ascii="Calibri" w:hAnsi="Calibri"/>
                <w:lang w:val="es-ES"/>
              </w:rPr>
              <w:t>Director</w:t>
            </w:r>
            <w:r w:rsidR="003E444E" w:rsidRPr="00F767CD">
              <w:rPr>
                <w:rFonts w:ascii="Calibri" w:hAnsi="Calibri"/>
                <w:lang w:val="es-ES"/>
              </w:rPr>
              <w:t>a</w:t>
            </w:r>
            <w:r w:rsidRPr="00F767CD">
              <w:rPr>
                <w:rFonts w:ascii="Calibri" w:hAnsi="Calibri"/>
                <w:lang w:val="es-ES"/>
              </w:rPr>
              <w:t xml:space="preserve"> de la Oficina de Desarrollo de las Telecomunicaciones</w:t>
            </w:r>
          </w:p>
        </w:tc>
      </w:tr>
      <w:tr w:rsidR="004B7893" w:rsidRPr="004E44DD" w:rsidTr="004B7893">
        <w:trPr>
          <w:cantSplit/>
        </w:trPr>
        <w:tc>
          <w:tcPr>
            <w:tcW w:w="9888" w:type="dxa"/>
            <w:gridSpan w:val="2"/>
          </w:tcPr>
          <w:p w:rsidR="004B7893" w:rsidRPr="00F767CD" w:rsidRDefault="00E55103" w:rsidP="00483815">
            <w:pPr>
              <w:pStyle w:val="Title1"/>
              <w:rPr>
                <w:bCs/>
                <w:szCs w:val="28"/>
                <w:lang w:val="es-ES"/>
              </w:rPr>
            </w:pPr>
            <w:bookmarkStart w:id="5" w:name="Title"/>
            <w:bookmarkEnd w:id="5"/>
            <w:r w:rsidRPr="00F767CD">
              <w:rPr>
                <w:bCs/>
                <w:szCs w:val="28"/>
                <w:lang w:val="es-ES"/>
              </w:rPr>
              <w:t>INFORME SOBRE EL RENDIMIENTO DE 2018</w:t>
            </w:r>
          </w:p>
        </w:tc>
      </w:tr>
      <w:tr w:rsidR="004B7893" w:rsidRPr="004E44DD" w:rsidTr="004B7893">
        <w:trPr>
          <w:cantSplit/>
        </w:trPr>
        <w:tc>
          <w:tcPr>
            <w:tcW w:w="9888" w:type="dxa"/>
            <w:gridSpan w:val="2"/>
            <w:tcBorders>
              <w:bottom w:val="single" w:sz="4" w:space="0" w:color="auto"/>
            </w:tcBorders>
          </w:tcPr>
          <w:p w:rsidR="004B7893" w:rsidRPr="00F767CD" w:rsidRDefault="004B7893" w:rsidP="00483815">
            <w:pPr>
              <w:rPr>
                <w:lang w:val="es-ES"/>
              </w:rPr>
            </w:pPr>
          </w:p>
        </w:tc>
      </w:tr>
      <w:tr w:rsidR="004B7893" w:rsidRPr="004E44DD" w:rsidTr="004B7893">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rsidR="004B7893" w:rsidRPr="00F767CD" w:rsidRDefault="004B7893" w:rsidP="00483815">
            <w:pPr>
              <w:spacing w:before="240"/>
              <w:rPr>
                <w:b/>
                <w:bCs/>
                <w:lang w:val="es-ES"/>
              </w:rPr>
            </w:pPr>
            <w:r w:rsidRPr="00F767CD">
              <w:rPr>
                <w:b/>
                <w:bCs/>
                <w:lang w:val="es-ES"/>
              </w:rPr>
              <w:t>Resumen:</w:t>
            </w:r>
          </w:p>
          <w:p w:rsidR="004B7893" w:rsidRPr="00F767CD" w:rsidRDefault="00E55103" w:rsidP="00483815">
            <w:pPr>
              <w:rPr>
                <w:rFonts w:ascii="Calibri" w:hAnsi="Calibri"/>
                <w:szCs w:val="24"/>
                <w:lang w:val="es-ES"/>
              </w:rPr>
            </w:pPr>
            <w:r w:rsidRPr="00F767CD">
              <w:rPr>
                <w:rFonts w:ascii="Calibri" w:hAnsi="Calibri"/>
                <w:szCs w:val="24"/>
                <w:lang w:val="es-ES"/>
              </w:rPr>
              <w:t>En el Informe sobre el rendimiento en 201</w:t>
            </w:r>
            <w:r w:rsidR="003E444E" w:rsidRPr="00F767CD">
              <w:rPr>
                <w:rFonts w:ascii="Calibri" w:hAnsi="Calibri"/>
                <w:szCs w:val="24"/>
                <w:lang w:val="es-ES"/>
              </w:rPr>
              <w:t>8</w:t>
            </w:r>
            <w:r w:rsidRPr="00F767CD">
              <w:rPr>
                <w:rFonts w:ascii="Calibri" w:hAnsi="Calibri"/>
                <w:szCs w:val="24"/>
                <w:lang w:val="es-ES"/>
              </w:rPr>
              <w:t xml:space="preserve"> se examina el grado de ejecución de los objetivos, resultados y productos definidos en el Plan Operacional del UIT-D. Se destacan los resultados obtenidos durante la ejecución de los objetivos, resultados y productos del Sector y los indicadores de rendimiento.</w:t>
            </w:r>
          </w:p>
          <w:p w:rsidR="00E55103" w:rsidRPr="00F767CD" w:rsidRDefault="00E55103" w:rsidP="00483815">
            <w:pPr>
              <w:rPr>
                <w:b/>
                <w:bCs/>
                <w:lang w:val="es-ES"/>
              </w:rPr>
            </w:pPr>
            <w:r w:rsidRPr="00F767CD">
              <w:rPr>
                <w:rFonts w:ascii="Calibri" w:hAnsi="Calibri"/>
                <w:szCs w:val="24"/>
                <w:lang w:val="es-ES"/>
              </w:rPr>
              <w:t xml:space="preserve">El informe completo está disponible en: </w:t>
            </w:r>
            <w:r w:rsidRPr="00F767CD">
              <w:rPr>
                <w:rFonts w:ascii="Calibri" w:hAnsi="Calibri"/>
                <w:szCs w:val="24"/>
                <w:lang w:val="es-ES"/>
              </w:rPr>
              <w:br/>
            </w:r>
            <w:hyperlink r:id="rId8" w:history="1">
              <w:r w:rsidRPr="00F767CD">
                <w:rPr>
                  <w:rStyle w:val="Hyperlink"/>
                  <w:szCs w:val="24"/>
                  <w:lang w:val="es-ES"/>
                </w:rPr>
                <w:t>https://www.itu.int/en/ITU-D/TIES_Protected/PerfReport2018.pdf</w:t>
              </w:r>
            </w:hyperlink>
          </w:p>
          <w:p w:rsidR="004B7893" w:rsidRPr="00F767CD" w:rsidRDefault="004B7893" w:rsidP="00483815">
            <w:pPr>
              <w:rPr>
                <w:b/>
                <w:bCs/>
                <w:lang w:val="es-ES"/>
              </w:rPr>
            </w:pPr>
            <w:r w:rsidRPr="00F767CD">
              <w:rPr>
                <w:b/>
                <w:bCs/>
                <w:lang w:val="es-ES"/>
              </w:rPr>
              <w:t xml:space="preserve">Acción solicitada: </w:t>
            </w:r>
          </w:p>
          <w:p w:rsidR="004B7893" w:rsidRPr="00F767CD" w:rsidRDefault="00E55103" w:rsidP="00483815">
            <w:pPr>
              <w:rPr>
                <w:b/>
                <w:bCs/>
                <w:lang w:val="es-ES"/>
              </w:rPr>
            </w:pPr>
            <w:r w:rsidRPr="00F767CD">
              <w:rPr>
                <w:rFonts w:cstheme="minorHAnsi"/>
                <w:color w:val="000000"/>
                <w:szCs w:val="24"/>
                <w:lang w:val="es-ES"/>
              </w:rPr>
              <w:t xml:space="preserve">Se invita al GADT a que tome nota del presente informe y </w:t>
            </w:r>
            <w:r w:rsidR="00C23DB0" w:rsidRPr="00F767CD">
              <w:rPr>
                <w:rFonts w:cstheme="minorHAnsi"/>
                <w:color w:val="000000"/>
                <w:szCs w:val="24"/>
                <w:lang w:val="es-ES"/>
              </w:rPr>
              <w:t>proporcione las orientaciones</w:t>
            </w:r>
            <w:r w:rsidRPr="00F767CD">
              <w:rPr>
                <w:rFonts w:cstheme="minorHAnsi"/>
                <w:color w:val="000000"/>
                <w:szCs w:val="24"/>
                <w:lang w:val="es-ES"/>
              </w:rPr>
              <w:t xml:space="preserve"> que estime oportun</w:t>
            </w:r>
            <w:r w:rsidR="00C23DB0" w:rsidRPr="00F767CD">
              <w:rPr>
                <w:rFonts w:cstheme="minorHAnsi"/>
                <w:color w:val="000000"/>
                <w:szCs w:val="24"/>
                <w:lang w:val="es-ES"/>
              </w:rPr>
              <w:t>a</w:t>
            </w:r>
            <w:r w:rsidRPr="00F767CD">
              <w:rPr>
                <w:rFonts w:cstheme="minorHAnsi"/>
                <w:color w:val="000000"/>
                <w:szCs w:val="24"/>
                <w:lang w:val="es-ES"/>
              </w:rPr>
              <w:t>s.</w:t>
            </w:r>
          </w:p>
          <w:p w:rsidR="004B7893" w:rsidRPr="00F767CD" w:rsidRDefault="004B7893" w:rsidP="00483815">
            <w:pPr>
              <w:rPr>
                <w:b/>
                <w:bCs/>
                <w:lang w:val="es-ES"/>
              </w:rPr>
            </w:pPr>
            <w:r w:rsidRPr="00F767CD">
              <w:rPr>
                <w:b/>
                <w:bCs/>
                <w:lang w:val="es-ES"/>
              </w:rPr>
              <w:t>Referencias:</w:t>
            </w:r>
          </w:p>
          <w:p w:rsidR="004B7893" w:rsidRPr="00F767CD" w:rsidRDefault="00E55103" w:rsidP="00483815">
            <w:pPr>
              <w:rPr>
                <w:b/>
                <w:bCs/>
                <w:lang w:val="es-ES"/>
              </w:rPr>
            </w:pPr>
            <w:r w:rsidRPr="00F767CD">
              <w:rPr>
                <w:szCs w:val="24"/>
                <w:lang w:val="es-ES"/>
              </w:rPr>
              <w:t>Número 215EA del Convenio</w:t>
            </w:r>
            <w:r w:rsidR="00122807">
              <w:rPr>
                <w:szCs w:val="24"/>
                <w:lang w:val="es-ES"/>
              </w:rPr>
              <w:t xml:space="preserve"> de la UIT</w:t>
            </w:r>
            <w:r w:rsidR="00390DF5">
              <w:rPr>
                <w:szCs w:val="24"/>
                <w:lang w:val="es-ES"/>
              </w:rPr>
              <w:t>.</w:t>
            </w:r>
          </w:p>
        </w:tc>
      </w:tr>
    </w:tbl>
    <w:p w:rsidR="00E55103" w:rsidRPr="00F767CD" w:rsidRDefault="00E55103" w:rsidP="00483815">
      <w:pPr>
        <w:jc w:val="center"/>
        <w:rPr>
          <w:lang w:val="es-ES"/>
        </w:rPr>
      </w:pPr>
    </w:p>
    <w:p w:rsidR="00E55103" w:rsidRPr="00F767CD" w:rsidRDefault="00E55103" w:rsidP="00483815">
      <w:pPr>
        <w:tabs>
          <w:tab w:val="clear" w:pos="794"/>
          <w:tab w:val="clear" w:pos="1191"/>
          <w:tab w:val="clear" w:pos="1588"/>
          <w:tab w:val="clear" w:pos="1985"/>
        </w:tabs>
        <w:overflowPunct/>
        <w:autoSpaceDE/>
        <w:autoSpaceDN/>
        <w:adjustRightInd/>
        <w:spacing w:before="0" w:after="200"/>
        <w:textAlignment w:val="auto"/>
        <w:rPr>
          <w:lang w:val="es-ES"/>
        </w:rPr>
      </w:pPr>
      <w:r w:rsidRPr="00F767CD">
        <w:rPr>
          <w:lang w:val="es-ES"/>
        </w:rPr>
        <w:br w:type="page"/>
      </w:r>
    </w:p>
    <w:p w:rsidR="00E55103" w:rsidRPr="00F767CD" w:rsidRDefault="00E55103" w:rsidP="00483815">
      <w:pPr>
        <w:pStyle w:val="Headingb"/>
        <w:rPr>
          <w:lang w:val="es-ES"/>
        </w:rPr>
      </w:pPr>
      <w:r w:rsidRPr="00F767CD">
        <w:rPr>
          <w:lang w:val="es-ES"/>
        </w:rPr>
        <w:lastRenderedPageBreak/>
        <w:t>Resumen del Informe sobre el rendimiento en 2018</w:t>
      </w:r>
    </w:p>
    <w:p w:rsidR="00E55103" w:rsidRPr="00F767CD" w:rsidRDefault="00E55103" w:rsidP="00483815">
      <w:pPr>
        <w:rPr>
          <w:szCs w:val="24"/>
          <w:lang w:val="es-ES"/>
        </w:rPr>
      </w:pPr>
      <w:r w:rsidRPr="00F767CD">
        <w:rPr>
          <w:szCs w:val="24"/>
          <w:lang w:val="es-ES"/>
        </w:rPr>
        <w:t xml:space="preserve">En el </w:t>
      </w:r>
      <w:r w:rsidR="00122807" w:rsidRPr="00F767CD">
        <w:rPr>
          <w:szCs w:val="24"/>
          <w:lang w:val="es-ES"/>
        </w:rPr>
        <w:t xml:space="preserve">Informe </w:t>
      </w:r>
      <w:r w:rsidRPr="00F767CD">
        <w:rPr>
          <w:szCs w:val="24"/>
          <w:lang w:val="es-ES"/>
        </w:rPr>
        <w:t xml:space="preserve">sobre el rendimiento en 2018 se compara los resultados y los </w:t>
      </w:r>
      <w:r w:rsidR="00EE4CDA" w:rsidRPr="00F767CD">
        <w:rPr>
          <w:szCs w:val="24"/>
          <w:lang w:val="es-ES"/>
        </w:rPr>
        <w:t>logros,</w:t>
      </w:r>
      <w:r w:rsidRPr="00F767CD">
        <w:rPr>
          <w:szCs w:val="24"/>
          <w:lang w:val="es-ES"/>
        </w:rPr>
        <w:t xml:space="preserve"> </w:t>
      </w:r>
      <w:r w:rsidR="00122807">
        <w:rPr>
          <w:szCs w:val="24"/>
          <w:lang w:val="es-ES"/>
        </w:rPr>
        <w:t>así como</w:t>
      </w:r>
      <w:r w:rsidRPr="00F767CD">
        <w:rPr>
          <w:szCs w:val="24"/>
          <w:lang w:val="es-ES"/>
        </w:rPr>
        <w:t xml:space="preserve"> los resultados previstos y los alcanzados, junto con los respectivos indicadores de rendimiento. También se evalúa las amenazas y riesgos para 2018 que se especifican para cada objetivo y producto correspondiente. El informe completo está disponible en </w:t>
      </w:r>
      <w:r w:rsidRPr="00F767CD">
        <w:rPr>
          <w:szCs w:val="24"/>
          <w:lang w:val="es-ES"/>
        </w:rPr>
        <w:br/>
      </w:r>
      <w:hyperlink r:id="rId9" w:history="1">
        <w:r w:rsidRPr="00F767CD">
          <w:rPr>
            <w:rStyle w:val="Hyperlink"/>
            <w:szCs w:val="24"/>
            <w:shd w:val="clear" w:color="auto" w:fill="FFFFFF" w:themeFill="background1"/>
            <w:lang w:val="es-ES"/>
          </w:rPr>
          <w:t>https://www.itu.int/en/ITU-D/TIES_Protected/PerfReport2018.pdf</w:t>
        </w:r>
      </w:hyperlink>
      <w:r w:rsidRPr="00F767CD">
        <w:rPr>
          <w:szCs w:val="24"/>
          <w:lang w:val="es-ES"/>
        </w:rPr>
        <w:t xml:space="preserve"> </w:t>
      </w:r>
    </w:p>
    <w:p w:rsidR="00E55103" w:rsidRPr="00F767CD" w:rsidRDefault="00E55103" w:rsidP="00483815">
      <w:pPr>
        <w:rPr>
          <w:szCs w:val="24"/>
          <w:lang w:val="es-ES"/>
        </w:rPr>
      </w:pPr>
      <w:r w:rsidRPr="00F767CD">
        <w:rPr>
          <w:szCs w:val="24"/>
          <w:lang w:val="es-ES"/>
        </w:rPr>
        <w:t xml:space="preserve">A </w:t>
      </w:r>
      <w:r w:rsidR="00F767CD" w:rsidRPr="00F767CD">
        <w:rPr>
          <w:szCs w:val="24"/>
          <w:lang w:val="es-ES"/>
        </w:rPr>
        <w:t>continuación,</w:t>
      </w:r>
      <w:r w:rsidRPr="00F767CD">
        <w:rPr>
          <w:szCs w:val="24"/>
          <w:lang w:val="es-ES"/>
        </w:rPr>
        <w:t xml:space="preserve"> se describen los principales resultados logrados por la BDT en 201</w:t>
      </w:r>
      <w:r w:rsidR="00122807">
        <w:rPr>
          <w:szCs w:val="24"/>
          <w:lang w:val="es-ES"/>
        </w:rPr>
        <w:t>8</w:t>
      </w:r>
      <w:r w:rsidRPr="00F767CD">
        <w:rPr>
          <w:szCs w:val="24"/>
          <w:lang w:val="es-ES"/>
        </w:rPr>
        <w:t xml:space="preserve"> para cada objetivo.</w:t>
      </w:r>
    </w:p>
    <w:p w:rsidR="00E55103" w:rsidRPr="00F767CD" w:rsidRDefault="00E55103" w:rsidP="00483815">
      <w:pPr>
        <w:pStyle w:val="Heading1"/>
        <w:rPr>
          <w:i/>
          <w:iCs/>
          <w:lang w:val="es-ES"/>
        </w:rPr>
      </w:pPr>
      <w:r w:rsidRPr="00F767CD">
        <w:rPr>
          <w:bCs/>
          <w:lang w:val="es-ES"/>
        </w:rPr>
        <w:t>1</w:t>
      </w:r>
      <w:r w:rsidRPr="00F767CD">
        <w:rPr>
          <w:bCs/>
          <w:lang w:val="es-ES"/>
        </w:rPr>
        <w:tab/>
        <w:t>Objetivo 1:</w:t>
      </w:r>
      <w:r w:rsidRPr="00F767CD">
        <w:rPr>
          <w:bCs/>
          <w:i/>
          <w:iCs/>
          <w:lang w:val="es-ES"/>
        </w:rPr>
        <w:t xml:space="preserve"> "Fomentar la cooperación internacional en cuestiones de</w:t>
      </w:r>
      <w:r w:rsidRPr="00F767CD">
        <w:rPr>
          <w:b w:val="0"/>
          <w:i/>
          <w:iCs/>
          <w:lang w:val="es-ES"/>
        </w:rPr>
        <w:t xml:space="preserve"> </w:t>
      </w:r>
      <w:r w:rsidRPr="00F767CD">
        <w:rPr>
          <w:i/>
          <w:iCs/>
          <w:lang w:val="es-ES"/>
        </w:rPr>
        <w:t>desarrollo</w:t>
      </w:r>
      <w:r w:rsidRPr="00F767CD">
        <w:rPr>
          <w:b w:val="0"/>
          <w:i/>
          <w:iCs/>
          <w:lang w:val="es-ES"/>
        </w:rPr>
        <w:t xml:space="preserve"> </w:t>
      </w:r>
      <w:r w:rsidRPr="00F767CD">
        <w:rPr>
          <w:i/>
          <w:iCs/>
          <w:lang w:val="es-ES"/>
        </w:rPr>
        <w:t>de telecomunicaciones/TIC"</w:t>
      </w:r>
    </w:p>
    <w:p w:rsidR="00E55103" w:rsidRPr="00F767CD" w:rsidRDefault="00E55103" w:rsidP="00483815">
      <w:pPr>
        <w:pStyle w:val="Heading2"/>
        <w:spacing w:after="120"/>
        <w:rPr>
          <w:lang w:val="es-ES"/>
        </w:rPr>
      </w:pPr>
      <w:r w:rsidRPr="00F767CD">
        <w:rPr>
          <w:lang w:val="es-ES"/>
        </w:rPr>
        <w:t>1.1</w:t>
      </w:r>
      <w:r w:rsidRPr="00F767CD">
        <w:rPr>
          <w:lang w:val="es-ES"/>
        </w:rPr>
        <w:tab/>
        <w:t>Conferencia Mundial de Desarrollo de las Telecomunicaciones (CMDT)</w:t>
      </w:r>
    </w:p>
    <w:tbl>
      <w:tblPr>
        <w:tblStyle w:val="TableGrid"/>
        <w:tblW w:w="9640" w:type="dxa"/>
        <w:tblLook w:val="04A0" w:firstRow="1" w:lastRow="0" w:firstColumn="1" w:lastColumn="0" w:noHBand="0" w:noVBand="1"/>
      </w:tblPr>
      <w:tblGrid>
        <w:gridCol w:w="2830"/>
        <w:gridCol w:w="6810"/>
      </w:tblGrid>
      <w:tr w:rsidR="00E55103" w:rsidRPr="004E44DD" w:rsidTr="009009A1">
        <w:tc>
          <w:tcPr>
            <w:tcW w:w="9640" w:type="dxa"/>
            <w:gridSpan w:val="2"/>
          </w:tcPr>
          <w:p w:rsidR="00E55103" w:rsidRPr="00F767CD" w:rsidRDefault="00E55103" w:rsidP="00483815">
            <w:pPr>
              <w:spacing w:after="120"/>
              <w:rPr>
                <w:rStyle w:val="Emphasis"/>
                <w:rFonts w:asciiTheme="minorHAnsi" w:hAnsiTheme="minorHAnsi" w:cstheme="minorHAnsi"/>
                <w:color w:val="000000" w:themeColor="text1"/>
                <w:szCs w:val="24"/>
                <w:lang w:val="es-ES"/>
              </w:rPr>
            </w:pPr>
            <w:r w:rsidRPr="00F767CD">
              <w:rPr>
                <w:rFonts w:asciiTheme="minorHAnsi" w:hAnsiTheme="minorHAnsi"/>
                <w:szCs w:val="24"/>
                <w:lang w:val="es-ES"/>
              </w:rPr>
              <w:t>La próxima Conferencia Mundial de Desarrollo de las Telecomunicaciones (CMDT) se celebrará en 20</w:t>
            </w:r>
            <w:r w:rsidR="00C23DB0" w:rsidRPr="00F767CD">
              <w:rPr>
                <w:rFonts w:asciiTheme="minorHAnsi" w:hAnsiTheme="minorHAnsi"/>
                <w:szCs w:val="24"/>
                <w:lang w:val="es-ES"/>
              </w:rPr>
              <w:t>21</w:t>
            </w:r>
            <w:r w:rsidRPr="00F767CD">
              <w:rPr>
                <w:rFonts w:asciiTheme="minorHAnsi" w:hAnsiTheme="minorHAnsi"/>
                <w:szCs w:val="24"/>
                <w:lang w:val="es-ES"/>
              </w:rPr>
              <w:t>.</w:t>
            </w:r>
            <w:r w:rsidRPr="00F767CD">
              <w:rPr>
                <w:rFonts w:asciiTheme="minorHAnsi" w:hAnsiTheme="minorHAnsi" w:cstheme="minorHAnsi"/>
                <w:szCs w:val="24"/>
                <w:lang w:val="es-ES"/>
              </w:rPr>
              <w:t xml:space="preserve"> </w:t>
            </w:r>
            <w:r w:rsidR="00C23DB0" w:rsidRPr="00F767CD">
              <w:rPr>
                <w:rFonts w:asciiTheme="minorHAnsi" w:hAnsiTheme="minorHAnsi" w:cstheme="minorHAnsi"/>
                <w:szCs w:val="24"/>
                <w:lang w:val="es-ES"/>
              </w:rPr>
              <w:t xml:space="preserve">Se ha </w:t>
            </w:r>
            <w:hyperlink r:id="rId10" w:history="1">
              <w:r w:rsidR="00C23DB0" w:rsidRPr="00F767CD">
                <w:rPr>
                  <w:rStyle w:val="Hyperlink"/>
                  <w:rFonts w:asciiTheme="minorHAnsi" w:hAnsiTheme="minorHAnsi" w:cstheme="minorHAnsi"/>
                  <w:szCs w:val="24"/>
                  <w:lang w:val="es-ES"/>
                </w:rPr>
                <w:t>publicad</w:t>
              </w:r>
              <w:r w:rsidR="00122807">
                <w:rPr>
                  <w:rStyle w:val="Hyperlink"/>
                  <w:rFonts w:asciiTheme="minorHAnsi" w:hAnsiTheme="minorHAnsi" w:cstheme="minorHAnsi"/>
                  <w:szCs w:val="24"/>
                  <w:lang w:val="es-ES"/>
                </w:rPr>
                <w:t>o</w:t>
              </w:r>
              <w:r w:rsidR="00122807" w:rsidRPr="004E44DD">
                <w:rPr>
                  <w:lang w:val="es-ES_tradnl"/>
                </w:rPr>
                <w:t xml:space="preserve"> </w:t>
              </w:r>
              <w:r w:rsidR="00122807" w:rsidRPr="00122807">
                <w:rPr>
                  <w:rStyle w:val="Hyperlink"/>
                  <w:rFonts w:asciiTheme="minorHAnsi" w:hAnsiTheme="minorHAnsi" w:cstheme="minorHAnsi"/>
                  <w:szCs w:val="24"/>
                  <w:lang w:val="es-ES"/>
                </w:rPr>
                <w:t>el Informe Final</w:t>
              </w:r>
            </w:hyperlink>
            <w:r w:rsidR="00C23DB0" w:rsidRPr="00F767CD">
              <w:rPr>
                <w:rStyle w:val="Emphasis"/>
                <w:rFonts w:asciiTheme="minorHAnsi" w:hAnsiTheme="minorHAnsi" w:cstheme="minorHAnsi"/>
                <w:color w:val="000000" w:themeColor="text1"/>
                <w:szCs w:val="24"/>
                <w:lang w:val="es-ES"/>
              </w:rPr>
              <w:t xml:space="preserve"> </w:t>
            </w:r>
            <w:r w:rsidR="00C23DB0" w:rsidRPr="00F767CD">
              <w:rPr>
                <w:rFonts w:asciiTheme="minorHAnsi" w:hAnsiTheme="minorHAnsi" w:cstheme="minorHAnsi"/>
                <w:szCs w:val="24"/>
                <w:lang w:val="es-ES"/>
              </w:rPr>
              <w:t>de la Conferencia Mundial de Desarrollo de las Telecomunicaciones (CMDT-17), celebrada del 9 al 20 de octubre de 2017 en Buenos Aires (Argentina)</w:t>
            </w:r>
            <w:r w:rsidR="006C4B8E" w:rsidRPr="00F767CD">
              <w:rPr>
                <w:rFonts w:asciiTheme="minorHAnsi" w:hAnsiTheme="minorHAnsi" w:cstheme="minorHAnsi"/>
                <w:szCs w:val="24"/>
                <w:lang w:val="es-ES"/>
              </w:rPr>
              <w:t>.</w:t>
            </w:r>
            <w:r w:rsidR="00C23DB0" w:rsidRPr="00F767CD">
              <w:rPr>
                <w:rFonts w:asciiTheme="minorHAnsi" w:hAnsiTheme="minorHAnsi" w:cstheme="minorHAnsi"/>
                <w:szCs w:val="24"/>
                <w:lang w:val="es-ES"/>
              </w:rPr>
              <w:t xml:space="preserve"> </w:t>
            </w:r>
          </w:p>
          <w:p w:rsidR="00E55103" w:rsidRPr="00F767CD" w:rsidRDefault="006C4B8E" w:rsidP="00483815">
            <w:pPr>
              <w:spacing w:after="120"/>
              <w:rPr>
                <w:rFonts w:asciiTheme="minorHAnsi" w:hAnsiTheme="minorHAnsi"/>
                <w:szCs w:val="24"/>
                <w:lang w:val="es-ES"/>
              </w:rPr>
            </w:pPr>
            <w:r w:rsidRPr="00F767CD">
              <w:rPr>
                <w:rFonts w:asciiTheme="minorHAnsi" w:hAnsiTheme="minorHAnsi"/>
                <w:szCs w:val="24"/>
                <w:lang w:val="es-ES"/>
              </w:rPr>
              <w:t xml:space="preserve">Se celebró un retiro de la Dirección de la BDT del 5 al 9 de febrero de 2018 en Ginebra. Los participantes analizaron la situación actual </w:t>
            </w:r>
            <w:r w:rsidR="00122807">
              <w:rPr>
                <w:rFonts w:asciiTheme="minorHAnsi" w:hAnsiTheme="minorHAnsi"/>
                <w:szCs w:val="24"/>
                <w:lang w:val="es-ES"/>
              </w:rPr>
              <w:t>de la industria</w:t>
            </w:r>
            <w:r w:rsidRPr="00F767CD">
              <w:rPr>
                <w:rFonts w:asciiTheme="minorHAnsi" w:hAnsiTheme="minorHAnsi"/>
                <w:szCs w:val="24"/>
                <w:lang w:val="es-ES"/>
              </w:rPr>
              <w:t xml:space="preserve"> de las TIC </w:t>
            </w:r>
            <w:r w:rsidR="002D50DA" w:rsidRPr="00F767CD">
              <w:rPr>
                <w:rFonts w:asciiTheme="minorHAnsi" w:hAnsiTheme="minorHAnsi"/>
                <w:szCs w:val="24"/>
                <w:lang w:val="es-ES"/>
              </w:rPr>
              <w:t>en función</w:t>
            </w:r>
            <w:r w:rsidRPr="00F767CD">
              <w:rPr>
                <w:rFonts w:asciiTheme="minorHAnsi" w:hAnsiTheme="minorHAnsi"/>
                <w:szCs w:val="24"/>
                <w:lang w:val="es-ES"/>
              </w:rPr>
              <w:t xml:space="preserve"> de los resultados de la CMDT-17 y la forma </w:t>
            </w:r>
            <w:r w:rsidR="00EF1945">
              <w:rPr>
                <w:rFonts w:asciiTheme="minorHAnsi" w:hAnsiTheme="minorHAnsi"/>
                <w:szCs w:val="24"/>
                <w:lang w:val="es-ES"/>
              </w:rPr>
              <w:t>en</w:t>
            </w:r>
            <w:r w:rsidRPr="00F767CD">
              <w:rPr>
                <w:rFonts w:asciiTheme="minorHAnsi" w:hAnsiTheme="minorHAnsi"/>
                <w:szCs w:val="24"/>
                <w:lang w:val="es-ES"/>
              </w:rPr>
              <w:t xml:space="preserve"> </w:t>
            </w:r>
            <w:r w:rsidR="00122807">
              <w:rPr>
                <w:rFonts w:asciiTheme="minorHAnsi" w:hAnsiTheme="minorHAnsi"/>
                <w:szCs w:val="24"/>
                <w:lang w:val="es-ES"/>
              </w:rPr>
              <w:t xml:space="preserve">que la Oficina de Desarrollo de las Telecomunicaciones (BDT) </w:t>
            </w:r>
            <w:r w:rsidRPr="00F767CD">
              <w:rPr>
                <w:rFonts w:asciiTheme="minorHAnsi" w:hAnsiTheme="minorHAnsi"/>
                <w:szCs w:val="24"/>
                <w:lang w:val="es-ES"/>
              </w:rPr>
              <w:t>cumpl</w:t>
            </w:r>
            <w:r w:rsidR="00EF1945">
              <w:rPr>
                <w:rFonts w:asciiTheme="minorHAnsi" w:hAnsiTheme="minorHAnsi"/>
                <w:szCs w:val="24"/>
                <w:lang w:val="es-ES"/>
              </w:rPr>
              <w:t>irá</w:t>
            </w:r>
            <w:r w:rsidR="00122807">
              <w:rPr>
                <w:rFonts w:asciiTheme="minorHAnsi" w:hAnsiTheme="minorHAnsi"/>
                <w:szCs w:val="24"/>
                <w:lang w:val="es-ES"/>
              </w:rPr>
              <w:t xml:space="preserve"> su</w:t>
            </w:r>
            <w:r w:rsidRPr="00F767CD">
              <w:rPr>
                <w:rFonts w:asciiTheme="minorHAnsi" w:hAnsiTheme="minorHAnsi"/>
                <w:szCs w:val="24"/>
                <w:lang w:val="es-ES"/>
              </w:rPr>
              <w:t xml:space="preserve"> mandato en un entorno que cambia a gran velocidad, </w:t>
            </w:r>
            <w:r w:rsidR="002D50DA" w:rsidRPr="00F767CD">
              <w:rPr>
                <w:rFonts w:asciiTheme="minorHAnsi" w:hAnsiTheme="minorHAnsi"/>
                <w:szCs w:val="24"/>
                <w:lang w:val="es-ES"/>
              </w:rPr>
              <w:t>con una complejidad creciente</w:t>
            </w:r>
            <w:r w:rsidRPr="00F767CD">
              <w:rPr>
                <w:rFonts w:asciiTheme="minorHAnsi" w:hAnsiTheme="minorHAnsi"/>
                <w:szCs w:val="24"/>
                <w:lang w:val="es-ES"/>
              </w:rPr>
              <w:t xml:space="preserve"> y </w:t>
            </w:r>
            <w:r w:rsidR="002D50DA" w:rsidRPr="00F767CD">
              <w:rPr>
                <w:rFonts w:asciiTheme="minorHAnsi" w:hAnsiTheme="minorHAnsi"/>
                <w:szCs w:val="24"/>
                <w:lang w:val="es-ES"/>
              </w:rPr>
              <w:t xml:space="preserve">cada vez </w:t>
            </w:r>
            <w:r w:rsidRPr="00F767CD">
              <w:rPr>
                <w:rFonts w:asciiTheme="minorHAnsi" w:hAnsiTheme="minorHAnsi"/>
                <w:szCs w:val="24"/>
                <w:lang w:val="es-ES"/>
              </w:rPr>
              <w:t>más exigente</w:t>
            </w:r>
            <w:r w:rsidR="002D50DA" w:rsidRPr="00F767CD">
              <w:rPr>
                <w:rFonts w:asciiTheme="minorHAnsi" w:hAnsiTheme="minorHAnsi"/>
                <w:szCs w:val="24"/>
                <w:lang w:val="es-ES"/>
              </w:rPr>
              <w:t xml:space="preserve">. Los temas principales tratados durante el retiro constituyen la base de una estrategia y un plan de acción sólidos </w:t>
            </w:r>
            <w:r w:rsidR="00EF1945">
              <w:rPr>
                <w:rFonts w:asciiTheme="minorHAnsi" w:hAnsiTheme="minorHAnsi"/>
                <w:szCs w:val="24"/>
                <w:lang w:val="es-ES"/>
              </w:rPr>
              <w:t xml:space="preserve">para que </w:t>
            </w:r>
            <w:r w:rsidR="00D02E0A" w:rsidRPr="00F767CD">
              <w:rPr>
                <w:rFonts w:asciiTheme="minorHAnsi" w:hAnsiTheme="minorHAnsi"/>
                <w:szCs w:val="24"/>
                <w:lang w:val="es-ES"/>
              </w:rPr>
              <w:t xml:space="preserve">la </w:t>
            </w:r>
            <w:r w:rsidR="002D50DA" w:rsidRPr="00F767CD">
              <w:rPr>
                <w:rFonts w:asciiTheme="minorHAnsi" w:hAnsiTheme="minorHAnsi"/>
                <w:szCs w:val="24"/>
                <w:lang w:val="es-ES"/>
              </w:rPr>
              <w:t xml:space="preserve">BDT </w:t>
            </w:r>
            <w:r w:rsidR="00EF1945">
              <w:rPr>
                <w:rFonts w:asciiTheme="minorHAnsi" w:hAnsiTheme="minorHAnsi"/>
                <w:szCs w:val="24"/>
                <w:lang w:val="es-ES"/>
              </w:rPr>
              <w:t>responda</w:t>
            </w:r>
            <w:r w:rsidR="00EF1945" w:rsidRPr="00F767CD">
              <w:rPr>
                <w:rFonts w:asciiTheme="minorHAnsi" w:hAnsiTheme="minorHAnsi"/>
                <w:szCs w:val="24"/>
                <w:lang w:val="es-ES"/>
              </w:rPr>
              <w:t xml:space="preserve"> </w:t>
            </w:r>
            <w:r w:rsidR="002D50DA" w:rsidRPr="00F767CD">
              <w:rPr>
                <w:rFonts w:asciiTheme="minorHAnsi" w:hAnsiTheme="minorHAnsi"/>
                <w:szCs w:val="24"/>
                <w:lang w:val="es-ES"/>
              </w:rPr>
              <w:t xml:space="preserve">a los </w:t>
            </w:r>
            <w:r w:rsidR="00D02E0A" w:rsidRPr="00F767CD">
              <w:rPr>
                <w:rFonts w:asciiTheme="minorHAnsi" w:hAnsiTheme="minorHAnsi"/>
                <w:szCs w:val="24"/>
                <w:lang w:val="es-ES"/>
              </w:rPr>
              <w:t xml:space="preserve">enormes cambios que se producen en la industria y, al mismo tiempo, </w:t>
            </w:r>
            <w:r w:rsidR="00EF1945">
              <w:rPr>
                <w:rFonts w:asciiTheme="minorHAnsi" w:hAnsiTheme="minorHAnsi"/>
                <w:szCs w:val="24"/>
                <w:lang w:val="es-ES"/>
              </w:rPr>
              <w:t>pueda cumplir</w:t>
            </w:r>
            <w:r w:rsidR="00D02E0A" w:rsidRPr="00F767CD">
              <w:rPr>
                <w:rFonts w:asciiTheme="minorHAnsi" w:hAnsiTheme="minorHAnsi"/>
                <w:szCs w:val="24"/>
                <w:lang w:val="es-ES"/>
              </w:rPr>
              <w:t xml:space="preserve"> las grandes expectativas de los Miembros. </w:t>
            </w:r>
          </w:p>
        </w:tc>
      </w:tr>
      <w:tr w:rsidR="00E55103" w:rsidRPr="00F767CD" w:rsidTr="009009A1">
        <w:tc>
          <w:tcPr>
            <w:tcW w:w="2830" w:type="dxa"/>
          </w:tcPr>
          <w:p w:rsidR="00E55103" w:rsidRPr="00F767CD" w:rsidRDefault="00E55103" w:rsidP="00483815">
            <w:pPr>
              <w:spacing w:before="60" w:after="60"/>
              <w:rPr>
                <w:rFonts w:ascii="Calibri" w:hAnsi="Calibri"/>
                <w:i/>
                <w:iCs/>
                <w:szCs w:val="24"/>
                <w:lang w:val="es-ES"/>
              </w:rPr>
            </w:pPr>
            <w:r w:rsidRPr="00F767CD">
              <w:rPr>
                <w:rFonts w:ascii="Calibri" w:hAnsi="Calibri"/>
                <w:i/>
                <w:iCs/>
                <w:szCs w:val="24"/>
                <w:lang w:val="es-ES"/>
              </w:rPr>
              <w:t>CMDT</w:t>
            </w:r>
          </w:p>
        </w:tc>
        <w:tc>
          <w:tcPr>
            <w:tcW w:w="6810" w:type="dxa"/>
          </w:tcPr>
          <w:p w:rsidR="00E55103" w:rsidRPr="00F767CD" w:rsidRDefault="00E55103" w:rsidP="00483815">
            <w:pPr>
              <w:spacing w:before="60" w:after="60"/>
              <w:rPr>
                <w:rFonts w:ascii="Calibri" w:hAnsi="Calibri"/>
                <w:szCs w:val="24"/>
                <w:lang w:val="es-ES"/>
              </w:rPr>
            </w:pPr>
            <w:bookmarkStart w:id="6" w:name="lt_pId058"/>
            <w:r w:rsidRPr="00F767CD">
              <w:rPr>
                <w:rFonts w:ascii="Calibri" w:hAnsi="Calibri"/>
                <w:szCs w:val="24"/>
                <w:lang w:val="es-ES"/>
              </w:rPr>
              <w:t>Resoluciones 1, 2, 5, 30, 33, 37, 50, 53, 59, 81, 82</w:t>
            </w:r>
            <w:bookmarkEnd w:id="6"/>
          </w:p>
        </w:tc>
      </w:tr>
      <w:tr w:rsidR="00E55103" w:rsidRPr="00F767CD" w:rsidTr="009009A1">
        <w:trPr>
          <w:trHeight w:val="397"/>
        </w:trPr>
        <w:tc>
          <w:tcPr>
            <w:tcW w:w="2830" w:type="dxa"/>
          </w:tcPr>
          <w:p w:rsidR="00E55103" w:rsidRPr="00F767CD" w:rsidRDefault="00E55103" w:rsidP="00483815">
            <w:pPr>
              <w:spacing w:before="60" w:after="60"/>
              <w:rPr>
                <w:rFonts w:ascii="Calibri" w:hAnsi="Calibri"/>
                <w:i/>
                <w:szCs w:val="24"/>
                <w:lang w:val="es-ES"/>
              </w:rPr>
            </w:pPr>
            <w:r w:rsidRPr="00F767CD">
              <w:rPr>
                <w:rFonts w:asciiTheme="minorHAnsi" w:eastAsiaTheme="minorHAnsi" w:hAnsiTheme="minorHAnsi" w:cstheme="minorBidi"/>
                <w:i/>
                <w:szCs w:val="24"/>
                <w:lang w:val="es-ES"/>
              </w:rPr>
              <w:t xml:space="preserve">Conferencia de </w:t>
            </w:r>
            <w:r w:rsidRPr="00F767CD">
              <w:rPr>
                <w:rFonts w:ascii="Calibri" w:hAnsi="Calibri"/>
                <w:i/>
                <w:iCs/>
                <w:szCs w:val="24"/>
                <w:lang w:val="es-ES"/>
              </w:rPr>
              <w:t>Plenipotenciarios</w:t>
            </w:r>
          </w:p>
        </w:tc>
        <w:tc>
          <w:tcPr>
            <w:tcW w:w="6810" w:type="dxa"/>
          </w:tcPr>
          <w:p w:rsidR="00E55103" w:rsidRPr="00F767CD" w:rsidRDefault="00212E9C" w:rsidP="00483815">
            <w:pPr>
              <w:spacing w:before="60" w:after="60"/>
              <w:rPr>
                <w:rFonts w:asciiTheme="minorHAnsi" w:eastAsiaTheme="minorHAnsi" w:hAnsiTheme="minorHAnsi" w:cstheme="minorBidi"/>
                <w:iCs/>
                <w:szCs w:val="24"/>
                <w:lang w:val="es-ES"/>
              </w:rPr>
            </w:pPr>
            <w:r w:rsidRPr="00F767CD">
              <w:rPr>
                <w:rFonts w:asciiTheme="minorHAnsi" w:eastAsiaTheme="minorHAnsi" w:hAnsiTheme="minorHAnsi" w:cstheme="minorBidi"/>
                <w:iCs/>
                <w:szCs w:val="24"/>
                <w:lang w:val="es-ES"/>
              </w:rPr>
              <w:t>Decisiones de la PP:</w:t>
            </w:r>
            <w:r w:rsidR="00E55103" w:rsidRPr="00F767CD">
              <w:rPr>
                <w:rFonts w:asciiTheme="minorHAnsi" w:eastAsiaTheme="minorHAnsi" w:hAnsiTheme="minorHAnsi" w:cstheme="minorBidi"/>
                <w:iCs/>
                <w:szCs w:val="24"/>
                <w:lang w:val="es-ES"/>
              </w:rPr>
              <w:t xml:space="preserve"> 5 y 13</w:t>
            </w:r>
          </w:p>
          <w:p w:rsidR="00E55103" w:rsidRPr="00F767CD" w:rsidRDefault="00E55103" w:rsidP="00483815">
            <w:pPr>
              <w:spacing w:before="60" w:after="60"/>
              <w:rPr>
                <w:rFonts w:ascii="Calibri" w:hAnsi="Calibri"/>
                <w:szCs w:val="24"/>
                <w:lang w:val="es-ES"/>
              </w:rPr>
            </w:pPr>
            <w:r w:rsidRPr="00F767CD">
              <w:rPr>
                <w:rFonts w:asciiTheme="minorHAnsi" w:eastAsiaTheme="minorHAnsi" w:hAnsiTheme="minorHAnsi" w:cstheme="minorBidi"/>
                <w:iCs/>
                <w:szCs w:val="24"/>
                <w:lang w:val="es-ES"/>
              </w:rPr>
              <w:t>Resoluciones</w:t>
            </w:r>
            <w:r w:rsidR="00212E9C" w:rsidRPr="00F767CD">
              <w:rPr>
                <w:rFonts w:asciiTheme="minorHAnsi" w:eastAsiaTheme="minorHAnsi" w:hAnsiTheme="minorHAnsi" w:cstheme="minorBidi"/>
                <w:iCs/>
                <w:szCs w:val="24"/>
                <w:lang w:val="es-ES"/>
              </w:rPr>
              <w:t xml:space="preserve"> de la PP:</w:t>
            </w:r>
            <w:r w:rsidRPr="00F767CD">
              <w:rPr>
                <w:rFonts w:asciiTheme="minorHAnsi" w:eastAsiaTheme="minorHAnsi" w:hAnsiTheme="minorHAnsi" w:cstheme="minorBidi"/>
                <w:iCs/>
                <w:szCs w:val="24"/>
                <w:lang w:val="es-ES"/>
              </w:rPr>
              <w:t xml:space="preserve"> 25, 71, 72, 77, 111, 131, 133, 135, 139, 140, 151, 154, 165, 167</w:t>
            </w:r>
            <w:r w:rsidRPr="00F767CD">
              <w:rPr>
                <w:rFonts w:asciiTheme="minorHAnsi" w:hAnsiTheme="minorHAnsi"/>
                <w:szCs w:val="24"/>
                <w:lang w:val="es-ES"/>
              </w:rPr>
              <w:t xml:space="preserve"> </w:t>
            </w:r>
          </w:p>
        </w:tc>
      </w:tr>
      <w:tr w:rsidR="00E55103" w:rsidRPr="00F767CD" w:rsidTr="009009A1">
        <w:tc>
          <w:tcPr>
            <w:tcW w:w="2830" w:type="dxa"/>
          </w:tcPr>
          <w:p w:rsidR="00E55103" w:rsidRPr="00F767CD" w:rsidRDefault="00E55103" w:rsidP="00483815">
            <w:pPr>
              <w:tabs>
                <w:tab w:val="clear" w:pos="794"/>
                <w:tab w:val="clear" w:pos="1191"/>
                <w:tab w:val="clear" w:pos="1588"/>
                <w:tab w:val="clear" w:pos="1985"/>
              </w:tabs>
              <w:overflowPunct/>
              <w:autoSpaceDE/>
              <w:autoSpaceDN/>
              <w:adjustRightInd/>
              <w:spacing w:before="60" w:after="60"/>
              <w:jc w:val="both"/>
              <w:textAlignment w:val="auto"/>
              <w:rPr>
                <w:rFonts w:ascii="Calibri" w:hAnsi="Calibri"/>
                <w:i/>
                <w:szCs w:val="24"/>
                <w:lang w:val="es-ES"/>
              </w:rPr>
            </w:pPr>
            <w:bookmarkStart w:id="7" w:name="lt_pId062"/>
            <w:r w:rsidRPr="00F767CD">
              <w:rPr>
                <w:rFonts w:asciiTheme="minorHAnsi" w:eastAsiaTheme="minorHAnsi" w:hAnsiTheme="minorHAnsi" w:cstheme="minorBidi"/>
                <w:i/>
                <w:szCs w:val="24"/>
                <w:lang w:val="es-ES"/>
              </w:rPr>
              <w:t>Consejo</w:t>
            </w:r>
            <w:bookmarkEnd w:id="7"/>
          </w:p>
        </w:tc>
        <w:tc>
          <w:tcPr>
            <w:tcW w:w="6810" w:type="dxa"/>
          </w:tcPr>
          <w:p w:rsidR="00E55103" w:rsidRPr="00F767CD" w:rsidRDefault="00E55103" w:rsidP="00483815">
            <w:pPr>
              <w:tabs>
                <w:tab w:val="clear" w:pos="794"/>
                <w:tab w:val="clear" w:pos="1191"/>
                <w:tab w:val="clear" w:pos="1588"/>
                <w:tab w:val="clear" w:pos="1985"/>
              </w:tabs>
              <w:overflowPunct/>
              <w:autoSpaceDE/>
              <w:autoSpaceDN/>
              <w:adjustRightInd/>
              <w:spacing w:before="60" w:after="60"/>
              <w:jc w:val="both"/>
              <w:textAlignment w:val="auto"/>
              <w:rPr>
                <w:rFonts w:ascii="Calibri" w:hAnsi="Calibri"/>
                <w:szCs w:val="24"/>
                <w:lang w:val="es-ES"/>
              </w:rPr>
            </w:pPr>
            <w:bookmarkStart w:id="8" w:name="lt_pId063"/>
            <w:r w:rsidRPr="00F767CD">
              <w:rPr>
                <w:rFonts w:asciiTheme="minorHAnsi" w:eastAsiaTheme="minorHAnsi" w:hAnsiTheme="minorHAnsi" w:cstheme="minorBidi"/>
                <w:iCs/>
                <w:szCs w:val="24"/>
                <w:lang w:val="es-ES"/>
              </w:rPr>
              <w:t>Resolución</w:t>
            </w:r>
            <w:r w:rsidRPr="00F767CD">
              <w:rPr>
                <w:rFonts w:ascii="Calibri" w:hAnsi="Calibri"/>
                <w:szCs w:val="24"/>
                <w:lang w:val="es-ES"/>
              </w:rPr>
              <w:t xml:space="preserve"> 1372</w:t>
            </w:r>
            <w:bookmarkEnd w:id="8"/>
          </w:p>
        </w:tc>
      </w:tr>
      <w:tr w:rsidR="00E55103" w:rsidRPr="004E44DD" w:rsidTr="009009A1">
        <w:tc>
          <w:tcPr>
            <w:tcW w:w="2830" w:type="dxa"/>
          </w:tcPr>
          <w:p w:rsidR="00E55103" w:rsidRPr="00F767CD" w:rsidRDefault="00E55103" w:rsidP="00483815">
            <w:pPr>
              <w:spacing w:before="60" w:after="60"/>
              <w:rPr>
                <w:rFonts w:ascii="Calibri" w:hAnsi="Calibri"/>
                <w:szCs w:val="24"/>
                <w:lang w:val="es-ES"/>
              </w:rPr>
            </w:pPr>
            <w:r w:rsidRPr="00F767CD">
              <w:rPr>
                <w:rFonts w:asciiTheme="minorHAnsi" w:hAnsiTheme="minorHAnsi"/>
                <w:i/>
                <w:iCs/>
                <w:szCs w:val="24"/>
                <w:lang w:val="es-ES"/>
              </w:rPr>
              <w:t>Línea de Acción de la CMSI</w:t>
            </w:r>
          </w:p>
        </w:tc>
        <w:tc>
          <w:tcPr>
            <w:tcW w:w="6810" w:type="dxa"/>
          </w:tcPr>
          <w:p w:rsidR="00E55103" w:rsidRPr="00F767CD" w:rsidRDefault="00E55103" w:rsidP="00483815">
            <w:pPr>
              <w:spacing w:before="60" w:after="60"/>
              <w:rPr>
                <w:rFonts w:ascii="Calibri" w:hAnsi="Calibri"/>
                <w:szCs w:val="24"/>
                <w:lang w:val="es-ES"/>
              </w:rPr>
            </w:pPr>
            <w:r w:rsidRPr="00F767CD">
              <w:rPr>
                <w:rFonts w:asciiTheme="minorHAnsi" w:eastAsiaTheme="minorHAnsi" w:hAnsiTheme="minorHAnsi" w:cstheme="minorBidi"/>
                <w:iCs/>
                <w:szCs w:val="24"/>
                <w:lang w:val="es-ES"/>
              </w:rPr>
              <w:t>Líneas</w:t>
            </w:r>
            <w:r w:rsidRPr="00F767CD">
              <w:rPr>
                <w:rFonts w:asciiTheme="minorHAnsi" w:hAnsiTheme="minorHAnsi"/>
                <w:szCs w:val="24"/>
                <w:lang w:val="es-ES"/>
              </w:rPr>
              <w:t xml:space="preserve"> de Acción de la CMSI C1 y C11</w:t>
            </w:r>
          </w:p>
        </w:tc>
      </w:tr>
      <w:tr w:rsidR="00E55103" w:rsidRPr="004E44DD" w:rsidTr="009009A1">
        <w:tc>
          <w:tcPr>
            <w:tcW w:w="2830" w:type="dxa"/>
          </w:tcPr>
          <w:p w:rsidR="00E55103" w:rsidRPr="00F767CD" w:rsidRDefault="00E55103" w:rsidP="00483815">
            <w:pPr>
              <w:spacing w:before="60" w:after="60"/>
              <w:rPr>
                <w:rFonts w:ascii="Calibri" w:hAnsi="Calibri"/>
                <w:szCs w:val="24"/>
                <w:lang w:val="es-ES"/>
              </w:rPr>
            </w:pPr>
            <w:r w:rsidRPr="00F767CD">
              <w:rPr>
                <w:rFonts w:asciiTheme="minorHAnsi" w:hAnsiTheme="minorHAnsi"/>
                <w:i/>
                <w:iCs/>
                <w:szCs w:val="24"/>
                <w:lang w:val="es-ES"/>
              </w:rPr>
              <w:t xml:space="preserve">Contribución a las </w:t>
            </w:r>
            <w:r w:rsidRPr="00F767CD">
              <w:rPr>
                <w:rFonts w:asciiTheme="minorHAnsi" w:eastAsiaTheme="minorHAnsi" w:hAnsiTheme="minorHAnsi" w:cstheme="minorBidi"/>
                <w:iCs/>
                <w:szCs w:val="24"/>
                <w:lang w:val="es-ES"/>
              </w:rPr>
              <w:t>metas</w:t>
            </w:r>
            <w:r w:rsidRPr="00F767CD">
              <w:rPr>
                <w:rFonts w:asciiTheme="minorHAnsi" w:hAnsiTheme="minorHAnsi"/>
                <w:i/>
                <w:iCs/>
                <w:szCs w:val="24"/>
                <w:lang w:val="es-ES"/>
              </w:rPr>
              <w:t xml:space="preserve"> de los ODS</w:t>
            </w:r>
          </w:p>
        </w:tc>
        <w:tc>
          <w:tcPr>
            <w:tcW w:w="6810" w:type="dxa"/>
          </w:tcPr>
          <w:p w:rsidR="00E55103" w:rsidRPr="00F767CD" w:rsidRDefault="00E55103" w:rsidP="00483815">
            <w:pPr>
              <w:spacing w:before="60" w:after="60"/>
              <w:rPr>
                <w:rFonts w:asciiTheme="minorHAnsi" w:hAnsiTheme="minorHAnsi"/>
                <w:szCs w:val="24"/>
                <w:lang w:val="es-ES"/>
              </w:rPr>
            </w:pPr>
            <w:r w:rsidRPr="00F767CD">
              <w:rPr>
                <w:rFonts w:asciiTheme="minorHAnsi" w:eastAsiaTheme="minorHAnsi" w:hAnsiTheme="minorHAnsi" w:cstheme="minorBidi"/>
                <w:iCs/>
                <w:szCs w:val="24"/>
                <w:lang w:val="es-ES"/>
              </w:rPr>
              <w:t>ODS</w:t>
            </w:r>
            <w:r w:rsidRPr="00F767CD">
              <w:rPr>
                <w:rFonts w:asciiTheme="minorHAnsi" w:hAnsiTheme="minorHAnsi"/>
                <w:szCs w:val="24"/>
                <w:lang w:val="es-ES"/>
              </w:rPr>
              <w:t>: 1, 3 (meta 3.d), 5, 10, 16 (metas 16.5, 16.6, 16.8), 17 (metas 17.9, 17.16, 17.17, 17.18, 17.19)</w:t>
            </w:r>
          </w:p>
        </w:tc>
      </w:tr>
    </w:tbl>
    <w:p w:rsidR="00E55103" w:rsidRPr="00F767CD" w:rsidRDefault="00E55103" w:rsidP="00483815">
      <w:pPr>
        <w:pStyle w:val="Heading2"/>
        <w:spacing w:after="120"/>
        <w:rPr>
          <w:lang w:val="es-ES"/>
        </w:rPr>
      </w:pPr>
      <w:r w:rsidRPr="00F767CD">
        <w:rPr>
          <w:lang w:val="es-ES"/>
        </w:rPr>
        <w:t>1.2</w:t>
      </w:r>
      <w:r w:rsidRPr="00F767CD">
        <w:rPr>
          <w:lang w:val="es-ES"/>
        </w:rPr>
        <w:tab/>
        <w:t>Reuniones Preparatorias Regionales (RPR)</w:t>
      </w:r>
    </w:p>
    <w:tbl>
      <w:tblPr>
        <w:tblStyle w:val="TableGrid"/>
        <w:tblW w:w="0" w:type="auto"/>
        <w:tblLook w:val="04A0" w:firstRow="1" w:lastRow="0" w:firstColumn="1" w:lastColumn="0" w:noHBand="0" w:noVBand="1"/>
      </w:tblPr>
      <w:tblGrid>
        <w:gridCol w:w="2830"/>
        <w:gridCol w:w="6798"/>
      </w:tblGrid>
      <w:tr w:rsidR="00E55103" w:rsidRPr="004E44DD" w:rsidTr="009009A1">
        <w:tc>
          <w:tcPr>
            <w:tcW w:w="9628" w:type="dxa"/>
            <w:gridSpan w:val="2"/>
          </w:tcPr>
          <w:p w:rsidR="00E55103" w:rsidRPr="00F767CD" w:rsidRDefault="00D02E0A" w:rsidP="00483815">
            <w:pPr>
              <w:spacing w:after="120"/>
              <w:rPr>
                <w:rFonts w:asciiTheme="minorHAnsi" w:hAnsiTheme="minorHAnsi" w:cstheme="minorHAnsi"/>
                <w:lang w:val="es-ES"/>
              </w:rPr>
            </w:pPr>
            <w:r w:rsidRPr="00F767CD">
              <w:rPr>
                <w:rFonts w:asciiTheme="minorHAnsi" w:hAnsiTheme="minorHAnsi" w:cstheme="minorHAnsi"/>
                <w:lang w:val="es-ES"/>
              </w:rPr>
              <w:t xml:space="preserve">Las próximas Reuniones Preparatorias Regionales (RPR) se celebrarán en </w:t>
            </w:r>
            <w:r w:rsidR="00E55103" w:rsidRPr="00F767CD">
              <w:rPr>
                <w:rFonts w:asciiTheme="minorHAnsi" w:hAnsiTheme="minorHAnsi" w:cstheme="minorHAnsi"/>
                <w:lang w:val="es-ES"/>
              </w:rPr>
              <w:t xml:space="preserve">2020 </w:t>
            </w:r>
            <w:r w:rsidRPr="00F767CD">
              <w:rPr>
                <w:rFonts w:asciiTheme="minorHAnsi" w:hAnsiTheme="minorHAnsi" w:cstheme="minorHAnsi"/>
                <w:lang w:val="es-ES"/>
              </w:rPr>
              <w:t>y</w:t>
            </w:r>
            <w:r w:rsidR="00E55103" w:rsidRPr="00F767CD">
              <w:rPr>
                <w:rFonts w:asciiTheme="minorHAnsi" w:hAnsiTheme="minorHAnsi" w:cstheme="minorHAnsi"/>
                <w:lang w:val="es-ES"/>
              </w:rPr>
              <w:t xml:space="preserve"> 2021.</w:t>
            </w:r>
          </w:p>
          <w:p w:rsidR="00D02E0A" w:rsidRPr="00F767CD" w:rsidRDefault="00D02E0A" w:rsidP="00483815">
            <w:pPr>
              <w:spacing w:after="120"/>
              <w:rPr>
                <w:rFonts w:asciiTheme="minorHAnsi" w:hAnsiTheme="minorHAnsi" w:cstheme="minorHAnsi"/>
                <w:lang w:val="es-ES"/>
              </w:rPr>
            </w:pPr>
            <w:r w:rsidRPr="00F767CD">
              <w:rPr>
                <w:rFonts w:asciiTheme="minorHAnsi" w:hAnsiTheme="minorHAnsi" w:cstheme="minorHAnsi"/>
                <w:lang w:val="es-ES"/>
              </w:rPr>
              <w:t xml:space="preserve">Con el fin de facilitar la </w:t>
            </w:r>
            <w:r w:rsidR="00212E9C" w:rsidRPr="00F767CD">
              <w:rPr>
                <w:rFonts w:asciiTheme="minorHAnsi" w:hAnsiTheme="minorHAnsi" w:cstheme="minorHAnsi"/>
                <w:lang w:val="es-ES"/>
              </w:rPr>
              <w:t xml:space="preserve">implementación de las iniciativas </w:t>
            </w:r>
            <w:r w:rsidR="00F767CD" w:rsidRPr="00F767CD">
              <w:rPr>
                <w:rFonts w:asciiTheme="minorHAnsi" w:hAnsiTheme="minorHAnsi" w:cstheme="minorHAnsi"/>
                <w:lang w:val="es-ES"/>
              </w:rPr>
              <w:t>regionales</w:t>
            </w:r>
            <w:r w:rsidR="00212E9C" w:rsidRPr="00F767CD">
              <w:rPr>
                <w:rFonts w:asciiTheme="minorHAnsi" w:hAnsiTheme="minorHAnsi" w:cstheme="minorHAnsi"/>
                <w:lang w:val="es-ES"/>
              </w:rPr>
              <w:t xml:space="preserve">, se celebraron los siguientes Foros Regionales de Desarrollo en 2018: </w:t>
            </w:r>
          </w:p>
          <w:p w:rsidR="00E55103" w:rsidRPr="00F767CD" w:rsidRDefault="00E55103" w:rsidP="00483815">
            <w:pPr>
              <w:pStyle w:val="enumlev1"/>
              <w:rPr>
                <w:rFonts w:asciiTheme="minorHAnsi" w:hAnsiTheme="minorHAnsi" w:cstheme="minorHAnsi"/>
                <w:lang w:val="es-ES"/>
              </w:rPr>
            </w:pPr>
            <w:r w:rsidRPr="00F767CD">
              <w:rPr>
                <w:rFonts w:asciiTheme="minorHAnsi" w:hAnsiTheme="minorHAnsi" w:cstheme="minorHAnsi"/>
                <w:lang w:val="es-ES"/>
              </w:rPr>
              <w:t>–</w:t>
            </w:r>
            <w:r w:rsidRPr="00F767CD">
              <w:rPr>
                <w:rFonts w:asciiTheme="minorHAnsi" w:hAnsiTheme="minorHAnsi" w:cstheme="minorHAnsi"/>
                <w:lang w:val="es-ES"/>
              </w:rPr>
              <w:tab/>
            </w:r>
            <w:r w:rsidR="00D33447" w:rsidRPr="00F767CD">
              <w:rPr>
                <w:rFonts w:asciiTheme="minorHAnsi" w:hAnsiTheme="minorHAnsi" w:cstheme="minorHAnsi"/>
                <w:lang w:val="es-ES"/>
              </w:rPr>
              <w:t>Foro Regional de D</w:t>
            </w:r>
            <w:r w:rsidR="00212E9C" w:rsidRPr="00F767CD">
              <w:rPr>
                <w:rFonts w:asciiTheme="minorHAnsi" w:hAnsiTheme="minorHAnsi" w:cstheme="minorHAnsi"/>
                <w:lang w:val="es-ES"/>
              </w:rPr>
              <w:t xml:space="preserve">esarrollo de la UIT para </w:t>
            </w:r>
            <w:r w:rsidR="00F767CD" w:rsidRPr="00F767CD">
              <w:rPr>
                <w:rFonts w:asciiTheme="minorHAnsi" w:hAnsiTheme="minorHAnsi" w:cstheme="minorHAnsi"/>
                <w:lang w:val="es-ES"/>
              </w:rPr>
              <w:t>África en</w:t>
            </w:r>
            <w:r w:rsidR="00EF1945">
              <w:rPr>
                <w:rFonts w:asciiTheme="minorHAnsi" w:hAnsiTheme="minorHAnsi" w:cstheme="minorHAnsi"/>
                <w:lang w:val="es-ES"/>
              </w:rPr>
              <w:t xml:space="preserve"> Ac</w:t>
            </w:r>
            <w:r w:rsidR="00D33447" w:rsidRPr="00F767CD">
              <w:rPr>
                <w:rFonts w:asciiTheme="minorHAnsi" w:hAnsiTheme="minorHAnsi" w:cstheme="minorHAnsi"/>
                <w:lang w:val="es-ES"/>
              </w:rPr>
              <w:t>ra</w:t>
            </w:r>
            <w:r w:rsidR="00212E9C" w:rsidRPr="00F767CD">
              <w:rPr>
                <w:rFonts w:asciiTheme="minorHAnsi" w:hAnsiTheme="minorHAnsi" w:cstheme="minorHAnsi"/>
                <w:lang w:val="es-ES"/>
              </w:rPr>
              <w:t xml:space="preserve"> (</w:t>
            </w:r>
            <w:r w:rsidR="00D33447" w:rsidRPr="00F767CD">
              <w:rPr>
                <w:rFonts w:asciiTheme="minorHAnsi" w:hAnsiTheme="minorHAnsi" w:cstheme="minorHAnsi"/>
                <w:lang w:val="es-ES"/>
              </w:rPr>
              <w:t>Ghana</w:t>
            </w:r>
            <w:r w:rsidR="00212E9C" w:rsidRPr="00F767CD">
              <w:rPr>
                <w:rFonts w:asciiTheme="minorHAnsi" w:hAnsiTheme="minorHAnsi" w:cstheme="minorHAnsi"/>
                <w:lang w:val="es-ES"/>
              </w:rPr>
              <w:t>), los días 19 y 20 de julio de 2018</w:t>
            </w:r>
            <w:r w:rsidR="00D33447" w:rsidRPr="00F767CD">
              <w:rPr>
                <w:rFonts w:asciiTheme="minorHAnsi" w:hAnsiTheme="minorHAnsi" w:cstheme="minorHAnsi"/>
                <w:lang w:val="es-ES"/>
              </w:rPr>
              <w:t>.</w:t>
            </w:r>
          </w:p>
          <w:p w:rsidR="00212E9C" w:rsidRPr="00F767CD" w:rsidRDefault="00D33447" w:rsidP="00483815">
            <w:pPr>
              <w:pStyle w:val="enumlev1"/>
              <w:rPr>
                <w:rFonts w:asciiTheme="minorHAnsi" w:hAnsiTheme="minorHAnsi" w:cstheme="minorHAnsi"/>
                <w:lang w:val="es-ES"/>
              </w:rPr>
            </w:pPr>
            <w:r w:rsidRPr="00F767CD">
              <w:rPr>
                <w:rFonts w:asciiTheme="minorHAnsi" w:hAnsiTheme="minorHAnsi" w:cstheme="minorHAnsi"/>
                <w:lang w:val="es-ES"/>
              </w:rPr>
              <w:lastRenderedPageBreak/>
              <w:t>–</w:t>
            </w:r>
            <w:r w:rsidRPr="00F767CD">
              <w:rPr>
                <w:rFonts w:asciiTheme="minorHAnsi" w:hAnsiTheme="minorHAnsi" w:cstheme="minorHAnsi"/>
                <w:lang w:val="es-ES"/>
              </w:rPr>
              <w:tab/>
            </w:r>
            <w:r w:rsidR="00212E9C" w:rsidRPr="00F767CD">
              <w:rPr>
                <w:rFonts w:asciiTheme="minorHAnsi" w:hAnsiTheme="minorHAnsi" w:cstheme="minorHAnsi"/>
                <w:lang w:val="es-ES"/>
              </w:rPr>
              <w:t>Foro Regional de Desarrollo de la UIT para los Estados Árabes en Argel (Argelia)</w:t>
            </w:r>
            <w:r w:rsidR="004A0A4B">
              <w:rPr>
                <w:rFonts w:asciiTheme="minorHAnsi" w:hAnsiTheme="minorHAnsi" w:cstheme="minorHAnsi"/>
                <w:lang w:val="es-ES"/>
              </w:rPr>
              <w:t>,</w:t>
            </w:r>
            <w:r w:rsidR="00212E9C" w:rsidRPr="00F767CD">
              <w:rPr>
                <w:rFonts w:asciiTheme="minorHAnsi" w:hAnsiTheme="minorHAnsi" w:cstheme="minorHAnsi"/>
                <w:lang w:val="es-ES"/>
              </w:rPr>
              <w:t xml:space="preserve"> los días 12 y 13 de febrero de 2018.</w:t>
            </w:r>
          </w:p>
          <w:p w:rsidR="00D33447" w:rsidRPr="00F767CD" w:rsidRDefault="00212E9C" w:rsidP="00483815">
            <w:pPr>
              <w:pStyle w:val="enumlev1"/>
              <w:rPr>
                <w:rFonts w:asciiTheme="minorHAnsi" w:hAnsiTheme="minorHAnsi" w:cstheme="minorHAnsi"/>
                <w:lang w:val="es-ES"/>
              </w:rPr>
            </w:pPr>
            <w:r w:rsidRPr="00F767CD">
              <w:rPr>
                <w:rFonts w:asciiTheme="minorHAnsi" w:hAnsiTheme="minorHAnsi" w:cstheme="minorHAnsi"/>
                <w:lang w:val="es-ES"/>
              </w:rPr>
              <w:t>–</w:t>
            </w:r>
            <w:r w:rsidRPr="00F767CD">
              <w:rPr>
                <w:rFonts w:asciiTheme="minorHAnsi" w:hAnsiTheme="minorHAnsi" w:cstheme="minorHAnsi"/>
                <w:lang w:val="es-ES"/>
              </w:rPr>
              <w:tab/>
            </w:r>
            <w:r w:rsidR="00D33447" w:rsidRPr="00F767CD">
              <w:rPr>
                <w:rFonts w:asciiTheme="minorHAnsi" w:hAnsiTheme="minorHAnsi" w:cstheme="minorHAnsi"/>
                <w:lang w:val="es-ES"/>
              </w:rPr>
              <w:t>Foro Region</w:t>
            </w:r>
            <w:r w:rsidRPr="00F767CD">
              <w:rPr>
                <w:rFonts w:asciiTheme="minorHAnsi" w:hAnsiTheme="minorHAnsi" w:cstheme="minorHAnsi"/>
                <w:lang w:val="es-ES"/>
              </w:rPr>
              <w:t>al de Desarrollo de la UIT para</w:t>
            </w:r>
            <w:r w:rsidR="00D33447" w:rsidRPr="00F767CD">
              <w:rPr>
                <w:rFonts w:asciiTheme="minorHAnsi" w:hAnsiTheme="minorHAnsi" w:cstheme="minorHAnsi"/>
                <w:lang w:val="es-ES"/>
              </w:rPr>
              <w:t xml:space="preserve"> la Región de las Américas</w:t>
            </w:r>
            <w:r w:rsidRPr="00F767CD">
              <w:rPr>
                <w:rFonts w:asciiTheme="minorHAnsi" w:hAnsiTheme="minorHAnsi" w:cstheme="minorHAnsi"/>
                <w:lang w:val="es-ES"/>
              </w:rPr>
              <w:t xml:space="preserve"> en Lima (Perú)</w:t>
            </w:r>
            <w:r w:rsidR="004A0A4B">
              <w:rPr>
                <w:rFonts w:asciiTheme="minorHAnsi" w:hAnsiTheme="minorHAnsi" w:cstheme="minorHAnsi"/>
                <w:lang w:val="es-ES"/>
              </w:rPr>
              <w:t>,</w:t>
            </w:r>
            <w:r w:rsidR="00D33447" w:rsidRPr="00F767CD">
              <w:rPr>
                <w:rFonts w:asciiTheme="minorHAnsi" w:hAnsiTheme="minorHAnsi" w:cstheme="minorHAnsi"/>
                <w:lang w:val="es-ES"/>
              </w:rPr>
              <w:t xml:space="preserve"> el 25 de mayo de 2018.</w:t>
            </w:r>
          </w:p>
          <w:p w:rsidR="00D33447" w:rsidRPr="00F767CD" w:rsidRDefault="00D33447" w:rsidP="00483815">
            <w:pPr>
              <w:pStyle w:val="enumlev1"/>
              <w:rPr>
                <w:rFonts w:asciiTheme="minorHAnsi" w:hAnsiTheme="minorHAnsi" w:cstheme="minorHAnsi"/>
                <w:lang w:val="es-ES"/>
              </w:rPr>
            </w:pPr>
            <w:r w:rsidRPr="00F767CD">
              <w:rPr>
                <w:rFonts w:asciiTheme="minorHAnsi" w:hAnsiTheme="minorHAnsi" w:cstheme="minorHAnsi"/>
                <w:lang w:val="es-ES"/>
              </w:rPr>
              <w:t>–</w:t>
            </w:r>
            <w:r w:rsidRPr="00F767CD">
              <w:rPr>
                <w:rFonts w:asciiTheme="minorHAnsi" w:hAnsiTheme="minorHAnsi" w:cstheme="minorHAnsi"/>
                <w:lang w:val="es-ES"/>
              </w:rPr>
              <w:tab/>
            </w:r>
            <w:r w:rsidR="00212E9C" w:rsidRPr="00F767CD">
              <w:rPr>
                <w:rFonts w:asciiTheme="minorHAnsi" w:hAnsiTheme="minorHAnsi" w:cstheme="minorHAnsi"/>
                <w:lang w:val="es-ES"/>
              </w:rPr>
              <w:t xml:space="preserve">Foro Regional de Desarrollo de la UIT </w:t>
            </w:r>
            <w:r w:rsidRPr="00F767CD">
              <w:rPr>
                <w:rFonts w:asciiTheme="minorHAnsi" w:hAnsiTheme="minorHAnsi" w:cstheme="minorHAnsi"/>
                <w:lang w:val="es-ES"/>
              </w:rPr>
              <w:t xml:space="preserve">para la </w:t>
            </w:r>
            <w:r w:rsidR="00212E9C" w:rsidRPr="00F767CD">
              <w:rPr>
                <w:rFonts w:asciiTheme="minorHAnsi" w:hAnsiTheme="minorHAnsi" w:cstheme="minorHAnsi"/>
                <w:lang w:val="es-ES"/>
              </w:rPr>
              <w:t>R</w:t>
            </w:r>
            <w:r w:rsidRPr="00F767CD">
              <w:rPr>
                <w:rFonts w:asciiTheme="minorHAnsi" w:hAnsiTheme="minorHAnsi" w:cstheme="minorHAnsi"/>
                <w:lang w:val="es-ES"/>
              </w:rPr>
              <w:t xml:space="preserve">egión de Asia y el Pacífico </w:t>
            </w:r>
            <w:r w:rsidR="00212E9C" w:rsidRPr="00F767CD">
              <w:rPr>
                <w:rFonts w:asciiTheme="minorHAnsi" w:hAnsiTheme="minorHAnsi" w:cstheme="minorHAnsi"/>
                <w:lang w:val="es-ES"/>
              </w:rPr>
              <w:t xml:space="preserve">en Bangkok (Tailandia), </w:t>
            </w:r>
            <w:r w:rsidRPr="00F767CD">
              <w:rPr>
                <w:rFonts w:asciiTheme="minorHAnsi" w:hAnsiTheme="minorHAnsi" w:cstheme="minorHAnsi"/>
                <w:lang w:val="es-ES"/>
              </w:rPr>
              <w:t>los días 21 y 22 de mayo de 2018.</w:t>
            </w:r>
          </w:p>
          <w:p w:rsidR="00D33447" w:rsidRPr="00F767CD" w:rsidRDefault="00D33447" w:rsidP="00483815">
            <w:pPr>
              <w:pStyle w:val="enumlev1"/>
              <w:rPr>
                <w:rFonts w:asciiTheme="minorHAnsi" w:hAnsiTheme="minorHAnsi" w:cstheme="minorHAnsi"/>
                <w:lang w:val="es-ES"/>
              </w:rPr>
            </w:pPr>
            <w:r w:rsidRPr="00F767CD">
              <w:rPr>
                <w:rFonts w:asciiTheme="minorHAnsi" w:hAnsiTheme="minorHAnsi" w:cstheme="minorHAnsi"/>
                <w:lang w:val="es-ES"/>
              </w:rPr>
              <w:t>–</w:t>
            </w:r>
            <w:r w:rsidRPr="00F767CD">
              <w:rPr>
                <w:rFonts w:asciiTheme="minorHAnsi" w:hAnsiTheme="minorHAnsi" w:cstheme="minorHAnsi"/>
                <w:lang w:val="es-ES"/>
              </w:rPr>
              <w:tab/>
            </w:r>
            <w:r w:rsidR="00212E9C" w:rsidRPr="00F767CD">
              <w:rPr>
                <w:rFonts w:asciiTheme="minorHAnsi" w:hAnsiTheme="minorHAnsi" w:cstheme="minorHAnsi"/>
                <w:lang w:val="es-ES"/>
              </w:rPr>
              <w:t xml:space="preserve">Foro Regional de Desarrollo de la UIT </w:t>
            </w:r>
            <w:r w:rsidRPr="00F767CD">
              <w:rPr>
                <w:rFonts w:asciiTheme="minorHAnsi" w:hAnsiTheme="minorHAnsi" w:cstheme="minorHAnsi"/>
                <w:lang w:val="es-ES"/>
              </w:rPr>
              <w:t xml:space="preserve">para </w:t>
            </w:r>
            <w:r w:rsidR="00212E9C" w:rsidRPr="00F767CD">
              <w:rPr>
                <w:rFonts w:asciiTheme="minorHAnsi" w:hAnsiTheme="minorHAnsi" w:cstheme="minorHAnsi"/>
                <w:lang w:val="es-ES"/>
              </w:rPr>
              <w:t xml:space="preserve">Europa en Praga (República Checa), </w:t>
            </w:r>
            <w:r w:rsidRPr="00F767CD">
              <w:rPr>
                <w:rFonts w:asciiTheme="minorHAnsi" w:hAnsiTheme="minorHAnsi" w:cstheme="minorHAnsi"/>
                <w:lang w:val="es-ES"/>
              </w:rPr>
              <w:t>el 11 de junio de 2018</w:t>
            </w:r>
            <w:r w:rsidR="00212E9C" w:rsidRPr="00F767CD">
              <w:rPr>
                <w:rFonts w:asciiTheme="minorHAnsi" w:hAnsiTheme="minorHAnsi" w:cstheme="minorHAnsi"/>
                <w:lang w:val="es-ES"/>
              </w:rPr>
              <w:t>.</w:t>
            </w:r>
          </w:p>
        </w:tc>
      </w:tr>
      <w:tr w:rsidR="00E55103" w:rsidRPr="00F767CD" w:rsidTr="009009A1">
        <w:tc>
          <w:tcPr>
            <w:tcW w:w="2830" w:type="dxa"/>
          </w:tcPr>
          <w:p w:rsidR="00E55103" w:rsidRPr="00F767CD" w:rsidRDefault="00E55103" w:rsidP="00483815">
            <w:pPr>
              <w:tabs>
                <w:tab w:val="clear" w:pos="794"/>
                <w:tab w:val="clear" w:pos="1191"/>
                <w:tab w:val="clear" w:pos="1588"/>
                <w:tab w:val="clear" w:pos="1985"/>
              </w:tabs>
              <w:overflowPunct/>
              <w:autoSpaceDE/>
              <w:autoSpaceDN/>
              <w:adjustRightInd/>
              <w:spacing w:before="60" w:after="60"/>
              <w:textAlignment w:val="auto"/>
              <w:rPr>
                <w:rFonts w:ascii="Calibri" w:eastAsiaTheme="minorHAnsi" w:hAnsi="Calibri" w:cstheme="minorBidi"/>
                <w:i/>
                <w:szCs w:val="24"/>
                <w:lang w:val="es-ES"/>
              </w:rPr>
            </w:pPr>
            <w:r w:rsidRPr="00F767CD">
              <w:rPr>
                <w:rFonts w:ascii="Calibri" w:eastAsiaTheme="minorHAnsi" w:hAnsi="Calibri" w:cstheme="minorBidi"/>
                <w:i/>
                <w:szCs w:val="24"/>
                <w:lang w:val="es-ES"/>
              </w:rPr>
              <w:lastRenderedPageBreak/>
              <w:t>CMDT</w:t>
            </w:r>
          </w:p>
        </w:tc>
        <w:tc>
          <w:tcPr>
            <w:tcW w:w="6798" w:type="dxa"/>
          </w:tcPr>
          <w:p w:rsidR="00E55103" w:rsidRPr="00F767CD" w:rsidRDefault="00E55103" w:rsidP="00483815">
            <w:pPr>
              <w:spacing w:before="60" w:after="60"/>
              <w:rPr>
                <w:rFonts w:ascii="Calibri" w:eastAsiaTheme="minorHAnsi" w:hAnsi="Calibri" w:cstheme="minorBidi"/>
                <w:iCs/>
                <w:szCs w:val="24"/>
                <w:lang w:val="es-ES"/>
              </w:rPr>
            </w:pPr>
            <w:bookmarkStart w:id="9" w:name="lt_pId087"/>
            <w:r w:rsidRPr="00F767CD">
              <w:rPr>
                <w:rFonts w:asciiTheme="minorHAnsi" w:eastAsiaTheme="minorHAnsi" w:hAnsiTheme="minorHAnsi" w:cstheme="minorBidi"/>
                <w:iCs/>
                <w:szCs w:val="24"/>
                <w:lang w:val="es-ES"/>
              </w:rPr>
              <w:t>Resoluciones</w:t>
            </w:r>
            <w:r w:rsidRPr="00F767CD">
              <w:rPr>
                <w:rFonts w:ascii="Calibri" w:eastAsiaTheme="minorHAnsi" w:hAnsi="Calibri" w:cstheme="minorBidi"/>
                <w:iCs/>
                <w:szCs w:val="24"/>
                <w:lang w:val="es-ES"/>
              </w:rPr>
              <w:t xml:space="preserve"> 1, 5, 17, 25, 30, 31, 33, 37, 48, 50, 59, 61, 81</w:t>
            </w:r>
            <w:bookmarkEnd w:id="9"/>
          </w:p>
        </w:tc>
      </w:tr>
      <w:tr w:rsidR="00E55103" w:rsidRPr="004E44DD" w:rsidTr="009009A1">
        <w:tc>
          <w:tcPr>
            <w:tcW w:w="2830" w:type="dxa"/>
          </w:tcPr>
          <w:p w:rsidR="00E55103" w:rsidRPr="00F767CD" w:rsidRDefault="00E55103" w:rsidP="00483815">
            <w:pPr>
              <w:tabs>
                <w:tab w:val="clear" w:pos="794"/>
                <w:tab w:val="clear" w:pos="1191"/>
                <w:tab w:val="clear" w:pos="1588"/>
                <w:tab w:val="clear" w:pos="1985"/>
              </w:tabs>
              <w:overflowPunct/>
              <w:autoSpaceDE/>
              <w:autoSpaceDN/>
              <w:adjustRightInd/>
              <w:spacing w:before="60" w:after="60"/>
              <w:textAlignment w:val="auto"/>
              <w:rPr>
                <w:rFonts w:ascii="Calibri" w:eastAsiaTheme="minorHAnsi" w:hAnsi="Calibri" w:cstheme="minorBidi"/>
                <w:i/>
                <w:szCs w:val="24"/>
                <w:lang w:val="es-ES"/>
              </w:rPr>
            </w:pPr>
            <w:r w:rsidRPr="00F767CD">
              <w:rPr>
                <w:rFonts w:ascii="Calibri" w:eastAsiaTheme="minorHAnsi" w:hAnsi="Calibri" w:cstheme="minorBidi"/>
                <w:i/>
                <w:szCs w:val="24"/>
                <w:lang w:val="es-ES"/>
              </w:rPr>
              <w:t>Conferencia de Plenipotenciarios</w:t>
            </w:r>
          </w:p>
        </w:tc>
        <w:tc>
          <w:tcPr>
            <w:tcW w:w="6798" w:type="dxa"/>
          </w:tcPr>
          <w:p w:rsidR="00E55103" w:rsidRPr="00F767CD" w:rsidRDefault="00E55103" w:rsidP="00483815">
            <w:pPr>
              <w:spacing w:before="60" w:after="60"/>
              <w:rPr>
                <w:rFonts w:asciiTheme="minorHAnsi" w:hAnsiTheme="minorHAnsi"/>
                <w:szCs w:val="24"/>
                <w:lang w:val="es-ES"/>
              </w:rPr>
            </w:pPr>
            <w:bookmarkStart w:id="10" w:name="lt_pId089"/>
            <w:r w:rsidRPr="00F767CD">
              <w:rPr>
                <w:rFonts w:asciiTheme="minorHAnsi" w:eastAsiaTheme="minorHAnsi" w:hAnsiTheme="minorHAnsi" w:cstheme="minorBidi"/>
                <w:iCs/>
                <w:szCs w:val="24"/>
                <w:lang w:val="es-ES"/>
              </w:rPr>
              <w:t>Decisiones</w:t>
            </w:r>
            <w:r w:rsidRPr="00F767CD">
              <w:rPr>
                <w:rFonts w:asciiTheme="minorHAnsi" w:hAnsiTheme="minorHAnsi"/>
                <w:szCs w:val="24"/>
                <w:lang w:val="es-ES"/>
              </w:rPr>
              <w:t xml:space="preserve"> de la PP: 5 y 13</w:t>
            </w:r>
            <w:r w:rsidRPr="00F767CD">
              <w:rPr>
                <w:rFonts w:asciiTheme="minorHAnsi" w:hAnsiTheme="minorHAnsi"/>
                <w:szCs w:val="24"/>
                <w:lang w:val="es-ES"/>
              </w:rPr>
              <w:br/>
            </w:r>
            <w:r w:rsidRPr="00F767CD">
              <w:rPr>
                <w:rFonts w:asciiTheme="minorHAnsi" w:eastAsiaTheme="minorHAnsi" w:hAnsiTheme="minorHAnsi" w:cstheme="minorBidi"/>
                <w:iCs/>
                <w:szCs w:val="24"/>
                <w:lang w:val="es-ES"/>
              </w:rPr>
              <w:t>Resoluciones</w:t>
            </w:r>
            <w:r w:rsidRPr="00F767CD">
              <w:rPr>
                <w:rFonts w:asciiTheme="minorHAnsi" w:hAnsiTheme="minorHAnsi"/>
                <w:szCs w:val="24"/>
                <w:lang w:val="es-ES"/>
              </w:rPr>
              <w:t xml:space="preserve"> de la PP: 25, 71, 111, 135, 140, 165, 167</w:t>
            </w:r>
            <w:bookmarkEnd w:id="10"/>
          </w:p>
        </w:tc>
      </w:tr>
      <w:tr w:rsidR="00E55103" w:rsidRPr="004E44DD" w:rsidTr="009009A1">
        <w:tc>
          <w:tcPr>
            <w:tcW w:w="2830" w:type="dxa"/>
          </w:tcPr>
          <w:p w:rsidR="00E55103" w:rsidRPr="00F767CD" w:rsidRDefault="00E55103" w:rsidP="00483815">
            <w:pPr>
              <w:tabs>
                <w:tab w:val="clear" w:pos="794"/>
                <w:tab w:val="clear" w:pos="1191"/>
                <w:tab w:val="clear" w:pos="1588"/>
                <w:tab w:val="clear" w:pos="1985"/>
              </w:tabs>
              <w:overflowPunct/>
              <w:autoSpaceDE/>
              <w:autoSpaceDN/>
              <w:adjustRightInd/>
              <w:spacing w:before="60" w:after="60"/>
              <w:textAlignment w:val="auto"/>
              <w:rPr>
                <w:rFonts w:ascii="Calibri" w:eastAsiaTheme="minorHAnsi" w:hAnsi="Calibri" w:cstheme="minorBidi"/>
                <w:i/>
                <w:szCs w:val="24"/>
                <w:lang w:val="es-ES"/>
              </w:rPr>
            </w:pPr>
            <w:r w:rsidRPr="00F767CD">
              <w:rPr>
                <w:rFonts w:asciiTheme="minorHAnsi" w:hAnsiTheme="minorHAnsi"/>
                <w:i/>
                <w:iCs/>
                <w:szCs w:val="24"/>
                <w:lang w:val="es-ES"/>
              </w:rPr>
              <w:t xml:space="preserve">Línea de </w:t>
            </w:r>
            <w:r w:rsidRPr="00F767CD">
              <w:rPr>
                <w:rFonts w:ascii="Calibri" w:eastAsiaTheme="minorHAnsi" w:hAnsi="Calibri" w:cstheme="minorBidi"/>
                <w:i/>
                <w:szCs w:val="24"/>
                <w:lang w:val="es-ES"/>
              </w:rPr>
              <w:t>Acción</w:t>
            </w:r>
            <w:r w:rsidRPr="00F767CD">
              <w:rPr>
                <w:rFonts w:asciiTheme="minorHAnsi" w:hAnsiTheme="minorHAnsi"/>
                <w:i/>
                <w:iCs/>
                <w:szCs w:val="24"/>
                <w:lang w:val="es-ES"/>
              </w:rPr>
              <w:t xml:space="preserve"> de la CMSI</w:t>
            </w:r>
          </w:p>
        </w:tc>
        <w:tc>
          <w:tcPr>
            <w:tcW w:w="6798" w:type="dxa"/>
          </w:tcPr>
          <w:p w:rsidR="00E55103" w:rsidRPr="00F767CD" w:rsidRDefault="00E55103" w:rsidP="00483815">
            <w:pPr>
              <w:spacing w:before="60" w:after="60"/>
              <w:rPr>
                <w:rFonts w:ascii="Calibri" w:eastAsiaTheme="minorHAnsi" w:hAnsi="Calibri" w:cstheme="minorBidi"/>
                <w:iCs/>
                <w:szCs w:val="24"/>
                <w:lang w:val="es-ES"/>
              </w:rPr>
            </w:pPr>
            <w:r w:rsidRPr="00F767CD">
              <w:rPr>
                <w:rFonts w:asciiTheme="minorHAnsi" w:eastAsiaTheme="minorHAnsi" w:hAnsiTheme="minorHAnsi" w:cstheme="minorBidi"/>
                <w:iCs/>
                <w:szCs w:val="24"/>
                <w:lang w:val="es-ES"/>
              </w:rPr>
              <w:t>Líneas</w:t>
            </w:r>
            <w:r w:rsidRPr="00F767CD">
              <w:rPr>
                <w:rFonts w:asciiTheme="minorHAnsi" w:hAnsiTheme="minorHAnsi"/>
                <w:szCs w:val="24"/>
                <w:lang w:val="es-ES"/>
              </w:rPr>
              <w:t xml:space="preserve"> de Acción de la CMSI C1 y C11</w:t>
            </w:r>
          </w:p>
        </w:tc>
      </w:tr>
      <w:tr w:rsidR="00E55103" w:rsidRPr="004E44DD" w:rsidTr="009009A1">
        <w:tc>
          <w:tcPr>
            <w:tcW w:w="2830" w:type="dxa"/>
          </w:tcPr>
          <w:p w:rsidR="00E55103" w:rsidRPr="00F767CD" w:rsidRDefault="00E55103" w:rsidP="00483815">
            <w:pPr>
              <w:tabs>
                <w:tab w:val="clear" w:pos="794"/>
                <w:tab w:val="clear" w:pos="1191"/>
                <w:tab w:val="clear" w:pos="1588"/>
                <w:tab w:val="clear" w:pos="1985"/>
              </w:tabs>
              <w:overflowPunct/>
              <w:autoSpaceDE/>
              <w:autoSpaceDN/>
              <w:adjustRightInd/>
              <w:spacing w:before="60" w:after="60"/>
              <w:textAlignment w:val="auto"/>
              <w:rPr>
                <w:rFonts w:ascii="Calibri" w:eastAsiaTheme="minorHAnsi" w:hAnsi="Calibri" w:cstheme="minorBidi"/>
                <w:i/>
                <w:szCs w:val="24"/>
                <w:lang w:val="es-ES"/>
              </w:rPr>
            </w:pPr>
            <w:r w:rsidRPr="00F767CD">
              <w:rPr>
                <w:rFonts w:asciiTheme="minorHAnsi" w:hAnsiTheme="minorHAnsi"/>
                <w:i/>
                <w:iCs/>
                <w:szCs w:val="24"/>
                <w:lang w:val="es-ES"/>
              </w:rPr>
              <w:t>Contribución a las metas de los ODS</w:t>
            </w:r>
          </w:p>
        </w:tc>
        <w:tc>
          <w:tcPr>
            <w:tcW w:w="6798" w:type="dxa"/>
          </w:tcPr>
          <w:p w:rsidR="00E55103" w:rsidRPr="00F767CD" w:rsidRDefault="00E55103" w:rsidP="00483815">
            <w:pPr>
              <w:spacing w:before="60" w:after="60"/>
              <w:rPr>
                <w:rFonts w:ascii="Calibri" w:eastAsiaTheme="minorHAnsi" w:hAnsi="Calibri" w:cstheme="minorBidi"/>
                <w:iCs/>
                <w:szCs w:val="24"/>
                <w:lang w:val="es-ES"/>
              </w:rPr>
            </w:pPr>
            <w:bookmarkStart w:id="11" w:name="lt_pId094"/>
            <w:r w:rsidRPr="00F767CD">
              <w:rPr>
                <w:rFonts w:asciiTheme="minorHAnsi" w:hAnsiTheme="minorHAnsi"/>
                <w:szCs w:val="24"/>
                <w:lang w:val="es-ES"/>
              </w:rPr>
              <w:t>ODS: 1, 3 (meta 3.d), 5, 10, 16 (metas 16.5, 16.6, 16.8), 17 (metas 17.9, 17.16, 17.17, 17.18, 17.19)</w:t>
            </w:r>
            <w:bookmarkEnd w:id="11"/>
          </w:p>
        </w:tc>
      </w:tr>
    </w:tbl>
    <w:p w:rsidR="00E55103" w:rsidRPr="00F767CD" w:rsidRDefault="00E55103" w:rsidP="00483815">
      <w:pPr>
        <w:pStyle w:val="Heading2"/>
        <w:rPr>
          <w:lang w:val="es-ES"/>
        </w:rPr>
      </w:pPr>
      <w:r w:rsidRPr="00F767CD">
        <w:rPr>
          <w:lang w:val="es-ES"/>
        </w:rPr>
        <w:t>1.3</w:t>
      </w:r>
      <w:r w:rsidRPr="00F767CD">
        <w:rPr>
          <w:lang w:val="es-ES"/>
        </w:rPr>
        <w:tab/>
        <w:t>Grupo Asesor de Desarrollo de las Telecomunicaciones (GADT)</w:t>
      </w:r>
    </w:p>
    <w:tbl>
      <w:tblPr>
        <w:tblStyle w:val="TableGrid"/>
        <w:tblW w:w="0" w:type="auto"/>
        <w:tblLook w:val="04A0" w:firstRow="1" w:lastRow="0" w:firstColumn="1" w:lastColumn="0" w:noHBand="0" w:noVBand="1"/>
      </w:tblPr>
      <w:tblGrid>
        <w:gridCol w:w="2830"/>
        <w:gridCol w:w="6798"/>
      </w:tblGrid>
      <w:tr w:rsidR="00E55103" w:rsidRPr="004E44DD" w:rsidTr="009009A1">
        <w:tc>
          <w:tcPr>
            <w:tcW w:w="9628" w:type="dxa"/>
            <w:gridSpan w:val="2"/>
          </w:tcPr>
          <w:p w:rsidR="00D33447" w:rsidRPr="00F767CD" w:rsidRDefault="00D33447" w:rsidP="00483815">
            <w:pPr>
              <w:rPr>
                <w:rFonts w:ascii="Calibri" w:hAnsi="Calibri" w:cs="Segoe UI"/>
                <w:color w:val="000000"/>
                <w:lang w:val="es-ES"/>
              </w:rPr>
            </w:pPr>
            <w:r w:rsidRPr="00F767CD">
              <w:rPr>
                <w:rFonts w:ascii="Calibri" w:hAnsi="Calibri" w:cs="Segoe UI"/>
                <w:color w:val="000000"/>
                <w:lang w:val="es-ES"/>
              </w:rPr>
              <w:t xml:space="preserve">La 23ª </w:t>
            </w:r>
            <w:r w:rsidR="004A0A4B">
              <w:rPr>
                <w:rFonts w:ascii="Calibri" w:hAnsi="Calibri" w:cs="Segoe UI"/>
                <w:color w:val="000000"/>
                <w:lang w:val="es-ES"/>
              </w:rPr>
              <w:t>r</w:t>
            </w:r>
            <w:r w:rsidRPr="00F767CD">
              <w:rPr>
                <w:rFonts w:ascii="Calibri" w:hAnsi="Calibri" w:cs="Segoe UI"/>
                <w:color w:val="000000"/>
                <w:lang w:val="es-ES"/>
              </w:rPr>
              <w:t xml:space="preserve">eunión del Grupo Asesor de Desarrollo de las Telecomunicaciones (GADT) </w:t>
            </w:r>
            <w:r w:rsidR="000569AD" w:rsidRPr="00F767CD">
              <w:rPr>
                <w:rFonts w:ascii="Calibri" w:hAnsi="Calibri" w:cs="Segoe UI"/>
                <w:color w:val="000000"/>
                <w:lang w:val="es-ES"/>
              </w:rPr>
              <w:t>se celebró</w:t>
            </w:r>
            <w:r w:rsidRPr="00F767CD">
              <w:rPr>
                <w:rFonts w:ascii="Calibri" w:hAnsi="Calibri" w:cs="Segoe UI"/>
                <w:color w:val="000000"/>
                <w:lang w:val="es-ES"/>
              </w:rPr>
              <w:t xml:space="preserve"> del 9 al 11 de abril de 2018 en la sede </w:t>
            </w:r>
            <w:r w:rsidR="004A0A4B">
              <w:rPr>
                <w:rFonts w:ascii="Calibri" w:hAnsi="Calibri" w:cs="Segoe UI"/>
                <w:color w:val="000000"/>
                <w:lang w:val="es-ES"/>
              </w:rPr>
              <w:t xml:space="preserve">de </w:t>
            </w:r>
            <w:r w:rsidRPr="00F767CD">
              <w:rPr>
                <w:rFonts w:ascii="Calibri" w:hAnsi="Calibri" w:cs="Segoe UI"/>
                <w:color w:val="000000"/>
                <w:lang w:val="es-ES"/>
              </w:rPr>
              <w:t>la UIT en Ginebra.</w:t>
            </w:r>
          </w:p>
          <w:p w:rsidR="00E55103" w:rsidRPr="00F767CD" w:rsidRDefault="00D33447" w:rsidP="00483815">
            <w:pPr>
              <w:rPr>
                <w:rFonts w:ascii="Calibri" w:hAnsi="Calibri"/>
                <w:szCs w:val="24"/>
                <w:lang w:val="es-ES"/>
              </w:rPr>
            </w:pPr>
            <w:r w:rsidRPr="00F767CD">
              <w:rPr>
                <w:rFonts w:ascii="Calibri" w:hAnsi="Calibri"/>
                <w:szCs w:val="24"/>
                <w:lang w:val="es-ES"/>
              </w:rPr>
              <w:t xml:space="preserve">El orden del día de la 23ª Reunión del GADT </w:t>
            </w:r>
            <w:r w:rsidR="000569AD" w:rsidRPr="00F767CD">
              <w:rPr>
                <w:rFonts w:ascii="Calibri" w:hAnsi="Calibri"/>
                <w:szCs w:val="24"/>
                <w:lang w:val="es-ES"/>
              </w:rPr>
              <w:t>fue</w:t>
            </w:r>
            <w:r w:rsidRPr="00F767CD">
              <w:rPr>
                <w:rFonts w:ascii="Calibri" w:hAnsi="Calibri"/>
                <w:szCs w:val="24"/>
                <w:lang w:val="es-ES"/>
              </w:rPr>
              <w:t xml:space="preserve"> muy amplio </w:t>
            </w:r>
            <w:r w:rsidR="000569AD" w:rsidRPr="00F767CD">
              <w:rPr>
                <w:rFonts w:ascii="Calibri" w:hAnsi="Calibri"/>
                <w:szCs w:val="24"/>
                <w:lang w:val="es-ES"/>
              </w:rPr>
              <w:t>al ser</w:t>
            </w:r>
            <w:r w:rsidRPr="00F767CD">
              <w:rPr>
                <w:rFonts w:ascii="Calibri" w:hAnsi="Calibri"/>
                <w:szCs w:val="24"/>
                <w:lang w:val="es-ES"/>
              </w:rPr>
              <w:t xml:space="preserve"> la primera </w:t>
            </w:r>
            <w:r w:rsidR="000569AD" w:rsidRPr="00F767CD">
              <w:rPr>
                <w:rFonts w:ascii="Calibri" w:hAnsi="Calibri"/>
                <w:szCs w:val="24"/>
                <w:lang w:val="es-ES"/>
              </w:rPr>
              <w:t xml:space="preserve">reunión </w:t>
            </w:r>
            <w:r w:rsidRPr="00F767CD">
              <w:rPr>
                <w:rFonts w:ascii="Calibri" w:hAnsi="Calibri"/>
                <w:szCs w:val="24"/>
                <w:lang w:val="es-ES"/>
              </w:rPr>
              <w:t>que celebra</w:t>
            </w:r>
            <w:r w:rsidR="000569AD" w:rsidRPr="00F767CD">
              <w:rPr>
                <w:rFonts w:ascii="Calibri" w:hAnsi="Calibri"/>
                <w:szCs w:val="24"/>
                <w:lang w:val="es-ES"/>
              </w:rPr>
              <w:t>ba</w:t>
            </w:r>
            <w:r w:rsidRPr="00F767CD">
              <w:rPr>
                <w:rFonts w:ascii="Calibri" w:hAnsi="Calibri"/>
                <w:szCs w:val="24"/>
                <w:lang w:val="es-ES"/>
              </w:rPr>
              <w:t xml:space="preserve"> el GADT después de la CDMT-17. En particular, en la reunión se abordarán los temas siguientes:</w:t>
            </w:r>
          </w:p>
          <w:p w:rsidR="00E55103" w:rsidRPr="00F767CD" w:rsidRDefault="00E55103" w:rsidP="00483815">
            <w:pPr>
              <w:pStyle w:val="enumlev1"/>
              <w:rPr>
                <w:rFonts w:ascii="Calibri" w:hAnsi="Calibri"/>
                <w:szCs w:val="24"/>
                <w:lang w:val="es-ES"/>
              </w:rPr>
            </w:pPr>
            <w:r w:rsidRPr="00F767CD">
              <w:rPr>
                <w:lang w:val="es-ES"/>
              </w:rPr>
              <w:t>–</w:t>
            </w:r>
            <w:r w:rsidRPr="00F767CD">
              <w:rPr>
                <w:lang w:val="es-ES"/>
              </w:rPr>
              <w:tab/>
            </w:r>
            <w:bookmarkStart w:id="12" w:name="lt_pId101"/>
            <w:r w:rsidR="004A0A4B">
              <w:rPr>
                <w:rFonts w:ascii="Calibri" w:hAnsi="Calibri"/>
                <w:szCs w:val="24"/>
                <w:lang w:val="es-ES"/>
              </w:rPr>
              <w:t>R</w:t>
            </w:r>
            <w:r w:rsidR="00D33447" w:rsidRPr="00F767CD">
              <w:rPr>
                <w:rFonts w:ascii="Calibri" w:hAnsi="Calibri"/>
                <w:szCs w:val="24"/>
                <w:lang w:val="es-ES"/>
              </w:rPr>
              <w:t xml:space="preserve">esultados de la CMDT-17 y su repercusión en la labor del UIT-D, </w:t>
            </w:r>
            <w:r w:rsidR="000569AD" w:rsidRPr="00F767CD">
              <w:rPr>
                <w:rFonts w:ascii="Calibri" w:hAnsi="Calibri"/>
                <w:szCs w:val="24"/>
                <w:lang w:val="es-ES"/>
              </w:rPr>
              <w:t>incluido el</w:t>
            </w:r>
            <w:r w:rsidR="00D33447" w:rsidRPr="00F767CD">
              <w:rPr>
                <w:rFonts w:ascii="Calibri" w:hAnsi="Calibri"/>
                <w:szCs w:val="24"/>
                <w:lang w:val="es-ES"/>
              </w:rPr>
              <w:t xml:space="preserve"> alcance de los trabajos del GADT, la colaboración con </w:t>
            </w:r>
            <w:r w:rsidR="000569AD" w:rsidRPr="00F767CD">
              <w:rPr>
                <w:rFonts w:ascii="Calibri" w:hAnsi="Calibri"/>
                <w:szCs w:val="24"/>
                <w:lang w:val="es-ES"/>
              </w:rPr>
              <w:t>los otros</w:t>
            </w:r>
            <w:r w:rsidR="00D33447" w:rsidRPr="00F767CD">
              <w:rPr>
                <w:rFonts w:ascii="Calibri" w:hAnsi="Calibri"/>
                <w:szCs w:val="24"/>
                <w:lang w:val="es-ES"/>
              </w:rPr>
              <w:t xml:space="preserve"> Sectores y las consecuencias financieras de las iniciativas regionales aprobadas</w:t>
            </w:r>
            <w:r w:rsidRPr="00F767CD">
              <w:rPr>
                <w:rFonts w:ascii="Calibri" w:hAnsi="Calibri"/>
                <w:szCs w:val="24"/>
                <w:lang w:val="es-ES"/>
              </w:rPr>
              <w:t>;</w:t>
            </w:r>
            <w:bookmarkEnd w:id="12"/>
          </w:p>
          <w:p w:rsidR="00E55103" w:rsidRPr="00F767CD" w:rsidRDefault="00E55103" w:rsidP="00483815">
            <w:pPr>
              <w:pStyle w:val="enumlev1"/>
              <w:rPr>
                <w:rFonts w:ascii="Calibri" w:hAnsi="Calibri"/>
                <w:szCs w:val="24"/>
                <w:lang w:val="es-ES"/>
              </w:rPr>
            </w:pPr>
            <w:r w:rsidRPr="00F767CD">
              <w:rPr>
                <w:rFonts w:ascii="Calibri" w:hAnsi="Calibri"/>
                <w:szCs w:val="24"/>
                <w:lang w:val="es-ES"/>
              </w:rPr>
              <w:t>–</w:t>
            </w:r>
            <w:r w:rsidRPr="00F767CD">
              <w:rPr>
                <w:rFonts w:ascii="Calibri" w:hAnsi="Calibri"/>
                <w:szCs w:val="24"/>
                <w:lang w:val="es-ES"/>
              </w:rPr>
              <w:tab/>
            </w:r>
            <w:bookmarkStart w:id="13" w:name="lt_pId102"/>
            <w:r w:rsidR="004A0A4B">
              <w:rPr>
                <w:rFonts w:ascii="Calibri" w:hAnsi="Calibri"/>
                <w:szCs w:val="24"/>
                <w:lang w:val="es-ES"/>
              </w:rPr>
              <w:t>I</w:t>
            </w:r>
            <w:r w:rsidR="00D33447" w:rsidRPr="00F767CD">
              <w:rPr>
                <w:rFonts w:ascii="Calibri" w:hAnsi="Calibri"/>
                <w:szCs w:val="24"/>
                <w:lang w:val="es-ES"/>
              </w:rPr>
              <w:t>mplantación de</w:t>
            </w:r>
            <w:r w:rsidR="000569AD" w:rsidRPr="00F767CD">
              <w:rPr>
                <w:rFonts w:ascii="Calibri" w:hAnsi="Calibri"/>
                <w:szCs w:val="24"/>
                <w:lang w:val="es-ES"/>
              </w:rPr>
              <w:t>l Plan</w:t>
            </w:r>
            <w:r w:rsidR="00D33447" w:rsidRPr="00F767CD">
              <w:rPr>
                <w:rFonts w:ascii="Calibri" w:hAnsi="Calibri"/>
                <w:szCs w:val="24"/>
                <w:lang w:val="es-ES"/>
              </w:rPr>
              <w:t xml:space="preserve"> Estratégico y </w:t>
            </w:r>
            <w:r w:rsidR="000569AD" w:rsidRPr="00F767CD">
              <w:rPr>
                <w:rFonts w:ascii="Calibri" w:hAnsi="Calibri"/>
                <w:szCs w:val="24"/>
                <w:lang w:val="es-ES"/>
              </w:rPr>
              <w:t xml:space="preserve">el Plan </w:t>
            </w:r>
            <w:r w:rsidR="00D33447" w:rsidRPr="00F767CD">
              <w:rPr>
                <w:rFonts w:ascii="Calibri" w:hAnsi="Calibri"/>
                <w:szCs w:val="24"/>
                <w:lang w:val="es-ES"/>
              </w:rPr>
              <w:t>Operacional del UIT-D para 2017 y del Plan Operacional cuadrienal renovable del UIT-D para 2019-2022</w:t>
            </w:r>
            <w:r w:rsidRPr="00F767CD">
              <w:rPr>
                <w:rFonts w:ascii="Calibri" w:hAnsi="Calibri"/>
                <w:szCs w:val="24"/>
                <w:lang w:val="es-ES"/>
              </w:rPr>
              <w:t>;</w:t>
            </w:r>
            <w:bookmarkEnd w:id="13"/>
          </w:p>
          <w:p w:rsidR="00E55103" w:rsidRPr="00F767CD" w:rsidRDefault="00E55103" w:rsidP="00483815">
            <w:pPr>
              <w:pStyle w:val="enumlev1"/>
              <w:rPr>
                <w:rFonts w:ascii="Calibri" w:hAnsi="Calibri"/>
                <w:szCs w:val="24"/>
                <w:highlight w:val="green"/>
                <w:lang w:val="es-ES"/>
              </w:rPr>
            </w:pPr>
            <w:r w:rsidRPr="00F767CD">
              <w:rPr>
                <w:rFonts w:ascii="Calibri" w:hAnsi="Calibri"/>
                <w:szCs w:val="24"/>
                <w:lang w:val="es-ES"/>
              </w:rPr>
              <w:t>–</w:t>
            </w:r>
            <w:r w:rsidRPr="00F767CD">
              <w:rPr>
                <w:rFonts w:ascii="Calibri" w:hAnsi="Calibri"/>
                <w:szCs w:val="24"/>
                <w:lang w:val="es-ES"/>
              </w:rPr>
              <w:tab/>
            </w:r>
            <w:r w:rsidR="004A0A4B">
              <w:rPr>
                <w:rFonts w:ascii="Calibri" w:hAnsi="Calibri"/>
                <w:szCs w:val="24"/>
                <w:lang w:val="es-ES"/>
              </w:rPr>
              <w:t>C</w:t>
            </w:r>
            <w:r w:rsidR="00D33447" w:rsidRPr="00F767CD">
              <w:rPr>
                <w:rFonts w:ascii="Calibri" w:hAnsi="Calibri"/>
                <w:szCs w:val="24"/>
                <w:lang w:val="es-ES"/>
              </w:rPr>
              <w:t>ontribución del UIT-D a la aplicación de los resultados de la CMSI y de la Agenda 2030 para el Desarrollo Sostenible</w:t>
            </w:r>
            <w:r w:rsidRPr="00F767CD">
              <w:rPr>
                <w:rFonts w:ascii="Calibri" w:hAnsi="Calibri"/>
                <w:szCs w:val="24"/>
                <w:lang w:val="es-ES"/>
              </w:rPr>
              <w:t>;</w:t>
            </w:r>
          </w:p>
          <w:p w:rsidR="00E55103" w:rsidRPr="00F767CD" w:rsidRDefault="00E55103" w:rsidP="00483815">
            <w:pPr>
              <w:pStyle w:val="enumlev1"/>
              <w:rPr>
                <w:rFonts w:ascii="Calibri" w:hAnsi="Calibri"/>
                <w:szCs w:val="24"/>
                <w:lang w:val="es-ES"/>
              </w:rPr>
            </w:pPr>
            <w:r w:rsidRPr="00F767CD">
              <w:rPr>
                <w:rFonts w:ascii="Calibri" w:hAnsi="Calibri"/>
                <w:szCs w:val="24"/>
                <w:lang w:val="es-ES"/>
              </w:rPr>
              <w:t>–</w:t>
            </w:r>
            <w:r w:rsidRPr="00F767CD">
              <w:rPr>
                <w:rFonts w:ascii="Calibri" w:hAnsi="Calibri"/>
                <w:szCs w:val="24"/>
                <w:lang w:val="es-ES"/>
              </w:rPr>
              <w:tab/>
            </w:r>
            <w:r w:rsidR="004A0A4B">
              <w:rPr>
                <w:rFonts w:ascii="Calibri" w:hAnsi="Calibri"/>
                <w:szCs w:val="24"/>
                <w:lang w:val="es-ES"/>
              </w:rPr>
              <w:t>A</w:t>
            </w:r>
            <w:r w:rsidR="00D33447" w:rsidRPr="00F767CD">
              <w:rPr>
                <w:rFonts w:ascii="Calibri" w:hAnsi="Calibri"/>
                <w:szCs w:val="24"/>
                <w:lang w:val="es-ES"/>
              </w:rPr>
              <w:t xml:space="preserve">suntos relacionados con </w:t>
            </w:r>
            <w:r w:rsidR="000569AD" w:rsidRPr="00F767CD">
              <w:rPr>
                <w:rFonts w:ascii="Calibri" w:hAnsi="Calibri"/>
                <w:szCs w:val="24"/>
                <w:lang w:val="es-ES"/>
              </w:rPr>
              <w:t xml:space="preserve">las </w:t>
            </w:r>
            <w:r w:rsidR="00D33447" w:rsidRPr="00F767CD">
              <w:rPr>
                <w:rFonts w:ascii="Calibri" w:hAnsi="Calibri"/>
                <w:szCs w:val="24"/>
                <w:lang w:val="es-ES"/>
              </w:rPr>
              <w:t>Comisiones de Estudio del UIT-D</w:t>
            </w:r>
            <w:r w:rsidRPr="00F767CD">
              <w:rPr>
                <w:rFonts w:ascii="Calibri" w:hAnsi="Calibri"/>
                <w:szCs w:val="24"/>
                <w:lang w:val="es-ES"/>
              </w:rPr>
              <w:t>;</w:t>
            </w:r>
          </w:p>
          <w:p w:rsidR="00E55103" w:rsidRPr="00F767CD" w:rsidRDefault="00E55103" w:rsidP="00483815">
            <w:pPr>
              <w:pStyle w:val="enumlev1"/>
              <w:rPr>
                <w:lang w:val="es-ES"/>
              </w:rPr>
            </w:pPr>
            <w:r w:rsidRPr="00F767CD">
              <w:rPr>
                <w:rFonts w:ascii="Calibri" w:hAnsi="Calibri"/>
                <w:szCs w:val="24"/>
                <w:lang w:val="es-ES"/>
              </w:rPr>
              <w:t>–</w:t>
            </w:r>
            <w:r w:rsidRPr="00F767CD">
              <w:rPr>
                <w:rFonts w:ascii="Calibri" w:hAnsi="Calibri"/>
                <w:szCs w:val="24"/>
                <w:lang w:val="es-ES"/>
              </w:rPr>
              <w:tab/>
            </w:r>
            <w:r w:rsidR="00D33447" w:rsidRPr="00F767CD">
              <w:rPr>
                <w:rFonts w:ascii="Calibri" w:hAnsi="Calibri"/>
                <w:szCs w:val="24"/>
                <w:lang w:val="es-ES"/>
              </w:rPr>
              <w:t>Foros Regionales de Desarrollo (FRD)</w:t>
            </w:r>
            <w:r w:rsidRPr="00F767CD">
              <w:rPr>
                <w:lang w:val="es-ES"/>
              </w:rPr>
              <w:t>;</w:t>
            </w:r>
          </w:p>
          <w:p w:rsidR="00E55103" w:rsidRPr="00F767CD" w:rsidRDefault="00E55103" w:rsidP="00483815">
            <w:pPr>
              <w:pStyle w:val="enumlev1"/>
              <w:rPr>
                <w:lang w:val="es-ES"/>
              </w:rPr>
            </w:pPr>
            <w:r w:rsidRPr="00F767CD">
              <w:rPr>
                <w:rFonts w:ascii="Calibri" w:hAnsi="Calibri"/>
                <w:bCs/>
                <w:color w:val="800000"/>
                <w:szCs w:val="24"/>
                <w:lang w:val="es-ES"/>
              </w:rPr>
              <w:t>–</w:t>
            </w:r>
            <w:r w:rsidRPr="00F767CD">
              <w:rPr>
                <w:rFonts w:ascii="Calibri" w:hAnsi="Calibri"/>
                <w:bCs/>
                <w:color w:val="800000"/>
                <w:szCs w:val="24"/>
                <w:lang w:val="es-ES"/>
              </w:rPr>
              <w:tab/>
            </w:r>
            <w:bookmarkStart w:id="14" w:name="lt_pId106"/>
            <w:r w:rsidR="004A0A4B">
              <w:rPr>
                <w:rFonts w:ascii="Calibri" w:hAnsi="Calibri"/>
                <w:szCs w:val="24"/>
                <w:lang w:val="es-ES"/>
              </w:rPr>
              <w:t>P</w:t>
            </w:r>
            <w:r w:rsidR="00D33447" w:rsidRPr="00F767CD">
              <w:rPr>
                <w:rFonts w:ascii="Calibri" w:hAnsi="Calibri"/>
                <w:szCs w:val="24"/>
                <w:lang w:val="es-ES"/>
              </w:rPr>
              <w:t>rincipales eventos e iniciativas del UIT-D, incluidos el Simposio Mundial para Organismos de Reglamentación (GSR), las actividades de creación de capacidad, el Simposio Mundial sobre Indicadores de Telecomunicaciones/TIC (SMIT) y la innovación</w:t>
            </w:r>
            <w:r w:rsidRPr="00F767CD">
              <w:rPr>
                <w:rFonts w:ascii="Calibri" w:hAnsi="Calibri"/>
                <w:szCs w:val="24"/>
                <w:lang w:val="es-ES"/>
              </w:rPr>
              <w:t>;</w:t>
            </w:r>
            <w:bookmarkEnd w:id="14"/>
          </w:p>
          <w:p w:rsidR="00E55103" w:rsidRPr="00F767CD" w:rsidRDefault="00E55103" w:rsidP="00483815">
            <w:pPr>
              <w:pStyle w:val="enumlev1"/>
              <w:rPr>
                <w:lang w:val="es-ES"/>
              </w:rPr>
            </w:pPr>
            <w:r w:rsidRPr="00F767CD">
              <w:rPr>
                <w:rFonts w:ascii="Calibri" w:hAnsi="Calibri"/>
                <w:bCs/>
                <w:color w:val="800000"/>
                <w:szCs w:val="24"/>
                <w:lang w:val="es-ES"/>
              </w:rPr>
              <w:t>–</w:t>
            </w:r>
            <w:r w:rsidRPr="00F767CD">
              <w:rPr>
                <w:rFonts w:ascii="Calibri" w:hAnsi="Calibri"/>
                <w:bCs/>
                <w:color w:val="800000"/>
                <w:szCs w:val="24"/>
                <w:lang w:val="es-ES"/>
              </w:rPr>
              <w:tab/>
            </w:r>
            <w:bookmarkStart w:id="15" w:name="lt_pId107"/>
            <w:r w:rsidR="004A0A4B">
              <w:rPr>
                <w:rFonts w:ascii="Calibri" w:hAnsi="Calibri"/>
                <w:szCs w:val="24"/>
                <w:lang w:val="es-ES"/>
              </w:rPr>
              <w:t>A</w:t>
            </w:r>
            <w:r w:rsidR="00D33447" w:rsidRPr="00F767CD">
              <w:rPr>
                <w:rFonts w:ascii="Calibri" w:hAnsi="Calibri"/>
                <w:szCs w:val="24"/>
                <w:lang w:val="es-ES"/>
              </w:rPr>
              <w:t>suntos relacionados con los Miembros, las asociaciones y el sector privado</w:t>
            </w:r>
            <w:r w:rsidRPr="00F767CD">
              <w:rPr>
                <w:rFonts w:ascii="Calibri" w:hAnsi="Calibri"/>
                <w:szCs w:val="24"/>
                <w:lang w:val="es-ES"/>
              </w:rPr>
              <w:t>;</w:t>
            </w:r>
            <w:bookmarkEnd w:id="15"/>
          </w:p>
          <w:p w:rsidR="00E55103" w:rsidRPr="00F767CD" w:rsidRDefault="00E55103" w:rsidP="00483815">
            <w:pPr>
              <w:pStyle w:val="enumlev1"/>
              <w:rPr>
                <w:rFonts w:ascii="Calibri" w:hAnsi="Calibri"/>
                <w:szCs w:val="24"/>
                <w:lang w:val="es-ES"/>
              </w:rPr>
            </w:pPr>
            <w:r w:rsidRPr="00F767CD">
              <w:rPr>
                <w:rFonts w:ascii="Calibri" w:hAnsi="Calibri"/>
                <w:szCs w:val="24"/>
                <w:lang w:val="es-ES"/>
              </w:rPr>
              <w:t>–</w:t>
            </w:r>
            <w:r w:rsidRPr="00F767CD">
              <w:rPr>
                <w:rFonts w:ascii="Calibri" w:hAnsi="Calibri"/>
                <w:szCs w:val="24"/>
                <w:lang w:val="es-ES"/>
              </w:rPr>
              <w:tab/>
            </w:r>
            <w:bookmarkStart w:id="16" w:name="lt_pId109"/>
            <w:r w:rsidR="004A0A4B">
              <w:rPr>
                <w:rFonts w:ascii="Calibri" w:hAnsi="Calibri"/>
                <w:szCs w:val="24"/>
                <w:lang w:val="es-ES"/>
              </w:rPr>
              <w:t>C</w:t>
            </w:r>
            <w:r w:rsidR="00D33447" w:rsidRPr="00F767CD">
              <w:rPr>
                <w:rFonts w:ascii="Calibri" w:hAnsi="Calibri"/>
                <w:szCs w:val="24"/>
                <w:lang w:val="es-ES"/>
              </w:rPr>
              <w:t>alendario de eventos del UIT-D</w:t>
            </w:r>
            <w:bookmarkStart w:id="17" w:name="lt_pId120"/>
            <w:bookmarkEnd w:id="16"/>
            <w:r w:rsidRPr="00F767CD">
              <w:rPr>
                <w:rFonts w:ascii="Calibri" w:hAnsi="Calibri"/>
                <w:szCs w:val="24"/>
                <w:lang w:val="es-ES"/>
              </w:rPr>
              <w:t>.</w:t>
            </w:r>
            <w:bookmarkEnd w:id="17"/>
          </w:p>
        </w:tc>
      </w:tr>
      <w:tr w:rsidR="00E55103" w:rsidRPr="00F767CD" w:rsidTr="005D2CA2">
        <w:tc>
          <w:tcPr>
            <w:tcW w:w="2830" w:type="dxa"/>
            <w:tcBorders>
              <w:right w:val="single" w:sz="4" w:space="0" w:color="auto"/>
            </w:tcBorders>
          </w:tcPr>
          <w:p w:rsidR="00E55103" w:rsidRPr="00F767CD" w:rsidRDefault="00E55103" w:rsidP="00483815">
            <w:pPr>
              <w:tabs>
                <w:tab w:val="clear" w:pos="794"/>
                <w:tab w:val="clear" w:pos="1191"/>
                <w:tab w:val="clear" w:pos="1588"/>
                <w:tab w:val="clear" w:pos="1985"/>
              </w:tabs>
              <w:overflowPunct/>
              <w:autoSpaceDE/>
              <w:autoSpaceDN/>
              <w:adjustRightInd/>
              <w:spacing w:before="60" w:after="60"/>
              <w:textAlignment w:val="auto"/>
              <w:rPr>
                <w:rFonts w:asciiTheme="minorHAnsi" w:hAnsiTheme="minorHAnsi"/>
                <w:i/>
                <w:iCs/>
                <w:szCs w:val="24"/>
                <w:lang w:val="es-ES"/>
              </w:rPr>
            </w:pPr>
            <w:r w:rsidRPr="00F767CD">
              <w:rPr>
                <w:rFonts w:asciiTheme="minorHAnsi" w:hAnsiTheme="minorHAnsi"/>
                <w:i/>
                <w:iCs/>
                <w:szCs w:val="24"/>
                <w:lang w:val="es-ES"/>
              </w:rPr>
              <w:t>CMDT</w:t>
            </w:r>
          </w:p>
        </w:tc>
        <w:tc>
          <w:tcPr>
            <w:tcW w:w="6798" w:type="dxa"/>
            <w:tcBorders>
              <w:left w:val="single" w:sz="4" w:space="0" w:color="auto"/>
            </w:tcBorders>
          </w:tcPr>
          <w:p w:rsidR="00E55103" w:rsidRPr="00F767CD" w:rsidRDefault="00E55103" w:rsidP="00483815">
            <w:pPr>
              <w:spacing w:before="60" w:after="60"/>
              <w:rPr>
                <w:rFonts w:asciiTheme="minorHAnsi" w:hAnsiTheme="minorHAnsi"/>
                <w:szCs w:val="24"/>
                <w:lang w:val="es-ES"/>
              </w:rPr>
            </w:pPr>
            <w:bookmarkStart w:id="18" w:name="lt_pId122"/>
            <w:r w:rsidRPr="00F767CD">
              <w:rPr>
                <w:rFonts w:asciiTheme="minorHAnsi" w:hAnsiTheme="minorHAnsi"/>
                <w:szCs w:val="24"/>
                <w:lang w:val="es-ES"/>
              </w:rPr>
              <w:t>Resoluciones 1, 5, 17, 24, 30, 33, 37, 50, 59, 61, 81</w:t>
            </w:r>
            <w:bookmarkEnd w:id="18"/>
          </w:p>
        </w:tc>
      </w:tr>
      <w:tr w:rsidR="00E55103" w:rsidRPr="004E44DD" w:rsidTr="009009A1">
        <w:tc>
          <w:tcPr>
            <w:tcW w:w="2830" w:type="dxa"/>
          </w:tcPr>
          <w:p w:rsidR="00E55103" w:rsidRPr="00F767CD" w:rsidRDefault="00E55103" w:rsidP="00483815">
            <w:pPr>
              <w:tabs>
                <w:tab w:val="clear" w:pos="794"/>
                <w:tab w:val="clear" w:pos="1191"/>
                <w:tab w:val="clear" w:pos="1588"/>
                <w:tab w:val="clear" w:pos="1985"/>
              </w:tabs>
              <w:overflowPunct/>
              <w:autoSpaceDE/>
              <w:autoSpaceDN/>
              <w:adjustRightInd/>
              <w:spacing w:before="60" w:after="60"/>
              <w:textAlignment w:val="auto"/>
              <w:rPr>
                <w:rFonts w:asciiTheme="minorHAnsi" w:hAnsiTheme="minorHAnsi"/>
                <w:i/>
                <w:iCs/>
                <w:szCs w:val="24"/>
                <w:lang w:val="es-ES"/>
              </w:rPr>
            </w:pPr>
            <w:r w:rsidRPr="00F767CD">
              <w:rPr>
                <w:rFonts w:ascii="Calibri" w:eastAsiaTheme="minorHAnsi" w:hAnsi="Calibri" w:cstheme="minorBidi"/>
                <w:i/>
                <w:szCs w:val="24"/>
                <w:lang w:val="es-ES"/>
              </w:rPr>
              <w:t>Conferencia</w:t>
            </w:r>
            <w:r w:rsidRPr="00F767CD">
              <w:rPr>
                <w:rFonts w:asciiTheme="minorHAnsi" w:hAnsiTheme="minorHAnsi"/>
                <w:i/>
                <w:iCs/>
                <w:szCs w:val="24"/>
                <w:lang w:val="es-ES"/>
              </w:rPr>
              <w:t xml:space="preserve"> de Plenipotenciarios</w:t>
            </w:r>
          </w:p>
        </w:tc>
        <w:tc>
          <w:tcPr>
            <w:tcW w:w="6798" w:type="dxa"/>
          </w:tcPr>
          <w:p w:rsidR="00E55103" w:rsidRPr="00F767CD" w:rsidRDefault="00E55103" w:rsidP="00483815">
            <w:pPr>
              <w:spacing w:before="60" w:after="60"/>
              <w:rPr>
                <w:rFonts w:asciiTheme="minorHAnsi" w:hAnsiTheme="minorHAnsi"/>
                <w:szCs w:val="24"/>
                <w:lang w:val="es-ES"/>
              </w:rPr>
            </w:pPr>
            <w:bookmarkStart w:id="19" w:name="lt_pId124"/>
            <w:r w:rsidRPr="00F767CD">
              <w:rPr>
                <w:rFonts w:asciiTheme="minorHAnsi" w:hAnsiTheme="minorHAnsi"/>
                <w:szCs w:val="24"/>
                <w:lang w:val="es-ES"/>
              </w:rPr>
              <w:t>Decisiones de la PP: 5 y 13</w:t>
            </w:r>
            <w:r w:rsidRPr="00F767CD">
              <w:rPr>
                <w:rFonts w:asciiTheme="minorHAnsi" w:hAnsiTheme="minorHAnsi"/>
                <w:szCs w:val="24"/>
                <w:lang w:val="es-ES"/>
              </w:rPr>
              <w:br/>
              <w:t>Resoluciones de la PP: 25, 71, 111, 135, 140, 151, 154, 165, 166, 167</w:t>
            </w:r>
            <w:bookmarkEnd w:id="19"/>
          </w:p>
        </w:tc>
      </w:tr>
      <w:tr w:rsidR="00E55103" w:rsidRPr="00F767CD" w:rsidTr="009009A1">
        <w:tc>
          <w:tcPr>
            <w:tcW w:w="2830" w:type="dxa"/>
          </w:tcPr>
          <w:p w:rsidR="00E55103" w:rsidRPr="00F767CD" w:rsidRDefault="00E55103" w:rsidP="00483815">
            <w:pPr>
              <w:tabs>
                <w:tab w:val="clear" w:pos="794"/>
                <w:tab w:val="clear" w:pos="1191"/>
                <w:tab w:val="clear" w:pos="1588"/>
                <w:tab w:val="clear" w:pos="1985"/>
              </w:tabs>
              <w:overflowPunct/>
              <w:autoSpaceDE/>
              <w:autoSpaceDN/>
              <w:adjustRightInd/>
              <w:spacing w:before="60" w:after="60"/>
              <w:textAlignment w:val="auto"/>
              <w:rPr>
                <w:rFonts w:asciiTheme="minorHAnsi" w:hAnsiTheme="minorHAnsi"/>
                <w:i/>
                <w:iCs/>
                <w:szCs w:val="24"/>
                <w:lang w:val="es-ES"/>
              </w:rPr>
            </w:pPr>
            <w:r w:rsidRPr="00F767CD">
              <w:rPr>
                <w:rFonts w:ascii="Calibri" w:eastAsiaTheme="minorHAnsi" w:hAnsi="Calibri" w:cstheme="minorBidi"/>
                <w:i/>
                <w:szCs w:val="24"/>
                <w:lang w:val="es-ES"/>
              </w:rPr>
              <w:t>Consejo</w:t>
            </w:r>
          </w:p>
        </w:tc>
        <w:tc>
          <w:tcPr>
            <w:tcW w:w="6798" w:type="dxa"/>
          </w:tcPr>
          <w:p w:rsidR="00E55103" w:rsidRPr="00F767CD" w:rsidRDefault="00E55103" w:rsidP="00483815">
            <w:pPr>
              <w:spacing w:before="60" w:after="60"/>
              <w:rPr>
                <w:rFonts w:asciiTheme="minorHAnsi" w:hAnsiTheme="minorHAnsi"/>
                <w:szCs w:val="24"/>
                <w:lang w:val="es-ES"/>
              </w:rPr>
            </w:pPr>
            <w:bookmarkStart w:id="20" w:name="lt_pId127"/>
            <w:r w:rsidRPr="00F767CD">
              <w:rPr>
                <w:rFonts w:asciiTheme="minorHAnsi" w:hAnsiTheme="minorHAnsi"/>
                <w:szCs w:val="24"/>
                <w:lang w:val="es-ES"/>
              </w:rPr>
              <w:t>Resolución 1372</w:t>
            </w:r>
            <w:bookmarkEnd w:id="20"/>
          </w:p>
        </w:tc>
      </w:tr>
      <w:tr w:rsidR="00E55103" w:rsidRPr="004E44DD" w:rsidTr="009009A1">
        <w:tc>
          <w:tcPr>
            <w:tcW w:w="2830" w:type="dxa"/>
          </w:tcPr>
          <w:p w:rsidR="00E55103" w:rsidRPr="00F767CD" w:rsidRDefault="00E55103" w:rsidP="00483815">
            <w:pPr>
              <w:tabs>
                <w:tab w:val="clear" w:pos="794"/>
                <w:tab w:val="clear" w:pos="1191"/>
                <w:tab w:val="clear" w:pos="1588"/>
                <w:tab w:val="clear" w:pos="1985"/>
              </w:tabs>
              <w:overflowPunct/>
              <w:autoSpaceDE/>
              <w:autoSpaceDN/>
              <w:adjustRightInd/>
              <w:spacing w:before="60" w:after="60"/>
              <w:textAlignment w:val="auto"/>
              <w:rPr>
                <w:rFonts w:asciiTheme="minorHAnsi" w:hAnsiTheme="minorHAnsi"/>
                <w:i/>
                <w:iCs/>
                <w:szCs w:val="24"/>
                <w:lang w:val="es-ES"/>
              </w:rPr>
            </w:pPr>
            <w:r w:rsidRPr="00F767CD">
              <w:rPr>
                <w:rFonts w:asciiTheme="minorHAnsi" w:hAnsiTheme="minorHAnsi"/>
                <w:i/>
                <w:iCs/>
                <w:szCs w:val="24"/>
                <w:lang w:val="es-ES"/>
              </w:rPr>
              <w:lastRenderedPageBreak/>
              <w:t xml:space="preserve">Línea de </w:t>
            </w:r>
            <w:r w:rsidRPr="00F767CD">
              <w:rPr>
                <w:rFonts w:ascii="Calibri" w:eastAsiaTheme="minorHAnsi" w:hAnsi="Calibri" w:cstheme="minorBidi"/>
                <w:i/>
                <w:szCs w:val="24"/>
                <w:lang w:val="es-ES"/>
              </w:rPr>
              <w:t>Acción</w:t>
            </w:r>
            <w:r w:rsidRPr="00F767CD">
              <w:rPr>
                <w:rFonts w:asciiTheme="minorHAnsi" w:hAnsiTheme="minorHAnsi"/>
                <w:i/>
                <w:iCs/>
                <w:szCs w:val="24"/>
                <w:lang w:val="es-ES"/>
              </w:rPr>
              <w:t xml:space="preserve"> de la CMSI</w:t>
            </w:r>
          </w:p>
        </w:tc>
        <w:tc>
          <w:tcPr>
            <w:tcW w:w="6798" w:type="dxa"/>
          </w:tcPr>
          <w:p w:rsidR="00E55103" w:rsidRPr="00F767CD" w:rsidRDefault="00E55103" w:rsidP="00483815">
            <w:pPr>
              <w:spacing w:before="60" w:after="60"/>
              <w:rPr>
                <w:rFonts w:asciiTheme="minorHAnsi" w:hAnsiTheme="minorHAnsi"/>
                <w:szCs w:val="24"/>
                <w:lang w:val="es-ES"/>
              </w:rPr>
            </w:pPr>
            <w:r w:rsidRPr="00F767CD">
              <w:rPr>
                <w:rFonts w:asciiTheme="minorHAnsi" w:hAnsiTheme="minorHAnsi"/>
                <w:szCs w:val="24"/>
                <w:lang w:val="es-ES"/>
              </w:rPr>
              <w:t>Líneas de Acción de la CMSI C1 y C11</w:t>
            </w:r>
          </w:p>
        </w:tc>
      </w:tr>
      <w:tr w:rsidR="00E55103" w:rsidRPr="004E44DD" w:rsidTr="009009A1">
        <w:tc>
          <w:tcPr>
            <w:tcW w:w="2830" w:type="dxa"/>
          </w:tcPr>
          <w:p w:rsidR="00E55103" w:rsidRPr="00F767CD" w:rsidRDefault="00E55103" w:rsidP="00483815">
            <w:pPr>
              <w:tabs>
                <w:tab w:val="clear" w:pos="794"/>
                <w:tab w:val="clear" w:pos="1191"/>
                <w:tab w:val="clear" w:pos="1588"/>
                <w:tab w:val="clear" w:pos="1985"/>
              </w:tabs>
              <w:overflowPunct/>
              <w:autoSpaceDE/>
              <w:autoSpaceDN/>
              <w:adjustRightInd/>
              <w:spacing w:before="60" w:after="60"/>
              <w:textAlignment w:val="auto"/>
              <w:rPr>
                <w:rFonts w:asciiTheme="minorHAnsi" w:hAnsiTheme="minorHAnsi"/>
                <w:i/>
                <w:iCs/>
                <w:szCs w:val="24"/>
                <w:lang w:val="es-ES"/>
              </w:rPr>
            </w:pPr>
            <w:r w:rsidRPr="00F767CD">
              <w:rPr>
                <w:rFonts w:asciiTheme="minorHAnsi" w:hAnsiTheme="minorHAnsi"/>
                <w:i/>
                <w:iCs/>
                <w:szCs w:val="24"/>
                <w:lang w:val="es-ES"/>
              </w:rPr>
              <w:t>Contribución a las metas de los ODS</w:t>
            </w:r>
          </w:p>
        </w:tc>
        <w:tc>
          <w:tcPr>
            <w:tcW w:w="6798" w:type="dxa"/>
          </w:tcPr>
          <w:p w:rsidR="00E55103" w:rsidRPr="00F767CD" w:rsidRDefault="00E55103" w:rsidP="00483815">
            <w:pPr>
              <w:spacing w:before="60" w:after="60"/>
              <w:rPr>
                <w:rFonts w:asciiTheme="minorHAnsi" w:hAnsiTheme="minorHAnsi"/>
                <w:szCs w:val="24"/>
                <w:lang w:val="es-ES"/>
              </w:rPr>
            </w:pPr>
            <w:r w:rsidRPr="00F767CD">
              <w:rPr>
                <w:rFonts w:asciiTheme="minorHAnsi" w:hAnsiTheme="minorHAnsi"/>
                <w:szCs w:val="24"/>
                <w:lang w:val="es-ES"/>
              </w:rPr>
              <w:t>ODS: 1, 3 (meta 3.d), 5, 10, 16 (metas 16.5, 16.6, 16.8), 17 (metas 17.9, 17.16, 17.17, 17.18, 17.19).</w:t>
            </w:r>
          </w:p>
        </w:tc>
      </w:tr>
    </w:tbl>
    <w:p w:rsidR="00E55103" w:rsidRPr="00F767CD" w:rsidRDefault="00E55103" w:rsidP="00483815">
      <w:pPr>
        <w:pStyle w:val="Heading2"/>
        <w:spacing w:after="120"/>
        <w:rPr>
          <w:lang w:val="es-ES"/>
        </w:rPr>
      </w:pPr>
      <w:r w:rsidRPr="00F767CD">
        <w:rPr>
          <w:lang w:val="es-ES"/>
        </w:rPr>
        <w:t>1.4</w:t>
      </w:r>
      <w:r w:rsidRPr="00F767CD">
        <w:rPr>
          <w:lang w:val="es-ES"/>
        </w:rPr>
        <w:tab/>
        <w:t>Comisiones de Estudio</w:t>
      </w:r>
    </w:p>
    <w:tbl>
      <w:tblPr>
        <w:tblStyle w:val="TableGrid"/>
        <w:tblW w:w="0" w:type="auto"/>
        <w:tblLook w:val="04A0" w:firstRow="1" w:lastRow="0" w:firstColumn="1" w:lastColumn="0" w:noHBand="0" w:noVBand="1"/>
      </w:tblPr>
      <w:tblGrid>
        <w:gridCol w:w="2972"/>
        <w:gridCol w:w="6656"/>
      </w:tblGrid>
      <w:tr w:rsidR="00E55103" w:rsidRPr="004E44DD" w:rsidTr="009009A1">
        <w:trPr>
          <w:trHeight w:val="841"/>
        </w:trPr>
        <w:tc>
          <w:tcPr>
            <w:tcW w:w="9628" w:type="dxa"/>
            <w:gridSpan w:val="2"/>
          </w:tcPr>
          <w:p w:rsidR="00932776" w:rsidRPr="00F767CD" w:rsidRDefault="005D2CA2" w:rsidP="00483815">
            <w:pPr>
              <w:rPr>
                <w:rStyle w:val="Emphasis"/>
                <w:rFonts w:asciiTheme="minorHAnsi" w:hAnsiTheme="minorHAnsi" w:cstheme="minorHAnsi"/>
                <w:i w:val="0"/>
                <w:iCs w:val="0"/>
                <w:szCs w:val="24"/>
                <w:lang w:val="es-ES"/>
              </w:rPr>
            </w:pPr>
            <w:r w:rsidRPr="00F767CD">
              <w:rPr>
                <w:rStyle w:val="Emphasis"/>
                <w:rFonts w:asciiTheme="minorHAnsi" w:hAnsiTheme="minorHAnsi" w:cstheme="minorHAnsi"/>
                <w:i w:val="0"/>
                <w:iCs w:val="0"/>
                <w:szCs w:val="24"/>
                <w:lang w:val="es-ES"/>
              </w:rPr>
              <w:t xml:space="preserve">Las Comisiones de Estudio del UIT-D celebraron </w:t>
            </w:r>
            <w:r w:rsidR="003E015E" w:rsidRPr="00F767CD">
              <w:rPr>
                <w:rStyle w:val="Emphasis"/>
                <w:rFonts w:asciiTheme="minorHAnsi" w:hAnsiTheme="minorHAnsi" w:cstheme="minorHAnsi"/>
                <w:i w:val="0"/>
                <w:iCs w:val="0"/>
                <w:szCs w:val="24"/>
                <w:lang w:val="es-ES"/>
              </w:rPr>
              <w:t>las primeras</w:t>
            </w:r>
            <w:r w:rsidRPr="00F767CD">
              <w:rPr>
                <w:rStyle w:val="Emphasis"/>
                <w:rFonts w:asciiTheme="minorHAnsi" w:hAnsiTheme="minorHAnsi" w:cstheme="minorHAnsi"/>
                <w:i w:val="0"/>
                <w:iCs w:val="0"/>
                <w:szCs w:val="24"/>
                <w:lang w:val="es-ES"/>
              </w:rPr>
              <w:t xml:space="preserve"> </w:t>
            </w:r>
            <w:r w:rsidR="00932776" w:rsidRPr="00F767CD">
              <w:rPr>
                <w:rStyle w:val="Emphasis"/>
                <w:rFonts w:asciiTheme="minorHAnsi" w:hAnsiTheme="minorHAnsi" w:cstheme="minorHAnsi"/>
                <w:i w:val="0"/>
                <w:iCs w:val="0"/>
                <w:szCs w:val="24"/>
                <w:lang w:val="es-ES"/>
              </w:rPr>
              <w:t>reuni</w:t>
            </w:r>
            <w:r w:rsidR="003E015E" w:rsidRPr="00F767CD">
              <w:rPr>
                <w:rStyle w:val="Emphasis"/>
                <w:rFonts w:asciiTheme="minorHAnsi" w:hAnsiTheme="minorHAnsi" w:cstheme="minorHAnsi"/>
                <w:i w:val="0"/>
                <w:iCs w:val="0"/>
                <w:szCs w:val="24"/>
                <w:lang w:val="es-ES"/>
              </w:rPr>
              <w:t>ones</w:t>
            </w:r>
            <w:r w:rsidRPr="00F767CD">
              <w:rPr>
                <w:rStyle w:val="Emphasis"/>
                <w:rFonts w:asciiTheme="minorHAnsi" w:hAnsiTheme="minorHAnsi" w:cstheme="minorHAnsi"/>
                <w:i w:val="0"/>
                <w:iCs w:val="0"/>
                <w:szCs w:val="24"/>
                <w:lang w:val="es-ES"/>
              </w:rPr>
              <w:t xml:space="preserve"> de la Comisión de Estudio </w:t>
            </w:r>
            <w:hyperlink r:id="rId11" w:history="1">
              <w:r w:rsidR="009009A1" w:rsidRPr="00F767CD">
                <w:rPr>
                  <w:rStyle w:val="Hyperlink"/>
                  <w:rFonts w:asciiTheme="minorHAnsi" w:hAnsiTheme="minorHAnsi" w:cstheme="minorHAnsi"/>
                  <w:szCs w:val="24"/>
                  <w:lang w:val="es-ES"/>
                </w:rPr>
                <w:t>1</w:t>
              </w:r>
            </w:hyperlink>
            <w:r w:rsidR="009009A1" w:rsidRPr="00F767CD">
              <w:rPr>
                <w:rStyle w:val="Emphasis"/>
                <w:rFonts w:asciiTheme="minorHAnsi" w:hAnsiTheme="minorHAnsi" w:cstheme="minorHAnsi"/>
                <w:i w:val="0"/>
                <w:iCs w:val="0"/>
                <w:szCs w:val="24"/>
                <w:lang w:val="es-ES"/>
              </w:rPr>
              <w:t xml:space="preserve"> </w:t>
            </w:r>
            <w:r w:rsidRPr="00F767CD">
              <w:rPr>
                <w:rStyle w:val="Emphasis"/>
                <w:rFonts w:asciiTheme="minorHAnsi" w:hAnsiTheme="minorHAnsi" w:cstheme="minorHAnsi"/>
                <w:i w:val="0"/>
                <w:iCs w:val="0"/>
                <w:szCs w:val="24"/>
                <w:lang w:val="es-ES"/>
              </w:rPr>
              <w:t xml:space="preserve">y </w:t>
            </w:r>
            <w:r w:rsidR="003E015E" w:rsidRPr="00F767CD">
              <w:rPr>
                <w:rStyle w:val="Emphasis"/>
                <w:rFonts w:asciiTheme="minorHAnsi" w:hAnsiTheme="minorHAnsi" w:cstheme="minorHAnsi"/>
                <w:i w:val="0"/>
                <w:iCs w:val="0"/>
                <w:szCs w:val="24"/>
                <w:lang w:val="es-ES"/>
              </w:rPr>
              <w:t xml:space="preserve">de </w:t>
            </w:r>
            <w:r w:rsidRPr="00F767CD">
              <w:rPr>
                <w:rStyle w:val="Emphasis"/>
                <w:rFonts w:asciiTheme="minorHAnsi" w:hAnsiTheme="minorHAnsi" w:cstheme="minorHAnsi"/>
                <w:i w:val="0"/>
                <w:iCs w:val="0"/>
                <w:szCs w:val="24"/>
                <w:lang w:val="es-ES"/>
              </w:rPr>
              <w:t>la Comisión de Estudio</w:t>
            </w:r>
            <w:r w:rsidR="009009A1" w:rsidRPr="00F767CD">
              <w:rPr>
                <w:rStyle w:val="Emphasis"/>
                <w:rFonts w:asciiTheme="minorHAnsi" w:hAnsiTheme="minorHAnsi" w:cstheme="minorHAnsi"/>
                <w:i w:val="0"/>
                <w:iCs w:val="0"/>
                <w:szCs w:val="24"/>
                <w:lang w:val="es-ES"/>
              </w:rPr>
              <w:t xml:space="preserve"> </w:t>
            </w:r>
            <w:hyperlink r:id="rId12" w:history="1">
              <w:r w:rsidR="009009A1" w:rsidRPr="00F767CD">
                <w:rPr>
                  <w:rStyle w:val="Hyperlink"/>
                  <w:rFonts w:asciiTheme="minorHAnsi" w:hAnsiTheme="minorHAnsi" w:cstheme="minorHAnsi"/>
                  <w:szCs w:val="24"/>
                  <w:lang w:val="es-ES"/>
                </w:rPr>
                <w:t>2</w:t>
              </w:r>
            </w:hyperlink>
            <w:r w:rsidR="009009A1" w:rsidRPr="00F767CD">
              <w:rPr>
                <w:rStyle w:val="Emphasis"/>
                <w:rFonts w:asciiTheme="minorHAnsi" w:hAnsiTheme="minorHAnsi" w:cstheme="minorHAnsi"/>
                <w:i w:val="0"/>
                <w:iCs w:val="0"/>
                <w:szCs w:val="24"/>
                <w:lang w:val="es-ES"/>
              </w:rPr>
              <w:t xml:space="preserve"> </w:t>
            </w:r>
            <w:r w:rsidRPr="00F767CD">
              <w:rPr>
                <w:rStyle w:val="Emphasis"/>
                <w:rFonts w:asciiTheme="minorHAnsi" w:hAnsiTheme="minorHAnsi" w:cstheme="minorHAnsi"/>
                <w:i w:val="0"/>
                <w:iCs w:val="0"/>
                <w:szCs w:val="24"/>
                <w:lang w:val="es-ES"/>
              </w:rPr>
              <w:t xml:space="preserve">para el nuevo periodo de estudios 2018-2021 del 30 de abril al 4 de mayo y del 7 </w:t>
            </w:r>
            <w:r w:rsidR="00932776" w:rsidRPr="00F767CD">
              <w:rPr>
                <w:rStyle w:val="Emphasis"/>
                <w:rFonts w:asciiTheme="minorHAnsi" w:hAnsiTheme="minorHAnsi" w:cstheme="minorHAnsi"/>
                <w:i w:val="0"/>
                <w:iCs w:val="0"/>
                <w:szCs w:val="24"/>
                <w:lang w:val="es-ES"/>
              </w:rPr>
              <w:t xml:space="preserve">al 11 de mayo, respectivamente. </w:t>
            </w:r>
            <w:r w:rsidR="003E015E" w:rsidRPr="00F767CD">
              <w:rPr>
                <w:rStyle w:val="Emphasis"/>
                <w:rFonts w:asciiTheme="minorHAnsi" w:hAnsiTheme="minorHAnsi" w:cstheme="minorHAnsi"/>
                <w:i w:val="0"/>
                <w:iCs w:val="0"/>
                <w:szCs w:val="24"/>
                <w:lang w:val="es-ES"/>
              </w:rPr>
              <w:t>En las</w:t>
            </w:r>
            <w:r w:rsidR="00932776" w:rsidRPr="00F767CD">
              <w:rPr>
                <w:rStyle w:val="Emphasis"/>
                <w:rFonts w:asciiTheme="minorHAnsi" w:hAnsiTheme="minorHAnsi" w:cstheme="minorHAnsi"/>
                <w:i w:val="0"/>
                <w:iCs w:val="0"/>
                <w:szCs w:val="24"/>
                <w:lang w:val="es-ES"/>
              </w:rPr>
              <w:t xml:space="preserve"> reuniones</w:t>
            </w:r>
            <w:r w:rsidR="003E015E" w:rsidRPr="00F767CD">
              <w:rPr>
                <w:rStyle w:val="Emphasis"/>
                <w:rFonts w:asciiTheme="minorHAnsi" w:hAnsiTheme="minorHAnsi" w:cstheme="minorHAnsi"/>
                <w:i w:val="0"/>
                <w:iCs w:val="0"/>
                <w:szCs w:val="24"/>
                <w:lang w:val="es-ES"/>
              </w:rPr>
              <w:t>,</w:t>
            </w:r>
            <w:r w:rsidR="00932776" w:rsidRPr="00F767CD">
              <w:rPr>
                <w:rStyle w:val="Emphasis"/>
                <w:rFonts w:asciiTheme="minorHAnsi" w:hAnsiTheme="minorHAnsi" w:cstheme="minorHAnsi"/>
                <w:i w:val="0"/>
                <w:iCs w:val="0"/>
                <w:szCs w:val="24"/>
                <w:lang w:val="es-ES"/>
              </w:rPr>
              <w:t xml:space="preserve"> </w:t>
            </w:r>
            <w:r w:rsidR="003E015E" w:rsidRPr="00F767CD">
              <w:rPr>
                <w:rStyle w:val="Emphasis"/>
                <w:rFonts w:asciiTheme="minorHAnsi" w:hAnsiTheme="minorHAnsi" w:cstheme="minorHAnsi"/>
                <w:i w:val="0"/>
                <w:iCs w:val="0"/>
                <w:szCs w:val="24"/>
                <w:lang w:val="es-ES"/>
              </w:rPr>
              <w:t>se avanzó</w:t>
            </w:r>
            <w:r w:rsidR="00932776" w:rsidRPr="00F767CD">
              <w:rPr>
                <w:rStyle w:val="Emphasis"/>
                <w:rFonts w:asciiTheme="minorHAnsi" w:hAnsiTheme="minorHAnsi" w:cstheme="minorHAnsi"/>
                <w:i w:val="0"/>
                <w:iCs w:val="0"/>
                <w:szCs w:val="24"/>
                <w:lang w:val="es-ES"/>
              </w:rPr>
              <w:t xml:space="preserve"> de acuerdo con los planes con el nombramiento de 139 nuevos </w:t>
            </w:r>
            <w:r w:rsidR="004A0A4B" w:rsidRPr="00F767CD">
              <w:rPr>
                <w:rStyle w:val="Emphasis"/>
                <w:rFonts w:asciiTheme="minorHAnsi" w:hAnsiTheme="minorHAnsi" w:cstheme="minorHAnsi"/>
                <w:i w:val="0"/>
                <w:iCs w:val="0"/>
                <w:szCs w:val="24"/>
                <w:lang w:val="es-ES"/>
              </w:rPr>
              <w:t>R</w:t>
            </w:r>
            <w:r w:rsidR="00932776" w:rsidRPr="00F767CD">
              <w:rPr>
                <w:rStyle w:val="Emphasis"/>
                <w:rFonts w:asciiTheme="minorHAnsi" w:hAnsiTheme="minorHAnsi" w:cstheme="minorHAnsi"/>
                <w:i w:val="0"/>
                <w:iCs w:val="0"/>
                <w:szCs w:val="24"/>
                <w:lang w:val="es-ES"/>
              </w:rPr>
              <w:t xml:space="preserve">elatores y Vicerrelatores. </w:t>
            </w:r>
            <w:r w:rsidR="004A0A4B">
              <w:rPr>
                <w:rStyle w:val="Emphasis"/>
                <w:rFonts w:asciiTheme="minorHAnsi" w:hAnsiTheme="minorHAnsi" w:cstheme="minorHAnsi"/>
                <w:i w:val="0"/>
                <w:iCs w:val="0"/>
                <w:szCs w:val="24"/>
                <w:lang w:val="es-ES"/>
              </w:rPr>
              <w:t>Se a</w:t>
            </w:r>
            <w:r w:rsidR="00932776" w:rsidRPr="00F767CD">
              <w:rPr>
                <w:rStyle w:val="Emphasis"/>
                <w:rFonts w:asciiTheme="minorHAnsi" w:hAnsiTheme="minorHAnsi" w:cstheme="minorHAnsi"/>
                <w:i w:val="0"/>
                <w:iCs w:val="0"/>
                <w:szCs w:val="24"/>
                <w:lang w:val="es-ES"/>
              </w:rPr>
              <w:t xml:space="preserve">cordaron los planes de trabajo de todas las Cuestiones de Estudio, la mayoría de los cuales </w:t>
            </w:r>
            <w:r w:rsidR="003E015E" w:rsidRPr="00F767CD">
              <w:rPr>
                <w:rStyle w:val="Emphasis"/>
                <w:rFonts w:asciiTheme="minorHAnsi" w:hAnsiTheme="minorHAnsi" w:cstheme="minorHAnsi"/>
                <w:i w:val="0"/>
                <w:iCs w:val="0"/>
                <w:szCs w:val="24"/>
                <w:lang w:val="es-ES"/>
              </w:rPr>
              <w:t>tien</w:t>
            </w:r>
            <w:r w:rsidR="004A0A4B">
              <w:rPr>
                <w:rStyle w:val="Emphasis"/>
                <w:rFonts w:asciiTheme="minorHAnsi" w:hAnsiTheme="minorHAnsi" w:cstheme="minorHAnsi"/>
                <w:i w:val="0"/>
                <w:iCs w:val="0"/>
                <w:szCs w:val="24"/>
                <w:lang w:val="es-ES"/>
              </w:rPr>
              <w:t>ían</w:t>
            </w:r>
            <w:r w:rsidR="003E015E" w:rsidRPr="00F767CD">
              <w:rPr>
                <w:rStyle w:val="Emphasis"/>
                <w:rFonts w:asciiTheme="minorHAnsi" w:hAnsiTheme="minorHAnsi" w:cstheme="minorHAnsi"/>
                <w:i w:val="0"/>
                <w:iCs w:val="0"/>
                <w:szCs w:val="24"/>
                <w:lang w:val="es-ES"/>
              </w:rPr>
              <w:t xml:space="preserve"> </w:t>
            </w:r>
            <w:r w:rsidR="00932776" w:rsidRPr="00F767CD">
              <w:rPr>
                <w:rStyle w:val="Emphasis"/>
                <w:rFonts w:asciiTheme="minorHAnsi" w:hAnsiTheme="minorHAnsi" w:cstheme="minorHAnsi"/>
                <w:i w:val="0"/>
                <w:iCs w:val="0"/>
                <w:szCs w:val="24"/>
                <w:lang w:val="es-ES"/>
              </w:rPr>
              <w:t xml:space="preserve">resúmenes </w:t>
            </w:r>
            <w:r w:rsidR="003E015E" w:rsidRPr="00F767CD">
              <w:rPr>
                <w:rStyle w:val="Emphasis"/>
                <w:rFonts w:asciiTheme="minorHAnsi" w:hAnsiTheme="minorHAnsi" w:cstheme="minorHAnsi"/>
                <w:i w:val="0"/>
                <w:iCs w:val="0"/>
                <w:szCs w:val="24"/>
                <w:lang w:val="es-ES"/>
              </w:rPr>
              <w:t>e</w:t>
            </w:r>
            <w:r w:rsidR="00483815">
              <w:rPr>
                <w:rStyle w:val="Emphasis"/>
                <w:rFonts w:asciiTheme="minorHAnsi" w:hAnsiTheme="minorHAnsi" w:cstheme="minorHAnsi"/>
                <w:i w:val="0"/>
                <w:iCs w:val="0"/>
                <w:szCs w:val="24"/>
                <w:lang w:val="es-ES"/>
              </w:rPr>
              <w:t xml:space="preserve"> índices de sus productos. </w:t>
            </w:r>
          </w:p>
          <w:p w:rsidR="00932776" w:rsidRPr="00F767CD" w:rsidRDefault="00932776" w:rsidP="00483815">
            <w:pPr>
              <w:rPr>
                <w:rStyle w:val="Emphasis"/>
                <w:rFonts w:asciiTheme="minorHAnsi" w:hAnsiTheme="minorHAnsi" w:cstheme="minorHAnsi"/>
                <w:i w:val="0"/>
                <w:iCs w:val="0"/>
                <w:szCs w:val="24"/>
                <w:lang w:val="es-ES"/>
              </w:rPr>
            </w:pPr>
            <w:r w:rsidRPr="00F767CD">
              <w:rPr>
                <w:rStyle w:val="Emphasis"/>
                <w:rFonts w:asciiTheme="minorHAnsi" w:hAnsiTheme="minorHAnsi" w:cstheme="minorHAnsi"/>
                <w:i w:val="0"/>
                <w:iCs w:val="0"/>
                <w:szCs w:val="24"/>
                <w:lang w:val="es-ES"/>
              </w:rPr>
              <w:t>Las reuniones de 2018 de los Grupo</w:t>
            </w:r>
            <w:r w:rsidR="003E015E" w:rsidRPr="00F767CD">
              <w:rPr>
                <w:rStyle w:val="Emphasis"/>
                <w:rFonts w:asciiTheme="minorHAnsi" w:hAnsiTheme="minorHAnsi" w:cstheme="minorHAnsi"/>
                <w:i w:val="0"/>
                <w:iCs w:val="0"/>
                <w:szCs w:val="24"/>
                <w:lang w:val="es-ES"/>
              </w:rPr>
              <w:t>s</w:t>
            </w:r>
            <w:r w:rsidRPr="00F767CD">
              <w:rPr>
                <w:rStyle w:val="Emphasis"/>
                <w:rFonts w:asciiTheme="minorHAnsi" w:hAnsiTheme="minorHAnsi" w:cstheme="minorHAnsi"/>
                <w:i w:val="0"/>
                <w:iCs w:val="0"/>
                <w:szCs w:val="24"/>
                <w:lang w:val="es-ES"/>
              </w:rPr>
              <w:t xml:space="preserve"> de Relator de la </w:t>
            </w:r>
            <w:hyperlink r:id="rId13" w:history="1">
              <w:r w:rsidRPr="00F767CD">
                <w:rPr>
                  <w:rStyle w:val="Hyperlink"/>
                  <w:rFonts w:asciiTheme="minorHAnsi" w:hAnsiTheme="minorHAnsi" w:cstheme="minorHAnsi"/>
                  <w:szCs w:val="24"/>
                  <w:lang w:val="es-ES"/>
                </w:rPr>
                <w:t>CE</w:t>
              </w:r>
              <w:r w:rsidR="00483815">
                <w:rPr>
                  <w:rStyle w:val="Hyperlink"/>
                  <w:rFonts w:asciiTheme="minorHAnsi" w:hAnsiTheme="minorHAnsi" w:cstheme="minorHAnsi"/>
                  <w:szCs w:val="24"/>
                  <w:lang w:val="es-ES"/>
                </w:rPr>
                <w:t> </w:t>
              </w:r>
              <w:r w:rsidR="009009A1" w:rsidRPr="00F767CD">
                <w:rPr>
                  <w:rStyle w:val="Hyperlink"/>
                  <w:rFonts w:asciiTheme="minorHAnsi" w:hAnsiTheme="minorHAnsi" w:cstheme="minorHAnsi"/>
                  <w:szCs w:val="24"/>
                  <w:lang w:val="es-ES"/>
                </w:rPr>
                <w:t>1</w:t>
              </w:r>
            </w:hyperlink>
            <w:r w:rsidR="009009A1" w:rsidRPr="00F767CD">
              <w:rPr>
                <w:rStyle w:val="Emphasis"/>
                <w:rFonts w:asciiTheme="minorHAnsi" w:hAnsiTheme="minorHAnsi" w:cstheme="minorHAnsi"/>
                <w:i w:val="0"/>
                <w:iCs w:val="0"/>
                <w:szCs w:val="24"/>
                <w:lang w:val="es-ES"/>
              </w:rPr>
              <w:t xml:space="preserve"> </w:t>
            </w:r>
            <w:r w:rsidR="00483815">
              <w:rPr>
                <w:rStyle w:val="Emphasis"/>
                <w:rFonts w:asciiTheme="minorHAnsi" w:hAnsiTheme="minorHAnsi" w:cstheme="minorHAnsi"/>
                <w:i w:val="0"/>
                <w:iCs w:val="0"/>
                <w:szCs w:val="24"/>
                <w:lang w:val="es-ES"/>
              </w:rPr>
              <w:t>y la</w:t>
            </w:r>
            <w:r w:rsidR="009009A1" w:rsidRPr="00F767CD">
              <w:rPr>
                <w:rStyle w:val="Emphasis"/>
                <w:rFonts w:asciiTheme="minorHAnsi" w:hAnsiTheme="minorHAnsi" w:cstheme="minorHAnsi"/>
                <w:i w:val="0"/>
                <w:iCs w:val="0"/>
                <w:szCs w:val="24"/>
                <w:lang w:val="es-ES"/>
              </w:rPr>
              <w:t xml:space="preserve"> </w:t>
            </w:r>
            <w:hyperlink r:id="rId14" w:history="1">
              <w:r w:rsidRPr="00F767CD">
                <w:rPr>
                  <w:rStyle w:val="Hyperlink"/>
                  <w:rFonts w:asciiTheme="minorHAnsi" w:hAnsiTheme="minorHAnsi" w:cstheme="minorHAnsi"/>
                  <w:szCs w:val="24"/>
                  <w:lang w:val="es-ES"/>
                </w:rPr>
                <w:t>CE</w:t>
              </w:r>
              <w:r w:rsidR="00483815" w:rsidRPr="00483815">
                <w:rPr>
                  <w:rStyle w:val="Hyperlink"/>
                  <w:rFonts w:asciiTheme="minorHAnsi" w:eastAsiaTheme="minorEastAsia" w:hAnsiTheme="minorHAnsi" w:cstheme="minorHAnsi"/>
                  <w:szCs w:val="24"/>
                  <w:lang w:val="es-ES_tradnl" w:eastAsia="zh-CN"/>
                </w:rPr>
                <w:t> </w:t>
              </w:r>
              <w:r w:rsidR="009009A1" w:rsidRPr="00F767CD">
                <w:rPr>
                  <w:rStyle w:val="Hyperlink"/>
                  <w:rFonts w:asciiTheme="minorHAnsi" w:hAnsiTheme="minorHAnsi" w:cstheme="minorHAnsi"/>
                  <w:szCs w:val="24"/>
                  <w:lang w:val="es-ES"/>
                </w:rPr>
                <w:t>2</w:t>
              </w:r>
            </w:hyperlink>
            <w:r w:rsidR="009009A1" w:rsidRPr="00F767CD">
              <w:rPr>
                <w:rStyle w:val="Emphasis"/>
                <w:rFonts w:asciiTheme="minorHAnsi" w:hAnsiTheme="minorHAnsi" w:cstheme="minorHAnsi"/>
                <w:i w:val="0"/>
                <w:iCs w:val="0"/>
                <w:szCs w:val="24"/>
                <w:lang w:val="es-ES"/>
              </w:rPr>
              <w:t xml:space="preserve"> </w:t>
            </w:r>
            <w:r w:rsidRPr="00F767CD">
              <w:rPr>
                <w:rStyle w:val="Emphasis"/>
                <w:rFonts w:asciiTheme="minorHAnsi" w:hAnsiTheme="minorHAnsi" w:cstheme="minorHAnsi"/>
                <w:i w:val="0"/>
                <w:iCs w:val="0"/>
                <w:szCs w:val="24"/>
                <w:lang w:val="es-ES"/>
              </w:rPr>
              <w:t xml:space="preserve">se celebraron del 17 de septiembre al 11 de octubre de 2018. Se celebraron 10 sesiones/talleres </w:t>
            </w:r>
            <w:r w:rsidR="004A0A4B" w:rsidRPr="00F767CD">
              <w:rPr>
                <w:rStyle w:val="Emphasis"/>
                <w:rFonts w:asciiTheme="minorHAnsi" w:hAnsiTheme="minorHAnsi" w:cstheme="minorHAnsi"/>
                <w:i w:val="0"/>
                <w:iCs w:val="0"/>
                <w:szCs w:val="24"/>
                <w:lang w:val="es-ES"/>
              </w:rPr>
              <w:t>temátic</w:t>
            </w:r>
            <w:r w:rsidR="004A0A4B">
              <w:rPr>
                <w:rStyle w:val="Emphasis"/>
                <w:rFonts w:asciiTheme="minorHAnsi" w:hAnsiTheme="minorHAnsi" w:cstheme="minorHAnsi"/>
                <w:i w:val="0"/>
                <w:iCs w:val="0"/>
                <w:szCs w:val="24"/>
                <w:lang w:val="es-ES"/>
              </w:rPr>
              <w:t>o</w:t>
            </w:r>
            <w:r w:rsidR="004A0A4B" w:rsidRPr="00F767CD">
              <w:rPr>
                <w:rStyle w:val="Emphasis"/>
                <w:rFonts w:asciiTheme="minorHAnsi" w:hAnsiTheme="minorHAnsi" w:cstheme="minorHAnsi"/>
                <w:i w:val="0"/>
                <w:iCs w:val="0"/>
                <w:szCs w:val="24"/>
                <w:lang w:val="es-ES"/>
              </w:rPr>
              <w:t xml:space="preserve">s </w:t>
            </w:r>
            <w:r w:rsidRPr="00F767CD">
              <w:rPr>
                <w:rStyle w:val="Emphasis"/>
                <w:rFonts w:asciiTheme="minorHAnsi" w:hAnsiTheme="minorHAnsi" w:cstheme="minorHAnsi"/>
                <w:i w:val="0"/>
                <w:iCs w:val="0"/>
                <w:szCs w:val="24"/>
                <w:lang w:val="es-ES"/>
              </w:rPr>
              <w:t xml:space="preserve">y de creación de capacidad sobre diferentes temas. </w:t>
            </w:r>
          </w:p>
          <w:p w:rsidR="00F05B99" w:rsidRPr="00F767CD" w:rsidRDefault="00F05B99" w:rsidP="00483815">
            <w:pPr>
              <w:rPr>
                <w:rStyle w:val="Emphasis"/>
                <w:rFonts w:asciiTheme="minorHAnsi" w:hAnsiTheme="minorHAnsi" w:cstheme="minorHAnsi"/>
                <w:i w:val="0"/>
                <w:iCs w:val="0"/>
                <w:szCs w:val="24"/>
                <w:lang w:val="es-ES"/>
              </w:rPr>
            </w:pPr>
            <w:r w:rsidRPr="00F767CD">
              <w:rPr>
                <w:rStyle w:val="Emphasis"/>
                <w:rFonts w:asciiTheme="minorHAnsi" w:hAnsiTheme="minorHAnsi" w:cstheme="minorHAnsi"/>
                <w:i w:val="0"/>
                <w:iCs w:val="0"/>
                <w:szCs w:val="24"/>
                <w:lang w:val="es-ES"/>
              </w:rPr>
              <w:t>Para facilitar la coordinación y seguir reforzando la colaboración entre las dos Comisiones de Estudio del UIT-D y las Comisiones de Estudio de los otros Sectores, se avanzó en el trabajo sobre los tres cuadros de correspondencia</w:t>
            </w:r>
            <w:r w:rsidR="003E015E" w:rsidRPr="00F767CD">
              <w:rPr>
                <w:rStyle w:val="Emphasis"/>
                <w:rFonts w:asciiTheme="minorHAnsi" w:hAnsiTheme="minorHAnsi" w:cstheme="minorHAnsi"/>
                <w:i w:val="0"/>
                <w:iCs w:val="0"/>
                <w:szCs w:val="24"/>
                <w:lang w:val="es-ES"/>
              </w:rPr>
              <w:t xml:space="preserve"> durante las reuniones de</w:t>
            </w:r>
            <w:r w:rsidR="00483815">
              <w:rPr>
                <w:rStyle w:val="Emphasis"/>
                <w:rFonts w:asciiTheme="minorHAnsi" w:hAnsiTheme="minorHAnsi" w:cstheme="minorHAnsi"/>
                <w:i w:val="0"/>
                <w:iCs w:val="0"/>
                <w:szCs w:val="24"/>
                <w:lang w:val="es-ES"/>
              </w:rPr>
              <w:t xml:space="preserve"> los Grupos de Relator de la CE </w:t>
            </w:r>
            <w:r w:rsidR="003E015E" w:rsidRPr="00F767CD">
              <w:rPr>
                <w:rStyle w:val="Emphasis"/>
                <w:rFonts w:asciiTheme="minorHAnsi" w:hAnsiTheme="minorHAnsi" w:cstheme="minorHAnsi"/>
                <w:i w:val="0"/>
                <w:iCs w:val="0"/>
                <w:szCs w:val="24"/>
                <w:lang w:val="es-ES"/>
              </w:rPr>
              <w:t xml:space="preserve">1 y </w:t>
            </w:r>
            <w:r w:rsidR="0057609D" w:rsidRPr="00F767CD">
              <w:rPr>
                <w:rStyle w:val="Emphasis"/>
                <w:rFonts w:asciiTheme="minorHAnsi" w:hAnsiTheme="minorHAnsi" w:cstheme="minorHAnsi"/>
                <w:i w:val="0"/>
                <w:iCs w:val="0"/>
                <w:szCs w:val="24"/>
                <w:lang w:val="es-ES"/>
              </w:rPr>
              <w:t>la CE</w:t>
            </w:r>
            <w:r w:rsidR="00483815">
              <w:rPr>
                <w:rStyle w:val="Emphasis"/>
                <w:rFonts w:asciiTheme="minorHAnsi" w:hAnsiTheme="minorHAnsi" w:cstheme="minorHAnsi"/>
                <w:i w:val="0"/>
                <w:iCs w:val="0"/>
                <w:szCs w:val="24"/>
                <w:lang w:val="es-ES"/>
              </w:rPr>
              <w:t> </w:t>
            </w:r>
            <w:r w:rsidR="003E015E" w:rsidRPr="00F767CD">
              <w:rPr>
                <w:rStyle w:val="Emphasis"/>
                <w:rFonts w:asciiTheme="minorHAnsi" w:hAnsiTheme="minorHAnsi" w:cstheme="minorHAnsi"/>
                <w:i w:val="0"/>
                <w:iCs w:val="0"/>
                <w:szCs w:val="24"/>
                <w:lang w:val="es-ES"/>
              </w:rPr>
              <w:t>2</w:t>
            </w:r>
            <w:r w:rsidR="00C95F69" w:rsidRPr="00F767CD">
              <w:rPr>
                <w:rStyle w:val="Emphasis"/>
                <w:rFonts w:asciiTheme="minorHAnsi" w:hAnsiTheme="minorHAnsi" w:cstheme="minorHAnsi"/>
                <w:i w:val="0"/>
                <w:iCs w:val="0"/>
                <w:szCs w:val="24"/>
                <w:lang w:val="es-ES"/>
              </w:rPr>
              <w:t xml:space="preserve">. Además, se han analizado sinergias en 2018 entre temas de las Comisiones de Estudio y se celebraron talleres y seminarios en las regiones. Pueden verse ejemplos positivos </w:t>
            </w:r>
            <w:r w:rsidR="004E5229">
              <w:rPr>
                <w:rStyle w:val="Emphasis"/>
                <w:rFonts w:asciiTheme="minorHAnsi" w:hAnsiTheme="minorHAnsi" w:cstheme="minorHAnsi"/>
                <w:i w:val="0"/>
                <w:iCs w:val="0"/>
                <w:szCs w:val="24"/>
                <w:lang w:val="es-ES"/>
              </w:rPr>
              <w:t>de</w:t>
            </w:r>
            <w:r w:rsidR="00C95F69" w:rsidRPr="00F767CD">
              <w:rPr>
                <w:rStyle w:val="Emphasis"/>
                <w:rFonts w:asciiTheme="minorHAnsi" w:hAnsiTheme="minorHAnsi" w:cstheme="minorHAnsi"/>
                <w:i w:val="0"/>
                <w:iCs w:val="0"/>
                <w:szCs w:val="24"/>
                <w:lang w:val="es-ES"/>
              </w:rPr>
              <w:t xml:space="preserve"> proyectos piloto realizados en Hungría (junto con un seminario regional sobre implantación de 5G en Europa y la CEI), en México (junto con el Diálogo Económico Regional de la UIT sobre Telecomunicaciones/TIC para América Latina y el Caribe) y en Burkina Faso (junto con el Diálogo Económico Regional para África). </w:t>
            </w:r>
          </w:p>
          <w:p w:rsidR="00C95F69" w:rsidRPr="00F767CD" w:rsidRDefault="00C95F69" w:rsidP="00483815">
            <w:pPr>
              <w:rPr>
                <w:rFonts w:asciiTheme="minorHAnsi" w:hAnsiTheme="minorHAnsi" w:cstheme="minorHAnsi"/>
                <w:lang w:val="es-ES"/>
              </w:rPr>
            </w:pPr>
            <w:r w:rsidRPr="00F767CD">
              <w:rPr>
                <w:rFonts w:asciiTheme="minorHAnsi" w:hAnsiTheme="minorHAnsi" w:cstheme="minorHAnsi"/>
                <w:lang w:val="es-ES"/>
              </w:rPr>
              <w:t>El Diálogo Económico Regional de la UIT sobre Telecomunicaciones/TIC para América Latina y el Caribe (RED-AMS) se celebró en Ciudad de México (México) del 4 al 6 de septiembre de 2018. La reunión de intercambio de conocimientos de expertos de la Cuestión 4/1</w:t>
            </w:r>
            <w:r w:rsidR="004E5229">
              <w:rPr>
                <w:rFonts w:asciiTheme="minorHAnsi" w:hAnsiTheme="minorHAnsi" w:cstheme="minorHAnsi"/>
                <w:lang w:val="es-ES"/>
              </w:rPr>
              <w:t xml:space="preserve"> del UIT-D</w:t>
            </w:r>
            <w:r w:rsidRPr="00F767CD">
              <w:rPr>
                <w:rFonts w:asciiTheme="minorHAnsi" w:hAnsiTheme="minorHAnsi" w:cstheme="minorHAnsi"/>
                <w:lang w:val="es-ES"/>
              </w:rPr>
              <w:t xml:space="preserve"> también se celebr</w:t>
            </w:r>
            <w:r w:rsidR="00C53E06" w:rsidRPr="00F767CD">
              <w:rPr>
                <w:rFonts w:asciiTheme="minorHAnsi" w:hAnsiTheme="minorHAnsi" w:cstheme="minorHAnsi"/>
                <w:lang w:val="es-ES"/>
              </w:rPr>
              <w:t xml:space="preserve">ó durante el Diálogo Económico Regional con el fin de debatir y reunir información sobre experiencias regionales. </w:t>
            </w:r>
          </w:p>
          <w:p w:rsidR="00E55103" w:rsidRPr="00F767CD" w:rsidRDefault="00C53E06" w:rsidP="00483815">
            <w:pPr>
              <w:rPr>
                <w:rFonts w:asciiTheme="minorHAnsi" w:hAnsiTheme="minorHAnsi" w:cstheme="minorHAnsi"/>
                <w:szCs w:val="24"/>
                <w:lang w:val="es-ES"/>
              </w:rPr>
            </w:pPr>
            <w:r w:rsidRPr="00F767CD">
              <w:rPr>
                <w:rStyle w:val="Emphasis"/>
                <w:rFonts w:asciiTheme="minorHAnsi" w:hAnsiTheme="minorHAnsi" w:cstheme="minorHAnsi"/>
                <w:i w:val="0"/>
                <w:iCs w:val="0"/>
                <w:szCs w:val="24"/>
                <w:lang w:val="es-ES"/>
              </w:rPr>
              <w:t xml:space="preserve">Las dos Comisiones de Estudio del UIT-D acordaron continuar la implementación del proyecto piloto iniciado por el Consejo de 2017 para la participación de las pymes en las Comisiones de Estudio de la UIT. En 2018, siete pymes participaron en el proyecto piloto con el soporte de sus administraciones. </w:t>
            </w:r>
          </w:p>
        </w:tc>
      </w:tr>
      <w:tr w:rsidR="00E55103" w:rsidRPr="00F767CD" w:rsidTr="009009A1">
        <w:tc>
          <w:tcPr>
            <w:tcW w:w="2972" w:type="dxa"/>
          </w:tcPr>
          <w:p w:rsidR="00E55103" w:rsidRPr="00F767CD" w:rsidRDefault="00E55103" w:rsidP="00483815">
            <w:pPr>
              <w:spacing w:before="60" w:after="60"/>
              <w:rPr>
                <w:rFonts w:asciiTheme="minorHAnsi" w:hAnsiTheme="minorHAnsi"/>
                <w:i/>
                <w:iCs/>
                <w:szCs w:val="24"/>
                <w:lang w:val="es-ES"/>
              </w:rPr>
            </w:pPr>
            <w:r w:rsidRPr="00F767CD">
              <w:rPr>
                <w:rFonts w:asciiTheme="minorHAnsi" w:hAnsiTheme="minorHAnsi"/>
                <w:i/>
                <w:iCs/>
                <w:szCs w:val="24"/>
                <w:lang w:val="es-ES"/>
              </w:rPr>
              <w:t>CMDT</w:t>
            </w:r>
          </w:p>
        </w:tc>
        <w:tc>
          <w:tcPr>
            <w:tcW w:w="6656" w:type="dxa"/>
          </w:tcPr>
          <w:p w:rsidR="00E55103" w:rsidRPr="00F767CD" w:rsidRDefault="00E55103" w:rsidP="00483815">
            <w:pPr>
              <w:spacing w:before="60" w:after="60"/>
              <w:rPr>
                <w:rFonts w:asciiTheme="minorHAnsi" w:hAnsiTheme="minorHAnsi"/>
                <w:szCs w:val="24"/>
                <w:lang w:val="es-ES"/>
              </w:rPr>
            </w:pPr>
            <w:bookmarkStart w:id="21" w:name="lt_pId155"/>
            <w:r w:rsidRPr="00F767CD">
              <w:rPr>
                <w:rFonts w:asciiTheme="minorHAnsi" w:hAnsiTheme="minorHAnsi"/>
                <w:szCs w:val="24"/>
                <w:lang w:val="es-ES"/>
              </w:rPr>
              <w:t>Resoluciones 1, 2, 5, 9, 17, 21, 30, 33, 50, 59, 61, 80, 81</w:t>
            </w:r>
            <w:bookmarkEnd w:id="21"/>
          </w:p>
        </w:tc>
      </w:tr>
      <w:tr w:rsidR="00E55103" w:rsidRPr="00F767CD" w:rsidTr="009009A1">
        <w:tc>
          <w:tcPr>
            <w:tcW w:w="2972" w:type="dxa"/>
          </w:tcPr>
          <w:p w:rsidR="00E55103" w:rsidRPr="00F767CD" w:rsidRDefault="00E55103" w:rsidP="00483815">
            <w:pPr>
              <w:spacing w:before="60" w:after="60"/>
              <w:rPr>
                <w:rFonts w:asciiTheme="minorHAnsi" w:hAnsiTheme="minorHAnsi"/>
                <w:i/>
                <w:iCs/>
                <w:szCs w:val="24"/>
                <w:lang w:val="es-ES"/>
              </w:rPr>
            </w:pPr>
            <w:r w:rsidRPr="00F767CD">
              <w:rPr>
                <w:rFonts w:asciiTheme="minorHAnsi" w:eastAsia="Calibri" w:hAnsiTheme="minorHAnsi" w:cs="Arial"/>
                <w:i/>
                <w:iCs/>
                <w:szCs w:val="24"/>
                <w:lang w:val="es-ES"/>
              </w:rPr>
              <w:t>UIT-D</w:t>
            </w:r>
          </w:p>
        </w:tc>
        <w:tc>
          <w:tcPr>
            <w:tcW w:w="6656" w:type="dxa"/>
          </w:tcPr>
          <w:p w:rsidR="00E55103" w:rsidRPr="00F767CD" w:rsidRDefault="00E55103" w:rsidP="00483815">
            <w:pPr>
              <w:spacing w:before="60" w:after="60"/>
              <w:rPr>
                <w:rFonts w:asciiTheme="minorHAnsi" w:hAnsiTheme="minorHAnsi"/>
                <w:szCs w:val="24"/>
                <w:lang w:val="es-ES"/>
              </w:rPr>
            </w:pPr>
            <w:bookmarkStart w:id="22" w:name="lt_pId157"/>
            <w:r w:rsidRPr="00F767CD">
              <w:rPr>
                <w:rFonts w:asciiTheme="minorHAnsi" w:hAnsiTheme="minorHAnsi"/>
                <w:szCs w:val="24"/>
                <w:lang w:val="es-ES"/>
              </w:rPr>
              <w:t>Recomendaciones 15, 16, 17, 19, 20, 21, 22</w:t>
            </w:r>
            <w:bookmarkEnd w:id="22"/>
          </w:p>
        </w:tc>
      </w:tr>
      <w:tr w:rsidR="00E55103" w:rsidRPr="004E44DD" w:rsidTr="009009A1">
        <w:tc>
          <w:tcPr>
            <w:tcW w:w="2972" w:type="dxa"/>
          </w:tcPr>
          <w:p w:rsidR="00E55103" w:rsidRPr="00F767CD" w:rsidRDefault="00E55103" w:rsidP="00483815">
            <w:pPr>
              <w:spacing w:before="60" w:after="60"/>
              <w:rPr>
                <w:rFonts w:asciiTheme="minorHAnsi" w:hAnsiTheme="minorHAnsi"/>
                <w:i/>
                <w:iCs/>
                <w:szCs w:val="24"/>
                <w:lang w:val="es-ES"/>
              </w:rPr>
            </w:pPr>
            <w:r w:rsidRPr="00F767CD">
              <w:rPr>
                <w:rFonts w:asciiTheme="minorHAnsi" w:hAnsiTheme="minorHAnsi"/>
                <w:i/>
                <w:iCs/>
                <w:szCs w:val="24"/>
                <w:lang w:val="es-ES"/>
              </w:rPr>
              <w:t>Conferencia de Plenipotenciarios</w:t>
            </w:r>
          </w:p>
        </w:tc>
        <w:tc>
          <w:tcPr>
            <w:tcW w:w="6656" w:type="dxa"/>
          </w:tcPr>
          <w:p w:rsidR="00E55103" w:rsidRPr="00F767CD" w:rsidRDefault="00E55103" w:rsidP="00483815">
            <w:pPr>
              <w:spacing w:before="60" w:after="60"/>
              <w:rPr>
                <w:rFonts w:asciiTheme="minorHAnsi" w:hAnsiTheme="minorHAnsi"/>
                <w:szCs w:val="24"/>
                <w:lang w:val="es-ES"/>
              </w:rPr>
            </w:pPr>
            <w:r w:rsidRPr="00F767CD">
              <w:rPr>
                <w:rFonts w:asciiTheme="minorHAnsi" w:hAnsiTheme="minorHAnsi"/>
                <w:szCs w:val="24"/>
                <w:lang w:val="es-ES"/>
              </w:rPr>
              <w:t>Decisiones de la PP: 5 y 13</w:t>
            </w:r>
            <w:r w:rsidRPr="00F767CD">
              <w:rPr>
                <w:rFonts w:asciiTheme="minorHAnsi" w:hAnsiTheme="minorHAnsi"/>
                <w:szCs w:val="24"/>
                <w:lang w:val="es-ES"/>
              </w:rPr>
              <w:br/>
              <w:t>Resoluciones de la PP: 25, 71, 133, 135, 140, 154, 165, 166, 167</w:t>
            </w:r>
          </w:p>
        </w:tc>
      </w:tr>
      <w:tr w:rsidR="00E55103" w:rsidRPr="00F767CD" w:rsidTr="009009A1">
        <w:tc>
          <w:tcPr>
            <w:tcW w:w="2972" w:type="dxa"/>
          </w:tcPr>
          <w:p w:rsidR="00E55103" w:rsidRPr="00F767CD" w:rsidRDefault="00E55103" w:rsidP="00483815">
            <w:pPr>
              <w:spacing w:before="60" w:after="60"/>
              <w:rPr>
                <w:rFonts w:asciiTheme="minorHAnsi" w:hAnsiTheme="minorHAnsi"/>
                <w:i/>
                <w:iCs/>
                <w:szCs w:val="24"/>
                <w:lang w:val="es-ES"/>
              </w:rPr>
            </w:pPr>
            <w:r w:rsidRPr="00F767CD">
              <w:rPr>
                <w:rFonts w:asciiTheme="minorHAnsi" w:hAnsiTheme="minorHAnsi"/>
                <w:i/>
                <w:iCs/>
                <w:szCs w:val="24"/>
                <w:lang w:val="es-ES"/>
              </w:rPr>
              <w:t>Consejo</w:t>
            </w:r>
          </w:p>
        </w:tc>
        <w:tc>
          <w:tcPr>
            <w:tcW w:w="6656" w:type="dxa"/>
          </w:tcPr>
          <w:p w:rsidR="00E55103" w:rsidRPr="00F767CD" w:rsidRDefault="00E55103" w:rsidP="00483815">
            <w:pPr>
              <w:spacing w:before="60" w:after="60"/>
              <w:rPr>
                <w:rFonts w:asciiTheme="minorHAnsi" w:hAnsiTheme="minorHAnsi"/>
                <w:szCs w:val="24"/>
                <w:lang w:val="es-ES"/>
              </w:rPr>
            </w:pPr>
            <w:r w:rsidRPr="00F767CD">
              <w:rPr>
                <w:rFonts w:asciiTheme="minorHAnsi" w:hAnsiTheme="minorHAnsi"/>
                <w:szCs w:val="24"/>
                <w:lang w:val="es-ES"/>
              </w:rPr>
              <w:t>1372</w:t>
            </w:r>
          </w:p>
        </w:tc>
      </w:tr>
      <w:tr w:rsidR="00E55103" w:rsidRPr="004E44DD" w:rsidTr="009009A1">
        <w:tc>
          <w:tcPr>
            <w:tcW w:w="2972" w:type="dxa"/>
          </w:tcPr>
          <w:p w:rsidR="00E55103" w:rsidRPr="00F767CD" w:rsidRDefault="00E55103" w:rsidP="00483815">
            <w:pPr>
              <w:spacing w:before="60" w:after="60"/>
              <w:rPr>
                <w:rFonts w:asciiTheme="minorHAnsi" w:hAnsiTheme="minorHAnsi"/>
                <w:i/>
                <w:iCs/>
                <w:szCs w:val="24"/>
                <w:lang w:val="es-ES"/>
              </w:rPr>
            </w:pPr>
            <w:r w:rsidRPr="00F767CD">
              <w:rPr>
                <w:rFonts w:asciiTheme="minorHAnsi" w:hAnsiTheme="minorHAnsi"/>
                <w:i/>
                <w:iCs/>
                <w:szCs w:val="24"/>
                <w:lang w:val="es-ES"/>
              </w:rPr>
              <w:t>Línea de Acción de la CMSI</w:t>
            </w:r>
          </w:p>
        </w:tc>
        <w:tc>
          <w:tcPr>
            <w:tcW w:w="6656" w:type="dxa"/>
          </w:tcPr>
          <w:p w:rsidR="00E55103" w:rsidRPr="00F767CD" w:rsidRDefault="00E55103" w:rsidP="00483815">
            <w:pPr>
              <w:spacing w:before="60" w:after="60"/>
              <w:rPr>
                <w:rFonts w:asciiTheme="minorHAnsi" w:hAnsiTheme="minorHAnsi"/>
                <w:szCs w:val="24"/>
                <w:lang w:val="es-ES"/>
              </w:rPr>
            </w:pPr>
            <w:r w:rsidRPr="00F767CD">
              <w:rPr>
                <w:rFonts w:asciiTheme="minorHAnsi" w:hAnsiTheme="minorHAnsi"/>
                <w:szCs w:val="24"/>
                <w:lang w:val="es-ES"/>
              </w:rPr>
              <w:t>Líneas de Acción de la CMSI C1 y C11</w:t>
            </w:r>
          </w:p>
        </w:tc>
      </w:tr>
      <w:tr w:rsidR="00E55103" w:rsidRPr="004E44DD" w:rsidTr="009009A1">
        <w:tc>
          <w:tcPr>
            <w:tcW w:w="2972" w:type="dxa"/>
          </w:tcPr>
          <w:p w:rsidR="00E55103" w:rsidRPr="00F767CD" w:rsidRDefault="00E55103" w:rsidP="00483815">
            <w:pPr>
              <w:spacing w:before="0"/>
              <w:rPr>
                <w:rFonts w:asciiTheme="minorHAnsi" w:hAnsiTheme="minorHAnsi"/>
                <w:i/>
                <w:iCs/>
                <w:szCs w:val="24"/>
                <w:lang w:val="es-ES"/>
              </w:rPr>
            </w:pPr>
            <w:r w:rsidRPr="00F767CD">
              <w:rPr>
                <w:rFonts w:asciiTheme="minorHAnsi" w:hAnsiTheme="minorHAnsi"/>
                <w:i/>
                <w:iCs/>
                <w:szCs w:val="24"/>
                <w:lang w:val="es-ES"/>
              </w:rPr>
              <w:t>Contribución a las metas de los ODS</w:t>
            </w:r>
          </w:p>
        </w:tc>
        <w:tc>
          <w:tcPr>
            <w:tcW w:w="6656" w:type="dxa"/>
          </w:tcPr>
          <w:p w:rsidR="00E55103" w:rsidRPr="00F767CD" w:rsidRDefault="00E55103" w:rsidP="00483815">
            <w:pPr>
              <w:spacing w:before="0"/>
              <w:rPr>
                <w:rFonts w:asciiTheme="minorHAnsi" w:hAnsiTheme="minorHAnsi"/>
                <w:szCs w:val="24"/>
                <w:lang w:val="es-ES"/>
              </w:rPr>
            </w:pPr>
            <w:r w:rsidRPr="00F767CD">
              <w:rPr>
                <w:rFonts w:asciiTheme="minorHAnsi" w:hAnsiTheme="minorHAnsi"/>
                <w:szCs w:val="24"/>
                <w:lang w:val="es-ES"/>
              </w:rPr>
              <w:t>ODS: 1 (meta 1.b), 3 (meta 3.d), 5, 10, 16 (metas 16.5, 16.6, 16.10), 17 (metas 17.9, 17.16, 17.17, 17.18)</w:t>
            </w:r>
          </w:p>
        </w:tc>
      </w:tr>
    </w:tbl>
    <w:p w:rsidR="00E55103" w:rsidRPr="00F767CD" w:rsidRDefault="00E55103" w:rsidP="00483815">
      <w:pPr>
        <w:pStyle w:val="Heading1"/>
        <w:rPr>
          <w:i/>
          <w:iCs/>
          <w:lang w:val="es-ES"/>
        </w:rPr>
      </w:pPr>
      <w:r w:rsidRPr="00F767CD">
        <w:rPr>
          <w:lang w:val="es-ES"/>
        </w:rPr>
        <w:lastRenderedPageBreak/>
        <w:t>2</w:t>
      </w:r>
      <w:r w:rsidRPr="00F767CD">
        <w:rPr>
          <w:lang w:val="es-ES"/>
        </w:rPr>
        <w:tab/>
        <w:t xml:space="preserve">Objetivo 2: </w:t>
      </w:r>
      <w:r w:rsidRPr="00F767CD">
        <w:rPr>
          <w:i/>
          <w:iCs/>
          <w:lang w:val="es-ES"/>
        </w:rPr>
        <w:t>"Fomentar un entorno propicio para el desarrollo de las TIC y fomentar el desarrollo de redes de telecomunicaciones/TIC, así como las aplicaciones y los servicios pertinentes, incluida la reducción de la brecha en materia de normalización"</w:t>
      </w:r>
    </w:p>
    <w:p w:rsidR="00E55103" w:rsidRPr="00F767CD" w:rsidRDefault="00E55103" w:rsidP="00483815">
      <w:pPr>
        <w:pStyle w:val="Heading2"/>
        <w:spacing w:after="120"/>
        <w:rPr>
          <w:lang w:val="es-ES"/>
        </w:rPr>
      </w:pPr>
      <w:r w:rsidRPr="00F767CD">
        <w:rPr>
          <w:lang w:val="es-ES"/>
        </w:rPr>
        <w:t>2.1</w:t>
      </w:r>
      <w:r w:rsidRPr="00F767CD">
        <w:rPr>
          <w:lang w:val="es-ES"/>
        </w:rPr>
        <w:tab/>
        <w:t>Marcos de política y reglamentación</w:t>
      </w:r>
    </w:p>
    <w:tbl>
      <w:tblPr>
        <w:tblStyle w:val="TableGrid"/>
        <w:tblW w:w="0" w:type="auto"/>
        <w:tblLook w:val="04A0" w:firstRow="1" w:lastRow="0" w:firstColumn="1" w:lastColumn="0" w:noHBand="0" w:noVBand="1"/>
      </w:tblPr>
      <w:tblGrid>
        <w:gridCol w:w="2830"/>
        <w:gridCol w:w="6798"/>
      </w:tblGrid>
      <w:tr w:rsidR="00E55103" w:rsidRPr="004E44DD" w:rsidTr="009009A1">
        <w:trPr>
          <w:trHeight w:val="1416"/>
        </w:trPr>
        <w:tc>
          <w:tcPr>
            <w:tcW w:w="9628" w:type="dxa"/>
            <w:gridSpan w:val="2"/>
          </w:tcPr>
          <w:p w:rsidR="00E55103" w:rsidRPr="00F767CD" w:rsidRDefault="00E55103" w:rsidP="00483815">
            <w:pPr>
              <w:tabs>
                <w:tab w:val="clear" w:pos="794"/>
                <w:tab w:val="clear" w:pos="1191"/>
                <w:tab w:val="clear" w:pos="1588"/>
                <w:tab w:val="clear" w:pos="1985"/>
              </w:tabs>
              <w:overflowPunct/>
              <w:autoSpaceDE/>
              <w:autoSpaceDN/>
              <w:adjustRightInd/>
              <w:textAlignment w:val="auto"/>
              <w:rPr>
                <w:rFonts w:asciiTheme="minorHAnsi" w:hAnsiTheme="minorHAnsi" w:cstheme="minorHAnsi"/>
                <w:szCs w:val="24"/>
                <w:lang w:val="es-ES"/>
              </w:rPr>
            </w:pPr>
            <w:r w:rsidRPr="00F767CD">
              <w:rPr>
                <w:rFonts w:asciiTheme="minorHAnsi" w:eastAsiaTheme="minorHAnsi" w:hAnsiTheme="minorHAnsi" w:cstheme="minorBidi"/>
                <w:iCs/>
                <w:szCs w:val="24"/>
                <w:lang w:val="es-ES"/>
              </w:rPr>
              <w:t xml:space="preserve">El UIT-D </w:t>
            </w:r>
            <w:r w:rsidR="0057609D" w:rsidRPr="00F767CD">
              <w:rPr>
                <w:rFonts w:asciiTheme="minorHAnsi" w:eastAsiaTheme="minorHAnsi" w:hAnsiTheme="minorHAnsi" w:cstheme="minorBidi"/>
                <w:iCs/>
                <w:szCs w:val="24"/>
                <w:lang w:val="es-ES"/>
              </w:rPr>
              <w:t>convocó</w:t>
            </w:r>
            <w:r w:rsidRPr="00F767CD">
              <w:rPr>
                <w:rFonts w:asciiTheme="minorHAnsi" w:eastAsiaTheme="minorHAnsi" w:hAnsiTheme="minorHAnsi" w:cstheme="minorBidi"/>
                <w:iCs/>
                <w:szCs w:val="24"/>
                <w:lang w:val="es-ES"/>
              </w:rPr>
              <w:t xml:space="preserve"> a los foros regionales y mundiales </w:t>
            </w:r>
            <w:r w:rsidR="0057609D" w:rsidRPr="00F767CD">
              <w:rPr>
                <w:rFonts w:asciiTheme="minorHAnsi" w:eastAsiaTheme="minorHAnsi" w:hAnsiTheme="minorHAnsi" w:cstheme="minorBidi"/>
                <w:iCs/>
                <w:szCs w:val="24"/>
                <w:lang w:val="es-ES"/>
              </w:rPr>
              <w:t>para</w:t>
            </w:r>
            <w:r w:rsidRPr="00F767CD">
              <w:rPr>
                <w:rFonts w:asciiTheme="minorHAnsi" w:eastAsiaTheme="minorHAnsi" w:hAnsiTheme="minorHAnsi" w:cstheme="minorBidi"/>
                <w:iCs/>
                <w:szCs w:val="24"/>
                <w:lang w:val="es-ES"/>
              </w:rPr>
              <w:t xml:space="preserve"> debatir las tendencias globales de la reglamentación para los Miembros de Sector y otras partes interesadas </w:t>
            </w:r>
            <w:r w:rsidR="0057609D" w:rsidRPr="00F767CD">
              <w:rPr>
                <w:rFonts w:asciiTheme="minorHAnsi" w:eastAsiaTheme="minorHAnsi" w:hAnsiTheme="minorHAnsi" w:cstheme="minorBidi"/>
                <w:iCs/>
                <w:szCs w:val="24"/>
                <w:lang w:val="es-ES"/>
              </w:rPr>
              <w:t xml:space="preserve">a nivel </w:t>
            </w:r>
            <w:r w:rsidRPr="00F767CD">
              <w:rPr>
                <w:rFonts w:asciiTheme="minorHAnsi" w:eastAsiaTheme="minorHAnsi" w:hAnsiTheme="minorHAnsi" w:cstheme="minorBidi"/>
                <w:iCs/>
                <w:szCs w:val="24"/>
                <w:lang w:val="es-ES"/>
              </w:rPr>
              <w:t xml:space="preserve">nacional e internacional, mediante la organización del Simposio Mundial para Organismos Reguladores (GSR), y de unos diálogos estratégicos sobre </w:t>
            </w:r>
            <w:r w:rsidR="00A140A4">
              <w:rPr>
                <w:rFonts w:asciiTheme="minorHAnsi" w:eastAsiaTheme="minorHAnsi" w:hAnsiTheme="minorHAnsi" w:cstheme="minorBidi"/>
                <w:iCs/>
                <w:szCs w:val="24"/>
                <w:lang w:val="es-ES"/>
              </w:rPr>
              <w:t>cuestiones</w:t>
            </w:r>
            <w:r w:rsidRPr="00F767CD">
              <w:rPr>
                <w:rFonts w:asciiTheme="minorHAnsi" w:eastAsiaTheme="minorHAnsi" w:hAnsiTheme="minorHAnsi" w:cstheme="minorBidi"/>
                <w:iCs/>
                <w:szCs w:val="24"/>
                <w:lang w:val="es-ES"/>
              </w:rPr>
              <w:t xml:space="preserve"> </w:t>
            </w:r>
            <w:r w:rsidR="0057609D" w:rsidRPr="00F767CD">
              <w:rPr>
                <w:rFonts w:asciiTheme="minorHAnsi" w:eastAsiaTheme="minorHAnsi" w:hAnsiTheme="minorHAnsi" w:cstheme="minorBidi"/>
                <w:iCs/>
                <w:szCs w:val="24"/>
                <w:lang w:val="es-ES"/>
              </w:rPr>
              <w:t>de políticas</w:t>
            </w:r>
            <w:r w:rsidRPr="00F767CD">
              <w:rPr>
                <w:rFonts w:asciiTheme="minorHAnsi" w:eastAsiaTheme="minorHAnsi" w:hAnsiTheme="minorHAnsi" w:cstheme="minorBidi"/>
                <w:iCs/>
                <w:szCs w:val="24"/>
                <w:lang w:val="es-ES"/>
              </w:rPr>
              <w:t>, jurídic</w:t>
            </w:r>
            <w:r w:rsidR="00A140A4">
              <w:rPr>
                <w:rFonts w:asciiTheme="minorHAnsi" w:eastAsiaTheme="minorHAnsi" w:hAnsiTheme="minorHAnsi" w:cstheme="minorBidi"/>
                <w:iCs/>
                <w:szCs w:val="24"/>
                <w:lang w:val="es-ES"/>
              </w:rPr>
              <w:t>a</w:t>
            </w:r>
            <w:r w:rsidRPr="00F767CD">
              <w:rPr>
                <w:rFonts w:asciiTheme="minorHAnsi" w:eastAsiaTheme="minorHAnsi" w:hAnsiTheme="minorHAnsi" w:cstheme="minorBidi"/>
                <w:iCs/>
                <w:szCs w:val="24"/>
                <w:lang w:val="es-ES"/>
              </w:rPr>
              <w:t>s, reglamentari</w:t>
            </w:r>
            <w:r w:rsidR="00A140A4">
              <w:rPr>
                <w:rFonts w:asciiTheme="minorHAnsi" w:eastAsiaTheme="minorHAnsi" w:hAnsiTheme="minorHAnsi" w:cstheme="minorBidi"/>
                <w:iCs/>
                <w:szCs w:val="24"/>
                <w:lang w:val="es-ES"/>
              </w:rPr>
              <w:t>a</w:t>
            </w:r>
            <w:r w:rsidRPr="00F767CD">
              <w:rPr>
                <w:rFonts w:asciiTheme="minorHAnsi" w:eastAsiaTheme="minorHAnsi" w:hAnsiTheme="minorHAnsi" w:cstheme="minorBidi"/>
                <w:iCs/>
                <w:szCs w:val="24"/>
                <w:lang w:val="es-ES"/>
              </w:rPr>
              <w:t>s, económic</w:t>
            </w:r>
            <w:r w:rsidR="00A140A4">
              <w:rPr>
                <w:rFonts w:asciiTheme="minorHAnsi" w:eastAsiaTheme="minorHAnsi" w:hAnsiTheme="minorHAnsi" w:cstheme="minorBidi"/>
                <w:iCs/>
                <w:szCs w:val="24"/>
                <w:lang w:val="es-ES"/>
              </w:rPr>
              <w:t>a</w:t>
            </w:r>
            <w:r w:rsidRPr="00F767CD">
              <w:rPr>
                <w:rFonts w:asciiTheme="minorHAnsi" w:eastAsiaTheme="minorHAnsi" w:hAnsiTheme="minorHAnsi" w:cstheme="minorBidi"/>
                <w:iCs/>
                <w:szCs w:val="24"/>
                <w:lang w:val="es-ES"/>
              </w:rPr>
              <w:t>s y financier</w:t>
            </w:r>
            <w:r w:rsidR="00A140A4">
              <w:rPr>
                <w:rFonts w:asciiTheme="minorHAnsi" w:eastAsiaTheme="minorHAnsi" w:hAnsiTheme="minorHAnsi" w:cstheme="minorBidi"/>
                <w:iCs/>
                <w:szCs w:val="24"/>
                <w:lang w:val="es-ES"/>
              </w:rPr>
              <w:t>a</w:t>
            </w:r>
            <w:r w:rsidRPr="00F767CD">
              <w:rPr>
                <w:rFonts w:asciiTheme="minorHAnsi" w:eastAsiaTheme="minorHAnsi" w:hAnsiTheme="minorHAnsi" w:cstheme="minorBidi"/>
                <w:iCs/>
                <w:szCs w:val="24"/>
                <w:lang w:val="es-ES"/>
              </w:rPr>
              <w:t>s y de desarrollo</w:t>
            </w:r>
            <w:r w:rsidR="0057609D" w:rsidRPr="00F767CD">
              <w:rPr>
                <w:rFonts w:asciiTheme="minorHAnsi" w:eastAsiaTheme="minorHAnsi" w:hAnsiTheme="minorHAnsi" w:cstheme="minorBidi"/>
                <w:iCs/>
                <w:szCs w:val="24"/>
                <w:lang w:val="es-ES"/>
              </w:rPr>
              <w:t>s</w:t>
            </w:r>
            <w:r w:rsidRPr="00F767CD">
              <w:rPr>
                <w:rFonts w:asciiTheme="minorHAnsi" w:eastAsiaTheme="minorHAnsi" w:hAnsiTheme="minorHAnsi" w:cstheme="minorBidi"/>
                <w:iCs/>
                <w:szCs w:val="24"/>
                <w:lang w:val="es-ES"/>
              </w:rPr>
              <w:t xml:space="preserve"> del mercado. </w:t>
            </w:r>
            <w:bookmarkStart w:id="23" w:name="lt_pId175"/>
            <w:r w:rsidRPr="00F767CD">
              <w:rPr>
                <w:rFonts w:asciiTheme="minorHAnsi" w:hAnsiTheme="minorHAnsi"/>
                <w:szCs w:val="24"/>
                <w:lang w:val="es-ES"/>
              </w:rPr>
              <w:t>La 1</w:t>
            </w:r>
            <w:r w:rsidR="0057609D" w:rsidRPr="00F767CD">
              <w:rPr>
                <w:rFonts w:asciiTheme="minorHAnsi" w:hAnsiTheme="minorHAnsi"/>
                <w:szCs w:val="24"/>
                <w:lang w:val="es-ES"/>
              </w:rPr>
              <w:t>8</w:t>
            </w:r>
            <w:r w:rsidRPr="00F767CD">
              <w:rPr>
                <w:rFonts w:asciiTheme="minorHAnsi" w:hAnsiTheme="minorHAnsi"/>
                <w:szCs w:val="24"/>
                <w:lang w:val="es-ES"/>
              </w:rPr>
              <w:t>ª edición del Simposio Mundial para Organismos Reguladores (GSR) se celebr</w:t>
            </w:r>
            <w:r w:rsidR="0057609D" w:rsidRPr="00F767CD">
              <w:rPr>
                <w:rFonts w:asciiTheme="minorHAnsi" w:hAnsiTheme="minorHAnsi"/>
                <w:szCs w:val="24"/>
                <w:lang w:val="es-ES"/>
              </w:rPr>
              <w:t>ó del 9</w:t>
            </w:r>
            <w:r w:rsidRPr="00F767CD">
              <w:rPr>
                <w:rFonts w:asciiTheme="minorHAnsi" w:hAnsiTheme="minorHAnsi"/>
                <w:szCs w:val="24"/>
                <w:lang w:val="es-ES"/>
              </w:rPr>
              <w:t xml:space="preserve"> al 1</w:t>
            </w:r>
            <w:r w:rsidR="0057609D" w:rsidRPr="00F767CD">
              <w:rPr>
                <w:rFonts w:asciiTheme="minorHAnsi" w:hAnsiTheme="minorHAnsi"/>
                <w:szCs w:val="24"/>
                <w:lang w:val="es-ES"/>
              </w:rPr>
              <w:t>2</w:t>
            </w:r>
            <w:r w:rsidRPr="00F767CD">
              <w:rPr>
                <w:rFonts w:asciiTheme="minorHAnsi" w:hAnsiTheme="minorHAnsi"/>
                <w:szCs w:val="24"/>
                <w:lang w:val="es-ES"/>
              </w:rPr>
              <w:t xml:space="preserve"> de julio en</w:t>
            </w:r>
            <w:r w:rsidR="00483815">
              <w:rPr>
                <w:rFonts w:asciiTheme="minorHAnsi" w:hAnsiTheme="minorHAnsi"/>
                <w:szCs w:val="24"/>
                <w:lang w:val="es-ES"/>
              </w:rPr>
              <w:t xml:space="preserve"> Ginebra con el tema </w:t>
            </w:r>
            <w:r w:rsidR="00483815" w:rsidRPr="00483815">
              <w:rPr>
                <w:lang w:val="es-ES"/>
              </w:rPr>
              <w:t>"</w:t>
            </w:r>
            <w:r w:rsidR="0057609D" w:rsidRPr="00F767CD">
              <w:rPr>
                <w:rFonts w:asciiTheme="minorHAnsi" w:hAnsiTheme="minorHAnsi"/>
                <w:szCs w:val="24"/>
                <w:lang w:val="es-ES"/>
              </w:rPr>
              <w:t>Nuevas fronteras reglamentarias</w:t>
            </w:r>
            <w:r w:rsidR="00483815" w:rsidRPr="00483815">
              <w:rPr>
                <w:lang w:val="es-ES"/>
              </w:rPr>
              <w:t>"</w:t>
            </w:r>
            <w:r w:rsidRPr="00F767CD">
              <w:rPr>
                <w:rFonts w:asciiTheme="minorHAnsi" w:hAnsiTheme="minorHAnsi"/>
                <w:szCs w:val="24"/>
                <w:lang w:val="es-ES"/>
              </w:rPr>
              <w:t>.</w:t>
            </w:r>
            <w:bookmarkEnd w:id="23"/>
            <w:r w:rsidR="0057609D" w:rsidRPr="00F767CD">
              <w:rPr>
                <w:rFonts w:asciiTheme="minorHAnsi" w:hAnsiTheme="minorHAnsi"/>
                <w:szCs w:val="24"/>
                <w:lang w:val="es-ES"/>
              </w:rPr>
              <w:t xml:space="preserve"> </w:t>
            </w:r>
            <w:r w:rsidR="000B0140" w:rsidRPr="00F767CD">
              <w:rPr>
                <w:rFonts w:asciiTheme="minorHAnsi" w:hAnsiTheme="minorHAnsi" w:cstheme="minorHAnsi"/>
                <w:szCs w:val="24"/>
                <w:lang w:val="es-ES"/>
              </w:rPr>
              <w:t xml:space="preserve">El evento </w:t>
            </w:r>
            <w:r w:rsidR="0057609D" w:rsidRPr="00F767CD">
              <w:rPr>
                <w:rFonts w:asciiTheme="minorHAnsi" w:hAnsiTheme="minorHAnsi" w:cstheme="minorHAnsi"/>
                <w:szCs w:val="24"/>
                <w:lang w:val="es-ES"/>
              </w:rPr>
              <w:t>finalizó</w:t>
            </w:r>
            <w:r w:rsidR="000B0140" w:rsidRPr="00F767CD">
              <w:rPr>
                <w:rFonts w:asciiTheme="minorHAnsi" w:hAnsiTheme="minorHAnsi" w:cstheme="minorHAnsi"/>
                <w:szCs w:val="24"/>
                <w:lang w:val="es-ES"/>
              </w:rPr>
              <w:t xml:space="preserve"> con la adopción por los reguladores de las TIC de un conjunto de directrices sobre prácticas idóneas en materia de nuevas fronteras reglamentarias para lograr la transformación digital.</w:t>
            </w:r>
          </w:p>
          <w:p w:rsidR="0057609D" w:rsidRPr="00F767CD" w:rsidRDefault="0057609D" w:rsidP="00483815">
            <w:pPr>
              <w:spacing w:after="120"/>
              <w:rPr>
                <w:rFonts w:asciiTheme="minorHAnsi" w:hAnsiTheme="minorHAnsi" w:cstheme="minorHAnsi"/>
                <w:szCs w:val="24"/>
                <w:lang w:val="es-ES"/>
              </w:rPr>
            </w:pPr>
            <w:r w:rsidRPr="00F767CD">
              <w:rPr>
                <w:rFonts w:asciiTheme="minorHAnsi" w:hAnsiTheme="minorHAnsi" w:cstheme="minorHAnsi"/>
                <w:szCs w:val="24"/>
                <w:lang w:val="es-ES"/>
              </w:rPr>
              <w:t>El UIT-D siguió proporcionando datos de calidad, investigación, análisis y herramientas (</w:t>
            </w:r>
            <w:r w:rsidR="00EF4ED4" w:rsidRPr="00F767CD">
              <w:rPr>
                <w:rFonts w:asciiTheme="minorHAnsi" w:hAnsiTheme="minorHAnsi" w:cstheme="minorHAnsi"/>
                <w:szCs w:val="24"/>
                <w:lang w:val="es-ES"/>
              </w:rPr>
              <w:t xml:space="preserve">documentos de debate del GSR, publicaciones, bases de datos) para apoyar a los Miembros en la aplicación y la revisión de estrategias, políticas y marcos legales y reglamentarios, así como </w:t>
            </w:r>
            <w:r w:rsidR="00A675D7">
              <w:rPr>
                <w:rFonts w:asciiTheme="minorHAnsi" w:hAnsiTheme="minorHAnsi" w:cstheme="minorHAnsi"/>
                <w:szCs w:val="24"/>
                <w:lang w:val="es-ES"/>
              </w:rPr>
              <w:t>en su</w:t>
            </w:r>
            <w:r w:rsidR="00EF4ED4" w:rsidRPr="00F767CD">
              <w:rPr>
                <w:rFonts w:asciiTheme="minorHAnsi" w:hAnsiTheme="minorHAnsi" w:cstheme="minorHAnsi"/>
                <w:szCs w:val="24"/>
                <w:lang w:val="es-ES"/>
              </w:rPr>
              <w:t xml:space="preserve"> evolucionar a procesos de decisión basados en evidencias. Las publicaciones incluyeron, ent</w:t>
            </w:r>
            <w:r w:rsidR="00483815">
              <w:rPr>
                <w:rFonts w:asciiTheme="minorHAnsi" w:hAnsiTheme="minorHAnsi" w:cstheme="minorHAnsi"/>
                <w:szCs w:val="24"/>
                <w:lang w:val="es-ES"/>
              </w:rPr>
              <w:t xml:space="preserve">re otros, el Informe de la UIT </w:t>
            </w:r>
            <w:r w:rsidR="00483815" w:rsidRPr="00483815">
              <w:rPr>
                <w:lang w:val="es-ES"/>
              </w:rPr>
              <w:t>"</w:t>
            </w:r>
            <w:r w:rsidR="00EF4ED4" w:rsidRPr="00F767CD">
              <w:rPr>
                <w:rFonts w:asciiTheme="minorHAnsi" w:hAnsiTheme="minorHAnsi" w:cstheme="minorHAnsi"/>
                <w:szCs w:val="24"/>
                <w:lang w:val="es-ES"/>
              </w:rPr>
              <w:t>Sentando las bases para la 5G: oportunidades y retos</w:t>
            </w:r>
            <w:r w:rsidR="00483815" w:rsidRPr="00483815">
              <w:rPr>
                <w:lang w:val="es-ES"/>
              </w:rPr>
              <w:t>"</w:t>
            </w:r>
            <w:r w:rsidR="00EF4ED4" w:rsidRPr="00F767CD">
              <w:rPr>
                <w:rFonts w:asciiTheme="minorHAnsi" w:hAnsiTheme="minorHAnsi" w:cstheme="minorHAnsi"/>
                <w:szCs w:val="24"/>
                <w:lang w:val="es-ES"/>
              </w:rPr>
              <w:t xml:space="preserve">, un informe sobre la contribución económica de la banda ancha, la digitalización y la reglamentación de las TIC, y un informe sobre los desafíos y oportunidades reglamentarios para el nuevo ecosistema de TIC. </w:t>
            </w:r>
            <w:r w:rsidR="00CA55D9" w:rsidRPr="00F767CD">
              <w:rPr>
                <w:rFonts w:asciiTheme="minorHAnsi" w:hAnsiTheme="minorHAnsi" w:cstheme="minorHAnsi"/>
                <w:szCs w:val="24"/>
                <w:lang w:val="es-ES"/>
              </w:rPr>
              <w:t>En el cuarto trimestre de 2018, se presentó el 2018 Global Regulatory Outlook Report, segundo informe de la serie de informes anuales que estudian el mercado y las tendencias de la reglamentación en el sector de las TIC y sus implicaciones. Se han publicado los datos de reglamentaciones y políticas de 2017 en el Rastreador de reglamentación de las TIC</w:t>
            </w:r>
            <w:r w:rsidR="00D73ECA" w:rsidRPr="00F767CD">
              <w:rPr>
                <w:rFonts w:asciiTheme="minorHAnsi" w:hAnsiTheme="minorHAnsi" w:cstheme="minorHAnsi"/>
                <w:szCs w:val="24"/>
                <w:lang w:val="es-ES"/>
              </w:rPr>
              <w:t xml:space="preserve"> y están disponibles en el sitio web de la UIT. </w:t>
            </w:r>
          </w:p>
          <w:p w:rsidR="00D73ECA" w:rsidRPr="00F767CD" w:rsidRDefault="00D73ECA" w:rsidP="00483815">
            <w:pPr>
              <w:spacing w:after="120"/>
              <w:rPr>
                <w:rFonts w:asciiTheme="minorHAnsi" w:hAnsiTheme="minorHAnsi" w:cstheme="minorHAnsi"/>
                <w:szCs w:val="24"/>
                <w:lang w:val="es-ES"/>
              </w:rPr>
            </w:pPr>
            <w:r w:rsidRPr="00F767CD">
              <w:rPr>
                <w:rFonts w:asciiTheme="minorHAnsi" w:hAnsiTheme="minorHAnsi" w:cstheme="minorHAnsi"/>
                <w:szCs w:val="24"/>
                <w:lang w:val="es-ES"/>
              </w:rPr>
              <w:t>E</w:t>
            </w:r>
            <w:r w:rsidR="00A675D7">
              <w:rPr>
                <w:rFonts w:asciiTheme="minorHAnsi" w:hAnsiTheme="minorHAnsi" w:cstheme="minorHAnsi"/>
                <w:szCs w:val="24"/>
                <w:lang w:val="es-ES"/>
              </w:rPr>
              <w:t>l</w:t>
            </w:r>
            <w:r w:rsidRPr="00F767CD">
              <w:rPr>
                <w:rFonts w:asciiTheme="minorHAnsi" w:hAnsiTheme="minorHAnsi" w:cstheme="minorHAnsi"/>
                <w:szCs w:val="24"/>
                <w:lang w:val="es-ES"/>
              </w:rPr>
              <w:t xml:space="preserve"> UIT-D también </w:t>
            </w:r>
            <w:r w:rsidR="00A675D7">
              <w:rPr>
                <w:rFonts w:asciiTheme="minorHAnsi" w:hAnsiTheme="minorHAnsi" w:cstheme="minorHAnsi"/>
                <w:szCs w:val="24"/>
                <w:lang w:val="es-ES"/>
              </w:rPr>
              <w:t>proporcionó</w:t>
            </w:r>
            <w:r w:rsidRPr="00F767CD">
              <w:rPr>
                <w:rFonts w:asciiTheme="minorHAnsi" w:hAnsiTheme="minorHAnsi" w:cstheme="minorHAnsi"/>
                <w:szCs w:val="24"/>
                <w:lang w:val="es-ES"/>
              </w:rPr>
              <w:t xml:space="preserve"> herramientas y plataformas de intercambio de conocimiento (portales sobre recursos de Itinerancia Móvil Internacional (IMR), </w:t>
            </w:r>
            <w:r w:rsidR="00A675D7">
              <w:rPr>
                <w:rFonts w:asciiTheme="minorHAnsi" w:hAnsiTheme="minorHAnsi" w:cstheme="minorHAnsi"/>
                <w:szCs w:val="24"/>
                <w:lang w:val="es-ES"/>
              </w:rPr>
              <w:t xml:space="preserve">calidad de servicio, </w:t>
            </w:r>
            <w:r w:rsidRPr="00F767CD">
              <w:rPr>
                <w:rFonts w:asciiTheme="minorHAnsi" w:hAnsiTheme="minorHAnsi" w:cstheme="minorHAnsi"/>
                <w:szCs w:val="24"/>
                <w:lang w:val="es-ES"/>
              </w:rPr>
              <w:t xml:space="preserve">el ecosistema digital, desarrollo de infraestructuras y un portal de asociaciones regionales de reguladores) para </w:t>
            </w:r>
            <w:r w:rsidR="000A6C3B">
              <w:rPr>
                <w:rFonts w:asciiTheme="minorHAnsi" w:hAnsiTheme="minorHAnsi" w:cstheme="minorHAnsi"/>
                <w:szCs w:val="24"/>
                <w:lang w:val="es-ES"/>
              </w:rPr>
              <w:t>facilitar</w:t>
            </w:r>
            <w:r w:rsidRPr="00F767CD">
              <w:rPr>
                <w:rFonts w:asciiTheme="minorHAnsi" w:hAnsiTheme="minorHAnsi" w:cstheme="minorHAnsi"/>
                <w:szCs w:val="24"/>
                <w:lang w:val="es-ES"/>
              </w:rPr>
              <w:t xml:space="preserve"> un diálogo integrador y una </w:t>
            </w:r>
            <w:r w:rsidR="000A6C3B">
              <w:rPr>
                <w:rFonts w:asciiTheme="minorHAnsi" w:hAnsiTheme="minorHAnsi" w:cstheme="minorHAnsi"/>
                <w:szCs w:val="24"/>
                <w:lang w:val="es-ES"/>
              </w:rPr>
              <w:t xml:space="preserve">mejor </w:t>
            </w:r>
            <w:r w:rsidRPr="00F767CD">
              <w:rPr>
                <w:rFonts w:asciiTheme="minorHAnsi" w:hAnsiTheme="minorHAnsi" w:cstheme="minorHAnsi"/>
                <w:szCs w:val="24"/>
                <w:lang w:val="es-ES"/>
              </w:rPr>
              <w:t xml:space="preserve">cooperación </w:t>
            </w:r>
            <w:r w:rsidR="00002C60" w:rsidRPr="00F767CD">
              <w:rPr>
                <w:rFonts w:asciiTheme="minorHAnsi" w:hAnsiTheme="minorHAnsi" w:cstheme="minorHAnsi"/>
                <w:szCs w:val="24"/>
                <w:lang w:val="es-ES"/>
              </w:rPr>
              <w:t xml:space="preserve">y aumentar el conocimiento a nivel nacional y regional sobre la importancia de </w:t>
            </w:r>
            <w:r w:rsidR="000A6C3B">
              <w:rPr>
                <w:rFonts w:asciiTheme="minorHAnsi" w:hAnsiTheme="minorHAnsi" w:cstheme="minorHAnsi"/>
                <w:szCs w:val="24"/>
                <w:lang w:val="es-ES"/>
              </w:rPr>
              <w:t>un</w:t>
            </w:r>
            <w:r w:rsidR="00002C60" w:rsidRPr="00F767CD">
              <w:rPr>
                <w:rFonts w:asciiTheme="minorHAnsi" w:hAnsiTheme="minorHAnsi" w:cstheme="minorHAnsi"/>
                <w:szCs w:val="24"/>
                <w:lang w:val="es-ES"/>
              </w:rPr>
              <w:t xml:space="preserve"> entorno habilitador. </w:t>
            </w:r>
          </w:p>
          <w:p w:rsidR="000B0140" w:rsidRPr="00F767CD" w:rsidRDefault="00002C60" w:rsidP="00483815">
            <w:pPr>
              <w:rPr>
                <w:rFonts w:asciiTheme="minorHAnsi" w:hAnsiTheme="minorHAnsi" w:cstheme="minorHAnsi"/>
                <w:szCs w:val="24"/>
                <w:lang w:val="es-ES"/>
              </w:rPr>
            </w:pPr>
            <w:r w:rsidRPr="00F767CD">
              <w:rPr>
                <w:rFonts w:asciiTheme="minorHAnsi" w:hAnsiTheme="minorHAnsi" w:cstheme="minorHAnsi"/>
                <w:szCs w:val="24"/>
                <w:lang w:val="es-ES"/>
              </w:rPr>
              <w:t xml:space="preserve">El UIT-D ha seguido ayudando a los países </w:t>
            </w:r>
            <w:r w:rsidR="00C740A6">
              <w:rPr>
                <w:rFonts w:asciiTheme="minorHAnsi" w:hAnsiTheme="minorHAnsi" w:cstheme="minorHAnsi"/>
                <w:szCs w:val="24"/>
                <w:lang w:val="es-ES"/>
              </w:rPr>
              <w:t>sensibilizando</w:t>
            </w:r>
            <w:r w:rsidRPr="00F767CD">
              <w:rPr>
                <w:rFonts w:asciiTheme="minorHAnsi" w:hAnsiTheme="minorHAnsi" w:cstheme="minorHAnsi"/>
                <w:szCs w:val="24"/>
                <w:lang w:val="es-ES"/>
              </w:rPr>
              <w:t xml:space="preserve">, creando y reforzando capacidades y proporcionando apoyo técnico </w:t>
            </w:r>
            <w:r w:rsidR="00C740A6">
              <w:rPr>
                <w:rFonts w:asciiTheme="minorHAnsi" w:hAnsiTheme="minorHAnsi" w:cstheme="minorHAnsi"/>
                <w:szCs w:val="24"/>
                <w:lang w:val="es-ES"/>
              </w:rPr>
              <w:t>a través de</w:t>
            </w:r>
            <w:r w:rsidRPr="00F767CD">
              <w:rPr>
                <w:rFonts w:asciiTheme="minorHAnsi" w:hAnsiTheme="minorHAnsi" w:cstheme="minorHAnsi"/>
                <w:szCs w:val="24"/>
                <w:lang w:val="es-ES"/>
              </w:rPr>
              <w:t xml:space="preserve"> proyectos, formación, talleres, seminarios, foros y conferencias. Los temas tratados incluyen los marcos reglamentarios, </w:t>
            </w:r>
            <w:r w:rsidR="00C740A6">
              <w:rPr>
                <w:rFonts w:asciiTheme="minorHAnsi" w:hAnsiTheme="minorHAnsi" w:cstheme="minorHAnsi"/>
                <w:szCs w:val="24"/>
                <w:lang w:val="es-ES"/>
              </w:rPr>
              <w:t>el desarrollo de TIC</w:t>
            </w:r>
            <w:r w:rsidRPr="00F767CD">
              <w:rPr>
                <w:rFonts w:asciiTheme="minorHAnsi" w:hAnsiTheme="minorHAnsi" w:cstheme="minorHAnsi"/>
                <w:szCs w:val="24"/>
                <w:lang w:val="es-ES"/>
              </w:rPr>
              <w:t xml:space="preserve">, la infraestructura, las aplicaciones y los servicios de banda ancha, la </w:t>
            </w:r>
            <w:r w:rsidR="00C740A6" w:rsidRPr="00F767CD">
              <w:rPr>
                <w:rFonts w:asciiTheme="minorHAnsi" w:hAnsiTheme="minorHAnsi" w:cstheme="minorHAnsi"/>
                <w:szCs w:val="24"/>
                <w:lang w:val="es-ES"/>
              </w:rPr>
              <w:t xml:space="preserve">itinerancia móvil internacional </w:t>
            </w:r>
            <w:r w:rsidRPr="00F767CD">
              <w:rPr>
                <w:rFonts w:asciiTheme="minorHAnsi" w:hAnsiTheme="minorHAnsi" w:cstheme="minorHAnsi"/>
                <w:szCs w:val="24"/>
                <w:lang w:val="es-ES"/>
              </w:rPr>
              <w:t>(IMR), la 5G, la ciberagricultura, la cibersalud, las tecnologías emergentes, el desarrollo de infraestructuras, la gestión del espectro, la coordinación de satélites, el acceso a Internet, la concesión de licencias, la fijación de precios, la colaboración en políticas y reglamentaciones</w:t>
            </w:r>
            <w:r w:rsidR="007841FD" w:rsidRPr="00F767CD">
              <w:rPr>
                <w:rFonts w:asciiTheme="minorHAnsi" w:hAnsiTheme="minorHAnsi" w:cstheme="minorHAnsi"/>
                <w:szCs w:val="24"/>
                <w:lang w:val="es-ES"/>
              </w:rPr>
              <w:t xml:space="preserve">, </w:t>
            </w:r>
            <w:r w:rsidRPr="00F767CD">
              <w:rPr>
                <w:rFonts w:asciiTheme="minorHAnsi" w:hAnsiTheme="minorHAnsi" w:cstheme="minorHAnsi"/>
                <w:szCs w:val="24"/>
                <w:lang w:val="es-ES"/>
              </w:rPr>
              <w:t>el fortalecimiento de los servicios financieros digitales y la inclusión financiera digital</w:t>
            </w:r>
            <w:r w:rsidR="00C740A6">
              <w:rPr>
                <w:rFonts w:asciiTheme="minorHAnsi" w:hAnsiTheme="minorHAnsi" w:cstheme="minorHAnsi"/>
                <w:szCs w:val="24"/>
                <w:lang w:val="es-ES"/>
              </w:rPr>
              <w:t xml:space="preserve">, </w:t>
            </w:r>
            <w:r w:rsidRPr="00F767CD">
              <w:rPr>
                <w:rFonts w:asciiTheme="minorHAnsi" w:hAnsiTheme="minorHAnsi" w:cstheme="minorHAnsi"/>
                <w:szCs w:val="24"/>
                <w:lang w:val="es-ES"/>
              </w:rPr>
              <w:t xml:space="preserve">la economía digital, entre otros. </w:t>
            </w:r>
          </w:p>
        </w:tc>
      </w:tr>
      <w:tr w:rsidR="00E55103" w:rsidRPr="00F767CD" w:rsidTr="009009A1">
        <w:tc>
          <w:tcPr>
            <w:tcW w:w="2830" w:type="dxa"/>
          </w:tcPr>
          <w:p w:rsidR="00E55103" w:rsidRPr="00F767CD" w:rsidRDefault="00E55103" w:rsidP="00483815">
            <w:pPr>
              <w:spacing w:before="60" w:after="60"/>
              <w:rPr>
                <w:rFonts w:asciiTheme="minorHAnsi" w:hAnsiTheme="minorHAnsi"/>
                <w:i/>
                <w:iCs/>
                <w:szCs w:val="24"/>
                <w:lang w:val="es-ES"/>
              </w:rPr>
            </w:pPr>
            <w:r w:rsidRPr="00F767CD">
              <w:rPr>
                <w:rFonts w:asciiTheme="minorHAnsi" w:hAnsiTheme="minorHAnsi"/>
                <w:i/>
                <w:iCs/>
                <w:szCs w:val="24"/>
                <w:lang w:val="es-ES"/>
              </w:rPr>
              <w:t>CMDT</w:t>
            </w:r>
          </w:p>
        </w:tc>
        <w:tc>
          <w:tcPr>
            <w:tcW w:w="6798" w:type="dxa"/>
          </w:tcPr>
          <w:p w:rsidR="00E55103" w:rsidRPr="00F767CD" w:rsidRDefault="00E55103" w:rsidP="00483815">
            <w:pPr>
              <w:spacing w:before="60" w:after="60"/>
              <w:rPr>
                <w:rFonts w:asciiTheme="minorHAnsi" w:hAnsiTheme="minorHAnsi"/>
                <w:szCs w:val="24"/>
                <w:lang w:val="es-ES"/>
              </w:rPr>
            </w:pPr>
            <w:bookmarkStart w:id="24" w:name="lt_pId188"/>
            <w:r w:rsidRPr="00F767CD">
              <w:rPr>
                <w:rFonts w:asciiTheme="minorHAnsi" w:hAnsiTheme="minorHAnsi"/>
                <w:szCs w:val="24"/>
                <w:lang w:val="es-ES"/>
              </w:rPr>
              <w:t>Resoluciones 1, 9, 17, 21, 23, 30, 32, 43, 48, 62</w:t>
            </w:r>
            <w:bookmarkEnd w:id="24"/>
          </w:p>
        </w:tc>
      </w:tr>
      <w:tr w:rsidR="00E55103" w:rsidRPr="004E44DD" w:rsidTr="009009A1">
        <w:tc>
          <w:tcPr>
            <w:tcW w:w="2830" w:type="dxa"/>
          </w:tcPr>
          <w:p w:rsidR="00E55103" w:rsidRPr="00F767CD" w:rsidRDefault="00E55103" w:rsidP="00483815">
            <w:pPr>
              <w:spacing w:before="60" w:after="60"/>
              <w:rPr>
                <w:rFonts w:asciiTheme="minorHAnsi" w:hAnsiTheme="minorHAnsi"/>
                <w:i/>
                <w:iCs/>
                <w:szCs w:val="24"/>
                <w:lang w:val="es-ES"/>
              </w:rPr>
            </w:pPr>
            <w:r w:rsidRPr="00F767CD">
              <w:rPr>
                <w:rFonts w:asciiTheme="minorHAnsi" w:hAnsiTheme="minorHAnsi"/>
                <w:i/>
                <w:iCs/>
                <w:szCs w:val="24"/>
                <w:lang w:val="es-ES"/>
              </w:rPr>
              <w:t>Conferencia de Plenipotenciarios</w:t>
            </w:r>
          </w:p>
        </w:tc>
        <w:tc>
          <w:tcPr>
            <w:tcW w:w="6798" w:type="dxa"/>
          </w:tcPr>
          <w:p w:rsidR="00E55103" w:rsidRPr="00F767CD" w:rsidRDefault="00E55103" w:rsidP="00483815">
            <w:pPr>
              <w:spacing w:before="60" w:after="60"/>
              <w:rPr>
                <w:rFonts w:asciiTheme="minorHAnsi" w:hAnsiTheme="minorHAnsi"/>
                <w:szCs w:val="24"/>
                <w:lang w:val="es-ES"/>
              </w:rPr>
            </w:pPr>
            <w:r w:rsidRPr="00F767CD">
              <w:rPr>
                <w:rFonts w:asciiTheme="minorHAnsi" w:hAnsiTheme="minorHAnsi"/>
                <w:szCs w:val="24"/>
                <w:lang w:val="es-ES"/>
              </w:rPr>
              <w:t>Decisiones de la PP: 5 y 13</w:t>
            </w:r>
            <w:r w:rsidRPr="00F767CD">
              <w:rPr>
                <w:rFonts w:asciiTheme="minorHAnsi" w:hAnsiTheme="minorHAnsi"/>
                <w:szCs w:val="24"/>
                <w:lang w:val="es-ES"/>
              </w:rPr>
              <w:br/>
              <w:t>Resoluciones de la PP: 25, 71, 102, 135, 138, 154 y 165</w:t>
            </w:r>
          </w:p>
        </w:tc>
      </w:tr>
      <w:tr w:rsidR="00E55103" w:rsidRPr="00F767CD" w:rsidTr="009009A1">
        <w:tc>
          <w:tcPr>
            <w:tcW w:w="2830" w:type="dxa"/>
          </w:tcPr>
          <w:p w:rsidR="00E55103" w:rsidRPr="00F767CD" w:rsidRDefault="00E55103" w:rsidP="00483815">
            <w:pPr>
              <w:spacing w:before="60" w:after="60"/>
              <w:rPr>
                <w:i/>
                <w:iCs/>
                <w:szCs w:val="24"/>
                <w:lang w:val="es-ES"/>
              </w:rPr>
            </w:pPr>
            <w:r w:rsidRPr="00F767CD">
              <w:rPr>
                <w:rFonts w:asciiTheme="minorHAnsi" w:hAnsiTheme="minorHAnsi"/>
                <w:i/>
                <w:iCs/>
                <w:szCs w:val="24"/>
                <w:lang w:val="es-ES"/>
              </w:rPr>
              <w:lastRenderedPageBreak/>
              <w:t>CMTI</w:t>
            </w:r>
          </w:p>
        </w:tc>
        <w:tc>
          <w:tcPr>
            <w:tcW w:w="6798" w:type="dxa"/>
          </w:tcPr>
          <w:p w:rsidR="00E55103" w:rsidRPr="00F767CD" w:rsidRDefault="00E55103" w:rsidP="00483815">
            <w:pPr>
              <w:spacing w:before="60" w:after="60"/>
              <w:rPr>
                <w:szCs w:val="24"/>
                <w:lang w:val="es-ES"/>
              </w:rPr>
            </w:pPr>
            <w:bookmarkStart w:id="25" w:name="lt_pId193"/>
            <w:r w:rsidRPr="00F767CD">
              <w:rPr>
                <w:rFonts w:asciiTheme="minorHAnsi" w:hAnsiTheme="minorHAnsi"/>
                <w:szCs w:val="24"/>
                <w:lang w:val="es-ES"/>
              </w:rPr>
              <w:t>Resolución</w:t>
            </w:r>
            <w:r w:rsidRPr="00F767CD">
              <w:rPr>
                <w:szCs w:val="24"/>
                <w:lang w:val="es-ES"/>
              </w:rPr>
              <w:t xml:space="preserve"> 3</w:t>
            </w:r>
            <w:bookmarkEnd w:id="25"/>
          </w:p>
        </w:tc>
      </w:tr>
      <w:tr w:rsidR="00E55103" w:rsidRPr="004E44DD" w:rsidTr="009009A1">
        <w:tc>
          <w:tcPr>
            <w:tcW w:w="2830" w:type="dxa"/>
          </w:tcPr>
          <w:p w:rsidR="00E55103" w:rsidRPr="00F767CD" w:rsidRDefault="00E55103" w:rsidP="00483815">
            <w:pPr>
              <w:spacing w:before="60" w:after="60"/>
              <w:rPr>
                <w:rFonts w:asciiTheme="minorHAnsi" w:hAnsiTheme="minorHAnsi"/>
                <w:i/>
                <w:iCs/>
                <w:szCs w:val="24"/>
                <w:lang w:val="es-ES"/>
              </w:rPr>
            </w:pPr>
            <w:r w:rsidRPr="00F767CD">
              <w:rPr>
                <w:rFonts w:asciiTheme="minorHAnsi" w:hAnsiTheme="minorHAnsi"/>
                <w:i/>
                <w:iCs/>
                <w:szCs w:val="24"/>
                <w:lang w:val="es-ES"/>
              </w:rPr>
              <w:t>Línea de Acción de la CMSI</w:t>
            </w:r>
          </w:p>
        </w:tc>
        <w:tc>
          <w:tcPr>
            <w:tcW w:w="6798" w:type="dxa"/>
          </w:tcPr>
          <w:p w:rsidR="00E55103" w:rsidRPr="00F767CD" w:rsidRDefault="00E55103" w:rsidP="00483815">
            <w:pPr>
              <w:spacing w:before="60" w:after="60"/>
              <w:rPr>
                <w:rFonts w:asciiTheme="minorHAnsi" w:hAnsiTheme="minorHAnsi"/>
                <w:szCs w:val="24"/>
                <w:lang w:val="es-ES"/>
              </w:rPr>
            </w:pPr>
            <w:r w:rsidRPr="00F767CD">
              <w:rPr>
                <w:rFonts w:asciiTheme="minorHAnsi" w:hAnsiTheme="minorHAnsi"/>
                <w:szCs w:val="24"/>
                <w:lang w:val="es-ES"/>
              </w:rPr>
              <w:t>Línea de Acción C6 de la CMSI del Plan de Acción de Ginebra y los párrafos 112 a 119 de la Agenda de Túnez para la Sociedad de la Información</w:t>
            </w:r>
          </w:p>
        </w:tc>
      </w:tr>
      <w:tr w:rsidR="00E55103" w:rsidRPr="004E44DD" w:rsidTr="009009A1">
        <w:tc>
          <w:tcPr>
            <w:tcW w:w="2830" w:type="dxa"/>
          </w:tcPr>
          <w:p w:rsidR="00E55103" w:rsidRPr="00F767CD" w:rsidRDefault="00E55103" w:rsidP="00483815">
            <w:pPr>
              <w:spacing w:before="60" w:after="60"/>
              <w:rPr>
                <w:rFonts w:asciiTheme="minorHAnsi" w:hAnsiTheme="minorHAnsi"/>
                <w:i/>
                <w:iCs/>
                <w:szCs w:val="24"/>
                <w:lang w:val="es-ES"/>
              </w:rPr>
            </w:pPr>
            <w:r w:rsidRPr="00F767CD">
              <w:rPr>
                <w:rFonts w:asciiTheme="minorHAnsi" w:hAnsiTheme="minorHAnsi"/>
                <w:i/>
                <w:iCs/>
                <w:szCs w:val="24"/>
                <w:lang w:val="es-ES"/>
              </w:rPr>
              <w:t>Contribución a las metas de los ODS</w:t>
            </w:r>
          </w:p>
        </w:tc>
        <w:tc>
          <w:tcPr>
            <w:tcW w:w="6798" w:type="dxa"/>
          </w:tcPr>
          <w:p w:rsidR="00E55103" w:rsidRPr="00F767CD" w:rsidRDefault="00E55103" w:rsidP="00483815">
            <w:pPr>
              <w:spacing w:before="60" w:after="60"/>
              <w:rPr>
                <w:rFonts w:asciiTheme="minorHAnsi" w:hAnsiTheme="minorHAnsi"/>
                <w:szCs w:val="24"/>
                <w:lang w:val="es-ES"/>
              </w:rPr>
            </w:pPr>
            <w:r w:rsidRPr="00F767CD">
              <w:rPr>
                <w:rFonts w:asciiTheme="minorHAnsi" w:hAnsiTheme="minorHAnsi"/>
                <w:szCs w:val="24"/>
                <w:lang w:val="es-ES"/>
              </w:rPr>
              <w:t>ODS: 1 (metas 1.1, 1.2, 1.3, 1.4, 1.5, 1.a, 1.b), 2 (metas 2.3, 2.4, 2.c), 3 (metas 3.8, 3.d), 4 (metas 4.3, 4.4, 4.5, 4.7, 4.c), 5 (metas 5.1, 5.b), 7 (metas 7.a, 7.b), 8 (metas 8.2, 8.3, 8.9, 8.10), 9 (metas 9.1, 9.3, 9.5, 9.a, 9.c), 10 (metas 10.3, 10.c), 11 (meta 11.1), 12 (metas 12.8, 12.b), 13 (meta 13.3), 16 (metas 16.6, 16.7, 16.8, 16.10, 16.b), 17 (metas 17.6, 17.8, 17.9, 17.14, 17.16, 17.17)</w:t>
            </w:r>
          </w:p>
        </w:tc>
      </w:tr>
    </w:tbl>
    <w:p w:rsidR="00E55103" w:rsidRPr="00F767CD" w:rsidRDefault="00E55103" w:rsidP="00483815">
      <w:pPr>
        <w:pStyle w:val="Heading2"/>
        <w:spacing w:after="120"/>
        <w:rPr>
          <w:lang w:val="es-ES"/>
        </w:rPr>
      </w:pPr>
      <w:r w:rsidRPr="00F767CD">
        <w:rPr>
          <w:lang w:val="es-ES"/>
        </w:rPr>
        <w:t>2.2</w:t>
      </w:r>
      <w:r w:rsidRPr="00F767CD">
        <w:rPr>
          <w:lang w:val="es-ES"/>
        </w:rPr>
        <w:tab/>
        <w:t>Redes de telecomunicaciones/TIC, incluida la conformidad y la interoperabilidad y la reducción de la brecha en materia de normalización</w:t>
      </w:r>
    </w:p>
    <w:tbl>
      <w:tblPr>
        <w:tblStyle w:val="TableGrid"/>
        <w:tblW w:w="0" w:type="auto"/>
        <w:tblLook w:val="04A0" w:firstRow="1" w:lastRow="0" w:firstColumn="1" w:lastColumn="0" w:noHBand="0" w:noVBand="1"/>
      </w:tblPr>
      <w:tblGrid>
        <w:gridCol w:w="2830"/>
        <w:gridCol w:w="6798"/>
      </w:tblGrid>
      <w:tr w:rsidR="00C740A6" w:rsidRPr="004E44DD" w:rsidTr="009009A1">
        <w:tc>
          <w:tcPr>
            <w:tcW w:w="9628" w:type="dxa"/>
            <w:gridSpan w:val="2"/>
          </w:tcPr>
          <w:p w:rsidR="00C740A6" w:rsidRPr="00F767CD" w:rsidRDefault="00C740A6" w:rsidP="00483815">
            <w:pPr>
              <w:rPr>
                <w:rFonts w:asciiTheme="minorHAnsi" w:hAnsiTheme="minorHAnsi"/>
                <w:szCs w:val="24"/>
                <w:lang w:val="es-ES"/>
              </w:rPr>
            </w:pPr>
            <w:r w:rsidRPr="00F767CD">
              <w:rPr>
                <w:rFonts w:asciiTheme="minorHAnsi" w:hAnsiTheme="minorHAnsi"/>
                <w:szCs w:val="24"/>
                <w:lang w:val="es-ES"/>
              </w:rPr>
              <w:t xml:space="preserve">El UIT-D elabora y actualiza los Mapas interactivos de la UIT de transmisión terrenal </w:t>
            </w:r>
            <w:r w:rsidRPr="00F767CD">
              <w:rPr>
                <w:szCs w:val="24"/>
                <w:lang w:val="es-ES"/>
              </w:rPr>
              <w:t>(</w:t>
            </w:r>
            <w:r w:rsidR="00483815" w:rsidRPr="00483815">
              <w:rPr>
                <w:rStyle w:val="Hyperlink"/>
                <w:rFonts w:asciiTheme="minorHAnsi" w:hAnsiTheme="minorHAnsi"/>
                <w:szCs w:val="24"/>
                <w:lang w:val="es-ES"/>
              </w:rPr>
              <w:t>http</w:t>
            </w:r>
            <w:r w:rsidR="00483815">
              <w:rPr>
                <w:rStyle w:val="Hyperlink"/>
                <w:rFonts w:asciiTheme="minorHAnsi" w:hAnsiTheme="minorHAnsi"/>
                <w:szCs w:val="24"/>
                <w:lang w:val="es-ES"/>
              </w:rPr>
              <w:t>s://www.itu.int/go/</w:t>
            </w:r>
            <w:r w:rsidR="00483815" w:rsidRPr="00483815">
              <w:rPr>
                <w:rStyle w:val="Hyperlink"/>
                <w:rFonts w:asciiTheme="minorHAnsi" w:hAnsiTheme="minorHAnsi"/>
                <w:szCs w:val="24"/>
                <w:lang w:val="es-ES"/>
              </w:rPr>
              <w:t>Maps.</w:t>
            </w:r>
            <w:r w:rsidRPr="00F767CD">
              <w:rPr>
                <w:szCs w:val="24"/>
                <w:lang w:val="es-ES"/>
              </w:rPr>
              <w:t>).</w:t>
            </w:r>
            <w:r w:rsidRPr="00F767CD">
              <w:rPr>
                <w:rFonts w:asciiTheme="minorHAnsi" w:hAnsiTheme="minorHAnsi"/>
                <w:szCs w:val="24"/>
                <w:lang w:val="es-ES"/>
              </w:rPr>
              <w:t xml:space="preserve"> Los Mapas de la UIT contienen las infraestructuras esenciales de TIC en cuanto a fibra óptica troncal de banda ancha, enlaces de microondas, estaciones terrenas de satélite y cables submarinos</w:t>
            </w:r>
            <w:bookmarkStart w:id="26" w:name="lt_pId203"/>
            <w:r w:rsidRPr="00F767CD">
              <w:rPr>
                <w:rFonts w:asciiTheme="minorHAnsi" w:hAnsiTheme="minorHAnsi"/>
                <w:szCs w:val="24"/>
                <w:lang w:val="es-ES"/>
              </w:rPr>
              <w:t>.</w:t>
            </w:r>
            <w:r w:rsidRPr="00F767CD">
              <w:rPr>
                <w:rFonts w:ascii="Calibri" w:hAnsi="Calibri"/>
                <w:b/>
                <w:color w:val="800000"/>
                <w:szCs w:val="24"/>
                <w:lang w:val="es-ES"/>
              </w:rPr>
              <w:t xml:space="preserve"> </w:t>
            </w:r>
            <w:r w:rsidRPr="00F767CD">
              <w:rPr>
                <w:rFonts w:asciiTheme="minorHAnsi" w:hAnsiTheme="minorHAnsi"/>
                <w:szCs w:val="24"/>
                <w:lang w:val="es-ES"/>
              </w:rPr>
              <w:t>Se ha renovado la interfaz de los Mapas para poder visualizar nuevos datos y análisis</w:t>
            </w:r>
            <w:r>
              <w:rPr>
                <w:rFonts w:asciiTheme="minorHAnsi" w:hAnsiTheme="minorHAnsi"/>
                <w:szCs w:val="24"/>
                <w:lang w:val="es-ES"/>
              </w:rPr>
              <w:t xml:space="preserve"> de los mismos</w:t>
            </w:r>
            <w:r w:rsidRPr="00F767CD">
              <w:rPr>
                <w:rFonts w:asciiTheme="minorHAnsi" w:hAnsiTheme="minorHAnsi"/>
                <w:szCs w:val="24"/>
                <w:lang w:val="es-ES"/>
              </w:rPr>
              <w:t xml:space="preserve">. Los Mapas permiten propuestas de mejoras gráficas, marcos esquemáticos para las aplicaciones en teléfonos inteligentes y tabletas y tablones de anuncios y estadísticas. Se han elaborado vídeos y demostraciones para los eventos, fácilmente instalables. En el momento de realizar este Informe, los Mapas contenían información procedente de </w:t>
            </w:r>
            <w:bookmarkStart w:id="27" w:name="lt_pId207"/>
            <w:bookmarkEnd w:id="26"/>
            <w:r w:rsidRPr="00F767CD">
              <w:rPr>
                <w:rFonts w:asciiTheme="minorHAnsi" w:hAnsiTheme="minorHAnsi"/>
                <w:szCs w:val="24"/>
                <w:lang w:val="es-ES"/>
              </w:rPr>
              <w:t>443 redes de operadores y 21 806 nodos de todo el mundo. Se han investigado los enlaces de transmisión de</w:t>
            </w:r>
            <w:bookmarkStart w:id="28" w:name="lt_pId208"/>
            <w:bookmarkEnd w:id="27"/>
            <w:r w:rsidRPr="00F767CD">
              <w:rPr>
                <w:rFonts w:asciiTheme="minorHAnsi" w:hAnsiTheme="minorHAnsi"/>
                <w:szCs w:val="24"/>
                <w:lang w:val="es-ES"/>
              </w:rPr>
              <w:t> 13 726 736 km de rutas, de los cuales 3 546 379 km se han importado en el Mapa. Se han añadido una nueva página web, capas adicionales (</w:t>
            </w:r>
            <w:bookmarkStart w:id="29" w:name="lt_pId209"/>
            <w:bookmarkEnd w:id="28"/>
            <w:r>
              <w:rPr>
                <w:rFonts w:asciiTheme="minorHAnsi" w:hAnsiTheme="minorHAnsi"/>
                <w:szCs w:val="24"/>
                <w:lang w:val="es-ES"/>
              </w:rPr>
              <w:t xml:space="preserve">los </w:t>
            </w:r>
            <w:r w:rsidRPr="00F767CD">
              <w:rPr>
                <w:rFonts w:asciiTheme="minorHAnsi" w:hAnsiTheme="minorHAnsi"/>
                <w:szCs w:val="24"/>
                <w:lang w:val="es-ES"/>
              </w:rPr>
              <w:t>IXP en colaboración con Telegeography) y tablones de anuncios, se ha actualizado los cables submarinos y la información sobre las estaciones terrenas de satélite</w:t>
            </w:r>
            <w:bookmarkStart w:id="30" w:name="lt_pId210"/>
            <w:bookmarkEnd w:id="29"/>
            <w:r w:rsidRPr="00F767CD">
              <w:rPr>
                <w:rFonts w:asciiTheme="minorHAnsi" w:hAnsiTheme="minorHAnsi"/>
                <w:szCs w:val="24"/>
                <w:lang w:val="es-ES"/>
              </w:rPr>
              <w:t>.</w:t>
            </w:r>
            <w:bookmarkEnd w:id="30"/>
          </w:p>
          <w:p w:rsidR="00C740A6" w:rsidRPr="00F767CD" w:rsidRDefault="00C740A6" w:rsidP="00483815">
            <w:pPr>
              <w:rPr>
                <w:rFonts w:asciiTheme="minorHAnsi" w:hAnsiTheme="minorHAnsi"/>
                <w:szCs w:val="24"/>
                <w:lang w:val="es-ES"/>
              </w:rPr>
            </w:pPr>
            <w:r w:rsidRPr="00F767CD">
              <w:rPr>
                <w:rFonts w:asciiTheme="minorHAnsi" w:hAnsiTheme="minorHAnsi"/>
                <w:szCs w:val="24"/>
                <w:lang w:val="es-ES"/>
              </w:rPr>
              <w:t xml:space="preserve">Están en curso nuevos desarrollos </w:t>
            </w:r>
            <w:r w:rsidR="00FF2B5E">
              <w:rPr>
                <w:rFonts w:asciiTheme="minorHAnsi" w:hAnsiTheme="minorHAnsi"/>
                <w:szCs w:val="24"/>
                <w:lang w:val="es-ES"/>
              </w:rPr>
              <w:t>en el</w:t>
            </w:r>
            <w:r w:rsidRPr="00F767CD">
              <w:rPr>
                <w:rFonts w:asciiTheme="minorHAnsi" w:hAnsiTheme="minorHAnsi"/>
                <w:szCs w:val="24"/>
                <w:lang w:val="es-ES"/>
              </w:rPr>
              <w:t xml:space="preserve"> </w:t>
            </w:r>
            <w:r w:rsidR="00FF2B5E">
              <w:rPr>
                <w:rFonts w:asciiTheme="minorHAnsi" w:hAnsiTheme="minorHAnsi"/>
                <w:szCs w:val="24"/>
                <w:lang w:val="es-ES"/>
              </w:rPr>
              <w:t>software</w:t>
            </w:r>
            <w:r w:rsidRPr="00F767CD">
              <w:rPr>
                <w:rFonts w:asciiTheme="minorHAnsi" w:hAnsiTheme="minorHAnsi"/>
                <w:szCs w:val="24"/>
                <w:lang w:val="es-ES"/>
              </w:rPr>
              <w:t xml:space="preserve"> del sistema de gestión del espectro para los países en desarrollo (SMS4DC) para las funciones de administración y de radiocomunicaciones. Se proporcionó asistencia técnica y programas de formación en este ámbi</w:t>
            </w:r>
            <w:r w:rsidR="00BB4B3A">
              <w:rPr>
                <w:rFonts w:asciiTheme="minorHAnsi" w:hAnsiTheme="minorHAnsi"/>
                <w:szCs w:val="24"/>
                <w:lang w:val="es-ES"/>
              </w:rPr>
              <w:t>to a varios países y regiones.</w:t>
            </w:r>
          </w:p>
          <w:p w:rsidR="00C740A6" w:rsidRPr="00F767CD" w:rsidRDefault="00C740A6" w:rsidP="00483815">
            <w:pPr>
              <w:rPr>
                <w:rFonts w:asciiTheme="minorHAnsi" w:hAnsiTheme="minorHAnsi"/>
                <w:szCs w:val="24"/>
                <w:lang w:val="es-ES"/>
              </w:rPr>
            </w:pPr>
            <w:r w:rsidRPr="00F767CD">
              <w:rPr>
                <w:rFonts w:asciiTheme="minorHAnsi" w:hAnsiTheme="minorHAnsi"/>
                <w:szCs w:val="24"/>
                <w:lang w:val="es-ES"/>
              </w:rPr>
              <w:t xml:space="preserve">Se sigue prestando asistencia en el ámbito de la conectividad de banda ancha y el desarrollo de aplicaciones de TIC para proporcionar acceso digital gratuito o de bajo costo para escuelas, hospitales y poblaciones insuficientemente atendidas de zonas rurales y aisladas en determinados países. Por ejemplo, la red inalámbrica de banda ancha está en pleno funcionamiento en Burundi, con 437 instituciones y usuarios conectados a la red. La red inalámbrica de banda ancha </w:t>
            </w:r>
            <w:r w:rsidR="00FF2B5E">
              <w:rPr>
                <w:rFonts w:asciiTheme="minorHAnsi" w:hAnsiTheme="minorHAnsi"/>
                <w:szCs w:val="24"/>
                <w:lang w:val="es-ES"/>
              </w:rPr>
              <w:t>de</w:t>
            </w:r>
            <w:r w:rsidR="00FF2B5E" w:rsidRPr="00F767CD">
              <w:rPr>
                <w:rFonts w:asciiTheme="minorHAnsi" w:hAnsiTheme="minorHAnsi"/>
                <w:szCs w:val="24"/>
                <w:lang w:val="es-ES"/>
              </w:rPr>
              <w:t xml:space="preserve"> Burkina Faso </w:t>
            </w:r>
            <w:r w:rsidRPr="00F767CD">
              <w:rPr>
                <w:rFonts w:asciiTheme="minorHAnsi" w:hAnsiTheme="minorHAnsi"/>
                <w:szCs w:val="24"/>
                <w:lang w:val="es-ES"/>
              </w:rPr>
              <w:t xml:space="preserve">está completamente instalada y en funcionamiento. En Djibouti, las 5 provincias están conectadas y la red de banda ancha está en pleno funcionamiento. También se han instalado redes inalámbricas de banda ancha en Rwanda, Antigua y Barbuda </w:t>
            </w:r>
            <w:r w:rsidR="00FF2B5E">
              <w:rPr>
                <w:rFonts w:asciiTheme="minorHAnsi" w:hAnsiTheme="minorHAnsi"/>
                <w:szCs w:val="24"/>
                <w:lang w:val="es-ES"/>
              </w:rPr>
              <w:t>y</w:t>
            </w:r>
            <w:r w:rsidRPr="00F767CD">
              <w:rPr>
                <w:rFonts w:asciiTheme="minorHAnsi" w:hAnsiTheme="minorHAnsi"/>
                <w:szCs w:val="24"/>
                <w:lang w:val="es-ES"/>
              </w:rPr>
              <w:t xml:space="preserve"> Saint Kitts y Nevis, entre otros.</w:t>
            </w:r>
          </w:p>
          <w:p w:rsidR="00C740A6" w:rsidRPr="00F767CD" w:rsidRDefault="00C740A6" w:rsidP="00483815">
            <w:pPr>
              <w:rPr>
                <w:rFonts w:asciiTheme="minorHAnsi" w:hAnsiTheme="minorHAnsi"/>
                <w:szCs w:val="24"/>
                <w:lang w:val="es-ES"/>
              </w:rPr>
            </w:pPr>
            <w:r w:rsidRPr="00F767CD">
              <w:rPr>
                <w:rFonts w:asciiTheme="minorHAnsi" w:hAnsiTheme="minorHAnsi"/>
                <w:szCs w:val="24"/>
                <w:lang w:val="es-ES"/>
              </w:rPr>
              <w:t xml:space="preserve">De acuerdo con la Resolución 47 de la CMDT (Rev. Dubái, 2014), se organizaron foros regionales y cursos de formación sobre C+I en varios países y regiones. </w:t>
            </w:r>
          </w:p>
          <w:p w:rsidR="00C740A6" w:rsidRPr="00F767CD" w:rsidRDefault="00C740A6" w:rsidP="00483815">
            <w:pPr>
              <w:rPr>
                <w:rFonts w:asciiTheme="minorHAnsi" w:hAnsiTheme="minorHAnsi"/>
                <w:szCs w:val="24"/>
                <w:lang w:val="es-ES"/>
              </w:rPr>
            </w:pPr>
            <w:bookmarkStart w:id="31" w:name="lt_pId218"/>
            <w:r w:rsidRPr="00F767CD">
              <w:rPr>
                <w:rFonts w:asciiTheme="minorHAnsi" w:hAnsiTheme="minorHAnsi"/>
                <w:szCs w:val="24"/>
                <w:lang w:val="es-ES"/>
              </w:rPr>
              <w:t xml:space="preserve">Se creó capacidad en Miembros de la UIT y se organizaron programas de formación </w:t>
            </w:r>
            <w:r w:rsidR="00FF2B5E">
              <w:rPr>
                <w:rFonts w:asciiTheme="minorHAnsi" w:hAnsiTheme="minorHAnsi"/>
                <w:szCs w:val="24"/>
                <w:lang w:val="es-ES"/>
              </w:rPr>
              <w:t>sobre</w:t>
            </w:r>
            <w:r w:rsidRPr="00F767CD">
              <w:rPr>
                <w:rFonts w:asciiTheme="minorHAnsi" w:hAnsiTheme="minorHAnsi"/>
                <w:szCs w:val="24"/>
                <w:lang w:val="es-ES"/>
              </w:rPr>
              <w:t xml:space="preserve"> temas relativos a las redes de telecomunicaciones/TIC, entre los que se cuentan </w:t>
            </w:r>
            <w:r w:rsidR="00FF2B5E">
              <w:rPr>
                <w:rFonts w:asciiTheme="minorHAnsi" w:hAnsiTheme="minorHAnsi"/>
                <w:szCs w:val="24"/>
                <w:lang w:val="es-ES"/>
              </w:rPr>
              <w:t>c</w:t>
            </w:r>
            <w:r w:rsidRPr="00F767CD">
              <w:rPr>
                <w:rFonts w:asciiTheme="minorHAnsi" w:hAnsiTheme="minorHAnsi"/>
                <w:szCs w:val="24"/>
                <w:lang w:val="es-ES"/>
              </w:rPr>
              <w:t xml:space="preserve">onformidad e </w:t>
            </w:r>
            <w:r w:rsidRPr="00F767CD">
              <w:rPr>
                <w:rFonts w:asciiTheme="minorHAnsi" w:hAnsiTheme="minorHAnsi"/>
                <w:szCs w:val="24"/>
                <w:lang w:val="es-ES"/>
              </w:rPr>
              <w:lastRenderedPageBreak/>
              <w:t xml:space="preserve">interoperabilidad, televisión digital terrenal, </w:t>
            </w:r>
            <w:r w:rsidR="00FF2B5E">
              <w:rPr>
                <w:rFonts w:asciiTheme="minorHAnsi" w:hAnsiTheme="minorHAnsi"/>
                <w:szCs w:val="24"/>
                <w:lang w:val="es-ES"/>
              </w:rPr>
              <w:t>I</w:t>
            </w:r>
            <w:r w:rsidRPr="00F767CD">
              <w:rPr>
                <w:rFonts w:asciiTheme="minorHAnsi" w:hAnsiTheme="minorHAnsi"/>
                <w:szCs w:val="24"/>
                <w:lang w:val="es-ES"/>
              </w:rPr>
              <w:t xml:space="preserve">Pv6, SMS4DC, gestión y atribución del espectro, planificación </w:t>
            </w:r>
            <w:r w:rsidR="00B70CB6" w:rsidRPr="00F767CD">
              <w:rPr>
                <w:rFonts w:asciiTheme="minorHAnsi" w:hAnsiTheme="minorHAnsi"/>
                <w:szCs w:val="24"/>
                <w:lang w:val="es-ES"/>
              </w:rPr>
              <w:t xml:space="preserve">y coordinación </w:t>
            </w:r>
            <w:r w:rsidRPr="00F767CD">
              <w:rPr>
                <w:rFonts w:asciiTheme="minorHAnsi" w:hAnsiTheme="minorHAnsi"/>
                <w:szCs w:val="24"/>
                <w:lang w:val="es-ES"/>
              </w:rPr>
              <w:t>de frecuencias, etc.</w:t>
            </w:r>
            <w:bookmarkEnd w:id="31"/>
          </w:p>
          <w:p w:rsidR="00C740A6" w:rsidRPr="00F767CD" w:rsidRDefault="00C740A6" w:rsidP="00483815">
            <w:pPr>
              <w:spacing w:after="120"/>
              <w:rPr>
                <w:rFonts w:asciiTheme="minorHAnsi" w:hAnsiTheme="minorHAnsi"/>
                <w:szCs w:val="24"/>
                <w:lang w:val="es-ES"/>
              </w:rPr>
            </w:pPr>
            <w:bookmarkStart w:id="32" w:name="lt_pId219"/>
            <w:r w:rsidRPr="00F767CD">
              <w:rPr>
                <w:rFonts w:asciiTheme="minorHAnsi" w:hAnsiTheme="minorHAnsi"/>
                <w:szCs w:val="24"/>
                <w:lang w:val="es-ES"/>
              </w:rPr>
              <w:t xml:space="preserve">Se prestó asistencia directa </w:t>
            </w:r>
            <w:r w:rsidR="00B70CB6">
              <w:rPr>
                <w:rFonts w:asciiTheme="minorHAnsi" w:hAnsiTheme="minorHAnsi"/>
                <w:szCs w:val="24"/>
                <w:lang w:val="es-ES"/>
              </w:rPr>
              <w:t>en materia de</w:t>
            </w:r>
            <w:r w:rsidRPr="00F767CD">
              <w:rPr>
                <w:rFonts w:asciiTheme="minorHAnsi" w:hAnsiTheme="minorHAnsi"/>
                <w:szCs w:val="24"/>
                <w:lang w:val="es-ES"/>
              </w:rPr>
              <w:t xml:space="preserve"> planificación de frecuencia, estructuras y actividades de gestión del espectro, transición de la radiodifusión terrenal de televisión analógica a digital, futur</w:t>
            </w:r>
            <w:r w:rsidR="00B70CB6">
              <w:rPr>
                <w:rFonts w:asciiTheme="minorHAnsi" w:hAnsiTheme="minorHAnsi"/>
                <w:szCs w:val="24"/>
                <w:lang w:val="es-ES"/>
              </w:rPr>
              <w:t>a</w:t>
            </w:r>
            <w:r w:rsidRPr="00F767CD">
              <w:rPr>
                <w:rFonts w:asciiTheme="minorHAnsi" w:hAnsiTheme="minorHAnsi"/>
                <w:szCs w:val="24"/>
                <w:lang w:val="es-ES"/>
              </w:rPr>
              <w:t xml:space="preserve">s </w:t>
            </w:r>
            <w:r w:rsidR="00B70CB6">
              <w:rPr>
                <w:rFonts w:asciiTheme="minorHAnsi" w:hAnsiTheme="minorHAnsi"/>
                <w:szCs w:val="24"/>
                <w:lang w:val="es-ES"/>
              </w:rPr>
              <w:t>centrales</w:t>
            </w:r>
            <w:r w:rsidRPr="00F767CD">
              <w:rPr>
                <w:rFonts w:asciiTheme="minorHAnsi" w:hAnsiTheme="minorHAnsi"/>
                <w:szCs w:val="24"/>
                <w:lang w:val="es-ES"/>
              </w:rPr>
              <w:t xml:space="preserve"> de Internet y banda ancha basada en IPv6, la implantación de redes inalámbricas de banda ancha, radiodifusión sonora, Puntos de Intercambio de Internet (IXP) nacionales y regionales, etc.</w:t>
            </w:r>
            <w:bookmarkEnd w:id="32"/>
          </w:p>
        </w:tc>
      </w:tr>
      <w:tr w:rsidR="00E55103" w:rsidRPr="00F767CD" w:rsidTr="009009A1">
        <w:tc>
          <w:tcPr>
            <w:tcW w:w="2830" w:type="dxa"/>
          </w:tcPr>
          <w:p w:rsidR="00E55103" w:rsidRPr="00F767CD" w:rsidRDefault="00E55103" w:rsidP="00483815">
            <w:pPr>
              <w:spacing w:before="60" w:after="60"/>
              <w:rPr>
                <w:rFonts w:asciiTheme="minorHAnsi" w:hAnsiTheme="minorHAnsi"/>
                <w:i/>
                <w:iCs/>
                <w:szCs w:val="24"/>
                <w:lang w:val="es-ES"/>
              </w:rPr>
            </w:pPr>
            <w:r w:rsidRPr="00F767CD">
              <w:rPr>
                <w:rFonts w:asciiTheme="minorHAnsi" w:hAnsiTheme="minorHAnsi"/>
                <w:i/>
                <w:iCs/>
                <w:szCs w:val="24"/>
                <w:lang w:val="es-ES"/>
              </w:rPr>
              <w:lastRenderedPageBreak/>
              <w:t>CMDT</w:t>
            </w:r>
          </w:p>
        </w:tc>
        <w:tc>
          <w:tcPr>
            <w:tcW w:w="6798" w:type="dxa"/>
          </w:tcPr>
          <w:p w:rsidR="00E55103" w:rsidRPr="00F767CD" w:rsidRDefault="00E55103" w:rsidP="00483815">
            <w:pPr>
              <w:spacing w:before="60" w:after="60"/>
              <w:rPr>
                <w:rFonts w:asciiTheme="minorHAnsi" w:hAnsiTheme="minorHAnsi"/>
                <w:szCs w:val="24"/>
                <w:lang w:val="es-ES"/>
              </w:rPr>
            </w:pPr>
            <w:bookmarkStart w:id="33" w:name="lt_pId221"/>
            <w:r w:rsidRPr="00F767CD">
              <w:rPr>
                <w:rFonts w:asciiTheme="minorHAnsi" w:hAnsiTheme="minorHAnsi"/>
                <w:szCs w:val="24"/>
                <w:lang w:val="es-ES"/>
              </w:rPr>
              <w:t>Resoluciones 1, 9, 10, 11, 13, 17, 18, 20, 21, 22, 23, 25, 30, 32, 35, 37, 39, 43, 47, 48, 50, 51, 52, 57, 62, 63, 77</w:t>
            </w:r>
            <w:bookmarkEnd w:id="33"/>
          </w:p>
          <w:p w:rsidR="00E55103" w:rsidRPr="00F767CD" w:rsidRDefault="00E55103" w:rsidP="00483815">
            <w:pPr>
              <w:spacing w:before="60" w:after="60"/>
              <w:rPr>
                <w:rFonts w:asciiTheme="minorHAnsi" w:hAnsiTheme="minorHAnsi"/>
                <w:szCs w:val="24"/>
                <w:lang w:val="es-ES"/>
              </w:rPr>
            </w:pPr>
            <w:bookmarkStart w:id="34" w:name="lt_pId222"/>
            <w:r w:rsidRPr="00F767CD">
              <w:rPr>
                <w:rFonts w:asciiTheme="minorHAnsi" w:hAnsiTheme="minorHAnsi"/>
                <w:szCs w:val="24"/>
                <w:lang w:val="es-ES"/>
              </w:rPr>
              <w:t>Recomendaciones 17, 19, 22</w:t>
            </w:r>
            <w:bookmarkEnd w:id="34"/>
          </w:p>
        </w:tc>
      </w:tr>
      <w:tr w:rsidR="00E55103" w:rsidRPr="004E44DD" w:rsidTr="009009A1">
        <w:tc>
          <w:tcPr>
            <w:tcW w:w="2830" w:type="dxa"/>
          </w:tcPr>
          <w:p w:rsidR="00E55103" w:rsidRPr="00F767CD" w:rsidRDefault="00E55103" w:rsidP="00483815">
            <w:pPr>
              <w:spacing w:before="60" w:after="60"/>
              <w:rPr>
                <w:i/>
                <w:iCs/>
                <w:szCs w:val="24"/>
                <w:lang w:val="es-ES"/>
              </w:rPr>
            </w:pPr>
            <w:r w:rsidRPr="00F767CD">
              <w:rPr>
                <w:rFonts w:asciiTheme="minorHAnsi" w:hAnsiTheme="minorHAnsi"/>
                <w:i/>
                <w:iCs/>
                <w:szCs w:val="24"/>
                <w:lang w:val="es-ES"/>
              </w:rPr>
              <w:t>Conferencia de Plenipotenciarios</w:t>
            </w:r>
          </w:p>
        </w:tc>
        <w:tc>
          <w:tcPr>
            <w:tcW w:w="6798" w:type="dxa"/>
          </w:tcPr>
          <w:p w:rsidR="00E55103" w:rsidRPr="00F767CD" w:rsidRDefault="00E55103" w:rsidP="00483815">
            <w:pPr>
              <w:spacing w:before="60" w:after="60"/>
              <w:rPr>
                <w:rFonts w:asciiTheme="minorHAnsi" w:hAnsiTheme="minorHAnsi"/>
                <w:szCs w:val="24"/>
                <w:lang w:val="es-ES"/>
              </w:rPr>
            </w:pPr>
            <w:r w:rsidRPr="00F767CD">
              <w:rPr>
                <w:rFonts w:asciiTheme="minorHAnsi" w:hAnsiTheme="minorHAnsi"/>
                <w:szCs w:val="24"/>
                <w:lang w:val="es-ES"/>
              </w:rPr>
              <w:t>Decisiones de la PP: 5 y 13</w:t>
            </w:r>
          </w:p>
          <w:p w:rsidR="00E55103" w:rsidRPr="00F767CD" w:rsidRDefault="00E55103" w:rsidP="00483815">
            <w:pPr>
              <w:spacing w:before="60" w:after="60"/>
              <w:rPr>
                <w:szCs w:val="24"/>
                <w:lang w:val="es-ES"/>
              </w:rPr>
            </w:pPr>
            <w:r w:rsidRPr="00F767CD">
              <w:rPr>
                <w:rFonts w:asciiTheme="minorHAnsi" w:hAnsiTheme="minorHAnsi"/>
                <w:szCs w:val="24"/>
                <w:lang w:val="es-ES"/>
              </w:rPr>
              <w:t>Resoluciones de la PP: 25, 71, 101, 123, 176, 177, 178 y 203</w:t>
            </w:r>
          </w:p>
        </w:tc>
      </w:tr>
      <w:tr w:rsidR="00E55103" w:rsidRPr="00F767CD" w:rsidTr="009009A1">
        <w:tc>
          <w:tcPr>
            <w:tcW w:w="2830" w:type="dxa"/>
          </w:tcPr>
          <w:p w:rsidR="00E55103" w:rsidRPr="00F767CD" w:rsidRDefault="00E55103" w:rsidP="00483815">
            <w:pPr>
              <w:spacing w:before="60" w:after="60"/>
              <w:rPr>
                <w:rFonts w:asciiTheme="minorHAnsi" w:hAnsiTheme="minorHAnsi"/>
                <w:i/>
                <w:iCs/>
                <w:szCs w:val="24"/>
                <w:lang w:val="es-ES"/>
              </w:rPr>
            </w:pPr>
            <w:r w:rsidRPr="00F767CD">
              <w:rPr>
                <w:rFonts w:asciiTheme="minorHAnsi" w:hAnsiTheme="minorHAnsi"/>
                <w:i/>
                <w:iCs/>
                <w:szCs w:val="24"/>
                <w:lang w:val="es-ES"/>
              </w:rPr>
              <w:t>CMR</w:t>
            </w:r>
          </w:p>
        </w:tc>
        <w:tc>
          <w:tcPr>
            <w:tcW w:w="6798" w:type="dxa"/>
          </w:tcPr>
          <w:p w:rsidR="00E55103" w:rsidRPr="00F767CD" w:rsidRDefault="00E55103" w:rsidP="00483815">
            <w:pPr>
              <w:spacing w:before="60" w:after="60"/>
              <w:rPr>
                <w:rFonts w:asciiTheme="minorHAnsi" w:hAnsiTheme="minorHAnsi"/>
                <w:szCs w:val="24"/>
                <w:lang w:val="es-ES"/>
              </w:rPr>
            </w:pPr>
            <w:bookmarkStart w:id="35" w:name="lt_pId227"/>
            <w:r w:rsidRPr="00F767CD">
              <w:rPr>
                <w:rFonts w:asciiTheme="minorHAnsi" w:hAnsiTheme="minorHAnsi"/>
                <w:szCs w:val="24"/>
                <w:lang w:val="es-ES"/>
              </w:rPr>
              <w:t>Resoluciones 12, 55, 212, 223, 224, 238, 908</w:t>
            </w:r>
            <w:bookmarkEnd w:id="35"/>
          </w:p>
          <w:p w:rsidR="00E55103" w:rsidRPr="00F767CD" w:rsidRDefault="00E55103" w:rsidP="00483815">
            <w:pPr>
              <w:spacing w:before="60" w:after="60"/>
              <w:rPr>
                <w:rFonts w:asciiTheme="minorHAnsi" w:hAnsiTheme="minorHAnsi"/>
                <w:szCs w:val="24"/>
                <w:lang w:val="es-ES"/>
              </w:rPr>
            </w:pPr>
            <w:bookmarkStart w:id="36" w:name="lt_pId228"/>
            <w:r w:rsidRPr="00F767CD">
              <w:rPr>
                <w:rFonts w:asciiTheme="minorHAnsi" w:hAnsiTheme="minorHAnsi"/>
                <w:szCs w:val="24"/>
                <w:lang w:val="es-ES"/>
              </w:rPr>
              <w:t>Recomendación 207</w:t>
            </w:r>
            <w:bookmarkEnd w:id="36"/>
          </w:p>
        </w:tc>
      </w:tr>
      <w:tr w:rsidR="00E55103" w:rsidRPr="00F767CD" w:rsidTr="009009A1">
        <w:tc>
          <w:tcPr>
            <w:tcW w:w="2830" w:type="dxa"/>
          </w:tcPr>
          <w:p w:rsidR="00E55103" w:rsidRPr="00F767CD" w:rsidRDefault="00E55103" w:rsidP="00483815">
            <w:pPr>
              <w:spacing w:before="60" w:after="60"/>
              <w:rPr>
                <w:rFonts w:asciiTheme="minorHAnsi" w:hAnsiTheme="minorHAnsi"/>
                <w:i/>
                <w:iCs/>
                <w:szCs w:val="24"/>
                <w:lang w:val="es-ES"/>
              </w:rPr>
            </w:pPr>
            <w:r w:rsidRPr="00F767CD">
              <w:rPr>
                <w:rFonts w:asciiTheme="minorHAnsi" w:hAnsiTheme="minorHAnsi"/>
                <w:i/>
                <w:iCs/>
                <w:szCs w:val="24"/>
                <w:lang w:val="es-ES"/>
              </w:rPr>
              <w:t>AMNT</w:t>
            </w:r>
          </w:p>
        </w:tc>
        <w:tc>
          <w:tcPr>
            <w:tcW w:w="6798" w:type="dxa"/>
          </w:tcPr>
          <w:p w:rsidR="00E55103" w:rsidRPr="00F767CD" w:rsidRDefault="00E55103" w:rsidP="00483815">
            <w:pPr>
              <w:spacing w:before="60" w:after="60"/>
              <w:rPr>
                <w:rFonts w:asciiTheme="minorHAnsi" w:hAnsiTheme="minorHAnsi"/>
                <w:szCs w:val="24"/>
                <w:lang w:val="es-ES"/>
              </w:rPr>
            </w:pPr>
            <w:bookmarkStart w:id="37" w:name="lt_pId230"/>
            <w:r w:rsidRPr="00F767CD">
              <w:rPr>
                <w:rFonts w:asciiTheme="minorHAnsi" w:hAnsiTheme="minorHAnsi"/>
                <w:szCs w:val="24"/>
                <w:lang w:val="es-ES"/>
              </w:rPr>
              <w:t>Resoluciones 17, 20, 29, 44, 64, 72</w:t>
            </w:r>
            <w:bookmarkEnd w:id="37"/>
          </w:p>
        </w:tc>
      </w:tr>
      <w:tr w:rsidR="00E55103" w:rsidRPr="00F767CD" w:rsidTr="009009A1">
        <w:tc>
          <w:tcPr>
            <w:tcW w:w="2830" w:type="dxa"/>
          </w:tcPr>
          <w:p w:rsidR="00E55103" w:rsidRPr="00F767CD" w:rsidRDefault="00E55103" w:rsidP="00483815">
            <w:pPr>
              <w:spacing w:before="60" w:after="60"/>
              <w:rPr>
                <w:rFonts w:asciiTheme="minorHAnsi" w:hAnsiTheme="minorHAnsi"/>
                <w:i/>
                <w:iCs/>
                <w:szCs w:val="24"/>
                <w:lang w:val="es-ES"/>
              </w:rPr>
            </w:pPr>
            <w:r w:rsidRPr="00F767CD">
              <w:rPr>
                <w:rFonts w:asciiTheme="minorHAnsi" w:hAnsiTheme="minorHAnsi"/>
                <w:i/>
                <w:iCs/>
                <w:szCs w:val="24"/>
                <w:lang w:val="es-ES"/>
              </w:rPr>
              <w:t>CMTI</w:t>
            </w:r>
          </w:p>
        </w:tc>
        <w:tc>
          <w:tcPr>
            <w:tcW w:w="6798" w:type="dxa"/>
          </w:tcPr>
          <w:p w:rsidR="00E55103" w:rsidRPr="00F767CD" w:rsidRDefault="00E55103" w:rsidP="00483815">
            <w:pPr>
              <w:spacing w:before="60" w:after="60"/>
              <w:rPr>
                <w:rFonts w:asciiTheme="minorHAnsi" w:hAnsiTheme="minorHAnsi"/>
                <w:szCs w:val="24"/>
                <w:lang w:val="es-ES"/>
              </w:rPr>
            </w:pPr>
            <w:bookmarkStart w:id="38" w:name="lt_pId232"/>
            <w:r w:rsidRPr="00F767CD">
              <w:rPr>
                <w:rFonts w:asciiTheme="minorHAnsi" w:hAnsiTheme="minorHAnsi"/>
                <w:szCs w:val="24"/>
                <w:lang w:val="es-ES"/>
              </w:rPr>
              <w:t>Resolución 5</w:t>
            </w:r>
            <w:bookmarkEnd w:id="38"/>
          </w:p>
        </w:tc>
      </w:tr>
      <w:tr w:rsidR="00E55103" w:rsidRPr="004E44DD" w:rsidTr="009009A1">
        <w:tc>
          <w:tcPr>
            <w:tcW w:w="2830" w:type="dxa"/>
          </w:tcPr>
          <w:p w:rsidR="00E55103" w:rsidRPr="00F767CD" w:rsidRDefault="00E55103" w:rsidP="00483815">
            <w:pPr>
              <w:spacing w:before="60" w:after="60"/>
              <w:rPr>
                <w:rFonts w:asciiTheme="minorHAnsi" w:hAnsiTheme="minorHAnsi"/>
                <w:i/>
                <w:iCs/>
                <w:szCs w:val="24"/>
                <w:lang w:val="es-ES"/>
              </w:rPr>
            </w:pPr>
            <w:r w:rsidRPr="00F767CD">
              <w:rPr>
                <w:rFonts w:asciiTheme="minorHAnsi" w:hAnsiTheme="minorHAnsi"/>
                <w:i/>
                <w:iCs/>
                <w:szCs w:val="24"/>
                <w:lang w:val="es-ES"/>
              </w:rPr>
              <w:t>Línea de Acción de la CMSI</w:t>
            </w:r>
          </w:p>
        </w:tc>
        <w:tc>
          <w:tcPr>
            <w:tcW w:w="6798" w:type="dxa"/>
          </w:tcPr>
          <w:p w:rsidR="00E55103" w:rsidRPr="00F767CD" w:rsidRDefault="00E55103" w:rsidP="00483815">
            <w:pPr>
              <w:spacing w:before="60" w:after="60"/>
              <w:rPr>
                <w:szCs w:val="24"/>
                <w:lang w:val="es-ES"/>
              </w:rPr>
            </w:pPr>
            <w:r w:rsidRPr="00F767CD">
              <w:rPr>
                <w:rFonts w:asciiTheme="minorHAnsi" w:hAnsiTheme="minorHAnsi"/>
                <w:szCs w:val="24"/>
                <w:lang w:val="es-ES"/>
              </w:rPr>
              <w:t>Líneas de Acción de la CMSI C2, C3, C7 y C9 del Plan de Acción de Ginebra y la Sección "Mecanismos de financiación para hacer frente a los retos de las TIC para el desarrollo" de la Agenda de Túnez para la Sociedad de la Información.</w:t>
            </w:r>
          </w:p>
        </w:tc>
      </w:tr>
      <w:tr w:rsidR="00E55103" w:rsidRPr="004E44DD" w:rsidTr="009009A1">
        <w:tc>
          <w:tcPr>
            <w:tcW w:w="2830" w:type="dxa"/>
          </w:tcPr>
          <w:p w:rsidR="00E55103" w:rsidRPr="00F767CD" w:rsidRDefault="00E55103" w:rsidP="00483815">
            <w:pPr>
              <w:spacing w:before="60" w:after="60"/>
              <w:rPr>
                <w:rFonts w:asciiTheme="minorHAnsi" w:hAnsiTheme="minorHAnsi"/>
                <w:i/>
                <w:iCs/>
                <w:szCs w:val="24"/>
                <w:lang w:val="es-ES"/>
              </w:rPr>
            </w:pPr>
            <w:r w:rsidRPr="00F767CD">
              <w:rPr>
                <w:rFonts w:asciiTheme="minorHAnsi" w:hAnsiTheme="minorHAnsi"/>
                <w:i/>
                <w:iCs/>
                <w:szCs w:val="24"/>
                <w:lang w:val="es-ES"/>
              </w:rPr>
              <w:t>Contribución a las metas de los ODS</w:t>
            </w:r>
          </w:p>
        </w:tc>
        <w:tc>
          <w:tcPr>
            <w:tcW w:w="6798" w:type="dxa"/>
          </w:tcPr>
          <w:p w:rsidR="00E55103" w:rsidRPr="00F767CD" w:rsidRDefault="00E55103" w:rsidP="00483815">
            <w:pPr>
              <w:spacing w:before="60" w:after="60"/>
              <w:rPr>
                <w:rFonts w:asciiTheme="minorHAnsi" w:hAnsiTheme="minorHAnsi"/>
                <w:szCs w:val="24"/>
                <w:lang w:val="es-ES"/>
              </w:rPr>
            </w:pPr>
            <w:r w:rsidRPr="00F767CD">
              <w:rPr>
                <w:rFonts w:asciiTheme="minorHAnsi" w:hAnsiTheme="minorHAnsi"/>
                <w:szCs w:val="24"/>
                <w:lang w:val="es-ES"/>
              </w:rPr>
              <w:t>ODS: 1 (metas 1.a, 1.4), 4 (metas 4.4, 4.6, 4.a, 4.c), 6 (metas 6.5, 6.a, 6.b), 7 (metas 7.1, 7.b), 8 (metas 8.2, 8.5), 9 (metas 9.1, 9.4, 9.5, 9.a, 9.b, 9.c), 11 (metas 11.1, 11.5, 11.a, 11.b), 17 (metas 17.3, 17.5)</w:t>
            </w:r>
          </w:p>
        </w:tc>
      </w:tr>
    </w:tbl>
    <w:p w:rsidR="00E55103" w:rsidRPr="00F767CD" w:rsidRDefault="00E55103" w:rsidP="00483815">
      <w:pPr>
        <w:pStyle w:val="Heading2"/>
        <w:spacing w:after="120"/>
        <w:rPr>
          <w:lang w:val="es-ES"/>
        </w:rPr>
      </w:pPr>
      <w:r w:rsidRPr="00BB4B3A">
        <w:rPr>
          <w:lang w:val="es-ES"/>
        </w:rPr>
        <w:t>2.3</w:t>
      </w:r>
      <w:r w:rsidRPr="00BB4B3A">
        <w:rPr>
          <w:lang w:val="es-ES"/>
        </w:rPr>
        <w:tab/>
        <w:t>Innovación y alianzas de colaboración</w:t>
      </w:r>
    </w:p>
    <w:tbl>
      <w:tblPr>
        <w:tblStyle w:val="TableGrid"/>
        <w:tblW w:w="0" w:type="auto"/>
        <w:tblLook w:val="04A0" w:firstRow="1" w:lastRow="0" w:firstColumn="1" w:lastColumn="0" w:noHBand="0" w:noVBand="1"/>
      </w:tblPr>
      <w:tblGrid>
        <w:gridCol w:w="2809"/>
        <w:gridCol w:w="6819"/>
      </w:tblGrid>
      <w:tr w:rsidR="00E55103" w:rsidRPr="004E44DD" w:rsidTr="009009A1">
        <w:tc>
          <w:tcPr>
            <w:tcW w:w="9628" w:type="dxa"/>
            <w:gridSpan w:val="2"/>
          </w:tcPr>
          <w:p w:rsidR="00E55103" w:rsidRPr="00F767CD" w:rsidRDefault="00E55103" w:rsidP="00483815">
            <w:pPr>
              <w:rPr>
                <w:rFonts w:asciiTheme="minorHAnsi" w:hAnsiTheme="minorHAnsi"/>
                <w:szCs w:val="24"/>
                <w:lang w:val="es-ES"/>
              </w:rPr>
            </w:pPr>
            <w:bookmarkStart w:id="39" w:name="lt_pId240"/>
            <w:r w:rsidRPr="00F767CD">
              <w:rPr>
                <w:rFonts w:asciiTheme="minorHAnsi" w:hAnsiTheme="minorHAnsi"/>
                <w:b/>
                <w:bCs/>
                <w:szCs w:val="24"/>
                <w:lang w:val="es-ES"/>
              </w:rPr>
              <w:t>Alianzas en el ecosistema de las TIC:</w:t>
            </w:r>
            <w:bookmarkEnd w:id="39"/>
            <w:r w:rsidRPr="00F767CD">
              <w:rPr>
                <w:rFonts w:asciiTheme="minorHAnsi" w:hAnsiTheme="minorHAnsi"/>
                <w:szCs w:val="24"/>
                <w:lang w:val="es-ES"/>
              </w:rPr>
              <w:t xml:space="preserve"> </w:t>
            </w:r>
            <w:bookmarkStart w:id="40" w:name="lt_pId241"/>
            <w:r w:rsidR="00580007" w:rsidRPr="00F767CD">
              <w:rPr>
                <w:rFonts w:asciiTheme="minorHAnsi" w:hAnsiTheme="minorHAnsi"/>
                <w:szCs w:val="24"/>
                <w:lang w:val="es-ES"/>
              </w:rPr>
              <w:t>Han aumentado</w:t>
            </w:r>
            <w:r w:rsidRPr="00F767CD">
              <w:rPr>
                <w:rFonts w:asciiTheme="minorHAnsi" w:hAnsiTheme="minorHAnsi"/>
                <w:szCs w:val="24"/>
                <w:lang w:val="es-ES"/>
              </w:rPr>
              <w:t xml:space="preserve"> las alianzas y la movilización de recursos </w:t>
            </w:r>
            <w:r w:rsidR="00580007" w:rsidRPr="00F767CD">
              <w:rPr>
                <w:rFonts w:asciiTheme="minorHAnsi" w:hAnsiTheme="minorHAnsi"/>
                <w:szCs w:val="24"/>
                <w:lang w:val="es-ES"/>
              </w:rPr>
              <w:t>a través de</w:t>
            </w:r>
            <w:r w:rsidRPr="00F767CD">
              <w:rPr>
                <w:rFonts w:asciiTheme="minorHAnsi" w:hAnsiTheme="minorHAnsi"/>
                <w:szCs w:val="24"/>
                <w:lang w:val="es-ES"/>
              </w:rPr>
              <w:t xml:space="preserve"> contactos directos, redes de </w:t>
            </w:r>
            <w:r w:rsidR="00580007" w:rsidRPr="00F767CD">
              <w:rPr>
                <w:rFonts w:asciiTheme="minorHAnsi" w:hAnsiTheme="minorHAnsi"/>
                <w:szCs w:val="24"/>
                <w:lang w:val="es-ES"/>
              </w:rPr>
              <w:t xml:space="preserve">relaciones, </w:t>
            </w:r>
            <w:r w:rsidR="00457F58">
              <w:rPr>
                <w:rFonts w:asciiTheme="minorHAnsi" w:hAnsiTheme="minorHAnsi"/>
                <w:szCs w:val="24"/>
                <w:lang w:val="es-ES"/>
              </w:rPr>
              <w:t>teleconferencias</w:t>
            </w:r>
            <w:r w:rsidR="00580007" w:rsidRPr="00F767CD">
              <w:rPr>
                <w:rFonts w:asciiTheme="minorHAnsi" w:hAnsiTheme="minorHAnsi"/>
                <w:szCs w:val="24"/>
                <w:lang w:val="es-ES"/>
              </w:rPr>
              <w:t>, misiones y reuniones</w:t>
            </w:r>
            <w:r w:rsidRPr="00F767CD">
              <w:rPr>
                <w:rFonts w:asciiTheme="minorHAnsi" w:hAnsiTheme="minorHAnsi"/>
                <w:szCs w:val="24"/>
                <w:lang w:val="es-ES"/>
              </w:rPr>
              <w:t>. En</w:t>
            </w:r>
            <w:bookmarkStart w:id="41" w:name="lt_pId242"/>
            <w:bookmarkEnd w:id="40"/>
            <w:r w:rsidR="00BB4B3A">
              <w:rPr>
                <w:rFonts w:ascii="Batang" w:eastAsia="Batang" w:hAnsi="Batang"/>
                <w:szCs w:val="24"/>
                <w:lang w:val="es-ES"/>
              </w:rPr>
              <w:t> </w:t>
            </w:r>
            <w:r w:rsidRPr="00F767CD">
              <w:rPr>
                <w:rFonts w:asciiTheme="minorHAnsi" w:hAnsiTheme="minorHAnsi"/>
                <w:szCs w:val="24"/>
                <w:lang w:val="es-ES"/>
              </w:rPr>
              <w:t>201</w:t>
            </w:r>
            <w:r w:rsidR="00580007" w:rsidRPr="00F767CD">
              <w:rPr>
                <w:rFonts w:asciiTheme="minorHAnsi" w:hAnsiTheme="minorHAnsi"/>
                <w:szCs w:val="24"/>
                <w:lang w:val="es-ES"/>
              </w:rPr>
              <w:t>8</w:t>
            </w:r>
            <w:r w:rsidRPr="00F767CD">
              <w:rPr>
                <w:rFonts w:asciiTheme="minorHAnsi" w:hAnsiTheme="minorHAnsi"/>
                <w:szCs w:val="24"/>
                <w:lang w:val="es-ES"/>
              </w:rPr>
              <w:t xml:space="preserve">, se firmaron </w:t>
            </w:r>
            <w:r w:rsidR="00580007" w:rsidRPr="00F767CD">
              <w:rPr>
                <w:rFonts w:asciiTheme="minorHAnsi" w:hAnsiTheme="minorHAnsi"/>
                <w:szCs w:val="24"/>
                <w:lang w:val="es-ES"/>
              </w:rPr>
              <w:t>3</w:t>
            </w:r>
            <w:r w:rsidRPr="00F767CD">
              <w:rPr>
                <w:rFonts w:asciiTheme="minorHAnsi" w:hAnsiTheme="minorHAnsi"/>
                <w:szCs w:val="24"/>
                <w:lang w:val="es-ES"/>
              </w:rPr>
              <w:t>8 nuevos acuerdos de asociación con divers</w:t>
            </w:r>
            <w:r w:rsidR="00580007" w:rsidRPr="00F767CD">
              <w:rPr>
                <w:rFonts w:asciiTheme="minorHAnsi" w:hAnsiTheme="minorHAnsi"/>
                <w:szCs w:val="24"/>
                <w:lang w:val="es-ES"/>
              </w:rPr>
              <w:t>a</w:t>
            </w:r>
            <w:r w:rsidRPr="00F767CD">
              <w:rPr>
                <w:rFonts w:asciiTheme="minorHAnsi" w:hAnsiTheme="minorHAnsi"/>
                <w:szCs w:val="24"/>
                <w:lang w:val="es-ES"/>
              </w:rPr>
              <w:t xml:space="preserve">s </w:t>
            </w:r>
            <w:r w:rsidR="00580007" w:rsidRPr="00F767CD">
              <w:rPr>
                <w:rFonts w:asciiTheme="minorHAnsi" w:hAnsiTheme="minorHAnsi"/>
                <w:szCs w:val="24"/>
                <w:lang w:val="es-ES"/>
              </w:rPr>
              <w:t xml:space="preserve">partes </w:t>
            </w:r>
            <w:r w:rsidRPr="00F767CD">
              <w:rPr>
                <w:rFonts w:asciiTheme="minorHAnsi" w:hAnsiTheme="minorHAnsi"/>
                <w:szCs w:val="24"/>
                <w:lang w:val="es-ES"/>
              </w:rPr>
              <w:t>interesad</w:t>
            </w:r>
            <w:r w:rsidR="00580007" w:rsidRPr="00F767CD">
              <w:rPr>
                <w:rFonts w:asciiTheme="minorHAnsi" w:hAnsiTheme="minorHAnsi"/>
                <w:szCs w:val="24"/>
                <w:lang w:val="es-ES"/>
              </w:rPr>
              <w:t>a</w:t>
            </w:r>
            <w:r w:rsidRPr="00F767CD">
              <w:rPr>
                <w:rFonts w:asciiTheme="minorHAnsi" w:hAnsiTheme="minorHAnsi"/>
                <w:szCs w:val="24"/>
                <w:lang w:val="es-ES"/>
              </w:rPr>
              <w:t xml:space="preserve">s: </w:t>
            </w:r>
            <w:r w:rsidR="00580007" w:rsidRPr="00F767CD">
              <w:rPr>
                <w:rFonts w:asciiTheme="minorHAnsi" w:hAnsiTheme="minorHAnsi"/>
                <w:szCs w:val="24"/>
                <w:lang w:val="es-ES"/>
              </w:rPr>
              <w:t xml:space="preserve">13 sobre entornos habilitadores, 6 sobre infraestructura, 4 </w:t>
            </w:r>
            <w:r w:rsidR="00457F58">
              <w:rPr>
                <w:rFonts w:asciiTheme="minorHAnsi" w:hAnsiTheme="minorHAnsi"/>
                <w:szCs w:val="24"/>
                <w:lang w:val="es-ES"/>
              </w:rPr>
              <w:t>sobre</w:t>
            </w:r>
            <w:r w:rsidR="00580007" w:rsidRPr="00F767CD">
              <w:rPr>
                <w:rFonts w:asciiTheme="minorHAnsi" w:hAnsiTheme="minorHAnsi"/>
                <w:szCs w:val="24"/>
                <w:lang w:val="es-ES"/>
              </w:rPr>
              <w:t xml:space="preserve"> creación de capacidad, sobre ciberseguridad</w:t>
            </w:r>
            <w:r w:rsidR="00457F58">
              <w:rPr>
                <w:rFonts w:asciiTheme="minorHAnsi" w:hAnsiTheme="minorHAnsi"/>
                <w:szCs w:val="24"/>
                <w:lang w:val="es-ES"/>
              </w:rPr>
              <w:t xml:space="preserve"> y</w:t>
            </w:r>
            <w:r w:rsidR="00DE7B08" w:rsidRPr="00F767CD">
              <w:rPr>
                <w:rFonts w:asciiTheme="minorHAnsi" w:hAnsiTheme="minorHAnsi"/>
                <w:szCs w:val="24"/>
                <w:lang w:val="es-ES"/>
              </w:rPr>
              <w:t xml:space="preserve"> </w:t>
            </w:r>
            <w:r w:rsidRPr="00F767CD">
              <w:rPr>
                <w:rFonts w:asciiTheme="minorHAnsi" w:hAnsiTheme="minorHAnsi"/>
                <w:szCs w:val="24"/>
                <w:lang w:val="es-ES"/>
              </w:rPr>
              <w:t>multitemáticos</w:t>
            </w:r>
            <w:bookmarkStart w:id="42" w:name="lt_pId243"/>
            <w:bookmarkEnd w:id="41"/>
            <w:r w:rsidR="00580007" w:rsidRPr="00F767CD">
              <w:rPr>
                <w:rFonts w:asciiTheme="minorHAnsi" w:hAnsiTheme="minorHAnsi"/>
                <w:szCs w:val="24"/>
                <w:lang w:val="es-ES"/>
              </w:rPr>
              <w:t xml:space="preserve">, </w:t>
            </w:r>
            <w:r w:rsidR="00457F58" w:rsidRPr="00F767CD">
              <w:rPr>
                <w:rFonts w:asciiTheme="minorHAnsi" w:hAnsiTheme="minorHAnsi"/>
                <w:szCs w:val="24"/>
                <w:lang w:val="es-ES"/>
              </w:rPr>
              <w:t>2</w:t>
            </w:r>
            <w:r w:rsidR="00580007" w:rsidRPr="00F767CD">
              <w:rPr>
                <w:rFonts w:asciiTheme="minorHAnsi" w:hAnsiTheme="minorHAnsi"/>
                <w:szCs w:val="24"/>
                <w:lang w:val="es-ES"/>
              </w:rPr>
              <w:t xml:space="preserve"> sobre </w:t>
            </w:r>
            <w:r w:rsidRPr="00F767CD">
              <w:rPr>
                <w:rFonts w:asciiTheme="minorHAnsi" w:hAnsiTheme="minorHAnsi"/>
                <w:szCs w:val="24"/>
                <w:lang w:val="es-ES"/>
              </w:rPr>
              <w:t>telecomunicaciones de emergencia</w:t>
            </w:r>
            <w:r w:rsidR="00580007" w:rsidRPr="00F767CD">
              <w:rPr>
                <w:rFonts w:asciiTheme="minorHAnsi" w:hAnsiTheme="minorHAnsi"/>
                <w:szCs w:val="24"/>
                <w:lang w:val="es-ES"/>
              </w:rPr>
              <w:t xml:space="preserve">, </w:t>
            </w:r>
            <w:r w:rsidR="00F53B1F">
              <w:rPr>
                <w:rFonts w:asciiTheme="minorHAnsi" w:hAnsiTheme="minorHAnsi"/>
                <w:szCs w:val="24"/>
                <w:lang w:val="es-ES"/>
              </w:rPr>
              <w:t xml:space="preserve">sobre </w:t>
            </w:r>
            <w:r w:rsidR="00580007" w:rsidRPr="00F767CD">
              <w:rPr>
                <w:rFonts w:asciiTheme="minorHAnsi" w:hAnsiTheme="minorHAnsi"/>
                <w:szCs w:val="24"/>
                <w:lang w:val="es-ES"/>
              </w:rPr>
              <w:t xml:space="preserve">aplicaciones TIC y </w:t>
            </w:r>
            <w:r w:rsidR="00F53B1F">
              <w:rPr>
                <w:rFonts w:asciiTheme="minorHAnsi" w:hAnsiTheme="minorHAnsi"/>
                <w:szCs w:val="24"/>
                <w:lang w:val="es-ES"/>
              </w:rPr>
              <w:t xml:space="preserve">sobre </w:t>
            </w:r>
            <w:r w:rsidR="00580007" w:rsidRPr="00F767CD">
              <w:rPr>
                <w:rFonts w:asciiTheme="minorHAnsi" w:hAnsiTheme="minorHAnsi"/>
                <w:szCs w:val="24"/>
                <w:lang w:val="es-ES"/>
              </w:rPr>
              <w:t>residuos electrónicos</w:t>
            </w:r>
            <w:r w:rsidR="00DE7B08" w:rsidRPr="00F767CD">
              <w:rPr>
                <w:rFonts w:asciiTheme="minorHAnsi" w:hAnsiTheme="minorHAnsi"/>
                <w:szCs w:val="24"/>
                <w:lang w:val="es-ES"/>
              </w:rPr>
              <w:t xml:space="preserve"> y 1 sobre inclusión digital</w:t>
            </w:r>
            <w:bookmarkEnd w:id="42"/>
            <w:r w:rsidR="00DE7B08" w:rsidRPr="00F767CD">
              <w:rPr>
                <w:rFonts w:asciiTheme="minorHAnsi" w:hAnsiTheme="minorHAnsi"/>
                <w:szCs w:val="24"/>
                <w:lang w:val="es-ES"/>
              </w:rPr>
              <w:t>.</w:t>
            </w:r>
            <w:r w:rsidRPr="00F767CD">
              <w:rPr>
                <w:rFonts w:asciiTheme="minorHAnsi" w:hAnsiTheme="minorHAnsi"/>
                <w:szCs w:val="24"/>
                <w:lang w:val="es-ES"/>
              </w:rPr>
              <w:t xml:space="preserve"> </w:t>
            </w:r>
            <w:bookmarkStart w:id="43" w:name="lt_pId244"/>
            <w:r w:rsidRPr="00F767CD">
              <w:rPr>
                <w:rFonts w:asciiTheme="minorHAnsi" w:hAnsiTheme="minorHAnsi"/>
                <w:szCs w:val="24"/>
                <w:lang w:val="es-ES"/>
              </w:rPr>
              <w:t xml:space="preserve">Las regiones beneficiarias de estos </w:t>
            </w:r>
            <w:r w:rsidR="00F53B1F" w:rsidRPr="00F767CD">
              <w:rPr>
                <w:rFonts w:asciiTheme="minorHAnsi" w:hAnsiTheme="minorHAnsi"/>
                <w:szCs w:val="24"/>
                <w:lang w:val="es-ES"/>
              </w:rPr>
              <w:t xml:space="preserve">nuevos </w:t>
            </w:r>
            <w:r w:rsidRPr="00F767CD">
              <w:rPr>
                <w:rFonts w:asciiTheme="minorHAnsi" w:hAnsiTheme="minorHAnsi"/>
                <w:szCs w:val="24"/>
                <w:lang w:val="es-ES"/>
              </w:rPr>
              <w:t xml:space="preserve">acuerdos </w:t>
            </w:r>
            <w:r w:rsidR="00F53B1F">
              <w:rPr>
                <w:rFonts w:asciiTheme="minorHAnsi" w:hAnsiTheme="minorHAnsi"/>
                <w:szCs w:val="24"/>
                <w:lang w:val="es-ES"/>
              </w:rPr>
              <w:t xml:space="preserve">firmados </w:t>
            </w:r>
            <w:r w:rsidRPr="00F767CD">
              <w:rPr>
                <w:rFonts w:asciiTheme="minorHAnsi" w:hAnsiTheme="minorHAnsi"/>
                <w:szCs w:val="24"/>
                <w:lang w:val="es-ES"/>
              </w:rPr>
              <w:t>fueron:</w:t>
            </w:r>
            <w:bookmarkEnd w:id="43"/>
            <w:r w:rsidRPr="00F767CD">
              <w:rPr>
                <w:rFonts w:asciiTheme="minorHAnsi" w:hAnsiTheme="minorHAnsi"/>
                <w:szCs w:val="24"/>
                <w:lang w:val="es-ES"/>
              </w:rPr>
              <w:t xml:space="preserve"> </w:t>
            </w:r>
            <w:bookmarkStart w:id="44" w:name="lt_pId245"/>
            <w:r w:rsidRPr="00F767CD">
              <w:rPr>
                <w:rFonts w:asciiTheme="minorHAnsi" w:hAnsiTheme="minorHAnsi"/>
                <w:szCs w:val="24"/>
                <w:lang w:val="es-ES"/>
              </w:rPr>
              <w:t>mund</w:t>
            </w:r>
            <w:r w:rsidR="00457F58">
              <w:rPr>
                <w:rFonts w:asciiTheme="minorHAnsi" w:hAnsiTheme="minorHAnsi"/>
                <w:szCs w:val="24"/>
                <w:lang w:val="es-ES"/>
              </w:rPr>
              <w:t>ial</w:t>
            </w:r>
            <w:r w:rsidRPr="00F767CD">
              <w:rPr>
                <w:rFonts w:asciiTheme="minorHAnsi" w:hAnsiTheme="minorHAnsi"/>
                <w:szCs w:val="24"/>
                <w:lang w:val="es-ES"/>
              </w:rPr>
              <w:t xml:space="preserve"> (</w:t>
            </w:r>
            <w:r w:rsidR="00DE7B08" w:rsidRPr="00F767CD">
              <w:rPr>
                <w:rFonts w:asciiTheme="minorHAnsi" w:hAnsiTheme="minorHAnsi"/>
                <w:szCs w:val="24"/>
                <w:lang w:val="es-ES"/>
              </w:rPr>
              <w:t>19</w:t>
            </w:r>
            <w:r w:rsidRPr="00F767CD">
              <w:rPr>
                <w:rFonts w:asciiTheme="minorHAnsi" w:hAnsiTheme="minorHAnsi"/>
                <w:szCs w:val="24"/>
                <w:lang w:val="es-ES"/>
              </w:rPr>
              <w:t xml:space="preserve">), </w:t>
            </w:r>
            <w:r w:rsidR="00DE7B08" w:rsidRPr="00F767CD">
              <w:rPr>
                <w:rFonts w:asciiTheme="minorHAnsi" w:hAnsiTheme="minorHAnsi"/>
                <w:szCs w:val="24"/>
                <w:lang w:val="es-ES"/>
              </w:rPr>
              <w:t xml:space="preserve">las </w:t>
            </w:r>
            <w:r w:rsidRPr="00F767CD">
              <w:rPr>
                <w:rFonts w:asciiTheme="minorHAnsi" w:hAnsiTheme="minorHAnsi"/>
                <w:szCs w:val="24"/>
                <w:lang w:val="es-ES"/>
              </w:rPr>
              <w:t xml:space="preserve">Américas </w:t>
            </w:r>
            <w:r w:rsidR="00DE7B08" w:rsidRPr="00F767CD">
              <w:rPr>
                <w:rFonts w:asciiTheme="minorHAnsi" w:hAnsiTheme="minorHAnsi"/>
                <w:szCs w:val="24"/>
                <w:lang w:val="es-ES"/>
              </w:rPr>
              <w:t>y</w:t>
            </w:r>
            <w:r w:rsidRPr="00F767CD">
              <w:rPr>
                <w:rFonts w:asciiTheme="minorHAnsi" w:hAnsiTheme="minorHAnsi"/>
                <w:szCs w:val="24"/>
                <w:lang w:val="es-ES"/>
              </w:rPr>
              <w:t xml:space="preserve"> Asia-Pacífico (</w:t>
            </w:r>
            <w:r w:rsidR="00DE7B08" w:rsidRPr="00F767CD">
              <w:rPr>
                <w:rFonts w:asciiTheme="minorHAnsi" w:hAnsiTheme="minorHAnsi"/>
                <w:szCs w:val="24"/>
                <w:lang w:val="es-ES"/>
              </w:rPr>
              <w:t>5 cada una</w:t>
            </w:r>
            <w:r w:rsidRPr="00F767CD">
              <w:rPr>
                <w:rFonts w:asciiTheme="minorHAnsi" w:hAnsiTheme="minorHAnsi"/>
                <w:szCs w:val="24"/>
                <w:lang w:val="es-ES"/>
              </w:rPr>
              <w:t>), África (4), Estados Árabes (3), Europa y la CEI (1</w:t>
            </w:r>
            <w:r w:rsidR="00DE7B08" w:rsidRPr="00F767CD">
              <w:rPr>
                <w:rFonts w:asciiTheme="minorHAnsi" w:hAnsiTheme="minorHAnsi"/>
                <w:szCs w:val="24"/>
                <w:lang w:val="es-ES"/>
              </w:rPr>
              <w:t xml:space="preserve"> cada una</w:t>
            </w:r>
            <w:r w:rsidRPr="00F767CD">
              <w:rPr>
                <w:rFonts w:asciiTheme="minorHAnsi" w:hAnsiTheme="minorHAnsi"/>
                <w:szCs w:val="24"/>
                <w:lang w:val="es-ES"/>
              </w:rPr>
              <w:t>).</w:t>
            </w:r>
            <w:bookmarkEnd w:id="44"/>
            <w:r w:rsidRPr="00F767CD">
              <w:rPr>
                <w:rFonts w:asciiTheme="minorHAnsi" w:hAnsiTheme="minorHAnsi"/>
                <w:szCs w:val="24"/>
                <w:lang w:val="es-ES"/>
              </w:rPr>
              <w:t xml:space="preserve"> </w:t>
            </w:r>
          </w:p>
          <w:p w:rsidR="00DE7B08" w:rsidRPr="00F767CD" w:rsidRDefault="00DE7B08" w:rsidP="00483815">
            <w:pPr>
              <w:keepNext/>
              <w:keepLines/>
              <w:rPr>
                <w:rFonts w:asciiTheme="minorHAnsi" w:hAnsiTheme="minorHAnsi"/>
                <w:szCs w:val="24"/>
                <w:lang w:val="es-ES"/>
              </w:rPr>
            </w:pPr>
            <w:r w:rsidRPr="00F767CD">
              <w:rPr>
                <w:rFonts w:asciiTheme="minorHAnsi" w:hAnsiTheme="minorHAnsi"/>
                <w:b/>
                <w:bCs/>
                <w:szCs w:val="24"/>
                <w:lang w:val="es-ES"/>
              </w:rPr>
              <w:lastRenderedPageBreak/>
              <w:t>O</w:t>
            </w:r>
            <w:r w:rsidR="00E55103" w:rsidRPr="00F767CD">
              <w:rPr>
                <w:rFonts w:asciiTheme="minorHAnsi" w:hAnsiTheme="minorHAnsi"/>
                <w:b/>
                <w:bCs/>
                <w:szCs w:val="24"/>
                <w:lang w:val="es-ES"/>
              </w:rPr>
              <w:t xml:space="preserve">portunidades de patrocinio: </w:t>
            </w:r>
            <w:r w:rsidR="00AD5435" w:rsidRPr="00F767CD">
              <w:rPr>
                <w:rFonts w:asciiTheme="minorHAnsi" w:hAnsiTheme="minorHAnsi"/>
                <w:szCs w:val="24"/>
                <w:lang w:val="es-ES"/>
              </w:rPr>
              <w:t xml:space="preserve">Desde enero de 2018, se </w:t>
            </w:r>
            <w:r w:rsidR="003E019B" w:rsidRPr="00F767CD">
              <w:rPr>
                <w:rFonts w:asciiTheme="minorHAnsi" w:hAnsiTheme="minorHAnsi"/>
                <w:szCs w:val="24"/>
                <w:lang w:val="es-ES"/>
              </w:rPr>
              <w:t>crearon</w:t>
            </w:r>
            <w:r w:rsidR="00AD5435" w:rsidRPr="00F767CD">
              <w:rPr>
                <w:rFonts w:asciiTheme="minorHAnsi" w:hAnsiTheme="minorHAnsi"/>
                <w:szCs w:val="24"/>
                <w:lang w:val="es-ES"/>
              </w:rPr>
              <w:t xml:space="preserve"> 4 oportunidades de patrocinio </w:t>
            </w:r>
            <w:r w:rsidR="00F53B1F">
              <w:rPr>
                <w:rFonts w:asciiTheme="minorHAnsi" w:hAnsiTheme="minorHAnsi"/>
                <w:szCs w:val="24"/>
                <w:lang w:val="es-ES"/>
              </w:rPr>
              <w:t>para</w:t>
            </w:r>
            <w:r w:rsidR="00AD5435" w:rsidRPr="00F767CD">
              <w:rPr>
                <w:rFonts w:asciiTheme="minorHAnsi" w:hAnsiTheme="minorHAnsi"/>
                <w:szCs w:val="24"/>
                <w:lang w:val="es-ES"/>
              </w:rPr>
              <w:t xml:space="preserve"> reuniones de </w:t>
            </w:r>
            <w:r w:rsidR="00F53B1F">
              <w:rPr>
                <w:rFonts w:asciiTheme="minorHAnsi" w:hAnsiTheme="minorHAnsi"/>
                <w:szCs w:val="24"/>
                <w:lang w:val="es-ES"/>
              </w:rPr>
              <w:t xml:space="preserve">las </w:t>
            </w:r>
            <w:r w:rsidR="00AD5435" w:rsidRPr="00F767CD">
              <w:rPr>
                <w:rFonts w:asciiTheme="minorHAnsi" w:hAnsiTheme="minorHAnsi"/>
                <w:szCs w:val="24"/>
                <w:lang w:val="es-ES"/>
              </w:rPr>
              <w:t>Comisiones de Estudio del UIT-D</w:t>
            </w:r>
            <w:r w:rsidR="007020F2">
              <w:rPr>
                <w:rFonts w:asciiTheme="minorHAnsi" w:hAnsiTheme="minorHAnsi"/>
                <w:szCs w:val="24"/>
                <w:lang w:val="es-ES"/>
              </w:rPr>
              <w:t>,</w:t>
            </w:r>
            <w:r w:rsidR="00AD5435" w:rsidRPr="00F767CD">
              <w:rPr>
                <w:rFonts w:asciiTheme="minorHAnsi" w:hAnsiTheme="minorHAnsi"/>
                <w:szCs w:val="24"/>
                <w:lang w:val="es-ES"/>
              </w:rPr>
              <w:t xml:space="preserve"> ICT④SDGs</w:t>
            </w:r>
            <w:r w:rsidR="007020F2">
              <w:rPr>
                <w:rFonts w:asciiTheme="minorHAnsi" w:hAnsiTheme="minorHAnsi"/>
                <w:szCs w:val="24"/>
                <w:lang w:val="es-ES"/>
              </w:rPr>
              <w:t>:</w:t>
            </w:r>
            <w:r w:rsidR="00AD5435" w:rsidRPr="00F767CD">
              <w:rPr>
                <w:rFonts w:asciiTheme="minorHAnsi" w:hAnsiTheme="minorHAnsi"/>
                <w:szCs w:val="24"/>
                <w:lang w:val="es-ES"/>
              </w:rPr>
              <w:t xml:space="preserve"> la Plataforma de Asociación </w:t>
            </w:r>
            <w:r w:rsidR="007020F2">
              <w:rPr>
                <w:rFonts w:asciiTheme="minorHAnsi" w:hAnsiTheme="minorHAnsi"/>
                <w:szCs w:val="24"/>
                <w:lang w:val="es-ES"/>
              </w:rPr>
              <w:t>UIT-</w:t>
            </w:r>
            <w:r w:rsidR="00AD5435" w:rsidRPr="00F767CD">
              <w:rPr>
                <w:rFonts w:asciiTheme="minorHAnsi" w:hAnsiTheme="minorHAnsi"/>
                <w:szCs w:val="24"/>
                <w:lang w:val="es-ES"/>
              </w:rPr>
              <w:t xml:space="preserve">Instituciones Académicas, el GSR-18 y las reuniones de </w:t>
            </w:r>
            <w:r w:rsidR="00E8468E" w:rsidRPr="00F767CD">
              <w:rPr>
                <w:rFonts w:asciiTheme="minorHAnsi" w:hAnsiTheme="minorHAnsi"/>
                <w:szCs w:val="24"/>
                <w:lang w:val="es-ES"/>
              </w:rPr>
              <w:t xml:space="preserve">los </w:t>
            </w:r>
            <w:r w:rsidR="00AD5435" w:rsidRPr="00F767CD">
              <w:rPr>
                <w:rFonts w:asciiTheme="minorHAnsi" w:hAnsiTheme="minorHAnsi"/>
                <w:szCs w:val="24"/>
                <w:lang w:val="es-ES"/>
              </w:rPr>
              <w:t>Grupo</w:t>
            </w:r>
            <w:r w:rsidR="00E8468E" w:rsidRPr="00F767CD">
              <w:rPr>
                <w:rFonts w:asciiTheme="minorHAnsi" w:hAnsiTheme="minorHAnsi"/>
                <w:szCs w:val="24"/>
                <w:lang w:val="es-ES"/>
              </w:rPr>
              <w:t>s</w:t>
            </w:r>
            <w:r w:rsidR="00AD5435" w:rsidRPr="00F767CD">
              <w:rPr>
                <w:rFonts w:asciiTheme="minorHAnsi" w:hAnsiTheme="minorHAnsi"/>
                <w:szCs w:val="24"/>
                <w:lang w:val="es-ES"/>
              </w:rPr>
              <w:t xml:space="preserve"> de Relator de las Comisiones de Estudio del UIT-D</w:t>
            </w:r>
            <w:r w:rsidR="00E8468E" w:rsidRPr="00F767CD">
              <w:rPr>
                <w:rFonts w:asciiTheme="minorHAnsi" w:hAnsiTheme="minorHAnsi"/>
                <w:szCs w:val="24"/>
                <w:lang w:val="es-ES"/>
              </w:rPr>
              <w:t xml:space="preserve">. </w:t>
            </w:r>
            <w:r w:rsidR="007020F2">
              <w:rPr>
                <w:rFonts w:asciiTheme="minorHAnsi" w:hAnsiTheme="minorHAnsi"/>
                <w:szCs w:val="24"/>
                <w:lang w:val="es-ES"/>
              </w:rPr>
              <w:t>Estas oportunidades se</w:t>
            </w:r>
            <w:r w:rsidR="00E8468E" w:rsidRPr="00F767CD">
              <w:rPr>
                <w:rFonts w:asciiTheme="minorHAnsi" w:hAnsiTheme="minorHAnsi"/>
                <w:szCs w:val="24"/>
                <w:lang w:val="es-ES"/>
              </w:rPr>
              <w:t xml:space="preserve"> publicaron en la plataforma/página web interactiva de oportunidades de patrocinio de la BDT puesta en funcionamiento en 2017. De los 38 acuerdos de asociación firmados, 10 son acuerdos </w:t>
            </w:r>
            <w:r w:rsidR="00E307D0">
              <w:rPr>
                <w:rFonts w:asciiTheme="minorHAnsi" w:hAnsiTheme="minorHAnsi"/>
                <w:szCs w:val="24"/>
                <w:lang w:val="es-ES"/>
              </w:rPr>
              <w:t>de patrocinio.</w:t>
            </w:r>
          </w:p>
          <w:p w:rsidR="00E8468E" w:rsidRPr="00F767CD" w:rsidRDefault="00E8468E" w:rsidP="00483815">
            <w:pPr>
              <w:keepNext/>
              <w:keepLines/>
              <w:rPr>
                <w:rFonts w:asciiTheme="minorHAnsi" w:hAnsiTheme="minorHAnsi"/>
                <w:szCs w:val="24"/>
                <w:lang w:val="es-ES"/>
              </w:rPr>
            </w:pPr>
            <w:r w:rsidRPr="00F767CD">
              <w:rPr>
                <w:rFonts w:asciiTheme="minorHAnsi" w:hAnsiTheme="minorHAnsi"/>
                <w:b/>
                <w:bCs/>
                <w:szCs w:val="24"/>
                <w:lang w:val="es-ES"/>
              </w:rPr>
              <w:t>Miembros del UIT-D</w:t>
            </w:r>
            <w:r w:rsidR="00EC4468" w:rsidRPr="00F767CD">
              <w:rPr>
                <w:rFonts w:asciiTheme="minorHAnsi" w:hAnsiTheme="minorHAnsi"/>
                <w:b/>
                <w:bCs/>
                <w:szCs w:val="24"/>
                <w:lang w:val="es-ES"/>
              </w:rPr>
              <w:t>:</w:t>
            </w:r>
            <w:r w:rsidR="00EC4468" w:rsidRPr="00F767CD">
              <w:rPr>
                <w:rFonts w:asciiTheme="minorHAnsi" w:hAnsiTheme="minorHAnsi"/>
                <w:szCs w:val="24"/>
                <w:lang w:val="es-ES"/>
              </w:rPr>
              <w:t xml:space="preserve"> 8 </w:t>
            </w:r>
            <w:r w:rsidRPr="00F767CD">
              <w:rPr>
                <w:rFonts w:asciiTheme="minorHAnsi" w:hAnsiTheme="minorHAnsi"/>
                <w:szCs w:val="24"/>
                <w:lang w:val="es-ES"/>
              </w:rPr>
              <w:t xml:space="preserve">nuevos Miembros de Sector, 4 nuevos Asociados y 37 nuevas Instituciones Académicas afiliadas </w:t>
            </w:r>
            <w:r w:rsidR="009862E1" w:rsidRPr="00F767CD">
              <w:rPr>
                <w:rFonts w:asciiTheme="minorHAnsi" w:hAnsiTheme="minorHAnsi"/>
                <w:szCs w:val="24"/>
                <w:lang w:val="es-ES"/>
              </w:rPr>
              <w:t xml:space="preserve">se </w:t>
            </w:r>
            <w:r w:rsidRPr="00F767CD">
              <w:rPr>
                <w:rFonts w:asciiTheme="minorHAnsi" w:hAnsiTheme="minorHAnsi"/>
                <w:szCs w:val="24"/>
                <w:lang w:val="es-ES"/>
              </w:rPr>
              <w:t xml:space="preserve">han </w:t>
            </w:r>
            <w:r w:rsidR="007020F2">
              <w:rPr>
                <w:rFonts w:asciiTheme="minorHAnsi" w:hAnsiTheme="minorHAnsi"/>
                <w:szCs w:val="24"/>
                <w:lang w:val="es-ES"/>
              </w:rPr>
              <w:t>incorpor</w:t>
            </w:r>
            <w:r w:rsidR="009862E1" w:rsidRPr="00F767CD">
              <w:rPr>
                <w:rFonts w:asciiTheme="minorHAnsi" w:hAnsiTheme="minorHAnsi"/>
                <w:szCs w:val="24"/>
                <w:lang w:val="es-ES"/>
              </w:rPr>
              <w:t>ado a las actividades del UIT-D</w:t>
            </w:r>
            <w:r w:rsidR="007020F2">
              <w:rPr>
                <w:rFonts w:asciiTheme="minorHAnsi" w:hAnsiTheme="minorHAnsi"/>
                <w:szCs w:val="24"/>
                <w:lang w:val="es-ES"/>
              </w:rPr>
              <w:t xml:space="preserve"> en 2018</w:t>
            </w:r>
            <w:r w:rsidR="009862E1" w:rsidRPr="00F767CD">
              <w:rPr>
                <w:rFonts w:asciiTheme="minorHAnsi" w:hAnsiTheme="minorHAnsi"/>
                <w:szCs w:val="24"/>
                <w:lang w:val="es-ES"/>
              </w:rPr>
              <w:t xml:space="preserve">; se ha producido un total de 12 denuncias por parte de Miembros de Sector y Asociados. </w:t>
            </w:r>
          </w:p>
          <w:p w:rsidR="009862E1" w:rsidRPr="00F767CD" w:rsidRDefault="00E55103" w:rsidP="00483815">
            <w:pPr>
              <w:spacing w:after="120"/>
              <w:rPr>
                <w:rFonts w:asciiTheme="minorHAnsi" w:hAnsiTheme="minorHAnsi" w:cstheme="minorHAnsi"/>
                <w:szCs w:val="24"/>
                <w:lang w:val="es-ES"/>
              </w:rPr>
            </w:pPr>
            <w:bookmarkStart w:id="45" w:name="lt_pId257"/>
            <w:r w:rsidRPr="00F767CD">
              <w:rPr>
                <w:rFonts w:asciiTheme="minorHAnsi" w:hAnsiTheme="minorHAnsi"/>
                <w:b/>
                <w:bCs/>
                <w:szCs w:val="24"/>
                <w:lang w:val="es-ES"/>
              </w:rPr>
              <w:t>Innovación:</w:t>
            </w:r>
            <w:bookmarkEnd w:id="45"/>
            <w:r w:rsidRPr="00F767CD">
              <w:rPr>
                <w:rFonts w:asciiTheme="minorHAnsi" w:hAnsiTheme="minorHAnsi"/>
                <w:b/>
                <w:bCs/>
                <w:szCs w:val="24"/>
                <w:lang w:val="es-ES"/>
              </w:rPr>
              <w:t xml:space="preserve"> </w:t>
            </w:r>
            <w:r w:rsidR="009862E1" w:rsidRPr="00F767CD">
              <w:rPr>
                <w:rFonts w:asciiTheme="minorHAnsi" w:hAnsiTheme="minorHAnsi" w:cstheme="minorHAnsi"/>
                <w:szCs w:val="24"/>
                <w:lang w:val="es-ES"/>
              </w:rPr>
              <w:t>Con el fin de acelerar la ejecución del Plan de Acción de Buenos Aires, el programa de innovación sigu</w:t>
            </w:r>
            <w:r w:rsidR="007020F2">
              <w:rPr>
                <w:rFonts w:asciiTheme="minorHAnsi" w:hAnsiTheme="minorHAnsi" w:cstheme="minorHAnsi"/>
                <w:szCs w:val="24"/>
                <w:lang w:val="es-ES"/>
              </w:rPr>
              <w:t>ió</w:t>
            </w:r>
            <w:r w:rsidR="009862E1" w:rsidRPr="00F767CD">
              <w:rPr>
                <w:rFonts w:asciiTheme="minorHAnsi" w:hAnsiTheme="minorHAnsi" w:cstheme="minorHAnsi"/>
                <w:szCs w:val="24"/>
                <w:lang w:val="es-ES"/>
              </w:rPr>
              <w:t xml:space="preserve"> fortaleciendo la plataforma de innovación a través del desarrollo de nuevos productos y servicios, como </w:t>
            </w:r>
            <w:r w:rsidR="007020F2">
              <w:rPr>
                <w:rFonts w:asciiTheme="minorHAnsi" w:hAnsiTheme="minorHAnsi" w:cstheme="minorHAnsi"/>
                <w:szCs w:val="24"/>
                <w:lang w:val="es-ES"/>
              </w:rPr>
              <w:t xml:space="preserve">los </w:t>
            </w:r>
            <w:r w:rsidR="009862E1" w:rsidRPr="00F767CD">
              <w:rPr>
                <w:rFonts w:asciiTheme="minorHAnsi" w:hAnsiTheme="minorHAnsi" w:cstheme="minorHAnsi"/>
                <w:szCs w:val="24"/>
                <w:lang w:val="es-ES"/>
              </w:rPr>
              <w:t xml:space="preserve">perfiles de innovación digital, </w:t>
            </w:r>
            <w:r w:rsidR="007020F2">
              <w:rPr>
                <w:rFonts w:asciiTheme="minorHAnsi" w:hAnsiTheme="minorHAnsi" w:cstheme="minorHAnsi"/>
                <w:szCs w:val="24"/>
                <w:lang w:val="es-ES"/>
              </w:rPr>
              <w:t xml:space="preserve">los </w:t>
            </w:r>
            <w:r w:rsidR="000C6174" w:rsidRPr="00F767CD">
              <w:rPr>
                <w:rFonts w:asciiTheme="minorHAnsi" w:hAnsiTheme="minorHAnsi" w:cstheme="minorHAnsi"/>
                <w:szCs w:val="24"/>
                <w:lang w:val="es-ES"/>
              </w:rPr>
              <w:t xml:space="preserve">exámenes de ecosistemas, </w:t>
            </w:r>
            <w:r w:rsidR="007020F2">
              <w:rPr>
                <w:rFonts w:asciiTheme="minorHAnsi" w:hAnsiTheme="minorHAnsi" w:cstheme="minorHAnsi"/>
                <w:szCs w:val="24"/>
                <w:lang w:val="es-ES"/>
              </w:rPr>
              <w:t>el</w:t>
            </w:r>
            <w:r w:rsidR="000C6174" w:rsidRPr="00F767CD">
              <w:rPr>
                <w:rFonts w:asciiTheme="minorHAnsi" w:hAnsiTheme="minorHAnsi" w:cstheme="minorHAnsi"/>
                <w:szCs w:val="24"/>
                <w:lang w:val="es-ES"/>
              </w:rPr>
              <w:t xml:space="preserve"> concurso de innovación </w:t>
            </w:r>
            <w:r w:rsidR="007020F2">
              <w:rPr>
                <w:rFonts w:asciiTheme="minorHAnsi" w:hAnsiTheme="minorHAnsi" w:cstheme="minorHAnsi"/>
                <w:szCs w:val="24"/>
                <w:lang w:val="es-ES"/>
              </w:rPr>
              <w:t>y los</w:t>
            </w:r>
            <w:r w:rsidR="000C6174" w:rsidRPr="00F767CD">
              <w:rPr>
                <w:rFonts w:asciiTheme="minorHAnsi" w:hAnsiTheme="minorHAnsi" w:cstheme="minorHAnsi"/>
                <w:szCs w:val="24"/>
                <w:lang w:val="es-ES"/>
              </w:rPr>
              <w:t xml:space="preserve"> informes </w:t>
            </w:r>
            <w:r w:rsidR="003E019B" w:rsidRPr="00F767CD">
              <w:rPr>
                <w:rFonts w:asciiTheme="minorHAnsi" w:hAnsiTheme="minorHAnsi" w:cstheme="minorHAnsi"/>
                <w:szCs w:val="24"/>
                <w:lang w:val="es-ES"/>
              </w:rPr>
              <w:t>globales</w:t>
            </w:r>
            <w:r w:rsidR="000C6174" w:rsidRPr="00F767CD">
              <w:rPr>
                <w:rFonts w:asciiTheme="minorHAnsi" w:hAnsiTheme="minorHAnsi" w:cstheme="minorHAnsi"/>
                <w:szCs w:val="24"/>
                <w:lang w:val="es-ES"/>
              </w:rPr>
              <w:t xml:space="preserve"> de prácticas idóneas. Mediante asistencia técnica</w:t>
            </w:r>
            <w:r w:rsidR="007020F2">
              <w:rPr>
                <w:rFonts w:asciiTheme="minorHAnsi" w:hAnsiTheme="minorHAnsi" w:cstheme="minorHAnsi"/>
                <w:szCs w:val="24"/>
                <w:lang w:val="es-ES"/>
              </w:rPr>
              <w:t>,</w:t>
            </w:r>
            <w:r w:rsidR="000C6174" w:rsidRPr="00F767CD">
              <w:rPr>
                <w:rFonts w:asciiTheme="minorHAnsi" w:hAnsiTheme="minorHAnsi" w:cstheme="minorHAnsi"/>
                <w:szCs w:val="24"/>
                <w:lang w:val="es-ES"/>
              </w:rPr>
              <w:t xml:space="preserve"> se elaboraron y publicaron los perfiles de innovación digital para Bosnia y Herzegovina, Serbia y Sudáfrica. Se están elaborando los perfiles de innovación digital para la ex República Yugoslava de Macedonia,</w:t>
            </w:r>
            <w:r w:rsidR="000C6174" w:rsidRPr="00F767CD">
              <w:rPr>
                <w:lang w:val="es-ES"/>
              </w:rPr>
              <w:t xml:space="preserve"> </w:t>
            </w:r>
            <w:r w:rsidR="000C6174" w:rsidRPr="00F767CD">
              <w:rPr>
                <w:rFonts w:asciiTheme="minorHAnsi" w:hAnsiTheme="minorHAnsi" w:cstheme="minorHAnsi"/>
                <w:szCs w:val="24"/>
                <w:lang w:val="es-ES"/>
              </w:rPr>
              <w:t>Zimbabwe y Montenegro.</w:t>
            </w:r>
            <w:r w:rsidR="00D15398" w:rsidRPr="00F767CD">
              <w:rPr>
                <w:rFonts w:asciiTheme="minorHAnsi" w:hAnsiTheme="minorHAnsi" w:cstheme="minorHAnsi"/>
                <w:szCs w:val="24"/>
                <w:lang w:val="es-ES"/>
              </w:rPr>
              <w:t xml:space="preserve"> Se publicó un informe </w:t>
            </w:r>
            <w:r w:rsidR="003E019B" w:rsidRPr="00F767CD">
              <w:rPr>
                <w:rFonts w:asciiTheme="minorHAnsi" w:hAnsiTheme="minorHAnsi" w:cstheme="minorHAnsi"/>
                <w:szCs w:val="24"/>
                <w:lang w:val="es-ES"/>
              </w:rPr>
              <w:t>global</w:t>
            </w:r>
            <w:r w:rsidR="00D15398" w:rsidRPr="00F767CD">
              <w:rPr>
                <w:rFonts w:asciiTheme="minorHAnsi" w:hAnsiTheme="minorHAnsi" w:cstheme="minorHAnsi"/>
                <w:szCs w:val="24"/>
                <w:lang w:val="es-ES"/>
              </w:rPr>
              <w:t xml:space="preserve"> de prácticas idóneas para Europa durante</w:t>
            </w:r>
            <w:r w:rsidR="00D15398" w:rsidRPr="00F767CD">
              <w:rPr>
                <w:lang w:val="es-ES"/>
              </w:rPr>
              <w:t xml:space="preserve"> </w:t>
            </w:r>
            <w:r w:rsidR="003E019B" w:rsidRPr="00F767CD">
              <w:rPr>
                <w:lang w:val="es-ES"/>
              </w:rPr>
              <w:t xml:space="preserve">la </w:t>
            </w:r>
            <w:r w:rsidR="00D15398" w:rsidRPr="00F767CD">
              <w:rPr>
                <w:rFonts w:asciiTheme="minorHAnsi" w:hAnsiTheme="minorHAnsi" w:cstheme="minorHAnsi"/>
                <w:szCs w:val="24"/>
                <w:lang w:val="es-ES"/>
              </w:rPr>
              <w:t xml:space="preserve">CMSI 2018, incluida la </w:t>
            </w:r>
            <w:r w:rsidR="003E019B" w:rsidRPr="00F767CD">
              <w:rPr>
                <w:rFonts w:asciiTheme="minorHAnsi" w:hAnsiTheme="minorHAnsi" w:cstheme="minorHAnsi"/>
                <w:szCs w:val="24"/>
                <w:lang w:val="es-ES"/>
              </w:rPr>
              <w:t xml:space="preserve">nueva </w:t>
            </w:r>
            <w:r w:rsidR="00D15398" w:rsidRPr="00F767CD">
              <w:rPr>
                <w:rFonts w:asciiTheme="minorHAnsi" w:hAnsiTheme="minorHAnsi" w:cstheme="minorHAnsi"/>
                <w:szCs w:val="24"/>
                <w:lang w:val="es-ES"/>
              </w:rPr>
              <w:t>publicación de un conjunto de herramientas anterior en los seis idiomas oficiales de las Naciones Unidas.</w:t>
            </w:r>
          </w:p>
          <w:p w:rsidR="00C73C93" w:rsidRPr="00F767CD" w:rsidRDefault="003E019B" w:rsidP="00483815">
            <w:pPr>
              <w:spacing w:after="120"/>
              <w:rPr>
                <w:rFonts w:asciiTheme="minorHAnsi" w:hAnsiTheme="minorHAnsi" w:cstheme="minorHAnsi"/>
                <w:szCs w:val="24"/>
                <w:lang w:val="es-ES"/>
              </w:rPr>
            </w:pPr>
            <w:r w:rsidRPr="00F767CD">
              <w:rPr>
                <w:rFonts w:asciiTheme="minorHAnsi" w:hAnsiTheme="minorHAnsi" w:cstheme="minorHAnsi"/>
                <w:szCs w:val="24"/>
                <w:lang w:val="es-ES"/>
              </w:rPr>
              <w:t>La UIT siguió organizando diálogos de innovación acogiendo la sección anual de la CMSI</w:t>
            </w:r>
            <w:r w:rsidR="00CC0043" w:rsidRPr="00F767CD">
              <w:rPr>
                <w:rFonts w:asciiTheme="minorHAnsi" w:hAnsiTheme="minorHAnsi" w:cstheme="minorHAnsi"/>
                <w:szCs w:val="24"/>
                <w:lang w:val="es-ES"/>
              </w:rPr>
              <w:t xml:space="preserve"> </w:t>
            </w:r>
            <w:r w:rsidR="00CC0043">
              <w:rPr>
                <w:rFonts w:asciiTheme="minorHAnsi" w:hAnsiTheme="minorHAnsi" w:cstheme="minorHAnsi"/>
                <w:szCs w:val="24"/>
                <w:lang w:val="es-ES"/>
              </w:rPr>
              <w:t>sobre</w:t>
            </w:r>
            <w:r w:rsidR="00CC0043" w:rsidRPr="00F767CD">
              <w:rPr>
                <w:rFonts w:asciiTheme="minorHAnsi" w:hAnsiTheme="minorHAnsi" w:cstheme="minorHAnsi"/>
                <w:szCs w:val="24"/>
                <w:lang w:val="es-ES"/>
              </w:rPr>
              <w:t xml:space="preserve"> innovación</w:t>
            </w:r>
            <w:r w:rsidR="008D54A3" w:rsidRPr="00F767CD">
              <w:rPr>
                <w:rFonts w:asciiTheme="minorHAnsi" w:hAnsiTheme="minorHAnsi" w:cstheme="minorHAnsi"/>
                <w:szCs w:val="24"/>
                <w:lang w:val="es-ES"/>
              </w:rPr>
              <w:t xml:space="preserve">. En 2018, 5 sesiones, incluido un panel de alto nivel sobre el tema </w:t>
            </w:r>
            <w:r w:rsidR="00BB4B3A" w:rsidRPr="00F767CD">
              <w:rPr>
                <w:rFonts w:asciiTheme="minorHAnsi" w:hAnsiTheme="minorHAnsi"/>
                <w:szCs w:val="24"/>
                <w:lang w:val="es-ES"/>
              </w:rPr>
              <w:t>"</w:t>
            </w:r>
            <w:r w:rsidR="008D54A3" w:rsidRPr="00F767CD">
              <w:rPr>
                <w:rFonts w:asciiTheme="minorHAnsi" w:hAnsiTheme="minorHAnsi" w:cstheme="minorHAnsi"/>
                <w:szCs w:val="24"/>
                <w:lang w:val="es-ES"/>
              </w:rPr>
              <w:t>Acelerar la transformación digital, creación de ecosistemas de innovación centrados en las TIC</w:t>
            </w:r>
            <w:r w:rsidR="00BB4B3A" w:rsidRPr="00F767CD">
              <w:rPr>
                <w:rFonts w:asciiTheme="minorHAnsi" w:hAnsiTheme="minorHAnsi"/>
                <w:szCs w:val="24"/>
                <w:lang w:val="es-ES"/>
              </w:rPr>
              <w:t>"</w:t>
            </w:r>
            <w:r w:rsidR="008D54A3" w:rsidRPr="00F767CD">
              <w:rPr>
                <w:rFonts w:asciiTheme="minorHAnsi" w:hAnsiTheme="minorHAnsi" w:cstheme="minorHAnsi"/>
                <w:szCs w:val="24"/>
                <w:lang w:val="es-ES"/>
              </w:rPr>
              <w:t xml:space="preserve">, analizaron tres áreas fundamentales: las prácticas de innovación basadas en hechos objetivos, las herramientas de creación de ecosistemas de innovación y </w:t>
            </w:r>
            <w:r w:rsidR="00CC0043">
              <w:rPr>
                <w:rFonts w:asciiTheme="minorHAnsi" w:hAnsiTheme="minorHAnsi" w:cstheme="minorHAnsi"/>
                <w:szCs w:val="24"/>
                <w:lang w:val="es-ES"/>
              </w:rPr>
              <w:t xml:space="preserve">las </w:t>
            </w:r>
            <w:r w:rsidR="008D54A3" w:rsidRPr="00F767CD">
              <w:rPr>
                <w:rFonts w:asciiTheme="minorHAnsi" w:hAnsiTheme="minorHAnsi" w:cstheme="minorHAnsi"/>
                <w:szCs w:val="24"/>
                <w:lang w:val="es-ES"/>
              </w:rPr>
              <w:t xml:space="preserve">políticas de financiación para proyectos de referencia sostenibles de gran repercusión. Además, la BDT participó en la organización </w:t>
            </w:r>
            <w:r w:rsidR="00CC0043">
              <w:rPr>
                <w:rFonts w:asciiTheme="minorHAnsi" w:hAnsiTheme="minorHAnsi" w:cstheme="minorHAnsi"/>
                <w:szCs w:val="24"/>
                <w:lang w:val="es-ES"/>
              </w:rPr>
              <w:t xml:space="preserve">conjunta </w:t>
            </w:r>
            <w:r w:rsidR="008D54A3" w:rsidRPr="00F767CD">
              <w:rPr>
                <w:rFonts w:asciiTheme="minorHAnsi" w:hAnsiTheme="minorHAnsi" w:cstheme="minorHAnsi"/>
                <w:szCs w:val="24"/>
                <w:lang w:val="es-ES"/>
              </w:rPr>
              <w:t xml:space="preserve">de varios eventos con la ONUDI y la GMIS </w:t>
            </w:r>
            <w:r w:rsidR="00C73C93" w:rsidRPr="00F767CD">
              <w:rPr>
                <w:rFonts w:asciiTheme="minorHAnsi" w:hAnsiTheme="minorHAnsi" w:cstheme="minorHAnsi"/>
                <w:szCs w:val="24"/>
                <w:lang w:val="es-ES"/>
              </w:rPr>
              <w:t xml:space="preserve">en ITU Telecom 2018 y, en paralelo con las Comisiones de Estudio del UIT-D, sobre ecosistemas de innovación digital e industria 4.0 y sociedad inteligente. </w:t>
            </w:r>
          </w:p>
          <w:p w:rsidR="00E55103" w:rsidRPr="00F767CD" w:rsidRDefault="00C73C93" w:rsidP="00483815">
            <w:pPr>
              <w:spacing w:after="120"/>
              <w:rPr>
                <w:rFonts w:asciiTheme="minorHAnsi" w:hAnsiTheme="minorHAnsi" w:cstheme="minorHAnsi"/>
                <w:szCs w:val="24"/>
                <w:lang w:val="es-ES"/>
              </w:rPr>
            </w:pPr>
            <w:r w:rsidRPr="00F767CD">
              <w:rPr>
                <w:rFonts w:asciiTheme="minorHAnsi" w:hAnsiTheme="minorHAnsi" w:cstheme="minorHAnsi"/>
                <w:szCs w:val="24"/>
                <w:lang w:val="es-ES"/>
              </w:rPr>
              <w:t>A través de talleres de creación de capacidad de innovación y el intercambio de conocimientos, más de 90 personas de 54 países recibieron formación sobre la creación de ecosistemas de innovación digital, incluido</w:t>
            </w:r>
            <w:r w:rsidR="00CC0043">
              <w:rPr>
                <w:rFonts w:asciiTheme="minorHAnsi" w:hAnsiTheme="minorHAnsi" w:cstheme="minorHAnsi"/>
                <w:szCs w:val="24"/>
                <w:lang w:val="es-ES"/>
              </w:rPr>
              <w:t xml:space="preserve"> em</w:t>
            </w:r>
            <w:r w:rsidRPr="00F767CD">
              <w:rPr>
                <w:rFonts w:asciiTheme="minorHAnsi" w:hAnsiTheme="minorHAnsi" w:cstheme="minorHAnsi"/>
                <w:szCs w:val="24"/>
                <w:lang w:val="es-ES"/>
              </w:rPr>
              <w:t xml:space="preserve"> eventos como el Foro de Jóvenes Líderes de las TIC (concurso de innovación) celebrado en Busán (República de Corea), el Foro Regional de Innovación celebrado en Oslo (Noruega) y talleres nacionales en Tailandia y Sudáfrica</w:t>
            </w:r>
            <w:r w:rsidR="003731BE" w:rsidRPr="00F767CD">
              <w:rPr>
                <w:rFonts w:asciiTheme="minorHAnsi" w:hAnsiTheme="minorHAnsi" w:cstheme="minorHAnsi"/>
                <w:szCs w:val="24"/>
                <w:lang w:val="es-ES"/>
              </w:rPr>
              <w:t>. Algunos de estos talleres de creación de capacidad impulsaron nuevos proyectos creados conjuntamente con Miembros de la UIT, como la iniciativa del centro de transformación digital lanzada en Durban (Sudáfrica) o el proyecto de innovación en curso de la Universidad Metropolitana de Oslo (Noruega).</w:t>
            </w:r>
          </w:p>
        </w:tc>
      </w:tr>
      <w:tr w:rsidR="00E55103" w:rsidRPr="00F767CD" w:rsidTr="009009A1">
        <w:tc>
          <w:tcPr>
            <w:tcW w:w="2809" w:type="dxa"/>
          </w:tcPr>
          <w:p w:rsidR="00E55103" w:rsidRPr="00F767CD" w:rsidRDefault="00E55103" w:rsidP="00483815">
            <w:pPr>
              <w:spacing w:before="60" w:after="60"/>
              <w:rPr>
                <w:rFonts w:asciiTheme="minorHAnsi" w:hAnsiTheme="minorHAnsi"/>
                <w:i/>
                <w:iCs/>
                <w:szCs w:val="24"/>
                <w:lang w:val="es-ES"/>
              </w:rPr>
            </w:pPr>
            <w:r w:rsidRPr="00F767CD">
              <w:rPr>
                <w:rFonts w:asciiTheme="minorHAnsi" w:hAnsiTheme="minorHAnsi"/>
                <w:i/>
                <w:iCs/>
                <w:szCs w:val="24"/>
                <w:lang w:val="es-ES"/>
              </w:rPr>
              <w:lastRenderedPageBreak/>
              <w:t>CMDT</w:t>
            </w:r>
          </w:p>
        </w:tc>
        <w:tc>
          <w:tcPr>
            <w:tcW w:w="6819" w:type="dxa"/>
          </w:tcPr>
          <w:p w:rsidR="00E55103" w:rsidRPr="00F767CD" w:rsidRDefault="00E55103" w:rsidP="00483815">
            <w:pPr>
              <w:spacing w:before="60" w:after="60"/>
              <w:rPr>
                <w:rFonts w:asciiTheme="minorHAnsi" w:hAnsiTheme="minorHAnsi"/>
                <w:szCs w:val="24"/>
                <w:lang w:val="es-ES"/>
              </w:rPr>
            </w:pPr>
            <w:bookmarkStart w:id="46" w:name="lt_pId267"/>
            <w:r w:rsidRPr="00F767CD">
              <w:rPr>
                <w:rFonts w:asciiTheme="minorHAnsi" w:hAnsiTheme="minorHAnsi"/>
                <w:szCs w:val="24"/>
                <w:lang w:val="es-ES"/>
              </w:rPr>
              <w:t>Resoluciones 1, 5, 30, 33, 50, 59, 71, 157</w:t>
            </w:r>
            <w:bookmarkEnd w:id="46"/>
          </w:p>
        </w:tc>
      </w:tr>
      <w:tr w:rsidR="00E55103" w:rsidRPr="004E44DD" w:rsidTr="009009A1">
        <w:tc>
          <w:tcPr>
            <w:tcW w:w="2809" w:type="dxa"/>
          </w:tcPr>
          <w:p w:rsidR="00E55103" w:rsidRPr="00F767CD" w:rsidRDefault="00E55103" w:rsidP="00483815">
            <w:pPr>
              <w:spacing w:before="60" w:after="60"/>
              <w:rPr>
                <w:i/>
                <w:iCs/>
                <w:szCs w:val="24"/>
                <w:lang w:val="es-ES"/>
              </w:rPr>
            </w:pPr>
            <w:r w:rsidRPr="00F767CD">
              <w:rPr>
                <w:rFonts w:asciiTheme="minorHAnsi" w:hAnsiTheme="minorHAnsi"/>
                <w:i/>
                <w:iCs/>
                <w:szCs w:val="24"/>
                <w:lang w:val="es-ES"/>
              </w:rPr>
              <w:t>Conferencia de Plenipotenciarios</w:t>
            </w:r>
          </w:p>
        </w:tc>
        <w:tc>
          <w:tcPr>
            <w:tcW w:w="6819" w:type="dxa"/>
          </w:tcPr>
          <w:p w:rsidR="00E55103" w:rsidRPr="00F767CD" w:rsidRDefault="00E55103" w:rsidP="00483815">
            <w:pPr>
              <w:spacing w:before="60" w:after="60"/>
              <w:rPr>
                <w:szCs w:val="24"/>
                <w:lang w:val="es-ES"/>
              </w:rPr>
            </w:pPr>
            <w:r w:rsidRPr="00F767CD">
              <w:rPr>
                <w:rFonts w:asciiTheme="minorHAnsi" w:hAnsiTheme="minorHAnsi"/>
                <w:szCs w:val="24"/>
                <w:lang w:val="es-ES"/>
              </w:rPr>
              <w:t>Decisiones de la PP: 5 y 13</w:t>
            </w:r>
            <w:r w:rsidRPr="00F767CD">
              <w:rPr>
                <w:rFonts w:asciiTheme="minorHAnsi" w:hAnsiTheme="minorHAnsi"/>
                <w:szCs w:val="24"/>
                <w:lang w:val="es-ES"/>
              </w:rPr>
              <w:br/>
              <w:t xml:space="preserve">Resoluciones de la PP: 25, 71, 72 </w:t>
            </w:r>
          </w:p>
        </w:tc>
      </w:tr>
      <w:tr w:rsidR="00E55103" w:rsidRPr="004E44DD" w:rsidTr="009009A1">
        <w:tc>
          <w:tcPr>
            <w:tcW w:w="2809" w:type="dxa"/>
          </w:tcPr>
          <w:p w:rsidR="00E55103" w:rsidRPr="00F767CD" w:rsidRDefault="00E55103" w:rsidP="00483815">
            <w:pPr>
              <w:spacing w:before="60" w:after="60"/>
              <w:rPr>
                <w:i/>
                <w:iCs/>
                <w:szCs w:val="24"/>
                <w:lang w:val="es-ES"/>
              </w:rPr>
            </w:pPr>
            <w:r w:rsidRPr="00F767CD">
              <w:rPr>
                <w:rFonts w:asciiTheme="minorHAnsi" w:hAnsiTheme="minorHAnsi"/>
                <w:i/>
                <w:iCs/>
                <w:szCs w:val="24"/>
                <w:lang w:val="es-ES"/>
              </w:rPr>
              <w:t>Línea de Acción de la CMSI</w:t>
            </w:r>
          </w:p>
        </w:tc>
        <w:tc>
          <w:tcPr>
            <w:tcW w:w="6819" w:type="dxa"/>
          </w:tcPr>
          <w:p w:rsidR="00E55103" w:rsidRPr="00F767CD" w:rsidRDefault="00E55103" w:rsidP="00483815">
            <w:pPr>
              <w:spacing w:before="60" w:after="60"/>
              <w:rPr>
                <w:szCs w:val="24"/>
                <w:lang w:val="es-ES"/>
              </w:rPr>
            </w:pPr>
            <w:r w:rsidRPr="00F767CD">
              <w:rPr>
                <w:rFonts w:asciiTheme="minorHAnsi" w:hAnsiTheme="minorHAnsi"/>
                <w:szCs w:val="24"/>
                <w:lang w:val="es-ES"/>
              </w:rPr>
              <w:t>Líneas de Acción de la CMSI 3, 4, 5, 6, y 7 del Plan de Acción de Ginebra y la Sección "Mecanismos de financiación para hacer frente a los retos de las TIC para el desarrollo" de la Agenda de Túnez para la Sociedad de la Información.</w:t>
            </w:r>
          </w:p>
        </w:tc>
      </w:tr>
      <w:tr w:rsidR="00E55103" w:rsidRPr="004E44DD" w:rsidTr="009009A1">
        <w:tc>
          <w:tcPr>
            <w:tcW w:w="2809" w:type="dxa"/>
          </w:tcPr>
          <w:p w:rsidR="00E55103" w:rsidRPr="00F767CD" w:rsidRDefault="00E55103" w:rsidP="00483815">
            <w:pPr>
              <w:spacing w:before="60" w:after="60"/>
              <w:rPr>
                <w:rFonts w:asciiTheme="minorHAnsi" w:hAnsiTheme="minorHAnsi"/>
                <w:i/>
                <w:iCs/>
                <w:szCs w:val="24"/>
                <w:lang w:val="es-ES"/>
              </w:rPr>
            </w:pPr>
            <w:r w:rsidRPr="00F767CD">
              <w:rPr>
                <w:rFonts w:asciiTheme="minorHAnsi" w:hAnsiTheme="minorHAnsi"/>
                <w:i/>
                <w:iCs/>
                <w:szCs w:val="24"/>
                <w:lang w:val="es-ES"/>
              </w:rPr>
              <w:lastRenderedPageBreak/>
              <w:t>Contribución a las metas de los ODS</w:t>
            </w:r>
          </w:p>
        </w:tc>
        <w:tc>
          <w:tcPr>
            <w:tcW w:w="6819" w:type="dxa"/>
          </w:tcPr>
          <w:p w:rsidR="00E55103" w:rsidRPr="00F767CD" w:rsidRDefault="00E55103" w:rsidP="00483815">
            <w:pPr>
              <w:spacing w:before="60" w:after="60"/>
              <w:rPr>
                <w:rFonts w:asciiTheme="minorHAnsi" w:hAnsiTheme="minorHAnsi"/>
                <w:szCs w:val="24"/>
                <w:lang w:val="es-ES"/>
              </w:rPr>
            </w:pPr>
            <w:r w:rsidRPr="00F767CD">
              <w:rPr>
                <w:rFonts w:asciiTheme="minorHAnsi" w:hAnsiTheme="minorHAnsi"/>
                <w:szCs w:val="24"/>
                <w:lang w:val="es-ES"/>
              </w:rPr>
              <w:t>ODS: 1 (metas 1.a; 1.b), 2 (metas 2.a, 2.c), 3, 4 (metas 4.a, 4.b, 4.3, 4.7), 5 (metas 5.b, 5.6), 8 (metas 8.2, 8.3, 8.6, 8.10, 8.b), 9 (metas 9.5, 9.b, 9.c), 10, 11 (metas 11.1, 11.4), 12, 13 (metas 13.3), 16, 17 (metas 17.1, 17.3, 17.9, 17.14, 17.16, 17.17)</w:t>
            </w:r>
          </w:p>
        </w:tc>
      </w:tr>
    </w:tbl>
    <w:p w:rsidR="00E55103" w:rsidRPr="00F767CD" w:rsidRDefault="00E55103" w:rsidP="00483815">
      <w:pPr>
        <w:pStyle w:val="Heading1"/>
        <w:rPr>
          <w:i/>
          <w:iCs/>
          <w:lang w:val="es-ES"/>
        </w:rPr>
      </w:pPr>
      <w:r w:rsidRPr="00F767CD">
        <w:rPr>
          <w:lang w:val="es-ES"/>
        </w:rPr>
        <w:t>3</w:t>
      </w:r>
      <w:r w:rsidRPr="00F767CD">
        <w:rPr>
          <w:lang w:val="es-ES"/>
        </w:rPr>
        <w:tab/>
        <w:t>Objetivo 3:</w:t>
      </w:r>
      <w:r w:rsidRPr="00F767CD">
        <w:rPr>
          <w:i/>
          <w:iCs/>
          <w:lang w:val="es-ES"/>
        </w:rPr>
        <w:t xml:space="preserve"> "Mejorar la confianza y seguridad en la utilización de las telecomunicaciones/TIC y desplegar las aplicaciones y los servicios pertinentes"</w:t>
      </w:r>
    </w:p>
    <w:p w:rsidR="00E55103" w:rsidRPr="00F767CD" w:rsidRDefault="00E55103" w:rsidP="00483815">
      <w:pPr>
        <w:pStyle w:val="Heading2"/>
        <w:spacing w:after="120"/>
        <w:rPr>
          <w:lang w:val="es-ES"/>
        </w:rPr>
      </w:pPr>
      <w:r w:rsidRPr="00F767CD">
        <w:rPr>
          <w:lang w:val="es-ES"/>
        </w:rPr>
        <w:t>3.1</w:t>
      </w:r>
      <w:r w:rsidRPr="00F767CD">
        <w:rPr>
          <w:lang w:val="es-ES"/>
        </w:rPr>
        <w:tab/>
        <w:t xml:space="preserve">Instauración de confianza y seguridad en la utilización de las TIC </w:t>
      </w:r>
    </w:p>
    <w:tbl>
      <w:tblPr>
        <w:tblStyle w:val="TableGrid"/>
        <w:tblW w:w="0" w:type="auto"/>
        <w:tblLook w:val="04A0" w:firstRow="1" w:lastRow="0" w:firstColumn="1" w:lastColumn="0" w:noHBand="0" w:noVBand="1"/>
      </w:tblPr>
      <w:tblGrid>
        <w:gridCol w:w="2830"/>
        <w:gridCol w:w="6798"/>
      </w:tblGrid>
      <w:tr w:rsidR="00E55103" w:rsidRPr="004E44DD" w:rsidTr="009009A1">
        <w:tc>
          <w:tcPr>
            <w:tcW w:w="9628" w:type="dxa"/>
            <w:gridSpan w:val="2"/>
          </w:tcPr>
          <w:p w:rsidR="00E55103" w:rsidRPr="00F767CD" w:rsidRDefault="00EC4468" w:rsidP="00483815">
            <w:pPr>
              <w:rPr>
                <w:rFonts w:asciiTheme="minorHAnsi" w:hAnsiTheme="minorHAnsi"/>
                <w:szCs w:val="24"/>
                <w:lang w:val="es-ES"/>
              </w:rPr>
            </w:pPr>
            <w:bookmarkStart w:id="47" w:name="lt_pId282"/>
            <w:r w:rsidRPr="00F767CD">
              <w:rPr>
                <w:rFonts w:asciiTheme="minorHAnsi" w:hAnsiTheme="minorHAnsi"/>
                <w:szCs w:val="24"/>
                <w:lang w:val="es-ES"/>
              </w:rPr>
              <w:t xml:space="preserve">La </w:t>
            </w:r>
            <w:r w:rsidR="00E55103" w:rsidRPr="00F767CD">
              <w:rPr>
                <w:rFonts w:asciiTheme="minorHAnsi" w:hAnsiTheme="minorHAnsi"/>
                <w:szCs w:val="24"/>
                <w:lang w:val="es-ES"/>
              </w:rPr>
              <w:t>BDT siguió prestando apoyo a los Miembros de la UIT, en particular a los países en desarrollo, en la creación de confianza en la utilización de las TIC. Entre otras cosas, la BDT llevó a cabo iniciativas de capacitación y divulgación, actividades para realizar mejoras jurídicas y técnicas y cooperación internacional</w:t>
            </w:r>
            <w:bookmarkStart w:id="48" w:name="lt_pId283"/>
            <w:bookmarkEnd w:id="47"/>
            <w:r w:rsidR="00E55103" w:rsidRPr="00F767CD">
              <w:rPr>
                <w:rFonts w:asciiTheme="minorHAnsi" w:hAnsiTheme="minorHAnsi"/>
                <w:szCs w:val="24"/>
                <w:lang w:val="es-ES"/>
              </w:rPr>
              <w:t>.</w:t>
            </w:r>
            <w:bookmarkEnd w:id="48"/>
          </w:p>
          <w:p w:rsidR="00B445B3" w:rsidRPr="00F767CD" w:rsidRDefault="00B445B3" w:rsidP="00483815">
            <w:pPr>
              <w:rPr>
                <w:rFonts w:asciiTheme="minorHAnsi" w:hAnsiTheme="minorHAnsi"/>
                <w:szCs w:val="24"/>
                <w:lang w:val="es-ES"/>
              </w:rPr>
            </w:pPr>
            <w:r w:rsidRPr="00F767CD">
              <w:rPr>
                <w:rFonts w:asciiTheme="minorHAnsi" w:hAnsiTheme="minorHAnsi"/>
                <w:szCs w:val="24"/>
                <w:lang w:val="es-ES"/>
              </w:rPr>
              <w:t xml:space="preserve">Se ha iniciado la 3ª edición del Índice de Ciberseguridad Global a fin de medir el compromiso de los Estados Miembros de la UIT con la ciberseguridad. Se espera su publicación en el primer trimestre de 2019. </w:t>
            </w:r>
          </w:p>
          <w:p w:rsidR="00EC4468" w:rsidRPr="00F767CD" w:rsidRDefault="00B445B3" w:rsidP="00483815">
            <w:pPr>
              <w:rPr>
                <w:rFonts w:asciiTheme="minorHAnsi" w:hAnsiTheme="minorHAnsi"/>
                <w:szCs w:val="24"/>
                <w:lang w:val="es-ES"/>
              </w:rPr>
            </w:pPr>
            <w:r w:rsidRPr="00F767CD">
              <w:rPr>
                <w:rFonts w:asciiTheme="minorHAnsi" w:hAnsiTheme="minorHAnsi"/>
                <w:szCs w:val="24"/>
                <w:lang w:val="es-ES"/>
              </w:rPr>
              <w:t>Se publicó una Guía de estrategias nacionales de ciberseguridad en Telecom World</w:t>
            </w:r>
            <w:r w:rsidR="00565619" w:rsidRPr="00F767CD">
              <w:rPr>
                <w:rFonts w:asciiTheme="minorHAnsi" w:hAnsiTheme="minorHAnsi"/>
                <w:szCs w:val="24"/>
                <w:lang w:val="es-ES"/>
              </w:rPr>
              <w:t>,</w:t>
            </w:r>
            <w:r w:rsidRPr="00F767CD">
              <w:rPr>
                <w:rFonts w:asciiTheme="minorHAnsi" w:hAnsiTheme="minorHAnsi"/>
                <w:szCs w:val="24"/>
                <w:lang w:val="es-ES"/>
              </w:rPr>
              <w:t xml:space="preserve"> como un esfuerzo de múltiples partes </w:t>
            </w:r>
            <w:r w:rsidR="00565619" w:rsidRPr="00F767CD">
              <w:rPr>
                <w:rFonts w:asciiTheme="minorHAnsi" w:hAnsiTheme="minorHAnsi"/>
                <w:szCs w:val="24"/>
                <w:lang w:val="es-ES"/>
              </w:rPr>
              <w:t>facilitado por la UIT</w:t>
            </w:r>
            <w:r w:rsidR="002319FF">
              <w:rPr>
                <w:rFonts w:asciiTheme="minorHAnsi" w:hAnsiTheme="minorHAnsi"/>
                <w:szCs w:val="24"/>
                <w:lang w:val="es-ES"/>
              </w:rPr>
              <w:t>,</w:t>
            </w:r>
            <w:r w:rsidR="00565619" w:rsidRPr="00F767CD">
              <w:rPr>
                <w:rFonts w:asciiTheme="minorHAnsi" w:hAnsiTheme="minorHAnsi"/>
                <w:szCs w:val="24"/>
                <w:lang w:val="es-ES"/>
              </w:rPr>
              <w:t xml:space="preserve"> en colaboración con la Universidad de Oxford, Deloitte, </w:t>
            </w:r>
            <w:r w:rsidR="00EC4468" w:rsidRPr="00F767CD">
              <w:rPr>
                <w:rFonts w:asciiTheme="minorHAnsi" w:hAnsiTheme="minorHAnsi"/>
                <w:szCs w:val="24"/>
                <w:lang w:val="es-ES"/>
              </w:rPr>
              <w:t xml:space="preserve">Microsoft, Potomac Institute, RAND Europe, </w:t>
            </w:r>
            <w:r w:rsidR="002319FF">
              <w:rPr>
                <w:rFonts w:asciiTheme="minorHAnsi" w:hAnsiTheme="minorHAnsi"/>
                <w:szCs w:val="24"/>
                <w:lang w:val="es-ES"/>
              </w:rPr>
              <w:t xml:space="preserve">la </w:t>
            </w:r>
            <w:r w:rsidR="00EC4468" w:rsidRPr="00F767CD">
              <w:rPr>
                <w:rFonts w:asciiTheme="minorHAnsi" w:hAnsiTheme="minorHAnsi"/>
                <w:szCs w:val="24"/>
                <w:lang w:val="es-ES"/>
              </w:rPr>
              <w:t xml:space="preserve">UNCTAD, </w:t>
            </w:r>
            <w:r w:rsidR="00565619" w:rsidRPr="00F767CD">
              <w:rPr>
                <w:rFonts w:asciiTheme="minorHAnsi" w:hAnsiTheme="minorHAnsi"/>
                <w:szCs w:val="24"/>
                <w:lang w:val="es-ES"/>
              </w:rPr>
              <w:t>el Banco Mundial,</w:t>
            </w:r>
            <w:r w:rsidR="00EC4468" w:rsidRPr="00F767CD">
              <w:rPr>
                <w:rFonts w:asciiTheme="minorHAnsi" w:hAnsiTheme="minorHAnsi"/>
                <w:szCs w:val="24"/>
                <w:lang w:val="es-ES"/>
              </w:rPr>
              <w:t xml:space="preserve"> etc.</w:t>
            </w:r>
          </w:p>
          <w:p w:rsidR="00EC4468" w:rsidRPr="00F767CD" w:rsidRDefault="00565619" w:rsidP="00483815">
            <w:pPr>
              <w:rPr>
                <w:rFonts w:asciiTheme="minorHAnsi" w:hAnsiTheme="minorHAnsi"/>
                <w:szCs w:val="24"/>
                <w:lang w:val="es-ES"/>
              </w:rPr>
            </w:pPr>
            <w:r w:rsidRPr="00F767CD">
              <w:rPr>
                <w:rFonts w:asciiTheme="minorHAnsi" w:hAnsiTheme="minorHAnsi"/>
                <w:szCs w:val="24"/>
                <w:lang w:val="es-ES"/>
              </w:rPr>
              <w:t xml:space="preserve">Se llevaron a cabo varias iniciativas y actividades en el ámbito de la promoción de la cultura de ciberseguridad y el tratamiento de </w:t>
            </w:r>
            <w:r w:rsidR="002319FF">
              <w:rPr>
                <w:rFonts w:asciiTheme="minorHAnsi" w:hAnsiTheme="minorHAnsi"/>
                <w:szCs w:val="24"/>
                <w:lang w:val="es-ES"/>
              </w:rPr>
              <w:t xml:space="preserve">los </w:t>
            </w:r>
            <w:r w:rsidRPr="00F767CD">
              <w:rPr>
                <w:rFonts w:asciiTheme="minorHAnsi" w:hAnsiTheme="minorHAnsi"/>
                <w:szCs w:val="24"/>
                <w:lang w:val="es-ES"/>
              </w:rPr>
              <w:t xml:space="preserve">problemas </w:t>
            </w:r>
            <w:r w:rsidR="002319FF">
              <w:rPr>
                <w:rFonts w:asciiTheme="minorHAnsi" w:hAnsiTheme="minorHAnsi"/>
                <w:szCs w:val="24"/>
                <w:lang w:val="es-ES"/>
              </w:rPr>
              <w:t>relevantes</w:t>
            </w:r>
            <w:r w:rsidRPr="00F767CD">
              <w:rPr>
                <w:rFonts w:asciiTheme="minorHAnsi" w:hAnsiTheme="minorHAnsi"/>
                <w:szCs w:val="24"/>
                <w:lang w:val="es-ES"/>
              </w:rPr>
              <w:t xml:space="preserve"> (por ejemplo, en Túnez, Irán</w:t>
            </w:r>
            <w:r w:rsidR="00EC4468" w:rsidRPr="00F767CD">
              <w:rPr>
                <w:rFonts w:asciiTheme="minorHAnsi" w:hAnsiTheme="minorHAnsi"/>
                <w:szCs w:val="24"/>
                <w:lang w:val="es-ES"/>
              </w:rPr>
              <w:t xml:space="preserve">, </w:t>
            </w:r>
            <w:r w:rsidRPr="00F767CD">
              <w:rPr>
                <w:rFonts w:asciiTheme="minorHAnsi" w:hAnsiTheme="minorHAnsi"/>
                <w:szCs w:val="24"/>
                <w:lang w:val="es-ES"/>
              </w:rPr>
              <w:t>Camerún</w:t>
            </w:r>
            <w:r w:rsidR="00EC4468" w:rsidRPr="00F767CD">
              <w:rPr>
                <w:rFonts w:asciiTheme="minorHAnsi" w:hAnsiTheme="minorHAnsi"/>
                <w:szCs w:val="24"/>
                <w:lang w:val="es-ES"/>
              </w:rPr>
              <w:t>, U</w:t>
            </w:r>
            <w:r w:rsidRPr="00F767CD">
              <w:rPr>
                <w:rFonts w:asciiTheme="minorHAnsi" w:hAnsiTheme="minorHAnsi"/>
                <w:szCs w:val="24"/>
                <w:lang w:val="es-ES"/>
              </w:rPr>
              <w:t>crania</w:t>
            </w:r>
            <w:r w:rsidR="00EC4468" w:rsidRPr="00F767CD">
              <w:rPr>
                <w:rFonts w:asciiTheme="minorHAnsi" w:hAnsiTheme="minorHAnsi"/>
                <w:szCs w:val="24"/>
                <w:lang w:val="es-ES"/>
              </w:rPr>
              <w:t xml:space="preserve">, etc.). </w:t>
            </w:r>
          </w:p>
          <w:p w:rsidR="00EC4468" w:rsidRPr="00F767CD" w:rsidRDefault="00565619" w:rsidP="00483815">
            <w:pPr>
              <w:rPr>
                <w:rFonts w:asciiTheme="minorHAnsi" w:hAnsiTheme="minorHAnsi"/>
                <w:szCs w:val="24"/>
                <w:lang w:val="es-ES"/>
              </w:rPr>
            </w:pPr>
            <w:r w:rsidRPr="00F767CD">
              <w:rPr>
                <w:rFonts w:asciiTheme="minorHAnsi" w:hAnsiTheme="minorHAnsi"/>
                <w:szCs w:val="24"/>
                <w:lang w:val="es-ES"/>
              </w:rPr>
              <w:t xml:space="preserve">La BDT ayudó en la creación y fortalecimiento de equipos de intervención en caso de incidente informático (EIII) </w:t>
            </w:r>
            <w:r w:rsidR="002319FF">
              <w:rPr>
                <w:rFonts w:asciiTheme="minorHAnsi" w:hAnsiTheme="minorHAnsi"/>
                <w:szCs w:val="24"/>
                <w:lang w:val="es-ES"/>
              </w:rPr>
              <w:t xml:space="preserve">nacionales </w:t>
            </w:r>
            <w:r w:rsidRPr="00F767CD">
              <w:rPr>
                <w:rFonts w:asciiTheme="minorHAnsi" w:hAnsiTheme="minorHAnsi"/>
                <w:szCs w:val="24"/>
                <w:lang w:val="es-ES"/>
              </w:rPr>
              <w:t>(por ejemplo, en Chipre, Kirguistán</w:t>
            </w:r>
            <w:r w:rsidR="00EC4468" w:rsidRPr="00F767CD">
              <w:rPr>
                <w:rFonts w:asciiTheme="minorHAnsi" w:hAnsiTheme="minorHAnsi"/>
                <w:szCs w:val="24"/>
                <w:lang w:val="es-ES"/>
              </w:rPr>
              <w:t xml:space="preserve">, Malawi, Botswana, Gambia, Burundi, Samoa, Tonga, etc.). </w:t>
            </w:r>
          </w:p>
          <w:p w:rsidR="00E55103" w:rsidRPr="00F767CD" w:rsidRDefault="00565619" w:rsidP="00483815">
            <w:pPr>
              <w:spacing w:after="120"/>
              <w:rPr>
                <w:rFonts w:asciiTheme="minorHAnsi" w:hAnsiTheme="minorHAnsi"/>
                <w:szCs w:val="24"/>
                <w:lang w:val="es-ES"/>
              </w:rPr>
            </w:pPr>
            <w:r w:rsidRPr="00F767CD">
              <w:rPr>
                <w:rFonts w:asciiTheme="minorHAnsi" w:hAnsiTheme="minorHAnsi"/>
                <w:szCs w:val="24"/>
                <w:lang w:val="es-ES"/>
              </w:rPr>
              <w:t xml:space="preserve">Se llevaron a cabo cinco cibersimulacros </w:t>
            </w:r>
            <w:r w:rsidR="002319FF">
              <w:rPr>
                <w:rFonts w:asciiTheme="minorHAnsi" w:hAnsiTheme="minorHAnsi"/>
                <w:szCs w:val="24"/>
                <w:lang w:val="es-ES"/>
              </w:rPr>
              <w:t xml:space="preserve">regionales </w:t>
            </w:r>
            <w:r w:rsidRPr="00F767CD">
              <w:rPr>
                <w:rFonts w:asciiTheme="minorHAnsi" w:hAnsiTheme="minorHAnsi"/>
                <w:szCs w:val="24"/>
                <w:lang w:val="es-ES"/>
              </w:rPr>
              <w:t xml:space="preserve">en Azerbaiyán, </w:t>
            </w:r>
            <w:r w:rsidR="00EC4468" w:rsidRPr="00F767CD">
              <w:rPr>
                <w:rFonts w:asciiTheme="minorHAnsi" w:hAnsiTheme="minorHAnsi"/>
                <w:szCs w:val="24"/>
                <w:lang w:val="es-ES"/>
              </w:rPr>
              <w:t xml:space="preserve">Kuwait, </w:t>
            </w:r>
            <w:r w:rsidRPr="00F767CD">
              <w:rPr>
                <w:rFonts w:asciiTheme="minorHAnsi" w:hAnsiTheme="minorHAnsi"/>
                <w:szCs w:val="24"/>
                <w:lang w:val="es-ES"/>
              </w:rPr>
              <w:t>Chipre</w:t>
            </w:r>
            <w:r w:rsidR="00EC4468" w:rsidRPr="00F767CD">
              <w:rPr>
                <w:rFonts w:asciiTheme="minorHAnsi" w:hAnsiTheme="minorHAnsi"/>
                <w:szCs w:val="24"/>
                <w:lang w:val="es-ES"/>
              </w:rPr>
              <w:t xml:space="preserve">, Argentina </w:t>
            </w:r>
            <w:r w:rsidRPr="00F767CD">
              <w:rPr>
                <w:rFonts w:asciiTheme="minorHAnsi" w:hAnsiTheme="minorHAnsi"/>
                <w:szCs w:val="24"/>
                <w:lang w:val="es-ES"/>
              </w:rPr>
              <w:t xml:space="preserve">y Côte d’Ivoire. </w:t>
            </w:r>
          </w:p>
        </w:tc>
      </w:tr>
      <w:tr w:rsidR="00E55103" w:rsidRPr="00F767CD" w:rsidTr="009009A1">
        <w:tc>
          <w:tcPr>
            <w:tcW w:w="2830" w:type="dxa"/>
          </w:tcPr>
          <w:p w:rsidR="00E55103" w:rsidRPr="00F767CD" w:rsidRDefault="00E55103" w:rsidP="00483815">
            <w:pPr>
              <w:keepNext/>
              <w:spacing w:before="60" w:after="60"/>
              <w:rPr>
                <w:rFonts w:asciiTheme="minorHAnsi" w:hAnsiTheme="minorHAnsi"/>
                <w:i/>
                <w:iCs/>
                <w:szCs w:val="24"/>
                <w:lang w:val="es-ES"/>
              </w:rPr>
            </w:pPr>
            <w:r w:rsidRPr="00F767CD">
              <w:rPr>
                <w:rFonts w:asciiTheme="minorHAnsi" w:hAnsiTheme="minorHAnsi"/>
                <w:i/>
                <w:iCs/>
                <w:szCs w:val="24"/>
                <w:lang w:val="es-ES"/>
              </w:rPr>
              <w:t>CMDT</w:t>
            </w:r>
          </w:p>
        </w:tc>
        <w:tc>
          <w:tcPr>
            <w:tcW w:w="6798" w:type="dxa"/>
          </w:tcPr>
          <w:p w:rsidR="00E55103" w:rsidRPr="00F767CD" w:rsidRDefault="00E55103" w:rsidP="00483815">
            <w:pPr>
              <w:spacing w:before="60" w:after="60"/>
              <w:rPr>
                <w:rFonts w:asciiTheme="minorHAnsi" w:hAnsiTheme="minorHAnsi"/>
                <w:szCs w:val="24"/>
                <w:lang w:val="es-ES"/>
              </w:rPr>
            </w:pPr>
            <w:bookmarkStart w:id="49" w:name="lt_pId296"/>
            <w:r w:rsidRPr="00F767CD">
              <w:rPr>
                <w:rFonts w:asciiTheme="minorHAnsi" w:hAnsiTheme="minorHAnsi"/>
                <w:szCs w:val="24"/>
                <w:lang w:val="es-ES"/>
              </w:rPr>
              <w:t>Resoluciones 1, 5, 9, 15, 30, 33, 37, 45, 50, 59, 64, 67, 69, 78, 79</w:t>
            </w:r>
            <w:bookmarkEnd w:id="49"/>
          </w:p>
        </w:tc>
      </w:tr>
      <w:tr w:rsidR="00E55103" w:rsidRPr="004E44DD" w:rsidTr="009009A1">
        <w:tc>
          <w:tcPr>
            <w:tcW w:w="2830" w:type="dxa"/>
          </w:tcPr>
          <w:p w:rsidR="00E55103" w:rsidRPr="00F767CD" w:rsidRDefault="00E55103" w:rsidP="00483815">
            <w:pPr>
              <w:spacing w:before="60" w:after="60"/>
              <w:rPr>
                <w:rFonts w:asciiTheme="minorHAnsi" w:hAnsiTheme="minorHAnsi"/>
                <w:i/>
                <w:iCs/>
                <w:szCs w:val="24"/>
                <w:lang w:val="es-ES"/>
              </w:rPr>
            </w:pPr>
            <w:r w:rsidRPr="00F767CD">
              <w:rPr>
                <w:rFonts w:asciiTheme="minorHAnsi" w:hAnsiTheme="minorHAnsi"/>
                <w:i/>
                <w:iCs/>
                <w:szCs w:val="24"/>
                <w:lang w:val="es-ES"/>
              </w:rPr>
              <w:t>Conferencia de Plenipotenciarios</w:t>
            </w:r>
          </w:p>
        </w:tc>
        <w:tc>
          <w:tcPr>
            <w:tcW w:w="6798" w:type="dxa"/>
          </w:tcPr>
          <w:p w:rsidR="00E55103" w:rsidRPr="00F767CD" w:rsidRDefault="00E55103" w:rsidP="00483815">
            <w:pPr>
              <w:spacing w:before="60" w:after="60"/>
              <w:rPr>
                <w:rFonts w:asciiTheme="minorHAnsi" w:hAnsiTheme="minorHAnsi"/>
                <w:szCs w:val="24"/>
                <w:lang w:val="es-ES"/>
              </w:rPr>
            </w:pPr>
            <w:r w:rsidRPr="00F767CD">
              <w:rPr>
                <w:rFonts w:asciiTheme="minorHAnsi" w:hAnsiTheme="minorHAnsi"/>
                <w:szCs w:val="24"/>
                <w:lang w:val="es-ES"/>
              </w:rPr>
              <w:t>Decisiones de la PP: 5 y 13</w:t>
            </w:r>
            <w:r w:rsidRPr="00F767CD">
              <w:rPr>
                <w:rFonts w:asciiTheme="minorHAnsi" w:hAnsiTheme="minorHAnsi"/>
                <w:szCs w:val="24"/>
                <w:lang w:val="es-ES"/>
              </w:rPr>
              <w:br/>
              <w:t>Resoluciones de la PP: 25, 71, 72, 130, 179 y 181</w:t>
            </w:r>
          </w:p>
        </w:tc>
      </w:tr>
      <w:tr w:rsidR="00E55103" w:rsidRPr="00F767CD" w:rsidTr="009009A1">
        <w:tc>
          <w:tcPr>
            <w:tcW w:w="2830" w:type="dxa"/>
          </w:tcPr>
          <w:p w:rsidR="00E55103" w:rsidRPr="00F767CD" w:rsidRDefault="00E55103" w:rsidP="00483815">
            <w:pPr>
              <w:spacing w:before="60" w:after="60"/>
              <w:rPr>
                <w:rFonts w:asciiTheme="minorHAnsi" w:hAnsiTheme="minorHAnsi"/>
                <w:i/>
                <w:iCs/>
                <w:szCs w:val="24"/>
                <w:lang w:val="es-ES"/>
              </w:rPr>
            </w:pPr>
            <w:r w:rsidRPr="00F767CD">
              <w:rPr>
                <w:rFonts w:asciiTheme="minorHAnsi" w:hAnsiTheme="minorHAnsi"/>
                <w:i/>
                <w:iCs/>
                <w:szCs w:val="24"/>
                <w:lang w:val="es-ES"/>
              </w:rPr>
              <w:t>AMNT</w:t>
            </w:r>
          </w:p>
        </w:tc>
        <w:tc>
          <w:tcPr>
            <w:tcW w:w="6798" w:type="dxa"/>
          </w:tcPr>
          <w:p w:rsidR="00E55103" w:rsidRPr="00F767CD" w:rsidRDefault="00E55103" w:rsidP="00483815">
            <w:pPr>
              <w:spacing w:before="60" w:after="60"/>
              <w:rPr>
                <w:rFonts w:asciiTheme="minorHAnsi" w:hAnsiTheme="minorHAnsi"/>
                <w:szCs w:val="24"/>
                <w:lang w:val="es-ES"/>
              </w:rPr>
            </w:pPr>
            <w:bookmarkStart w:id="50" w:name="lt_pId301"/>
            <w:r w:rsidRPr="00F767CD">
              <w:rPr>
                <w:rFonts w:asciiTheme="minorHAnsi" w:hAnsiTheme="minorHAnsi"/>
                <w:szCs w:val="24"/>
                <w:lang w:val="es-ES"/>
              </w:rPr>
              <w:t>Resoluciones 50, 52, 58</w:t>
            </w:r>
            <w:bookmarkEnd w:id="50"/>
          </w:p>
        </w:tc>
      </w:tr>
      <w:tr w:rsidR="00E55103" w:rsidRPr="004E44DD" w:rsidTr="009009A1">
        <w:tc>
          <w:tcPr>
            <w:tcW w:w="2830" w:type="dxa"/>
          </w:tcPr>
          <w:p w:rsidR="00E55103" w:rsidRPr="00F767CD" w:rsidRDefault="00E55103" w:rsidP="00483815">
            <w:pPr>
              <w:spacing w:before="60" w:after="60"/>
              <w:rPr>
                <w:i/>
                <w:iCs/>
                <w:szCs w:val="24"/>
                <w:lang w:val="es-ES"/>
              </w:rPr>
            </w:pPr>
            <w:r w:rsidRPr="00F767CD">
              <w:rPr>
                <w:rFonts w:asciiTheme="minorHAnsi" w:hAnsiTheme="minorHAnsi"/>
                <w:i/>
                <w:iCs/>
                <w:szCs w:val="24"/>
                <w:lang w:val="es-ES"/>
              </w:rPr>
              <w:t>Línea de Acción de la CMSI</w:t>
            </w:r>
          </w:p>
        </w:tc>
        <w:tc>
          <w:tcPr>
            <w:tcW w:w="6798" w:type="dxa"/>
          </w:tcPr>
          <w:p w:rsidR="00E55103" w:rsidRPr="00F767CD" w:rsidRDefault="00E55103" w:rsidP="00483815">
            <w:pPr>
              <w:spacing w:before="60" w:after="60"/>
              <w:rPr>
                <w:rFonts w:asciiTheme="minorHAnsi" w:hAnsiTheme="minorHAnsi"/>
                <w:szCs w:val="24"/>
                <w:lang w:val="es-ES"/>
              </w:rPr>
            </w:pPr>
            <w:r w:rsidRPr="00F767CD">
              <w:rPr>
                <w:rFonts w:asciiTheme="minorHAnsi" w:hAnsiTheme="minorHAnsi"/>
                <w:szCs w:val="24"/>
                <w:lang w:val="es-ES"/>
              </w:rPr>
              <w:t>Línea de Acción de la CMSI C5</w:t>
            </w:r>
          </w:p>
        </w:tc>
      </w:tr>
      <w:tr w:rsidR="00E55103" w:rsidRPr="004E44DD" w:rsidTr="009009A1">
        <w:tc>
          <w:tcPr>
            <w:tcW w:w="2830" w:type="dxa"/>
          </w:tcPr>
          <w:p w:rsidR="00E55103" w:rsidRPr="00F767CD" w:rsidRDefault="00E55103" w:rsidP="00483815">
            <w:pPr>
              <w:spacing w:before="60" w:after="60"/>
              <w:rPr>
                <w:rFonts w:asciiTheme="minorHAnsi" w:hAnsiTheme="minorHAnsi"/>
                <w:i/>
                <w:iCs/>
                <w:szCs w:val="24"/>
                <w:lang w:val="es-ES"/>
              </w:rPr>
            </w:pPr>
            <w:r w:rsidRPr="00F767CD">
              <w:rPr>
                <w:rFonts w:asciiTheme="minorHAnsi" w:hAnsiTheme="minorHAnsi"/>
                <w:i/>
                <w:iCs/>
                <w:szCs w:val="24"/>
                <w:lang w:val="es-ES"/>
              </w:rPr>
              <w:t>Contribución a las metas de los ODS</w:t>
            </w:r>
          </w:p>
        </w:tc>
        <w:tc>
          <w:tcPr>
            <w:tcW w:w="6798" w:type="dxa"/>
          </w:tcPr>
          <w:p w:rsidR="00E55103" w:rsidRPr="00F767CD" w:rsidRDefault="00E55103" w:rsidP="00483815">
            <w:pPr>
              <w:spacing w:before="60" w:after="60"/>
              <w:rPr>
                <w:rFonts w:asciiTheme="minorHAnsi" w:hAnsiTheme="minorHAnsi"/>
                <w:szCs w:val="24"/>
                <w:lang w:val="es-ES"/>
              </w:rPr>
            </w:pPr>
            <w:r w:rsidRPr="00F767CD">
              <w:rPr>
                <w:rFonts w:asciiTheme="minorHAnsi" w:hAnsiTheme="minorHAnsi"/>
                <w:szCs w:val="24"/>
                <w:lang w:val="es-ES"/>
              </w:rPr>
              <w:t>ODS: 1, 3 (meta 3.5), 4 (meta 4.a), 5 (metas 5.2, 5.3, 5.b), 7, 8, 9, 10 (meta 10.2), 11, 16, 17</w:t>
            </w:r>
          </w:p>
        </w:tc>
      </w:tr>
    </w:tbl>
    <w:p w:rsidR="00E55103" w:rsidRPr="00F767CD" w:rsidRDefault="00E55103" w:rsidP="00483815">
      <w:pPr>
        <w:pStyle w:val="Heading2"/>
        <w:keepLines w:val="0"/>
        <w:spacing w:after="120"/>
        <w:rPr>
          <w:lang w:val="es-ES"/>
        </w:rPr>
      </w:pPr>
      <w:r w:rsidRPr="00F767CD">
        <w:rPr>
          <w:lang w:val="es-ES"/>
        </w:rPr>
        <w:t>3.2</w:t>
      </w:r>
      <w:r w:rsidRPr="00F767CD">
        <w:rPr>
          <w:lang w:val="es-ES"/>
        </w:rPr>
        <w:tab/>
        <w:t>Aplicaciones y servicios TIC</w:t>
      </w:r>
    </w:p>
    <w:tbl>
      <w:tblPr>
        <w:tblStyle w:val="TableGrid"/>
        <w:tblW w:w="0" w:type="auto"/>
        <w:tblLook w:val="04A0" w:firstRow="1" w:lastRow="0" w:firstColumn="1" w:lastColumn="0" w:noHBand="0" w:noVBand="1"/>
      </w:tblPr>
      <w:tblGrid>
        <w:gridCol w:w="2921"/>
        <w:gridCol w:w="6707"/>
      </w:tblGrid>
      <w:tr w:rsidR="00E55103" w:rsidRPr="004E44DD" w:rsidTr="009009A1">
        <w:tc>
          <w:tcPr>
            <w:tcW w:w="9628" w:type="dxa"/>
            <w:gridSpan w:val="2"/>
          </w:tcPr>
          <w:p w:rsidR="00E55103" w:rsidRPr="00F767CD" w:rsidRDefault="00A86C68" w:rsidP="00483815">
            <w:pPr>
              <w:rPr>
                <w:rFonts w:asciiTheme="minorHAnsi" w:hAnsiTheme="minorHAnsi"/>
                <w:szCs w:val="24"/>
                <w:lang w:val="es-ES"/>
              </w:rPr>
            </w:pPr>
            <w:bookmarkStart w:id="51" w:name="lt_pId309"/>
            <w:r>
              <w:rPr>
                <w:rFonts w:asciiTheme="minorHAnsi" w:hAnsiTheme="minorHAnsi"/>
                <w:szCs w:val="24"/>
                <w:lang w:val="es-ES"/>
              </w:rPr>
              <w:t>Se siguió</w:t>
            </w:r>
            <w:r w:rsidR="005B4688" w:rsidRPr="00F767CD">
              <w:rPr>
                <w:rFonts w:asciiTheme="minorHAnsi" w:hAnsiTheme="minorHAnsi"/>
                <w:szCs w:val="24"/>
                <w:lang w:val="es-ES"/>
              </w:rPr>
              <w:t xml:space="preserve"> creando </w:t>
            </w:r>
            <w:r w:rsidR="00E55103" w:rsidRPr="00F767CD">
              <w:rPr>
                <w:rFonts w:asciiTheme="minorHAnsi" w:hAnsiTheme="minorHAnsi"/>
                <w:szCs w:val="24"/>
                <w:lang w:val="es-ES"/>
              </w:rPr>
              <w:t>capacidad</w:t>
            </w:r>
            <w:r>
              <w:rPr>
                <w:rFonts w:asciiTheme="minorHAnsi" w:hAnsiTheme="minorHAnsi"/>
                <w:szCs w:val="24"/>
                <w:lang w:val="es-ES"/>
              </w:rPr>
              <w:t>,</w:t>
            </w:r>
            <w:r w:rsidR="00E55103" w:rsidRPr="00F767CD">
              <w:rPr>
                <w:rFonts w:asciiTheme="minorHAnsi" w:hAnsiTheme="minorHAnsi"/>
                <w:szCs w:val="24"/>
                <w:lang w:val="es-ES"/>
              </w:rPr>
              <w:t xml:space="preserve"> </w:t>
            </w:r>
            <w:r>
              <w:rPr>
                <w:rFonts w:asciiTheme="minorHAnsi" w:hAnsiTheme="minorHAnsi"/>
                <w:szCs w:val="24"/>
                <w:lang w:val="es-ES"/>
              </w:rPr>
              <w:t>en</w:t>
            </w:r>
            <w:r w:rsidR="00E55103" w:rsidRPr="00F767CD">
              <w:rPr>
                <w:rFonts w:asciiTheme="minorHAnsi" w:hAnsiTheme="minorHAnsi"/>
                <w:szCs w:val="24"/>
                <w:lang w:val="es-ES"/>
              </w:rPr>
              <w:t xml:space="preserve"> los Estados Miembros de la UIT</w:t>
            </w:r>
            <w:r>
              <w:rPr>
                <w:rFonts w:asciiTheme="minorHAnsi" w:hAnsiTheme="minorHAnsi"/>
                <w:szCs w:val="24"/>
                <w:lang w:val="es-ES"/>
              </w:rPr>
              <w:t>,</w:t>
            </w:r>
            <w:r w:rsidR="00E55103" w:rsidRPr="00F767CD">
              <w:rPr>
                <w:rFonts w:asciiTheme="minorHAnsi" w:hAnsiTheme="minorHAnsi"/>
                <w:szCs w:val="24"/>
                <w:lang w:val="es-ES"/>
              </w:rPr>
              <w:t xml:space="preserve"> para </w:t>
            </w:r>
            <w:r>
              <w:rPr>
                <w:rFonts w:asciiTheme="minorHAnsi" w:hAnsiTheme="minorHAnsi"/>
                <w:szCs w:val="24"/>
                <w:lang w:val="es-ES"/>
              </w:rPr>
              <w:t>la elaboración de</w:t>
            </w:r>
            <w:r w:rsidR="00E55103" w:rsidRPr="00F767CD">
              <w:rPr>
                <w:rFonts w:asciiTheme="minorHAnsi" w:hAnsiTheme="minorHAnsi"/>
                <w:szCs w:val="24"/>
                <w:lang w:val="es-ES"/>
              </w:rPr>
              <w:t xml:space="preserve"> ciberestrategias nacionales </w:t>
            </w:r>
            <w:r>
              <w:rPr>
                <w:rFonts w:asciiTheme="minorHAnsi" w:hAnsiTheme="minorHAnsi"/>
                <w:szCs w:val="24"/>
                <w:lang w:val="es-ES"/>
              </w:rPr>
              <w:t>que fomenten</w:t>
            </w:r>
            <w:r w:rsidR="00E55103" w:rsidRPr="00F767CD">
              <w:rPr>
                <w:rFonts w:asciiTheme="minorHAnsi" w:hAnsiTheme="minorHAnsi"/>
                <w:szCs w:val="24"/>
                <w:lang w:val="es-ES"/>
              </w:rPr>
              <w:t xml:space="preserve"> </w:t>
            </w:r>
            <w:r>
              <w:rPr>
                <w:rFonts w:asciiTheme="minorHAnsi" w:hAnsiTheme="minorHAnsi"/>
                <w:szCs w:val="24"/>
                <w:lang w:val="es-ES"/>
              </w:rPr>
              <w:t xml:space="preserve">los </w:t>
            </w:r>
            <w:r w:rsidR="00E55103" w:rsidRPr="00F767CD">
              <w:rPr>
                <w:rFonts w:asciiTheme="minorHAnsi" w:hAnsiTheme="minorHAnsi"/>
                <w:szCs w:val="24"/>
                <w:lang w:val="es-ES"/>
              </w:rPr>
              <w:t>entorno</w:t>
            </w:r>
            <w:r>
              <w:rPr>
                <w:rFonts w:asciiTheme="minorHAnsi" w:hAnsiTheme="minorHAnsi"/>
                <w:szCs w:val="24"/>
                <w:lang w:val="es-ES"/>
              </w:rPr>
              <w:t>s</w:t>
            </w:r>
            <w:r w:rsidR="00E55103" w:rsidRPr="00F767CD">
              <w:rPr>
                <w:rFonts w:asciiTheme="minorHAnsi" w:hAnsiTheme="minorHAnsi"/>
                <w:szCs w:val="24"/>
                <w:lang w:val="es-ES"/>
              </w:rPr>
              <w:t xml:space="preserve"> propicio</w:t>
            </w:r>
            <w:r>
              <w:rPr>
                <w:rFonts w:asciiTheme="minorHAnsi" w:hAnsiTheme="minorHAnsi"/>
                <w:szCs w:val="24"/>
                <w:lang w:val="es-ES"/>
              </w:rPr>
              <w:t>s</w:t>
            </w:r>
            <w:r w:rsidR="00E55103" w:rsidRPr="00F767CD">
              <w:rPr>
                <w:rFonts w:asciiTheme="minorHAnsi" w:hAnsiTheme="minorHAnsi"/>
                <w:szCs w:val="24"/>
                <w:lang w:val="es-ES"/>
              </w:rPr>
              <w:t xml:space="preserve"> </w:t>
            </w:r>
            <w:r>
              <w:rPr>
                <w:rFonts w:asciiTheme="minorHAnsi" w:hAnsiTheme="minorHAnsi"/>
                <w:szCs w:val="24"/>
                <w:lang w:val="es-ES"/>
              </w:rPr>
              <w:t>a</w:t>
            </w:r>
            <w:r w:rsidR="00E55103" w:rsidRPr="00F767CD">
              <w:rPr>
                <w:rFonts w:asciiTheme="minorHAnsi" w:hAnsiTheme="minorHAnsi"/>
                <w:szCs w:val="24"/>
                <w:lang w:val="es-ES"/>
              </w:rPr>
              <w:t xml:space="preserve"> la mejora de las aplicaciones TIC </w:t>
            </w:r>
            <w:r>
              <w:rPr>
                <w:rFonts w:asciiTheme="minorHAnsi" w:hAnsiTheme="minorHAnsi"/>
                <w:szCs w:val="24"/>
                <w:lang w:val="es-ES"/>
              </w:rPr>
              <w:t>a través de</w:t>
            </w:r>
            <w:r w:rsidR="00E55103" w:rsidRPr="00F767CD">
              <w:rPr>
                <w:rFonts w:asciiTheme="minorHAnsi" w:hAnsiTheme="minorHAnsi"/>
                <w:szCs w:val="24"/>
                <w:lang w:val="es-ES"/>
              </w:rPr>
              <w:t xml:space="preserve"> numerosas actividades, entre las que cabe destacar las siguientes:</w:t>
            </w:r>
            <w:bookmarkEnd w:id="51"/>
          </w:p>
          <w:p w:rsidR="00E55103" w:rsidRPr="00F767CD" w:rsidRDefault="00E55103" w:rsidP="00483815">
            <w:pPr>
              <w:keepNext/>
              <w:rPr>
                <w:rFonts w:asciiTheme="minorHAnsi" w:hAnsiTheme="minorHAnsi"/>
                <w:szCs w:val="24"/>
                <w:lang w:val="es-ES"/>
              </w:rPr>
            </w:pPr>
            <w:r w:rsidRPr="00F767CD">
              <w:rPr>
                <w:rFonts w:asciiTheme="minorHAnsi" w:hAnsiTheme="minorHAnsi"/>
                <w:szCs w:val="24"/>
                <w:lang w:val="es-ES"/>
              </w:rPr>
              <w:lastRenderedPageBreak/>
              <w:t>Cibersalud:</w:t>
            </w:r>
          </w:p>
          <w:p w:rsidR="00E55103" w:rsidRPr="00F767CD" w:rsidRDefault="00E55103" w:rsidP="00483815">
            <w:pPr>
              <w:pStyle w:val="enumlev1"/>
              <w:rPr>
                <w:rFonts w:asciiTheme="minorHAnsi" w:hAnsiTheme="minorHAnsi"/>
                <w:szCs w:val="24"/>
                <w:lang w:val="es-ES"/>
              </w:rPr>
            </w:pPr>
            <w:bookmarkStart w:id="52" w:name="lt_pId311"/>
            <w:r w:rsidRPr="00F767CD">
              <w:rPr>
                <w:lang w:val="es-ES"/>
              </w:rPr>
              <w:t>–</w:t>
            </w:r>
            <w:r w:rsidRPr="00F767CD">
              <w:rPr>
                <w:rFonts w:asciiTheme="minorHAnsi" w:hAnsiTheme="minorHAnsi"/>
                <w:szCs w:val="24"/>
                <w:lang w:val="es-ES"/>
              </w:rPr>
              <w:tab/>
            </w:r>
            <w:bookmarkEnd w:id="52"/>
            <w:r w:rsidR="00F072D3" w:rsidRPr="00F767CD">
              <w:rPr>
                <w:rFonts w:asciiTheme="minorHAnsi" w:hAnsiTheme="minorHAnsi"/>
                <w:szCs w:val="24"/>
                <w:lang w:val="es-ES"/>
              </w:rPr>
              <w:t>Dentro</w:t>
            </w:r>
            <w:r w:rsidR="005B4688" w:rsidRPr="00F767CD">
              <w:rPr>
                <w:rFonts w:asciiTheme="minorHAnsi" w:hAnsiTheme="minorHAnsi"/>
                <w:szCs w:val="24"/>
                <w:lang w:val="es-ES"/>
              </w:rPr>
              <w:t xml:space="preserve"> de la iniciativa de cibersalud y de salud móvil en las Américas, la UIT y la Organización Panamericana de la Salud (OPS) acordaron la aplicación del conjunto de herramientas de estrategia nacional de ciber</w:t>
            </w:r>
            <w:r w:rsidR="00A86C68">
              <w:rPr>
                <w:rFonts w:asciiTheme="minorHAnsi" w:hAnsiTheme="minorHAnsi"/>
                <w:szCs w:val="24"/>
                <w:lang w:val="es-ES"/>
              </w:rPr>
              <w:t>salud</w:t>
            </w:r>
            <w:r w:rsidR="005B4688" w:rsidRPr="00F767CD">
              <w:rPr>
                <w:rFonts w:asciiTheme="minorHAnsi" w:hAnsiTheme="minorHAnsi"/>
                <w:szCs w:val="24"/>
                <w:lang w:val="es-ES"/>
              </w:rPr>
              <w:t xml:space="preserve"> </w:t>
            </w:r>
            <w:r w:rsidR="00F072D3" w:rsidRPr="00F767CD">
              <w:rPr>
                <w:rFonts w:asciiTheme="minorHAnsi" w:hAnsiTheme="minorHAnsi"/>
                <w:szCs w:val="24"/>
                <w:lang w:val="es-ES"/>
              </w:rPr>
              <w:t xml:space="preserve">a Guyana. Se </w:t>
            </w:r>
            <w:r w:rsidR="00A86C68">
              <w:rPr>
                <w:rFonts w:asciiTheme="minorHAnsi" w:hAnsiTheme="minorHAnsi"/>
                <w:szCs w:val="24"/>
                <w:lang w:val="es-ES"/>
              </w:rPr>
              <w:t>finalizó</w:t>
            </w:r>
            <w:r w:rsidR="00F072D3" w:rsidRPr="00F767CD">
              <w:rPr>
                <w:rFonts w:asciiTheme="minorHAnsi" w:hAnsiTheme="minorHAnsi"/>
                <w:szCs w:val="24"/>
                <w:lang w:val="es-ES"/>
              </w:rPr>
              <w:t xml:space="preserve"> el proyecto de estrategia nacional y se presentó como contribución de la UIT al proceso más largo que van a llevar a cabo la OPS y Guyana hasta julio de 2019. </w:t>
            </w:r>
          </w:p>
          <w:p w:rsidR="00F072D3" w:rsidRPr="00F767CD" w:rsidRDefault="00E55103" w:rsidP="00483815">
            <w:pPr>
              <w:pStyle w:val="enumlev1"/>
              <w:rPr>
                <w:rFonts w:asciiTheme="minorHAnsi" w:hAnsiTheme="minorHAnsi"/>
                <w:szCs w:val="24"/>
                <w:lang w:val="es-ES"/>
              </w:rPr>
            </w:pPr>
            <w:r w:rsidRPr="00F767CD">
              <w:rPr>
                <w:lang w:val="es-ES"/>
              </w:rPr>
              <w:t>–</w:t>
            </w:r>
            <w:r w:rsidRPr="00F767CD">
              <w:rPr>
                <w:lang w:val="es-ES"/>
              </w:rPr>
              <w:tab/>
            </w:r>
            <w:r w:rsidR="00F072D3" w:rsidRPr="00F767CD">
              <w:rPr>
                <w:rFonts w:asciiTheme="minorHAnsi" w:hAnsiTheme="minorHAnsi"/>
                <w:szCs w:val="24"/>
                <w:lang w:val="es-ES"/>
              </w:rPr>
              <w:t>La UIT organizó</w:t>
            </w:r>
            <w:r w:rsidR="00A86C68">
              <w:rPr>
                <w:rFonts w:asciiTheme="minorHAnsi" w:hAnsiTheme="minorHAnsi"/>
                <w:szCs w:val="24"/>
                <w:lang w:val="es-ES"/>
              </w:rPr>
              <w:t>,</w:t>
            </w:r>
            <w:r w:rsidR="00F072D3" w:rsidRPr="00F767CD">
              <w:rPr>
                <w:rFonts w:asciiTheme="minorHAnsi" w:hAnsiTheme="minorHAnsi"/>
                <w:szCs w:val="24"/>
                <w:lang w:val="es-ES"/>
              </w:rPr>
              <w:t xml:space="preserve"> conjuntamente con la OMS </w:t>
            </w:r>
            <w:r w:rsidR="004471C5" w:rsidRPr="00F767CD">
              <w:rPr>
                <w:rFonts w:asciiTheme="minorHAnsi" w:hAnsiTheme="minorHAnsi"/>
                <w:szCs w:val="24"/>
                <w:lang w:val="es-ES"/>
              </w:rPr>
              <w:t>Región de África</w:t>
            </w:r>
            <w:r w:rsidR="00F072D3" w:rsidRPr="00F767CD">
              <w:rPr>
                <w:rFonts w:asciiTheme="minorHAnsi" w:hAnsiTheme="minorHAnsi"/>
                <w:szCs w:val="24"/>
                <w:lang w:val="es-ES"/>
              </w:rPr>
              <w:t xml:space="preserve"> y la Cumbre sobre Transformación en África</w:t>
            </w:r>
            <w:r w:rsidR="00A86C68">
              <w:rPr>
                <w:rFonts w:asciiTheme="minorHAnsi" w:hAnsiTheme="minorHAnsi"/>
                <w:szCs w:val="24"/>
                <w:lang w:val="es-ES"/>
              </w:rPr>
              <w:t>,</w:t>
            </w:r>
            <w:r w:rsidR="00F072D3" w:rsidRPr="00F767CD">
              <w:rPr>
                <w:rFonts w:asciiTheme="minorHAnsi" w:hAnsiTheme="minorHAnsi"/>
                <w:szCs w:val="24"/>
                <w:lang w:val="es-ES"/>
              </w:rPr>
              <w:t xml:space="preserve"> un centro de salud digital en la Cumbre sobre Transformación en África </w:t>
            </w:r>
            <w:r w:rsidR="00692938">
              <w:rPr>
                <w:rFonts w:asciiTheme="minorHAnsi" w:hAnsiTheme="minorHAnsi"/>
                <w:szCs w:val="24"/>
                <w:lang w:val="es-ES"/>
              </w:rPr>
              <w:t xml:space="preserve">los días </w:t>
            </w:r>
            <w:r w:rsidR="00F072D3" w:rsidRPr="00F767CD">
              <w:rPr>
                <w:rFonts w:asciiTheme="minorHAnsi" w:hAnsiTheme="minorHAnsi"/>
                <w:szCs w:val="24"/>
                <w:lang w:val="es-ES"/>
              </w:rPr>
              <w:t xml:space="preserve">8 y 9 de mayo de 2018. </w:t>
            </w:r>
            <w:r w:rsidR="004471C5" w:rsidRPr="00F767CD">
              <w:rPr>
                <w:rFonts w:asciiTheme="minorHAnsi" w:hAnsiTheme="minorHAnsi"/>
                <w:szCs w:val="24"/>
                <w:lang w:val="es-ES"/>
              </w:rPr>
              <w:t>En el centro se presentaron varios diálogos sobre políticas y prácticas idóneas para la implantac</w:t>
            </w:r>
            <w:r w:rsidR="00BB4B3A">
              <w:rPr>
                <w:rFonts w:asciiTheme="minorHAnsi" w:hAnsiTheme="minorHAnsi"/>
                <w:szCs w:val="24"/>
                <w:lang w:val="es-ES"/>
              </w:rPr>
              <w:t>ión de la cibersalud en África.</w:t>
            </w:r>
          </w:p>
          <w:p w:rsidR="00E55103" w:rsidRPr="00F767CD" w:rsidRDefault="00E55103" w:rsidP="00483815">
            <w:pPr>
              <w:pStyle w:val="enumlev1"/>
              <w:rPr>
                <w:rFonts w:asciiTheme="minorHAnsi" w:hAnsiTheme="minorHAnsi"/>
                <w:szCs w:val="24"/>
                <w:lang w:val="es-ES"/>
              </w:rPr>
            </w:pPr>
            <w:r w:rsidRPr="00F767CD">
              <w:rPr>
                <w:rFonts w:asciiTheme="minorHAnsi" w:hAnsiTheme="minorHAnsi"/>
                <w:szCs w:val="24"/>
                <w:lang w:val="es-ES"/>
              </w:rPr>
              <w:t>–</w:t>
            </w:r>
            <w:r w:rsidRPr="00F767CD">
              <w:rPr>
                <w:rFonts w:asciiTheme="minorHAnsi" w:hAnsiTheme="minorHAnsi"/>
                <w:szCs w:val="24"/>
                <w:lang w:val="es-ES"/>
              </w:rPr>
              <w:tab/>
            </w:r>
            <w:r w:rsidR="004471C5" w:rsidRPr="00F767CD">
              <w:rPr>
                <w:rFonts w:asciiTheme="minorHAnsi" w:hAnsiTheme="minorHAnsi"/>
                <w:szCs w:val="24"/>
                <w:lang w:val="es-ES"/>
              </w:rPr>
              <w:t xml:space="preserve">La UIT, en colaboración con la OMS, apoyó a Senegal en su proyecto m-Diabète, como parte del programa </w:t>
            </w:r>
            <w:r w:rsidR="00692938">
              <w:rPr>
                <w:rFonts w:asciiTheme="minorHAnsi" w:hAnsiTheme="minorHAnsi"/>
                <w:szCs w:val="24"/>
                <w:lang w:val="es-ES"/>
              </w:rPr>
              <w:t xml:space="preserve">global </w:t>
            </w:r>
            <w:r w:rsidR="00BB4B3A" w:rsidRPr="00F767CD">
              <w:rPr>
                <w:rFonts w:asciiTheme="minorHAnsi" w:hAnsiTheme="minorHAnsi"/>
                <w:szCs w:val="24"/>
                <w:lang w:val="es-ES"/>
              </w:rPr>
              <w:t>"</w:t>
            </w:r>
            <w:r w:rsidR="004471C5" w:rsidRPr="00F767CD">
              <w:rPr>
                <w:rFonts w:asciiTheme="minorHAnsi" w:hAnsiTheme="minorHAnsi"/>
                <w:szCs w:val="24"/>
                <w:lang w:val="es-ES"/>
              </w:rPr>
              <w:t>Be Healthy, Be Mobile</w:t>
            </w:r>
            <w:r w:rsidR="00BB4B3A" w:rsidRPr="00F767CD">
              <w:rPr>
                <w:rFonts w:asciiTheme="minorHAnsi" w:hAnsiTheme="minorHAnsi"/>
                <w:szCs w:val="24"/>
                <w:lang w:val="es-ES"/>
              </w:rPr>
              <w:t>"</w:t>
            </w:r>
            <w:r w:rsidR="004471C5" w:rsidRPr="00F767CD">
              <w:rPr>
                <w:rFonts w:asciiTheme="minorHAnsi" w:hAnsiTheme="minorHAnsi"/>
                <w:szCs w:val="24"/>
                <w:lang w:val="es-ES"/>
              </w:rPr>
              <w:t>.</w:t>
            </w:r>
          </w:p>
          <w:p w:rsidR="00E55103" w:rsidRPr="00F767CD" w:rsidRDefault="00E55103" w:rsidP="00483815">
            <w:pPr>
              <w:rPr>
                <w:rFonts w:asciiTheme="minorHAnsi" w:hAnsiTheme="minorHAnsi"/>
                <w:szCs w:val="24"/>
                <w:lang w:val="es-ES"/>
              </w:rPr>
            </w:pPr>
            <w:r w:rsidRPr="00F767CD">
              <w:rPr>
                <w:rFonts w:asciiTheme="minorHAnsi" w:hAnsiTheme="minorHAnsi"/>
                <w:szCs w:val="24"/>
                <w:lang w:val="es-ES"/>
              </w:rPr>
              <w:t>Ciberagricultura:</w:t>
            </w:r>
          </w:p>
          <w:p w:rsidR="00E55103" w:rsidRPr="00F767CD" w:rsidRDefault="00E55103" w:rsidP="00483815">
            <w:pPr>
              <w:pStyle w:val="enumlev1"/>
              <w:rPr>
                <w:rFonts w:asciiTheme="minorHAnsi" w:hAnsiTheme="minorHAnsi"/>
                <w:szCs w:val="24"/>
                <w:lang w:val="es-ES"/>
              </w:rPr>
            </w:pPr>
            <w:bookmarkStart w:id="53" w:name="lt_pId317"/>
            <w:r w:rsidRPr="00F767CD">
              <w:rPr>
                <w:rFonts w:asciiTheme="minorHAnsi" w:hAnsiTheme="minorHAnsi"/>
                <w:szCs w:val="24"/>
                <w:lang w:val="es-ES"/>
              </w:rPr>
              <w:t>–</w:t>
            </w:r>
            <w:r w:rsidRPr="00F767CD">
              <w:rPr>
                <w:rFonts w:asciiTheme="minorHAnsi" w:hAnsiTheme="minorHAnsi"/>
                <w:szCs w:val="24"/>
                <w:lang w:val="es-ES"/>
              </w:rPr>
              <w:tab/>
            </w:r>
            <w:r w:rsidR="00431EF4" w:rsidRPr="00F767CD">
              <w:rPr>
                <w:rFonts w:asciiTheme="minorHAnsi" w:hAnsiTheme="minorHAnsi"/>
                <w:szCs w:val="24"/>
                <w:lang w:val="es-ES"/>
              </w:rPr>
              <w:t>Se organizó un hackatón contra el hambre (#HackAgainstHunger)</w:t>
            </w:r>
            <w:r w:rsidR="00EC4468" w:rsidRPr="00F767CD">
              <w:rPr>
                <w:rFonts w:asciiTheme="minorHAnsi" w:hAnsiTheme="minorHAnsi"/>
                <w:szCs w:val="24"/>
                <w:lang w:val="es-ES"/>
              </w:rPr>
              <w:t xml:space="preserve"> </w:t>
            </w:r>
            <w:r w:rsidR="00431EF4" w:rsidRPr="00F767CD">
              <w:rPr>
                <w:rFonts w:asciiTheme="minorHAnsi" w:hAnsiTheme="minorHAnsi"/>
                <w:szCs w:val="24"/>
                <w:lang w:val="es-ES"/>
              </w:rPr>
              <w:t>en colaboración con la Organización para la Agricultura y la Alimentación</w:t>
            </w:r>
            <w:r w:rsidR="00EC4468" w:rsidRPr="00F767CD">
              <w:rPr>
                <w:rFonts w:asciiTheme="minorHAnsi" w:hAnsiTheme="minorHAnsi"/>
                <w:szCs w:val="24"/>
                <w:lang w:val="es-ES"/>
              </w:rPr>
              <w:t xml:space="preserve"> (FAO)</w:t>
            </w:r>
            <w:r w:rsidR="00431EF4" w:rsidRPr="00F767CD">
              <w:rPr>
                <w:rFonts w:asciiTheme="minorHAnsi" w:hAnsiTheme="minorHAnsi"/>
                <w:szCs w:val="24"/>
                <w:lang w:val="es-ES"/>
              </w:rPr>
              <w:t xml:space="preserve"> con el fin de identificar y apoyar soluciones innovadoras pensadas para afrontar los retos en </w:t>
            </w:r>
            <w:r w:rsidR="00692938">
              <w:rPr>
                <w:rFonts w:asciiTheme="minorHAnsi" w:hAnsiTheme="minorHAnsi"/>
                <w:szCs w:val="24"/>
                <w:lang w:val="es-ES"/>
              </w:rPr>
              <w:t>materia de</w:t>
            </w:r>
            <w:r w:rsidR="00431EF4" w:rsidRPr="00F767CD">
              <w:rPr>
                <w:rFonts w:asciiTheme="minorHAnsi" w:hAnsiTheme="minorHAnsi"/>
                <w:szCs w:val="24"/>
                <w:lang w:val="es-ES"/>
              </w:rPr>
              <w:t xml:space="preserve"> agricultura y la alimentación</w:t>
            </w:r>
            <w:r w:rsidR="00EC4468" w:rsidRPr="00F767CD">
              <w:rPr>
                <w:rFonts w:asciiTheme="minorHAnsi" w:hAnsiTheme="minorHAnsi"/>
                <w:szCs w:val="24"/>
                <w:lang w:val="es-ES"/>
              </w:rPr>
              <w:t>.</w:t>
            </w:r>
            <w:bookmarkEnd w:id="53"/>
          </w:p>
          <w:p w:rsidR="00E55103" w:rsidRPr="00F767CD" w:rsidRDefault="00E55103" w:rsidP="00483815">
            <w:pPr>
              <w:pStyle w:val="enumlev1"/>
              <w:rPr>
                <w:rFonts w:asciiTheme="minorHAnsi" w:hAnsiTheme="minorHAnsi"/>
                <w:szCs w:val="24"/>
                <w:lang w:val="es-ES"/>
              </w:rPr>
            </w:pPr>
            <w:bookmarkStart w:id="54" w:name="lt_pId318"/>
            <w:r w:rsidRPr="00F767CD">
              <w:rPr>
                <w:szCs w:val="24"/>
                <w:lang w:val="es-ES"/>
              </w:rPr>
              <w:t>–</w:t>
            </w:r>
            <w:r w:rsidRPr="00F767CD">
              <w:rPr>
                <w:rFonts w:asciiTheme="minorHAnsi" w:hAnsiTheme="minorHAnsi"/>
                <w:szCs w:val="24"/>
                <w:lang w:val="es-ES"/>
              </w:rPr>
              <w:tab/>
            </w:r>
            <w:bookmarkEnd w:id="54"/>
            <w:r w:rsidR="00431EF4" w:rsidRPr="00F767CD">
              <w:rPr>
                <w:rFonts w:asciiTheme="minorHAnsi" w:hAnsiTheme="minorHAnsi"/>
                <w:szCs w:val="24"/>
                <w:lang w:val="es-ES"/>
              </w:rPr>
              <w:t>Se proporcionó asistencia a Afganistán</w:t>
            </w:r>
            <w:r w:rsidR="00EC4468" w:rsidRPr="00F767CD">
              <w:rPr>
                <w:rFonts w:asciiTheme="minorHAnsi" w:hAnsiTheme="minorHAnsi"/>
                <w:szCs w:val="24"/>
                <w:lang w:val="es-ES"/>
              </w:rPr>
              <w:t xml:space="preserve"> </w:t>
            </w:r>
            <w:r w:rsidR="00431EF4" w:rsidRPr="00F767CD">
              <w:rPr>
                <w:rFonts w:asciiTheme="minorHAnsi" w:hAnsiTheme="minorHAnsi"/>
                <w:szCs w:val="24"/>
                <w:lang w:val="es-ES"/>
              </w:rPr>
              <w:t xml:space="preserve">para la elaboración de la estrategia de ciberagricultura en colaboración con la FAO y el gobierno del país. </w:t>
            </w:r>
          </w:p>
          <w:p w:rsidR="00E55103" w:rsidRPr="00F767CD" w:rsidRDefault="00E55103" w:rsidP="00483815">
            <w:pPr>
              <w:rPr>
                <w:rFonts w:asciiTheme="minorHAnsi" w:hAnsiTheme="minorHAnsi"/>
                <w:szCs w:val="24"/>
                <w:lang w:val="es-ES"/>
              </w:rPr>
            </w:pPr>
            <w:r w:rsidRPr="00F767CD">
              <w:rPr>
                <w:rFonts w:asciiTheme="minorHAnsi" w:hAnsiTheme="minorHAnsi"/>
                <w:szCs w:val="24"/>
                <w:lang w:val="es-ES"/>
              </w:rPr>
              <w:t>Ciberenseñanza:</w:t>
            </w:r>
          </w:p>
          <w:p w:rsidR="00431EF4" w:rsidRPr="00F767CD" w:rsidRDefault="00E55103" w:rsidP="00483815">
            <w:pPr>
              <w:pStyle w:val="enumlev1"/>
              <w:rPr>
                <w:rFonts w:asciiTheme="minorHAnsi" w:hAnsiTheme="minorHAnsi"/>
                <w:szCs w:val="24"/>
                <w:lang w:val="es-ES"/>
              </w:rPr>
            </w:pPr>
            <w:r w:rsidRPr="00F767CD">
              <w:rPr>
                <w:szCs w:val="24"/>
                <w:lang w:val="es-ES"/>
              </w:rPr>
              <w:t>–</w:t>
            </w:r>
            <w:bookmarkStart w:id="55" w:name="lt_pId321"/>
            <w:r w:rsidRPr="00F767CD">
              <w:rPr>
                <w:rFonts w:asciiTheme="minorHAnsi" w:hAnsiTheme="minorHAnsi"/>
                <w:szCs w:val="24"/>
                <w:lang w:val="es-ES"/>
              </w:rPr>
              <w:tab/>
            </w:r>
            <w:r w:rsidR="00431EF4" w:rsidRPr="00F767CD">
              <w:rPr>
                <w:rFonts w:asciiTheme="minorHAnsi" w:hAnsiTheme="minorHAnsi"/>
                <w:szCs w:val="24"/>
                <w:lang w:val="es-ES"/>
              </w:rPr>
              <w:t>La UIT organizó</w:t>
            </w:r>
            <w:r w:rsidR="00692938">
              <w:rPr>
                <w:rFonts w:asciiTheme="minorHAnsi" w:hAnsiTheme="minorHAnsi"/>
                <w:szCs w:val="24"/>
                <w:lang w:val="es-ES"/>
              </w:rPr>
              <w:t>,</w:t>
            </w:r>
            <w:r w:rsidR="00431EF4" w:rsidRPr="00F767CD">
              <w:rPr>
                <w:rFonts w:asciiTheme="minorHAnsi" w:hAnsiTheme="minorHAnsi"/>
                <w:szCs w:val="24"/>
                <w:lang w:val="es-ES"/>
              </w:rPr>
              <w:t xml:space="preserve"> conjuntamente con la UNESCO</w:t>
            </w:r>
            <w:r w:rsidR="00692938">
              <w:rPr>
                <w:rFonts w:asciiTheme="minorHAnsi" w:hAnsiTheme="minorHAnsi"/>
                <w:szCs w:val="24"/>
                <w:lang w:val="es-ES"/>
              </w:rPr>
              <w:t>,</w:t>
            </w:r>
            <w:r w:rsidR="00431EF4" w:rsidRPr="00F767CD">
              <w:rPr>
                <w:rFonts w:asciiTheme="minorHAnsi" w:hAnsiTheme="minorHAnsi"/>
                <w:szCs w:val="24"/>
                <w:lang w:val="es-ES"/>
              </w:rPr>
              <w:t xml:space="preserve"> la Semana del Aprendizaje Móvil 2018 centrada en los retos y estrategias para ofrecer oportunidades de desarrollo de </w:t>
            </w:r>
            <w:r w:rsidR="00D140A8" w:rsidRPr="00F767CD">
              <w:rPr>
                <w:rFonts w:asciiTheme="minorHAnsi" w:hAnsiTheme="minorHAnsi"/>
                <w:szCs w:val="24"/>
                <w:lang w:val="es-ES"/>
              </w:rPr>
              <w:t xml:space="preserve">las </w:t>
            </w:r>
            <w:r w:rsidR="00431EF4" w:rsidRPr="00F767CD">
              <w:rPr>
                <w:rFonts w:asciiTheme="minorHAnsi" w:hAnsiTheme="minorHAnsi"/>
                <w:szCs w:val="24"/>
                <w:lang w:val="es-ES"/>
              </w:rPr>
              <w:t xml:space="preserve">competencias digitales </w:t>
            </w:r>
            <w:r w:rsidR="00D140A8" w:rsidRPr="00F767CD">
              <w:rPr>
                <w:rFonts w:asciiTheme="minorHAnsi" w:hAnsiTheme="minorHAnsi"/>
                <w:szCs w:val="24"/>
                <w:lang w:val="es-ES"/>
              </w:rPr>
              <w:t>para</w:t>
            </w:r>
            <w:r w:rsidR="00BB4B3A">
              <w:rPr>
                <w:rFonts w:asciiTheme="minorHAnsi" w:hAnsiTheme="minorHAnsi"/>
                <w:szCs w:val="24"/>
                <w:lang w:val="es-ES"/>
              </w:rPr>
              <w:t xml:space="preserve"> todos.</w:t>
            </w:r>
          </w:p>
          <w:bookmarkEnd w:id="55"/>
          <w:p w:rsidR="00D140A8" w:rsidRPr="00F767CD" w:rsidRDefault="00D140A8" w:rsidP="00483815">
            <w:pPr>
              <w:tabs>
                <w:tab w:val="clear" w:pos="794"/>
                <w:tab w:val="clear" w:pos="1191"/>
                <w:tab w:val="clear" w:pos="1588"/>
                <w:tab w:val="clear" w:pos="1985"/>
              </w:tabs>
              <w:overflowPunct/>
              <w:autoSpaceDE/>
              <w:autoSpaceDN/>
              <w:adjustRightInd/>
              <w:spacing w:after="120"/>
              <w:textAlignment w:val="auto"/>
              <w:rPr>
                <w:rFonts w:asciiTheme="minorHAnsi" w:hAnsiTheme="minorHAnsi" w:cstheme="minorHAnsi"/>
                <w:szCs w:val="24"/>
                <w:lang w:val="es-ES"/>
              </w:rPr>
            </w:pPr>
            <w:r w:rsidRPr="00F767CD">
              <w:rPr>
                <w:rFonts w:asciiTheme="minorHAnsi" w:hAnsiTheme="minorHAnsi" w:cstheme="minorHAnsi"/>
                <w:szCs w:val="24"/>
                <w:lang w:val="es-ES"/>
              </w:rPr>
              <w:t xml:space="preserve">Se lanzó un proyecto </w:t>
            </w:r>
            <w:r w:rsidR="00692938">
              <w:rPr>
                <w:rFonts w:asciiTheme="minorHAnsi" w:hAnsiTheme="minorHAnsi" w:cstheme="minorHAnsi"/>
                <w:szCs w:val="24"/>
                <w:lang w:val="es-ES"/>
              </w:rPr>
              <w:t>sobre</w:t>
            </w:r>
            <w:r w:rsidRPr="00F767CD">
              <w:rPr>
                <w:rFonts w:asciiTheme="minorHAnsi" w:hAnsiTheme="minorHAnsi" w:cstheme="minorHAnsi"/>
                <w:szCs w:val="24"/>
                <w:lang w:val="es-ES"/>
              </w:rPr>
              <w:t xml:space="preserve"> Identidad </w:t>
            </w:r>
            <w:r w:rsidR="00692938">
              <w:rPr>
                <w:rFonts w:asciiTheme="minorHAnsi" w:hAnsiTheme="minorHAnsi" w:cstheme="minorHAnsi"/>
                <w:szCs w:val="24"/>
                <w:lang w:val="es-ES"/>
              </w:rPr>
              <w:t>d</w:t>
            </w:r>
            <w:r w:rsidRPr="00F767CD">
              <w:rPr>
                <w:rFonts w:asciiTheme="minorHAnsi" w:hAnsiTheme="minorHAnsi" w:cstheme="minorHAnsi"/>
                <w:szCs w:val="24"/>
                <w:lang w:val="es-ES"/>
              </w:rPr>
              <w:t xml:space="preserve">igital para el desarrollo a fin de ayudar a los países, en particular </w:t>
            </w:r>
            <w:r w:rsidR="00692938">
              <w:rPr>
                <w:rFonts w:asciiTheme="minorHAnsi" w:hAnsiTheme="minorHAnsi" w:cstheme="minorHAnsi"/>
                <w:szCs w:val="24"/>
                <w:lang w:val="es-ES"/>
              </w:rPr>
              <w:t xml:space="preserve">los países </w:t>
            </w:r>
            <w:r w:rsidRPr="00F767CD">
              <w:rPr>
                <w:rFonts w:asciiTheme="minorHAnsi" w:hAnsiTheme="minorHAnsi" w:cstheme="minorHAnsi"/>
                <w:szCs w:val="24"/>
                <w:lang w:val="es-ES"/>
              </w:rPr>
              <w:t>con ingresos bajos y medios, a implantar iniciativas de identidad digital que faciliten los servicios de valor añadido en la mayoría de los ámbitos de la economía digital, incluidos los servicios financieros, la sanidad, la agricultura, la educación, etc.</w:t>
            </w:r>
          </w:p>
          <w:p w:rsidR="00E55103" w:rsidRPr="00F767CD" w:rsidRDefault="00D140A8" w:rsidP="00483815">
            <w:pPr>
              <w:tabs>
                <w:tab w:val="clear" w:pos="794"/>
                <w:tab w:val="clear" w:pos="1191"/>
                <w:tab w:val="clear" w:pos="1588"/>
                <w:tab w:val="clear" w:pos="1985"/>
              </w:tabs>
              <w:overflowPunct/>
              <w:autoSpaceDE/>
              <w:autoSpaceDN/>
              <w:adjustRightInd/>
              <w:spacing w:after="120"/>
              <w:textAlignment w:val="auto"/>
              <w:rPr>
                <w:rFonts w:asciiTheme="minorHAnsi" w:hAnsiTheme="minorHAnsi" w:cstheme="minorHAnsi"/>
                <w:szCs w:val="24"/>
                <w:lang w:val="es-ES"/>
              </w:rPr>
            </w:pPr>
            <w:r w:rsidRPr="00F767CD">
              <w:rPr>
                <w:rFonts w:asciiTheme="minorHAnsi" w:hAnsiTheme="minorHAnsi" w:cstheme="minorHAnsi"/>
                <w:szCs w:val="24"/>
                <w:lang w:val="es-ES"/>
              </w:rPr>
              <w:t>Se organizaron con éxito actividades en Ucrania (cibersalud), Líbano (cibersalud), Niger (ciberaplicaciones), etc.</w:t>
            </w:r>
          </w:p>
        </w:tc>
      </w:tr>
      <w:tr w:rsidR="00E55103" w:rsidRPr="00F767CD" w:rsidTr="009009A1">
        <w:tc>
          <w:tcPr>
            <w:tcW w:w="2921" w:type="dxa"/>
          </w:tcPr>
          <w:p w:rsidR="00E55103" w:rsidRPr="00F767CD" w:rsidRDefault="00E55103" w:rsidP="00483815">
            <w:pPr>
              <w:spacing w:before="60" w:after="60"/>
              <w:rPr>
                <w:rFonts w:asciiTheme="minorHAnsi" w:hAnsiTheme="minorHAnsi"/>
                <w:i/>
                <w:iCs/>
                <w:szCs w:val="24"/>
                <w:lang w:val="es-ES"/>
              </w:rPr>
            </w:pPr>
            <w:r w:rsidRPr="00F767CD">
              <w:rPr>
                <w:rFonts w:asciiTheme="minorHAnsi" w:hAnsiTheme="minorHAnsi"/>
                <w:i/>
                <w:iCs/>
                <w:szCs w:val="24"/>
                <w:lang w:val="es-ES"/>
              </w:rPr>
              <w:lastRenderedPageBreak/>
              <w:t>CMDT</w:t>
            </w:r>
          </w:p>
        </w:tc>
        <w:tc>
          <w:tcPr>
            <w:tcW w:w="6707" w:type="dxa"/>
          </w:tcPr>
          <w:p w:rsidR="00E55103" w:rsidRPr="00F767CD" w:rsidRDefault="00E55103" w:rsidP="00483815">
            <w:pPr>
              <w:spacing w:before="60" w:after="60"/>
              <w:rPr>
                <w:rFonts w:asciiTheme="minorHAnsi" w:hAnsiTheme="minorHAnsi"/>
                <w:szCs w:val="24"/>
                <w:lang w:val="es-ES"/>
              </w:rPr>
            </w:pPr>
            <w:bookmarkStart w:id="56" w:name="lt_pId329"/>
            <w:r w:rsidRPr="00F767CD">
              <w:rPr>
                <w:rFonts w:asciiTheme="minorHAnsi" w:hAnsiTheme="minorHAnsi"/>
                <w:szCs w:val="24"/>
                <w:lang w:val="es-ES"/>
              </w:rPr>
              <w:t>Resoluciones 1, 5, 30, 54</w:t>
            </w:r>
            <w:bookmarkEnd w:id="56"/>
          </w:p>
        </w:tc>
      </w:tr>
      <w:tr w:rsidR="00E55103" w:rsidRPr="004E44DD" w:rsidTr="009009A1">
        <w:tc>
          <w:tcPr>
            <w:tcW w:w="2921" w:type="dxa"/>
          </w:tcPr>
          <w:p w:rsidR="00E55103" w:rsidRPr="00F767CD" w:rsidRDefault="00E55103" w:rsidP="00483815">
            <w:pPr>
              <w:spacing w:before="60" w:after="60"/>
              <w:rPr>
                <w:i/>
                <w:iCs/>
                <w:szCs w:val="24"/>
                <w:lang w:val="es-ES"/>
              </w:rPr>
            </w:pPr>
            <w:r w:rsidRPr="00F767CD">
              <w:rPr>
                <w:rFonts w:asciiTheme="minorHAnsi" w:hAnsiTheme="minorHAnsi"/>
                <w:i/>
                <w:iCs/>
                <w:szCs w:val="24"/>
                <w:lang w:val="es-ES"/>
              </w:rPr>
              <w:t>Conferencia de Plenipotenciarios</w:t>
            </w:r>
          </w:p>
        </w:tc>
        <w:tc>
          <w:tcPr>
            <w:tcW w:w="6707" w:type="dxa"/>
          </w:tcPr>
          <w:p w:rsidR="00E55103" w:rsidRPr="00F767CD" w:rsidRDefault="00E55103" w:rsidP="00483815">
            <w:pPr>
              <w:spacing w:before="60" w:after="60"/>
              <w:rPr>
                <w:szCs w:val="24"/>
                <w:lang w:val="es-ES"/>
              </w:rPr>
            </w:pPr>
            <w:r w:rsidRPr="00F767CD">
              <w:rPr>
                <w:rFonts w:asciiTheme="minorHAnsi" w:hAnsiTheme="minorHAnsi"/>
                <w:szCs w:val="24"/>
                <w:lang w:val="es-ES"/>
              </w:rPr>
              <w:t>Decisiones de la PP: 5 y 13</w:t>
            </w:r>
            <w:r w:rsidRPr="00F767CD">
              <w:rPr>
                <w:rFonts w:asciiTheme="minorHAnsi" w:hAnsiTheme="minorHAnsi"/>
                <w:szCs w:val="24"/>
                <w:lang w:val="es-ES"/>
              </w:rPr>
              <w:br/>
              <w:t>Resoluciones de la PP: 25, 71, 72, 139, 140, 183 y 202</w:t>
            </w:r>
          </w:p>
        </w:tc>
      </w:tr>
      <w:tr w:rsidR="00E55103" w:rsidRPr="004E44DD" w:rsidTr="009009A1">
        <w:tc>
          <w:tcPr>
            <w:tcW w:w="2921" w:type="dxa"/>
          </w:tcPr>
          <w:p w:rsidR="00E55103" w:rsidRPr="00F767CD" w:rsidRDefault="00E55103" w:rsidP="00483815">
            <w:pPr>
              <w:spacing w:before="60" w:after="60"/>
              <w:rPr>
                <w:rFonts w:asciiTheme="minorHAnsi" w:hAnsiTheme="minorHAnsi"/>
                <w:i/>
                <w:iCs/>
                <w:szCs w:val="24"/>
                <w:lang w:val="es-ES"/>
              </w:rPr>
            </w:pPr>
            <w:r w:rsidRPr="00F767CD">
              <w:rPr>
                <w:rFonts w:asciiTheme="minorHAnsi" w:hAnsiTheme="minorHAnsi"/>
                <w:i/>
                <w:iCs/>
                <w:szCs w:val="24"/>
                <w:lang w:val="es-ES"/>
              </w:rPr>
              <w:t>Línea de Acción de la CMSI</w:t>
            </w:r>
          </w:p>
        </w:tc>
        <w:tc>
          <w:tcPr>
            <w:tcW w:w="6707" w:type="dxa"/>
          </w:tcPr>
          <w:p w:rsidR="00E55103" w:rsidRPr="00F767CD" w:rsidRDefault="00E55103" w:rsidP="00483815">
            <w:pPr>
              <w:spacing w:before="60" w:after="60"/>
              <w:rPr>
                <w:rFonts w:asciiTheme="minorHAnsi" w:hAnsiTheme="minorHAnsi"/>
                <w:szCs w:val="24"/>
                <w:lang w:val="es-ES"/>
              </w:rPr>
            </w:pPr>
            <w:r w:rsidRPr="00F767CD">
              <w:rPr>
                <w:rFonts w:asciiTheme="minorHAnsi" w:hAnsiTheme="minorHAnsi"/>
                <w:szCs w:val="24"/>
                <w:lang w:val="es-ES"/>
              </w:rPr>
              <w:t>Línea de Acción de la CMSI C7 del Plan de Acción de Ginebra</w:t>
            </w:r>
          </w:p>
        </w:tc>
      </w:tr>
      <w:tr w:rsidR="00E55103" w:rsidRPr="004E44DD" w:rsidTr="009009A1">
        <w:tc>
          <w:tcPr>
            <w:tcW w:w="2921" w:type="dxa"/>
          </w:tcPr>
          <w:p w:rsidR="00E55103" w:rsidRPr="00F767CD" w:rsidRDefault="00E55103" w:rsidP="00483815">
            <w:pPr>
              <w:spacing w:before="60" w:after="60"/>
              <w:rPr>
                <w:rFonts w:asciiTheme="minorHAnsi" w:hAnsiTheme="minorHAnsi"/>
                <w:i/>
                <w:iCs/>
                <w:szCs w:val="24"/>
                <w:lang w:val="es-ES"/>
              </w:rPr>
            </w:pPr>
            <w:r w:rsidRPr="00F767CD">
              <w:rPr>
                <w:rFonts w:asciiTheme="minorHAnsi" w:hAnsiTheme="minorHAnsi"/>
                <w:i/>
                <w:iCs/>
                <w:szCs w:val="24"/>
                <w:lang w:val="es-ES"/>
              </w:rPr>
              <w:t>Contribución a las metas de los ODS</w:t>
            </w:r>
          </w:p>
        </w:tc>
        <w:tc>
          <w:tcPr>
            <w:tcW w:w="6707" w:type="dxa"/>
          </w:tcPr>
          <w:p w:rsidR="00E55103" w:rsidRPr="00F767CD" w:rsidRDefault="00E55103" w:rsidP="00483815">
            <w:pPr>
              <w:spacing w:before="60" w:after="60"/>
              <w:rPr>
                <w:rFonts w:asciiTheme="minorHAnsi" w:hAnsiTheme="minorHAnsi"/>
                <w:szCs w:val="24"/>
                <w:lang w:val="es-ES"/>
              </w:rPr>
            </w:pPr>
            <w:r w:rsidRPr="00F767CD">
              <w:rPr>
                <w:rFonts w:asciiTheme="minorHAnsi" w:hAnsiTheme="minorHAnsi"/>
                <w:szCs w:val="24"/>
                <w:lang w:val="es-ES"/>
              </w:rPr>
              <w:t>ODS: 2, 3, 4 (metas 4.1, 4.2, 4.3, 4.4, 4.5, 4.6, 4.7), 6, 7, 8 (metas 8.1, 8.3, 8.8), 9 (metas 9.1, 9.b), 11</w:t>
            </w:r>
          </w:p>
        </w:tc>
      </w:tr>
    </w:tbl>
    <w:p w:rsidR="00E55103" w:rsidRPr="00F767CD" w:rsidRDefault="00E55103" w:rsidP="00483815">
      <w:pPr>
        <w:pStyle w:val="Heading1"/>
        <w:rPr>
          <w:i/>
          <w:iCs/>
          <w:lang w:val="es-ES"/>
        </w:rPr>
      </w:pPr>
      <w:r w:rsidRPr="00F767CD">
        <w:rPr>
          <w:lang w:val="es-ES"/>
        </w:rPr>
        <w:lastRenderedPageBreak/>
        <w:t>4</w:t>
      </w:r>
      <w:r w:rsidRPr="00F767CD">
        <w:rPr>
          <w:lang w:val="es-ES"/>
        </w:rPr>
        <w:tab/>
        <w:t>Objetivo 4:</w:t>
      </w:r>
      <w:r w:rsidRPr="00F767CD">
        <w:rPr>
          <w:i/>
          <w:iCs/>
          <w:lang w:val="es-ES"/>
        </w:rPr>
        <w:t xml:space="preserve"> "Crear capacidad humana e institucional, facilitar datos y estadísticas, promover la integración digital y proporcionar una asistencia concentrada a países con necesidades especiales"</w:t>
      </w:r>
    </w:p>
    <w:p w:rsidR="00E55103" w:rsidRPr="00F767CD" w:rsidRDefault="00E55103" w:rsidP="00483815">
      <w:pPr>
        <w:pStyle w:val="Heading2"/>
        <w:spacing w:after="120"/>
        <w:rPr>
          <w:lang w:val="es-ES"/>
        </w:rPr>
      </w:pPr>
      <w:r w:rsidRPr="00F767CD">
        <w:rPr>
          <w:lang w:val="es-ES"/>
        </w:rPr>
        <w:t>4.1</w:t>
      </w:r>
      <w:r w:rsidRPr="00F767CD">
        <w:rPr>
          <w:lang w:val="es-ES"/>
        </w:rPr>
        <w:tab/>
        <w:t xml:space="preserve">Capacitación </w:t>
      </w:r>
    </w:p>
    <w:tbl>
      <w:tblPr>
        <w:tblStyle w:val="TableGrid"/>
        <w:tblW w:w="0" w:type="auto"/>
        <w:tblLook w:val="04A0" w:firstRow="1" w:lastRow="0" w:firstColumn="1" w:lastColumn="0" w:noHBand="0" w:noVBand="1"/>
      </w:tblPr>
      <w:tblGrid>
        <w:gridCol w:w="2830"/>
        <w:gridCol w:w="6798"/>
      </w:tblGrid>
      <w:tr w:rsidR="00E55103" w:rsidRPr="004E44DD" w:rsidTr="009009A1">
        <w:tc>
          <w:tcPr>
            <w:tcW w:w="9628" w:type="dxa"/>
            <w:gridSpan w:val="2"/>
          </w:tcPr>
          <w:p w:rsidR="00E55103" w:rsidRPr="00F767CD" w:rsidRDefault="00E55103" w:rsidP="00483815">
            <w:pPr>
              <w:rPr>
                <w:rFonts w:asciiTheme="minorHAnsi" w:eastAsia="PMingLiU-ExtB" w:hAnsiTheme="minorHAnsi"/>
                <w:szCs w:val="24"/>
                <w:lang w:val="es-ES"/>
              </w:rPr>
            </w:pPr>
            <w:bookmarkStart w:id="57" w:name="lt_pId343"/>
            <w:r w:rsidRPr="00F767CD">
              <w:rPr>
                <w:rFonts w:asciiTheme="minorHAnsi" w:eastAsia="PMingLiU-ExtB" w:hAnsiTheme="minorHAnsi"/>
                <w:szCs w:val="24"/>
                <w:lang w:val="es-ES"/>
              </w:rPr>
              <w:t>En 201</w:t>
            </w:r>
            <w:r w:rsidR="005D7D82" w:rsidRPr="00F767CD">
              <w:rPr>
                <w:rFonts w:asciiTheme="minorHAnsi" w:eastAsia="PMingLiU-ExtB" w:hAnsiTheme="minorHAnsi"/>
                <w:szCs w:val="24"/>
                <w:lang w:val="es-ES"/>
              </w:rPr>
              <w:t>8</w:t>
            </w:r>
            <w:r w:rsidR="00D140A8" w:rsidRPr="00F767CD">
              <w:rPr>
                <w:rFonts w:asciiTheme="minorHAnsi" w:eastAsia="PMingLiU-ExtB" w:hAnsiTheme="minorHAnsi"/>
                <w:szCs w:val="24"/>
                <w:lang w:val="es-ES"/>
              </w:rPr>
              <w:t>,</w:t>
            </w:r>
            <w:r w:rsidRPr="00F767CD">
              <w:rPr>
                <w:rFonts w:asciiTheme="minorHAnsi" w:eastAsia="PMingLiU-ExtB" w:hAnsiTheme="minorHAnsi"/>
                <w:szCs w:val="24"/>
                <w:lang w:val="es-ES"/>
              </w:rPr>
              <w:t xml:space="preserve"> </w:t>
            </w:r>
            <w:bookmarkEnd w:id="57"/>
            <w:r w:rsidR="005D7D82" w:rsidRPr="00F767CD">
              <w:rPr>
                <w:rFonts w:asciiTheme="minorHAnsi" w:eastAsia="PMingLiU-ExtB" w:hAnsiTheme="minorHAnsi"/>
                <w:szCs w:val="24"/>
                <w:lang w:val="es-ES"/>
              </w:rPr>
              <w:t xml:space="preserve">la BDT ha llevado a cabo una serie de actividades de capacitación que han contribuido a reforzar </w:t>
            </w:r>
            <w:r w:rsidR="00D140A8" w:rsidRPr="00F767CD">
              <w:rPr>
                <w:rFonts w:asciiTheme="minorHAnsi" w:eastAsia="PMingLiU-ExtB" w:hAnsiTheme="minorHAnsi"/>
                <w:szCs w:val="24"/>
                <w:lang w:val="es-ES"/>
              </w:rPr>
              <w:t>las competencias de los recursos humanos</w:t>
            </w:r>
            <w:r w:rsidR="005D7D82" w:rsidRPr="00F767CD">
              <w:rPr>
                <w:rFonts w:asciiTheme="minorHAnsi" w:eastAsia="PMingLiU-ExtB" w:hAnsiTheme="minorHAnsi"/>
                <w:szCs w:val="24"/>
                <w:lang w:val="es-ES"/>
              </w:rPr>
              <w:t xml:space="preserve"> y a aumentar los conocimientos en materia de telecomunicaciones/TIC de los Miembros de la UIT.</w:t>
            </w:r>
          </w:p>
          <w:p w:rsidR="00E55103" w:rsidRPr="00F767CD" w:rsidRDefault="00D140A8" w:rsidP="00483815">
            <w:pPr>
              <w:rPr>
                <w:rFonts w:asciiTheme="minorHAnsi" w:hAnsiTheme="minorHAnsi" w:cstheme="minorHAnsi"/>
                <w:szCs w:val="24"/>
                <w:lang w:val="es-ES"/>
              </w:rPr>
            </w:pPr>
            <w:r w:rsidRPr="00F767CD">
              <w:rPr>
                <w:rFonts w:asciiTheme="minorHAnsi" w:eastAsia="PMingLiU-ExtB" w:hAnsiTheme="minorHAnsi"/>
                <w:b/>
                <w:bCs/>
                <w:szCs w:val="24"/>
                <w:lang w:val="es-ES"/>
              </w:rPr>
              <w:t xml:space="preserve">Impartición de </w:t>
            </w:r>
            <w:r w:rsidR="0087430C" w:rsidRPr="00F767CD">
              <w:rPr>
                <w:rFonts w:asciiTheme="minorHAnsi" w:eastAsia="PMingLiU-ExtB" w:hAnsiTheme="minorHAnsi"/>
                <w:b/>
                <w:bCs/>
                <w:szCs w:val="24"/>
                <w:lang w:val="es-ES"/>
              </w:rPr>
              <w:t>formaci</w:t>
            </w:r>
            <w:r w:rsidR="00692938">
              <w:rPr>
                <w:rFonts w:asciiTheme="minorHAnsi" w:eastAsia="PMingLiU-ExtB" w:hAnsiTheme="minorHAnsi"/>
                <w:b/>
                <w:bCs/>
                <w:szCs w:val="24"/>
                <w:lang w:val="es-ES"/>
              </w:rPr>
              <w:t>ón</w:t>
            </w:r>
            <w:r w:rsidR="0087430C" w:rsidRPr="00F767CD">
              <w:rPr>
                <w:rFonts w:asciiTheme="minorHAnsi" w:eastAsia="PMingLiU-ExtB" w:hAnsiTheme="minorHAnsi"/>
                <w:b/>
                <w:bCs/>
                <w:szCs w:val="24"/>
                <w:lang w:val="es-ES"/>
              </w:rPr>
              <w:t xml:space="preserve"> y asociaciones</w:t>
            </w:r>
            <w:r w:rsidR="005D7D82" w:rsidRPr="00F767CD">
              <w:rPr>
                <w:rFonts w:asciiTheme="minorHAnsi" w:eastAsia="PMingLiU-ExtB" w:hAnsiTheme="minorHAnsi" w:cstheme="minorHAnsi"/>
                <w:b/>
                <w:bCs/>
                <w:szCs w:val="24"/>
                <w:lang w:val="es-ES"/>
              </w:rPr>
              <w:t>:</w:t>
            </w:r>
            <w:r w:rsidR="005D7D82" w:rsidRPr="00F767CD">
              <w:rPr>
                <w:rFonts w:asciiTheme="minorHAnsi" w:eastAsia="PMingLiU-ExtB" w:hAnsiTheme="minorHAnsi" w:cstheme="minorHAnsi"/>
                <w:szCs w:val="24"/>
                <w:lang w:val="es-ES"/>
              </w:rPr>
              <w:t xml:space="preserve"> </w:t>
            </w:r>
            <w:r w:rsidR="005D7D82" w:rsidRPr="00F767CD">
              <w:rPr>
                <w:rFonts w:asciiTheme="minorHAnsi" w:hAnsiTheme="minorHAnsi" w:cstheme="minorHAnsi"/>
                <w:lang w:val="es-ES"/>
              </w:rPr>
              <w:t xml:space="preserve">Las actividades de capacitación se llevan a cabo en estrecha colaboración con socios, incluidos los Centros de Excelencia (CoE), el sector privado, las instituciones académicas y otras instituciones </w:t>
            </w:r>
            <w:r w:rsidR="0087430C" w:rsidRPr="00F767CD">
              <w:rPr>
                <w:rFonts w:asciiTheme="minorHAnsi" w:hAnsiTheme="minorHAnsi" w:cstheme="minorHAnsi"/>
                <w:lang w:val="es-ES"/>
              </w:rPr>
              <w:t>de formación</w:t>
            </w:r>
            <w:r w:rsidR="005D7D82" w:rsidRPr="00F767CD">
              <w:rPr>
                <w:rFonts w:asciiTheme="minorHAnsi" w:hAnsiTheme="minorHAnsi" w:cstheme="minorHAnsi"/>
                <w:lang w:val="es-ES"/>
              </w:rPr>
              <w:t xml:space="preserve">. </w:t>
            </w:r>
            <w:r w:rsidR="0087430C" w:rsidRPr="00F767CD">
              <w:rPr>
                <w:rFonts w:asciiTheme="minorHAnsi" w:hAnsiTheme="minorHAnsi" w:cstheme="minorHAnsi"/>
                <w:lang w:val="es-ES"/>
              </w:rPr>
              <w:t xml:space="preserve">La plataforma </w:t>
            </w:r>
            <w:hyperlink r:id="rId15" w:history="1">
              <w:r w:rsidR="005D7D82" w:rsidRPr="00F767CD">
                <w:rPr>
                  <w:rStyle w:val="Hyperlink"/>
                  <w:rFonts w:asciiTheme="minorHAnsi" w:hAnsiTheme="minorHAnsi" w:cstheme="minorHAnsi"/>
                  <w:szCs w:val="24"/>
                  <w:lang w:val="es-ES"/>
                </w:rPr>
                <w:t>Academ</w:t>
              </w:r>
              <w:r w:rsidR="0087430C" w:rsidRPr="00F767CD">
                <w:rPr>
                  <w:rStyle w:val="Hyperlink"/>
                  <w:rFonts w:asciiTheme="minorHAnsi" w:hAnsiTheme="minorHAnsi" w:cstheme="minorHAnsi"/>
                  <w:szCs w:val="24"/>
                  <w:lang w:val="es-ES"/>
                </w:rPr>
                <w:t>ia de la UIT</w:t>
              </w:r>
            </w:hyperlink>
            <w:r w:rsidR="005D7D82" w:rsidRPr="00F767CD">
              <w:rPr>
                <w:rFonts w:asciiTheme="minorHAnsi" w:hAnsiTheme="minorHAnsi" w:cstheme="minorHAnsi"/>
                <w:szCs w:val="24"/>
                <w:lang w:val="es-ES"/>
              </w:rPr>
              <w:t xml:space="preserve"> </w:t>
            </w:r>
            <w:r w:rsidR="0087430C" w:rsidRPr="00F767CD">
              <w:rPr>
                <w:rFonts w:asciiTheme="minorHAnsi" w:hAnsiTheme="minorHAnsi" w:cstheme="minorHAnsi"/>
                <w:szCs w:val="24"/>
                <w:lang w:val="es-ES"/>
              </w:rPr>
              <w:t xml:space="preserve">representa el principal canal de distribución de las actividades de formación de la UIT. </w:t>
            </w:r>
          </w:p>
          <w:p w:rsidR="005D7D82" w:rsidRPr="00F767CD" w:rsidRDefault="0087430C" w:rsidP="00483815">
            <w:pPr>
              <w:rPr>
                <w:rFonts w:asciiTheme="minorHAnsi" w:hAnsiTheme="minorHAnsi" w:cstheme="minorHAnsi"/>
                <w:lang w:val="es-ES"/>
              </w:rPr>
            </w:pPr>
            <w:r w:rsidRPr="00F767CD">
              <w:rPr>
                <w:rFonts w:asciiTheme="minorHAnsi" w:hAnsiTheme="minorHAnsi" w:cstheme="minorHAnsi"/>
                <w:szCs w:val="24"/>
                <w:lang w:val="es-ES"/>
              </w:rPr>
              <w:t xml:space="preserve">En 2018, se formaron aproximadamente 1 840 participantes a través de 55 cursos impartidos por la red de CoE. Además, en colaboración con otras partes asociadas, se impartieron 37 actividades de formación y creación de capacidad </w:t>
            </w:r>
            <w:r w:rsidR="00F713C8">
              <w:rPr>
                <w:rFonts w:asciiTheme="minorHAnsi" w:hAnsiTheme="minorHAnsi" w:cstheme="minorHAnsi"/>
                <w:szCs w:val="24"/>
                <w:lang w:val="es-ES"/>
              </w:rPr>
              <w:t xml:space="preserve">en 2018 </w:t>
            </w:r>
            <w:r w:rsidRPr="00F767CD">
              <w:rPr>
                <w:rFonts w:asciiTheme="minorHAnsi" w:hAnsiTheme="minorHAnsi" w:cstheme="minorHAnsi"/>
                <w:szCs w:val="24"/>
                <w:lang w:val="es-ES"/>
              </w:rPr>
              <w:t xml:space="preserve">a un total de 1 883 participantes, incluyendo 17 actividades a nivel regional. Las actividades de creación de capacidad cubrieron los temas siguientes: </w:t>
            </w:r>
            <w:r w:rsidR="005D7D82" w:rsidRPr="00F767CD">
              <w:rPr>
                <w:rFonts w:asciiTheme="minorHAnsi" w:hAnsiTheme="minorHAnsi" w:cstheme="minorHAnsi"/>
                <w:lang w:val="es-ES"/>
              </w:rPr>
              <w:t>política</w:t>
            </w:r>
            <w:r w:rsidRPr="00F767CD">
              <w:rPr>
                <w:rFonts w:asciiTheme="minorHAnsi" w:hAnsiTheme="minorHAnsi" w:cstheme="minorHAnsi"/>
                <w:lang w:val="es-ES"/>
              </w:rPr>
              <w:t>s</w:t>
            </w:r>
            <w:r w:rsidR="005D7D82" w:rsidRPr="00F767CD">
              <w:rPr>
                <w:rFonts w:asciiTheme="minorHAnsi" w:hAnsiTheme="minorHAnsi" w:cstheme="minorHAnsi"/>
                <w:lang w:val="es-ES"/>
              </w:rPr>
              <w:t xml:space="preserve"> y reglamentación, acceso </w:t>
            </w:r>
            <w:r w:rsidRPr="00F767CD">
              <w:rPr>
                <w:rFonts w:asciiTheme="minorHAnsi" w:hAnsiTheme="minorHAnsi" w:cstheme="minorHAnsi"/>
                <w:lang w:val="es-ES"/>
              </w:rPr>
              <w:t>de</w:t>
            </w:r>
            <w:r w:rsidR="005D7D82" w:rsidRPr="00F767CD">
              <w:rPr>
                <w:rFonts w:asciiTheme="minorHAnsi" w:hAnsiTheme="minorHAnsi" w:cstheme="minorHAnsi"/>
                <w:lang w:val="es-ES"/>
              </w:rPr>
              <w:t xml:space="preserve"> banda ancha, ciberseguridad, aplicaciones y servicios de TIC, gestión del espectro, gobernanza de Internet, </w:t>
            </w:r>
            <w:r w:rsidR="00861031" w:rsidRPr="00F767CD">
              <w:rPr>
                <w:rFonts w:asciiTheme="minorHAnsi" w:hAnsiTheme="minorHAnsi" w:cstheme="minorHAnsi"/>
                <w:lang w:val="es-ES"/>
              </w:rPr>
              <w:t xml:space="preserve">innovación, </w:t>
            </w:r>
            <w:r w:rsidR="005D7D82" w:rsidRPr="00F767CD">
              <w:rPr>
                <w:rFonts w:asciiTheme="minorHAnsi" w:hAnsiTheme="minorHAnsi" w:cstheme="minorHAnsi"/>
                <w:lang w:val="es-ES"/>
              </w:rPr>
              <w:t xml:space="preserve">radiodifusión digital, conformidad e interoperabilidad, computación en la nube, calidad de servicio y </w:t>
            </w:r>
            <w:r w:rsidR="00861031" w:rsidRPr="00F767CD">
              <w:rPr>
                <w:rFonts w:asciiTheme="minorHAnsi" w:hAnsiTheme="minorHAnsi" w:cstheme="minorHAnsi"/>
                <w:lang w:val="es-ES"/>
              </w:rPr>
              <w:t>accesibilidad de las TIC</w:t>
            </w:r>
            <w:r w:rsidR="005D7D82" w:rsidRPr="00F767CD">
              <w:rPr>
                <w:rFonts w:asciiTheme="minorHAnsi" w:hAnsiTheme="minorHAnsi" w:cstheme="minorHAnsi"/>
                <w:lang w:val="es-ES"/>
              </w:rPr>
              <w:t>.</w:t>
            </w:r>
          </w:p>
          <w:p w:rsidR="00861031" w:rsidRPr="00F767CD" w:rsidRDefault="00861031" w:rsidP="00483815">
            <w:pPr>
              <w:rPr>
                <w:rFonts w:asciiTheme="minorHAnsi" w:hAnsiTheme="minorHAnsi" w:cstheme="minorHAnsi"/>
                <w:lang w:val="es-ES"/>
              </w:rPr>
            </w:pPr>
            <w:r w:rsidRPr="00F767CD">
              <w:rPr>
                <w:rFonts w:asciiTheme="minorHAnsi" w:hAnsiTheme="minorHAnsi" w:cstheme="minorHAnsi"/>
                <w:lang w:val="es-ES"/>
              </w:rPr>
              <w:t xml:space="preserve">La UIT siguió impartiendo formación para los países en desarrollo en cooperación con sus asociados, incluido el Instituto Superior Africano de Telecomunicaciones (AFRALTI), la Organización Internacional de Telecomunicaciones por Satélite (ITSO), Rohde &amp; Schwarz y el Centro Internacional de Física Teórica (ICTP) en Italia. En el último año, estas actividades de formación se han centrado en el ámbito de las comunicaciones por satélite, la supervisión del espectro y la gestión del espectro, y la Internet de las cosas. En asociación con la Academia de Telecomunicaciones del Reino Unido (UKTA), la UIT ha seguido impartiendo en línea el Master en gestión de las comunicaciones a través de la Academia de la UIT. </w:t>
            </w:r>
          </w:p>
          <w:p w:rsidR="00861031" w:rsidRPr="00F767CD" w:rsidRDefault="00C93939" w:rsidP="00483815">
            <w:pPr>
              <w:rPr>
                <w:rFonts w:asciiTheme="minorHAnsi" w:eastAsia="PMingLiU-ExtB" w:hAnsiTheme="minorHAnsi" w:cstheme="minorHAnsi"/>
                <w:szCs w:val="24"/>
                <w:lang w:val="es-ES"/>
              </w:rPr>
            </w:pPr>
            <w:r w:rsidRPr="00F767CD">
              <w:rPr>
                <w:rFonts w:asciiTheme="minorHAnsi" w:eastAsia="PMingLiU-ExtB" w:hAnsiTheme="minorHAnsi" w:cstheme="minorHAnsi"/>
                <w:szCs w:val="24"/>
                <w:lang w:val="es-ES"/>
              </w:rPr>
              <w:t xml:space="preserve">Se han establecido nuevos </w:t>
            </w:r>
            <w:r w:rsidR="00861031" w:rsidRPr="00F767CD">
              <w:rPr>
                <w:rFonts w:asciiTheme="minorHAnsi" w:eastAsia="PMingLiU-ExtB" w:hAnsiTheme="minorHAnsi" w:cstheme="minorHAnsi"/>
                <w:szCs w:val="24"/>
                <w:lang w:val="es-ES"/>
              </w:rPr>
              <w:t xml:space="preserve">acuerdos de asociación </w:t>
            </w:r>
            <w:r w:rsidRPr="00F767CD">
              <w:rPr>
                <w:rFonts w:asciiTheme="minorHAnsi" w:eastAsia="PMingLiU-ExtB" w:hAnsiTheme="minorHAnsi" w:cstheme="minorHAnsi"/>
                <w:szCs w:val="24"/>
                <w:lang w:val="es-ES"/>
              </w:rPr>
              <w:t xml:space="preserve">con Wayfindr, para la impartición de formación sobre el </w:t>
            </w:r>
            <w:r w:rsidR="00F713C8">
              <w:rPr>
                <w:rFonts w:asciiTheme="minorHAnsi" w:eastAsia="PMingLiU-ExtB" w:hAnsiTheme="minorHAnsi" w:cstheme="minorHAnsi"/>
                <w:szCs w:val="24"/>
                <w:lang w:val="es-ES"/>
              </w:rPr>
              <w:t>d</w:t>
            </w:r>
            <w:r w:rsidRPr="00F767CD">
              <w:rPr>
                <w:rFonts w:asciiTheme="minorHAnsi" w:eastAsia="PMingLiU-ExtB" w:hAnsiTheme="minorHAnsi" w:cstheme="minorHAnsi"/>
                <w:szCs w:val="24"/>
                <w:lang w:val="es-ES"/>
              </w:rPr>
              <w:t xml:space="preserve">iseño de </w:t>
            </w:r>
            <w:r w:rsidR="00573B08" w:rsidRPr="00F767CD">
              <w:rPr>
                <w:rFonts w:asciiTheme="minorHAnsi" w:eastAsia="PMingLiU-ExtB" w:hAnsiTheme="minorHAnsi" w:cstheme="minorHAnsi"/>
                <w:szCs w:val="24"/>
                <w:lang w:val="es-ES"/>
              </w:rPr>
              <w:t>sistemas</w:t>
            </w:r>
            <w:r w:rsidRPr="00F767CD">
              <w:rPr>
                <w:rFonts w:asciiTheme="minorHAnsi" w:eastAsia="PMingLiU-ExtB" w:hAnsiTheme="minorHAnsi" w:cstheme="minorHAnsi"/>
                <w:szCs w:val="24"/>
                <w:lang w:val="es-ES"/>
              </w:rPr>
              <w:t xml:space="preserve"> de navegación auditivos para personas con </w:t>
            </w:r>
            <w:r w:rsidR="00573B08" w:rsidRPr="00F767CD">
              <w:rPr>
                <w:rFonts w:asciiTheme="minorHAnsi" w:eastAsia="PMingLiU-ExtB" w:hAnsiTheme="minorHAnsi" w:cstheme="minorHAnsi"/>
                <w:szCs w:val="24"/>
                <w:lang w:val="es-ES"/>
              </w:rPr>
              <w:t xml:space="preserve">deficiencia visual, así como con otros cuatro asociados en América Latina para la impartición del Programa de gestión estratégica de las telecomunicaciones. </w:t>
            </w:r>
          </w:p>
          <w:p w:rsidR="00573B08" w:rsidRPr="00F767CD" w:rsidRDefault="00573B08" w:rsidP="00483815">
            <w:pPr>
              <w:rPr>
                <w:rFonts w:asciiTheme="minorHAnsi" w:hAnsiTheme="minorHAnsi" w:cstheme="minorHAnsi"/>
                <w:szCs w:val="24"/>
                <w:lang w:val="es-ES"/>
              </w:rPr>
            </w:pPr>
            <w:r w:rsidRPr="00F767CD">
              <w:rPr>
                <w:rFonts w:asciiTheme="minorHAnsi" w:hAnsiTheme="minorHAnsi" w:cstheme="minorHAnsi"/>
                <w:b/>
                <w:bCs/>
                <w:szCs w:val="24"/>
                <w:lang w:val="es-ES"/>
              </w:rPr>
              <w:t>Elaboración de cursos de formación</w:t>
            </w:r>
            <w:r w:rsidR="005D7D82" w:rsidRPr="00F767CD">
              <w:rPr>
                <w:rFonts w:asciiTheme="minorHAnsi" w:hAnsiTheme="minorHAnsi" w:cstheme="minorHAnsi"/>
                <w:b/>
                <w:bCs/>
                <w:szCs w:val="24"/>
                <w:lang w:val="es-ES"/>
              </w:rPr>
              <w:t>:</w:t>
            </w:r>
            <w:r w:rsidR="00E92162" w:rsidRPr="00F767CD">
              <w:rPr>
                <w:rFonts w:asciiTheme="minorHAnsi" w:hAnsiTheme="minorHAnsi" w:cstheme="minorHAnsi"/>
                <w:b/>
                <w:bCs/>
                <w:szCs w:val="24"/>
                <w:lang w:val="es-ES"/>
              </w:rPr>
              <w:t xml:space="preserve"> </w:t>
            </w:r>
            <w:r w:rsidR="00E92162" w:rsidRPr="00F767CD">
              <w:rPr>
                <w:rFonts w:asciiTheme="minorHAnsi" w:hAnsiTheme="minorHAnsi" w:cstheme="minorHAnsi"/>
                <w:szCs w:val="24"/>
                <w:lang w:val="es-ES"/>
              </w:rPr>
              <w:t xml:space="preserve">En el marco de la Academia de la UIT, la BDT ha preparado programas de formación </w:t>
            </w:r>
            <w:r w:rsidRPr="00F767CD">
              <w:rPr>
                <w:rFonts w:asciiTheme="minorHAnsi" w:hAnsiTheme="minorHAnsi" w:cstheme="minorHAnsi"/>
                <w:szCs w:val="24"/>
                <w:lang w:val="es-ES"/>
              </w:rPr>
              <w:t>completos</w:t>
            </w:r>
            <w:r w:rsidR="00E92162" w:rsidRPr="00F767CD">
              <w:rPr>
                <w:rFonts w:asciiTheme="minorHAnsi" w:hAnsiTheme="minorHAnsi" w:cstheme="minorHAnsi"/>
                <w:szCs w:val="24"/>
                <w:lang w:val="es-ES"/>
              </w:rPr>
              <w:t xml:space="preserve"> de alta calidad. </w:t>
            </w:r>
            <w:r w:rsidRPr="00F767CD">
              <w:rPr>
                <w:rFonts w:asciiTheme="minorHAnsi" w:hAnsiTheme="minorHAnsi" w:cstheme="minorHAnsi"/>
                <w:szCs w:val="24"/>
                <w:lang w:val="es-ES"/>
              </w:rPr>
              <w:t>En 2018, se actualizaron, finalizaron o iniciaron los programas de formación siguientes: gestión del espectro, calidad de servicio, TIC y cambio climático e Internet de las cosas (IoT). En abril de 2018, la Agencia Central de Evaluación y Acreditación (SEvA), un miembro de la Asociación Europea para la Garantía de la Calidad en la Enseñanza Superior</w:t>
            </w:r>
            <w:r w:rsidR="00E422EA" w:rsidRPr="00F767CD">
              <w:rPr>
                <w:rFonts w:asciiTheme="minorHAnsi" w:hAnsiTheme="minorHAnsi" w:cstheme="minorHAnsi"/>
                <w:szCs w:val="24"/>
                <w:lang w:val="es-ES"/>
              </w:rPr>
              <w:t xml:space="preserve"> concedió al programa de formación de ge</w:t>
            </w:r>
            <w:r w:rsidR="00CA51E7">
              <w:rPr>
                <w:rFonts w:asciiTheme="minorHAnsi" w:hAnsiTheme="minorHAnsi" w:cstheme="minorHAnsi"/>
                <w:szCs w:val="24"/>
                <w:lang w:val="es-ES"/>
              </w:rPr>
              <w:t>stión del espectro (SMPT) de la </w:t>
            </w:r>
            <w:r w:rsidR="00E422EA" w:rsidRPr="00F767CD">
              <w:rPr>
                <w:rFonts w:asciiTheme="minorHAnsi" w:hAnsiTheme="minorHAnsi" w:cstheme="minorHAnsi"/>
                <w:szCs w:val="24"/>
                <w:lang w:val="es-ES"/>
              </w:rPr>
              <w:t>UIT su etiqueta de calidad para la educación superior y el re</w:t>
            </w:r>
            <w:r w:rsidR="00CA51E7">
              <w:rPr>
                <w:rFonts w:asciiTheme="minorHAnsi" w:hAnsiTheme="minorHAnsi" w:cstheme="minorHAnsi"/>
                <w:szCs w:val="24"/>
                <w:lang w:val="es-ES"/>
              </w:rPr>
              <w:t>conocimiento de los módulos del</w:t>
            </w:r>
            <w:r w:rsidR="00CA51E7">
              <w:rPr>
                <w:rFonts w:ascii="Batang" w:eastAsia="Batang" w:hAnsi="Batang" w:cstheme="minorHAnsi"/>
                <w:szCs w:val="24"/>
                <w:lang w:val="es-ES"/>
              </w:rPr>
              <w:t> </w:t>
            </w:r>
            <w:r w:rsidR="00E422EA" w:rsidRPr="00F767CD">
              <w:rPr>
                <w:rFonts w:asciiTheme="minorHAnsi" w:hAnsiTheme="minorHAnsi" w:cstheme="minorHAnsi"/>
                <w:szCs w:val="24"/>
                <w:lang w:val="es-ES"/>
              </w:rPr>
              <w:t xml:space="preserve">SMTP como equivalentes a </w:t>
            </w:r>
            <w:r w:rsidR="00F713C8">
              <w:rPr>
                <w:rFonts w:asciiTheme="minorHAnsi" w:hAnsiTheme="minorHAnsi" w:cstheme="minorHAnsi"/>
                <w:szCs w:val="24"/>
                <w:lang w:val="es-ES"/>
              </w:rPr>
              <w:t xml:space="preserve">los </w:t>
            </w:r>
            <w:r w:rsidR="00E422EA" w:rsidRPr="00F767CD">
              <w:rPr>
                <w:rFonts w:asciiTheme="minorHAnsi" w:hAnsiTheme="minorHAnsi" w:cstheme="minorHAnsi"/>
                <w:szCs w:val="24"/>
                <w:lang w:val="es-ES"/>
              </w:rPr>
              <w:t>módulos de un nivel de mast</w:t>
            </w:r>
            <w:r w:rsidR="00CA51E7">
              <w:rPr>
                <w:rFonts w:asciiTheme="minorHAnsi" w:hAnsiTheme="minorHAnsi" w:cstheme="minorHAnsi"/>
                <w:szCs w:val="24"/>
                <w:lang w:val="es-ES"/>
              </w:rPr>
              <w:t>er. Con este reconocimiento, el</w:t>
            </w:r>
            <w:r w:rsidR="00CA51E7">
              <w:rPr>
                <w:rFonts w:ascii="Batang" w:eastAsia="Batang" w:hAnsi="Batang" w:cstheme="minorHAnsi"/>
                <w:szCs w:val="24"/>
                <w:lang w:val="es-ES"/>
              </w:rPr>
              <w:t> </w:t>
            </w:r>
            <w:r w:rsidR="00E422EA" w:rsidRPr="00F767CD">
              <w:rPr>
                <w:rFonts w:asciiTheme="minorHAnsi" w:hAnsiTheme="minorHAnsi" w:cstheme="minorHAnsi"/>
                <w:szCs w:val="24"/>
                <w:lang w:val="es-ES"/>
              </w:rPr>
              <w:t>SMTP puede alinearse con los programas de master a nivel internacional, facilitando a las universidades la adopción del programa.</w:t>
            </w:r>
          </w:p>
          <w:p w:rsidR="004F346F" w:rsidRPr="00F767CD" w:rsidRDefault="00E422EA" w:rsidP="00483815">
            <w:pPr>
              <w:spacing w:after="120"/>
              <w:rPr>
                <w:rFonts w:asciiTheme="minorHAnsi" w:hAnsiTheme="minorHAnsi" w:cstheme="minorHAnsi"/>
                <w:lang w:val="es-ES"/>
              </w:rPr>
            </w:pPr>
            <w:r w:rsidRPr="00F767CD">
              <w:rPr>
                <w:rFonts w:asciiTheme="minorHAnsi" w:hAnsiTheme="minorHAnsi" w:cstheme="minorHAnsi"/>
                <w:b/>
                <w:lang w:val="es-ES"/>
              </w:rPr>
              <w:t>Simposio Mundial sobre Capacitación en TIC:</w:t>
            </w:r>
            <w:r w:rsidRPr="00F767CD">
              <w:rPr>
                <w:rFonts w:asciiTheme="minorHAnsi" w:hAnsiTheme="minorHAnsi" w:cstheme="minorHAnsi"/>
                <w:lang w:val="es-ES"/>
              </w:rPr>
              <w:t xml:space="preserve"> </w:t>
            </w:r>
            <w:r w:rsidRPr="00F767CD">
              <w:rPr>
                <w:rFonts w:asciiTheme="minorHAnsi" w:hAnsiTheme="minorHAnsi"/>
                <w:szCs w:val="24"/>
                <w:lang w:val="es-ES"/>
              </w:rPr>
              <w:t xml:space="preserve">El </w:t>
            </w:r>
            <w:hyperlink r:id="rId16" w:history="1">
              <w:r w:rsidRPr="00F767CD">
                <w:rPr>
                  <w:rFonts w:asciiTheme="minorHAnsi" w:hAnsiTheme="minorHAnsi"/>
                  <w:color w:val="0000FF"/>
                  <w:szCs w:val="24"/>
                  <w:u w:val="single"/>
                  <w:lang w:val="es-ES"/>
                </w:rPr>
                <w:t>Simposio Mundial sobre Capacitación en TIC (CBS) de 2018</w:t>
              </w:r>
            </w:hyperlink>
            <w:r w:rsidRPr="00F767CD">
              <w:rPr>
                <w:rFonts w:asciiTheme="minorHAnsi" w:hAnsiTheme="minorHAnsi"/>
                <w:szCs w:val="24"/>
                <w:lang w:val="es-ES"/>
              </w:rPr>
              <w:t xml:space="preserve"> se celebró en </w:t>
            </w:r>
            <w:r w:rsidR="00E92162" w:rsidRPr="00F767CD">
              <w:rPr>
                <w:rFonts w:asciiTheme="minorHAnsi" w:hAnsiTheme="minorHAnsi" w:cstheme="minorHAnsi"/>
                <w:lang w:val="es-ES"/>
              </w:rPr>
              <w:t xml:space="preserve">Santo Domingo (República Dominicana) del 18 al 20 de junio </w:t>
            </w:r>
            <w:r w:rsidR="00E92162" w:rsidRPr="00F767CD">
              <w:rPr>
                <w:rFonts w:asciiTheme="minorHAnsi" w:hAnsiTheme="minorHAnsi" w:cstheme="minorHAnsi"/>
                <w:lang w:val="es-ES"/>
              </w:rPr>
              <w:lastRenderedPageBreak/>
              <w:t>de</w:t>
            </w:r>
            <w:r w:rsidR="00E307D0">
              <w:rPr>
                <w:rFonts w:asciiTheme="minorHAnsi" w:hAnsiTheme="minorHAnsi" w:cstheme="minorHAnsi"/>
                <w:lang w:val="es-ES"/>
              </w:rPr>
              <w:t> </w:t>
            </w:r>
            <w:r w:rsidR="00E92162" w:rsidRPr="00F767CD">
              <w:rPr>
                <w:rFonts w:asciiTheme="minorHAnsi" w:hAnsiTheme="minorHAnsi" w:cstheme="minorHAnsi"/>
                <w:lang w:val="es-ES"/>
              </w:rPr>
              <w:t xml:space="preserve">2018, sobre el tema "Desarrollar las calificaciones para la economía y la sociedad digitales". </w:t>
            </w:r>
            <w:r w:rsidR="004F346F" w:rsidRPr="00F767CD">
              <w:rPr>
                <w:rFonts w:asciiTheme="minorHAnsi" w:hAnsiTheme="minorHAnsi" w:cstheme="minorHAnsi"/>
                <w:lang w:val="es-ES"/>
              </w:rPr>
              <w:t xml:space="preserve">El simposio es el principal evento mundial sobre desarrollo de </w:t>
            </w:r>
            <w:r w:rsidR="00E307D0">
              <w:rPr>
                <w:rFonts w:asciiTheme="minorHAnsi" w:hAnsiTheme="minorHAnsi" w:cstheme="minorHAnsi"/>
                <w:lang w:val="es-ES"/>
              </w:rPr>
              <w:t>capacidades en el ámbito de las </w:t>
            </w:r>
            <w:r w:rsidR="004F346F" w:rsidRPr="00F767CD">
              <w:rPr>
                <w:rFonts w:asciiTheme="minorHAnsi" w:hAnsiTheme="minorHAnsi" w:cstheme="minorHAnsi"/>
                <w:lang w:val="es-ES"/>
              </w:rPr>
              <w:t>TIC. Al Simposio asistieron 331 participantes de 36 países. Los resultados del simposio proporcionan unas orientaciones estratégicas a los países y la comunidad internacional sobre cuestiones de desarrollo de calificaciones</w:t>
            </w:r>
            <w:r w:rsidR="001B7F28">
              <w:rPr>
                <w:rFonts w:asciiTheme="minorHAnsi" w:hAnsiTheme="minorHAnsi" w:cstheme="minorHAnsi"/>
                <w:lang w:val="es-ES"/>
              </w:rPr>
              <w:t xml:space="preserve"> y competencias</w:t>
            </w:r>
            <w:r w:rsidR="004F346F" w:rsidRPr="00F767CD">
              <w:rPr>
                <w:rFonts w:asciiTheme="minorHAnsi" w:hAnsiTheme="minorHAnsi" w:cstheme="minorHAnsi"/>
                <w:lang w:val="es-ES"/>
              </w:rPr>
              <w:t xml:space="preserve"> en el ámbito de las TIC y las tecnologías digitales. El simposio también contribuyó a reforzar la colaboración entre la UIT, los sectores público y privado, empresas </w:t>
            </w:r>
            <w:r w:rsidR="001B7F28">
              <w:rPr>
                <w:rFonts w:asciiTheme="minorHAnsi" w:hAnsiTheme="minorHAnsi" w:cstheme="minorHAnsi"/>
                <w:lang w:val="es-ES"/>
              </w:rPr>
              <w:t xml:space="preserve">y </w:t>
            </w:r>
            <w:r w:rsidR="004F346F" w:rsidRPr="00F767CD">
              <w:rPr>
                <w:rFonts w:asciiTheme="minorHAnsi" w:hAnsiTheme="minorHAnsi" w:cstheme="minorHAnsi"/>
                <w:lang w:val="es-ES"/>
              </w:rPr>
              <w:t xml:space="preserve">las comunidades académicas en el desarrollo de capacidades para el futuro digital. </w:t>
            </w:r>
          </w:p>
          <w:p w:rsidR="00E92162" w:rsidRPr="00F767CD" w:rsidRDefault="004F346F" w:rsidP="00483815">
            <w:pPr>
              <w:rPr>
                <w:rFonts w:asciiTheme="minorHAnsi" w:hAnsiTheme="minorHAnsi" w:cstheme="minorHAnsi"/>
                <w:b/>
                <w:bCs/>
                <w:szCs w:val="24"/>
                <w:lang w:val="es-ES"/>
              </w:rPr>
            </w:pPr>
            <w:r w:rsidRPr="00F767CD">
              <w:rPr>
                <w:rFonts w:asciiTheme="minorHAnsi" w:hAnsiTheme="minorHAnsi" w:cstheme="minorHAnsi"/>
                <w:b/>
                <w:bCs/>
                <w:szCs w:val="24"/>
                <w:lang w:val="es-ES"/>
              </w:rPr>
              <w:t>Capacitación en un entorno de TIC en evolución</w:t>
            </w:r>
          </w:p>
          <w:p w:rsidR="00E92162" w:rsidRPr="00F767CD" w:rsidRDefault="004F346F" w:rsidP="00483815">
            <w:pPr>
              <w:rPr>
                <w:rFonts w:asciiTheme="minorHAnsi" w:hAnsiTheme="minorHAnsi" w:cstheme="minorHAnsi"/>
                <w:szCs w:val="24"/>
                <w:lang w:val="es-ES"/>
              </w:rPr>
            </w:pPr>
            <w:r w:rsidRPr="00F767CD">
              <w:rPr>
                <w:rFonts w:asciiTheme="minorHAnsi" w:hAnsiTheme="minorHAnsi"/>
                <w:szCs w:val="24"/>
                <w:lang w:val="es-ES"/>
              </w:rPr>
              <w:t>La p</w:t>
            </w:r>
            <w:r w:rsidR="00E92162" w:rsidRPr="00F767CD">
              <w:rPr>
                <w:rFonts w:asciiTheme="minorHAnsi" w:hAnsiTheme="minorHAnsi"/>
                <w:szCs w:val="24"/>
                <w:lang w:val="es-ES"/>
              </w:rPr>
              <w:t>ublicación "Capacitación en un entorno de TIC en evolución</w:t>
            </w:r>
            <w:r w:rsidRPr="00F767CD">
              <w:rPr>
                <w:rFonts w:asciiTheme="minorHAnsi" w:hAnsiTheme="minorHAnsi"/>
                <w:szCs w:val="24"/>
                <w:lang w:val="es-ES"/>
              </w:rPr>
              <w:t xml:space="preserve"> 2018</w:t>
            </w:r>
            <w:r w:rsidR="00E92162" w:rsidRPr="00F767CD">
              <w:rPr>
                <w:rFonts w:asciiTheme="minorHAnsi" w:hAnsiTheme="minorHAnsi" w:cstheme="minorHAnsi"/>
                <w:szCs w:val="24"/>
                <w:lang w:val="es-ES"/>
              </w:rPr>
              <w:t>"</w:t>
            </w:r>
            <w:r w:rsidRPr="00F767CD">
              <w:rPr>
                <w:rFonts w:asciiTheme="minorHAnsi" w:hAnsiTheme="minorHAnsi" w:cstheme="minorHAnsi"/>
                <w:szCs w:val="24"/>
                <w:lang w:val="es-ES"/>
              </w:rPr>
              <w:t xml:space="preserve"> se publicó en 2018</w:t>
            </w:r>
            <w:r w:rsidR="00E92162" w:rsidRPr="00F767CD">
              <w:rPr>
                <w:rFonts w:asciiTheme="minorHAnsi" w:hAnsiTheme="minorHAnsi" w:cstheme="minorHAnsi"/>
                <w:szCs w:val="24"/>
                <w:lang w:val="es-ES"/>
              </w:rPr>
              <w:t xml:space="preserve">. </w:t>
            </w:r>
            <w:r w:rsidR="005412E8" w:rsidRPr="00F767CD">
              <w:rPr>
                <w:rFonts w:asciiTheme="minorHAnsi" w:hAnsiTheme="minorHAnsi" w:cstheme="minorHAnsi"/>
                <w:szCs w:val="24"/>
                <w:lang w:val="es-ES"/>
              </w:rPr>
              <w:t>La</w:t>
            </w:r>
            <w:r w:rsidR="00E92162" w:rsidRPr="00F767CD">
              <w:rPr>
                <w:rFonts w:asciiTheme="minorHAnsi" w:hAnsiTheme="minorHAnsi" w:cstheme="minorHAnsi"/>
                <w:szCs w:val="24"/>
                <w:lang w:val="es-ES"/>
              </w:rPr>
              <w:t xml:space="preserve"> </w:t>
            </w:r>
            <w:hyperlink r:id="rId17" w:history="1">
              <w:r w:rsidR="00E92162" w:rsidRPr="00F767CD">
                <w:rPr>
                  <w:rStyle w:val="Hyperlink"/>
                  <w:rFonts w:asciiTheme="minorHAnsi" w:hAnsiTheme="minorHAnsi" w:cstheme="minorHAnsi"/>
                  <w:szCs w:val="24"/>
                  <w:lang w:val="es-ES"/>
                </w:rPr>
                <w:t>s</w:t>
              </w:r>
              <w:r w:rsidR="005412E8" w:rsidRPr="00F767CD">
                <w:rPr>
                  <w:rStyle w:val="Hyperlink"/>
                  <w:rFonts w:asciiTheme="minorHAnsi" w:hAnsiTheme="minorHAnsi" w:cstheme="minorHAnsi"/>
                  <w:szCs w:val="24"/>
                  <w:lang w:val="es-ES"/>
                </w:rPr>
                <w:t>egunda edición</w:t>
              </w:r>
            </w:hyperlink>
            <w:r w:rsidR="005412E8" w:rsidRPr="00F767CD">
              <w:rPr>
                <w:rFonts w:asciiTheme="minorHAnsi" w:hAnsiTheme="minorHAnsi" w:cstheme="minorHAnsi"/>
                <w:szCs w:val="24"/>
                <w:lang w:val="es-ES"/>
              </w:rPr>
              <w:t xml:space="preserve"> contiene artículos que muestran </w:t>
            </w:r>
            <w:r w:rsidR="001B7F28">
              <w:rPr>
                <w:rFonts w:asciiTheme="minorHAnsi" w:hAnsiTheme="minorHAnsi" w:cstheme="minorHAnsi"/>
                <w:szCs w:val="24"/>
                <w:lang w:val="es-ES"/>
              </w:rPr>
              <w:t xml:space="preserve">los </w:t>
            </w:r>
            <w:r w:rsidR="005412E8" w:rsidRPr="00F767CD">
              <w:rPr>
                <w:rFonts w:asciiTheme="minorHAnsi" w:hAnsiTheme="minorHAnsi" w:cstheme="minorHAnsi"/>
                <w:szCs w:val="24"/>
                <w:lang w:val="es-ES"/>
              </w:rPr>
              <w:t>diferentes niveles de competencias</w:t>
            </w:r>
            <w:r w:rsidR="001C0928" w:rsidRPr="00F767CD">
              <w:rPr>
                <w:rFonts w:asciiTheme="minorHAnsi" w:hAnsiTheme="minorHAnsi" w:cstheme="minorHAnsi"/>
                <w:szCs w:val="24"/>
                <w:lang w:val="es-ES"/>
              </w:rPr>
              <w:t xml:space="preserve"> necesarios</w:t>
            </w:r>
            <w:r w:rsidR="005412E8" w:rsidRPr="00F767CD">
              <w:rPr>
                <w:rFonts w:asciiTheme="minorHAnsi" w:hAnsiTheme="minorHAnsi" w:cstheme="minorHAnsi"/>
                <w:szCs w:val="24"/>
                <w:lang w:val="es-ES"/>
              </w:rPr>
              <w:t xml:space="preserve">, desde </w:t>
            </w:r>
            <w:r w:rsidR="001B7F28">
              <w:rPr>
                <w:rFonts w:asciiTheme="minorHAnsi" w:hAnsiTheme="minorHAnsi" w:cstheme="minorHAnsi"/>
                <w:szCs w:val="24"/>
                <w:lang w:val="es-ES"/>
              </w:rPr>
              <w:t xml:space="preserve">las </w:t>
            </w:r>
            <w:r w:rsidR="005412E8" w:rsidRPr="00F767CD">
              <w:rPr>
                <w:rFonts w:asciiTheme="minorHAnsi" w:hAnsiTheme="minorHAnsi" w:cstheme="minorHAnsi"/>
                <w:szCs w:val="24"/>
                <w:lang w:val="es-ES"/>
              </w:rPr>
              <w:t>competencias digitales básicas para aumentar el conocimiento de las TIC y permitir la utilización de aplicaciones simples hasta competencias digitales avanzadas orientadas a requisitos más complejos, como la gestión de red o el an</w:t>
            </w:r>
            <w:r w:rsidR="001C0928" w:rsidRPr="00F767CD">
              <w:rPr>
                <w:rFonts w:asciiTheme="minorHAnsi" w:hAnsiTheme="minorHAnsi" w:cstheme="minorHAnsi"/>
                <w:szCs w:val="24"/>
                <w:lang w:val="es-ES"/>
              </w:rPr>
              <w:t>álisis de datos.</w:t>
            </w:r>
          </w:p>
        </w:tc>
      </w:tr>
      <w:tr w:rsidR="00E55103" w:rsidRPr="00F767CD" w:rsidTr="009009A1">
        <w:tc>
          <w:tcPr>
            <w:tcW w:w="2830" w:type="dxa"/>
          </w:tcPr>
          <w:p w:rsidR="00E55103" w:rsidRPr="00F767CD" w:rsidRDefault="00E55103" w:rsidP="00483815">
            <w:pPr>
              <w:spacing w:before="60" w:after="60"/>
              <w:rPr>
                <w:rFonts w:asciiTheme="minorHAnsi" w:eastAsia="PMingLiU-ExtB" w:hAnsiTheme="minorHAnsi"/>
                <w:i/>
                <w:iCs/>
                <w:szCs w:val="24"/>
                <w:lang w:val="es-ES"/>
              </w:rPr>
            </w:pPr>
            <w:r w:rsidRPr="00F767CD">
              <w:rPr>
                <w:rFonts w:asciiTheme="minorHAnsi" w:hAnsiTheme="minorHAnsi"/>
                <w:i/>
                <w:iCs/>
                <w:szCs w:val="24"/>
                <w:lang w:val="es-ES"/>
              </w:rPr>
              <w:lastRenderedPageBreak/>
              <w:t>CMDT</w:t>
            </w:r>
          </w:p>
        </w:tc>
        <w:tc>
          <w:tcPr>
            <w:tcW w:w="6798" w:type="dxa"/>
          </w:tcPr>
          <w:p w:rsidR="00E55103" w:rsidRPr="00F767CD" w:rsidRDefault="00E55103" w:rsidP="00483815">
            <w:pPr>
              <w:spacing w:before="60" w:after="60"/>
              <w:rPr>
                <w:rFonts w:eastAsia="PMingLiU-ExtB"/>
                <w:szCs w:val="24"/>
                <w:lang w:val="es-ES"/>
              </w:rPr>
            </w:pPr>
            <w:bookmarkStart w:id="58" w:name="lt_pId375"/>
            <w:r w:rsidRPr="00F767CD">
              <w:rPr>
                <w:rFonts w:asciiTheme="minorHAnsi" w:hAnsiTheme="minorHAnsi"/>
                <w:szCs w:val="24"/>
                <w:lang w:val="es-ES"/>
              </w:rPr>
              <w:t>Resoluciones</w:t>
            </w:r>
            <w:r w:rsidRPr="00F767CD">
              <w:rPr>
                <w:rFonts w:asciiTheme="minorHAnsi" w:eastAsia="PMingLiU-ExtB" w:hAnsiTheme="minorHAnsi"/>
                <w:szCs w:val="24"/>
                <w:lang w:val="es-ES"/>
              </w:rPr>
              <w:t xml:space="preserve"> 1, 5, 9, 15, 20, 21, 22, 30, 32, 33, 36, 40, 50, 59, 73, 77</w:t>
            </w:r>
            <w:bookmarkEnd w:id="58"/>
          </w:p>
        </w:tc>
      </w:tr>
      <w:tr w:rsidR="00E55103" w:rsidRPr="004E44DD" w:rsidTr="009009A1">
        <w:tc>
          <w:tcPr>
            <w:tcW w:w="2830" w:type="dxa"/>
          </w:tcPr>
          <w:p w:rsidR="00E55103" w:rsidRPr="00F767CD" w:rsidRDefault="00E55103" w:rsidP="00483815">
            <w:pPr>
              <w:spacing w:before="60" w:after="60"/>
              <w:rPr>
                <w:rFonts w:asciiTheme="minorHAnsi" w:eastAsia="PMingLiU-ExtB" w:hAnsiTheme="minorHAnsi"/>
                <w:i/>
                <w:iCs/>
                <w:szCs w:val="24"/>
                <w:lang w:val="es-ES"/>
              </w:rPr>
            </w:pPr>
            <w:r w:rsidRPr="00F767CD">
              <w:rPr>
                <w:rFonts w:asciiTheme="minorHAnsi" w:hAnsiTheme="minorHAnsi"/>
                <w:i/>
                <w:iCs/>
                <w:szCs w:val="24"/>
                <w:lang w:val="es-ES"/>
              </w:rPr>
              <w:t>Conferencia de Plenipotenciarios</w:t>
            </w:r>
          </w:p>
        </w:tc>
        <w:tc>
          <w:tcPr>
            <w:tcW w:w="6798" w:type="dxa"/>
          </w:tcPr>
          <w:p w:rsidR="00E55103" w:rsidRPr="00F767CD" w:rsidRDefault="00E55103" w:rsidP="00483815">
            <w:pPr>
              <w:spacing w:before="60" w:after="60"/>
              <w:rPr>
                <w:rFonts w:eastAsia="PMingLiU-ExtB"/>
                <w:szCs w:val="24"/>
                <w:lang w:val="es-ES"/>
              </w:rPr>
            </w:pPr>
            <w:r w:rsidRPr="00F767CD">
              <w:rPr>
                <w:rFonts w:asciiTheme="minorHAnsi" w:eastAsia="PMingLiU-ExtB" w:hAnsiTheme="minorHAnsi"/>
                <w:szCs w:val="24"/>
                <w:lang w:val="es-ES"/>
              </w:rPr>
              <w:t>Decisiones 5 y 13 de la PP</w:t>
            </w:r>
            <w:r w:rsidRPr="00F767CD">
              <w:rPr>
                <w:rFonts w:asciiTheme="minorHAnsi" w:eastAsia="PMingLiU-ExtB" w:hAnsiTheme="minorHAnsi"/>
                <w:szCs w:val="24"/>
                <w:lang w:val="es-ES"/>
              </w:rPr>
              <w:br/>
              <w:t>Resoluciones de la PP: 25, 71, 72, 137, 139, 140, 176, 188, 189, 197, 199 y 202</w:t>
            </w:r>
          </w:p>
        </w:tc>
      </w:tr>
      <w:tr w:rsidR="00E55103" w:rsidRPr="00F767CD" w:rsidTr="009009A1">
        <w:tc>
          <w:tcPr>
            <w:tcW w:w="2830" w:type="dxa"/>
          </w:tcPr>
          <w:p w:rsidR="00E55103" w:rsidRPr="00F767CD" w:rsidRDefault="00E55103" w:rsidP="00483815">
            <w:pPr>
              <w:spacing w:before="60" w:after="60"/>
              <w:rPr>
                <w:rFonts w:asciiTheme="minorHAnsi" w:eastAsia="PMingLiU-ExtB" w:hAnsiTheme="minorHAnsi"/>
                <w:i/>
                <w:iCs/>
                <w:szCs w:val="24"/>
                <w:lang w:val="es-ES"/>
              </w:rPr>
            </w:pPr>
            <w:r w:rsidRPr="00F767CD">
              <w:rPr>
                <w:rFonts w:asciiTheme="minorHAnsi" w:hAnsiTheme="minorHAnsi"/>
                <w:i/>
                <w:iCs/>
                <w:szCs w:val="24"/>
                <w:lang w:val="es-ES"/>
              </w:rPr>
              <w:t>Consejo</w:t>
            </w:r>
          </w:p>
        </w:tc>
        <w:tc>
          <w:tcPr>
            <w:tcW w:w="6798" w:type="dxa"/>
          </w:tcPr>
          <w:p w:rsidR="00E55103" w:rsidRPr="00F767CD" w:rsidRDefault="00E55103" w:rsidP="00483815">
            <w:pPr>
              <w:spacing w:before="60" w:after="60"/>
              <w:rPr>
                <w:rFonts w:asciiTheme="minorHAnsi" w:eastAsia="PMingLiU-ExtB" w:hAnsiTheme="minorHAnsi"/>
                <w:szCs w:val="24"/>
                <w:lang w:val="es-ES"/>
              </w:rPr>
            </w:pPr>
            <w:bookmarkStart w:id="59" w:name="lt_pId380"/>
            <w:r w:rsidRPr="00F767CD">
              <w:rPr>
                <w:rFonts w:asciiTheme="minorHAnsi" w:hAnsiTheme="minorHAnsi"/>
                <w:szCs w:val="24"/>
                <w:lang w:val="es-ES"/>
              </w:rPr>
              <w:t>Resolución 1143</w:t>
            </w:r>
            <w:bookmarkEnd w:id="59"/>
          </w:p>
        </w:tc>
      </w:tr>
      <w:tr w:rsidR="00E55103" w:rsidRPr="00F767CD" w:rsidTr="009009A1">
        <w:tc>
          <w:tcPr>
            <w:tcW w:w="2830" w:type="dxa"/>
          </w:tcPr>
          <w:p w:rsidR="00E55103" w:rsidRPr="00F767CD" w:rsidRDefault="00E55103" w:rsidP="00483815">
            <w:pPr>
              <w:spacing w:before="60" w:after="60"/>
              <w:rPr>
                <w:rFonts w:asciiTheme="minorHAnsi" w:eastAsia="PMingLiU-ExtB" w:hAnsiTheme="minorHAnsi"/>
                <w:i/>
                <w:iCs/>
                <w:szCs w:val="24"/>
                <w:lang w:val="es-ES"/>
              </w:rPr>
            </w:pPr>
            <w:r w:rsidRPr="00F767CD">
              <w:rPr>
                <w:rFonts w:asciiTheme="minorHAnsi" w:hAnsiTheme="minorHAnsi"/>
                <w:i/>
                <w:iCs/>
                <w:szCs w:val="24"/>
                <w:lang w:val="es-ES"/>
              </w:rPr>
              <w:t>AMNT</w:t>
            </w:r>
          </w:p>
        </w:tc>
        <w:tc>
          <w:tcPr>
            <w:tcW w:w="6798" w:type="dxa"/>
          </w:tcPr>
          <w:p w:rsidR="00E55103" w:rsidRPr="00F767CD" w:rsidRDefault="00E55103" w:rsidP="00483815">
            <w:pPr>
              <w:spacing w:before="60" w:after="60"/>
              <w:rPr>
                <w:rFonts w:asciiTheme="minorHAnsi" w:eastAsia="PMingLiU-ExtB" w:hAnsiTheme="minorHAnsi"/>
                <w:szCs w:val="24"/>
                <w:lang w:val="es-ES"/>
              </w:rPr>
            </w:pPr>
            <w:bookmarkStart w:id="60" w:name="lt_pId382"/>
            <w:r w:rsidRPr="00F767CD">
              <w:rPr>
                <w:rFonts w:asciiTheme="minorHAnsi" w:hAnsiTheme="minorHAnsi"/>
                <w:szCs w:val="24"/>
                <w:lang w:val="es-ES"/>
              </w:rPr>
              <w:t>Resoluciones 54, 59, 72</w:t>
            </w:r>
            <w:bookmarkEnd w:id="60"/>
          </w:p>
        </w:tc>
      </w:tr>
      <w:tr w:rsidR="00E55103" w:rsidRPr="004E44DD" w:rsidTr="009009A1">
        <w:tc>
          <w:tcPr>
            <w:tcW w:w="2830" w:type="dxa"/>
          </w:tcPr>
          <w:p w:rsidR="00E55103" w:rsidRPr="00F767CD" w:rsidRDefault="00E55103" w:rsidP="00483815">
            <w:pPr>
              <w:spacing w:before="60" w:after="60"/>
              <w:rPr>
                <w:i/>
                <w:iCs/>
                <w:szCs w:val="24"/>
                <w:lang w:val="es-ES"/>
              </w:rPr>
            </w:pPr>
            <w:r w:rsidRPr="00F767CD">
              <w:rPr>
                <w:rFonts w:asciiTheme="minorHAnsi" w:eastAsia="PMingLiU-ExtB" w:hAnsiTheme="minorHAnsi"/>
                <w:i/>
                <w:iCs/>
                <w:szCs w:val="24"/>
                <w:lang w:val="es-ES"/>
              </w:rPr>
              <w:t>Línea de Acción de la CMSI</w:t>
            </w:r>
          </w:p>
        </w:tc>
        <w:tc>
          <w:tcPr>
            <w:tcW w:w="6798" w:type="dxa"/>
          </w:tcPr>
          <w:p w:rsidR="00E55103" w:rsidRPr="00F767CD" w:rsidRDefault="00E55103" w:rsidP="00483815">
            <w:pPr>
              <w:spacing w:before="60" w:after="60"/>
              <w:rPr>
                <w:szCs w:val="24"/>
                <w:lang w:val="es-ES"/>
              </w:rPr>
            </w:pPr>
            <w:r w:rsidRPr="00F767CD">
              <w:rPr>
                <w:rFonts w:asciiTheme="minorHAnsi" w:eastAsia="PMingLiU-ExtB" w:hAnsiTheme="minorHAnsi"/>
                <w:szCs w:val="24"/>
                <w:lang w:val="es-ES"/>
              </w:rPr>
              <w:t>Línea de Acción de la CMSI C4 del Plan de Acción de Ginebra y los párrafos 8, 22, 23a, 26g, 49, 51, 65, 72h, 86, 87, 90c, d, f, 95 y 114b de la Agenda de Túnez para la Sociedad de la Información.</w:t>
            </w:r>
          </w:p>
        </w:tc>
      </w:tr>
      <w:tr w:rsidR="00E55103" w:rsidRPr="004E44DD" w:rsidTr="009009A1">
        <w:tc>
          <w:tcPr>
            <w:tcW w:w="2830" w:type="dxa"/>
          </w:tcPr>
          <w:p w:rsidR="00E55103" w:rsidRPr="00F767CD" w:rsidRDefault="00E55103" w:rsidP="00483815">
            <w:pPr>
              <w:spacing w:before="60" w:after="60"/>
              <w:rPr>
                <w:rFonts w:asciiTheme="minorHAnsi" w:eastAsia="PMingLiU-ExtB" w:hAnsiTheme="minorHAnsi"/>
                <w:i/>
                <w:iCs/>
                <w:szCs w:val="24"/>
                <w:lang w:val="es-ES"/>
              </w:rPr>
            </w:pPr>
            <w:r w:rsidRPr="00F767CD">
              <w:rPr>
                <w:rFonts w:asciiTheme="minorHAnsi" w:eastAsia="PMingLiU-ExtB" w:hAnsiTheme="minorHAnsi"/>
                <w:i/>
                <w:iCs/>
                <w:szCs w:val="24"/>
                <w:lang w:val="es-ES"/>
              </w:rPr>
              <w:t>Contribución a las metas de los ODS</w:t>
            </w:r>
          </w:p>
        </w:tc>
        <w:tc>
          <w:tcPr>
            <w:tcW w:w="6798" w:type="dxa"/>
          </w:tcPr>
          <w:p w:rsidR="00E55103" w:rsidRPr="00F767CD" w:rsidRDefault="00E55103" w:rsidP="00483815">
            <w:pPr>
              <w:spacing w:before="60" w:after="60"/>
              <w:rPr>
                <w:rFonts w:asciiTheme="minorHAnsi" w:eastAsia="PMingLiU-ExtB" w:hAnsiTheme="minorHAnsi"/>
                <w:szCs w:val="24"/>
                <w:lang w:val="es-ES"/>
              </w:rPr>
            </w:pPr>
            <w:r w:rsidRPr="00F767CD">
              <w:rPr>
                <w:rFonts w:asciiTheme="minorHAnsi" w:eastAsia="PMingLiU-ExtB" w:hAnsiTheme="minorHAnsi"/>
                <w:szCs w:val="24"/>
                <w:lang w:val="es-ES"/>
              </w:rPr>
              <w:t>ODS: 1 (meta 1.b), 2 (meta 2.3), 3 (metas 3.7. 3.b. 3.d) , 4 (metas 4.4, 4.7), 5 (metas 5.5, 5.b), 6 (meta 6.a), 8 (meta 8.2), 9 (metas 9.1, 9.b, 9.c), 12 (metas 12.7, 12.8, 12.a, 12.b), 13 (metas 13.2, 13.3, 13.b), 14 (meta 14.a), 16 (meta 16.a), 17 (metas 17.9, 17.18)</w:t>
            </w:r>
          </w:p>
        </w:tc>
      </w:tr>
    </w:tbl>
    <w:p w:rsidR="00E55103" w:rsidRPr="00F767CD" w:rsidRDefault="00E55103" w:rsidP="00483815">
      <w:pPr>
        <w:pStyle w:val="Heading2"/>
        <w:spacing w:after="120"/>
        <w:rPr>
          <w:lang w:val="es-ES"/>
        </w:rPr>
      </w:pPr>
      <w:r w:rsidRPr="00F767CD">
        <w:rPr>
          <w:lang w:val="es-ES"/>
        </w:rPr>
        <w:t>4.2</w:t>
      </w:r>
      <w:r w:rsidRPr="00F767CD">
        <w:rPr>
          <w:lang w:val="es-ES"/>
        </w:rPr>
        <w:tab/>
        <w:t xml:space="preserve">Estadísticas de </w:t>
      </w:r>
      <w:r w:rsidR="001C0928" w:rsidRPr="00F767CD">
        <w:rPr>
          <w:lang w:val="es-ES"/>
        </w:rPr>
        <w:t xml:space="preserve">las </w:t>
      </w:r>
      <w:r w:rsidRPr="00F767CD">
        <w:rPr>
          <w:lang w:val="es-ES"/>
        </w:rPr>
        <w:t xml:space="preserve">telecomunicaciones/TIC </w:t>
      </w:r>
    </w:p>
    <w:tbl>
      <w:tblPr>
        <w:tblStyle w:val="TableGrid"/>
        <w:tblW w:w="0" w:type="auto"/>
        <w:tblLook w:val="04A0" w:firstRow="1" w:lastRow="0" w:firstColumn="1" w:lastColumn="0" w:noHBand="0" w:noVBand="1"/>
      </w:tblPr>
      <w:tblGrid>
        <w:gridCol w:w="2830"/>
        <w:gridCol w:w="6798"/>
      </w:tblGrid>
      <w:tr w:rsidR="00E55103" w:rsidRPr="004E44DD" w:rsidTr="009009A1">
        <w:tc>
          <w:tcPr>
            <w:tcW w:w="9628" w:type="dxa"/>
            <w:gridSpan w:val="2"/>
          </w:tcPr>
          <w:p w:rsidR="00E55103" w:rsidRPr="00F767CD" w:rsidRDefault="00E55103" w:rsidP="00483815">
            <w:pPr>
              <w:rPr>
                <w:rFonts w:asciiTheme="minorHAnsi" w:hAnsiTheme="minorHAnsi"/>
                <w:szCs w:val="24"/>
                <w:lang w:val="es-ES"/>
              </w:rPr>
            </w:pPr>
            <w:r w:rsidRPr="00F767CD">
              <w:rPr>
                <w:rFonts w:asciiTheme="minorHAnsi" w:hAnsiTheme="minorHAnsi"/>
                <w:szCs w:val="24"/>
                <w:lang w:val="es-ES"/>
              </w:rPr>
              <w:t xml:space="preserve">La BDT posee la mayor colección de datos y estadísticas de TIC del mundo sobre diversas áreas temáticas, entre ellas infraestructuras de TIC, acceso y utilización, políticas y reglamentación, así como sobre diversas cuestiones relacionadas con políticas de imputación de costos y fijación de tarifas. El trabajo de la UIT en el ámbito de este </w:t>
            </w:r>
            <w:r w:rsidR="001C0928" w:rsidRPr="00F767CD">
              <w:rPr>
                <w:rFonts w:asciiTheme="minorHAnsi" w:hAnsiTheme="minorHAnsi"/>
                <w:szCs w:val="24"/>
                <w:lang w:val="es-ES"/>
              </w:rPr>
              <w:t>p</w:t>
            </w:r>
            <w:r w:rsidRPr="00F767CD">
              <w:rPr>
                <w:rFonts w:asciiTheme="minorHAnsi" w:hAnsiTheme="minorHAnsi"/>
                <w:szCs w:val="24"/>
                <w:lang w:val="es-ES"/>
              </w:rPr>
              <w:t>roducto ha tenido como resultado una mejor disponibilidad y distribución de las bases de datos de estadísticas de TIC, internacionalmente comparables y oportunas en el tiempo.</w:t>
            </w:r>
          </w:p>
          <w:p w:rsidR="001C0928" w:rsidRPr="00F767CD" w:rsidRDefault="001C0928" w:rsidP="00483815">
            <w:pPr>
              <w:rPr>
                <w:rFonts w:asciiTheme="minorHAnsi" w:hAnsiTheme="minorHAnsi"/>
                <w:szCs w:val="24"/>
                <w:lang w:val="es-ES"/>
              </w:rPr>
            </w:pPr>
            <w:bookmarkStart w:id="61" w:name="lt_pId393"/>
            <w:r w:rsidRPr="00F767CD">
              <w:rPr>
                <w:rFonts w:asciiTheme="minorHAnsi" w:hAnsiTheme="minorHAnsi"/>
                <w:szCs w:val="24"/>
                <w:lang w:val="es-ES"/>
              </w:rPr>
              <w:t>El 16º Simposio Mundial sobre Indicadores de Telecomunicaciones/TIC (SMIT) se celebró en Ginebra en diciembre de 2018. El SMIT-18 atrajo a más de 320 participantes de 85 países</w:t>
            </w:r>
            <w:r w:rsidR="001B7F28">
              <w:rPr>
                <w:rFonts w:asciiTheme="minorHAnsi" w:hAnsiTheme="minorHAnsi"/>
                <w:szCs w:val="24"/>
                <w:lang w:val="es-ES"/>
              </w:rPr>
              <w:t>,</w:t>
            </w:r>
            <w:r w:rsidRPr="00F767CD">
              <w:rPr>
                <w:rFonts w:asciiTheme="minorHAnsi" w:hAnsiTheme="minorHAnsi"/>
                <w:szCs w:val="24"/>
                <w:lang w:val="es-ES"/>
              </w:rPr>
              <w:t xml:space="preserve"> de organizaciones públicas y privadas, incluidos ministerios, reguladores, organismos nacion</w:t>
            </w:r>
            <w:r w:rsidR="001B7F28">
              <w:rPr>
                <w:rFonts w:asciiTheme="minorHAnsi" w:hAnsiTheme="minorHAnsi"/>
                <w:szCs w:val="24"/>
                <w:lang w:val="es-ES"/>
              </w:rPr>
              <w:t>al</w:t>
            </w:r>
            <w:r w:rsidRPr="00F767CD">
              <w:rPr>
                <w:rFonts w:asciiTheme="minorHAnsi" w:hAnsiTheme="minorHAnsi"/>
                <w:szCs w:val="24"/>
                <w:lang w:val="es-ES"/>
              </w:rPr>
              <w:t>es de estadísticas, universidades e instituciones de investigación, operadores de telecomunicaciones, empresas de TIC y organizaciones regionales e internacionales. El SMIT-18 ofreció sesiones plenarias sobre las repercusiones económicas y sociales de las TIC</w:t>
            </w:r>
            <w:r w:rsidR="00071BF2" w:rsidRPr="00F767CD">
              <w:rPr>
                <w:rFonts w:asciiTheme="minorHAnsi" w:hAnsiTheme="minorHAnsi"/>
                <w:szCs w:val="24"/>
                <w:lang w:val="es-ES"/>
              </w:rPr>
              <w:t>, las necesidades de datos para seguir las repercusiones sociales de las TIC, facilitar el desarr</w:t>
            </w:r>
            <w:r w:rsidR="00E307D0">
              <w:rPr>
                <w:rFonts w:asciiTheme="minorHAnsi" w:hAnsiTheme="minorHAnsi"/>
                <w:szCs w:val="24"/>
                <w:lang w:val="es-ES"/>
              </w:rPr>
              <w:t>ollo sostenible a través de las </w:t>
            </w:r>
            <w:r w:rsidR="00071BF2" w:rsidRPr="00F767CD">
              <w:rPr>
                <w:rFonts w:asciiTheme="minorHAnsi" w:hAnsiTheme="minorHAnsi"/>
                <w:szCs w:val="24"/>
                <w:lang w:val="es-ES"/>
              </w:rPr>
              <w:t xml:space="preserve">TIC: no dejar a nadie atrás, la ciencia de los datos y las TIC, la publicación del Informe </w:t>
            </w:r>
            <w:r w:rsidR="00071BF2" w:rsidRPr="00F767CD">
              <w:rPr>
                <w:rFonts w:asciiTheme="minorHAnsi" w:hAnsiTheme="minorHAnsi"/>
                <w:szCs w:val="24"/>
                <w:lang w:val="es-ES"/>
              </w:rPr>
              <w:lastRenderedPageBreak/>
              <w:t xml:space="preserve">Medición de la Sociedad de la Información, incluida información sobre el estado del nuevo Índice de Desarrollo de las TIC, competencias </w:t>
            </w:r>
            <w:r w:rsidR="001B7F28">
              <w:rPr>
                <w:rFonts w:asciiTheme="minorHAnsi" w:hAnsiTheme="minorHAnsi"/>
                <w:szCs w:val="24"/>
                <w:lang w:val="es-ES"/>
              </w:rPr>
              <w:t>en</w:t>
            </w:r>
            <w:r w:rsidR="00071BF2" w:rsidRPr="00F767CD">
              <w:rPr>
                <w:rFonts w:asciiTheme="minorHAnsi" w:hAnsiTheme="minorHAnsi"/>
                <w:szCs w:val="24"/>
                <w:lang w:val="es-ES"/>
              </w:rPr>
              <w:t xml:space="preserve"> </w:t>
            </w:r>
            <w:r w:rsidR="002C0683">
              <w:rPr>
                <w:rFonts w:asciiTheme="minorHAnsi" w:hAnsiTheme="minorHAnsi"/>
                <w:szCs w:val="24"/>
                <w:lang w:val="es-ES"/>
              </w:rPr>
              <w:t xml:space="preserve">el ámbito de las </w:t>
            </w:r>
            <w:r w:rsidR="00071BF2" w:rsidRPr="00F767CD">
              <w:rPr>
                <w:rFonts w:asciiTheme="minorHAnsi" w:hAnsiTheme="minorHAnsi"/>
                <w:szCs w:val="24"/>
                <w:lang w:val="es-ES"/>
              </w:rPr>
              <w:t xml:space="preserve">TIC para el futuro, nuevas necesidades de datos para la economía digital, datos inteligentes para la elaboración de reglamentos y políticas de TIC inteligentes y elaboración de políticas y </w:t>
            </w:r>
            <w:r w:rsidR="00A3100E" w:rsidRPr="00F767CD">
              <w:rPr>
                <w:rFonts w:asciiTheme="minorHAnsi" w:hAnsiTheme="minorHAnsi"/>
                <w:szCs w:val="24"/>
                <w:lang w:val="es-ES"/>
              </w:rPr>
              <w:t xml:space="preserve">asequibilidad de los servicios de TIC. </w:t>
            </w:r>
          </w:p>
          <w:bookmarkEnd w:id="61"/>
          <w:p w:rsidR="00E55103" w:rsidRPr="00F767CD" w:rsidRDefault="00E55103" w:rsidP="00483815">
            <w:pPr>
              <w:rPr>
                <w:lang w:val="es-ES"/>
              </w:rPr>
            </w:pPr>
            <w:r w:rsidRPr="00F767CD">
              <w:rPr>
                <w:rFonts w:asciiTheme="minorHAnsi" w:hAnsiTheme="minorHAnsi"/>
                <w:szCs w:val="24"/>
                <w:lang w:val="es-ES"/>
              </w:rPr>
              <w:t>En 201</w:t>
            </w:r>
            <w:r w:rsidR="001565B4" w:rsidRPr="00F767CD">
              <w:rPr>
                <w:rFonts w:asciiTheme="minorHAnsi" w:hAnsiTheme="minorHAnsi"/>
                <w:szCs w:val="24"/>
                <w:lang w:val="es-ES"/>
              </w:rPr>
              <w:t>8</w:t>
            </w:r>
            <w:r w:rsidRPr="00F767CD">
              <w:rPr>
                <w:rFonts w:asciiTheme="minorHAnsi" w:hAnsiTheme="minorHAnsi"/>
                <w:szCs w:val="24"/>
                <w:lang w:val="es-ES"/>
              </w:rPr>
              <w:t>, para mejorar la información y conocimientos de los responsables de políticas y otras partes interesadas, se publicaron varios productos estadísticos sobre las tendencias actuales de las TIC/Telecomunicaciones y su evolución a partir de estadísticas de calidad, comparables a escala internacional.</w:t>
            </w:r>
          </w:p>
          <w:p w:rsidR="00E55103" w:rsidRPr="00F767CD" w:rsidRDefault="00E55103" w:rsidP="00483815">
            <w:pPr>
              <w:pStyle w:val="enumlev1"/>
              <w:keepLines/>
              <w:spacing w:after="120"/>
              <w:rPr>
                <w:rFonts w:asciiTheme="minorHAnsi" w:eastAsia="PMingLiU-ExtB" w:hAnsiTheme="minorHAnsi"/>
                <w:szCs w:val="24"/>
                <w:lang w:val="es-ES"/>
              </w:rPr>
            </w:pPr>
            <w:bookmarkStart w:id="62" w:name="lt_pId399"/>
            <w:r w:rsidRPr="00F767CD">
              <w:rPr>
                <w:rFonts w:asciiTheme="minorHAnsi" w:hAnsiTheme="minorHAnsi"/>
                <w:szCs w:val="24"/>
                <w:lang w:val="es-ES"/>
              </w:rPr>
              <w:t>–</w:t>
            </w:r>
            <w:r w:rsidRPr="00F767CD">
              <w:rPr>
                <w:rFonts w:asciiTheme="minorHAnsi" w:hAnsiTheme="minorHAnsi"/>
                <w:szCs w:val="24"/>
                <w:lang w:val="es-ES"/>
              </w:rPr>
              <w:tab/>
            </w:r>
            <w:r w:rsidRPr="00F767CD">
              <w:rPr>
                <w:rFonts w:asciiTheme="minorHAnsi" w:eastAsia="PMingLiU-ExtB" w:hAnsiTheme="minorHAnsi"/>
                <w:szCs w:val="24"/>
                <w:lang w:val="es-ES"/>
              </w:rPr>
              <w:t xml:space="preserve">Las últimas ediciones de la </w:t>
            </w:r>
            <w:r w:rsidR="00A3100E" w:rsidRPr="00F767CD">
              <w:rPr>
                <w:rFonts w:asciiTheme="minorHAnsi" w:eastAsia="PMingLiU-ExtB" w:hAnsiTheme="minorHAnsi"/>
                <w:szCs w:val="24"/>
                <w:lang w:val="es-ES"/>
              </w:rPr>
              <w:t>b</w:t>
            </w:r>
            <w:r w:rsidRPr="00F767CD">
              <w:rPr>
                <w:rFonts w:asciiTheme="minorHAnsi" w:eastAsia="PMingLiU-ExtB" w:hAnsiTheme="minorHAnsi"/>
                <w:szCs w:val="24"/>
                <w:lang w:val="es-ES"/>
              </w:rPr>
              <w:t xml:space="preserve">ase de datos de </w:t>
            </w:r>
            <w:r w:rsidR="00A3100E" w:rsidRPr="00F767CD">
              <w:rPr>
                <w:rFonts w:asciiTheme="minorHAnsi" w:eastAsia="PMingLiU-ExtB" w:hAnsiTheme="minorHAnsi"/>
                <w:szCs w:val="24"/>
                <w:lang w:val="es-ES"/>
              </w:rPr>
              <w:t>i</w:t>
            </w:r>
            <w:r w:rsidRPr="00F767CD">
              <w:rPr>
                <w:rFonts w:asciiTheme="minorHAnsi" w:eastAsia="PMingLiU-ExtB" w:hAnsiTheme="minorHAnsi"/>
                <w:szCs w:val="24"/>
                <w:lang w:val="es-ES"/>
              </w:rPr>
              <w:t xml:space="preserve">ndicadores mundiales de telecomunicaciones/TIC y de la publicación </w:t>
            </w:r>
            <w:r w:rsidR="00A3100E" w:rsidRPr="00F767CD">
              <w:rPr>
                <w:rFonts w:asciiTheme="minorHAnsi" w:eastAsia="PMingLiU-ExtB" w:hAnsiTheme="minorHAnsi"/>
                <w:szCs w:val="24"/>
                <w:lang w:val="es-ES"/>
              </w:rPr>
              <w:t xml:space="preserve">conjunta de la UIT/Banco Mundial </w:t>
            </w:r>
            <w:r w:rsidRPr="00F767CD">
              <w:rPr>
                <w:rFonts w:asciiTheme="minorHAnsi" w:eastAsia="PMingLiU-ExtB" w:hAnsiTheme="minorHAnsi"/>
                <w:szCs w:val="24"/>
                <w:lang w:val="es-ES"/>
              </w:rPr>
              <w:t>"The Little Data Book on Information and Communication Technology 201</w:t>
            </w:r>
            <w:r w:rsidR="002C0683">
              <w:rPr>
                <w:rFonts w:asciiTheme="minorHAnsi" w:eastAsia="PMingLiU-ExtB" w:hAnsiTheme="minorHAnsi"/>
                <w:szCs w:val="24"/>
                <w:lang w:val="es-ES"/>
              </w:rPr>
              <w:t>8</w:t>
            </w:r>
            <w:r w:rsidRPr="00F767CD">
              <w:rPr>
                <w:rFonts w:asciiTheme="minorHAnsi" w:eastAsia="PMingLiU-ExtB" w:hAnsiTheme="minorHAnsi"/>
                <w:szCs w:val="24"/>
                <w:lang w:val="es-ES"/>
              </w:rPr>
              <w:t>" se publicaron en junio de 201</w:t>
            </w:r>
            <w:r w:rsidR="00A3100E" w:rsidRPr="00F767CD">
              <w:rPr>
                <w:rFonts w:asciiTheme="minorHAnsi" w:eastAsia="PMingLiU-ExtB" w:hAnsiTheme="minorHAnsi"/>
                <w:szCs w:val="24"/>
                <w:lang w:val="es-ES"/>
              </w:rPr>
              <w:t>8</w:t>
            </w:r>
            <w:r w:rsidRPr="00F767CD">
              <w:rPr>
                <w:rFonts w:asciiTheme="minorHAnsi" w:eastAsia="PMingLiU-ExtB" w:hAnsiTheme="minorHAnsi"/>
                <w:szCs w:val="24"/>
                <w:lang w:val="es-ES"/>
              </w:rPr>
              <w:t xml:space="preserve">. Con estos datos los usuarios podrán tomar decisiones </w:t>
            </w:r>
            <w:r w:rsidR="00A3100E" w:rsidRPr="00F767CD">
              <w:rPr>
                <w:rFonts w:asciiTheme="minorHAnsi" w:eastAsia="PMingLiU-ExtB" w:hAnsiTheme="minorHAnsi"/>
                <w:szCs w:val="24"/>
                <w:lang w:val="es-ES"/>
              </w:rPr>
              <w:t xml:space="preserve">con conocimiento de causa </w:t>
            </w:r>
            <w:r w:rsidR="002C0683">
              <w:rPr>
                <w:rFonts w:asciiTheme="minorHAnsi" w:eastAsia="PMingLiU-ExtB" w:hAnsiTheme="minorHAnsi"/>
                <w:szCs w:val="24"/>
                <w:lang w:val="es-ES"/>
              </w:rPr>
              <w:t>en el ámbito de las</w:t>
            </w:r>
            <w:r w:rsidRPr="00F767CD">
              <w:rPr>
                <w:rFonts w:asciiTheme="minorHAnsi" w:eastAsia="PMingLiU-ExtB" w:hAnsiTheme="minorHAnsi"/>
                <w:szCs w:val="24"/>
                <w:lang w:val="es-ES"/>
              </w:rPr>
              <w:t xml:space="preserve"> TIC</w:t>
            </w:r>
            <w:r w:rsidR="00A3100E" w:rsidRPr="00F767CD">
              <w:rPr>
                <w:rFonts w:asciiTheme="minorHAnsi" w:eastAsia="PMingLiU-ExtB" w:hAnsiTheme="minorHAnsi"/>
                <w:szCs w:val="24"/>
                <w:lang w:val="es-ES"/>
              </w:rPr>
              <w:t>,</w:t>
            </w:r>
            <w:r w:rsidRPr="00F767CD">
              <w:rPr>
                <w:rFonts w:asciiTheme="minorHAnsi" w:eastAsia="PMingLiU-ExtB" w:hAnsiTheme="minorHAnsi"/>
                <w:szCs w:val="24"/>
                <w:lang w:val="es-ES"/>
              </w:rPr>
              <w:t xml:space="preserve"> </w:t>
            </w:r>
            <w:r w:rsidR="00A3100E" w:rsidRPr="00F767CD">
              <w:rPr>
                <w:rFonts w:asciiTheme="minorHAnsi" w:eastAsia="PMingLiU-ExtB" w:hAnsiTheme="minorHAnsi"/>
                <w:szCs w:val="24"/>
                <w:lang w:val="es-ES"/>
              </w:rPr>
              <w:t>en base a</w:t>
            </w:r>
            <w:r w:rsidRPr="00F767CD">
              <w:rPr>
                <w:rFonts w:asciiTheme="minorHAnsi" w:eastAsia="PMingLiU-ExtB" w:hAnsiTheme="minorHAnsi"/>
                <w:szCs w:val="24"/>
                <w:lang w:val="es-ES"/>
              </w:rPr>
              <w:t xml:space="preserve"> en estadísticas comparables a escala internacional</w:t>
            </w:r>
            <w:bookmarkStart w:id="63" w:name="lt_pId400"/>
            <w:bookmarkEnd w:id="62"/>
            <w:r w:rsidRPr="00F767CD">
              <w:rPr>
                <w:rFonts w:asciiTheme="minorHAnsi" w:eastAsia="PMingLiU-ExtB" w:hAnsiTheme="minorHAnsi"/>
                <w:szCs w:val="24"/>
                <w:lang w:val="es-ES"/>
              </w:rPr>
              <w:t>.</w:t>
            </w:r>
            <w:bookmarkEnd w:id="63"/>
          </w:p>
          <w:p w:rsidR="00E55103" w:rsidRPr="00F767CD" w:rsidRDefault="00E55103" w:rsidP="00483815">
            <w:pPr>
              <w:pStyle w:val="enumlev1"/>
              <w:spacing w:after="120"/>
              <w:rPr>
                <w:rFonts w:asciiTheme="minorHAnsi" w:eastAsia="PMingLiU-ExtB" w:hAnsiTheme="minorHAnsi"/>
                <w:szCs w:val="24"/>
                <w:lang w:val="es-ES"/>
              </w:rPr>
            </w:pPr>
            <w:bookmarkStart w:id="64" w:name="lt_pId403"/>
            <w:r w:rsidRPr="00F767CD">
              <w:rPr>
                <w:rFonts w:asciiTheme="minorHAnsi" w:eastAsia="PMingLiU-ExtB" w:hAnsiTheme="minorHAnsi" w:cstheme="minorHAnsi"/>
                <w:szCs w:val="24"/>
                <w:lang w:val="es-ES"/>
              </w:rPr>
              <w:t>–</w:t>
            </w:r>
            <w:r w:rsidRPr="00F767CD">
              <w:rPr>
                <w:rFonts w:asciiTheme="minorHAnsi" w:eastAsia="PMingLiU-ExtB" w:hAnsiTheme="minorHAnsi" w:cstheme="minorHAnsi"/>
                <w:szCs w:val="24"/>
                <w:lang w:val="es-ES"/>
              </w:rPr>
              <w:tab/>
            </w:r>
            <w:r w:rsidRPr="00F767CD">
              <w:rPr>
                <w:rFonts w:asciiTheme="minorHAnsi" w:eastAsia="PMingLiU-ExtB" w:hAnsiTheme="minorHAnsi"/>
                <w:szCs w:val="24"/>
                <w:lang w:val="es-ES"/>
              </w:rPr>
              <w:t>Se complet</w:t>
            </w:r>
            <w:r w:rsidR="001638DF">
              <w:rPr>
                <w:rFonts w:asciiTheme="minorHAnsi" w:eastAsia="PMingLiU-ExtB" w:hAnsiTheme="minorHAnsi"/>
                <w:szCs w:val="24"/>
                <w:lang w:val="es-ES"/>
              </w:rPr>
              <w:t>aron</w:t>
            </w:r>
            <w:r w:rsidRPr="00F767CD">
              <w:rPr>
                <w:rFonts w:asciiTheme="minorHAnsi" w:eastAsia="PMingLiU-ExtB" w:hAnsiTheme="minorHAnsi"/>
                <w:szCs w:val="24"/>
                <w:lang w:val="es-ES"/>
              </w:rPr>
              <w:t xml:space="preserve"> </w:t>
            </w:r>
            <w:r w:rsidR="00A3100E" w:rsidRPr="00F767CD">
              <w:rPr>
                <w:rFonts w:asciiTheme="minorHAnsi" w:eastAsia="PMingLiU-ExtB" w:hAnsiTheme="minorHAnsi"/>
                <w:szCs w:val="24"/>
                <w:lang w:val="es-ES"/>
              </w:rPr>
              <w:t xml:space="preserve">adecuadamente </w:t>
            </w:r>
            <w:r w:rsidRPr="00F767CD">
              <w:rPr>
                <w:rFonts w:asciiTheme="minorHAnsi" w:eastAsia="PMingLiU-ExtB" w:hAnsiTheme="minorHAnsi"/>
                <w:szCs w:val="24"/>
                <w:lang w:val="es-ES"/>
              </w:rPr>
              <w:t>la</w:t>
            </w:r>
            <w:r w:rsidR="001638DF">
              <w:rPr>
                <w:rFonts w:asciiTheme="minorHAnsi" w:eastAsia="PMingLiU-ExtB" w:hAnsiTheme="minorHAnsi"/>
                <w:szCs w:val="24"/>
                <w:lang w:val="es-ES"/>
              </w:rPr>
              <w:t>s</w:t>
            </w:r>
            <w:r w:rsidRPr="00F767CD">
              <w:rPr>
                <w:rFonts w:asciiTheme="minorHAnsi" w:eastAsia="PMingLiU-ExtB" w:hAnsiTheme="minorHAnsi"/>
                <w:szCs w:val="24"/>
                <w:lang w:val="es-ES"/>
              </w:rPr>
              <w:t xml:space="preserve"> recopilaci</w:t>
            </w:r>
            <w:r w:rsidR="001638DF">
              <w:rPr>
                <w:rFonts w:asciiTheme="minorHAnsi" w:eastAsia="PMingLiU-ExtB" w:hAnsiTheme="minorHAnsi"/>
                <w:szCs w:val="24"/>
                <w:lang w:val="es-ES"/>
              </w:rPr>
              <w:t>ones</w:t>
            </w:r>
            <w:r w:rsidRPr="00F767CD">
              <w:rPr>
                <w:rFonts w:asciiTheme="minorHAnsi" w:eastAsia="PMingLiU-ExtB" w:hAnsiTheme="minorHAnsi"/>
                <w:szCs w:val="24"/>
                <w:lang w:val="es-ES"/>
              </w:rPr>
              <w:t xml:space="preserve"> de datos de 201</w:t>
            </w:r>
            <w:r w:rsidR="00A3100E" w:rsidRPr="00F767CD">
              <w:rPr>
                <w:rFonts w:asciiTheme="minorHAnsi" w:eastAsia="PMingLiU-ExtB" w:hAnsiTheme="minorHAnsi"/>
                <w:szCs w:val="24"/>
                <w:lang w:val="es-ES"/>
              </w:rPr>
              <w:t>8</w:t>
            </w:r>
            <w:r w:rsidRPr="00F767CD">
              <w:rPr>
                <w:rFonts w:asciiTheme="minorHAnsi" w:eastAsia="PMingLiU-ExtB" w:hAnsiTheme="minorHAnsi"/>
                <w:szCs w:val="24"/>
                <w:lang w:val="es-ES"/>
              </w:rPr>
              <w:t>. Cerca de</w:t>
            </w:r>
            <w:bookmarkStart w:id="65" w:name="lt_pId404"/>
            <w:bookmarkEnd w:id="64"/>
            <w:r w:rsidRPr="00F767CD">
              <w:rPr>
                <w:rFonts w:asciiTheme="minorHAnsi" w:eastAsia="PMingLiU-ExtB" w:hAnsiTheme="minorHAnsi"/>
                <w:szCs w:val="24"/>
                <w:lang w:val="es-ES"/>
              </w:rPr>
              <w:t> 1</w:t>
            </w:r>
            <w:r w:rsidR="00A3100E" w:rsidRPr="00F767CD">
              <w:rPr>
                <w:rFonts w:asciiTheme="minorHAnsi" w:eastAsia="PMingLiU-ExtB" w:hAnsiTheme="minorHAnsi"/>
                <w:szCs w:val="24"/>
                <w:lang w:val="es-ES"/>
              </w:rPr>
              <w:t>6</w:t>
            </w:r>
            <w:r w:rsidRPr="00F767CD">
              <w:rPr>
                <w:rFonts w:asciiTheme="minorHAnsi" w:eastAsia="PMingLiU-ExtB" w:hAnsiTheme="minorHAnsi"/>
                <w:szCs w:val="24"/>
                <w:lang w:val="es-ES"/>
              </w:rPr>
              <w:t xml:space="preserve">0 países </w:t>
            </w:r>
            <w:r w:rsidR="002C0683">
              <w:rPr>
                <w:rFonts w:asciiTheme="minorHAnsi" w:eastAsia="PMingLiU-ExtB" w:hAnsiTheme="minorHAnsi"/>
                <w:szCs w:val="24"/>
                <w:lang w:val="es-ES"/>
              </w:rPr>
              <w:t>respondieron</w:t>
            </w:r>
            <w:r w:rsidRPr="00F767CD">
              <w:rPr>
                <w:rFonts w:asciiTheme="minorHAnsi" w:eastAsia="PMingLiU-ExtB" w:hAnsiTheme="minorHAnsi"/>
                <w:szCs w:val="24"/>
                <w:lang w:val="es-ES"/>
              </w:rPr>
              <w:t xml:space="preserve"> al </w:t>
            </w:r>
            <w:r w:rsidR="00A3100E" w:rsidRPr="00F767CD">
              <w:rPr>
                <w:rFonts w:asciiTheme="minorHAnsi" w:eastAsia="PMingLiU-ExtB" w:hAnsiTheme="minorHAnsi"/>
                <w:szCs w:val="24"/>
                <w:lang w:val="es-ES"/>
              </w:rPr>
              <w:t>c</w:t>
            </w:r>
            <w:r w:rsidRPr="00F767CD">
              <w:rPr>
                <w:rFonts w:asciiTheme="minorHAnsi" w:eastAsia="PMingLiU-ExtB" w:hAnsiTheme="minorHAnsi"/>
                <w:szCs w:val="24"/>
                <w:lang w:val="es-ES"/>
              </w:rPr>
              <w:t xml:space="preserve">uestionario largo WTI </w:t>
            </w:r>
            <w:r w:rsidR="00C461C3" w:rsidRPr="00F767CD">
              <w:rPr>
                <w:rFonts w:asciiTheme="minorHAnsi" w:eastAsia="PMingLiU-ExtB" w:hAnsiTheme="minorHAnsi"/>
                <w:szCs w:val="24"/>
                <w:lang w:val="es-ES"/>
              </w:rPr>
              <w:t xml:space="preserve">de </w:t>
            </w:r>
            <w:r w:rsidRPr="00F767CD">
              <w:rPr>
                <w:rFonts w:asciiTheme="minorHAnsi" w:eastAsia="PMingLiU-ExtB" w:hAnsiTheme="minorHAnsi"/>
                <w:szCs w:val="24"/>
                <w:lang w:val="es-ES"/>
              </w:rPr>
              <w:t>201</w:t>
            </w:r>
            <w:r w:rsidR="00A3100E" w:rsidRPr="00F767CD">
              <w:rPr>
                <w:rFonts w:asciiTheme="minorHAnsi" w:eastAsia="PMingLiU-ExtB" w:hAnsiTheme="minorHAnsi"/>
                <w:szCs w:val="24"/>
                <w:lang w:val="es-ES"/>
              </w:rPr>
              <w:t>8</w:t>
            </w:r>
            <w:bookmarkStart w:id="66" w:name="lt_pId405"/>
            <w:bookmarkEnd w:id="65"/>
            <w:r w:rsidR="00A3100E" w:rsidRPr="00F767CD">
              <w:rPr>
                <w:rFonts w:asciiTheme="minorHAnsi" w:eastAsia="PMingLiU-ExtB" w:hAnsiTheme="minorHAnsi"/>
                <w:szCs w:val="24"/>
                <w:lang w:val="es-ES"/>
              </w:rPr>
              <w:t>, 105</w:t>
            </w:r>
            <w:r w:rsidRPr="00F767CD">
              <w:rPr>
                <w:rFonts w:asciiTheme="minorHAnsi" w:eastAsia="PMingLiU-ExtB" w:hAnsiTheme="minorHAnsi"/>
                <w:szCs w:val="24"/>
                <w:lang w:val="es-ES"/>
              </w:rPr>
              <w:t xml:space="preserve"> países respondieron al </w:t>
            </w:r>
            <w:r w:rsidR="00A3100E" w:rsidRPr="00F767CD">
              <w:rPr>
                <w:rFonts w:asciiTheme="minorHAnsi" w:eastAsia="PMingLiU-ExtB" w:hAnsiTheme="minorHAnsi"/>
                <w:szCs w:val="24"/>
                <w:lang w:val="es-ES"/>
              </w:rPr>
              <w:t>c</w:t>
            </w:r>
            <w:r w:rsidRPr="00F767CD">
              <w:rPr>
                <w:rFonts w:asciiTheme="minorHAnsi" w:eastAsia="PMingLiU-ExtB" w:hAnsiTheme="minorHAnsi"/>
                <w:szCs w:val="24"/>
                <w:lang w:val="es-ES"/>
              </w:rPr>
              <w:t xml:space="preserve">uestionario corto </w:t>
            </w:r>
            <w:r w:rsidR="00451E8C" w:rsidRPr="00F767CD">
              <w:rPr>
                <w:rFonts w:asciiTheme="minorHAnsi" w:eastAsia="PMingLiU-ExtB" w:hAnsiTheme="minorHAnsi"/>
                <w:szCs w:val="24"/>
                <w:lang w:val="es-ES"/>
              </w:rPr>
              <w:t xml:space="preserve">sobre TIC en el hogar </w:t>
            </w:r>
            <w:r w:rsidR="001638DF" w:rsidRPr="00F767CD">
              <w:rPr>
                <w:rFonts w:asciiTheme="minorHAnsi" w:eastAsia="PMingLiU-ExtB" w:hAnsiTheme="minorHAnsi"/>
                <w:szCs w:val="24"/>
                <w:lang w:val="es-ES"/>
              </w:rPr>
              <w:t xml:space="preserve">de 2018 </w:t>
            </w:r>
            <w:r w:rsidRPr="00F767CD">
              <w:rPr>
                <w:rFonts w:asciiTheme="minorHAnsi" w:eastAsia="PMingLiU-ExtB" w:hAnsiTheme="minorHAnsi"/>
                <w:szCs w:val="24"/>
                <w:lang w:val="es-ES"/>
              </w:rPr>
              <w:t>y 1</w:t>
            </w:r>
            <w:r w:rsidR="00451E8C" w:rsidRPr="00F767CD">
              <w:rPr>
                <w:rFonts w:asciiTheme="minorHAnsi" w:eastAsia="PMingLiU-ExtB" w:hAnsiTheme="minorHAnsi"/>
                <w:szCs w:val="24"/>
                <w:lang w:val="es-ES"/>
              </w:rPr>
              <w:t>49</w:t>
            </w:r>
            <w:r w:rsidRPr="00F767CD">
              <w:rPr>
                <w:rFonts w:asciiTheme="minorHAnsi" w:eastAsia="PMingLiU-ExtB" w:hAnsiTheme="minorHAnsi"/>
                <w:szCs w:val="24"/>
                <w:lang w:val="es-ES"/>
              </w:rPr>
              <w:t xml:space="preserve"> países respondieron al Cuestionario sobre precios de las TIC </w:t>
            </w:r>
            <w:r w:rsidR="00C461C3" w:rsidRPr="00F767CD">
              <w:rPr>
                <w:rFonts w:asciiTheme="minorHAnsi" w:eastAsia="PMingLiU-ExtB" w:hAnsiTheme="minorHAnsi"/>
                <w:szCs w:val="24"/>
                <w:lang w:val="es-ES"/>
              </w:rPr>
              <w:t xml:space="preserve">de </w:t>
            </w:r>
            <w:r w:rsidRPr="00F767CD">
              <w:rPr>
                <w:rFonts w:asciiTheme="minorHAnsi" w:eastAsia="PMingLiU-ExtB" w:hAnsiTheme="minorHAnsi"/>
                <w:szCs w:val="24"/>
                <w:lang w:val="es-ES"/>
              </w:rPr>
              <w:t>201</w:t>
            </w:r>
            <w:r w:rsidR="00C461C3" w:rsidRPr="00F767CD">
              <w:rPr>
                <w:rFonts w:asciiTheme="minorHAnsi" w:eastAsia="PMingLiU-ExtB" w:hAnsiTheme="minorHAnsi"/>
                <w:szCs w:val="24"/>
                <w:lang w:val="es-ES"/>
              </w:rPr>
              <w:t>8</w:t>
            </w:r>
            <w:r w:rsidRPr="00F767CD">
              <w:rPr>
                <w:rFonts w:asciiTheme="minorHAnsi" w:eastAsia="PMingLiU-ExtB" w:hAnsiTheme="minorHAnsi"/>
                <w:szCs w:val="24"/>
                <w:lang w:val="es-ES"/>
              </w:rPr>
              <w:t>.</w:t>
            </w:r>
            <w:bookmarkEnd w:id="66"/>
          </w:p>
          <w:p w:rsidR="00C461C3" w:rsidRPr="00F767CD" w:rsidRDefault="001565B4" w:rsidP="00483815">
            <w:pPr>
              <w:pStyle w:val="enumlev1"/>
              <w:spacing w:after="120"/>
              <w:rPr>
                <w:rFonts w:asciiTheme="minorHAnsi" w:eastAsia="PMingLiU-ExtB" w:hAnsiTheme="minorHAnsi"/>
                <w:szCs w:val="24"/>
                <w:lang w:val="es-ES"/>
              </w:rPr>
            </w:pPr>
            <w:r w:rsidRPr="00F767CD">
              <w:rPr>
                <w:rFonts w:asciiTheme="minorHAnsi" w:eastAsia="PMingLiU-ExtB" w:hAnsiTheme="minorHAnsi" w:cstheme="minorHAnsi"/>
                <w:szCs w:val="24"/>
                <w:lang w:val="es-ES"/>
              </w:rPr>
              <w:t>–</w:t>
            </w:r>
            <w:r w:rsidRPr="00F767CD">
              <w:rPr>
                <w:rFonts w:asciiTheme="minorHAnsi" w:eastAsia="PMingLiU-ExtB" w:hAnsiTheme="minorHAnsi" w:cstheme="minorHAnsi"/>
                <w:szCs w:val="24"/>
                <w:lang w:val="es-ES"/>
              </w:rPr>
              <w:tab/>
            </w:r>
            <w:r w:rsidR="00451E8C" w:rsidRPr="00F767CD">
              <w:rPr>
                <w:rFonts w:asciiTheme="minorHAnsi" w:eastAsia="PMingLiU-ExtB" w:hAnsiTheme="minorHAnsi" w:cstheme="minorHAnsi"/>
                <w:szCs w:val="24"/>
                <w:lang w:val="es-ES"/>
              </w:rPr>
              <w:t xml:space="preserve">Una edición de finales de 2018 de las estimaciones a </w:t>
            </w:r>
            <w:r w:rsidR="00C461C3" w:rsidRPr="00F767CD">
              <w:rPr>
                <w:rFonts w:asciiTheme="minorHAnsi" w:eastAsia="PMingLiU-ExtB" w:hAnsiTheme="minorHAnsi" w:cstheme="minorHAnsi"/>
                <w:szCs w:val="24"/>
                <w:lang w:val="es-ES"/>
              </w:rPr>
              <w:t>nivel</w:t>
            </w:r>
            <w:r w:rsidR="00451E8C" w:rsidRPr="00F767CD">
              <w:rPr>
                <w:rFonts w:asciiTheme="minorHAnsi" w:eastAsia="PMingLiU-ExtB" w:hAnsiTheme="minorHAnsi" w:cstheme="minorHAnsi"/>
                <w:szCs w:val="24"/>
                <w:lang w:val="es-ES"/>
              </w:rPr>
              <w:t xml:space="preserve"> regional y mundial de los indicadores de TIC más importantes, incluidos </w:t>
            </w:r>
            <w:r w:rsidR="00C461C3" w:rsidRPr="00F767CD">
              <w:rPr>
                <w:rFonts w:asciiTheme="minorHAnsi" w:eastAsia="PMingLiU-ExtB" w:hAnsiTheme="minorHAnsi" w:cstheme="minorHAnsi"/>
                <w:szCs w:val="24"/>
                <w:lang w:val="es-ES"/>
              </w:rPr>
              <w:t>el dato porcentual</w:t>
            </w:r>
            <w:r w:rsidR="00451E8C" w:rsidRPr="00F767CD">
              <w:rPr>
                <w:rFonts w:asciiTheme="minorHAnsi" w:eastAsia="PMingLiU-ExtB" w:hAnsiTheme="minorHAnsi" w:cstheme="minorHAnsi"/>
                <w:szCs w:val="24"/>
                <w:lang w:val="es-ES"/>
              </w:rPr>
              <w:t xml:space="preserve"> de población q</w:t>
            </w:r>
            <w:r w:rsidR="00C461C3" w:rsidRPr="00F767CD">
              <w:rPr>
                <w:rFonts w:asciiTheme="minorHAnsi" w:eastAsia="PMingLiU-ExtB" w:hAnsiTheme="minorHAnsi" w:cstheme="minorHAnsi"/>
                <w:szCs w:val="24"/>
                <w:lang w:val="es-ES"/>
              </w:rPr>
              <w:t>u</w:t>
            </w:r>
            <w:r w:rsidR="00451E8C" w:rsidRPr="00F767CD">
              <w:rPr>
                <w:rFonts w:asciiTheme="minorHAnsi" w:eastAsia="PMingLiU-ExtB" w:hAnsiTheme="minorHAnsi" w:cstheme="minorHAnsi"/>
                <w:szCs w:val="24"/>
                <w:lang w:val="es-ES"/>
              </w:rPr>
              <w:t>e utili</w:t>
            </w:r>
            <w:r w:rsidR="00C461C3" w:rsidRPr="00F767CD">
              <w:rPr>
                <w:rFonts w:asciiTheme="minorHAnsi" w:eastAsia="PMingLiU-ExtB" w:hAnsiTheme="minorHAnsi" w:cstheme="minorHAnsi"/>
                <w:szCs w:val="24"/>
                <w:lang w:val="es-ES"/>
              </w:rPr>
              <w:t>z</w:t>
            </w:r>
            <w:r w:rsidR="00451E8C" w:rsidRPr="00F767CD">
              <w:rPr>
                <w:rFonts w:asciiTheme="minorHAnsi" w:eastAsia="PMingLiU-ExtB" w:hAnsiTheme="minorHAnsi" w:cstheme="minorHAnsi"/>
                <w:szCs w:val="24"/>
                <w:lang w:val="es-ES"/>
              </w:rPr>
              <w:t>a Internet que super</w:t>
            </w:r>
            <w:r w:rsidR="00C461C3" w:rsidRPr="00F767CD">
              <w:rPr>
                <w:rFonts w:asciiTheme="minorHAnsi" w:eastAsia="PMingLiU-ExtB" w:hAnsiTheme="minorHAnsi" w:cstheme="minorHAnsi"/>
                <w:szCs w:val="24"/>
                <w:lang w:val="es-ES"/>
              </w:rPr>
              <w:t>ó</w:t>
            </w:r>
            <w:r w:rsidR="00451E8C" w:rsidRPr="00F767CD">
              <w:rPr>
                <w:rFonts w:asciiTheme="minorHAnsi" w:eastAsia="PMingLiU-ExtB" w:hAnsiTheme="minorHAnsi" w:cstheme="minorHAnsi"/>
                <w:szCs w:val="24"/>
                <w:lang w:val="es-ES"/>
              </w:rPr>
              <w:t xml:space="preserve"> el 50 % en 2018.</w:t>
            </w:r>
          </w:p>
          <w:p w:rsidR="001565B4" w:rsidRPr="00F767CD" w:rsidRDefault="001565B4" w:rsidP="00483815">
            <w:pPr>
              <w:pStyle w:val="enumlev1"/>
              <w:spacing w:after="120"/>
              <w:rPr>
                <w:rFonts w:asciiTheme="minorHAnsi" w:eastAsia="PMingLiU-ExtB" w:hAnsiTheme="minorHAnsi"/>
                <w:szCs w:val="24"/>
                <w:lang w:val="es-ES"/>
              </w:rPr>
            </w:pPr>
            <w:r w:rsidRPr="00F767CD">
              <w:rPr>
                <w:rFonts w:asciiTheme="minorHAnsi" w:eastAsia="PMingLiU-ExtB" w:hAnsiTheme="minorHAnsi" w:cstheme="minorHAnsi"/>
                <w:szCs w:val="24"/>
                <w:lang w:val="es-ES"/>
              </w:rPr>
              <w:t>–</w:t>
            </w:r>
            <w:r w:rsidRPr="00F767CD">
              <w:rPr>
                <w:rFonts w:asciiTheme="minorHAnsi" w:eastAsia="PMingLiU-ExtB" w:hAnsiTheme="minorHAnsi" w:cstheme="minorHAnsi"/>
                <w:szCs w:val="24"/>
                <w:lang w:val="es-ES"/>
              </w:rPr>
              <w:tab/>
            </w:r>
            <w:r w:rsidR="00C461C3" w:rsidRPr="00F767CD">
              <w:rPr>
                <w:rFonts w:asciiTheme="minorHAnsi" w:eastAsia="PMingLiU-ExtB" w:hAnsiTheme="minorHAnsi" w:cstheme="minorHAnsi"/>
                <w:szCs w:val="24"/>
                <w:lang w:val="es-ES"/>
              </w:rPr>
              <w:t xml:space="preserve">El Informe Medición de la Sociedad de la Información 2018 se publicó durante el SMIT-18 y contiene el análisis de las </w:t>
            </w:r>
            <w:r w:rsidR="003D64DD">
              <w:rPr>
                <w:rFonts w:asciiTheme="minorHAnsi" w:eastAsia="PMingLiU-ExtB" w:hAnsiTheme="minorHAnsi" w:cstheme="minorHAnsi"/>
                <w:szCs w:val="24"/>
                <w:lang w:val="es-ES"/>
              </w:rPr>
              <w:t>mediciones</w:t>
            </w:r>
            <w:r w:rsidR="00C461C3" w:rsidRPr="00F767CD">
              <w:rPr>
                <w:rFonts w:asciiTheme="minorHAnsi" w:eastAsia="PMingLiU-ExtB" w:hAnsiTheme="minorHAnsi" w:cstheme="minorHAnsi"/>
                <w:szCs w:val="24"/>
                <w:lang w:val="es-ES"/>
              </w:rPr>
              <w:t xml:space="preserve"> de competencias TIC</w:t>
            </w:r>
            <w:r w:rsidR="003D64DD">
              <w:rPr>
                <w:rFonts w:asciiTheme="minorHAnsi" w:eastAsia="PMingLiU-ExtB" w:hAnsiTheme="minorHAnsi" w:cstheme="minorHAnsi"/>
                <w:szCs w:val="24"/>
                <w:lang w:val="es-ES"/>
              </w:rPr>
              <w:t>,</w:t>
            </w:r>
            <w:r w:rsidR="00C461C3" w:rsidRPr="00F767CD">
              <w:rPr>
                <w:rFonts w:asciiTheme="minorHAnsi" w:eastAsia="PMingLiU-ExtB" w:hAnsiTheme="minorHAnsi" w:cstheme="minorHAnsi"/>
                <w:szCs w:val="24"/>
                <w:lang w:val="es-ES"/>
              </w:rPr>
              <w:t xml:space="preserve"> utilizando resultados </w:t>
            </w:r>
            <w:r w:rsidR="003D64DD">
              <w:rPr>
                <w:rFonts w:asciiTheme="minorHAnsi" w:eastAsia="PMingLiU-ExtB" w:hAnsiTheme="minorHAnsi" w:cstheme="minorHAnsi"/>
                <w:szCs w:val="24"/>
                <w:lang w:val="es-ES"/>
              </w:rPr>
              <w:t xml:space="preserve">obtenidos con </w:t>
            </w:r>
            <w:r w:rsidR="00C461C3" w:rsidRPr="00F767CD">
              <w:rPr>
                <w:rFonts w:asciiTheme="minorHAnsi" w:eastAsia="PMingLiU-ExtB" w:hAnsiTheme="minorHAnsi" w:cstheme="minorHAnsi"/>
                <w:szCs w:val="24"/>
                <w:lang w:val="es-ES"/>
              </w:rPr>
              <w:t xml:space="preserve">los datos de hogares </w:t>
            </w:r>
            <w:r w:rsidR="003D64DD">
              <w:rPr>
                <w:rFonts w:asciiTheme="minorHAnsi" w:eastAsia="PMingLiU-ExtB" w:hAnsiTheme="minorHAnsi" w:cstheme="minorHAnsi"/>
                <w:szCs w:val="24"/>
                <w:lang w:val="es-ES"/>
              </w:rPr>
              <w:t xml:space="preserve">de la UIT </w:t>
            </w:r>
            <w:r w:rsidR="00C461C3" w:rsidRPr="00F767CD">
              <w:rPr>
                <w:rFonts w:asciiTheme="minorHAnsi" w:eastAsia="PMingLiU-ExtB" w:hAnsiTheme="minorHAnsi" w:cstheme="minorHAnsi"/>
                <w:szCs w:val="24"/>
                <w:lang w:val="es-ES"/>
              </w:rPr>
              <w:t>y</w:t>
            </w:r>
            <w:r w:rsidR="003D64DD">
              <w:rPr>
                <w:rFonts w:asciiTheme="minorHAnsi" w:eastAsia="PMingLiU-ExtB" w:hAnsiTheme="minorHAnsi" w:cstheme="minorHAnsi"/>
                <w:szCs w:val="24"/>
                <w:lang w:val="es-ES"/>
              </w:rPr>
              <w:t xml:space="preserve"> de</w:t>
            </w:r>
            <w:r w:rsidR="00C461C3" w:rsidRPr="00F767CD">
              <w:rPr>
                <w:rFonts w:asciiTheme="minorHAnsi" w:eastAsia="PMingLiU-ExtB" w:hAnsiTheme="minorHAnsi" w:cstheme="minorHAnsi"/>
                <w:szCs w:val="24"/>
                <w:lang w:val="es-ES"/>
              </w:rPr>
              <w:t xml:space="preserve"> otras fuentes, análisis de ingresos e inversiones en el sector de las telecomunicaciones y diferentes medidas que la UIT recopila para </w:t>
            </w:r>
            <w:r w:rsidR="0030073E" w:rsidRPr="00F767CD">
              <w:rPr>
                <w:rFonts w:asciiTheme="minorHAnsi" w:eastAsia="PMingLiU-ExtB" w:hAnsiTheme="minorHAnsi" w:cstheme="minorHAnsi"/>
                <w:szCs w:val="24"/>
                <w:lang w:val="es-ES"/>
              </w:rPr>
              <w:t>realizar el seguimiento</w:t>
            </w:r>
            <w:r w:rsidR="00C461C3" w:rsidRPr="00F767CD">
              <w:rPr>
                <w:rFonts w:asciiTheme="minorHAnsi" w:eastAsia="PMingLiU-ExtB" w:hAnsiTheme="minorHAnsi" w:cstheme="minorHAnsi"/>
                <w:szCs w:val="24"/>
                <w:lang w:val="es-ES"/>
              </w:rPr>
              <w:t xml:space="preserve"> y </w:t>
            </w:r>
            <w:r w:rsidR="0030073E" w:rsidRPr="00F767CD">
              <w:rPr>
                <w:rFonts w:asciiTheme="minorHAnsi" w:eastAsia="PMingLiU-ExtB" w:hAnsiTheme="minorHAnsi" w:cstheme="minorHAnsi"/>
                <w:szCs w:val="24"/>
                <w:lang w:val="es-ES"/>
              </w:rPr>
              <w:t>la comparación d</w:t>
            </w:r>
            <w:r w:rsidR="00C461C3" w:rsidRPr="00F767CD">
              <w:rPr>
                <w:rFonts w:asciiTheme="minorHAnsi" w:eastAsia="PMingLiU-ExtB" w:hAnsiTheme="minorHAnsi" w:cstheme="minorHAnsi"/>
                <w:szCs w:val="24"/>
                <w:lang w:val="es-ES"/>
              </w:rPr>
              <w:t>el precio y la asequibilidad de los servicios de TIC en el mundo. Este</w:t>
            </w:r>
            <w:r w:rsidRPr="00F767CD">
              <w:rPr>
                <w:rFonts w:asciiTheme="minorHAnsi" w:eastAsia="PMingLiU-ExtB" w:hAnsiTheme="minorHAnsi" w:cstheme="minorHAnsi"/>
                <w:szCs w:val="24"/>
                <w:lang w:val="es-ES"/>
              </w:rPr>
              <w:t xml:space="preserve"> Informe ha </w:t>
            </w:r>
            <w:r w:rsidR="00C461C3" w:rsidRPr="00F767CD">
              <w:rPr>
                <w:rFonts w:asciiTheme="minorHAnsi" w:eastAsia="PMingLiU-ExtB" w:hAnsiTheme="minorHAnsi" w:cstheme="minorHAnsi"/>
                <w:szCs w:val="24"/>
                <w:lang w:val="es-ES"/>
              </w:rPr>
              <w:t xml:space="preserve">ayudado a </w:t>
            </w:r>
            <w:r w:rsidR="001638DF">
              <w:rPr>
                <w:rFonts w:asciiTheme="minorHAnsi" w:eastAsia="PMingLiU-ExtB" w:hAnsiTheme="minorHAnsi" w:cstheme="minorHAnsi"/>
                <w:szCs w:val="24"/>
                <w:lang w:val="es-ES"/>
              </w:rPr>
              <w:t>ampliar</w:t>
            </w:r>
            <w:r w:rsidRPr="00F767CD">
              <w:rPr>
                <w:rFonts w:asciiTheme="minorHAnsi" w:eastAsia="PMingLiU-ExtB" w:hAnsiTheme="minorHAnsi" w:cstheme="minorHAnsi"/>
                <w:szCs w:val="24"/>
                <w:lang w:val="es-ES"/>
              </w:rPr>
              <w:t xml:space="preserve"> el conocimiento de los responsables de políticas, los inversores y los profesionales del negocio sobre las tendencias actuales </w:t>
            </w:r>
            <w:r w:rsidR="00C461C3" w:rsidRPr="00F767CD">
              <w:rPr>
                <w:rFonts w:asciiTheme="minorHAnsi" w:eastAsia="PMingLiU-ExtB" w:hAnsiTheme="minorHAnsi" w:cstheme="minorHAnsi"/>
                <w:szCs w:val="24"/>
                <w:lang w:val="es-ES"/>
              </w:rPr>
              <w:t xml:space="preserve">del mercado de </w:t>
            </w:r>
            <w:r w:rsidRPr="00F767CD">
              <w:rPr>
                <w:rFonts w:asciiTheme="minorHAnsi" w:eastAsia="PMingLiU-ExtB" w:hAnsiTheme="minorHAnsi" w:cstheme="minorHAnsi"/>
                <w:szCs w:val="24"/>
                <w:lang w:val="es-ES"/>
              </w:rPr>
              <w:t xml:space="preserve">TIC, permitiéndoles tomar decisiones con conocimiento de causa y proporcionando un análisis </w:t>
            </w:r>
            <w:r w:rsidR="00C461C3" w:rsidRPr="00F767CD">
              <w:rPr>
                <w:rFonts w:asciiTheme="minorHAnsi" w:eastAsia="PMingLiU-ExtB" w:hAnsiTheme="minorHAnsi" w:cstheme="minorHAnsi"/>
                <w:szCs w:val="24"/>
                <w:lang w:val="es-ES"/>
              </w:rPr>
              <w:t>preciso</w:t>
            </w:r>
            <w:r w:rsidRPr="00F767CD">
              <w:rPr>
                <w:rFonts w:asciiTheme="minorHAnsi" w:eastAsia="PMingLiU-ExtB" w:hAnsiTheme="minorHAnsi" w:cstheme="minorHAnsi"/>
                <w:szCs w:val="24"/>
                <w:lang w:val="es-ES"/>
              </w:rPr>
              <w:t xml:space="preserve"> de la evolución de las telecomunicaciones/TIC en el mundo.</w:t>
            </w:r>
          </w:p>
          <w:p w:rsidR="00E55103" w:rsidRPr="00F767CD" w:rsidRDefault="00E55103" w:rsidP="00483815">
            <w:pPr>
              <w:rPr>
                <w:rFonts w:asciiTheme="minorHAnsi" w:hAnsiTheme="minorHAnsi"/>
                <w:szCs w:val="24"/>
                <w:lang w:val="es-ES"/>
              </w:rPr>
            </w:pPr>
            <w:r w:rsidRPr="00F767CD">
              <w:rPr>
                <w:rFonts w:asciiTheme="minorHAnsi" w:hAnsiTheme="minorHAnsi"/>
                <w:szCs w:val="24"/>
                <w:lang w:val="es-ES"/>
              </w:rPr>
              <w:t xml:space="preserve">Las actividades de la UIT en el ámbito de este </w:t>
            </w:r>
            <w:r w:rsidR="001638DF" w:rsidRPr="00F767CD">
              <w:rPr>
                <w:rFonts w:asciiTheme="minorHAnsi" w:hAnsiTheme="minorHAnsi"/>
                <w:szCs w:val="24"/>
                <w:lang w:val="es-ES"/>
              </w:rPr>
              <w:t xml:space="preserve">producto </w:t>
            </w:r>
            <w:r w:rsidRPr="00F767CD">
              <w:rPr>
                <w:rFonts w:asciiTheme="minorHAnsi" w:hAnsiTheme="minorHAnsi"/>
                <w:szCs w:val="24"/>
                <w:lang w:val="es-ES"/>
              </w:rPr>
              <w:t xml:space="preserve">han </w:t>
            </w:r>
            <w:r w:rsidR="00C461C3" w:rsidRPr="00F767CD">
              <w:rPr>
                <w:rFonts w:asciiTheme="minorHAnsi" w:hAnsiTheme="minorHAnsi"/>
                <w:szCs w:val="24"/>
                <w:lang w:val="es-ES"/>
              </w:rPr>
              <w:t>seguido contribuyendo</w:t>
            </w:r>
            <w:r w:rsidRPr="00F767CD">
              <w:rPr>
                <w:rFonts w:asciiTheme="minorHAnsi" w:hAnsiTheme="minorHAnsi"/>
                <w:szCs w:val="24"/>
                <w:lang w:val="es-ES"/>
              </w:rPr>
              <w:t xml:space="preserve"> a incrementar la cooperación y mejorar las metodologías y las normas internacionales sobre estadísticas de TIC mediante el trabajo del Grupo de Expertos en Indicadores de Telecomunicaciones/TIC (GEIT) y el Grupo de Expertos sobre Indicadores de TIC en el Hogar (GEH). </w:t>
            </w:r>
            <w:bookmarkStart w:id="67" w:name="lt_pId412"/>
            <w:r w:rsidRPr="00F767CD">
              <w:rPr>
                <w:rFonts w:asciiTheme="minorHAnsi" w:hAnsiTheme="minorHAnsi"/>
                <w:szCs w:val="24"/>
                <w:lang w:val="es-ES"/>
              </w:rPr>
              <w:t xml:space="preserve">Las reuniones del </w:t>
            </w:r>
            <w:r w:rsidR="003D64DD">
              <w:rPr>
                <w:rFonts w:asciiTheme="minorHAnsi" w:hAnsiTheme="minorHAnsi"/>
                <w:szCs w:val="24"/>
                <w:lang w:val="es-ES"/>
              </w:rPr>
              <w:t>GEIT</w:t>
            </w:r>
            <w:r w:rsidRPr="00F767CD">
              <w:rPr>
                <w:rFonts w:asciiTheme="minorHAnsi" w:hAnsiTheme="minorHAnsi"/>
                <w:szCs w:val="24"/>
                <w:lang w:val="es-ES"/>
              </w:rPr>
              <w:t xml:space="preserve"> y del GEH se celebraron </w:t>
            </w:r>
            <w:r w:rsidR="00C461C3" w:rsidRPr="00F767CD">
              <w:rPr>
                <w:rFonts w:asciiTheme="minorHAnsi" w:hAnsiTheme="minorHAnsi"/>
                <w:szCs w:val="24"/>
                <w:lang w:val="es-ES"/>
              </w:rPr>
              <w:t>en Ginebra</w:t>
            </w:r>
            <w:r w:rsidR="003D64DD">
              <w:rPr>
                <w:rFonts w:asciiTheme="minorHAnsi" w:hAnsiTheme="minorHAnsi"/>
                <w:szCs w:val="24"/>
                <w:lang w:val="es-ES"/>
              </w:rPr>
              <w:t xml:space="preserve"> (Suiza)</w:t>
            </w:r>
            <w:r w:rsidR="00C461C3" w:rsidRPr="00F767CD">
              <w:rPr>
                <w:rFonts w:asciiTheme="minorHAnsi" w:hAnsiTheme="minorHAnsi"/>
                <w:szCs w:val="24"/>
                <w:lang w:val="es-ES"/>
              </w:rPr>
              <w:t xml:space="preserve"> en octubre de 2018</w:t>
            </w:r>
            <w:r w:rsidRPr="00F767CD">
              <w:rPr>
                <w:rFonts w:asciiTheme="minorHAnsi" w:hAnsiTheme="minorHAnsi"/>
                <w:szCs w:val="24"/>
                <w:lang w:val="es-ES"/>
              </w:rPr>
              <w:t xml:space="preserve">. Asistieron a las reuniones </w:t>
            </w:r>
            <w:bookmarkStart w:id="68" w:name="lt_pId413"/>
            <w:bookmarkEnd w:id="67"/>
            <w:r w:rsidR="003D64DD">
              <w:rPr>
                <w:rFonts w:asciiTheme="minorHAnsi" w:hAnsiTheme="minorHAnsi"/>
                <w:szCs w:val="24"/>
                <w:lang w:val="es-ES"/>
              </w:rPr>
              <w:t>cerca de</w:t>
            </w:r>
            <w:r w:rsidRPr="00F767CD">
              <w:rPr>
                <w:rFonts w:asciiTheme="minorHAnsi" w:hAnsiTheme="minorHAnsi"/>
                <w:szCs w:val="24"/>
                <w:lang w:val="es-ES"/>
              </w:rPr>
              <w:t xml:space="preserve"> 1</w:t>
            </w:r>
            <w:r w:rsidR="00C461C3" w:rsidRPr="00F767CD">
              <w:rPr>
                <w:rFonts w:asciiTheme="minorHAnsi" w:hAnsiTheme="minorHAnsi"/>
                <w:szCs w:val="24"/>
                <w:lang w:val="es-ES"/>
              </w:rPr>
              <w:t>3</w:t>
            </w:r>
            <w:r w:rsidRPr="00F767CD">
              <w:rPr>
                <w:rFonts w:asciiTheme="minorHAnsi" w:hAnsiTheme="minorHAnsi"/>
                <w:szCs w:val="24"/>
                <w:lang w:val="es-ES"/>
              </w:rPr>
              <w:t>0 expertos en estadístic</w:t>
            </w:r>
            <w:r w:rsidR="00E307D0">
              <w:rPr>
                <w:rFonts w:asciiTheme="minorHAnsi" w:hAnsiTheme="minorHAnsi"/>
                <w:szCs w:val="24"/>
                <w:lang w:val="es-ES"/>
              </w:rPr>
              <w:t>a procedentes de ministerios de </w:t>
            </w:r>
            <w:r w:rsidRPr="00F767CD">
              <w:rPr>
                <w:rFonts w:asciiTheme="minorHAnsi" w:hAnsiTheme="minorHAnsi"/>
                <w:szCs w:val="24"/>
                <w:lang w:val="es-ES"/>
              </w:rPr>
              <w:t xml:space="preserve">TIC, oficinas nacionales de estadística, reguladores de telecomunicaciones y organizaciones internacionales de </w:t>
            </w:r>
            <w:r w:rsidR="00C461C3" w:rsidRPr="00F767CD">
              <w:rPr>
                <w:rFonts w:asciiTheme="minorHAnsi" w:hAnsiTheme="minorHAnsi"/>
                <w:szCs w:val="24"/>
                <w:lang w:val="es-ES"/>
              </w:rPr>
              <w:t>54</w:t>
            </w:r>
            <w:r w:rsidRPr="00F767CD">
              <w:rPr>
                <w:rFonts w:asciiTheme="minorHAnsi" w:hAnsiTheme="minorHAnsi"/>
                <w:szCs w:val="24"/>
                <w:lang w:val="es-ES"/>
              </w:rPr>
              <w:t xml:space="preserve"> países, que debatieron acerca de la mejor manera de efectuar el seguimiento del acceso y la utilización de las TIC a nivel </w:t>
            </w:r>
            <w:r w:rsidR="003D64DD">
              <w:rPr>
                <w:rFonts w:asciiTheme="minorHAnsi" w:hAnsiTheme="minorHAnsi"/>
                <w:szCs w:val="24"/>
                <w:lang w:val="es-ES"/>
              </w:rPr>
              <w:t>de los hogares y las personas</w:t>
            </w:r>
            <w:r w:rsidRPr="00F767CD">
              <w:rPr>
                <w:rFonts w:asciiTheme="minorHAnsi" w:hAnsiTheme="minorHAnsi"/>
                <w:szCs w:val="24"/>
                <w:lang w:val="es-ES"/>
              </w:rPr>
              <w:t xml:space="preserve">, la manera en que se pueden utilizar los datos procedentes de los proveedores de servicios de TIC para informar a los </w:t>
            </w:r>
            <w:r w:rsidR="0030073E" w:rsidRPr="00F767CD">
              <w:rPr>
                <w:rFonts w:asciiTheme="minorHAnsi" w:hAnsiTheme="minorHAnsi"/>
                <w:szCs w:val="24"/>
                <w:lang w:val="es-ES"/>
              </w:rPr>
              <w:t xml:space="preserve">responsables de </w:t>
            </w:r>
            <w:r w:rsidRPr="00F767CD">
              <w:rPr>
                <w:rFonts w:asciiTheme="minorHAnsi" w:hAnsiTheme="minorHAnsi"/>
                <w:szCs w:val="24"/>
                <w:lang w:val="es-ES"/>
              </w:rPr>
              <w:t>polític</w:t>
            </w:r>
            <w:r w:rsidR="0030073E" w:rsidRPr="00F767CD">
              <w:rPr>
                <w:rFonts w:asciiTheme="minorHAnsi" w:hAnsiTheme="minorHAnsi"/>
                <w:szCs w:val="24"/>
                <w:lang w:val="es-ES"/>
              </w:rPr>
              <w:t>a</w:t>
            </w:r>
            <w:r w:rsidRPr="00F767CD">
              <w:rPr>
                <w:rFonts w:asciiTheme="minorHAnsi" w:hAnsiTheme="minorHAnsi"/>
                <w:szCs w:val="24"/>
                <w:lang w:val="es-ES"/>
              </w:rPr>
              <w:t>s y reguladores y para supervisar y propiciar el desarrollo de las TIC.</w:t>
            </w:r>
            <w:bookmarkEnd w:id="68"/>
          </w:p>
          <w:p w:rsidR="00E55103" w:rsidRPr="00F767CD" w:rsidRDefault="00E55103" w:rsidP="00483815">
            <w:pPr>
              <w:rPr>
                <w:lang w:val="es-ES"/>
              </w:rPr>
            </w:pPr>
            <w:r w:rsidRPr="00F767CD">
              <w:rPr>
                <w:rFonts w:asciiTheme="minorHAnsi" w:hAnsiTheme="minorHAnsi"/>
                <w:szCs w:val="24"/>
                <w:lang w:val="es-ES"/>
              </w:rPr>
              <w:lastRenderedPageBreak/>
              <w:t>Se incrementó la capacidad y las competencias de los productores de estadísticas de TIC para la recolección de datos, la producción y análisis de indicadores de TIC comparables a escala internacional, mediante varias actividades de capacitación, entre las que se cuentan las siguientes:</w:t>
            </w:r>
          </w:p>
          <w:p w:rsidR="00E55103" w:rsidRPr="00F767CD" w:rsidRDefault="00E55103" w:rsidP="00483815">
            <w:pPr>
              <w:pStyle w:val="enumlev1"/>
              <w:spacing w:after="120"/>
              <w:rPr>
                <w:rFonts w:asciiTheme="minorHAnsi" w:eastAsia="PMingLiU-ExtB" w:hAnsiTheme="minorHAnsi" w:cstheme="minorHAnsi"/>
                <w:szCs w:val="24"/>
                <w:lang w:val="es-ES"/>
              </w:rPr>
            </w:pPr>
            <w:bookmarkStart w:id="69" w:name="lt_pId415"/>
            <w:r w:rsidRPr="00F767CD">
              <w:rPr>
                <w:rFonts w:asciiTheme="minorHAnsi" w:eastAsia="PMingLiU-ExtB" w:hAnsiTheme="minorHAnsi" w:cstheme="minorHAnsi"/>
                <w:szCs w:val="24"/>
                <w:lang w:val="es-ES"/>
              </w:rPr>
              <w:t>–</w:t>
            </w:r>
            <w:r w:rsidRPr="00F767CD">
              <w:rPr>
                <w:rFonts w:asciiTheme="minorHAnsi" w:eastAsia="PMingLiU-ExtB" w:hAnsiTheme="minorHAnsi" w:cstheme="minorHAnsi"/>
                <w:szCs w:val="24"/>
                <w:lang w:val="es-ES"/>
              </w:rPr>
              <w:tab/>
            </w:r>
            <w:r w:rsidR="0030073E" w:rsidRPr="00F767CD">
              <w:rPr>
                <w:rFonts w:asciiTheme="minorHAnsi" w:eastAsia="PMingLiU-ExtB" w:hAnsiTheme="minorHAnsi" w:cstheme="minorHAnsi"/>
                <w:szCs w:val="24"/>
                <w:lang w:val="es-ES"/>
              </w:rPr>
              <w:t xml:space="preserve">Taller regional sobre estadísticas de las TIC para la </w:t>
            </w:r>
            <w:r w:rsidR="003D64DD">
              <w:rPr>
                <w:rFonts w:asciiTheme="minorHAnsi" w:eastAsia="PMingLiU-ExtB" w:hAnsiTheme="minorHAnsi" w:cstheme="minorHAnsi"/>
                <w:szCs w:val="24"/>
                <w:lang w:val="es-ES"/>
              </w:rPr>
              <w:t xml:space="preserve">Región </w:t>
            </w:r>
            <w:r w:rsidR="0030073E" w:rsidRPr="00F767CD">
              <w:rPr>
                <w:rFonts w:asciiTheme="minorHAnsi" w:eastAsia="PMingLiU-ExtB" w:hAnsiTheme="minorHAnsi" w:cstheme="minorHAnsi"/>
                <w:szCs w:val="24"/>
                <w:lang w:val="es-ES"/>
              </w:rPr>
              <w:t>CEI en</w:t>
            </w:r>
            <w:r w:rsidR="001565B4" w:rsidRPr="00F767CD">
              <w:rPr>
                <w:rFonts w:asciiTheme="minorHAnsi" w:eastAsia="PMingLiU-ExtB" w:hAnsiTheme="minorHAnsi" w:cstheme="minorHAnsi"/>
                <w:szCs w:val="24"/>
                <w:lang w:val="es-ES"/>
              </w:rPr>
              <w:t xml:space="preserve"> Almaty, </w:t>
            </w:r>
            <w:r w:rsidR="0030073E" w:rsidRPr="00F767CD">
              <w:rPr>
                <w:rFonts w:asciiTheme="minorHAnsi" w:eastAsia="PMingLiU-ExtB" w:hAnsiTheme="minorHAnsi" w:cstheme="minorHAnsi"/>
                <w:szCs w:val="24"/>
                <w:lang w:val="es-ES"/>
              </w:rPr>
              <w:t>Kazajstán</w:t>
            </w:r>
            <w:r w:rsidR="001565B4" w:rsidRPr="00F767CD">
              <w:rPr>
                <w:rFonts w:asciiTheme="minorHAnsi" w:eastAsia="PMingLiU-ExtB" w:hAnsiTheme="minorHAnsi" w:cstheme="minorHAnsi"/>
                <w:szCs w:val="24"/>
                <w:lang w:val="es-ES"/>
              </w:rPr>
              <w:t>;</w:t>
            </w:r>
            <w:bookmarkEnd w:id="69"/>
          </w:p>
          <w:p w:rsidR="00E55103" w:rsidRPr="00F767CD" w:rsidRDefault="00E55103" w:rsidP="00483815">
            <w:pPr>
              <w:pStyle w:val="enumlev1"/>
              <w:keepNext/>
              <w:spacing w:after="120"/>
              <w:rPr>
                <w:rFonts w:asciiTheme="minorHAnsi" w:hAnsiTheme="minorHAnsi" w:cstheme="minorHAnsi"/>
                <w:szCs w:val="24"/>
                <w:lang w:val="es-ES"/>
              </w:rPr>
            </w:pPr>
            <w:r w:rsidRPr="00F767CD">
              <w:rPr>
                <w:rFonts w:asciiTheme="minorHAnsi" w:hAnsiTheme="minorHAnsi" w:cstheme="minorHAnsi"/>
                <w:szCs w:val="24"/>
                <w:lang w:val="es-ES"/>
              </w:rPr>
              <w:t>–</w:t>
            </w:r>
            <w:r w:rsidRPr="00F767CD">
              <w:rPr>
                <w:rFonts w:asciiTheme="minorHAnsi" w:hAnsiTheme="minorHAnsi" w:cstheme="minorHAnsi"/>
                <w:szCs w:val="24"/>
                <w:lang w:val="es-ES"/>
              </w:rPr>
              <w:tab/>
            </w:r>
            <w:r w:rsidR="0030073E" w:rsidRPr="00F767CD">
              <w:rPr>
                <w:rFonts w:asciiTheme="minorHAnsi" w:hAnsiTheme="minorHAnsi" w:cstheme="minorHAnsi"/>
                <w:szCs w:val="24"/>
                <w:lang w:val="es-ES"/>
              </w:rPr>
              <w:t xml:space="preserve">Taller regional sobre estadísticas de las TIC para la Región </w:t>
            </w:r>
            <w:r w:rsidR="001565B4" w:rsidRPr="00F767CD">
              <w:rPr>
                <w:rFonts w:asciiTheme="minorHAnsi" w:hAnsiTheme="minorHAnsi" w:cstheme="minorHAnsi"/>
                <w:szCs w:val="24"/>
                <w:lang w:val="es-ES"/>
              </w:rPr>
              <w:t>Asia-</w:t>
            </w:r>
            <w:r w:rsidR="0030073E" w:rsidRPr="00F767CD">
              <w:rPr>
                <w:rFonts w:asciiTheme="minorHAnsi" w:hAnsiTheme="minorHAnsi" w:cstheme="minorHAnsi"/>
                <w:szCs w:val="24"/>
                <w:lang w:val="es-ES"/>
              </w:rPr>
              <w:t>Pacifico</w:t>
            </w:r>
            <w:r w:rsidR="001565B4" w:rsidRPr="00F767CD">
              <w:rPr>
                <w:rFonts w:asciiTheme="minorHAnsi" w:hAnsiTheme="minorHAnsi" w:cstheme="minorHAnsi"/>
                <w:szCs w:val="24"/>
                <w:lang w:val="es-ES"/>
              </w:rPr>
              <w:t xml:space="preserve"> </w:t>
            </w:r>
            <w:r w:rsidR="0030073E" w:rsidRPr="00F767CD">
              <w:rPr>
                <w:rFonts w:asciiTheme="minorHAnsi" w:hAnsiTheme="minorHAnsi" w:cstheme="minorHAnsi"/>
                <w:szCs w:val="24"/>
                <w:lang w:val="es-ES"/>
              </w:rPr>
              <w:t>en</w:t>
            </w:r>
            <w:r w:rsidR="001565B4" w:rsidRPr="00F767CD">
              <w:rPr>
                <w:rFonts w:asciiTheme="minorHAnsi" w:hAnsiTheme="minorHAnsi" w:cstheme="minorHAnsi"/>
                <w:szCs w:val="24"/>
                <w:lang w:val="es-ES"/>
              </w:rPr>
              <w:t xml:space="preserve"> Manila, </w:t>
            </w:r>
            <w:r w:rsidR="0030073E" w:rsidRPr="00F767CD">
              <w:rPr>
                <w:rFonts w:asciiTheme="minorHAnsi" w:hAnsiTheme="minorHAnsi" w:cstheme="minorHAnsi"/>
                <w:szCs w:val="24"/>
                <w:lang w:val="es-ES"/>
              </w:rPr>
              <w:t>Filipinas</w:t>
            </w:r>
            <w:r w:rsidR="001565B4" w:rsidRPr="00F767CD">
              <w:rPr>
                <w:rFonts w:asciiTheme="minorHAnsi" w:hAnsiTheme="minorHAnsi" w:cstheme="minorHAnsi"/>
                <w:szCs w:val="24"/>
                <w:lang w:val="es-ES"/>
              </w:rPr>
              <w:t>;</w:t>
            </w:r>
          </w:p>
          <w:p w:rsidR="00E55103" w:rsidRPr="00F767CD" w:rsidRDefault="00E55103" w:rsidP="00483815">
            <w:pPr>
              <w:pStyle w:val="enumlev1"/>
              <w:spacing w:after="120"/>
              <w:rPr>
                <w:rFonts w:asciiTheme="minorHAnsi" w:eastAsia="PMingLiU-ExtB" w:hAnsiTheme="minorHAnsi"/>
                <w:szCs w:val="24"/>
                <w:lang w:val="es-ES"/>
              </w:rPr>
            </w:pPr>
            <w:bookmarkStart w:id="70" w:name="lt_pId417"/>
            <w:r w:rsidRPr="00F767CD">
              <w:rPr>
                <w:rFonts w:asciiTheme="minorHAnsi" w:eastAsia="PMingLiU-ExtB" w:hAnsiTheme="minorHAnsi" w:cstheme="minorHAnsi"/>
                <w:szCs w:val="24"/>
                <w:lang w:val="es-ES"/>
              </w:rPr>
              <w:t>–</w:t>
            </w:r>
            <w:r w:rsidRPr="00F767CD">
              <w:rPr>
                <w:rFonts w:asciiTheme="minorHAnsi" w:eastAsia="PMingLiU-ExtB" w:hAnsiTheme="minorHAnsi"/>
                <w:szCs w:val="24"/>
                <w:lang w:val="es-ES"/>
              </w:rPr>
              <w:tab/>
            </w:r>
            <w:r w:rsidR="0030073E" w:rsidRPr="00F767CD">
              <w:rPr>
                <w:rFonts w:asciiTheme="minorHAnsi" w:eastAsia="PMingLiU-ExtB" w:hAnsiTheme="minorHAnsi"/>
                <w:szCs w:val="24"/>
                <w:lang w:val="es-ES"/>
              </w:rPr>
              <w:t>Taller regional sobre estadísticas de las TIC para la Región África</w:t>
            </w:r>
            <w:r w:rsidR="001565B4" w:rsidRPr="00F767CD">
              <w:rPr>
                <w:rFonts w:asciiTheme="minorHAnsi" w:eastAsia="PMingLiU-ExtB" w:hAnsiTheme="minorHAnsi"/>
                <w:szCs w:val="24"/>
                <w:lang w:val="es-ES"/>
              </w:rPr>
              <w:t xml:space="preserve"> </w:t>
            </w:r>
            <w:r w:rsidR="0030073E" w:rsidRPr="00F767CD">
              <w:rPr>
                <w:rFonts w:asciiTheme="minorHAnsi" w:eastAsia="PMingLiU-ExtB" w:hAnsiTheme="minorHAnsi"/>
                <w:szCs w:val="24"/>
                <w:lang w:val="es-ES"/>
              </w:rPr>
              <w:t>en</w:t>
            </w:r>
            <w:r w:rsidR="001565B4" w:rsidRPr="00F767CD">
              <w:rPr>
                <w:rFonts w:asciiTheme="minorHAnsi" w:eastAsia="PMingLiU-ExtB" w:hAnsiTheme="minorHAnsi"/>
                <w:szCs w:val="24"/>
                <w:lang w:val="es-ES"/>
              </w:rPr>
              <w:t xml:space="preserve"> Lilongwe, Malawi;</w:t>
            </w:r>
            <w:bookmarkEnd w:id="70"/>
          </w:p>
          <w:p w:rsidR="001565B4" w:rsidRPr="00F767CD" w:rsidRDefault="001565B4" w:rsidP="00483815">
            <w:pPr>
              <w:pStyle w:val="enumlev1"/>
              <w:spacing w:after="120"/>
              <w:rPr>
                <w:rFonts w:asciiTheme="minorHAnsi" w:hAnsiTheme="minorHAnsi"/>
                <w:szCs w:val="24"/>
                <w:lang w:val="es-ES"/>
              </w:rPr>
            </w:pPr>
            <w:r w:rsidRPr="00F767CD">
              <w:rPr>
                <w:rFonts w:asciiTheme="minorHAnsi" w:hAnsiTheme="minorHAnsi"/>
                <w:szCs w:val="24"/>
                <w:lang w:val="es-ES"/>
              </w:rPr>
              <w:t>–</w:t>
            </w:r>
            <w:r w:rsidRPr="00F767CD">
              <w:rPr>
                <w:rFonts w:asciiTheme="minorHAnsi" w:hAnsiTheme="minorHAnsi"/>
                <w:szCs w:val="24"/>
                <w:lang w:val="es-ES"/>
              </w:rPr>
              <w:tab/>
            </w:r>
            <w:r w:rsidR="0030073E" w:rsidRPr="00F767CD">
              <w:rPr>
                <w:rFonts w:asciiTheme="minorHAnsi" w:hAnsiTheme="minorHAnsi"/>
                <w:szCs w:val="24"/>
                <w:lang w:val="es-ES"/>
              </w:rPr>
              <w:t xml:space="preserve">Taller regional sobre estadísticas de las TIC para los Estados Árabes en </w:t>
            </w:r>
            <w:r w:rsidRPr="00F767CD">
              <w:rPr>
                <w:rFonts w:asciiTheme="minorHAnsi" w:hAnsiTheme="minorHAnsi"/>
                <w:szCs w:val="24"/>
                <w:lang w:val="es-ES"/>
              </w:rPr>
              <w:t xml:space="preserve">Manama, </w:t>
            </w:r>
            <w:r w:rsidR="0030073E" w:rsidRPr="00F767CD">
              <w:rPr>
                <w:rFonts w:asciiTheme="minorHAnsi" w:hAnsiTheme="minorHAnsi"/>
                <w:szCs w:val="24"/>
                <w:lang w:val="es-ES"/>
              </w:rPr>
              <w:t>Bahrein</w:t>
            </w:r>
            <w:r w:rsidRPr="00F767CD">
              <w:rPr>
                <w:rFonts w:asciiTheme="minorHAnsi" w:hAnsiTheme="minorHAnsi"/>
                <w:szCs w:val="24"/>
                <w:lang w:val="es-ES"/>
              </w:rPr>
              <w:t>;</w:t>
            </w:r>
          </w:p>
          <w:p w:rsidR="001565B4" w:rsidRPr="00F767CD" w:rsidRDefault="001565B4" w:rsidP="00483815">
            <w:pPr>
              <w:pStyle w:val="enumlev1"/>
              <w:spacing w:after="120"/>
              <w:rPr>
                <w:rFonts w:asciiTheme="minorHAnsi" w:hAnsiTheme="minorHAnsi"/>
                <w:szCs w:val="24"/>
                <w:lang w:val="es-ES"/>
              </w:rPr>
            </w:pPr>
            <w:r w:rsidRPr="00F767CD">
              <w:rPr>
                <w:rFonts w:asciiTheme="minorHAnsi" w:hAnsiTheme="minorHAnsi"/>
                <w:szCs w:val="24"/>
                <w:lang w:val="es-ES"/>
              </w:rPr>
              <w:t>–</w:t>
            </w:r>
            <w:r w:rsidRPr="00F767CD">
              <w:rPr>
                <w:rFonts w:asciiTheme="minorHAnsi" w:hAnsiTheme="minorHAnsi"/>
                <w:szCs w:val="24"/>
                <w:lang w:val="es-ES"/>
              </w:rPr>
              <w:tab/>
            </w:r>
            <w:r w:rsidR="0030073E" w:rsidRPr="00F767CD">
              <w:rPr>
                <w:rFonts w:asciiTheme="minorHAnsi" w:hAnsiTheme="minorHAnsi"/>
                <w:szCs w:val="24"/>
                <w:lang w:val="es-ES"/>
              </w:rPr>
              <w:t>Taller subregional sobre estadísticas de las TIC para los países del Pacífico en</w:t>
            </w:r>
            <w:r w:rsidRPr="00F767CD">
              <w:rPr>
                <w:rFonts w:asciiTheme="minorHAnsi" w:hAnsiTheme="minorHAnsi"/>
                <w:szCs w:val="24"/>
                <w:lang w:val="es-ES"/>
              </w:rPr>
              <w:t xml:space="preserve"> Nadi, Fiji;</w:t>
            </w:r>
          </w:p>
          <w:p w:rsidR="001565B4" w:rsidRPr="00F767CD" w:rsidRDefault="001565B4" w:rsidP="00483815">
            <w:pPr>
              <w:pStyle w:val="enumlev1"/>
              <w:spacing w:after="120"/>
              <w:rPr>
                <w:rFonts w:asciiTheme="minorHAnsi" w:hAnsiTheme="minorHAnsi"/>
                <w:szCs w:val="24"/>
                <w:lang w:val="es-ES"/>
              </w:rPr>
            </w:pPr>
            <w:r w:rsidRPr="00F767CD">
              <w:rPr>
                <w:rFonts w:asciiTheme="minorHAnsi" w:hAnsiTheme="minorHAnsi"/>
                <w:szCs w:val="24"/>
                <w:lang w:val="es-ES"/>
              </w:rPr>
              <w:t>–</w:t>
            </w:r>
            <w:r w:rsidRPr="00F767CD">
              <w:rPr>
                <w:rFonts w:asciiTheme="minorHAnsi" w:hAnsiTheme="minorHAnsi"/>
                <w:szCs w:val="24"/>
                <w:lang w:val="es-ES"/>
              </w:rPr>
              <w:tab/>
            </w:r>
            <w:r w:rsidR="0030073E" w:rsidRPr="00F767CD">
              <w:rPr>
                <w:rFonts w:asciiTheme="minorHAnsi" w:hAnsiTheme="minorHAnsi"/>
                <w:szCs w:val="24"/>
                <w:lang w:val="es-ES"/>
              </w:rPr>
              <w:t>Taller regional sobre estadísticas de las TIC para la Comunidad para el Desarrollo del África Meridional (SADC) e</w:t>
            </w:r>
            <w:r w:rsidRPr="00F767CD">
              <w:rPr>
                <w:rFonts w:asciiTheme="minorHAnsi" w:hAnsiTheme="minorHAnsi"/>
                <w:szCs w:val="24"/>
                <w:lang w:val="es-ES"/>
              </w:rPr>
              <w:t>n Botswana.</w:t>
            </w:r>
          </w:p>
        </w:tc>
      </w:tr>
      <w:tr w:rsidR="00E55103" w:rsidRPr="00F767CD" w:rsidTr="009009A1">
        <w:tc>
          <w:tcPr>
            <w:tcW w:w="2830" w:type="dxa"/>
          </w:tcPr>
          <w:p w:rsidR="00E55103" w:rsidRPr="00F767CD" w:rsidRDefault="00E55103" w:rsidP="00483815">
            <w:pPr>
              <w:spacing w:before="60" w:after="60"/>
              <w:rPr>
                <w:rFonts w:asciiTheme="minorHAnsi" w:hAnsiTheme="minorHAnsi"/>
                <w:i/>
                <w:iCs/>
                <w:szCs w:val="24"/>
                <w:lang w:val="es-ES"/>
              </w:rPr>
            </w:pPr>
            <w:r w:rsidRPr="00F767CD">
              <w:rPr>
                <w:rFonts w:asciiTheme="minorHAnsi" w:hAnsiTheme="minorHAnsi"/>
                <w:i/>
                <w:iCs/>
                <w:szCs w:val="24"/>
                <w:lang w:val="es-ES"/>
              </w:rPr>
              <w:lastRenderedPageBreak/>
              <w:t>CMDT</w:t>
            </w:r>
          </w:p>
        </w:tc>
        <w:tc>
          <w:tcPr>
            <w:tcW w:w="6798" w:type="dxa"/>
          </w:tcPr>
          <w:p w:rsidR="00E55103" w:rsidRPr="00F767CD" w:rsidRDefault="00E55103" w:rsidP="00483815">
            <w:pPr>
              <w:spacing w:before="60" w:after="60"/>
              <w:rPr>
                <w:rFonts w:asciiTheme="minorHAnsi" w:hAnsiTheme="minorHAnsi"/>
                <w:szCs w:val="24"/>
                <w:lang w:val="es-ES"/>
              </w:rPr>
            </w:pPr>
            <w:bookmarkStart w:id="71" w:name="lt_pId419"/>
            <w:r w:rsidRPr="00F767CD">
              <w:rPr>
                <w:rFonts w:asciiTheme="minorHAnsi" w:hAnsiTheme="minorHAnsi"/>
                <w:szCs w:val="24"/>
                <w:lang w:val="es-ES"/>
              </w:rPr>
              <w:t>Resoluciones 1, 5, 8, 30, 33, 37, 43, 50, 51, 52, 57, 59, 60</w:t>
            </w:r>
            <w:bookmarkEnd w:id="71"/>
          </w:p>
        </w:tc>
      </w:tr>
      <w:tr w:rsidR="00E55103" w:rsidRPr="004E44DD" w:rsidTr="009009A1">
        <w:tc>
          <w:tcPr>
            <w:tcW w:w="2830" w:type="dxa"/>
          </w:tcPr>
          <w:p w:rsidR="00E55103" w:rsidRPr="00F767CD" w:rsidRDefault="00E55103" w:rsidP="00483815">
            <w:pPr>
              <w:spacing w:before="60" w:after="60"/>
              <w:rPr>
                <w:rFonts w:asciiTheme="minorHAnsi" w:hAnsiTheme="minorHAnsi"/>
                <w:i/>
                <w:iCs/>
                <w:szCs w:val="24"/>
                <w:lang w:val="es-ES"/>
              </w:rPr>
            </w:pPr>
            <w:r w:rsidRPr="00F767CD">
              <w:rPr>
                <w:rFonts w:asciiTheme="minorHAnsi" w:eastAsia="PMingLiU-ExtB" w:hAnsiTheme="minorHAnsi"/>
                <w:i/>
                <w:iCs/>
                <w:szCs w:val="24"/>
                <w:lang w:val="es-ES"/>
              </w:rPr>
              <w:t>Conferencia</w:t>
            </w:r>
            <w:r w:rsidRPr="00F767CD">
              <w:rPr>
                <w:rFonts w:asciiTheme="minorHAnsi" w:hAnsiTheme="minorHAnsi"/>
                <w:i/>
                <w:iCs/>
                <w:szCs w:val="24"/>
                <w:lang w:val="es-ES"/>
              </w:rPr>
              <w:t xml:space="preserve"> de Plenipotenciarios</w:t>
            </w:r>
          </w:p>
        </w:tc>
        <w:tc>
          <w:tcPr>
            <w:tcW w:w="6798" w:type="dxa"/>
          </w:tcPr>
          <w:p w:rsidR="00E55103" w:rsidRPr="00F767CD" w:rsidRDefault="00E55103" w:rsidP="00483815">
            <w:pPr>
              <w:spacing w:before="60" w:after="60"/>
              <w:rPr>
                <w:rFonts w:asciiTheme="minorHAnsi" w:hAnsiTheme="minorHAnsi" w:cstheme="minorHAnsi"/>
                <w:szCs w:val="24"/>
                <w:lang w:val="es-ES"/>
              </w:rPr>
            </w:pPr>
            <w:bookmarkStart w:id="72" w:name="lt_pId421"/>
            <w:r w:rsidRPr="00F767CD">
              <w:rPr>
                <w:rFonts w:asciiTheme="minorHAnsi" w:hAnsiTheme="minorHAnsi" w:cstheme="minorHAnsi"/>
                <w:szCs w:val="24"/>
                <w:lang w:val="es-ES"/>
              </w:rPr>
              <w:t xml:space="preserve">Decisiones </w:t>
            </w:r>
            <w:bookmarkEnd w:id="72"/>
            <w:r w:rsidRPr="00F767CD">
              <w:rPr>
                <w:rFonts w:asciiTheme="minorHAnsi" w:eastAsia="PMingLiU-ExtB" w:hAnsiTheme="minorHAnsi" w:cstheme="minorHAnsi"/>
                <w:szCs w:val="24"/>
                <w:lang w:val="es-ES"/>
              </w:rPr>
              <w:t>de la PP</w:t>
            </w:r>
            <w:r w:rsidR="0030073E" w:rsidRPr="00F767CD">
              <w:rPr>
                <w:rFonts w:asciiTheme="minorHAnsi" w:eastAsia="PMingLiU-ExtB" w:hAnsiTheme="minorHAnsi" w:cstheme="minorHAnsi"/>
                <w:szCs w:val="24"/>
                <w:lang w:val="es-ES"/>
              </w:rPr>
              <w:t xml:space="preserve">: </w:t>
            </w:r>
            <w:r w:rsidR="0030073E" w:rsidRPr="00F767CD">
              <w:rPr>
                <w:rFonts w:asciiTheme="minorHAnsi" w:hAnsiTheme="minorHAnsi" w:cstheme="minorHAnsi"/>
                <w:szCs w:val="24"/>
                <w:lang w:val="es-ES"/>
              </w:rPr>
              <w:t>5, 13</w:t>
            </w:r>
          </w:p>
          <w:p w:rsidR="00E55103" w:rsidRPr="00F767CD" w:rsidRDefault="00E55103" w:rsidP="00483815">
            <w:pPr>
              <w:spacing w:before="60" w:after="60"/>
              <w:rPr>
                <w:rFonts w:asciiTheme="minorHAnsi" w:hAnsiTheme="minorHAnsi" w:cstheme="minorHAnsi"/>
                <w:szCs w:val="24"/>
                <w:lang w:val="es-ES"/>
              </w:rPr>
            </w:pPr>
            <w:bookmarkStart w:id="73" w:name="lt_pId422"/>
            <w:r w:rsidRPr="00F767CD">
              <w:rPr>
                <w:rFonts w:asciiTheme="minorHAnsi" w:hAnsiTheme="minorHAnsi" w:cstheme="minorHAnsi"/>
                <w:szCs w:val="24"/>
                <w:lang w:val="es-ES"/>
              </w:rPr>
              <w:t>Resoluciones</w:t>
            </w:r>
            <w:r w:rsidRPr="00F767CD">
              <w:rPr>
                <w:rFonts w:asciiTheme="minorHAnsi" w:eastAsia="PMingLiU-ExtB" w:hAnsiTheme="minorHAnsi" w:cstheme="minorHAnsi"/>
                <w:szCs w:val="24"/>
                <w:lang w:val="es-ES"/>
              </w:rPr>
              <w:t xml:space="preserve"> de la PP:</w:t>
            </w:r>
            <w:r w:rsidRPr="00F767CD">
              <w:rPr>
                <w:rFonts w:asciiTheme="minorHAnsi" w:hAnsiTheme="minorHAnsi" w:cstheme="minorHAnsi"/>
                <w:szCs w:val="24"/>
                <w:lang w:val="es-ES"/>
              </w:rPr>
              <w:t xml:space="preserve"> 25, 71, 72, 137, 139, 140, 176, 188, 189, 197, 199, 202</w:t>
            </w:r>
            <w:bookmarkEnd w:id="73"/>
          </w:p>
        </w:tc>
      </w:tr>
      <w:tr w:rsidR="00E55103" w:rsidRPr="004E44DD" w:rsidTr="009009A1">
        <w:tc>
          <w:tcPr>
            <w:tcW w:w="2830" w:type="dxa"/>
          </w:tcPr>
          <w:p w:rsidR="00E55103" w:rsidRPr="00F767CD" w:rsidRDefault="00E55103" w:rsidP="00483815">
            <w:pPr>
              <w:spacing w:before="60" w:after="60"/>
              <w:rPr>
                <w:i/>
                <w:iCs/>
                <w:szCs w:val="24"/>
                <w:lang w:val="es-ES"/>
              </w:rPr>
            </w:pPr>
            <w:r w:rsidRPr="00F767CD">
              <w:rPr>
                <w:rFonts w:asciiTheme="minorHAnsi" w:hAnsiTheme="minorHAnsi"/>
                <w:i/>
                <w:iCs/>
                <w:szCs w:val="24"/>
                <w:lang w:val="es-ES"/>
              </w:rPr>
              <w:t>Línea de Acción de la CMSI</w:t>
            </w:r>
          </w:p>
        </w:tc>
        <w:tc>
          <w:tcPr>
            <w:tcW w:w="6798" w:type="dxa"/>
          </w:tcPr>
          <w:p w:rsidR="00E55103" w:rsidRPr="00F767CD" w:rsidRDefault="00E55103" w:rsidP="00483815">
            <w:pPr>
              <w:spacing w:before="60" w:after="60"/>
              <w:rPr>
                <w:szCs w:val="24"/>
                <w:lang w:val="es-ES"/>
              </w:rPr>
            </w:pPr>
            <w:r w:rsidRPr="00F767CD">
              <w:rPr>
                <w:rFonts w:asciiTheme="minorHAnsi" w:hAnsiTheme="minorHAnsi"/>
                <w:szCs w:val="24"/>
                <w:lang w:val="es-ES"/>
              </w:rPr>
              <w:t>Las estadísticas de telecomunicaciones/TIC son relevantes para el control de la implementación de todas las Líneas de Acción de la CMSI del Plan de Acción de Ginebra y se hace referencia en los párrafos 112-119 de la Agenda de Túnez para la Sociedad de la Información, así como en el párrafo 70 del Documento final de la Reunión de Alto Nivel de la Asamblea de las Naciones Unidas sobre el examen general de la aplicación de los resultados de la CMSI.</w:t>
            </w:r>
          </w:p>
        </w:tc>
      </w:tr>
      <w:tr w:rsidR="00E55103" w:rsidRPr="004E44DD" w:rsidTr="009009A1">
        <w:tc>
          <w:tcPr>
            <w:tcW w:w="2830" w:type="dxa"/>
          </w:tcPr>
          <w:p w:rsidR="00E55103" w:rsidRPr="00F767CD" w:rsidRDefault="00E55103" w:rsidP="00483815">
            <w:pPr>
              <w:spacing w:before="60" w:after="60"/>
              <w:rPr>
                <w:rFonts w:asciiTheme="minorHAnsi" w:hAnsiTheme="minorHAnsi"/>
                <w:i/>
                <w:iCs/>
                <w:szCs w:val="24"/>
                <w:lang w:val="es-ES"/>
              </w:rPr>
            </w:pPr>
            <w:r w:rsidRPr="00F767CD">
              <w:rPr>
                <w:rFonts w:asciiTheme="minorHAnsi" w:eastAsia="PMingLiU-ExtB" w:hAnsiTheme="minorHAnsi"/>
                <w:i/>
                <w:iCs/>
                <w:szCs w:val="24"/>
                <w:lang w:val="es-ES"/>
              </w:rPr>
              <w:t>Contribución</w:t>
            </w:r>
            <w:r w:rsidRPr="00F767CD">
              <w:rPr>
                <w:rFonts w:asciiTheme="minorHAnsi" w:hAnsiTheme="minorHAnsi"/>
                <w:i/>
                <w:iCs/>
                <w:szCs w:val="24"/>
                <w:lang w:val="es-ES"/>
              </w:rPr>
              <w:t xml:space="preserve"> a las metas de los ODS</w:t>
            </w:r>
          </w:p>
        </w:tc>
        <w:tc>
          <w:tcPr>
            <w:tcW w:w="6798" w:type="dxa"/>
          </w:tcPr>
          <w:p w:rsidR="00E55103" w:rsidRPr="00F767CD" w:rsidRDefault="00E55103" w:rsidP="00483815">
            <w:pPr>
              <w:spacing w:before="60" w:after="60"/>
              <w:rPr>
                <w:rFonts w:asciiTheme="minorHAnsi" w:hAnsiTheme="minorHAnsi"/>
                <w:szCs w:val="24"/>
                <w:lang w:val="es-ES"/>
              </w:rPr>
            </w:pPr>
            <w:r w:rsidRPr="00F767CD">
              <w:rPr>
                <w:rFonts w:asciiTheme="minorHAnsi" w:hAnsiTheme="minorHAnsi"/>
                <w:szCs w:val="24"/>
                <w:lang w:val="es-ES"/>
              </w:rPr>
              <w:t>Las estadísticas de telecomunicaciones/TIC son relevantes para el control de la implementación de todos los ODS y se hace referencia en los párrafos 48, 57, 74-76, 83 de la Agenda 2030 para el Desarrollo Sostenible.</w:t>
            </w:r>
          </w:p>
        </w:tc>
      </w:tr>
    </w:tbl>
    <w:p w:rsidR="00E55103" w:rsidRPr="00F767CD" w:rsidRDefault="00E55103" w:rsidP="00483815">
      <w:pPr>
        <w:pStyle w:val="Heading2"/>
        <w:spacing w:after="120"/>
        <w:rPr>
          <w:lang w:val="es-ES"/>
        </w:rPr>
      </w:pPr>
      <w:r w:rsidRPr="00F767CD">
        <w:rPr>
          <w:lang w:val="es-ES"/>
        </w:rPr>
        <w:t>4.3</w:t>
      </w:r>
      <w:r w:rsidRPr="00F767CD">
        <w:rPr>
          <w:lang w:val="es-ES"/>
        </w:rPr>
        <w:tab/>
        <w:t xml:space="preserve">Integración digital de personas con necesidades especiales </w:t>
      </w:r>
    </w:p>
    <w:tbl>
      <w:tblPr>
        <w:tblStyle w:val="TableGrid"/>
        <w:tblW w:w="0" w:type="auto"/>
        <w:tblLook w:val="04A0" w:firstRow="1" w:lastRow="0" w:firstColumn="1" w:lastColumn="0" w:noHBand="0" w:noVBand="1"/>
      </w:tblPr>
      <w:tblGrid>
        <w:gridCol w:w="2830"/>
        <w:gridCol w:w="6798"/>
      </w:tblGrid>
      <w:tr w:rsidR="00E55103" w:rsidRPr="004E44DD" w:rsidTr="009009A1">
        <w:tc>
          <w:tcPr>
            <w:tcW w:w="9628" w:type="dxa"/>
            <w:gridSpan w:val="2"/>
          </w:tcPr>
          <w:p w:rsidR="0087052C" w:rsidRPr="00F767CD" w:rsidRDefault="0087052C" w:rsidP="00483815">
            <w:pPr>
              <w:spacing w:after="120"/>
              <w:rPr>
                <w:rFonts w:asciiTheme="minorHAnsi" w:hAnsiTheme="minorHAnsi" w:cstheme="minorHAnsi"/>
                <w:szCs w:val="24"/>
                <w:lang w:val="es-ES"/>
              </w:rPr>
            </w:pPr>
            <w:r w:rsidRPr="00F767CD">
              <w:rPr>
                <w:rFonts w:asciiTheme="minorHAnsi" w:hAnsiTheme="minorHAnsi" w:cstheme="minorHAnsi"/>
                <w:szCs w:val="24"/>
                <w:lang w:val="es-ES"/>
              </w:rPr>
              <w:t xml:space="preserve">La BDT compartió con todos los Miembros de la UIT estrategias innovadoras para la elaboración de sus estrategias nacionales de desarrollo de competencias digitales con la publicación del conjunto de herramientas de la UIT </w:t>
            </w:r>
            <w:r w:rsidR="008B194C" w:rsidRPr="00F767CD">
              <w:rPr>
                <w:rFonts w:asciiTheme="minorHAnsi" w:hAnsiTheme="minorHAnsi" w:cstheme="minorHAnsi"/>
                <w:szCs w:val="24"/>
                <w:lang w:val="es-ES"/>
              </w:rPr>
              <w:t>sobre</w:t>
            </w:r>
            <w:r w:rsidRPr="00F767CD">
              <w:rPr>
                <w:rFonts w:asciiTheme="minorHAnsi" w:hAnsiTheme="minorHAnsi" w:cstheme="minorHAnsi"/>
                <w:szCs w:val="24"/>
                <w:lang w:val="es-ES"/>
              </w:rPr>
              <w:t xml:space="preserve"> competencias digitales</w:t>
            </w:r>
            <w:r w:rsidR="008B194C" w:rsidRPr="00F767CD">
              <w:rPr>
                <w:rFonts w:asciiTheme="minorHAnsi" w:hAnsiTheme="minorHAnsi" w:cstheme="minorHAnsi"/>
                <w:szCs w:val="24"/>
                <w:lang w:val="es-ES"/>
              </w:rPr>
              <w:t>,</w:t>
            </w:r>
            <w:r w:rsidRPr="00F767CD">
              <w:rPr>
                <w:rFonts w:asciiTheme="minorHAnsi" w:hAnsiTheme="minorHAnsi" w:cstheme="minorHAnsi"/>
                <w:szCs w:val="24"/>
                <w:lang w:val="es-ES"/>
              </w:rPr>
              <w:t xml:space="preserve"> en el sitio web de la UIT. El conjunto de herramientas </w:t>
            </w:r>
            <w:r w:rsidR="008B194C" w:rsidRPr="00F767CD">
              <w:rPr>
                <w:rFonts w:asciiTheme="minorHAnsi" w:hAnsiTheme="minorHAnsi" w:cstheme="minorHAnsi"/>
                <w:szCs w:val="24"/>
                <w:lang w:val="es-ES"/>
              </w:rPr>
              <w:t>sobre</w:t>
            </w:r>
            <w:r w:rsidRPr="00F767CD">
              <w:rPr>
                <w:rFonts w:asciiTheme="minorHAnsi" w:hAnsiTheme="minorHAnsi" w:cstheme="minorHAnsi"/>
                <w:szCs w:val="24"/>
                <w:lang w:val="es-ES"/>
              </w:rPr>
              <w:t xml:space="preserve"> competencias digitales está publicado en los seis idiomas oficiales de la UIT y en versión e-pub y Kindle. </w:t>
            </w:r>
            <w:r w:rsidR="00972182" w:rsidRPr="00F767CD">
              <w:rPr>
                <w:rFonts w:asciiTheme="minorHAnsi" w:hAnsiTheme="minorHAnsi" w:cstheme="minorHAnsi"/>
                <w:szCs w:val="24"/>
                <w:lang w:val="es-ES"/>
              </w:rPr>
              <w:t xml:space="preserve">Se compartió información </w:t>
            </w:r>
            <w:r w:rsidR="008B194C" w:rsidRPr="00F767CD">
              <w:rPr>
                <w:rFonts w:asciiTheme="minorHAnsi" w:hAnsiTheme="minorHAnsi" w:cstheme="minorHAnsi"/>
                <w:szCs w:val="24"/>
                <w:lang w:val="es-ES"/>
              </w:rPr>
              <w:t xml:space="preserve">sobre el </w:t>
            </w:r>
            <w:r w:rsidRPr="00F767CD">
              <w:rPr>
                <w:rFonts w:asciiTheme="minorHAnsi" w:hAnsiTheme="minorHAnsi" w:cstheme="minorHAnsi"/>
                <w:szCs w:val="24"/>
                <w:lang w:val="es-ES"/>
              </w:rPr>
              <w:t xml:space="preserve">conjunto de herramientas </w:t>
            </w:r>
            <w:r w:rsidR="008B194C" w:rsidRPr="00F767CD">
              <w:rPr>
                <w:rFonts w:asciiTheme="minorHAnsi" w:hAnsiTheme="minorHAnsi" w:cstheme="minorHAnsi"/>
                <w:szCs w:val="24"/>
                <w:lang w:val="es-ES"/>
              </w:rPr>
              <w:t>sobre</w:t>
            </w:r>
            <w:r w:rsidRPr="00F767CD">
              <w:rPr>
                <w:rFonts w:asciiTheme="minorHAnsi" w:hAnsiTheme="minorHAnsi" w:cstheme="minorHAnsi"/>
                <w:szCs w:val="24"/>
                <w:lang w:val="es-ES"/>
              </w:rPr>
              <w:t xml:space="preserve"> competencias digitales</w:t>
            </w:r>
            <w:r w:rsidR="00972182" w:rsidRPr="00F767CD">
              <w:rPr>
                <w:rFonts w:asciiTheme="minorHAnsi" w:hAnsiTheme="minorHAnsi" w:cstheme="minorHAnsi"/>
                <w:szCs w:val="24"/>
                <w:lang w:val="es-ES"/>
              </w:rPr>
              <w:t>,</w:t>
            </w:r>
            <w:r w:rsidRPr="00F767CD">
              <w:rPr>
                <w:rFonts w:asciiTheme="minorHAnsi" w:hAnsiTheme="minorHAnsi" w:cstheme="minorHAnsi"/>
                <w:szCs w:val="24"/>
                <w:lang w:val="es-ES"/>
              </w:rPr>
              <w:t xml:space="preserve"> </w:t>
            </w:r>
            <w:r w:rsidR="008B194C" w:rsidRPr="00F767CD">
              <w:rPr>
                <w:rFonts w:asciiTheme="minorHAnsi" w:hAnsiTheme="minorHAnsi" w:cstheme="minorHAnsi"/>
                <w:szCs w:val="24"/>
                <w:lang w:val="es-ES"/>
              </w:rPr>
              <w:t xml:space="preserve">y </w:t>
            </w:r>
            <w:r w:rsidRPr="00F767CD">
              <w:rPr>
                <w:rFonts w:asciiTheme="minorHAnsi" w:hAnsiTheme="minorHAnsi" w:cstheme="minorHAnsi"/>
                <w:szCs w:val="24"/>
                <w:lang w:val="es-ES"/>
              </w:rPr>
              <w:t xml:space="preserve">la campaña conjunta de la UIT y la OIT </w:t>
            </w:r>
            <w:r w:rsidR="00E307D0">
              <w:rPr>
                <w:rFonts w:asciiTheme="minorHAnsi" w:hAnsiTheme="minorHAnsi" w:cstheme="minorHAnsi"/>
                <w:szCs w:val="24"/>
                <w:lang w:val="es-ES"/>
              </w:rPr>
              <w:t>"</w:t>
            </w:r>
            <w:r w:rsidRPr="00F767CD">
              <w:rPr>
                <w:rFonts w:asciiTheme="minorHAnsi" w:hAnsiTheme="minorHAnsi" w:cstheme="minorHAnsi"/>
                <w:szCs w:val="24"/>
                <w:lang w:val="es-ES"/>
              </w:rPr>
              <w:t>Habilidades digitales para el empleo</w:t>
            </w:r>
            <w:r w:rsidR="00E307D0">
              <w:rPr>
                <w:rFonts w:asciiTheme="minorHAnsi" w:hAnsiTheme="minorHAnsi" w:cstheme="minorHAnsi"/>
                <w:szCs w:val="24"/>
                <w:lang w:val="es-ES"/>
              </w:rPr>
              <w:t>"</w:t>
            </w:r>
            <w:r w:rsidRPr="00F767CD">
              <w:rPr>
                <w:rFonts w:asciiTheme="minorHAnsi" w:hAnsiTheme="minorHAnsi" w:cstheme="minorHAnsi"/>
                <w:szCs w:val="24"/>
                <w:lang w:val="es-ES"/>
              </w:rPr>
              <w:t xml:space="preserve"> de la iniciativa global para el empleo decente de los jóvenes</w:t>
            </w:r>
            <w:r w:rsidR="00972182" w:rsidRPr="00F767CD">
              <w:rPr>
                <w:rFonts w:asciiTheme="minorHAnsi" w:hAnsiTheme="minorHAnsi" w:cstheme="minorHAnsi"/>
                <w:szCs w:val="24"/>
                <w:lang w:val="es-ES"/>
              </w:rPr>
              <w:t xml:space="preserve"> </w:t>
            </w:r>
            <w:r w:rsidR="008B194C" w:rsidRPr="00F767CD">
              <w:rPr>
                <w:rFonts w:asciiTheme="minorHAnsi" w:hAnsiTheme="minorHAnsi" w:cstheme="minorHAnsi"/>
                <w:szCs w:val="24"/>
                <w:lang w:val="es-ES"/>
              </w:rPr>
              <w:t>que pretende</w:t>
            </w:r>
            <w:r w:rsidR="00972182" w:rsidRPr="00F767CD">
              <w:rPr>
                <w:rFonts w:asciiTheme="minorHAnsi" w:hAnsiTheme="minorHAnsi" w:cstheme="minorHAnsi"/>
                <w:szCs w:val="24"/>
                <w:lang w:val="es-ES"/>
              </w:rPr>
              <w:t xml:space="preserve"> incentivar a las partes </w:t>
            </w:r>
            <w:r w:rsidR="008B194C" w:rsidRPr="00F767CD">
              <w:rPr>
                <w:rFonts w:asciiTheme="minorHAnsi" w:hAnsiTheme="minorHAnsi" w:cstheme="minorHAnsi"/>
                <w:szCs w:val="24"/>
                <w:lang w:val="es-ES"/>
              </w:rPr>
              <w:t xml:space="preserve">interesadas </w:t>
            </w:r>
            <w:r w:rsidR="00972182" w:rsidRPr="00F767CD">
              <w:rPr>
                <w:rFonts w:asciiTheme="minorHAnsi" w:hAnsiTheme="minorHAnsi" w:cstheme="minorHAnsi"/>
                <w:szCs w:val="24"/>
                <w:lang w:val="es-ES"/>
              </w:rPr>
              <w:t>a formar a 5 millones de jóvenes mujeres y hombres en competencias digitales adaptad</w:t>
            </w:r>
            <w:r w:rsidR="007E093B">
              <w:rPr>
                <w:rFonts w:asciiTheme="minorHAnsi" w:hAnsiTheme="minorHAnsi" w:cstheme="minorHAnsi"/>
                <w:szCs w:val="24"/>
                <w:lang w:val="es-ES"/>
              </w:rPr>
              <w:t>a</w:t>
            </w:r>
            <w:r w:rsidR="00972182" w:rsidRPr="00F767CD">
              <w:rPr>
                <w:rFonts w:asciiTheme="minorHAnsi" w:hAnsiTheme="minorHAnsi" w:cstheme="minorHAnsi"/>
                <w:szCs w:val="24"/>
                <w:lang w:val="es-ES"/>
              </w:rPr>
              <w:t>s a la vida profesional. Esta información se compartió con 1 250 Miembros de la UIT y otras partes interesadas en varios eventos como el Diálogo de Alto Nivel sobre Habilidades digitales</w:t>
            </w:r>
            <w:r w:rsidR="008B194C" w:rsidRPr="00F767CD">
              <w:rPr>
                <w:rFonts w:asciiTheme="minorHAnsi" w:hAnsiTheme="minorHAnsi" w:cstheme="minorHAnsi"/>
                <w:szCs w:val="24"/>
                <w:lang w:val="es-ES"/>
              </w:rPr>
              <w:t xml:space="preserve"> de la CMSI</w:t>
            </w:r>
            <w:r w:rsidR="00972182" w:rsidRPr="00F767CD">
              <w:rPr>
                <w:rFonts w:asciiTheme="minorHAnsi" w:hAnsiTheme="minorHAnsi" w:cstheme="minorHAnsi"/>
                <w:szCs w:val="24"/>
                <w:lang w:val="es-ES"/>
              </w:rPr>
              <w:t xml:space="preserve">, la Semana de Aprendizaje </w:t>
            </w:r>
            <w:r w:rsidR="00972182" w:rsidRPr="00F767CD">
              <w:rPr>
                <w:rFonts w:asciiTheme="minorHAnsi" w:hAnsiTheme="minorHAnsi" w:cstheme="minorHAnsi"/>
                <w:szCs w:val="24"/>
                <w:lang w:val="es-ES"/>
              </w:rPr>
              <w:lastRenderedPageBreak/>
              <w:t>Móvil</w:t>
            </w:r>
            <w:r w:rsidR="00E307D0">
              <w:rPr>
                <w:rFonts w:ascii="Batang" w:eastAsia="Batang" w:hAnsi="Batang" w:cstheme="minorHAnsi"/>
                <w:szCs w:val="24"/>
                <w:lang w:val="es-ES"/>
              </w:rPr>
              <w:t> </w:t>
            </w:r>
            <w:r w:rsidR="00972182" w:rsidRPr="00F767CD">
              <w:rPr>
                <w:rFonts w:asciiTheme="minorHAnsi" w:hAnsiTheme="minorHAnsi" w:cstheme="minorHAnsi"/>
                <w:szCs w:val="24"/>
                <w:lang w:val="es-ES"/>
              </w:rPr>
              <w:t>2018 en París, el evento Competencias Digitales para todos: Acelerar la competitividad de Europa y el crecimiento inclusivo</w:t>
            </w:r>
            <w:r w:rsidR="008B194C" w:rsidRPr="00F767CD">
              <w:rPr>
                <w:rFonts w:asciiTheme="minorHAnsi" w:hAnsiTheme="minorHAnsi" w:cstheme="minorHAnsi"/>
                <w:szCs w:val="24"/>
                <w:lang w:val="es-ES"/>
              </w:rPr>
              <w:t>,</w:t>
            </w:r>
            <w:r w:rsidR="00972182" w:rsidRPr="00F767CD">
              <w:rPr>
                <w:rFonts w:asciiTheme="minorHAnsi" w:hAnsiTheme="minorHAnsi" w:cstheme="minorHAnsi"/>
                <w:szCs w:val="24"/>
                <w:lang w:val="es-ES"/>
              </w:rPr>
              <w:t xml:space="preserve"> en Bruselas (Bélgica), etc.</w:t>
            </w:r>
          </w:p>
          <w:p w:rsidR="008B194C" w:rsidRPr="00F767CD" w:rsidRDefault="008B194C" w:rsidP="00483815">
            <w:pPr>
              <w:spacing w:after="120"/>
              <w:rPr>
                <w:rFonts w:asciiTheme="minorHAnsi" w:hAnsiTheme="minorHAnsi" w:cstheme="minorHAnsi"/>
                <w:szCs w:val="24"/>
                <w:lang w:val="es-ES"/>
              </w:rPr>
            </w:pPr>
            <w:r w:rsidRPr="00F767CD">
              <w:rPr>
                <w:rFonts w:asciiTheme="minorHAnsi" w:hAnsiTheme="minorHAnsi" w:cstheme="minorHAnsi"/>
                <w:szCs w:val="24"/>
                <w:lang w:val="es-ES"/>
              </w:rPr>
              <w:t>131 países organizaron eventos del Día Internacional de las Niñas en las TIC en 2018, impulsando a 57 748 niñas que participaron en 2 186 eventos a ini</w:t>
            </w:r>
            <w:r w:rsidR="00E307D0">
              <w:rPr>
                <w:rFonts w:asciiTheme="minorHAnsi" w:hAnsiTheme="minorHAnsi" w:cstheme="minorHAnsi"/>
                <w:szCs w:val="24"/>
                <w:lang w:val="es-ES"/>
              </w:rPr>
              <w:t>ciar carreras y estudios en las </w:t>
            </w:r>
            <w:r w:rsidRPr="00F767CD">
              <w:rPr>
                <w:rFonts w:asciiTheme="minorHAnsi" w:hAnsiTheme="minorHAnsi" w:cstheme="minorHAnsi"/>
                <w:szCs w:val="24"/>
                <w:lang w:val="es-ES"/>
              </w:rPr>
              <w:t xml:space="preserve">TIC. Se organizaron eventos en 20 países en la </w:t>
            </w:r>
            <w:r w:rsidR="007E093B" w:rsidRPr="00F767CD">
              <w:rPr>
                <w:rFonts w:asciiTheme="minorHAnsi" w:hAnsiTheme="minorHAnsi" w:cstheme="minorHAnsi"/>
                <w:szCs w:val="24"/>
                <w:lang w:val="es-ES"/>
              </w:rPr>
              <w:t xml:space="preserve">Región </w:t>
            </w:r>
            <w:r w:rsidRPr="00F767CD">
              <w:rPr>
                <w:rFonts w:asciiTheme="minorHAnsi" w:hAnsiTheme="minorHAnsi" w:cstheme="minorHAnsi"/>
                <w:szCs w:val="24"/>
                <w:lang w:val="es-ES"/>
              </w:rPr>
              <w:t xml:space="preserve">de África, en 31 países en la </w:t>
            </w:r>
            <w:r w:rsidR="007E093B" w:rsidRPr="00F767CD">
              <w:rPr>
                <w:rFonts w:asciiTheme="minorHAnsi" w:hAnsiTheme="minorHAnsi" w:cstheme="minorHAnsi"/>
                <w:szCs w:val="24"/>
                <w:lang w:val="es-ES"/>
              </w:rPr>
              <w:t xml:space="preserve">Región </w:t>
            </w:r>
            <w:r w:rsidRPr="00F767CD">
              <w:rPr>
                <w:rFonts w:asciiTheme="minorHAnsi" w:hAnsiTheme="minorHAnsi" w:cstheme="minorHAnsi"/>
                <w:szCs w:val="24"/>
                <w:lang w:val="es-ES"/>
              </w:rPr>
              <w:t xml:space="preserve">de las Américas, </w:t>
            </w:r>
            <w:r w:rsidR="00F574C4" w:rsidRPr="00F767CD">
              <w:rPr>
                <w:rFonts w:asciiTheme="minorHAnsi" w:hAnsiTheme="minorHAnsi" w:cstheme="minorHAnsi"/>
                <w:szCs w:val="24"/>
                <w:lang w:val="es-ES"/>
              </w:rPr>
              <w:t xml:space="preserve">en 10 países en la </w:t>
            </w:r>
            <w:r w:rsidR="007E093B" w:rsidRPr="00F767CD">
              <w:rPr>
                <w:rFonts w:asciiTheme="minorHAnsi" w:hAnsiTheme="minorHAnsi" w:cstheme="minorHAnsi"/>
                <w:szCs w:val="24"/>
                <w:lang w:val="es-ES"/>
              </w:rPr>
              <w:t xml:space="preserve">Región </w:t>
            </w:r>
            <w:r w:rsidR="00F574C4" w:rsidRPr="00F767CD">
              <w:rPr>
                <w:rFonts w:asciiTheme="minorHAnsi" w:hAnsiTheme="minorHAnsi" w:cstheme="minorHAnsi"/>
                <w:szCs w:val="24"/>
                <w:lang w:val="es-ES"/>
              </w:rPr>
              <w:t xml:space="preserve">de los Estados Árabes, 22 países en la </w:t>
            </w:r>
            <w:r w:rsidR="007E093B" w:rsidRPr="00F767CD">
              <w:rPr>
                <w:rFonts w:asciiTheme="minorHAnsi" w:hAnsiTheme="minorHAnsi" w:cstheme="minorHAnsi"/>
                <w:szCs w:val="24"/>
                <w:lang w:val="es-ES"/>
              </w:rPr>
              <w:t xml:space="preserve">Región </w:t>
            </w:r>
            <w:r w:rsidR="00F574C4" w:rsidRPr="00F767CD">
              <w:rPr>
                <w:rFonts w:asciiTheme="minorHAnsi" w:hAnsiTheme="minorHAnsi" w:cstheme="minorHAnsi"/>
                <w:szCs w:val="24"/>
                <w:lang w:val="es-ES"/>
              </w:rPr>
              <w:t xml:space="preserve">de Asia y Pacífico, 8 países en la </w:t>
            </w:r>
            <w:r w:rsidR="007E093B" w:rsidRPr="00F767CD">
              <w:rPr>
                <w:rFonts w:asciiTheme="minorHAnsi" w:hAnsiTheme="minorHAnsi" w:cstheme="minorHAnsi"/>
                <w:szCs w:val="24"/>
                <w:lang w:val="es-ES"/>
              </w:rPr>
              <w:t xml:space="preserve">Región </w:t>
            </w:r>
            <w:r w:rsidR="00F574C4" w:rsidRPr="00F767CD">
              <w:rPr>
                <w:rFonts w:asciiTheme="minorHAnsi" w:hAnsiTheme="minorHAnsi" w:cstheme="minorHAnsi"/>
                <w:szCs w:val="24"/>
                <w:lang w:val="es-ES"/>
              </w:rPr>
              <w:t xml:space="preserve">de la CEI y en 30 países de la </w:t>
            </w:r>
            <w:r w:rsidR="007E093B" w:rsidRPr="00F767CD">
              <w:rPr>
                <w:rFonts w:asciiTheme="minorHAnsi" w:hAnsiTheme="minorHAnsi" w:cstheme="minorHAnsi"/>
                <w:szCs w:val="24"/>
                <w:lang w:val="es-ES"/>
              </w:rPr>
              <w:t xml:space="preserve">Región </w:t>
            </w:r>
            <w:r w:rsidR="00F574C4" w:rsidRPr="00F767CD">
              <w:rPr>
                <w:rFonts w:asciiTheme="minorHAnsi" w:hAnsiTheme="minorHAnsi" w:cstheme="minorHAnsi"/>
                <w:szCs w:val="24"/>
                <w:lang w:val="es-ES"/>
              </w:rPr>
              <w:t>de Europa. Nuevos países se unieron a la campaña como Mongolia, las Islas Salomón, Tayikistán, Timor-Leste y Uzbekistán. El Miembro de Sector de la UIT, Cisco, organizó eventos para 4 349 niñas y Microsoft para 3 600. Alemania, Holanda, Italia, España, Senegal, Colombia, Guatemala y Chile alcanzaron el mayor número de niñas (</w:t>
            </w:r>
            <w:r w:rsidR="007E093B">
              <w:rPr>
                <w:rFonts w:asciiTheme="minorHAnsi" w:hAnsiTheme="minorHAnsi" w:cstheme="minorHAnsi"/>
                <w:szCs w:val="24"/>
                <w:lang w:val="es-ES"/>
              </w:rPr>
              <w:t xml:space="preserve">ordenados por </w:t>
            </w:r>
            <w:r w:rsidR="00F574C4" w:rsidRPr="00F767CD">
              <w:rPr>
                <w:rFonts w:asciiTheme="minorHAnsi" w:hAnsiTheme="minorHAnsi" w:cstheme="minorHAnsi"/>
                <w:szCs w:val="24"/>
                <w:lang w:val="es-ES"/>
              </w:rPr>
              <w:t>magnitud).</w:t>
            </w:r>
          </w:p>
          <w:p w:rsidR="008B194C" w:rsidRPr="00F767CD" w:rsidRDefault="00F574C4" w:rsidP="00483815">
            <w:pPr>
              <w:spacing w:after="120"/>
              <w:rPr>
                <w:rFonts w:asciiTheme="minorHAnsi" w:hAnsiTheme="minorHAnsi" w:cstheme="minorHAnsi"/>
                <w:szCs w:val="24"/>
                <w:lang w:val="es-ES"/>
              </w:rPr>
            </w:pPr>
            <w:r w:rsidRPr="00F767CD">
              <w:rPr>
                <w:rFonts w:asciiTheme="minorHAnsi" w:hAnsiTheme="minorHAnsi" w:cstheme="minorHAnsi"/>
                <w:szCs w:val="24"/>
                <w:lang w:val="es-ES"/>
              </w:rPr>
              <w:t xml:space="preserve">Se </w:t>
            </w:r>
            <w:r w:rsidR="00F47FBC" w:rsidRPr="00F767CD">
              <w:rPr>
                <w:rFonts w:asciiTheme="minorHAnsi" w:hAnsiTheme="minorHAnsi" w:cstheme="minorHAnsi"/>
                <w:szCs w:val="24"/>
                <w:lang w:val="es-ES"/>
              </w:rPr>
              <w:t>informó</w:t>
            </w:r>
            <w:r w:rsidRPr="00F767CD">
              <w:rPr>
                <w:rFonts w:asciiTheme="minorHAnsi" w:hAnsiTheme="minorHAnsi" w:cstheme="minorHAnsi"/>
                <w:szCs w:val="24"/>
                <w:lang w:val="es-ES"/>
              </w:rPr>
              <w:t xml:space="preserve"> a más de 1 500 Miembros de la UIT y partes interesadas sobre las actividades y eventos </w:t>
            </w:r>
            <w:r w:rsidR="007E093B">
              <w:rPr>
                <w:rFonts w:asciiTheme="minorHAnsi" w:hAnsiTheme="minorHAnsi" w:cstheme="minorHAnsi"/>
                <w:szCs w:val="24"/>
                <w:lang w:val="es-ES"/>
              </w:rPr>
              <w:t>del</w:t>
            </w:r>
            <w:r w:rsidRPr="00F767CD">
              <w:rPr>
                <w:rFonts w:asciiTheme="minorHAnsi" w:hAnsiTheme="minorHAnsi" w:cstheme="minorHAnsi"/>
                <w:szCs w:val="24"/>
                <w:lang w:val="es-ES"/>
              </w:rPr>
              <w:t xml:space="preserve"> UIT</w:t>
            </w:r>
            <w:r w:rsidR="007E093B">
              <w:rPr>
                <w:rFonts w:asciiTheme="minorHAnsi" w:hAnsiTheme="minorHAnsi" w:cstheme="minorHAnsi"/>
                <w:szCs w:val="24"/>
                <w:lang w:val="es-ES"/>
              </w:rPr>
              <w:t>-D</w:t>
            </w:r>
            <w:r w:rsidRPr="00F767CD">
              <w:rPr>
                <w:rFonts w:asciiTheme="minorHAnsi" w:hAnsiTheme="minorHAnsi" w:cstheme="minorHAnsi"/>
                <w:szCs w:val="24"/>
                <w:lang w:val="es-ES"/>
              </w:rPr>
              <w:t xml:space="preserve"> y se facilitaron recursos </w:t>
            </w:r>
            <w:r w:rsidR="00F47FBC" w:rsidRPr="00F767CD">
              <w:rPr>
                <w:rFonts w:asciiTheme="minorHAnsi" w:hAnsiTheme="minorHAnsi" w:cstheme="minorHAnsi"/>
                <w:szCs w:val="24"/>
                <w:lang w:val="es-ES"/>
              </w:rPr>
              <w:t>fundamentales</w:t>
            </w:r>
            <w:r w:rsidRPr="00F767CD">
              <w:rPr>
                <w:rFonts w:asciiTheme="minorHAnsi" w:hAnsiTheme="minorHAnsi" w:cstheme="minorHAnsi"/>
                <w:szCs w:val="24"/>
                <w:lang w:val="es-ES"/>
              </w:rPr>
              <w:t xml:space="preserve"> para apoyar a nuestros Miembros </w:t>
            </w:r>
            <w:r w:rsidR="00F47FBC" w:rsidRPr="00F767CD">
              <w:rPr>
                <w:rFonts w:asciiTheme="minorHAnsi" w:hAnsiTheme="minorHAnsi" w:cstheme="minorHAnsi"/>
                <w:szCs w:val="24"/>
                <w:lang w:val="es-ES"/>
              </w:rPr>
              <w:t xml:space="preserve">en la </w:t>
            </w:r>
            <w:r w:rsidR="007E093B">
              <w:rPr>
                <w:rFonts w:asciiTheme="minorHAnsi" w:hAnsiTheme="minorHAnsi" w:cstheme="minorHAnsi"/>
                <w:szCs w:val="24"/>
                <w:lang w:val="es-ES"/>
              </w:rPr>
              <w:t>implementación</w:t>
            </w:r>
            <w:r w:rsidR="00F47FBC" w:rsidRPr="00F767CD">
              <w:rPr>
                <w:rFonts w:asciiTheme="minorHAnsi" w:hAnsiTheme="minorHAnsi" w:cstheme="minorHAnsi"/>
                <w:szCs w:val="24"/>
                <w:lang w:val="es-ES"/>
              </w:rPr>
              <w:t xml:space="preserve"> de la </w:t>
            </w:r>
            <w:r w:rsidRPr="00F767CD">
              <w:rPr>
                <w:rFonts w:asciiTheme="minorHAnsi" w:hAnsiTheme="minorHAnsi" w:cstheme="minorHAnsi"/>
                <w:szCs w:val="24"/>
                <w:lang w:val="es-ES"/>
              </w:rPr>
              <w:t xml:space="preserve">accesibilidad de las TIC. </w:t>
            </w:r>
          </w:p>
          <w:p w:rsidR="00F47FBC" w:rsidRPr="00F767CD" w:rsidRDefault="00F47FBC" w:rsidP="00483815">
            <w:pPr>
              <w:rPr>
                <w:rFonts w:asciiTheme="minorHAnsi" w:hAnsiTheme="minorHAnsi" w:cs="Calibri Light"/>
                <w:color w:val="000000"/>
                <w:szCs w:val="24"/>
                <w:lang w:val="es-ES"/>
              </w:rPr>
            </w:pPr>
            <w:r w:rsidRPr="00F767CD">
              <w:rPr>
                <w:rFonts w:asciiTheme="minorHAnsi" w:hAnsiTheme="minorHAnsi" w:cs="Calibri Light"/>
                <w:color w:val="000000"/>
                <w:szCs w:val="24"/>
                <w:lang w:val="es-ES"/>
              </w:rPr>
              <w:t>En 2018, s</w:t>
            </w:r>
            <w:r w:rsidRPr="00F767CD">
              <w:rPr>
                <w:rFonts w:asciiTheme="minorHAnsi" w:hAnsiTheme="minorHAnsi" w:cstheme="minorHAnsi"/>
                <w:szCs w:val="24"/>
                <w:lang w:val="es-ES"/>
              </w:rPr>
              <w:t xml:space="preserve">e compartieron 192 programas y prácticas de integración digital </w:t>
            </w:r>
            <w:r w:rsidR="00E55103" w:rsidRPr="00F767CD">
              <w:rPr>
                <w:rFonts w:asciiTheme="minorHAnsi" w:hAnsiTheme="minorHAnsi" w:cs="Calibri Light"/>
                <w:color w:val="000000"/>
                <w:szCs w:val="24"/>
                <w:lang w:val="es-ES"/>
              </w:rPr>
              <w:t xml:space="preserve">en el diario </w:t>
            </w:r>
            <w:r w:rsidR="007E093B" w:rsidRPr="00F767CD">
              <w:rPr>
                <w:rFonts w:asciiTheme="minorHAnsi" w:hAnsiTheme="minorHAnsi" w:cs="Calibri Light"/>
                <w:color w:val="000000"/>
                <w:szCs w:val="24"/>
                <w:lang w:val="es-ES"/>
              </w:rPr>
              <w:t xml:space="preserve">en línea </w:t>
            </w:r>
            <w:r w:rsidR="00E55103" w:rsidRPr="00F767CD">
              <w:rPr>
                <w:rFonts w:asciiTheme="minorHAnsi" w:hAnsiTheme="minorHAnsi" w:cs="Calibri Light"/>
                <w:color w:val="000000"/>
                <w:szCs w:val="24"/>
                <w:lang w:val="es-ES"/>
              </w:rPr>
              <w:t>Noticias de integración digital</w:t>
            </w:r>
            <w:r w:rsidRPr="00F767CD">
              <w:rPr>
                <w:rFonts w:asciiTheme="minorHAnsi" w:hAnsiTheme="minorHAnsi" w:cs="Calibri Light"/>
                <w:color w:val="000000"/>
                <w:szCs w:val="24"/>
                <w:lang w:val="es-ES"/>
              </w:rPr>
              <w:t>, con 6 585 accesos a las entradas del diario. Se sensibilizó a los Miembros de la UIT, y se facilitó el intercambio de prácticas óptimas entre ellos, mediante la publicación semanal de prácticas y estrategias innovadoras de integración digital en el diario Noticias de integración digital</w:t>
            </w:r>
            <w:r w:rsidR="00960392" w:rsidRPr="00F767CD">
              <w:rPr>
                <w:rFonts w:asciiTheme="minorHAnsi" w:hAnsiTheme="minorHAnsi" w:cs="Calibri Light"/>
                <w:color w:val="000000"/>
                <w:szCs w:val="24"/>
                <w:lang w:val="es-ES"/>
              </w:rPr>
              <w:t xml:space="preserve"> del UIT-D.</w:t>
            </w:r>
          </w:p>
          <w:p w:rsidR="00960392" w:rsidRPr="00F767CD" w:rsidRDefault="00960392" w:rsidP="00483815">
            <w:pPr>
              <w:rPr>
                <w:rFonts w:asciiTheme="minorHAnsi" w:hAnsiTheme="minorHAnsi"/>
                <w:szCs w:val="24"/>
                <w:lang w:val="es-ES"/>
              </w:rPr>
            </w:pPr>
            <w:r w:rsidRPr="00F767CD">
              <w:rPr>
                <w:rFonts w:asciiTheme="minorHAnsi" w:hAnsiTheme="minorHAnsi"/>
                <w:szCs w:val="24"/>
                <w:lang w:val="es-ES"/>
              </w:rPr>
              <w:t>Se organizaron eventos regionales en apoyo a las iniciativas regionales sobre accesibilidad en las regiones de las Américas, Europa, África y los Estados Árabes.</w:t>
            </w:r>
          </w:p>
          <w:p w:rsidR="00E55103" w:rsidRPr="00F767CD" w:rsidRDefault="00960392" w:rsidP="00483815">
            <w:pPr>
              <w:rPr>
                <w:rFonts w:asciiTheme="minorHAnsi" w:hAnsiTheme="minorHAnsi" w:cstheme="minorHAnsi"/>
                <w:lang w:val="es-ES"/>
              </w:rPr>
            </w:pPr>
            <w:r w:rsidRPr="00F767CD">
              <w:rPr>
                <w:rFonts w:asciiTheme="minorHAnsi" w:hAnsiTheme="minorHAnsi" w:cstheme="minorHAnsi"/>
                <w:lang w:val="es-ES"/>
              </w:rPr>
              <w:t xml:space="preserve">Se elaboró un conjunto de </w:t>
            </w:r>
            <w:r w:rsidR="007E093B">
              <w:rPr>
                <w:rFonts w:asciiTheme="minorHAnsi" w:hAnsiTheme="minorHAnsi" w:cstheme="minorHAnsi"/>
                <w:lang w:val="es-ES"/>
              </w:rPr>
              <w:t>tres (</w:t>
            </w:r>
            <w:r w:rsidRPr="00F767CD">
              <w:rPr>
                <w:rFonts w:asciiTheme="minorHAnsi" w:hAnsiTheme="minorHAnsi" w:cstheme="minorHAnsi"/>
                <w:lang w:val="es-ES"/>
              </w:rPr>
              <w:t>3</w:t>
            </w:r>
            <w:r w:rsidR="007E093B">
              <w:rPr>
                <w:rFonts w:asciiTheme="minorHAnsi" w:hAnsiTheme="minorHAnsi" w:cstheme="minorHAnsi"/>
                <w:lang w:val="es-ES"/>
              </w:rPr>
              <w:t>)</w:t>
            </w:r>
            <w:r w:rsidRPr="00F767CD">
              <w:rPr>
                <w:rFonts w:asciiTheme="minorHAnsi" w:hAnsiTheme="minorHAnsi" w:cstheme="minorHAnsi"/>
                <w:lang w:val="es-ES"/>
              </w:rPr>
              <w:t xml:space="preserve"> cursos de formación en línea autogestionados sobre </w:t>
            </w:r>
            <w:r w:rsidR="00E307D0">
              <w:rPr>
                <w:rFonts w:asciiTheme="minorHAnsi" w:hAnsiTheme="minorHAnsi" w:cstheme="minorHAnsi"/>
                <w:lang w:val="es-ES"/>
              </w:rPr>
              <w:t>"</w:t>
            </w:r>
            <w:r w:rsidRPr="00F767CD">
              <w:rPr>
                <w:rFonts w:asciiTheme="minorHAnsi" w:hAnsiTheme="minorHAnsi" w:cstheme="minorHAnsi"/>
                <w:lang w:val="es-ES"/>
              </w:rPr>
              <w:t>Accesibilidad de las TIC: la clave de la comunicación integradora</w:t>
            </w:r>
            <w:r w:rsidR="00E307D0">
              <w:rPr>
                <w:rFonts w:asciiTheme="minorHAnsi" w:hAnsiTheme="minorHAnsi" w:cstheme="minorHAnsi"/>
                <w:lang w:val="es-ES"/>
              </w:rPr>
              <w:t>"</w:t>
            </w:r>
            <w:r w:rsidRPr="00F767CD">
              <w:rPr>
                <w:rFonts w:asciiTheme="minorHAnsi" w:hAnsiTheme="minorHAnsi" w:cstheme="minorHAnsi"/>
                <w:lang w:val="es-ES"/>
              </w:rPr>
              <w:t xml:space="preserve"> </w:t>
            </w:r>
            <w:r w:rsidR="00A16962" w:rsidRPr="00F767CD">
              <w:rPr>
                <w:rFonts w:asciiTheme="minorHAnsi" w:hAnsiTheme="minorHAnsi" w:cstheme="minorHAnsi"/>
                <w:lang w:val="es-ES"/>
              </w:rPr>
              <w:t xml:space="preserve">con el fin de proporcionar una buena comprensión de la accesibilidad de las TIC </w:t>
            </w:r>
            <w:r w:rsidR="00F238E9">
              <w:rPr>
                <w:rFonts w:asciiTheme="minorHAnsi" w:hAnsiTheme="minorHAnsi" w:cstheme="minorHAnsi"/>
                <w:lang w:val="es-ES"/>
              </w:rPr>
              <w:t>a</w:t>
            </w:r>
            <w:r w:rsidR="00A16962" w:rsidRPr="00F767CD">
              <w:rPr>
                <w:rFonts w:asciiTheme="minorHAnsi" w:hAnsiTheme="minorHAnsi" w:cstheme="minorHAnsi"/>
                <w:lang w:val="es-ES"/>
              </w:rPr>
              <w:t xml:space="preserve"> todas las partes interesadas, centrándose en particular en los aspectos de las políticas, las reglamentaciones, las tendencias tecnológicas y las adquisiciones públicas. Este curso se elaboró como respuesta a los resultados de la CMDT-17.</w:t>
            </w:r>
          </w:p>
        </w:tc>
      </w:tr>
      <w:tr w:rsidR="00E55103" w:rsidRPr="00F767CD" w:rsidTr="009009A1">
        <w:tc>
          <w:tcPr>
            <w:tcW w:w="2830" w:type="dxa"/>
          </w:tcPr>
          <w:p w:rsidR="00E55103" w:rsidRPr="00F767CD" w:rsidRDefault="00E55103" w:rsidP="00483815">
            <w:pPr>
              <w:spacing w:before="60" w:after="60"/>
              <w:rPr>
                <w:rFonts w:asciiTheme="minorHAnsi" w:hAnsiTheme="minorHAnsi"/>
                <w:i/>
                <w:iCs/>
                <w:szCs w:val="24"/>
                <w:lang w:val="es-ES"/>
              </w:rPr>
            </w:pPr>
            <w:r w:rsidRPr="00F767CD">
              <w:rPr>
                <w:rFonts w:asciiTheme="minorHAnsi" w:hAnsiTheme="minorHAnsi"/>
                <w:i/>
                <w:iCs/>
                <w:szCs w:val="24"/>
                <w:lang w:val="es-ES"/>
              </w:rPr>
              <w:lastRenderedPageBreak/>
              <w:t>CMDT</w:t>
            </w:r>
          </w:p>
        </w:tc>
        <w:tc>
          <w:tcPr>
            <w:tcW w:w="6798" w:type="dxa"/>
          </w:tcPr>
          <w:p w:rsidR="00E55103" w:rsidRPr="00F767CD" w:rsidRDefault="00E55103" w:rsidP="00483815">
            <w:pPr>
              <w:spacing w:before="60" w:after="60"/>
              <w:rPr>
                <w:rFonts w:asciiTheme="minorHAnsi" w:hAnsiTheme="minorHAnsi"/>
                <w:szCs w:val="24"/>
                <w:lang w:val="es-ES"/>
              </w:rPr>
            </w:pPr>
            <w:bookmarkStart w:id="74" w:name="lt_pId452"/>
            <w:r w:rsidRPr="00F767CD">
              <w:rPr>
                <w:rFonts w:asciiTheme="minorHAnsi" w:hAnsiTheme="minorHAnsi"/>
                <w:szCs w:val="24"/>
                <w:lang w:val="es-ES"/>
              </w:rPr>
              <w:t>Resoluciones 1, 5, 9, 11, 15, 20, 21, 22, 23, 30, 32, 55, 58, 68, 76, 77</w:t>
            </w:r>
            <w:bookmarkEnd w:id="74"/>
          </w:p>
        </w:tc>
      </w:tr>
      <w:tr w:rsidR="00E55103" w:rsidRPr="004E44DD" w:rsidTr="009009A1">
        <w:tc>
          <w:tcPr>
            <w:tcW w:w="2830" w:type="dxa"/>
          </w:tcPr>
          <w:p w:rsidR="00E55103" w:rsidRPr="00F767CD" w:rsidRDefault="00E55103" w:rsidP="00483815">
            <w:pPr>
              <w:spacing w:before="60" w:after="60"/>
              <w:rPr>
                <w:rFonts w:asciiTheme="minorHAnsi" w:hAnsiTheme="minorHAnsi"/>
                <w:i/>
                <w:iCs/>
                <w:szCs w:val="24"/>
                <w:lang w:val="es-ES"/>
              </w:rPr>
            </w:pPr>
            <w:r w:rsidRPr="00F767CD">
              <w:rPr>
                <w:rFonts w:asciiTheme="minorHAnsi" w:hAnsiTheme="minorHAnsi"/>
                <w:i/>
                <w:iCs/>
                <w:szCs w:val="24"/>
                <w:lang w:val="es-ES"/>
              </w:rPr>
              <w:t>Conferencia de Plenipotenciarios</w:t>
            </w:r>
          </w:p>
        </w:tc>
        <w:tc>
          <w:tcPr>
            <w:tcW w:w="6798" w:type="dxa"/>
          </w:tcPr>
          <w:p w:rsidR="00E55103" w:rsidRPr="00F767CD" w:rsidRDefault="00E55103" w:rsidP="00483815">
            <w:pPr>
              <w:spacing w:before="60" w:after="60"/>
              <w:rPr>
                <w:rFonts w:asciiTheme="minorHAnsi" w:hAnsiTheme="minorHAnsi"/>
                <w:szCs w:val="24"/>
                <w:lang w:val="es-ES"/>
              </w:rPr>
            </w:pPr>
            <w:r w:rsidRPr="00F767CD">
              <w:rPr>
                <w:rFonts w:asciiTheme="minorHAnsi" w:hAnsiTheme="minorHAnsi"/>
                <w:szCs w:val="24"/>
                <w:lang w:val="es-ES"/>
              </w:rPr>
              <w:t>Decisiones de la PP: 5 y 13</w:t>
            </w:r>
            <w:r w:rsidRPr="00F767CD">
              <w:rPr>
                <w:rFonts w:asciiTheme="minorHAnsi" w:hAnsiTheme="minorHAnsi"/>
                <w:szCs w:val="24"/>
                <w:lang w:val="es-ES"/>
              </w:rPr>
              <w:br/>
              <w:t>Resoluciones de la PP: 25, 30, 32, 33, 34, 36, 37, 64, 70, 71, 131, 139, 140, 175, 184, 198 y 202</w:t>
            </w:r>
          </w:p>
        </w:tc>
      </w:tr>
      <w:tr w:rsidR="00E55103" w:rsidRPr="00F767CD" w:rsidTr="009009A1">
        <w:tc>
          <w:tcPr>
            <w:tcW w:w="2830" w:type="dxa"/>
          </w:tcPr>
          <w:p w:rsidR="00E55103" w:rsidRPr="00F767CD" w:rsidRDefault="00E55103" w:rsidP="00483815">
            <w:pPr>
              <w:spacing w:before="60" w:after="60"/>
              <w:rPr>
                <w:rFonts w:asciiTheme="minorHAnsi" w:hAnsiTheme="minorHAnsi"/>
                <w:szCs w:val="24"/>
                <w:lang w:val="es-ES"/>
              </w:rPr>
            </w:pPr>
            <w:r w:rsidRPr="00F767CD">
              <w:rPr>
                <w:rFonts w:asciiTheme="minorHAnsi" w:hAnsiTheme="minorHAnsi"/>
                <w:i/>
                <w:iCs/>
                <w:szCs w:val="24"/>
                <w:lang w:val="es-ES"/>
              </w:rPr>
              <w:t>AMNT</w:t>
            </w:r>
          </w:p>
        </w:tc>
        <w:tc>
          <w:tcPr>
            <w:tcW w:w="6798" w:type="dxa"/>
          </w:tcPr>
          <w:p w:rsidR="00E55103" w:rsidRPr="00F767CD" w:rsidRDefault="00E55103" w:rsidP="00483815">
            <w:pPr>
              <w:spacing w:before="60" w:after="60"/>
              <w:rPr>
                <w:rFonts w:asciiTheme="minorHAnsi" w:hAnsiTheme="minorHAnsi"/>
                <w:szCs w:val="24"/>
                <w:lang w:val="es-ES"/>
              </w:rPr>
            </w:pPr>
            <w:bookmarkStart w:id="75" w:name="lt_pId457"/>
            <w:r w:rsidRPr="00F767CD">
              <w:rPr>
                <w:rFonts w:asciiTheme="minorHAnsi" w:hAnsiTheme="minorHAnsi"/>
                <w:szCs w:val="24"/>
                <w:lang w:val="es-ES"/>
              </w:rPr>
              <w:t>Resoluciones 55, 69</w:t>
            </w:r>
            <w:bookmarkEnd w:id="75"/>
          </w:p>
        </w:tc>
      </w:tr>
      <w:tr w:rsidR="00E55103" w:rsidRPr="004E44DD" w:rsidTr="009009A1">
        <w:tc>
          <w:tcPr>
            <w:tcW w:w="2830" w:type="dxa"/>
          </w:tcPr>
          <w:p w:rsidR="00E55103" w:rsidRPr="00F767CD" w:rsidRDefault="00E55103" w:rsidP="00483815">
            <w:pPr>
              <w:spacing w:before="60" w:after="60"/>
              <w:rPr>
                <w:rFonts w:asciiTheme="minorHAnsi" w:hAnsiTheme="minorHAnsi"/>
                <w:i/>
                <w:iCs/>
                <w:szCs w:val="24"/>
                <w:lang w:val="es-ES"/>
              </w:rPr>
            </w:pPr>
            <w:r w:rsidRPr="00F767CD">
              <w:rPr>
                <w:rFonts w:asciiTheme="minorHAnsi" w:hAnsiTheme="minorHAnsi"/>
                <w:i/>
                <w:iCs/>
                <w:szCs w:val="24"/>
                <w:lang w:val="es-ES"/>
              </w:rPr>
              <w:t xml:space="preserve">Línea </w:t>
            </w:r>
            <w:r w:rsidRPr="00F767CD">
              <w:rPr>
                <w:rFonts w:asciiTheme="minorHAnsi" w:hAnsiTheme="minorHAnsi"/>
                <w:szCs w:val="24"/>
                <w:lang w:val="es-ES"/>
              </w:rPr>
              <w:t>de</w:t>
            </w:r>
            <w:r w:rsidRPr="00F767CD">
              <w:rPr>
                <w:rFonts w:asciiTheme="minorHAnsi" w:hAnsiTheme="minorHAnsi"/>
                <w:i/>
                <w:iCs/>
                <w:szCs w:val="24"/>
                <w:lang w:val="es-ES"/>
              </w:rPr>
              <w:t xml:space="preserve"> Acción de la CMSI</w:t>
            </w:r>
          </w:p>
        </w:tc>
        <w:tc>
          <w:tcPr>
            <w:tcW w:w="6798" w:type="dxa"/>
          </w:tcPr>
          <w:p w:rsidR="00E55103" w:rsidRPr="00F767CD" w:rsidRDefault="00E55103" w:rsidP="00483815">
            <w:pPr>
              <w:spacing w:before="60" w:after="60"/>
              <w:rPr>
                <w:rFonts w:asciiTheme="minorHAnsi" w:hAnsiTheme="minorHAnsi"/>
                <w:szCs w:val="24"/>
                <w:lang w:val="es-ES"/>
              </w:rPr>
            </w:pPr>
            <w:r w:rsidRPr="00F767CD">
              <w:rPr>
                <w:rFonts w:asciiTheme="minorHAnsi" w:hAnsiTheme="minorHAnsi"/>
                <w:szCs w:val="24"/>
                <w:lang w:val="es-ES"/>
              </w:rPr>
              <w:t>Líneas de Acción de la CMSI C2, C4, C7 y C8 del Plan de Acción de Ginebra y el párrafo 90 de la Agenda de Túnez para la Sociedad de la Información.</w:t>
            </w:r>
          </w:p>
        </w:tc>
      </w:tr>
      <w:tr w:rsidR="00E55103" w:rsidRPr="004E44DD" w:rsidTr="009009A1">
        <w:tc>
          <w:tcPr>
            <w:tcW w:w="2830" w:type="dxa"/>
          </w:tcPr>
          <w:p w:rsidR="00E55103" w:rsidRPr="00F767CD" w:rsidRDefault="00E55103" w:rsidP="00483815">
            <w:pPr>
              <w:spacing w:before="60" w:after="60"/>
              <w:rPr>
                <w:rFonts w:asciiTheme="minorHAnsi" w:hAnsiTheme="minorHAnsi"/>
                <w:i/>
                <w:iCs/>
                <w:szCs w:val="24"/>
                <w:lang w:val="es-ES"/>
              </w:rPr>
            </w:pPr>
            <w:r w:rsidRPr="00F767CD">
              <w:rPr>
                <w:rFonts w:asciiTheme="minorHAnsi" w:hAnsiTheme="minorHAnsi"/>
                <w:szCs w:val="24"/>
                <w:lang w:val="es-ES"/>
              </w:rPr>
              <w:t>Contribución</w:t>
            </w:r>
            <w:r w:rsidRPr="00F767CD">
              <w:rPr>
                <w:rFonts w:asciiTheme="minorHAnsi" w:hAnsiTheme="minorHAnsi"/>
                <w:i/>
                <w:iCs/>
                <w:szCs w:val="24"/>
                <w:lang w:val="es-ES"/>
              </w:rPr>
              <w:t xml:space="preserve"> a las metas de los ODS</w:t>
            </w:r>
          </w:p>
        </w:tc>
        <w:tc>
          <w:tcPr>
            <w:tcW w:w="6798" w:type="dxa"/>
          </w:tcPr>
          <w:p w:rsidR="00E55103" w:rsidRPr="00F767CD" w:rsidRDefault="00E55103" w:rsidP="00483815">
            <w:pPr>
              <w:spacing w:before="60" w:after="60"/>
              <w:rPr>
                <w:rFonts w:asciiTheme="minorHAnsi" w:hAnsiTheme="minorHAnsi"/>
                <w:szCs w:val="24"/>
                <w:lang w:val="es-ES"/>
              </w:rPr>
            </w:pPr>
            <w:r w:rsidRPr="00F767CD">
              <w:rPr>
                <w:rFonts w:asciiTheme="minorHAnsi" w:hAnsiTheme="minorHAnsi"/>
                <w:szCs w:val="24"/>
                <w:lang w:val="es-ES"/>
              </w:rPr>
              <w:t>ODS: 1 (metas 1.2, 1.4, 1.a, 1.b), 4 (metas 4.1, 4.2, 4.3, 4.4, 4.5, 4.a, 4.b), 5 (5.1, 5.5, 5.b, 5.c), 8 (metas 8.2, 8.3, 8.5, 8.6, 8.10, 8.b), 9 (meta 9.c), 10 (metas 10.2, 10.3), 11 (metas 11.2, 11.7, 11.c), 16 (meta 16.b), 17 (metas 17.6, 17.7, 17.8, 17.17)</w:t>
            </w:r>
          </w:p>
        </w:tc>
      </w:tr>
    </w:tbl>
    <w:p w:rsidR="00E55103" w:rsidRPr="00F767CD" w:rsidRDefault="00E55103" w:rsidP="00483815">
      <w:pPr>
        <w:pStyle w:val="Heading2"/>
        <w:spacing w:after="120"/>
        <w:rPr>
          <w:lang w:val="es-ES"/>
        </w:rPr>
      </w:pPr>
      <w:r w:rsidRPr="00F767CD">
        <w:rPr>
          <w:lang w:val="es-ES"/>
        </w:rPr>
        <w:t>4.4</w:t>
      </w:r>
      <w:r w:rsidRPr="00F767CD">
        <w:rPr>
          <w:lang w:val="es-ES"/>
        </w:rPr>
        <w:tab/>
        <w:t>Asistencia intensiva a los PMA, PEID y PDSL</w:t>
      </w:r>
    </w:p>
    <w:tbl>
      <w:tblPr>
        <w:tblStyle w:val="TableGrid"/>
        <w:tblW w:w="0" w:type="auto"/>
        <w:tblLook w:val="04A0" w:firstRow="1" w:lastRow="0" w:firstColumn="1" w:lastColumn="0" w:noHBand="0" w:noVBand="1"/>
      </w:tblPr>
      <w:tblGrid>
        <w:gridCol w:w="2830"/>
        <w:gridCol w:w="6798"/>
      </w:tblGrid>
      <w:tr w:rsidR="00E55103" w:rsidRPr="004E44DD" w:rsidTr="009009A1">
        <w:tc>
          <w:tcPr>
            <w:tcW w:w="9628" w:type="dxa"/>
            <w:gridSpan w:val="2"/>
          </w:tcPr>
          <w:p w:rsidR="00A16962" w:rsidRPr="00F767CD" w:rsidRDefault="00A16962" w:rsidP="00483815">
            <w:pPr>
              <w:rPr>
                <w:rFonts w:asciiTheme="minorHAnsi" w:hAnsiTheme="minorHAnsi" w:cstheme="minorHAnsi"/>
                <w:szCs w:val="24"/>
                <w:lang w:val="es-ES"/>
              </w:rPr>
            </w:pPr>
            <w:r w:rsidRPr="00F767CD">
              <w:rPr>
                <w:rFonts w:asciiTheme="minorHAnsi" w:hAnsiTheme="minorHAnsi" w:cstheme="minorHAnsi"/>
                <w:szCs w:val="24"/>
                <w:lang w:val="es-ES"/>
              </w:rPr>
              <w:t>La BDT prestó una asistencia intensiva a los siguientes PMA, PEID y PDSL: Afganistán</w:t>
            </w:r>
            <w:r w:rsidR="00D06324" w:rsidRPr="00F767CD">
              <w:rPr>
                <w:rFonts w:asciiTheme="minorHAnsi" w:hAnsiTheme="minorHAnsi" w:cstheme="minorHAnsi"/>
                <w:szCs w:val="24"/>
                <w:lang w:val="es-ES"/>
              </w:rPr>
              <w:t>, Bolivia, Bur</w:t>
            </w:r>
            <w:r w:rsidR="00955E07">
              <w:rPr>
                <w:rFonts w:asciiTheme="minorHAnsi" w:hAnsiTheme="minorHAnsi" w:cstheme="minorHAnsi"/>
                <w:szCs w:val="24"/>
                <w:lang w:val="es-ES"/>
              </w:rPr>
              <w:t xml:space="preserve">undi, Guinea </w:t>
            </w:r>
            <w:r w:rsidR="00D06324" w:rsidRPr="00F767CD">
              <w:rPr>
                <w:rFonts w:asciiTheme="minorHAnsi" w:hAnsiTheme="minorHAnsi" w:cstheme="minorHAnsi"/>
                <w:szCs w:val="24"/>
                <w:lang w:val="es-ES"/>
              </w:rPr>
              <w:t xml:space="preserve">Bissau, Eswatini, </w:t>
            </w:r>
            <w:r w:rsidRPr="00F767CD">
              <w:rPr>
                <w:rFonts w:asciiTheme="minorHAnsi" w:hAnsiTheme="minorHAnsi" w:cstheme="minorHAnsi"/>
                <w:szCs w:val="24"/>
                <w:lang w:val="es-ES"/>
              </w:rPr>
              <w:t>Haití</w:t>
            </w:r>
            <w:r w:rsidR="00D06324" w:rsidRPr="00F767CD">
              <w:rPr>
                <w:rFonts w:asciiTheme="minorHAnsi" w:hAnsiTheme="minorHAnsi" w:cstheme="minorHAnsi"/>
                <w:szCs w:val="24"/>
                <w:lang w:val="es-ES"/>
              </w:rPr>
              <w:t>, Kiribati, Malawi, Myanmar, Paraguay, S</w:t>
            </w:r>
            <w:r w:rsidRPr="00F767CD">
              <w:rPr>
                <w:rFonts w:asciiTheme="minorHAnsi" w:hAnsiTheme="minorHAnsi" w:cstheme="minorHAnsi"/>
                <w:szCs w:val="24"/>
                <w:lang w:val="es-ES"/>
              </w:rPr>
              <w:t>anto</w:t>
            </w:r>
            <w:r w:rsidR="00D06324" w:rsidRPr="00F767CD">
              <w:rPr>
                <w:rFonts w:asciiTheme="minorHAnsi" w:hAnsiTheme="minorHAnsi" w:cstheme="minorHAnsi"/>
                <w:szCs w:val="24"/>
                <w:lang w:val="es-ES"/>
              </w:rPr>
              <w:t xml:space="preserve"> Tomé </w:t>
            </w:r>
            <w:r w:rsidRPr="00F767CD">
              <w:rPr>
                <w:rFonts w:asciiTheme="minorHAnsi" w:hAnsiTheme="minorHAnsi" w:cstheme="minorHAnsi"/>
                <w:szCs w:val="24"/>
                <w:lang w:val="es-ES"/>
              </w:rPr>
              <w:t>y</w:t>
            </w:r>
            <w:r w:rsidR="00F767CD">
              <w:rPr>
                <w:rFonts w:asciiTheme="minorHAnsi" w:hAnsiTheme="minorHAnsi" w:cstheme="minorHAnsi"/>
                <w:szCs w:val="24"/>
                <w:lang w:val="es-ES"/>
              </w:rPr>
              <w:t xml:space="preserve"> </w:t>
            </w:r>
            <w:r w:rsidR="00F767CD">
              <w:rPr>
                <w:rFonts w:asciiTheme="minorHAnsi" w:hAnsiTheme="minorHAnsi" w:cstheme="minorHAnsi"/>
                <w:szCs w:val="24"/>
                <w:lang w:val="es-ES"/>
              </w:rPr>
              <w:lastRenderedPageBreak/>
              <w:t>Prí</w:t>
            </w:r>
            <w:r w:rsidR="00D06324" w:rsidRPr="00F767CD">
              <w:rPr>
                <w:rFonts w:asciiTheme="minorHAnsi" w:hAnsiTheme="minorHAnsi" w:cstheme="minorHAnsi"/>
                <w:szCs w:val="24"/>
                <w:lang w:val="es-ES"/>
              </w:rPr>
              <w:t xml:space="preserve">ncipe, </w:t>
            </w:r>
            <w:r w:rsidRPr="00F767CD">
              <w:rPr>
                <w:rFonts w:asciiTheme="minorHAnsi" w:hAnsiTheme="minorHAnsi" w:cstheme="minorHAnsi"/>
                <w:szCs w:val="24"/>
                <w:lang w:val="es-ES"/>
              </w:rPr>
              <w:t>las Islas Salomón</w:t>
            </w:r>
            <w:r w:rsidR="00D06324" w:rsidRPr="00F767CD">
              <w:rPr>
                <w:rFonts w:asciiTheme="minorHAnsi" w:hAnsiTheme="minorHAnsi" w:cstheme="minorHAnsi"/>
                <w:szCs w:val="24"/>
                <w:lang w:val="es-ES"/>
              </w:rPr>
              <w:t>, Somalia, Sud</w:t>
            </w:r>
            <w:r w:rsidRPr="00F767CD">
              <w:rPr>
                <w:rFonts w:asciiTheme="minorHAnsi" w:hAnsiTheme="minorHAnsi" w:cstheme="minorHAnsi"/>
                <w:szCs w:val="24"/>
                <w:lang w:val="es-ES"/>
              </w:rPr>
              <w:t>á</w:t>
            </w:r>
            <w:r w:rsidR="00D06324" w:rsidRPr="00F767CD">
              <w:rPr>
                <w:rFonts w:asciiTheme="minorHAnsi" w:hAnsiTheme="minorHAnsi" w:cstheme="minorHAnsi"/>
                <w:szCs w:val="24"/>
                <w:lang w:val="es-ES"/>
              </w:rPr>
              <w:t>n</w:t>
            </w:r>
            <w:r w:rsidRPr="00F767CD">
              <w:rPr>
                <w:rFonts w:asciiTheme="minorHAnsi" w:hAnsiTheme="minorHAnsi" w:cstheme="minorHAnsi"/>
                <w:szCs w:val="24"/>
                <w:lang w:val="es-ES"/>
              </w:rPr>
              <w:t xml:space="preserve"> del Sur</w:t>
            </w:r>
            <w:r w:rsidR="00D06324" w:rsidRPr="00F767CD">
              <w:rPr>
                <w:rFonts w:asciiTheme="minorHAnsi" w:hAnsiTheme="minorHAnsi" w:cstheme="minorHAnsi"/>
                <w:szCs w:val="24"/>
                <w:lang w:val="es-ES"/>
              </w:rPr>
              <w:t xml:space="preserve">, Sudan, </w:t>
            </w:r>
            <w:r w:rsidRPr="00F767CD">
              <w:rPr>
                <w:rFonts w:asciiTheme="minorHAnsi" w:hAnsiTheme="minorHAnsi" w:cstheme="minorHAnsi"/>
                <w:szCs w:val="24"/>
                <w:lang w:val="es-ES"/>
              </w:rPr>
              <w:t>Surinam</w:t>
            </w:r>
            <w:r w:rsidR="00955E07">
              <w:rPr>
                <w:rFonts w:asciiTheme="minorHAnsi" w:hAnsiTheme="minorHAnsi" w:cstheme="minorHAnsi"/>
                <w:szCs w:val="24"/>
                <w:lang w:val="es-ES"/>
              </w:rPr>
              <w:t>e</w:t>
            </w:r>
            <w:r w:rsidR="00D06324" w:rsidRPr="00F767CD">
              <w:rPr>
                <w:rFonts w:asciiTheme="minorHAnsi" w:hAnsiTheme="minorHAnsi" w:cstheme="minorHAnsi"/>
                <w:szCs w:val="24"/>
                <w:lang w:val="es-ES"/>
              </w:rPr>
              <w:t xml:space="preserve">, Timor-Leste, Uganda, </w:t>
            </w:r>
            <w:r w:rsidRPr="00F767CD">
              <w:rPr>
                <w:rFonts w:asciiTheme="minorHAnsi" w:hAnsiTheme="minorHAnsi" w:cstheme="minorHAnsi"/>
                <w:szCs w:val="24"/>
                <w:lang w:val="es-ES"/>
              </w:rPr>
              <w:t>Uzbekistán</w:t>
            </w:r>
            <w:r w:rsidR="00D06324" w:rsidRPr="00F767CD">
              <w:rPr>
                <w:rFonts w:asciiTheme="minorHAnsi" w:hAnsiTheme="minorHAnsi" w:cstheme="minorHAnsi"/>
                <w:szCs w:val="24"/>
                <w:lang w:val="es-ES"/>
              </w:rPr>
              <w:t xml:space="preserve">. </w:t>
            </w:r>
            <w:r w:rsidRPr="00F767CD">
              <w:rPr>
                <w:rFonts w:asciiTheme="minorHAnsi" w:hAnsiTheme="minorHAnsi" w:cstheme="minorHAnsi"/>
                <w:szCs w:val="24"/>
                <w:lang w:val="es-ES"/>
              </w:rPr>
              <w:t>Se prestó asistencia en todas las activ</w:t>
            </w:r>
            <w:r w:rsidR="00E34420" w:rsidRPr="00F767CD">
              <w:rPr>
                <w:rFonts w:asciiTheme="minorHAnsi" w:hAnsiTheme="minorHAnsi" w:cstheme="minorHAnsi"/>
                <w:szCs w:val="24"/>
                <w:lang w:val="es-ES"/>
              </w:rPr>
              <w:t>idades relacionadas con las TIC que incluye reformas reglamentarias del mercado, telecomunicaciones de emergencia</w:t>
            </w:r>
            <w:r w:rsidR="00E34420" w:rsidRPr="00F767CD">
              <w:rPr>
                <w:lang w:val="es-ES"/>
              </w:rPr>
              <w:t xml:space="preserve"> </w:t>
            </w:r>
            <w:r w:rsidR="00E34420" w:rsidRPr="00F767CD">
              <w:rPr>
                <w:rFonts w:asciiTheme="minorHAnsi" w:hAnsiTheme="minorHAnsi" w:cstheme="minorHAnsi"/>
                <w:szCs w:val="24"/>
                <w:lang w:val="es-ES"/>
              </w:rPr>
              <w:t>y respuesta en caso de catástrofe, igualdad de género, ciberseguridad y gestión del espectro e infraestructuras</w:t>
            </w:r>
            <w:r w:rsidR="00E307D0">
              <w:rPr>
                <w:rFonts w:asciiTheme="minorHAnsi" w:hAnsiTheme="minorHAnsi" w:cstheme="minorHAnsi"/>
                <w:szCs w:val="24"/>
                <w:lang w:val="es-ES"/>
              </w:rPr>
              <w:t xml:space="preserve"> de las </w:t>
            </w:r>
            <w:r w:rsidR="00E34420" w:rsidRPr="00F767CD">
              <w:rPr>
                <w:rFonts w:asciiTheme="minorHAnsi" w:hAnsiTheme="minorHAnsi" w:cstheme="minorHAnsi"/>
                <w:szCs w:val="24"/>
                <w:lang w:val="es-ES"/>
              </w:rPr>
              <w:t xml:space="preserve">TIC. </w:t>
            </w:r>
          </w:p>
          <w:p w:rsidR="00E34420" w:rsidRPr="00F767CD" w:rsidRDefault="00E34420" w:rsidP="00483815">
            <w:pPr>
              <w:spacing w:after="120"/>
              <w:rPr>
                <w:rFonts w:asciiTheme="minorHAnsi" w:hAnsiTheme="minorHAnsi" w:cstheme="minorHAnsi"/>
                <w:szCs w:val="24"/>
                <w:lang w:val="es-ES"/>
              </w:rPr>
            </w:pPr>
            <w:r w:rsidRPr="00F767CD">
              <w:rPr>
                <w:rFonts w:asciiTheme="minorHAnsi" w:hAnsiTheme="minorHAnsi" w:cstheme="minorHAnsi"/>
                <w:szCs w:val="24"/>
                <w:lang w:val="es-ES"/>
              </w:rPr>
              <w:t>La BDT publicó un Informe especial sobre las TIC, los PMA y los ODS</w:t>
            </w:r>
            <w:r w:rsidRPr="00955E07">
              <w:rPr>
                <w:rFonts w:asciiTheme="minorHAnsi" w:hAnsiTheme="minorHAnsi" w:cstheme="minorHAnsi"/>
                <w:szCs w:val="24"/>
                <w:lang w:val="es-ES"/>
              </w:rPr>
              <w:t xml:space="preserve"> – </w:t>
            </w:r>
            <w:r w:rsidR="00955E07" w:rsidRPr="00955E07">
              <w:rPr>
                <w:rFonts w:asciiTheme="minorHAnsi" w:hAnsiTheme="minorHAnsi" w:cstheme="minorHAnsi"/>
                <w:szCs w:val="24"/>
                <w:lang w:val="es-ES"/>
              </w:rPr>
              <w:t xml:space="preserve">Achieving universal and affordable Internet in the LDCs </w:t>
            </w:r>
            <w:r w:rsidR="003519CD">
              <w:rPr>
                <w:rFonts w:asciiTheme="minorHAnsi" w:hAnsiTheme="minorHAnsi" w:cstheme="minorHAnsi"/>
                <w:szCs w:val="24"/>
                <w:lang w:val="es-ES"/>
              </w:rPr>
              <w:t>(</w:t>
            </w:r>
            <w:r w:rsidR="00955E07" w:rsidRPr="00955E07">
              <w:rPr>
                <w:rFonts w:asciiTheme="minorHAnsi" w:hAnsiTheme="minorHAnsi" w:cstheme="minorHAnsi"/>
                <w:szCs w:val="24"/>
                <w:lang w:val="es-ES"/>
              </w:rPr>
              <w:t xml:space="preserve">Conseguir una </w:t>
            </w:r>
            <w:r w:rsidRPr="00F767CD">
              <w:rPr>
                <w:rFonts w:asciiTheme="minorHAnsi" w:hAnsiTheme="minorHAnsi" w:cstheme="minorHAnsi"/>
                <w:szCs w:val="24"/>
                <w:lang w:val="es-ES"/>
              </w:rPr>
              <w:t xml:space="preserve">Internet universal y asequible en los </w:t>
            </w:r>
            <w:r w:rsidR="003519CD">
              <w:rPr>
                <w:rFonts w:asciiTheme="minorHAnsi" w:hAnsiTheme="minorHAnsi" w:cstheme="minorHAnsi"/>
                <w:szCs w:val="24"/>
                <w:lang w:val="es-ES"/>
              </w:rPr>
              <w:t>países menos adelantados)</w:t>
            </w:r>
            <w:r w:rsidRPr="00F767CD">
              <w:rPr>
                <w:rFonts w:asciiTheme="minorHAnsi" w:hAnsiTheme="minorHAnsi" w:cstheme="minorHAnsi"/>
                <w:szCs w:val="24"/>
                <w:lang w:val="es-ES"/>
              </w:rPr>
              <w:t xml:space="preserve">. El Informe, elaborado en cooperación con la Oficina del Alto Representante para los Países Menos Adelantados, los Países en Desarrollo sin Litoral y los Pequeños Estados Insulares en Desarrollo de las Naciones Unidas (UN-OHRLLS), se centra en </w:t>
            </w:r>
            <w:r w:rsidR="008B415A" w:rsidRPr="00F767CD">
              <w:rPr>
                <w:rFonts w:asciiTheme="minorHAnsi" w:hAnsiTheme="minorHAnsi" w:cstheme="minorHAnsi"/>
                <w:szCs w:val="24"/>
                <w:lang w:val="es-ES"/>
              </w:rPr>
              <w:t>los desarrollos de</w:t>
            </w:r>
            <w:r w:rsidRPr="00F767CD">
              <w:rPr>
                <w:rFonts w:asciiTheme="minorHAnsi" w:hAnsiTheme="minorHAnsi" w:cstheme="minorHAnsi"/>
                <w:szCs w:val="24"/>
                <w:lang w:val="es-ES"/>
              </w:rPr>
              <w:t xml:space="preserve"> infraestructuras de las TIC y la asequibilidad </w:t>
            </w:r>
            <w:r w:rsidR="008B415A" w:rsidRPr="00F767CD">
              <w:rPr>
                <w:rFonts w:asciiTheme="minorHAnsi" w:hAnsiTheme="minorHAnsi" w:cstheme="minorHAnsi"/>
                <w:szCs w:val="24"/>
                <w:lang w:val="es-ES"/>
              </w:rPr>
              <w:t>(ODS 9, meta 9c). El Informe desataca que mientras que el acceso a Internet ha aumentado considerablemente, 800 millones de personas de los PMA siguen sin estar conectados, y que</w:t>
            </w:r>
            <w:r w:rsidR="003519CD">
              <w:rPr>
                <w:rFonts w:asciiTheme="minorHAnsi" w:hAnsiTheme="minorHAnsi" w:cstheme="minorHAnsi"/>
                <w:szCs w:val="24"/>
                <w:lang w:val="es-ES"/>
              </w:rPr>
              <w:t xml:space="preserve"> en 2020</w:t>
            </w:r>
            <w:r w:rsidR="008B415A" w:rsidRPr="00F767CD">
              <w:rPr>
                <w:rFonts w:asciiTheme="minorHAnsi" w:hAnsiTheme="minorHAnsi" w:cstheme="minorHAnsi"/>
                <w:szCs w:val="24"/>
                <w:lang w:val="es-ES"/>
              </w:rPr>
              <w:t xml:space="preserve"> menos de 1 de cada 4 habitantes de los PMA usará Internet. Muchas personas carecen de los conocimientos necesarios y los gobiernos necesitan vincular los planes estratégicos del sector de las TIC con las políticas educativas. El Informe también ofrece un nuevo marco tridimensional que clasifica los PMA en tres categorías en base a su situación global en las áreas de acceso, asequibilidad y competencias. Con ello se ayuda a los países a identificar las áreas más críticas y dónde es necesario dirigir las políticas y los recursos financieros y humanos</w:t>
            </w:r>
            <w:r w:rsidR="003519CD" w:rsidRPr="00F767CD">
              <w:rPr>
                <w:rFonts w:asciiTheme="minorHAnsi" w:hAnsiTheme="minorHAnsi" w:cstheme="minorHAnsi"/>
                <w:szCs w:val="24"/>
                <w:lang w:val="es-ES"/>
              </w:rPr>
              <w:t xml:space="preserve"> escasos</w:t>
            </w:r>
            <w:r w:rsidR="008B415A" w:rsidRPr="00F767CD">
              <w:rPr>
                <w:rFonts w:asciiTheme="minorHAnsi" w:hAnsiTheme="minorHAnsi" w:cstheme="minorHAnsi"/>
                <w:szCs w:val="24"/>
                <w:lang w:val="es-ES"/>
              </w:rPr>
              <w:t xml:space="preserve">. </w:t>
            </w:r>
          </w:p>
          <w:p w:rsidR="00E55103" w:rsidRPr="00F767CD" w:rsidRDefault="00D9697F" w:rsidP="00483815">
            <w:pPr>
              <w:spacing w:after="120"/>
              <w:rPr>
                <w:rFonts w:asciiTheme="minorHAnsi" w:hAnsiTheme="minorHAnsi" w:cstheme="minorHAnsi"/>
                <w:szCs w:val="24"/>
                <w:lang w:val="es-ES"/>
              </w:rPr>
            </w:pPr>
            <w:r w:rsidRPr="00F767CD">
              <w:rPr>
                <w:rFonts w:asciiTheme="minorHAnsi" w:hAnsiTheme="minorHAnsi" w:cstheme="minorHAnsi"/>
                <w:szCs w:val="24"/>
                <w:lang w:val="es-ES"/>
              </w:rPr>
              <w:t xml:space="preserve">La BDT también elaboró estudios de caso de país para los PDSL Bolivia y Paraguay, analizando los retos y las oportunidades de </w:t>
            </w:r>
            <w:r w:rsidR="003519CD">
              <w:rPr>
                <w:rFonts w:asciiTheme="minorHAnsi" w:hAnsiTheme="minorHAnsi" w:cstheme="minorHAnsi"/>
                <w:szCs w:val="24"/>
                <w:lang w:val="es-ES"/>
              </w:rPr>
              <w:t xml:space="preserve">la </w:t>
            </w:r>
            <w:r w:rsidRPr="00F767CD">
              <w:rPr>
                <w:rFonts w:asciiTheme="minorHAnsi" w:hAnsiTheme="minorHAnsi" w:cstheme="minorHAnsi"/>
                <w:szCs w:val="24"/>
                <w:lang w:val="es-ES"/>
              </w:rPr>
              <w:t xml:space="preserve">conectividad. </w:t>
            </w:r>
            <w:r w:rsidR="00F767CD" w:rsidRPr="00F767CD">
              <w:rPr>
                <w:rFonts w:asciiTheme="minorHAnsi" w:hAnsiTheme="minorHAnsi" w:cstheme="minorHAnsi"/>
                <w:szCs w:val="24"/>
                <w:lang w:val="es-ES"/>
              </w:rPr>
              <w:t>Durante</w:t>
            </w:r>
            <w:r w:rsidRPr="00F767CD">
              <w:rPr>
                <w:rFonts w:asciiTheme="minorHAnsi" w:hAnsiTheme="minorHAnsi" w:cstheme="minorHAnsi"/>
                <w:szCs w:val="24"/>
                <w:lang w:val="es-ES"/>
              </w:rPr>
              <w:t xml:space="preserve"> el año, la BDT siguió mejorando </w:t>
            </w:r>
            <w:r w:rsidR="000E6B1D" w:rsidRPr="00F767CD">
              <w:rPr>
                <w:rFonts w:asciiTheme="minorHAnsi" w:hAnsiTheme="minorHAnsi" w:cstheme="minorHAnsi"/>
                <w:szCs w:val="24"/>
                <w:lang w:val="es-ES"/>
              </w:rPr>
              <w:t xml:space="preserve">el acceso a la información y las </w:t>
            </w:r>
            <w:r w:rsidR="00F767CD" w:rsidRPr="00F767CD">
              <w:rPr>
                <w:rFonts w:asciiTheme="minorHAnsi" w:hAnsiTheme="minorHAnsi" w:cstheme="minorHAnsi"/>
                <w:szCs w:val="24"/>
                <w:lang w:val="es-ES"/>
              </w:rPr>
              <w:t>prácticas</w:t>
            </w:r>
            <w:r w:rsidR="000E6B1D" w:rsidRPr="00F767CD">
              <w:rPr>
                <w:rFonts w:asciiTheme="minorHAnsi" w:hAnsiTheme="minorHAnsi" w:cstheme="minorHAnsi"/>
                <w:szCs w:val="24"/>
                <w:lang w:val="es-ES"/>
              </w:rPr>
              <w:t xml:space="preserve"> idóneas y creó capacidad al </w:t>
            </w:r>
            <w:r w:rsidR="00F767CD" w:rsidRPr="00F767CD">
              <w:rPr>
                <w:rFonts w:asciiTheme="minorHAnsi" w:hAnsiTheme="minorHAnsi" w:cstheme="minorHAnsi"/>
                <w:szCs w:val="24"/>
                <w:lang w:val="es-ES"/>
              </w:rPr>
              <w:t>organizar</w:t>
            </w:r>
            <w:r w:rsidR="000E6B1D" w:rsidRPr="00F767CD">
              <w:rPr>
                <w:rFonts w:asciiTheme="minorHAnsi" w:hAnsiTheme="minorHAnsi" w:cstheme="minorHAnsi"/>
                <w:szCs w:val="24"/>
                <w:lang w:val="es-ES"/>
              </w:rPr>
              <w:t xml:space="preserve"> y asistir a varios talleres específicamente dirigidos a PMA, PEID y PDSL. </w:t>
            </w:r>
          </w:p>
        </w:tc>
      </w:tr>
      <w:tr w:rsidR="00E55103" w:rsidRPr="00F767CD" w:rsidTr="009009A1">
        <w:tc>
          <w:tcPr>
            <w:tcW w:w="2830" w:type="dxa"/>
          </w:tcPr>
          <w:p w:rsidR="00E55103" w:rsidRPr="00F767CD" w:rsidRDefault="00E55103" w:rsidP="00483815">
            <w:pPr>
              <w:keepNext/>
              <w:spacing w:before="0"/>
              <w:rPr>
                <w:rFonts w:asciiTheme="minorHAnsi" w:hAnsiTheme="minorHAnsi"/>
                <w:i/>
                <w:iCs/>
                <w:szCs w:val="24"/>
                <w:lang w:val="es-ES"/>
              </w:rPr>
            </w:pPr>
            <w:r w:rsidRPr="00F767CD">
              <w:rPr>
                <w:rFonts w:asciiTheme="minorHAnsi" w:hAnsiTheme="minorHAnsi"/>
                <w:i/>
                <w:iCs/>
                <w:szCs w:val="24"/>
                <w:lang w:val="es-ES"/>
              </w:rPr>
              <w:lastRenderedPageBreak/>
              <w:t>CMDT</w:t>
            </w:r>
          </w:p>
        </w:tc>
        <w:tc>
          <w:tcPr>
            <w:tcW w:w="6798" w:type="dxa"/>
          </w:tcPr>
          <w:p w:rsidR="00E55103" w:rsidRPr="00F767CD" w:rsidRDefault="00E55103" w:rsidP="00483815">
            <w:pPr>
              <w:spacing w:before="0"/>
              <w:rPr>
                <w:rFonts w:asciiTheme="minorHAnsi" w:hAnsiTheme="minorHAnsi"/>
                <w:szCs w:val="24"/>
                <w:lang w:val="es-ES"/>
              </w:rPr>
            </w:pPr>
            <w:bookmarkStart w:id="76" w:name="lt_pId483"/>
            <w:r w:rsidRPr="00F767CD">
              <w:rPr>
                <w:rFonts w:asciiTheme="minorHAnsi" w:hAnsiTheme="minorHAnsi"/>
                <w:szCs w:val="24"/>
                <w:lang w:val="es-ES"/>
              </w:rPr>
              <w:t>Resoluciones 16, 17, 18, 21, 25, 26, 30, 33, 36, 37, 50, 51, 52, 53, 57, 60</w:t>
            </w:r>
            <w:bookmarkEnd w:id="76"/>
          </w:p>
        </w:tc>
      </w:tr>
      <w:tr w:rsidR="00E55103" w:rsidRPr="004E44DD" w:rsidTr="009009A1">
        <w:tc>
          <w:tcPr>
            <w:tcW w:w="2830" w:type="dxa"/>
          </w:tcPr>
          <w:p w:rsidR="00E55103" w:rsidRPr="00F767CD" w:rsidRDefault="00E55103" w:rsidP="00483815">
            <w:pPr>
              <w:spacing w:before="60" w:after="60"/>
              <w:rPr>
                <w:rFonts w:asciiTheme="minorHAnsi" w:hAnsiTheme="minorHAnsi"/>
                <w:i/>
                <w:iCs/>
                <w:szCs w:val="24"/>
                <w:lang w:val="es-ES"/>
              </w:rPr>
            </w:pPr>
            <w:r w:rsidRPr="00F767CD">
              <w:rPr>
                <w:rFonts w:asciiTheme="minorHAnsi" w:hAnsiTheme="minorHAnsi"/>
                <w:i/>
                <w:iCs/>
                <w:szCs w:val="24"/>
                <w:lang w:val="es-ES"/>
              </w:rPr>
              <w:t>Conferencia de Plenipotenciarios</w:t>
            </w:r>
          </w:p>
        </w:tc>
        <w:tc>
          <w:tcPr>
            <w:tcW w:w="6798" w:type="dxa"/>
          </w:tcPr>
          <w:p w:rsidR="00E55103" w:rsidRPr="00F767CD" w:rsidRDefault="00E55103" w:rsidP="00483815">
            <w:pPr>
              <w:spacing w:before="60" w:after="60"/>
              <w:rPr>
                <w:szCs w:val="24"/>
                <w:lang w:val="es-ES"/>
              </w:rPr>
            </w:pPr>
            <w:r w:rsidRPr="00F767CD">
              <w:rPr>
                <w:rFonts w:asciiTheme="minorHAnsi" w:hAnsiTheme="minorHAnsi"/>
                <w:szCs w:val="24"/>
                <w:lang w:val="es-ES"/>
              </w:rPr>
              <w:t>Decisiones de la PP: 5 y 13</w:t>
            </w:r>
            <w:r w:rsidRPr="00F767CD">
              <w:rPr>
                <w:rFonts w:asciiTheme="minorHAnsi" w:hAnsiTheme="minorHAnsi"/>
                <w:szCs w:val="24"/>
                <w:lang w:val="es-ES"/>
              </w:rPr>
              <w:br/>
              <w:t>Resoluciones de la PP: 25, 30, 32, 33, 34, 36, 70, 71, 123, 124, 125, 126, 127, 135, 159, 160, 161, 193 y 202</w:t>
            </w:r>
          </w:p>
        </w:tc>
      </w:tr>
      <w:tr w:rsidR="00E55103" w:rsidRPr="00F767CD" w:rsidTr="009009A1">
        <w:tc>
          <w:tcPr>
            <w:tcW w:w="2830" w:type="dxa"/>
          </w:tcPr>
          <w:p w:rsidR="00E55103" w:rsidRPr="00F767CD" w:rsidRDefault="00E55103" w:rsidP="00483815">
            <w:pPr>
              <w:spacing w:before="60" w:after="60"/>
              <w:rPr>
                <w:rFonts w:asciiTheme="minorHAnsi" w:hAnsiTheme="minorHAnsi"/>
                <w:i/>
                <w:iCs/>
                <w:szCs w:val="24"/>
                <w:lang w:val="es-ES"/>
              </w:rPr>
            </w:pPr>
            <w:r w:rsidRPr="00F767CD">
              <w:rPr>
                <w:rFonts w:asciiTheme="minorHAnsi" w:hAnsiTheme="minorHAnsi"/>
                <w:i/>
                <w:iCs/>
                <w:szCs w:val="24"/>
                <w:lang w:val="es-ES"/>
              </w:rPr>
              <w:t>CMR</w:t>
            </w:r>
          </w:p>
        </w:tc>
        <w:tc>
          <w:tcPr>
            <w:tcW w:w="6798" w:type="dxa"/>
          </w:tcPr>
          <w:p w:rsidR="00E55103" w:rsidRPr="00F767CD" w:rsidRDefault="00E55103" w:rsidP="00483815">
            <w:pPr>
              <w:spacing w:before="60" w:after="60"/>
              <w:rPr>
                <w:rFonts w:asciiTheme="minorHAnsi" w:hAnsiTheme="minorHAnsi"/>
                <w:szCs w:val="24"/>
                <w:lang w:val="es-ES"/>
              </w:rPr>
            </w:pPr>
            <w:bookmarkStart w:id="77" w:name="lt_pId488"/>
            <w:r w:rsidRPr="00F767CD">
              <w:rPr>
                <w:rFonts w:asciiTheme="minorHAnsi" w:hAnsiTheme="minorHAnsi"/>
                <w:szCs w:val="24"/>
                <w:lang w:val="es-ES"/>
              </w:rPr>
              <w:t>Resolución 12</w:t>
            </w:r>
            <w:bookmarkEnd w:id="77"/>
          </w:p>
        </w:tc>
      </w:tr>
      <w:tr w:rsidR="00E55103" w:rsidRPr="00F767CD" w:rsidTr="009009A1">
        <w:tc>
          <w:tcPr>
            <w:tcW w:w="2830" w:type="dxa"/>
          </w:tcPr>
          <w:p w:rsidR="00E55103" w:rsidRPr="00F767CD" w:rsidRDefault="00E55103" w:rsidP="00483815">
            <w:pPr>
              <w:spacing w:before="60" w:after="60"/>
              <w:rPr>
                <w:rFonts w:asciiTheme="minorHAnsi" w:hAnsiTheme="minorHAnsi"/>
                <w:i/>
                <w:iCs/>
                <w:szCs w:val="24"/>
                <w:lang w:val="es-ES"/>
              </w:rPr>
            </w:pPr>
            <w:r w:rsidRPr="00F767CD">
              <w:rPr>
                <w:rFonts w:asciiTheme="minorHAnsi" w:hAnsiTheme="minorHAnsi"/>
                <w:i/>
                <w:iCs/>
                <w:szCs w:val="24"/>
                <w:lang w:val="es-ES"/>
              </w:rPr>
              <w:t>CMTI</w:t>
            </w:r>
          </w:p>
        </w:tc>
        <w:tc>
          <w:tcPr>
            <w:tcW w:w="6798" w:type="dxa"/>
          </w:tcPr>
          <w:p w:rsidR="00E55103" w:rsidRPr="00F767CD" w:rsidRDefault="00E55103" w:rsidP="00483815">
            <w:pPr>
              <w:spacing w:before="60" w:after="60"/>
              <w:rPr>
                <w:rFonts w:asciiTheme="minorHAnsi" w:hAnsiTheme="minorHAnsi"/>
                <w:szCs w:val="24"/>
                <w:lang w:val="es-ES"/>
              </w:rPr>
            </w:pPr>
            <w:bookmarkStart w:id="78" w:name="lt_pId490"/>
            <w:r w:rsidRPr="00F767CD">
              <w:rPr>
                <w:rFonts w:asciiTheme="minorHAnsi" w:hAnsiTheme="minorHAnsi"/>
                <w:iCs/>
                <w:szCs w:val="24"/>
                <w:lang w:val="es-ES"/>
              </w:rPr>
              <w:t>Resolución</w:t>
            </w:r>
            <w:r w:rsidRPr="00F767CD">
              <w:rPr>
                <w:rFonts w:asciiTheme="minorHAnsi" w:hAnsiTheme="minorHAnsi"/>
                <w:szCs w:val="24"/>
                <w:lang w:val="es-ES"/>
              </w:rPr>
              <w:t xml:space="preserve"> 1</w:t>
            </w:r>
            <w:bookmarkEnd w:id="78"/>
          </w:p>
        </w:tc>
      </w:tr>
      <w:tr w:rsidR="00E55103" w:rsidRPr="004E44DD" w:rsidTr="009009A1">
        <w:tc>
          <w:tcPr>
            <w:tcW w:w="2830" w:type="dxa"/>
          </w:tcPr>
          <w:p w:rsidR="00E55103" w:rsidRPr="00F767CD" w:rsidRDefault="00E55103" w:rsidP="00483815">
            <w:pPr>
              <w:spacing w:before="60" w:after="60"/>
              <w:rPr>
                <w:i/>
                <w:iCs/>
                <w:szCs w:val="24"/>
                <w:lang w:val="es-ES"/>
              </w:rPr>
            </w:pPr>
            <w:r w:rsidRPr="00F767CD">
              <w:rPr>
                <w:rFonts w:asciiTheme="minorHAnsi" w:hAnsiTheme="minorHAnsi"/>
                <w:i/>
                <w:iCs/>
                <w:szCs w:val="24"/>
                <w:lang w:val="es-ES"/>
              </w:rPr>
              <w:t>Línea de Acción de la CMSI</w:t>
            </w:r>
          </w:p>
        </w:tc>
        <w:tc>
          <w:tcPr>
            <w:tcW w:w="6798" w:type="dxa"/>
          </w:tcPr>
          <w:p w:rsidR="00E55103" w:rsidRPr="00F767CD" w:rsidRDefault="00E55103" w:rsidP="00483815">
            <w:pPr>
              <w:spacing w:before="60" w:after="60"/>
              <w:rPr>
                <w:szCs w:val="24"/>
                <w:lang w:val="es-ES"/>
              </w:rPr>
            </w:pPr>
            <w:r w:rsidRPr="00F767CD">
              <w:rPr>
                <w:rFonts w:asciiTheme="minorHAnsi" w:hAnsiTheme="minorHAnsi"/>
                <w:szCs w:val="24"/>
                <w:lang w:val="es-ES"/>
              </w:rPr>
              <w:t>Líneas de Acción de la CMSI C4 y C7 del Plan de Acción de Ginebra y los párrafos 9, 23, 26, 49, 59, 87 y 95 de la Agenda de Túnez para la Sociedad de la Información</w:t>
            </w:r>
          </w:p>
        </w:tc>
      </w:tr>
      <w:tr w:rsidR="00E55103" w:rsidRPr="004E44DD" w:rsidTr="009009A1">
        <w:tc>
          <w:tcPr>
            <w:tcW w:w="2830" w:type="dxa"/>
          </w:tcPr>
          <w:p w:rsidR="00E55103" w:rsidRPr="00F767CD" w:rsidRDefault="00E55103" w:rsidP="00483815">
            <w:pPr>
              <w:spacing w:before="60" w:after="60"/>
              <w:rPr>
                <w:rFonts w:asciiTheme="minorHAnsi" w:hAnsiTheme="minorHAnsi"/>
                <w:i/>
                <w:iCs/>
                <w:szCs w:val="24"/>
                <w:lang w:val="es-ES"/>
              </w:rPr>
            </w:pPr>
            <w:r w:rsidRPr="00F767CD">
              <w:rPr>
                <w:rFonts w:asciiTheme="minorHAnsi" w:hAnsiTheme="minorHAnsi"/>
                <w:i/>
                <w:iCs/>
                <w:szCs w:val="24"/>
                <w:lang w:val="es-ES"/>
              </w:rPr>
              <w:t>Contribución a las metas de los ODS</w:t>
            </w:r>
          </w:p>
        </w:tc>
        <w:tc>
          <w:tcPr>
            <w:tcW w:w="6798" w:type="dxa"/>
          </w:tcPr>
          <w:p w:rsidR="00E55103" w:rsidRPr="00F767CD" w:rsidRDefault="00E55103" w:rsidP="00483815">
            <w:pPr>
              <w:spacing w:before="60" w:after="60"/>
              <w:rPr>
                <w:rFonts w:asciiTheme="minorHAnsi" w:hAnsiTheme="minorHAnsi"/>
                <w:szCs w:val="24"/>
                <w:lang w:val="es-ES"/>
              </w:rPr>
            </w:pPr>
            <w:r w:rsidRPr="00F767CD">
              <w:rPr>
                <w:rFonts w:asciiTheme="minorHAnsi" w:hAnsiTheme="minorHAnsi"/>
                <w:szCs w:val="24"/>
                <w:lang w:val="es-ES"/>
              </w:rPr>
              <w:t>ODS: 1 (meta 1.4), 3, 4 (metas 4.3, 4.5, 4.6, 4.a, 4.b), 5 (meta 5.b), 6, 8 (meta 8.5), 9 (metas (9.1, 9.2, 9.5, 9.a, 9.c), 10 (metas 10.2, 10.b), 11 (metas 11.1, 11.2, 11.7), 12 (meta 12.b), 13 (meta 13.b), 14, 15, 16, 17 (metas 17.7, 17.8, 17.9, 17.18)</w:t>
            </w:r>
          </w:p>
        </w:tc>
      </w:tr>
    </w:tbl>
    <w:p w:rsidR="00E55103" w:rsidRPr="00F767CD" w:rsidRDefault="00E55103" w:rsidP="00483815">
      <w:pPr>
        <w:pStyle w:val="Heading1"/>
        <w:keepNext w:val="0"/>
        <w:keepLines w:val="0"/>
        <w:rPr>
          <w:i/>
          <w:iCs/>
          <w:lang w:val="es-ES"/>
        </w:rPr>
      </w:pPr>
      <w:r w:rsidRPr="00F767CD">
        <w:rPr>
          <w:lang w:val="es-ES"/>
        </w:rPr>
        <w:t>5</w:t>
      </w:r>
      <w:r w:rsidRPr="00F767CD">
        <w:rPr>
          <w:lang w:val="es-ES"/>
        </w:rPr>
        <w:tab/>
        <w:t>Objetivo 5</w:t>
      </w:r>
      <w:r w:rsidRPr="00F767CD">
        <w:rPr>
          <w:i/>
          <w:iCs/>
          <w:lang w:val="es-ES"/>
        </w:rPr>
        <w:t>: "Mejorar la protección medioambiental, la adaptación al cambio climático y la mitigación de sus efectos y la gestión de catástrofes por medio de las telecomunicaciones/TIC"</w:t>
      </w:r>
    </w:p>
    <w:p w:rsidR="00E55103" w:rsidRPr="00F767CD" w:rsidRDefault="00E55103" w:rsidP="00483815">
      <w:pPr>
        <w:pStyle w:val="Heading2"/>
        <w:keepNext w:val="0"/>
        <w:keepLines w:val="0"/>
        <w:spacing w:after="120"/>
        <w:rPr>
          <w:lang w:val="es-ES"/>
        </w:rPr>
      </w:pPr>
      <w:r w:rsidRPr="00F767CD">
        <w:rPr>
          <w:lang w:val="es-ES"/>
        </w:rPr>
        <w:t>5.1</w:t>
      </w:r>
      <w:r w:rsidRPr="00F767CD">
        <w:rPr>
          <w:lang w:val="es-ES"/>
        </w:rPr>
        <w:tab/>
        <w:t xml:space="preserve">Las TIC y adaptación al cambio climático y mitigación de sus efectos </w:t>
      </w:r>
    </w:p>
    <w:tbl>
      <w:tblPr>
        <w:tblStyle w:val="TableGrid"/>
        <w:tblW w:w="0" w:type="auto"/>
        <w:tblLook w:val="04A0" w:firstRow="1" w:lastRow="0" w:firstColumn="1" w:lastColumn="0" w:noHBand="0" w:noVBand="1"/>
      </w:tblPr>
      <w:tblGrid>
        <w:gridCol w:w="2972"/>
        <w:gridCol w:w="6656"/>
      </w:tblGrid>
      <w:tr w:rsidR="00F767CD" w:rsidRPr="004E44DD" w:rsidTr="009009A1">
        <w:trPr>
          <w:trHeight w:val="1416"/>
        </w:trPr>
        <w:tc>
          <w:tcPr>
            <w:tcW w:w="9628" w:type="dxa"/>
            <w:gridSpan w:val="2"/>
          </w:tcPr>
          <w:p w:rsidR="00F767CD" w:rsidRPr="00F767CD" w:rsidRDefault="00F767CD" w:rsidP="00483815">
            <w:pPr>
              <w:rPr>
                <w:rFonts w:asciiTheme="minorHAnsi" w:eastAsiaTheme="majorEastAsia" w:hAnsiTheme="minorHAnsi" w:cstheme="minorHAnsi"/>
                <w:lang w:val="es-ES"/>
              </w:rPr>
            </w:pPr>
            <w:r w:rsidRPr="00F767CD">
              <w:rPr>
                <w:rFonts w:asciiTheme="minorHAnsi" w:eastAsiaTheme="majorEastAsia" w:hAnsiTheme="minorHAnsi" w:cstheme="minorHAnsi"/>
                <w:lang w:val="es-ES"/>
              </w:rPr>
              <w:lastRenderedPageBreak/>
              <w:t xml:space="preserve">La BDT crea capacidad en </w:t>
            </w:r>
            <w:r w:rsidR="003519CD">
              <w:rPr>
                <w:rFonts w:asciiTheme="minorHAnsi" w:eastAsiaTheme="majorEastAsia" w:hAnsiTheme="minorHAnsi" w:cstheme="minorHAnsi"/>
                <w:lang w:val="es-ES"/>
              </w:rPr>
              <w:t>las áreas</w:t>
            </w:r>
            <w:r w:rsidRPr="00F767CD">
              <w:rPr>
                <w:rFonts w:asciiTheme="minorHAnsi" w:eastAsiaTheme="majorEastAsia" w:hAnsiTheme="minorHAnsi" w:cstheme="minorHAnsi"/>
                <w:lang w:val="es-ES"/>
              </w:rPr>
              <w:t xml:space="preserve"> de cambio climático y de</w:t>
            </w:r>
            <w:r w:rsidR="003519CD">
              <w:rPr>
                <w:rFonts w:asciiTheme="minorHAnsi" w:eastAsiaTheme="majorEastAsia" w:hAnsiTheme="minorHAnsi" w:cstheme="minorHAnsi"/>
                <w:lang w:val="es-ES"/>
              </w:rPr>
              <w:t xml:space="preserve"> </w:t>
            </w:r>
            <w:r w:rsidRPr="00F767CD">
              <w:rPr>
                <w:rFonts w:asciiTheme="minorHAnsi" w:eastAsiaTheme="majorEastAsia" w:hAnsiTheme="minorHAnsi" w:cstheme="minorHAnsi"/>
                <w:lang w:val="es-ES"/>
              </w:rPr>
              <w:t>residuos electrónicos mediante la organización de varios talleres y sesiones de formación, inclu</w:t>
            </w:r>
            <w:r w:rsidR="003519CD">
              <w:rPr>
                <w:rFonts w:asciiTheme="minorHAnsi" w:eastAsiaTheme="majorEastAsia" w:hAnsiTheme="minorHAnsi" w:cstheme="minorHAnsi"/>
                <w:lang w:val="es-ES"/>
              </w:rPr>
              <w:t>i</w:t>
            </w:r>
            <w:r w:rsidRPr="00F767CD">
              <w:rPr>
                <w:rFonts w:asciiTheme="minorHAnsi" w:eastAsiaTheme="majorEastAsia" w:hAnsiTheme="minorHAnsi" w:cstheme="minorHAnsi"/>
                <w:lang w:val="es-ES"/>
              </w:rPr>
              <w:t xml:space="preserve">do </w:t>
            </w:r>
            <w:r w:rsidR="003519CD">
              <w:rPr>
                <w:rFonts w:asciiTheme="minorHAnsi" w:eastAsiaTheme="majorEastAsia" w:hAnsiTheme="minorHAnsi" w:cstheme="minorHAnsi"/>
                <w:lang w:val="es-ES"/>
              </w:rPr>
              <w:t xml:space="preserve">sobre </w:t>
            </w:r>
            <w:r w:rsidRPr="00F767CD">
              <w:rPr>
                <w:rFonts w:asciiTheme="minorHAnsi" w:eastAsiaTheme="majorEastAsia" w:hAnsiTheme="minorHAnsi" w:cstheme="minorHAnsi"/>
                <w:lang w:val="es-ES"/>
              </w:rPr>
              <w:t xml:space="preserve">estadísticas de residuos electrónicos, campos </w:t>
            </w:r>
            <w:r w:rsidR="00597431" w:rsidRPr="00F767CD">
              <w:rPr>
                <w:rFonts w:asciiTheme="minorHAnsi" w:eastAsiaTheme="majorEastAsia" w:hAnsiTheme="minorHAnsi" w:cstheme="minorHAnsi"/>
                <w:lang w:val="es-ES"/>
              </w:rPr>
              <w:t>electromagnéticos</w:t>
            </w:r>
            <w:r w:rsidRPr="00F767CD">
              <w:rPr>
                <w:rFonts w:asciiTheme="minorHAnsi" w:eastAsiaTheme="majorEastAsia" w:hAnsiTheme="minorHAnsi" w:cstheme="minorHAnsi"/>
                <w:lang w:val="es-ES"/>
              </w:rPr>
              <w:t>, cambio climático y la función de las TIC en la mitigación del cambio climático</w:t>
            </w:r>
          </w:p>
          <w:p w:rsidR="00F767CD" w:rsidRPr="00F767CD" w:rsidRDefault="00F767CD" w:rsidP="00483815">
            <w:pPr>
              <w:rPr>
                <w:rFonts w:asciiTheme="minorHAnsi" w:eastAsiaTheme="majorEastAsia" w:hAnsiTheme="minorHAnsi" w:cstheme="minorHAnsi"/>
                <w:lang w:val="es-ES"/>
              </w:rPr>
            </w:pPr>
            <w:r w:rsidRPr="00F767CD">
              <w:rPr>
                <w:rFonts w:asciiTheme="minorHAnsi" w:eastAsiaTheme="majorEastAsia" w:hAnsiTheme="minorHAnsi" w:cstheme="minorHAnsi"/>
                <w:lang w:val="es-ES"/>
              </w:rPr>
              <w:t xml:space="preserve">La UIT sigue reforzando sus actividades con la Asociación Global E-waste Statistics </w:t>
            </w:r>
            <w:r w:rsidR="004C66CA">
              <w:rPr>
                <w:rFonts w:asciiTheme="minorHAnsi" w:eastAsiaTheme="majorEastAsia" w:hAnsiTheme="minorHAnsi" w:cstheme="minorHAnsi"/>
                <w:lang w:val="es-ES"/>
              </w:rPr>
              <w:t>de la cual forman parte</w:t>
            </w:r>
            <w:r w:rsidRPr="00F767CD">
              <w:rPr>
                <w:rFonts w:asciiTheme="minorHAnsi" w:eastAsiaTheme="majorEastAsia" w:hAnsiTheme="minorHAnsi" w:cstheme="minorHAnsi"/>
                <w:lang w:val="es-ES"/>
              </w:rPr>
              <w:t xml:space="preserve"> la UIT, la</w:t>
            </w:r>
            <w:r w:rsidRPr="00F767CD">
              <w:rPr>
                <w:lang w:val="es-ES"/>
              </w:rPr>
              <w:t xml:space="preserve"> </w:t>
            </w:r>
            <w:r w:rsidRPr="00F767CD">
              <w:rPr>
                <w:rFonts w:asciiTheme="minorHAnsi" w:eastAsiaTheme="majorEastAsia" w:hAnsiTheme="minorHAnsi" w:cstheme="minorHAnsi"/>
                <w:lang w:val="es-ES"/>
              </w:rPr>
              <w:t>Universidad de las Naciones Unidas (UNU) y la Asociación Internacional de Residuos Sólidos (ISWA). Esta Asociación publicó el informe "Global E-waste Monitor</w:t>
            </w:r>
            <w:r w:rsidR="00E307D0">
              <w:rPr>
                <w:rFonts w:asciiTheme="minorHAnsi" w:eastAsiaTheme="majorEastAsia" w:hAnsiTheme="minorHAnsi" w:cstheme="minorHAnsi"/>
                <w:lang w:val="es-ES"/>
              </w:rPr>
              <w:t>"</w:t>
            </w:r>
            <w:r w:rsidRPr="00F767CD">
              <w:rPr>
                <w:rFonts w:asciiTheme="minorHAnsi" w:eastAsiaTheme="majorEastAsia" w:hAnsiTheme="minorHAnsi" w:cstheme="minorHAnsi"/>
                <w:lang w:val="es-ES"/>
              </w:rPr>
              <w:t xml:space="preserve"> que cuantifica los retos en materia de residuos electrónicos y elabora estadísticas de los mismos a nivel nacional y regional. El informe indica que se generan cerca de 45 millones de toneladas de residuos electrónicos cada año. Los datos del informe muestran también que, aunque un número cada vez mayor de países y personas disponen de una legislación sobre residuos electrónicos, solamente un 20 % de estos residuos se documentan oficialmente y reciclan. </w:t>
            </w:r>
          </w:p>
          <w:p w:rsidR="00F767CD" w:rsidRPr="00F767CD" w:rsidRDefault="00F767CD" w:rsidP="00483815">
            <w:pPr>
              <w:rPr>
                <w:rFonts w:asciiTheme="minorHAnsi" w:eastAsiaTheme="majorEastAsia" w:hAnsiTheme="minorHAnsi" w:cstheme="minorHAnsi"/>
                <w:lang w:val="es-ES"/>
              </w:rPr>
            </w:pPr>
            <w:r w:rsidRPr="00F767CD">
              <w:rPr>
                <w:rFonts w:asciiTheme="minorHAnsi" w:eastAsiaTheme="majorEastAsia" w:hAnsiTheme="minorHAnsi" w:cstheme="minorHAnsi"/>
                <w:lang w:val="es-ES"/>
              </w:rPr>
              <w:t xml:space="preserve">La BDT es un miembro activo del Grupo de Gestión Ambiental (GGA) de las Naciones Unidas y es un miembro esencial </w:t>
            </w:r>
            <w:r w:rsidR="004C66CA">
              <w:rPr>
                <w:rFonts w:asciiTheme="minorHAnsi" w:eastAsiaTheme="majorEastAsia" w:hAnsiTheme="minorHAnsi" w:cstheme="minorHAnsi"/>
                <w:lang w:val="es-ES"/>
              </w:rPr>
              <w:t xml:space="preserve">en el funcionamiento </w:t>
            </w:r>
            <w:r w:rsidRPr="00F767CD">
              <w:rPr>
                <w:rFonts w:asciiTheme="minorHAnsi" w:eastAsiaTheme="majorEastAsia" w:hAnsiTheme="minorHAnsi" w:cstheme="minorHAnsi"/>
                <w:lang w:val="es-ES"/>
              </w:rPr>
              <w:t xml:space="preserve">de la Coalición sobre residuos electrónicos que se creó durante una sesión de dialogo de alto nivel </w:t>
            </w:r>
            <w:r w:rsidR="00E307D0">
              <w:rPr>
                <w:rFonts w:asciiTheme="minorHAnsi" w:eastAsiaTheme="majorEastAsia" w:hAnsiTheme="minorHAnsi" w:cstheme="minorHAnsi"/>
                <w:lang w:val="es-ES"/>
              </w:rPr>
              <w:t>"</w:t>
            </w:r>
            <w:r w:rsidRPr="00F767CD">
              <w:rPr>
                <w:rFonts w:asciiTheme="minorHAnsi" w:eastAsiaTheme="majorEastAsia" w:hAnsiTheme="minorHAnsi" w:cstheme="minorHAnsi"/>
                <w:lang w:val="es-ES"/>
              </w:rPr>
              <w:t>Creación de la Coalición sobre residuos electrónicos</w:t>
            </w:r>
            <w:r w:rsidR="00E307D0">
              <w:rPr>
                <w:rFonts w:asciiTheme="minorHAnsi" w:eastAsiaTheme="majorEastAsia" w:hAnsiTheme="minorHAnsi" w:cstheme="minorHAnsi"/>
                <w:lang w:val="es-ES"/>
              </w:rPr>
              <w:t>"</w:t>
            </w:r>
            <w:r w:rsidRPr="00F767CD">
              <w:rPr>
                <w:rFonts w:asciiTheme="minorHAnsi" w:eastAsiaTheme="majorEastAsia" w:hAnsiTheme="minorHAnsi" w:cstheme="minorHAnsi"/>
                <w:lang w:val="es-ES"/>
              </w:rPr>
              <w:t xml:space="preserve"> en el Foro de la CMSI de 2018. Al juntar siete responsables de organismos de las Naciones Unidas </w:t>
            </w:r>
            <w:r w:rsidR="004C66CA">
              <w:rPr>
                <w:rFonts w:asciiTheme="minorHAnsi" w:eastAsiaTheme="majorEastAsia" w:hAnsiTheme="minorHAnsi" w:cstheme="minorHAnsi"/>
                <w:lang w:val="es-ES"/>
              </w:rPr>
              <w:t>con actividades</w:t>
            </w:r>
            <w:r w:rsidRPr="00F767CD">
              <w:rPr>
                <w:rFonts w:asciiTheme="minorHAnsi" w:eastAsiaTheme="majorEastAsia" w:hAnsiTheme="minorHAnsi" w:cstheme="minorHAnsi"/>
                <w:lang w:val="es-ES"/>
              </w:rPr>
              <w:t xml:space="preserve"> en el ámbito de los residuos electrónicos, la Coalición sobre residuos electrónicos está elaborando una </w:t>
            </w:r>
            <w:r w:rsidR="004C66CA">
              <w:rPr>
                <w:rFonts w:asciiTheme="minorHAnsi" w:eastAsiaTheme="majorEastAsia" w:hAnsiTheme="minorHAnsi" w:cstheme="minorHAnsi"/>
                <w:lang w:val="es-ES"/>
              </w:rPr>
              <w:t xml:space="preserve">nueva </w:t>
            </w:r>
            <w:r w:rsidRPr="00F767CD">
              <w:rPr>
                <w:rFonts w:asciiTheme="minorHAnsi" w:eastAsiaTheme="majorEastAsia" w:hAnsiTheme="minorHAnsi" w:cstheme="minorHAnsi"/>
                <w:lang w:val="es-ES"/>
              </w:rPr>
              <w:t xml:space="preserve">visión hacia </w:t>
            </w:r>
            <w:r w:rsidR="004C66CA">
              <w:rPr>
                <w:rFonts w:asciiTheme="minorHAnsi" w:eastAsiaTheme="majorEastAsia" w:hAnsiTheme="minorHAnsi" w:cstheme="minorHAnsi"/>
                <w:lang w:val="es-ES"/>
              </w:rPr>
              <w:t>la</w:t>
            </w:r>
            <w:r w:rsidRPr="00F767CD">
              <w:rPr>
                <w:rFonts w:asciiTheme="minorHAnsi" w:eastAsiaTheme="majorEastAsia" w:hAnsiTheme="minorHAnsi" w:cstheme="minorHAnsi"/>
                <w:lang w:val="es-ES"/>
              </w:rPr>
              <w:t xml:space="preserve"> economía circular con una atención especial a los residuos electrónicos. Esta iniciativa aumenta la sensibilización sobre la necesidad de afrontar los retos en materia de residuos electrónicos y de proporcionar orientación a los sectores público y privado. </w:t>
            </w:r>
            <w:r w:rsidR="004C66CA">
              <w:rPr>
                <w:rFonts w:asciiTheme="minorHAnsi" w:eastAsiaTheme="majorEastAsia" w:hAnsiTheme="minorHAnsi" w:cstheme="minorHAnsi"/>
                <w:lang w:val="es-ES"/>
              </w:rPr>
              <w:t>La Coalición e</w:t>
            </w:r>
            <w:r w:rsidRPr="00F767CD">
              <w:rPr>
                <w:rFonts w:asciiTheme="minorHAnsi" w:eastAsiaTheme="majorEastAsia" w:hAnsiTheme="minorHAnsi" w:cstheme="minorHAnsi"/>
                <w:lang w:val="es-ES"/>
              </w:rPr>
              <w:t>stá apoyada por el Consejo Empresarial Mundial para el Desarrollo Sostenible (WBCSD) y el Foro Económico Mundial.</w:t>
            </w:r>
          </w:p>
          <w:p w:rsidR="00F767CD" w:rsidRPr="00F767CD" w:rsidRDefault="00F767CD" w:rsidP="00483815">
            <w:pPr>
              <w:rPr>
                <w:rFonts w:asciiTheme="minorHAnsi" w:eastAsiaTheme="majorEastAsia" w:hAnsiTheme="minorHAnsi" w:cstheme="minorHAnsi"/>
                <w:lang w:val="es-ES"/>
              </w:rPr>
            </w:pPr>
            <w:r w:rsidRPr="00F767CD">
              <w:rPr>
                <w:rFonts w:asciiTheme="minorHAnsi" w:eastAsiaTheme="majorEastAsia" w:hAnsiTheme="minorHAnsi" w:cstheme="minorHAnsi"/>
                <w:lang w:val="es-ES"/>
              </w:rPr>
              <w:t xml:space="preserve">La BDT publicó el manual para la elaboración de un marco de políticas sobre residuos electrónicos y de TIC para ayudar </w:t>
            </w:r>
            <w:r w:rsidR="004C66CA">
              <w:rPr>
                <w:rFonts w:asciiTheme="minorHAnsi" w:eastAsiaTheme="majorEastAsia" w:hAnsiTheme="minorHAnsi" w:cstheme="minorHAnsi"/>
                <w:lang w:val="es-ES"/>
              </w:rPr>
              <w:t>a</w:t>
            </w:r>
            <w:r w:rsidRPr="00F767CD">
              <w:rPr>
                <w:rFonts w:asciiTheme="minorHAnsi" w:eastAsiaTheme="majorEastAsia" w:hAnsiTheme="minorHAnsi" w:cstheme="minorHAnsi"/>
                <w:lang w:val="es-ES"/>
              </w:rPr>
              <w:t xml:space="preserve"> la creación de capacidad en la elaboración de políticas de residuos electrónicos. Este manual proporciona orientaciones sobre aspectos fundamentales que es necesario tener en cuenta cuando se elabora, implanta y mejora un marco legal, reglamentario y de políticas sobre residuos electrónicos y de TIC. El marco propuesto facilitará la gestión de los residuos electrónicos y de TIC en base a los conceptos de desarrollo sostenible, TIC verdes y economía circular. Se </w:t>
            </w:r>
            <w:r w:rsidR="004C66CA">
              <w:rPr>
                <w:rFonts w:asciiTheme="minorHAnsi" w:eastAsiaTheme="majorEastAsia" w:hAnsiTheme="minorHAnsi" w:cstheme="minorHAnsi"/>
                <w:lang w:val="es-ES"/>
              </w:rPr>
              <w:t>elaboró</w:t>
            </w:r>
            <w:r w:rsidRPr="00F767CD">
              <w:rPr>
                <w:rFonts w:asciiTheme="minorHAnsi" w:eastAsiaTheme="majorEastAsia" w:hAnsiTheme="minorHAnsi" w:cstheme="minorHAnsi"/>
                <w:lang w:val="es-ES"/>
              </w:rPr>
              <w:t xml:space="preserve"> un marco nacional de políticas y reglamentación de residuos electrónicos en Malawi en base a este Manual. </w:t>
            </w:r>
          </w:p>
          <w:p w:rsidR="00F767CD" w:rsidRPr="00F767CD" w:rsidRDefault="00F767CD" w:rsidP="00483815">
            <w:pPr>
              <w:rPr>
                <w:rFonts w:asciiTheme="minorHAnsi" w:eastAsiaTheme="majorEastAsia" w:hAnsiTheme="minorHAnsi"/>
                <w:lang w:val="es-ES"/>
              </w:rPr>
            </w:pPr>
            <w:r w:rsidRPr="00F767CD">
              <w:rPr>
                <w:rFonts w:asciiTheme="minorHAnsi" w:eastAsiaTheme="majorEastAsia" w:hAnsiTheme="minorHAnsi"/>
                <w:lang w:val="es-ES"/>
              </w:rPr>
              <w:t>La BDT finalizó la implementación del proyecto de planta piloto de residuos electrónicos desarrollado conjuntamente con la Univer</w:t>
            </w:r>
            <w:r w:rsidR="00E307D0">
              <w:rPr>
                <w:rFonts w:asciiTheme="minorHAnsi" w:eastAsiaTheme="majorEastAsia" w:hAnsiTheme="minorHAnsi"/>
                <w:lang w:val="es-ES"/>
              </w:rPr>
              <w:t xml:space="preserve">sidad de la Plata (Argentina). </w:t>
            </w:r>
            <w:r w:rsidRPr="00F767CD">
              <w:rPr>
                <w:rFonts w:asciiTheme="minorHAnsi" w:eastAsiaTheme="majorEastAsia" w:hAnsiTheme="minorHAnsi"/>
                <w:lang w:val="es-ES"/>
              </w:rPr>
              <w:t>La planta proporciona respuestas concretas a los problemas de los residuos electrónicos en las ciudades coherentes con los Objet</w:t>
            </w:r>
            <w:r w:rsidR="00E307D0">
              <w:rPr>
                <w:rFonts w:asciiTheme="minorHAnsi" w:eastAsiaTheme="majorEastAsia" w:hAnsiTheme="minorHAnsi"/>
                <w:lang w:val="es-ES"/>
              </w:rPr>
              <w:t xml:space="preserve">ivos de desarrollo Sostenible. </w:t>
            </w:r>
            <w:r w:rsidRPr="00F767CD">
              <w:rPr>
                <w:rFonts w:asciiTheme="minorHAnsi" w:eastAsiaTheme="majorEastAsia" w:hAnsiTheme="minorHAnsi"/>
                <w:lang w:val="es-ES"/>
              </w:rPr>
              <w:t xml:space="preserve">Este proyecto incluye la elaboración de un informe sobre las iniciativas de gestión de residuos electrónicos que han tenido éxito que proporciona información sobre diferentes iniciativas de gestión de residuos electrónicos en seis países </w:t>
            </w:r>
            <w:r w:rsidR="004C66CA">
              <w:rPr>
                <w:rFonts w:asciiTheme="minorHAnsi" w:eastAsiaTheme="majorEastAsia" w:hAnsiTheme="minorHAnsi"/>
                <w:lang w:val="es-ES"/>
              </w:rPr>
              <w:t xml:space="preserve">en el </w:t>
            </w:r>
            <w:r w:rsidRPr="00F767CD">
              <w:rPr>
                <w:rFonts w:asciiTheme="minorHAnsi" w:eastAsiaTheme="majorEastAsia" w:hAnsiTheme="minorHAnsi"/>
                <w:lang w:val="es-ES"/>
              </w:rPr>
              <w:t xml:space="preserve">mundo. </w:t>
            </w:r>
          </w:p>
        </w:tc>
      </w:tr>
      <w:tr w:rsidR="00E55103" w:rsidRPr="00F767CD" w:rsidTr="009009A1">
        <w:tc>
          <w:tcPr>
            <w:tcW w:w="2972" w:type="dxa"/>
          </w:tcPr>
          <w:p w:rsidR="00E55103" w:rsidRPr="00F767CD" w:rsidRDefault="00E55103" w:rsidP="00483815">
            <w:pPr>
              <w:spacing w:before="60" w:after="60"/>
              <w:rPr>
                <w:rFonts w:asciiTheme="minorHAnsi" w:hAnsiTheme="minorHAnsi"/>
                <w:i/>
                <w:iCs/>
                <w:szCs w:val="24"/>
                <w:lang w:val="es-ES"/>
              </w:rPr>
            </w:pPr>
            <w:r w:rsidRPr="00F767CD">
              <w:rPr>
                <w:rFonts w:asciiTheme="minorHAnsi" w:hAnsiTheme="minorHAnsi"/>
                <w:i/>
                <w:iCs/>
                <w:szCs w:val="24"/>
                <w:lang w:val="es-ES"/>
              </w:rPr>
              <w:t>CMDT</w:t>
            </w:r>
          </w:p>
        </w:tc>
        <w:tc>
          <w:tcPr>
            <w:tcW w:w="6656" w:type="dxa"/>
          </w:tcPr>
          <w:p w:rsidR="00E55103" w:rsidRPr="00F767CD" w:rsidRDefault="00E55103" w:rsidP="00483815">
            <w:pPr>
              <w:spacing w:before="60" w:after="60"/>
              <w:rPr>
                <w:rFonts w:asciiTheme="minorHAnsi" w:eastAsiaTheme="majorEastAsia" w:hAnsiTheme="minorHAnsi"/>
                <w:szCs w:val="24"/>
                <w:lang w:val="es-ES"/>
              </w:rPr>
            </w:pPr>
            <w:bookmarkStart w:id="79" w:name="lt_pId516"/>
            <w:r w:rsidRPr="00F767CD">
              <w:rPr>
                <w:rFonts w:asciiTheme="minorHAnsi" w:hAnsiTheme="minorHAnsi"/>
                <w:szCs w:val="24"/>
                <w:lang w:val="es-ES"/>
              </w:rPr>
              <w:t>Resoluciones 17, 21, 30, 32, 37, 50, 52, 53, 66</w:t>
            </w:r>
            <w:bookmarkEnd w:id="79"/>
          </w:p>
        </w:tc>
      </w:tr>
      <w:tr w:rsidR="00E55103" w:rsidRPr="004E44DD" w:rsidTr="009009A1">
        <w:tc>
          <w:tcPr>
            <w:tcW w:w="2972" w:type="dxa"/>
          </w:tcPr>
          <w:p w:rsidR="00E55103" w:rsidRPr="00F767CD" w:rsidRDefault="00E55103" w:rsidP="00483815">
            <w:pPr>
              <w:spacing w:before="60" w:after="60"/>
              <w:rPr>
                <w:rFonts w:asciiTheme="minorHAnsi" w:eastAsiaTheme="majorEastAsia" w:hAnsiTheme="minorHAnsi"/>
                <w:i/>
                <w:iCs/>
                <w:szCs w:val="24"/>
                <w:lang w:val="es-ES"/>
              </w:rPr>
            </w:pPr>
            <w:r w:rsidRPr="00F767CD">
              <w:rPr>
                <w:rFonts w:asciiTheme="minorHAnsi" w:hAnsiTheme="minorHAnsi"/>
                <w:i/>
                <w:iCs/>
                <w:szCs w:val="24"/>
                <w:lang w:val="es-ES"/>
              </w:rPr>
              <w:t>Conferencia de Plenipotenciarios</w:t>
            </w:r>
          </w:p>
        </w:tc>
        <w:tc>
          <w:tcPr>
            <w:tcW w:w="6656" w:type="dxa"/>
          </w:tcPr>
          <w:p w:rsidR="00E55103" w:rsidRPr="00F767CD" w:rsidRDefault="00E55103" w:rsidP="00483815">
            <w:pPr>
              <w:spacing w:before="60" w:after="60"/>
              <w:rPr>
                <w:rFonts w:eastAsiaTheme="majorEastAsia"/>
                <w:szCs w:val="24"/>
                <w:lang w:val="es-ES"/>
              </w:rPr>
            </w:pPr>
            <w:r w:rsidRPr="00F767CD">
              <w:rPr>
                <w:rFonts w:asciiTheme="minorHAnsi" w:hAnsiTheme="minorHAnsi"/>
                <w:szCs w:val="24"/>
                <w:lang w:val="es-ES"/>
              </w:rPr>
              <w:t>Decisiones</w:t>
            </w:r>
            <w:r w:rsidRPr="00F767CD">
              <w:rPr>
                <w:rFonts w:asciiTheme="minorHAnsi" w:eastAsiaTheme="majorEastAsia" w:hAnsiTheme="minorHAnsi"/>
                <w:szCs w:val="24"/>
                <w:lang w:val="es-ES"/>
              </w:rPr>
              <w:t xml:space="preserve"> de la PP: 5 y 13 </w:t>
            </w:r>
            <w:r w:rsidRPr="00F767CD">
              <w:rPr>
                <w:rFonts w:asciiTheme="minorHAnsi" w:eastAsiaTheme="majorEastAsia" w:hAnsiTheme="minorHAnsi"/>
                <w:szCs w:val="24"/>
                <w:lang w:val="es-ES"/>
              </w:rPr>
              <w:br/>
              <w:t>Resoluciones de la PP: 25, 71, 182</w:t>
            </w:r>
          </w:p>
        </w:tc>
      </w:tr>
      <w:tr w:rsidR="00E55103" w:rsidRPr="00F767CD" w:rsidTr="009009A1">
        <w:tc>
          <w:tcPr>
            <w:tcW w:w="2972" w:type="dxa"/>
          </w:tcPr>
          <w:p w:rsidR="00E55103" w:rsidRPr="00F767CD" w:rsidRDefault="00E55103" w:rsidP="00483815">
            <w:pPr>
              <w:spacing w:before="60" w:after="60"/>
              <w:rPr>
                <w:rFonts w:asciiTheme="minorHAnsi" w:hAnsiTheme="minorHAnsi"/>
                <w:i/>
                <w:iCs/>
                <w:szCs w:val="24"/>
                <w:lang w:val="es-ES"/>
              </w:rPr>
            </w:pPr>
            <w:r w:rsidRPr="00F767CD">
              <w:rPr>
                <w:rFonts w:asciiTheme="minorHAnsi" w:hAnsiTheme="minorHAnsi"/>
                <w:i/>
                <w:iCs/>
                <w:szCs w:val="24"/>
                <w:lang w:val="es-ES"/>
              </w:rPr>
              <w:t>AMNT</w:t>
            </w:r>
          </w:p>
        </w:tc>
        <w:tc>
          <w:tcPr>
            <w:tcW w:w="6656" w:type="dxa"/>
          </w:tcPr>
          <w:p w:rsidR="00E55103" w:rsidRPr="00F767CD" w:rsidRDefault="00E55103" w:rsidP="00483815">
            <w:pPr>
              <w:spacing w:before="60" w:after="60"/>
              <w:rPr>
                <w:rFonts w:asciiTheme="minorHAnsi" w:eastAsiaTheme="majorEastAsia" w:hAnsiTheme="minorHAnsi"/>
                <w:szCs w:val="24"/>
                <w:lang w:val="es-ES"/>
              </w:rPr>
            </w:pPr>
            <w:bookmarkStart w:id="80" w:name="lt_pId523"/>
            <w:r w:rsidRPr="00F767CD">
              <w:rPr>
                <w:rFonts w:asciiTheme="minorHAnsi" w:hAnsiTheme="minorHAnsi"/>
                <w:szCs w:val="24"/>
                <w:lang w:val="es-ES"/>
              </w:rPr>
              <w:t>Resolución 73</w:t>
            </w:r>
            <w:bookmarkEnd w:id="80"/>
          </w:p>
        </w:tc>
      </w:tr>
      <w:tr w:rsidR="00E55103" w:rsidRPr="004E44DD" w:rsidTr="009009A1">
        <w:tc>
          <w:tcPr>
            <w:tcW w:w="2972" w:type="dxa"/>
          </w:tcPr>
          <w:p w:rsidR="00E55103" w:rsidRPr="00F767CD" w:rsidRDefault="00E55103" w:rsidP="00483815">
            <w:pPr>
              <w:spacing w:before="60" w:after="60"/>
              <w:rPr>
                <w:rFonts w:eastAsiaTheme="majorEastAsia"/>
                <w:i/>
                <w:iCs/>
                <w:szCs w:val="24"/>
                <w:lang w:val="es-ES"/>
              </w:rPr>
            </w:pPr>
            <w:r w:rsidRPr="00F767CD">
              <w:rPr>
                <w:rFonts w:asciiTheme="minorHAnsi" w:eastAsiaTheme="majorEastAsia" w:hAnsiTheme="minorHAnsi"/>
                <w:i/>
                <w:iCs/>
                <w:szCs w:val="24"/>
                <w:lang w:val="es-ES"/>
              </w:rPr>
              <w:lastRenderedPageBreak/>
              <w:t xml:space="preserve">Línea </w:t>
            </w:r>
            <w:r w:rsidRPr="00F767CD">
              <w:rPr>
                <w:rFonts w:asciiTheme="minorHAnsi" w:hAnsiTheme="minorHAnsi"/>
                <w:i/>
                <w:iCs/>
                <w:szCs w:val="24"/>
                <w:lang w:val="es-ES"/>
              </w:rPr>
              <w:t>de</w:t>
            </w:r>
            <w:r w:rsidRPr="00F767CD">
              <w:rPr>
                <w:rFonts w:asciiTheme="minorHAnsi" w:eastAsiaTheme="majorEastAsia" w:hAnsiTheme="minorHAnsi"/>
                <w:i/>
                <w:iCs/>
                <w:szCs w:val="24"/>
                <w:lang w:val="es-ES"/>
              </w:rPr>
              <w:t xml:space="preserve"> Acción de la CMSI</w:t>
            </w:r>
          </w:p>
        </w:tc>
        <w:tc>
          <w:tcPr>
            <w:tcW w:w="6656" w:type="dxa"/>
          </w:tcPr>
          <w:p w:rsidR="00E55103" w:rsidRPr="00F767CD" w:rsidRDefault="00E55103" w:rsidP="00483815">
            <w:pPr>
              <w:spacing w:before="60" w:after="60"/>
              <w:rPr>
                <w:rFonts w:eastAsiaTheme="majorEastAsia"/>
                <w:szCs w:val="24"/>
                <w:lang w:val="es-ES"/>
              </w:rPr>
            </w:pPr>
            <w:r w:rsidRPr="00F767CD">
              <w:rPr>
                <w:rFonts w:asciiTheme="minorHAnsi" w:eastAsiaTheme="majorEastAsia" w:hAnsiTheme="minorHAnsi"/>
                <w:szCs w:val="24"/>
                <w:lang w:val="es-ES"/>
              </w:rPr>
              <w:t>La Línea de Acción de la CMSI C7 (ciberecología) del Plan de Acción de Ginebra está estrechamente relacionada con el Producto D.5.1.</w:t>
            </w:r>
          </w:p>
        </w:tc>
      </w:tr>
      <w:tr w:rsidR="00E55103" w:rsidRPr="004E44DD" w:rsidTr="009009A1">
        <w:tc>
          <w:tcPr>
            <w:tcW w:w="2972" w:type="dxa"/>
          </w:tcPr>
          <w:p w:rsidR="00E55103" w:rsidRPr="00F767CD" w:rsidRDefault="00E55103" w:rsidP="00483815">
            <w:pPr>
              <w:spacing w:before="60" w:after="60"/>
              <w:rPr>
                <w:rFonts w:asciiTheme="minorHAnsi" w:eastAsiaTheme="majorEastAsia" w:hAnsiTheme="minorHAnsi"/>
                <w:i/>
                <w:iCs/>
                <w:szCs w:val="24"/>
                <w:lang w:val="es-ES"/>
              </w:rPr>
            </w:pPr>
            <w:r w:rsidRPr="00F767CD">
              <w:rPr>
                <w:rFonts w:asciiTheme="minorHAnsi" w:hAnsiTheme="minorHAnsi"/>
                <w:i/>
                <w:iCs/>
                <w:szCs w:val="24"/>
                <w:lang w:val="es-ES"/>
              </w:rPr>
              <w:t>Contribución</w:t>
            </w:r>
            <w:r w:rsidRPr="00F767CD">
              <w:rPr>
                <w:rFonts w:asciiTheme="minorHAnsi" w:eastAsiaTheme="majorEastAsia" w:hAnsiTheme="minorHAnsi"/>
                <w:i/>
                <w:iCs/>
                <w:szCs w:val="24"/>
                <w:lang w:val="es-ES"/>
              </w:rPr>
              <w:t xml:space="preserve"> a las metas de los ODS</w:t>
            </w:r>
          </w:p>
        </w:tc>
        <w:tc>
          <w:tcPr>
            <w:tcW w:w="6656" w:type="dxa"/>
          </w:tcPr>
          <w:p w:rsidR="00E55103" w:rsidRPr="00F767CD" w:rsidRDefault="00E55103" w:rsidP="00483815">
            <w:pPr>
              <w:spacing w:before="60" w:after="60"/>
              <w:rPr>
                <w:rFonts w:asciiTheme="minorHAnsi" w:eastAsiaTheme="majorEastAsia" w:hAnsiTheme="minorHAnsi"/>
                <w:szCs w:val="24"/>
                <w:lang w:val="es-ES"/>
              </w:rPr>
            </w:pPr>
            <w:r w:rsidRPr="00F767CD">
              <w:rPr>
                <w:rFonts w:asciiTheme="minorHAnsi" w:eastAsiaTheme="majorEastAsia" w:hAnsiTheme="minorHAnsi"/>
                <w:szCs w:val="24"/>
                <w:lang w:val="es-ES"/>
              </w:rPr>
              <w:t>ODS: 3 (meta 3.9), 5 (meta 5b), 9, 11 (meta 11b), 13 (metas 13.1, 13.2 y 13.3), 14, 15</w:t>
            </w:r>
          </w:p>
        </w:tc>
      </w:tr>
    </w:tbl>
    <w:p w:rsidR="00E55103" w:rsidRPr="00F767CD" w:rsidRDefault="00E55103" w:rsidP="00483815">
      <w:pPr>
        <w:pStyle w:val="Heading2"/>
        <w:spacing w:after="120"/>
        <w:rPr>
          <w:lang w:val="es-ES"/>
        </w:rPr>
      </w:pPr>
      <w:r w:rsidRPr="00F767CD">
        <w:rPr>
          <w:lang w:val="es-ES"/>
        </w:rPr>
        <w:t>5.2</w:t>
      </w:r>
      <w:r w:rsidRPr="00F767CD">
        <w:rPr>
          <w:lang w:val="es-ES"/>
        </w:rPr>
        <w:tab/>
        <w:t xml:space="preserve">Telecomunicaciones de emergencia </w:t>
      </w:r>
    </w:p>
    <w:tbl>
      <w:tblPr>
        <w:tblStyle w:val="TableGrid"/>
        <w:tblW w:w="0" w:type="auto"/>
        <w:tblLook w:val="04A0" w:firstRow="1" w:lastRow="0" w:firstColumn="1" w:lastColumn="0" w:noHBand="0" w:noVBand="1"/>
      </w:tblPr>
      <w:tblGrid>
        <w:gridCol w:w="2830"/>
        <w:gridCol w:w="6798"/>
      </w:tblGrid>
      <w:tr w:rsidR="00E55103" w:rsidRPr="004E44DD" w:rsidTr="009009A1">
        <w:tc>
          <w:tcPr>
            <w:tcW w:w="9628" w:type="dxa"/>
            <w:gridSpan w:val="2"/>
          </w:tcPr>
          <w:p w:rsidR="00D363C1" w:rsidRPr="00F767CD" w:rsidRDefault="00D363C1" w:rsidP="00483815">
            <w:pPr>
              <w:rPr>
                <w:rFonts w:asciiTheme="minorHAnsi" w:hAnsiTheme="minorHAnsi"/>
                <w:szCs w:val="24"/>
                <w:lang w:val="es-ES"/>
              </w:rPr>
            </w:pPr>
            <w:r w:rsidRPr="00F767CD">
              <w:rPr>
                <w:rFonts w:asciiTheme="minorHAnsi" w:hAnsiTheme="minorHAnsi"/>
                <w:szCs w:val="24"/>
                <w:lang w:val="es-ES"/>
              </w:rPr>
              <w:t xml:space="preserve">La BDT apoya a los Estados Miembros de la UIT en todas las fases de la gestión de catástrofes. Refuerza la capacidad de los países para coordinar los esfuerzos en operaciones de socorro y responder a los efectos inmediatos de los desastres al proporcionar equipos de telecomunicaciones de emergencia a </w:t>
            </w:r>
            <w:r w:rsidR="00270AD6" w:rsidRPr="00F767CD">
              <w:rPr>
                <w:rFonts w:asciiTheme="minorHAnsi" w:hAnsiTheme="minorHAnsi"/>
                <w:szCs w:val="24"/>
                <w:lang w:val="es-ES"/>
              </w:rPr>
              <w:t xml:space="preserve">los </w:t>
            </w:r>
            <w:r w:rsidRPr="00F767CD">
              <w:rPr>
                <w:rFonts w:asciiTheme="minorHAnsi" w:hAnsiTheme="minorHAnsi"/>
                <w:szCs w:val="24"/>
                <w:lang w:val="es-ES"/>
              </w:rPr>
              <w:t xml:space="preserve">países que solicitan asistencia. Dos países (Tonga y Papua Nueva Guinea) recibieron asistencia en 2018. </w:t>
            </w:r>
          </w:p>
          <w:p w:rsidR="00E55103" w:rsidRPr="00F767CD" w:rsidRDefault="00270AD6" w:rsidP="00483815">
            <w:pPr>
              <w:rPr>
                <w:rFonts w:asciiTheme="minorHAnsi" w:hAnsiTheme="minorHAnsi"/>
                <w:szCs w:val="24"/>
                <w:lang w:val="es-ES"/>
              </w:rPr>
            </w:pPr>
            <w:r w:rsidRPr="00F767CD">
              <w:rPr>
                <w:rFonts w:asciiTheme="minorHAnsi" w:hAnsiTheme="minorHAnsi"/>
                <w:szCs w:val="24"/>
                <w:lang w:val="es-ES"/>
              </w:rPr>
              <w:t>En Zambia, l</w:t>
            </w:r>
            <w:r w:rsidR="00D363C1" w:rsidRPr="00F767CD">
              <w:rPr>
                <w:rFonts w:asciiTheme="minorHAnsi" w:hAnsiTheme="minorHAnsi"/>
                <w:szCs w:val="24"/>
                <w:lang w:val="es-ES"/>
              </w:rPr>
              <w:t xml:space="preserve">a BDT </w:t>
            </w:r>
            <w:r w:rsidR="001601B5" w:rsidRPr="00F767CD">
              <w:rPr>
                <w:rFonts w:asciiTheme="minorHAnsi" w:hAnsiTheme="minorHAnsi"/>
                <w:szCs w:val="24"/>
                <w:lang w:val="es-ES"/>
              </w:rPr>
              <w:t>aumentó la</w:t>
            </w:r>
            <w:r w:rsidR="00D363C1" w:rsidRPr="00F767CD">
              <w:rPr>
                <w:rFonts w:asciiTheme="minorHAnsi" w:hAnsiTheme="minorHAnsi"/>
                <w:szCs w:val="24"/>
                <w:lang w:val="es-ES"/>
              </w:rPr>
              <w:t xml:space="preserve"> preparación en caso de catástrofe al implementar varios si</w:t>
            </w:r>
            <w:r w:rsidR="001601B5" w:rsidRPr="00F767CD">
              <w:rPr>
                <w:rFonts w:asciiTheme="minorHAnsi" w:hAnsiTheme="minorHAnsi"/>
                <w:szCs w:val="24"/>
                <w:lang w:val="es-ES"/>
              </w:rPr>
              <w:t xml:space="preserve">stemas de alerta temprana (EWS). También llevó a cabo una evaluación de los sistemas de telecomunicaciones de emergencia en el Caribe y encargó el despliegue de una plataforma móvil de aviso temprano de múltiples riesgos y de compartición de información. La BDT creó capacidad </w:t>
            </w:r>
            <w:r w:rsidRPr="00F767CD">
              <w:rPr>
                <w:rFonts w:asciiTheme="minorHAnsi" w:hAnsiTheme="minorHAnsi"/>
                <w:szCs w:val="24"/>
                <w:lang w:val="es-ES"/>
              </w:rPr>
              <w:t>e informó</w:t>
            </w:r>
            <w:r w:rsidR="001601B5" w:rsidRPr="00F767CD">
              <w:rPr>
                <w:rFonts w:asciiTheme="minorHAnsi" w:hAnsiTheme="minorHAnsi"/>
                <w:szCs w:val="24"/>
                <w:lang w:val="es-ES"/>
              </w:rPr>
              <w:t xml:space="preserve"> sobre las posibilidades de las TIC para las telecomunicaciones de emergencia</w:t>
            </w:r>
            <w:r w:rsidRPr="00F767CD">
              <w:rPr>
                <w:rFonts w:asciiTheme="minorHAnsi" w:hAnsiTheme="minorHAnsi"/>
                <w:szCs w:val="24"/>
                <w:lang w:val="es-ES"/>
              </w:rPr>
              <w:t xml:space="preserve"> organizando varios talleres y sesiones de formación para múltiples partes interesadas y participando en eventos relevantes a nivel regional y mundial. Los talleres tienen como fin facilitar el aumento de la utilización de las TIC para la gestión de catástrofes y tratar cuestiones importantes sobre la mejor utilización de las TIC en la reducción y gestión de los riesgos de catástrofes. También sirven como plataforma para el intercambio de nuevas experiencias y prácticas idóneas en la utilización de tecnologías modernas para la s</w:t>
            </w:r>
            <w:r w:rsidR="000121A8">
              <w:rPr>
                <w:rFonts w:asciiTheme="minorHAnsi" w:hAnsiTheme="minorHAnsi"/>
                <w:szCs w:val="24"/>
                <w:lang w:val="es-ES"/>
              </w:rPr>
              <w:t>upervisión y la alerta temprana.</w:t>
            </w:r>
            <w:r w:rsidRPr="00F767CD">
              <w:rPr>
                <w:rFonts w:asciiTheme="minorHAnsi" w:hAnsiTheme="minorHAnsi"/>
                <w:szCs w:val="24"/>
                <w:lang w:val="es-ES"/>
              </w:rPr>
              <w:t xml:space="preserve"> La BDT siguió trabajando estrechamente con la Organización Mundial de Meteorología (OMM) para aumentar el conocimiento y ayudar a los países en la implantación de</w:t>
            </w:r>
            <w:r w:rsidR="00CC3079" w:rsidRPr="00F767CD">
              <w:rPr>
                <w:rFonts w:asciiTheme="minorHAnsi" w:hAnsiTheme="minorHAnsi"/>
                <w:szCs w:val="24"/>
                <w:lang w:val="es-ES"/>
              </w:rPr>
              <w:t>l</w:t>
            </w:r>
            <w:r w:rsidRPr="00F767CD">
              <w:rPr>
                <w:rFonts w:asciiTheme="minorHAnsi" w:hAnsiTheme="minorHAnsi"/>
                <w:szCs w:val="24"/>
                <w:lang w:val="es-ES"/>
              </w:rPr>
              <w:t xml:space="preserve"> protocolo de alerta común</w:t>
            </w:r>
            <w:r w:rsidR="00CC3079" w:rsidRPr="00F767CD">
              <w:rPr>
                <w:rFonts w:asciiTheme="minorHAnsi" w:hAnsiTheme="minorHAnsi"/>
                <w:szCs w:val="24"/>
                <w:lang w:val="es-ES"/>
              </w:rPr>
              <w:t xml:space="preserve"> (CAP), una plataforma para la distribución de mensajes de alerta. La BDT lleva a cabo sus actividades en colaboración estrecha con sus socios regionales e internacionales </w:t>
            </w:r>
            <w:r w:rsidR="000121A8">
              <w:rPr>
                <w:rFonts w:asciiTheme="minorHAnsi" w:hAnsiTheme="minorHAnsi"/>
                <w:szCs w:val="24"/>
                <w:lang w:val="es-ES"/>
              </w:rPr>
              <w:t>que incluyen</w:t>
            </w:r>
            <w:r w:rsidR="00CC3079" w:rsidRPr="00F767CD">
              <w:rPr>
                <w:rFonts w:asciiTheme="minorHAnsi" w:hAnsiTheme="minorHAnsi"/>
                <w:szCs w:val="24"/>
                <w:lang w:val="es-ES"/>
              </w:rPr>
              <w:t xml:space="preserve"> el Consorcio de telecomunicaciones en situaciones de emergencia (ETC), la UNISDR y la OMS. </w:t>
            </w:r>
          </w:p>
        </w:tc>
      </w:tr>
      <w:tr w:rsidR="00E55103" w:rsidRPr="00F767CD" w:rsidTr="009009A1">
        <w:tc>
          <w:tcPr>
            <w:tcW w:w="2830" w:type="dxa"/>
          </w:tcPr>
          <w:p w:rsidR="00E55103" w:rsidRPr="00F767CD" w:rsidRDefault="00E55103" w:rsidP="00483815">
            <w:pPr>
              <w:spacing w:before="60" w:after="60"/>
              <w:rPr>
                <w:rFonts w:asciiTheme="minorHAnsi" w:hAnsiTheme="minorHAnsi"/>
                <w:i/>
                <w:iCs/>
                <w:szCs w:val="24"/>
                <w:lang w:val="es-ES"/>
              </w:rPr>
            </w:pPr>
            <w:r w:rsidRPr="00F767CD">
              <w:rPr>
                <w:rFonts w:asciiTheme="minorHAnsi" w:hAnsiTheme="minorHAnsi"/>
                <w:i/>
                <w:iCs/>
                <w:szCs w:val="24"/>
                <w:lang w:val="es-ES"/>
              </w:rPr>
              <w:t>CMDT</w:t>
            </w:r>
          </w:p>
        </w:tc>
        <w:tc>
          <w:tcPr>
            <w:tcW w:w="6798" w:type="dxa"/>
          </w:tcPr>
          <w:p w:rsidR="00E55103" w:rsidRPr="00F767CD" w:rsidRDefault="00E55103" w:rsidP="00483815">
            <w:pPr>
              <w:spacing w:before="60" w:after="60"/>
              <w:rPr>
                <w:szCs w:val="24"/>
                <w:lang w:val="es-ES"/>
              </w:rPr>
            </w:pPr>
            <w:bookmarkStart w:id="81" w:name="lt_pId547"/>
            <w:r w:rsidRPr="00F767CD">
              <w:rPr>
                <w:rFonts w:asciiTheme="minorHAnsi" w:hAnsiTheme="minorHAnsi"/>
                <w:szCs w:val="24"/>
                <w:lang w:val="es-ES"/>
              </w:rPr>
              <w:t>Resoluciones 1, 5, 17, 21, 30, 32, 34, 37, 50, 52, 53, 69</w:t>
            </w:r>
            <w:bookmarkEnd w:id="81"/>
          </w:p>
        </w:tc>
      </w:tr>
      <w:tr w:rsidR="00E55103" w:rsidRPr="004E44DD" w:rsidTr="009009A1">
        <w:tc>
          <w:tcPr>
            <w:tcW w:w="2830" w:type="dxa"/>
          </w:tcPr>
          <w:p w:rsidR="00E55103" w:rsidRPr="00F767CD" w:rsidRDefault="00E55103" w:rsidP="00483815">
            <w:pPr>
              <w:spacing w:before="60" w:after="60"/>
              <w:rPr>
                <w:rFonts w:asciiTheme="minorHAnsi" w:hAnsiTheme="minorHAnsi"/>
                <w:i/>
                <w:iCs/>
                <w:szCs w:val="24"/>
                <w:lang w:val="es-ES"/>
              </w:rPr>
            </w:pPr>
            <w:r w:rsidRPr="00F767CD">
              <w:rPr>
                <w:rFonts w:asciiTheme="minorHAnsi" w:hAnsiTheme="minorHAnsi"/>
                <w:i/>
                <w:iCs/>
                <w:szCs w:val="24"/>
                <w:lang w:val="es-ES"/>
              </w:rPr>
              <w:t>Conferencia de Plenipotenciarios</w:t>
            </w:r>
          </w:p>
        </w:tc>
        <w:tc>
          <w:tcPr>
            <w:tcW w:w="6798" w:type="dxa"/>
          </w:tcPr>
          <w:p w:rsidR="00E55103" w:rsidRPr="00F767CD" w:rsidRDefault="00E55103" w:rsidP="00483815">
            <w:pPr>
              <w:spacing w:before="60" w:after="60"/>
              <w:rPr>
                <w:szCs w:val="24"/>
                <w:lang w:val="es-ES"/>
              </w:rPr>
            </w:pPr>
            <w:r w:rsidRPr="00F767CD">
              <w:rPr>
                <w:rFonts w:asciiTheme="minorHAnsi" w:hAnsiTheme="minorHAnsi"/>
                <w:szCs w:val="24"/>
                <w:lang w:val="es-ES"/>
              </w:rPr>
              <w:t>Decisiones de la PP: 5 y 13</w:t>
            </w:r>
            <w:r w:rsidRPr="00F767CD">
              <w:rPr>
                <w:rFonts w:asciiTheme="minorHAnsi" w:hAnsiTheme="minorHAnsi"/>
                <w:szCs w:val="24"/>
                <w:lang w:val="es-ES"/>
              </w:rPr>
              <w:br/>
              <w:t>Resoluciones de la PP: 25, 37, 71, 98, 136, 140, 182 y 202</w:t>
            </w:r>
          </w:p>
        </w:tc>
      </w:tr>
      <w:tr w:rsidR="00E55103" w:rsidRPr="00F767CD" w:rsidTr="009009A1">
        <w:tc>
          <w:tcPr>
            <w:tcW w:w="2830" w:type="dxa"/>
          </w:tcPr>
          <w:p w:rsidR="00E55103" w:rsidRPr="00F767CD" w:rsidRDefault="00E55103" w:rsidP="00483815">
            <w:pPr>
              <w:spacing w:before="60" w:after="60"/>
              <w:rPr>
                <w:rFonts w:asciiTheme="minorHAnsi" w:hAnsiTheme="minorHAnsi"/>
                <w:i/>
                <w:iCs/>
                <w:szCs w:val="24"/>
                <w:lang w:val="es-ES"/>
              </w:rPr>
            </w:pPr>
            <w:r w:rsidRPr="00F767CD">
              <w:rPr>
                <w:rFonts w:asciiTheme="minorHAnsi" w:hAnsiTheme="minorHAnsi"/>
                <w:i/>
                <w:iCs/>
                <w:szCs w:val="24"/>
                <w:lang w:val="es-ES"/>
              </w:rPr>
              <w:t>CMR</w:t>
            </w:r>
          </w:p>
        </w:tc>
        <w:tc>
          <w:tcPr>
            <w:tcW w:w="6798" w:type="dxa"/>
          </w:tcPr>
          <w:p w:rsidR="00E55103" w:rsidRPr="00F767CD" w:rsidRDefault="00E55103" w:rsidP="00483815">
            <w:pPr>
              <w:spacing w:before="60" w:after="60"/>
              <w:rPr>
                <w:rFonts w:asciiTheme="minorHAnsi" w:hAnsiTheme="minorHAnsi"/>
                <w:szCs w:val="24"/>
                <w:lang w:val="es-ES"/>
              </w:rPr>
            </w:pPr>
            <w:bookmarkStart w:id="82" w:name="lt_pId554"/>
            <w:r w:rsidRPr="00F767CD">
              <w:rPr>
                <w:rFonts w:asciiTheme="minorHAnsi" w:hAnsiTheme="minorHAnsi"/>
                <w:i/>
                <w:iCs/>
                <w:szCs w:val="24"/>
                <w:lang w:val="es-ES"/>
              </w:rPr>
              <w:t>Resoluciones</w:t>
            </w:r>
            <w:r w:rsidRPr="00F767CD">
              <w:rPr>
                <w:rFonts w:asciiTheme="minorHAnsi" w:hAnsiTheme="minorHAnsi"/>
                <w:szCs w:val="24"/>
                <w:lang w:val="es-ES"/>
              </w:rPr>
              <w:t xml:space="preserve"> 646, 647</w:t>
            </w:r>
            <w:bookmarkEnd w:id="82"/>
          </w:p>
        </w:tc>
      </w:tr>
      <w:tr w:rsidR="00E55103" w:rsidRPr="00F767CD" w:rsidTr="009009A1">
        <w:tc>
          <w:tcPr>
            <w:tcW w:w="2830" w:type="dxa"/>
          </w:tcPr>
          <w:p w:rsidR="00E55103" w:rsidRPr="00F767CD" w:rsidRDefault="00E55103" w:rsidP="00483815">
            <w:pPr>
              <w:spacing w:before="60" w:after="60"/>
              <w:rPr>
                <w:rFonts w:asciiTheme="minorHAnsi" w:hAnsiTheme="minorHAnsi"/>
                <w:i/>
                <w:iCs/>
                <w:szCs w:val="24"/>
                <w:lang w:val="es-ES"/>
              </w:rPr>
            </w:pPr>
            <w:r w:rsidRPr="00F767CD">
              <w:rPr>
                <w:rFonts w:asciiTheme="minorHAnsi" w:hAnsiTheme="minorHAnsi"/>
                <w:i/>
                <w:iCs/>
                <w:szCs w:val="24"/>
                <w:lang w:val="es-ES"/>
              </w:rPr>
              <w:t>CMTI</w:t>
            </w:r>
          </w:p>
        </w:tc>
        <w:tc>
          <w:tcPr>
            <w:tcW w:w="6798" w:type="dxa"/>
          </w:tcPr>
          <w:p w:rsidR="00E55103" w:rsidRPr="00F767CD" w:rsidRDefault="00E55103" w:rsidP="00483815">
            <w:pPr>
              <w:spacing w:before="60" w:after="60"/>
              <w:rPr>
                <w:rFonts w:asciiTheme="minorHAnsi" w:hAnsiTheme="minorHAnsi"/>
                <w:szCs w:val="24"/>
                <w:lang w:val="es-ES"/>
              </w:rPr>
            </w:pPr>
            <w:bookmarkStart w:id="83" w:name="lt_pId556"/>
            <w:r w:rsidRPr="00F767CD">
              <w:rPr>
                <w:rFonts w:asciiTheme="minorHAnsi" w:hAnsiTheme="minorHAnsi"/>
                <w:szCs w:val="24"/>
                <w:lang w:val="es-ES"/>
              </w:rPr>
              <w:t>Resolución 2</w:t>
            </w:r>
            <w:bookmarkEnd w:id="83"/>
          </w:p>
        </w:tc>
      </w:tr>
      <w:tr w:rsidR="00E55103" w:rsidRPr="00F767CD" w:rsidTr="009009A1">
        <w:tc>
          <w:tcPr>
            <w:tcW w:w="2830" w:type="dxa"/>
          </w:tcPr>
          <w:p w:rsidR="00E55103" w:rsidRPr="00F767CD" w:rsidRDefault="00E55103" w:rsidP="00483815">
            <w:pPr>
              <w:spacing w:before="60" w:after="60"/>
              <w:rPr>
                <w:rFonts w:asciiTheme="minorHAnsi" w:hAnsiTheme="minorHAnsi"/>
                <w:i/>
                <w:iCs/>
                <w:szCs w:val="24"/>
                <w:lang w:val="es-ES"/>
              </w:rPr>
            </w:pPr>
            <w:r w:rsidRPr="00F767CD">
              <w:rPr>
                <w:rFonts w:asciiTheme="minorHAnsi" w:hAnsiTheme="minorHAnsi"/>
                <w:i/>
                <w:iCs/>
                <w:szCs w:val="24"/>
                <w:lang w:val="es-ES"/>
              </w:rPr>
              <w:t>Línea de Acción de la CMSI</w:t>
            </w:r>
          </w:p>
        </w:tc>
        <w:tc>
          <w:tcPr>
            <w:tcW w:w="6798" w:type="dxa"/>
          </w:tcPr>
          <w:p w:rsidR="00E55103" w:rsidRPr="00F767CD" w:rsidRDefault="00E55103" w:rsidP="00483815">
            <w:pPr>
              <w:spacing w:before="60" w:after="60"/>
              <w:rPr>
                <w:rFonts w:asciiTheme="minorHAnsi" w:hAnsiTheme="minorHAnsi"/>
                <w:szCs w:val="24"/>
                <w:lang w:val="es-ES"/>
              </w:rPr>
            </w:pPr>
            <w:r w:rsidRPr="00F767CD">
              <w:rPr>
                <w:rFonts w:asciiTheme="minorHAnsi" w:hAnsiTheme="minorHAnsi"/>
                <w:szCs w:val="24"/>
                <w:lang w:val="es-ES"/>
              </w:rPr>
              <w:t>Línea de Acción C7</w:t>
            </w:r>
          </w:p>
        </w:tc>
      </w:tr>
      <w:tr w:rsidR="00E55103" w:rsidRPr="004E44DD" w:rsidTr="009009A1">
        <w:tc>
          <w:tcPr>
            <w:tcW w:w="2830" w:type="dxa"/>
          </w:tcPr>
          <w:p w:rsidR="00E55103" w:rsidRPr="00F767CD" w:rsidRDefault="00E55103" w:rsidP="00483815">
            <w:pPr>
              <w:spacing w:before="60" w:after="60"/>
              <w:rPr>
                <w:rFonts w:asciiTheme="minorHAnsi" w:hAnsiTheme="minorHAnsi"/>
                <w:i/>
                <w:iCs/>
                <w:szCs w:val="24"/>
                <w:lang w:val="es-ES"/>
              </w:rPr>
            </w:pPr>
            <w:r w:rsidRPr="00F767CD">
              <w:rPr>
                <w:rFonts w:asciiTheme="minorHAnsi" w:hAnsiTheme="minorHAnsi"/>
                <w:i/>
                <w:iCs/>
                <w:szCs w:val="24"/>
                <w:lang w:val="es-ES"/>
              </w:rPr>
              <w:t xml:space="preserve">Contribución a las </w:t>
            </w:r>
            <w:r w:rsidRPr="00F767CD">
              <w:rPr>
                <w:rFonts w:asciiTheme="minorHAnsi" w:hAnsiTheme="minorHAnsi"/>
                <w:szCs w:val="24"/>
                <w:lang w:val="es-ES"/>
              </w:rPr>
              <w:t>metas</w:t>
            </w:r>
            <w:r w:rsidRPr="00F767CD">
              <w:rPr>
                <w:rFonts w:asciiTheme="minorHAnsi" w:hAnsiTheme="minorHAnsi"/>
                <w:i/>
                <w:iCs/>
                <w:szCs w:val="24"/>
                <w:lang w:val="es-ES"/>
              </w:rPr>
              <w:t xml:space="preserve"> de los ODS</w:t>
            </w:r>
          </w:p>
        </w:tc>
        <w:tc>
          <w:tcPr>
            <w:tcW w:w="6798" w:type="dxa"/>
          </w:tcPr>
          <w:p w:rsidR="00E55103" w:rsidRPr="00F767CD" w:rsidRDefault="00E55103" w:rsidP="00483815">
            <w:pPr>
              <w:spacing w:before="60" w:after="60"/>
              <w:rPr>
                <w:rFonts w:asciiTheme="minorHAnsi" w:hAnsiTheme="minorHAnsi"/>
                <w:szCs w:val="24"/>
                <w:lang w:val="es-ES"/>
              </w:rPr>
            </w:pPr>
            <w:r w:rsidRPr="00F767CD">
              <w:rPr>
                <w:rFonts w:asciiTheme="minorHAnsi" w:hAnsiTheme="minorHAnsi"/>
                <w:szCs w:val="24"/>
                <w:lang w:val="es-ES"/>
              </w:rPr>
              <w:t xml:space="preserve">ODS: 3 (meta 3.9), 5 (meta 5b), </w:t>
            </w:r>
            <w:r w:rsidRPr="00F767CD">
              <w:rPr>
                <w:rFonts w:ascii="Calibri" w:eastAsia="Calibri" w:hAnsi="Calibri" w:cs="Arial"/>
                <w:szCs w:val="24"/>
                <w:lang w:val="es-ES"/>
              </w:rPr>
              <w:t xml:space="preserve">9, </w:t>
            </w:r>
            <w:r w:rsidRPr="00F767CD">
              <w:rPr>
                <w:rFonts w:asciiTheme="minorHAnsi" w:hAnsiTheme="minorHAnsi"/>
                <w:szCs w:val="24"/>
                <w:lang w:val="es-ES"/>
              </w:rPr>
              <w:t>11 (meta 11b), 13 (metas 13.1, 13.2 y 13.3), 14, 15</w:t>
            </w:r>
          </w:p>
        </w:tc>
      </w:tr>
    </w:tbl>
    <w:p w:rsidR="00E55103" w:rsidRPr="00F767CD" w:rsidRDefault="00E55103" w:rsidP="00483815">
      <w:pPr>
        <w:pStyle w:val="Reasons"/>
        <w:rPr>
          <w:lang w:val="es-ES"/>
        </w:rPr>
      </w:pPr>
    </w:p>
    <w:p w:rsidR="00E55103" w:rsidRPr="00F767CD" w:rsidRDefault="00E55103" w:rsidP="00483815">
      <w:pPr>
        <w:jc w:val="center"/>
        <w:rPr>
          <w:lang w:val="es-ES"/>
        </w:rPr>
      </w:pPr>
      <w:r w:rsidRPr="00F767CD">
        <w:rPr>
          <w:lang w:val="es-ES"/>
        </w:rPr>
        <w:t>______________</w:t>
      </w:r>
    </w:p>
    <w:sectPr w:rsidR="00E55103" w:rsidRPr="00F767CD" w:rsidSect="004B7893">
      <w:headerReference w:type="even" r:id="rId18"/>
      <w:headerReference w:type="default" r:id="rId19"/>
      <w:footerReference w:type="even" r:id="rId20"/>
      <w:footerReference w:type="default" r:id="rId21"/>
      <w:headerReference w:type="first" r:id="rId22"/>
      <w:footerReference w:type="first" r:id="rId23"/>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D3E" w:rsidRDefault="00545D3E" w:rsidP="0088106F">
      <w:r>
        <w:separator/>
      </w:r>
    </w:p>
  </w:endnote>
  <w:endnote w:type="continuationSeparator" w:id="0">
    <w:p w:rsidR="00545D3E" w:rsidRDefault="00545D3E"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390" w:rsidRDefault="005213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C68" w:rsidRPr="004E44DD" w:rsidRDefault="00CA51E7" w:rsidP="00425E9F">
    <w:pPr>
      <w:pStyle w:val="Footer"/>
      <w:rPr>
        <w:lang w:val="en-US"/>
      </w:rPr>
    </w:pPr>
    <w:r>
      <w:fldChar w:fldCharType="begin"/>
    </w:r>
    <w:r w:rsidRPr="004E44DD">
      <w:rPr>
        <w:lang w:val="en-US"/>
      </w:rPr>
      <w:instrText xml:space="preserve"> FILENAME  \p  \* MERGEFORMAT </w:instrText>
    </w:r>
    <w:r>
      <w:fldChar w:fldCharType="separate"/>
    </w:r>
    <w:r w:rsidR="004E44DD">
      <w:rPr>
        <w:lang w:val="en-US"/>
      </w:rPr>
      <w:t>P:\ESP\ITU-D\CONF-D\TDAG19\000\002S.docx</w:t>
    </w:r>
    <w:r>
      <w:fldChar w:fldCharType="end"/>
    </w:r>
    <w:r w:rsidR="004E44DD">
      <w:t xml:space="preserve"> (449201)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A86C68" w:rsidRPr="004E44DD" w:rsidTr="009009A1">
      <w:tc>
        <w:tcPr>
          <w:tcW w:w="1134" w:type="dxa"/>
          <w:tcBorders>
            <w:top w:val="single" w:sz="4" w:space="0" w:color="000000"/>
          </w:tcBorders>
          <w:shd w:val="clear" w:color="auto" w:fill="auto"/>
        </w:tcPr>
        <w:p w:rsidR="00A86C68" w:rsidRPr="004D495C" w:rsidRDefault="00A86C68" w:rsidP="009D1BD4">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A86C68" w:rsidRPr="004D495C" w:rsidRDefault="00A86C68" w:rsidP="009D1BD4">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A86C68" w:rsidRPr="00E55103" w:rsidRDefault="00A86C68" w:rsidP="00E55103">
          <w:pPr>
            <w:pStyle w:val="FirstFooter"/>
            <w:rPr>
              <w:sz w:val="18"/>
              <w:szCs w:val="18"/>
              <w:lang w:val="es-ES"/>
            </w:rPr>
          </w:pPr>
          <w:bookmarkStart w:id="85" w:name="OrgName"/>
          <w:bookmarkEnd w:id="85"/>
          <w:r w:rsidRPr="00F45A0D">
            <w:rPr>
              <w:sz w:val="18"/>
              <w:szCs w:val="18"/>
              <w:lang w:val="es-ES_tradnl"/>
            </w:rPr>
            <w:t>Sr. Yushi Torigoe, Director Adjunto, Oficina de Desarrollo de las Telecomunicaciones</w:t>
          </w:r>
        </w:p>
      </w:tc>
    </w:tr>
    <w:tr w:rsidR="00A86C68" w:rsidRPr="004D495C" w:rsidTr="009009A1">
      <w:tc>
        <w:tcPr>
          <w:tcW w:w="1134" w:type="dxa"/>
          <w:shd w:val="clear" w:color="auto" w:fill="auto"/>
        </w:tcPr>
        <w:p w:rsidR="00A86C68" w:rsidRPr="00E55103" w:rsidRDefault="00A86C68" w:rsidP="009D1BD4">
          <w:pPr>
            <w:pStyle w:val="FirstFooter"/>
            <w:tabs>
              <w:tab w:val="left" w:pos="1559"/>
              <w:tab w:val="left" w:pos="3828"/>
            </w:tabs>
            <w:rPr>
              <w:sz w:val="20"/>
              <w:lang w:val="es-ES"/>
            </w:rPr>
          </w:pPr>
        </w:p>
      </w:tc>
      <w:tc>
        <w:tcPr>
          <w:tcW w:w="2552" w:type="dxa"/>
          <w:shd w:val="clear" w:color="auto" w:fill="auto"/>
        </w:tcPr>
        <w:p w:rsidR="00A86C68" w:rsidRPr="004D495C" w:rsidRDefault="00A86C68" w:rsidP="009D1BD4">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shd w:val="clear" w:color="auto" w:fill="auto"/>
        </w:tcPr>
        <w:p w:rsidR="00A86C68" w:rsidRPr="00050E06" w:rsidRDefault="00A86C68" w:rsidP="009D1BD4">
          <w:pPr>
            <w:pStyle w:val="FirstFooter"/>
            <w:tabs>
              <w:tab w:val="left" w:pos="2302"/>
            </w:tabs>
            <w:rPr>
              <w:sz w:val="18"/>
              <w:szCs w:val="18"/>
              <w:lang w:val="en-US"/>
            </w:rPr>
          </w:pPr>
          <w:bookmarkStart w:id="86" w:name="PhoneNo"/>
          <w:bookmarkEnd w:id="86"/>
          <w:r w:rsidRPr="00F45A0D">
            <w:rPr>
              <w:sz w:val="18"/>
              <w:szCs w:val="18"/>
              <w:lang w:val="es-ES_tradnl"/>
            </w:rPr>
            <w:t>+ 41 22 730 5784</w:t>
          </w:r>
        </w:p>
      </w:tc>
    </w:tr>
    <w:tr w:rsidR="00A86C68" w:rsidRPr="004D495C" w:rsidTr="009009A1">
      <w:tc>
        <w:tcPr>
          <w:tcW w:w="1134" w:type="dxa"/>
          <w:shd w:val="clear" w:color="auto" w:fill="auto"/>
        </w:tcPr>
        <w:p w:rsidR="00A86C68" w:rsidRPr="004D495C" w:rsidRDefault="00A86C68" w:rsidP="009D1BD4">
          <w:pPr>
            <w:pStyle w:val="FirstFooter"/>
            <w:tabs>
              <w:tab w:val="left" w:pos="1559"/>
              <w:tab w:val="left" w:pos="3828"/>
            </w:tabs>
            <w:rPr>
              <w:sz w:val="20"/>
              <w:lang w:val="en-US"/>
            </w:rPr>
          </w:pPr>
        </w:p>
      </w:tc>
      <w:tc>
        <w:tcPr>
          <w:tcW w:w="2552" w:type="dxa"/>
          <w:shd w:val="clear" w:color="auto" w:fill="auto"/>
        </w:tcPr>
        <w:p w:rsidR="00A86C68" w:rsidRPr="004D495C" w:rsidRDefault="00A86C68" w:rsidP="009D1BD4">
          <w:pPr>
            <w:pStyle w:val="FirstFooter"/>
            <w:tabs>
              <w:tab w:val="left" w:pos="2302"/>
            </w:tabs>
            <w:rPr>
              <w:sz w:val="18"/>
              <w:szCs w:val="18"/>
              <w:lang w:val="en-US"/>
            </w:rPr>
          </w:pPr>
          <w:r>
            <w:rPr>
              <w:sz w:val="18"/>
              <w:szCs w:val="18"/>
              <w:lang w:val="en-US"/>
            </w:rPr>
            <w:t>Correo-e</w:t>
          </w:r>
          <w:r w:rsidRPr="004D495C">
            <w:rPr>
              <w:sz w:val="18"/>
              <w:szCs w:val="18"/>
              <w:lang w:val="en-US"/>
            </w:rPr>
            <w:t>:</w:t>
          </w:r>
        </w:p>
      </w:tc>
      <w:bookmarkStart w:id="87" w:name="Email"/>
      <w:bookmarkEnd w:id="87"/>
      <w:tc>
        <w:tcPr>
          <w:tcW w:w="6237" w:type="dxa"/>
          <w:shd w:val="clear" w:color="auto" w:fill="auto"/>
        </w:tcPr>
        <w:p w:rsidR="00A86C68" w:rsidRPr="00050E06" w:rsidRDefault="00A86C68" w:rsidP="009D1BD4">
          <w:pPr>
            <w:pStyle w:val="FirstFooter"/>
            <w:tabs>
              <w:tab w:val="left" w:pos="2302"/>
            </w:tabs>
            <w:rPr>
              <w:sz w:val="18"/>
              <w:szCs w:val="18"/>
              <w:lang w:val="en-US"/>
            </w:rPr>
          </w:pPr>
          <w:r w:rsidRPr="00F45A0D">
            <w:fldChar w:fldCharType="begin"/>
          </w:r>
          <w:r w:rsidRPr="00F45A0D">
            <w:rPr>
              <w:lang w:val="es-ES_tradnl"/>
            </w:rPr>
            <w:instrText xml:space="preserve"> HYPERLINK "mailto:yushi.torigoe@itu.int" </w:instrText>
          </w:r>
          <w:r w:rsidRPr="00F45A0D">
            <w:fldChar w:fldCharType="separate"/>
          </w:r>
          <w:r w:rsidRPr="00F45A0D">
            <w:rPr>
              <w:rStyle w:val="Hyperlink"/>
              <w:sz w:val="18"/>
              <w:szCs w:val="18"/>
              <w:lang w:val="es-ES_tradnl"/>
            </w:rPr>
            <w:t>yushi.torigoe@itu.int</w:t>
          </w:r>
          <w:r w:rsidRPr="00F45A0D">
            <w:rPr>
              <w:rStyle w:val="Hyperlink"/>
              <w:sz w:val="18"/>
              <w:szCs w:val="18"/>
              <w:lang w:val="es-ES_tradnl"/>
            </w:rPr>
            <w:fldChar w:fldCharType="end"/>
          </w:r>
        </w:p>
      </w:tc>
    </w:tr>
  </w:tbl>
  <w:p w:rsidR="00A86C68" w:rsidRDefault="00A86C68" w:rsidP="006E4AB3">
    <w:pPr>
      <w:tabs>
        <w:tab w:val="clear" w:pos="794"/>
        <w:tab w:val="clear" w:pos="1191"/>
        <w:tab w:val="clear" w:pos="1588"/>
        <w:tab w:val="clear" w:pos="1985"/>
        <w:tab w:val="left" w:pos="5954"/>
        <w:tab w:val="right" w:pos="9639"/>
      </w:tabs>
      <w:spacing w:before="0"/>
      <w:jc w:val="center"/>
    </w:pPr>
  </w:p>
  <w:p w:rsidR="00A86C68" w:rsidRPr="006E4AB3" w:rsidRDefault="00521390" w:rsidP="006E4AB3">
    <w:pPr>
      <w:tabs>
        <w:tab w:val="clear" w:pos="794"/>
        <w:tab w:val="clear" w:pos="1191"/>
        <w:tab w:val="clear" w:pos="1588"/>
        <w:tab w:val="clear" w:pos="1985"/>
        <w:tab w:val="left" w:pos="5954"/>
        <w:tab w:val="right" w:pos="9639"/>
      </w:tabs>
      <w:spacing w:before="0"/>
      <w:jc w:val="center"/>
      <w:rPr>
        <w:rFonts w:ascii="Calibri" w:hAnsi="Calibri"/>
        <w:caps/>
        <w:noProof/>
        <w:sz w:val="16"/>
      </w:rPr>
    </w:pPr>
    <w:hyperlink r:id="rId1" w:history="1">
      <w:r w:rsidR="00A86C68">
        <w:rPr>
          <w:rFonts w:ascii="Calibri" w:hAnsi="Calibri"/>
          <w:color w:val="0000FF"/>
          <w:sz w:val="18"/>
          <w:szCs w:val="18"/>
          <w:u w:val="single"/>
        </w:rPr>
        <w:t>GADT</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D3E" w:rsidRDefault="00545D3E" w:rsidP="0088106F">
      <w:r>
        <w:separator/>
      </w:r>
    </w:p>
  </w:footnote>
  <w:footnote w:type="continuationSeparator" w:id="0">
    <w:p w:rsidR="00545D3E" w:rsidRDefault="00545D3E" w:rsidP="00881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390" w:rsidRDefault="005213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C68" w:rsidRPr="009A6FC4" w:rsidRDefault="00A86C68" w:rsidP="00E55103">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bookmarkStart w:id="84" w:name="_GoBack"/>
    <w:bookmarkEnd w:id="84"/>
    <w:r w:rsidRPr="003D4CFB">
      <w:rPr>
        <w:sz w:val="22"/>
        <w:szCs w:val="22"/>
        <w:lang w:val="en-US"/>
      </w:rPr>
      <w:t>TDAG</w:t>
    </w:r>
    <w:r>
      <w:rPr>
        <w:sz w:val="22"/>
        <w:szCs w:val="22"/>
        <w:lang w:val="en-US"/>
      </w:rPr>
      <w:t>-</w:t>
    </w:r>
    <w:r w:rsidRPr="003D4CFB">
      <w:rPr>
        <w:sz w:val="22"/>
        <w:szCs w:val="22"/>
        <w:lang w:val="en-US"/>
      </w:rPr>
      <w:t>1</w:t>
    </w:r>
    <w:r>
      <w:rPr>
        <w:sz w:val="22"/>
        <w:szCs w:val="22"/>
        <w:lang w:val="en-US"/>
      </w:rPr>
      <w:t>9</w:t>
    </w:r>
    <w:r w:rsidRPr="003D4CFB">
      <w:rPr>
        <w:sz w:val="22"/>
        <w:szCs w:val="22"/>
        <w:lang w:val="en-US"/>
      </w:rPr>
      <w:t>/</w:t>
    </w:r>
    <w:r>
      <w:rPr>
        <w:sz w:val="22"/>
        <w:szCs w:val="22"/>
        <w:lang w:val="en-US"/>
      </w:rPr>
      <w:t>2</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521390">
      <w:rPr>
        <w:noProof/>
        <w:sz w:val="22"/>
        <w:szCs w:val="22"/>
        <w:lang w:val="en-US"/>
      </w:rPr>
      <w:t>2</w:t>
    </w:r>
    <w:r w:rsidRPr="00972BC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390" w:rsidRDefault="005213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63A"/>
    <w:rsid w:val="00002C60"/>
    <w:rsid w:val="000058AD"/>
    <w:rsid w:val="000059C7"/>
    <w:rsid w:val="000121A8"/>
    <w:rsid w:val="000135AE"/>
    <w:rsid w:val="000208A5"/>
    <w:rsid w:val="00033D49"/>
    <w:rsid w:val="000569AD"/>
    <w:rsid w:val="00071BF2"/>
    <w:rsid w:val="000725A1"/>
    <w:rsid w:val="0007578C"/>
    <w:rsid w:val="000A6C3B"/>
    <w:rsid w:val="000B0140"/>
    <w:rsid w:val="000B05FC"/>
    <w:rsid w:val="000C0AA7"/>
    <w:rsid w:val="000C6174"/>
    <w:rsid w:val="000C6ECF"/>
    <w:rsid w:val="000E6B1D"/>
    <w:rsid w:val="000E7A0A"/>
    <w:rsid w:val="00122807"/>
    <w:rsid w:val="0014186D"/>
    <w:rsid w:val="001565B4"/>
    <w:rsid w:val="001601B5"/>
    <w:rsid w:val="001638DF"/>
    <w:rsid w:val="00194CB2"/>
    <w:rsid w:val="001B7F28"/>
    <w:rsid w:val="001C0928"/>
    <w:rsid w:val="001E0204"/>
    <w:rsid w:val="00212E9C"/>
    <w:rsid w:val="00213302"/>
    <w:rsid w:val="00215E0B"/>
    <w:rsid w:val="00221C14"/>
    <w:rsid w:val="00225D2E"/>
    <w:rsid w:val="002319FF"/>
    <w:rsid w:val="00241CB9"/>
    <w:rsid w:val="00270AD6"/>
    <w:rsid w:val="002A7FAB"/>
    <w:rsid w:val="002C0683"/>
    <w:rsid w:val="002D38F2"/>
    <w:rsid w:val="002D4BE6"/>
    <w:rsid w:val="002D50DA"/>
    <w:rsid w:val="002D6772"/>
    <w:rsid w:val="0030073E"/>
    <w:rsid w:val="00302736"/>
    <w:rsid w:val="0033649F"/>
    <w:rsid w:val="003519CD"/>
    <w:rsid w:val="00360762"/>
    <w:rsid w:val="003731BE"/>
    <w:rsid w:val="00390391"/>
    <w:rsid w:val="00390DF5"/>
    <w:rsid w:val="003C49E0"/>
    <w:rsid w:val="003D4CFB"/>
    <w:rsid w:val="003D64DD"/>
    <w:rsid w:val="003E015E"/>
    <w:rsid w:val="003E019B"/>
    <w:rsid w:val="003E444E"/>
    <w:rsid w:val="00425E9F"/>
    <w:rsid w:val="00426EE6"/>
    <w:rsid w:val="00431EF4"/>
    <w:rsid w:val="0043564D"/>
    <w:rsid w:val="004471C5"/>
    <w:rsid w:val="00451E8C"/>
    <w:rsid w:val="00457F58"/>
    <w:rsid w:val="00482632"/>
    <w:rsid w:val="00483815"/>
    <w:rsid w:val="00487954"/>
    <w:rsid w:val="004A0A4B"/>
    <w:rsid w:val="004B7893"/>
    <w:rsid w:val="004C66CA"/>
    <w:rsid w:val="004E44DD"/>
    <w:rsid w:val="004E5229"/>
    <w:rsid w:val="004E7861"/>
    <w:rsid w:val="004F346F"/>
    <w:rsid w:val="00521390"/>
    <w:rsid w:val="00535C50"/>
    <w:rsid w:val="005412E8"/>
    <w:rsid w:val="00545D3E"/>
    <w:rsid w:val="005557A3"/>
    <w:rsid w:val="005637B9"/>
    <w:rsid w:val="005643DC"/>
    <w:rsid w:val="00565619"/>
    <w:rsid w:val="00573B08"/>
    <w:rsid w:val="0057609D"/>
    <w:rsid w:val="00580007"/>
    <w:rsid w:val="00597431"/>
    <w:rsid w:val="005A12E0"/>
    <w:rsid w:val="005B4688"/>
    <w:rsid w:val="005B568B"/>
    <w:rsid w:val="005D2CA2"/>
    <w:rsid w:val="005D7D82"/>
    <w:rsid w:val="00602B27"/>
    <w:rsid w:val="006339E7"/>
    <w:rsid w:val="00635A62"/>
    <w:rsid w:val="00681DEB"/>
    <w:rsid w:val="0068541B"/>
    <w:rsid w:val="00692938"/>
    <w:rsid w:val="006C4B8E"/>
    <w:rsid w:val="006E4AB3"/>
    <w:rsid w:val="006F1F5D"/>
    <w:rsid w:val="006F39EB"/>
    <w:rsid w:val="007020F2"/>
    <w:rsid w:val="007841FD"/>
    <w:rsid w:val="007C3061"/>
    <w:rsid w:val="007E093B"/>
    <w:rsid w:val="007E471D"/>
    <w:rsid w:val="007F529C"/>
    <w:rsid w:val="00835A77"/>
    <w:rsid w:val="00861031"/>
    <w:rsid w:val="0087052C"/>
    <w:rsid w:val="0087430C"/>
    <w:rsid w:val="0088106F"/>
    <w:rsid w:val="008A27D6"/>
    <w:rsid w:val="008B194C"/>
    <w:rsid w:val="008B3042"/>
    <w:rsid w:val="008B3E78"/>
    <w:rsid w:val="008B415A"/>
    <w:rsid w:val="008C1852"/>
    <w:rsid w:val="008D54A3"/>
    <w:rsid w:val="008D789A"/>
    <w:rsid w:val="009009A1"/>
    <w:rsid w:val="00917B12"/>
    <w:rsid w:val="00932776"/>
    <w:rsid w:val="00955E07"/>
    <w:rsid w:val="00960392"/>
    <w:rsid w:val="00972182"/>
    <w:rsid w:val="009752D2"/>
    <w:rsid w:val="009862E1"/>
    <w:rsid w:val="00991B13"/>
    <w:rsid w:val="009952F6"/>
    <w:rsid w:val="009A6FC4"/>
    <w:rsid w:val="009D1BD4"/>
    <w:rsid w:val="009F0C9F"/>
    <w:rsid w:val="00A140A4"/>
    <w:rsid w:val="00A16962"/>
    <w:rsid w:val="00A3100E"/>
    <w:rsid w:val="00A33516"/>
    <w:rsid w:val="00A45488"/>
    <w:rsid w:val="00A675D7"/>
    <w:rsid w:val="00A84EC5"/>
    <w:rsid w:val="00A86C68"/>
    <w:rsid w:val="00A87DD9"/>
    <w:rsid w:val="00A944CA"/>
    <w:rsid w:val="00AD5435"/>
    <w:rsid w:val="00AE1BA7"/>
    <w:rsid w:val="00AF563E"/>
    <w:rsid w:val="00AF7175"/>
    <w:rsid w:val="00B445B3"/>
    <w:rsid w:val="00B70CB6"/>
    <w:rsid w:val="00BA32E5"/>
    <w:rsid w:val="00BB4B3A"/>
    <w:rsid w:val="00BC7208"/>
    <w:rsid w:val="00C23DB0"/>
    <w:rsid w:val="00C461C3"/>
    <w:rsid w:val="00C53E06"/>
    <w:rsid w:val="00C73C93"/>
    <w:rsid w:val="00C740A6"/>
    <w:rsid w:val="00C9248C"/>
    <w:rsid w:val="00C93939"/>
    <w:rsid w:val="00C95F69"/>
    <w:rsid w:val="00CA51E7"/>
    <w:rsid w:val="00CA55D9"/>
    <w:rsid w:val="00CC0043"/>
    <w:rsid w:val="00CC3079"/>
    <w:rsid w:val="00CE72D1"/>
    <w:rsid w:val="00D02E0A"/>
    <w:rsid w:val="00D06324"/>
    <w:rsid w:val="00D140A8"/>
    <w:rsid w:val="00D15398"/>
    <w:rsid w:val="00D16175"/>
    <w:rsid w:val="00D33447"/>
    <w:rsid w:val="00D363C1"/>
    <w:rsid w:val="00D372A5"/>
    <w:rsid w:val="00D73ECA"/>
    <w:rsid w:val="00D9697F"/>
    <w:rsid w:val="00DE7B08"/>
    <w:rsid w:val="00E17138"/>
    <w:rsid w:val="00E204A0"/>
    <w:rsid w:val="00E307D0"/>
    <w:rsid w:val="00E34420"/>
    <w:rsid w:val="00E3519F"/>
    <w:rsid w:val="00E422EA"/>
    <w:rsid w:val="00E51C72"/>
    <w:rsid w:val="00E55103"/>
    <w:rsid w:val="00E7663A"/>
    <w:rsid w:val="00E827C2"/>
    <w:rsid w:val="00E8468E"/>
    <w:rsid w:val="00E92162"/>
    <w:rsid w:val="00EB6D19"/>
    <w:rsid w:val="00EC4468"/>
    <w:rsid w:val="00ED2681"/>
    <w:rsid w:val="00EE476A"/>
    <w:rsid w:val="00EE4CDA"/>
    <w:rsid w:val="00EF1945"/>
    <w:rsid w:val="00EF4ED4"/>
    <w:rsid w:val="00F01E28"/>
    <w:rsid w:val="00F05B99"/>
    <w:rsid w:val="00F072D3"/>
    <w:rsid w:val="00F12690"/>
    <w:rsid w:val="00F2098F"/>
    <w:rsid w:val="00F238E9"/>
    <w:rsid w:val="00F47FBC"/>
    <w:rsid w:val="00F53B1F"/>
    <w:rsid w:val="00F574C4"/>
    <w:rsid w:val="00F713C8"/>
    <w:rsid w:val="00F767CD"/>
    <w:rsid w:val="00FA67A2"/>
    <w:rsid w:val="00FD3A29"/>
    <w:rsid w:val="00FF2B5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D0BB956-EFA8-48FB-A621-C477817D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uiPriority w:val="99"/>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6F39EB"/>
    <w:rPr>
      <w:rFonts w:eastAsia="Times New Roman" w:cs="Times New Roman"/>
      <w:caps/>
      <w:noProof/>
      <w:sz w:val="16"/>
      <w:szCs w:val="20"/>
      <w:lang w:eastAsia="en-US"/>
    </w:rPr>
  </w:style>
  <w:style w:type="character" w:styleId="Hyperlink">
    <w:name w:val="Hyperlink"/>
    <w:aliases w:val="CEO_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5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link w:val="enumlev1Char"/>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styleId="Strong">
    <w:name w:val="Strong"/>
    <w:basedOn w:val="DefaultParagraphFont"/>
    <w:uiPriority w:val="22"/>
    <w:qFormat/>
    <w:rsid w:val="00E55103"/>
    <w:rPr>
      <w:b/>
      <w:bCs/>
    </w:rPr>
  </w:style>
  <w:style w:type="character" w:customStyle="1" w:styleId="enumlev1Char">
    <w:name w:val="enumlev1 Char"/>
    <w:basedOn w:val="DefaultParagraphFont"/>
    <w:link w:val="enumlev1"/>
    <w:rsid w:val="00E55103"/>
    <w:rPr>
      <w:rFonts w:eastAsia="Times New Roman" w:cs="Times New Roman"/>
      <w:sz w:val="24"/>
      <w:szCs w:val="20"/>
      <w:lang w:eastAsia="en-US"/>
    </w:rPr>
  </w:style>
  <w:style w:type="character" w:styleId="Emphasis">
    <w:name w:val="Emphasis"/>
    <w:basedOn w:val="DefaultParagraphFont"/>
    <w:uiPriority w:val="20"/>
    <w:qFormat/>
    <w:rsid w:val="00E55103"/>
    <w:rPr>
      <w:i/>
      <w:iCs/>
    </w:rPr>
  </w:style>
  <w:style w:type="paragraph" w:styleId="Revision">
    <w:name w:val="Revision"/>
    <w:hidden/>
    <w:uiPriority w:val="99"/>
    <w:semiHidden/>
    <w:rsid w:val="000208A5"/>
    <w:pPr>
      <w:spacing w:after="0" w:line="240" w:lineRule="auto"/>
    </w:pPr>
    <w:rPr>
      <w:rFonts w:eastAsia="Times New Roman" w:cs="Times New Roman"/>
      <w:sz w:val="24"/>
      <w:szCs w:val="20"/>
      <w:lang w:eastAsia="en-US"/>
    </w:rPr>
  </w:style>
  <w:style w:type="character" w:styleId="FollowedHyperlink">
    <w:name w:val="FollowedHyperlink"/>
    <w:basedOn w:val="DefaultParagraphFont"/>
    <w:uiPriority w:val="99"/>
    <w:semiHidden/>
    <w:unhideWhenUsed/>
    <w:rsid w:val="00C23DB0"/>
    <w:rPr>
      <w:color w:val="800080" w:themeColor="followedHyperlink"/>
      <w:u w:val="single"/>
    </w:rPr>
  </w:style>
  <w:style w:type="paragraph" w:styleId="BalloonText">
    <w:name w:val="Balloon Text"/>
    <w:basedOn w:val="Normal"/>
    <w:link w:val="BalloonTextChar"/>
    <w:uiPriority w:val="99"/>
    <w:semiHidden/>
    <w:unhideWhenUsed/>
    <w:rsid w:val="00425E9F"/>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E9F"/>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D/TIES_Protected/PerfReport2018.pdf" TargetMode="External"/><Relationship Id="rId13" Type="http://schemas.openxmlformats.org/officeDocument/2006/relationships/hyperlink" Target="https://www.itu.int/net4/ITU-D/CDS/sg/blkmeetings.asp?lg=3&amp;sp=2018&amp;blk=20348"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www.itu.int/net4/ITU-D/CDS/sg/blkmeetings.asp?lg=3&amp;sp=2018&amp;blk=20348" TargetMode="External"/><Relationship Id="rId17" Type="http://schemas.openxmlformats.org/officeDocument/2006/relationships/hyperlink" Target="https://academy.itu.int/index.php?option=com_content&amp;view=article&amp;id=236&amp;Itemid=688&amp;lang=e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es/ITU-D/Capacity-Building/Pages/events/CBS/2018/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net4/ITU-D/CDS/sg/blkmeetings.asp?lg=3&amp;sp=2018&amp;blk=2034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cademy.itu.int/index.php?lang=en" TargetMode="External"/><Relationship Id="rId23" Type="http://schemas.openxmlformats.org/officeDocument/2006/relationships/footer" Target="footer3.xml"/><Relationship Id="rId10" Type="http://schemas.openxmlformats.org/officeDocument/2006/relationships/hyperlink" Target="https://www.itu.int/en/ITU-D/Conferences/WTDC/WTDC17/Documents/WTDC17_final_report_en.pd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itu.int/en/ITU-D/TIES_Protected/PerfReport2018.pdf" TargetMode="External"/><Relationship Id="rId14" Type="http://schemas.openxmlformats.org/officeDocument/2006/relationships/hyperlink" Target="https://www.itu.int/net4/ITU-D/CDS/sg/blkmeetings.asp?lg=3&amp;sp=2018&amp;blk=20348"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F52EC-E09B-4E70-9048-8E43AC261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PS_TDAG19.dotx</Template>
  <TotalTime>21</TotalTime>
  <Pages>18</Pages>
  <Words>7886</Words>
  <Characters>44952</Characters>
  <Application>Microsoft Office Word</Application>
  <DocSecurity>0</DocSecurity>
  <Lines>374</Lines>
  <Paragraphs>105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TDAG17</vt:lpstr>
      <vt:lpstr>TDAG17</vt:lpstr>
    </vt:vector>
  </TitlesOfParts>
  <Company>International Telecommunication Union (ITU)</Company>
  <LinksUpToDate>false</LinksUpToDate>
  <CharactersWithSpaces>52733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Soriano, Manuel</dc:creator>
  <cp:keywords/>
  <dc:description/>
  <cp:lastModifiedBy>BDT</cp:lastModifiedBy>
  <cp:revision>8</cp:revision>
  <cp:lastPrinted>2019-02-07T09:47:00Z</cp:lastPrinted>
  <dcterms:created xsi:type="dcterms:W3CDTF">2019-02-15T14:27:00Z</dcterms:created>
  <dcterms:modified xsi:type="dcterms:W3CDTF">2019-02-18T08:10:00Z</dcterms:modified>
</cp:coreProperties>
</file>