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940EE4">
        <w:trPr>
          <w:cantSplit/>
          <w:trHeight w:val="1134"/>
        </w:trPr>
        <w:tc>
          <w:tcPr>
            <w:tcW w:w="6804" w:type="dxa"/>
          </w:tcPr>
          <w:p w:rsidR="00175C4C" w:rsidRPr="001E252D" w:rsidRDefault="00175C4C" w:rsidP="00FB3CEA">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940EE4">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940EE4">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940EE4">
        <w:trPr>
          <w:cantSplit/>
        </w:trPr>
        <w:tc>
          <w:tcPr>
            <w:tcW w:w="6804" w:type="dxa"/>
            <w:tcBorders>
              <w:top w:val="single" w:sz="12" w:space="0" w:color="auto"/>
            </w:tcBorders>
          </w:tcPr>
          <w:p w:rsidR="00175C4C" w:rsidRPr="00D96B4B"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940EE4">
            <w:pPr>
              <w:spacing w:before="0" w:line="240" w:lineRule="atLeast"/>
              <w:rPr>
                <w:rFonts w:cstheme="minorHAnsi"/>
                <w:sz w:val="20"/>
              </w:rPr>
            </w:pPr>
          </w:p>
        </w:tc>
      </w:tr>
      <w:tr w:rsidR="00175C4C" w:rsidRPr="0038489B" w:rsidTr="008F5A2D">
        <w:trPr>
          <w:cantSplit/>
          <w:trHeight w:val="349"/>
        </w:trPr>
        <w:tc>
          <w:tcPr>
            <w:tcW w:w="6804" w:type="dxa"/>
            <w:shd w:val="clear" w:color="auto" w:fill="auto"/>
          </w:tcPr>
          <w:p w:rsidR="00175C4C" w:rsidRPr="00D96B4B" w:rsidRDefault="00175C4C" w:rsidP="008F5A2D">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8F5A2D">
            <w:pPr>
              <w:tabs>
                <w:tab w:val="left" w:pos="851"/>
              </w:tabs>
              <w:spacing w:before="0" w:line="240" w:lineRule="atLeast"/>
              <w:rPr>
                <w:rFonts w:cstheme="minorHAnsi"/>
                <w:szCs w:val="24"/>
                <w:lang w:val="es-ES_tradnl"/>
              </w:rPr>
            </w:pPr>
            <w:r>
              <w:rPr>
                <w:rFonts w:hint="eastAsia"/>
                <w:b/>
                <w:bCs/>
                <w:szCs w:val="24"/>
                <w:lang w:val="es-ES_tradnl" w:eastAsia="zh-CN"/>
              </w:rPr>
              <w:t>文件</w:t>
            </w:r>
            <w:bookmarkStart w:id="4" w:name="DocRef1"/>
            <w:bookmarkEnd w:id="4"/>
            <w:r w:rsidR="008F5A2D">
              <w:rPr>
                <w:rFonts w:hint="eastAsia"/>
                <w:b/>
                <w:bCs/>
                <w:szCs w:val="24"/>
                <w:lang w:val="es-ES_tradnl" w:eastAsia="zh-CN"/>
              </w:rPr>
              <w:t>：</w:t>
            </w:r>
            <w:r w:rsidR="008F5A2D">
              <w:rPr>
                <w:b/>
                <w:bCs/>
                <w:szCs w:val="24"/>
                <w:lang w:val="es-ES_tradnl"/>
              </w:rPr>
              <w:t>T</w:t>
            </w:r>
            <w:r>
              <w:rPr>
                <w:b/>
                <w:bCs/>
                <w:szCs w:val="24"/>
                <w:lang w:val="es-ES_tradnl"/>
              </w:rPr>
              <w:t>DAG-19</w:t>
            </w:r>
            <w:r w:rsidRPr="00147DA1">
              <w:rPr>
                <w:b/>
                <w:bCs/>
                <w:szCs w:val="24"/>
                <w:lang w:val="es-ES_tradnl"/>
              </w:rPr>
              <w:t>/</w:t>
            </w:r>
            <w:r w:rsidR="00642FFE">
              <w:rPr>
                <w:rFonts w:hint="eastAsia"/>
                <w:b/>
                <w:bCs/>
                <w:szCs w:val="24"/>
                <w:lang w:val="es-ES_tradnl" w:eastAsia="zh-CN"/>
              </w:rPr>
              <w:t>4</w:t>
            </w:r>
            <w:r w:rsidRPr="00147DA1">
              <w:rPr>
                <w:b/>
                <w:bCs/>
                <w:szCs w:val="24"/>
                <w:lang w:val="es-ES_tradnl"/>
              </w:rPr>
              <w:t>-</w:t>
            </w:r>
            <w:r>
              <w:rPr>
                <w:b/>
                <w:bCs/>
                <w:szCs w:val="24"/>
                <w:lang w:val="es-ES_tradnl"/>
              </w:rPr>
              <w:t>C</w:t>
            </w:r>
          </w:p>
        </w:tc>
      </w:tr>
      <w:tr w:rsidR="00175C4C" w:rsidRPr="00C324A8" w:rsidTr="00940EE4">
        <w:trPr>
          <w:cantSplit/>
          <w:trHeight w:val="23"/>
        </w:trPr>
        <w:tc>
          <w:tcPr>
            <w:tcW w:w="6804" w:type="dxa"/>
            <w:shd w:val="clear" w:color="auto" w:fill="auto"/>
          </w:tcPr>
          <w:p w:rsidR="00175C4C" w:rsidRPr="00E07105"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940EE4">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642FFE">
              <w:rPr>
                <w:rFonts w:hint="eastAsia"/>
                <w:b/>
                <w:bCs/>
                <w:szCs w:val="24"/>
                <w:lang w:val="fr-FR" w:eastAsia="zh-CN"/>
              </w:rPr>
              <w:t>1</w:t>
            </w:r>
            <w:r>
              <w:rPr>
                <w:b/>
                <w:bCs/>
                <w:szCs w:val="24"/>
                <w:lang w:val="fr-FR" w:eastAsia="zh-CN"/>
              </w:rPr>
              <w:t>月</w:t>
            </w:r>
            <w:r w:rsidR="00642FFE">
              <w:rPr>
                <w:rFonts w:hint="eastAsia"/>
                <w:b/>
                <w:bCs/>
                <w:szCs w:val="24"/>
                <w:lang w:val="fr-FR" w:eastAsia="zh-CN"/>
              </w:rPr>
              <w:t>22</w:t>
            </w:r>
            <w:r>
              <w:rPr>
                <w:b/>
                <w:bCs/>
                <w:szCs w:val="24"/>
                <w:lang w:val="fr-FR" w:eastAsia="zh-CN"/>
              </w:rPr>
              <w:t>日</w:t>
            </w:r>
          </w:p>
        </w:tc>
      </w:tr>
      <w:tr w:rsidR="00175C4C" w:rsidRPr="00C324A8" w:rsidTr="00940EE4">
        <w:trPr>
          <w:cantSplit/>
          <w:trHeight w:val="23"/>
        </w:trPr>
        <w:tc>
          <w:tcPr>
            <w:tcW w:w="6804" w:type="dxa"/>
            <w:shd w:val="clear" w:color="auto" w:fill="auto"/>
          </w:tcPr>
          <w:p w:rsidR="00175C4C" w:rsidRPr="00D96B4B"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940EE4">
        <w:trPr>
          <w:cantSplit/>
          <w:trHeight w:val="23"/>
        </w:trPr>
        <w:tc>
          <w:tcPr>
            <w:tcW w:w="10031" w:type="dxa"/>
            <w:gridSpan w:val="2"/>
            <w:shd w:val="clear" w:color="auto" w:fill="auto"/>
          </w:tcPr>
          <w:p w:rsidR="00175C4C" w:rsidRPr="008F5A2D" w:rsidRDefault="005709B8" w:rsidP="00175C4C">
            <w:pPr>
              <w:pStyle w:val="Source"/>
              <w:spacing w:before="240" w:after="240"/>
              <w:jc w:val="center"/>
              <w:rPr>
                <w:rFonts w:asciiTheme="majorEastAsia" w:eastAsiaTheme="majorEastAsia" w:hAnsiTheme="majorEastAsia"/>
                <w:sz w:val="28"/>
                <w:szCs w:val="28"/>
                <w:lang w:val="en-US" w:eastAsia="zh-CN"/>
              </w:rPr>
            </w:pPr>
            <w:r w:rsidRPr="008F5A2D">
              <w:rPr>
                <w:rFonts w:hint="eastAsia"/>
                <w:sz w:val="28"/>
                <w:szCs w:val="28"/>
              </w:rPr>
              <w:t>电</w:t>
            </w:r>
            <w:r w:rsidRPr="008F5A2D">
              <w:rPr>
                <w:sz w:val="28"/>
                <w:szCs w:val="28"/>
              </w:rPr>
              <w:t>信发展局主任</w:t>
            </w:r>
          </w:p>
        </w:tc>
      </w:tr>
      <w:tr w:rsidR="00175C4C" w:rsidRPr="00C324A8" w:rsidTr="007E5382">
        <w:trPr>
          <w:cantSplit/>
          <w:trHeight w:val="23"/>
        </w:trPr>
        <w:tc>
          <w:tcPr>
            <w:tcW w:w="10031" w:type="dxa"/>
            <w:gridSpan w:val="2"/>
            <w:shd w:val="clear" w:color="auto" w:fill="auto"/>
          </w:tcPr>
          <w:p w:rsidR="00175C4C" w:rsidRPr="008F5A2D" w:rsidRDefault="00DB1522" w:rsidP="008F5A2D">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bCs/>
                <w:caps/>
                <w:sz w:val="28"/>
                <w:szCs w:val="28"/>
                <w:lang w:val="en-US" w:eastAsia="zh-CN"/>
              </w:rPr>
            </w:pPr>
            <w:bookmarkStart w:id="9" w:name="lt_pId018"/>
            <w:r w:rsidRPr="008F5A2D">
              <w:rPr>
                <w:rFonts w:hint="eastAsia"/>
                <w:b w:val="0"/>
                <w:bCs/>
                <w:sz w:val="28"/>
                <w:szCs w:val="28"/>
                <w:lang w:eastAsia="zh-CN"/>
              </w:rPr>
              <w:t>对</w:t>
            </w:r>
            <w:r w:rsidR="008F5A2D" w:rsidRPr="008F5A2D">
              <w:rPr>
                <w:b w:val="0"/>
                <w:bCs/>
                <w:sz w:val="28"/>
                <w:szCs w:val="28"/>
                <w:lang w:eastAsia="zh-CN"/>
              </w:rPr>
              <w:t>ITU-D</w:t>
            </w:r>
            <w:r w:rsidRPr="008F5A2D">
              <w:rPr>
                <w:rFonts w:hint="eastAsia"/>
                <w:b w:val="0"/>
                <w:bCs/>
                <w:sz w:val="28"/>
                <w:szCs w:val="28"/>
                <w:lang w:eastAsia="zh-CN"/>
              </w:rPr>
              <w:t>工作有影响的</w:t>
            </w:r>
            <w:r w:rsidR="008F5A2D" w:rsidRPr="008F5A2D">
              <w:rPr>
                <w:rFonts w:hint="eastAsia"/>
                <w:b w:val="0"/>
                <w:bCs/>
                <w:sz w:val="28"/>
                <w:szCs w:val="28"/>
                <w:lang w:eastAsia="zh-CN"/>
              </w:rPr>
              <w:t>国际电联</w:t>
            </w:r>
            <w:r w:rsidR="008F5A2D">
              <w:rPr>
                <w:b w:val="0"/>
                <w:bCs/>
                <w:sz w:val="28"/>
                <w:szCs w:val="28"/>
                <w:lang w:eastAsia="zh-CN"/>
              </w:rPr>
              <w:br/>
            </w:r>
            <w:r w:rsidRPr="008F5A2D">
              <w:rPr>
                <w:rFonts w:hint="eastAsia"/>
                <w:b w:val="0"/>
                <w:bCs/>
                <w:sz w:val="28"/>
                <w:szCs w:val="28"/>
                <w:lang w:eastAsia="zh-CN"/>
              </w:rPr>
              <w:t>第</w:t>
            </w:r>
            <w:r w:rsidRPr="008F5A2D">
              <w:rPr>
                <w:rFonts w:hint="eastAsia"/>
                <w:b w:val="0"/>
                <w:bCs/>
                <w:sz w:val="28"/>
                <w:szCs w:val="28"/>
                <w:lang w:eastAsia="zh-CN"/>
              </w:rPr>
              <w:t>20</w:t>
            </w:r>
            <w:r w:rsidRPr="008F5A2D">
              <w:rPr>
                <w:rFonts w:hint="eastAsia"/>
                <w:b w:val="0"/>
                <w:bCs/>
                <w:sz w:val="28"/>
                <w:szCs w:val="28"/>
                <w:lang w:eastAsia="zh-CN"/>
              </w:rPr>
              <w:t>届全权代表大会（</w:t>
            </w:r>
            <w:r w:rsidRPr="008F5A2D">
              <w:rPr>
                <w:rFonts w:hint="eastAsia"/>
                <w:b w:val="0"/>
                <w:bCs/>
                <w:sz w:val="28"/>
                <w:szCs w:val="28"/>
                <w:lang w:eastAsia="zh-CN"/>
              </w:rPr>
              <w:t>2018</w:t>
            </w:r>
            <w:r w:rsidRPr="008F5A2D">
              <w:rPr>
                <w:rFonts w:hint="eastAsia"/>
                <w:b w:val="0"/>
                <w:bCs/>
                <w:sz w:val="28"/>
                <w:szCs w:val="28"/>
                <w:lang w:eastAsia="zh-CN"/>
              </w:rPr>
              <w:t>年）的成果</w:t>
            </w:r>
            <w:bookmarkEnd w:id="9"/>
          </w:p>
        </w:tc>
      </w:tr>
      <w:tr w:rsidR="00175C4C" w:rsidRPr="00C324A8" w:rsidTr="00940EE4">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175C4C" w:rsidRPr="00054016" w:rsidRDefault="002A1AF0" w:rsidP="001C772C">
            <w:pPr>
              <w:ind w:firstLineChars="200" w:firstLine="480"/>
              <w:rPr>
                <w:b/>
                <w:bCs/>
                <w:lang w:eastAsia="zh-CN"/>
              </w:rPr>
            </w:pPr>
            <w:bookmarkStart w:id="10" w:name="lt_pId021"/>
            <w:r>
              <w:rPr>
                <w:rFonts w:hint="eastAsia"/>
                <w:szCs w:val="24"/>
                <w:lang w:eastAsia="zh-CN"/>
              </w:rPr>
              <w:t>本文件概要总结</w:t>
            </w:r>
            <w:r>
              <w:rPr>
                <w:rFonts w:hint="eastAsia"/>
                <w:szCs w:val="28"/>
                <w:lang w:eastAsia="zh-CN"/>
              </w:rPr>
              <w:t>对</w:t>
            </w:r>
            <w:r w:rsidR="008F5A2D">
              <w:rPr>
                <w:szCs w:val="28"/>
                <w:lang w:eastAsia="zh-CN"/>
              </w:rPr>
              <w:t>ITU-D</w:t>
            </w:r>
            <w:r>
              <w:rPr>
                <w:rFonts w:hint="eastAsia"/>
                <w:szCs w:val="28"/>
                <w:lang w:eastAsia="zh-CN"/>
              </w:rPr>
              <w:t>工作有影响的国际电联第</w:t>
            </w:r>
            <w:r>
              <w:rPr>
                <w:rFonts w:hint="eastAsia"/>
                <w:szCs w:val="28"/>
                <w:lang w:eastAsia="zh-CN"/>
              </w:rPr>
              <w:t>20</w:t>
            </w:r>
            <w:r>
              <w:rPr>
                <w:rFonts w:hint="eastAsia"/>
                <w:szCs w:val="28"/>
                <w:lang w:eastAsia="zh-CN"/>
              </w:rPr>
              <w:t>届全权代表大会（</w:t>
            </w:r>
            <w:r>
              <w:rPr>
                <w:rFonts w:hint="eastAsia"/>
                <w:szCs w:val="28"/>
                <w:lang w:eastAsia="zh-CN"/>
              </w:rPr>
              <w:t>2018</w:t>
            </w:r>
            <w:r>
              <w:rPr>
                <w:rFonts w:hint="eastAsia"/>
                <w:szCs w:val="28"/>
                <w:lang w:eastAsia="zh-CN"/>
              </w:rPr>
              <w:t>年）的主要成果。</w:t>
            </w:r>
            <w:bookmarkEnd w:id="10"/>
          </w:p>
          <w:p w:rsidR="00175C4C" w:rsidRPr="00054016" w:rsidRDefault="00175C4C" w:rsidP="00175C4C">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175C4C" w:rsidRPr="00054016" w:rsidRDefault="005709B8" w:rsidP="009E1805">
            <w:pPr>
              <w:ind w:firstLineChars="200" w:firstLine="480"/>
              <w:rPr>
                <w:b/>
                <w:bCs/>
                <w:lang w:eastAsia="zh-CN"/>
              </w:rPr>
            </w:pPr>
            <w:r w:rsidRPr="00CB4740">
              <w:rPr>
                <w:rFonts w:hint="eastAsia"/>
                <w:color w:val="000000" w:themeColor="text1"/>
                <w:szCs w:val="24"/>
                <w:lang w:val="en-US" w:eastAsia="zh-CN"/>
              </w:rPr>
              <w:t>请电信发展顾问组</w:t>
            </w:r>
            <w:r w:rsidR="009E1805">
              <w:rPr>
                <w:rFonts w:hint="eastAsia"/>
                <w:color w:val="000000" w:themeColor="text1"/>
                <w:szCs w:val="24"/>
                <w:lang w:val="en-US" w:eastAsia="zh-CN"/>
              </w:rPr>
              <w:t>（</w:t>
            </w:r>
            <w:r w:rsidR="009E1805">
              <w:rPr>
                <w:rFonts w:hint="eastAsia"/>
                <w:color w:val="000000" w:themeColor="text1"/>
                <w:szCs w:val="24"/>
                <w:lang w:val="en-US" w:eastAsia="zh-CN"/>
              </w:rPr>
              <w:t>T</w:t>
            </w:r>
            <w:r w:rsidR="009E1805">
              <w:rPr>
                <w:color w:val="000000" w:themeColor="text1"/>
                <w:szCs w:val="24"/>
                <w:lang w:val="en-US" w:eastAsia="zh-CN"/>
              </w:rPr>
              <w:t>DAG</w:t>
            </w:r>
            <w:r w:rsidR="009E1805">
              <w:rPr>
                <w:rFonts w:hint="eastAsia"/>
                <w:color w:val="000000" w:themeColor="text1"/>
                <w:szCs w:val="24"/>
                <w:lang w:val="en-US" w:eastAsia="zh-CN"/>
              </w:rPr>
              <w:t>）</w:t>
            </w:r>
            <w:r w:rsidRPr="00CB4740">
              <w:rPr>
                <w:rFonts w:hint="eastAsia"/>
                <w:color w:val="000000" w:themeColor="text1"/>
                <w:szCs w:val="24"/>
                <w:lang w:val="en-US" w:eastAsia="zh-CN"/>
              </w:rPr>
              <w:t>将本报告记录在案并</w:t>
            </w:r>
            <w:r w:rsidRPr="00CB4740">
              <w:rPr>
                <w:color w:val="000000" w:themeColor="text1"/>
                <w:szCs w:val="24"/>
                <w:lang w:val="en-US" w:eastAsia="zh-CN"/>
              </w:rPr>
              <w:t>酌情提供指导</w:t>
            </w:r>
            <w:r w:rsidR="009E1805">
              <w:rPr>
                <w:rFonts w:hint="eastAsia"/>
                <w:color w:val="000000" w:themeColor="text1"/>
                <w:szCs w:val="24"/>
                <w:lang w:val="en-US" w:eastAsia="zh-CN"/>
              </w:rPr>
              <w:t>。</w:t>
            </w:r>
          </w:p>
          <w:p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rsidR="005709B8" w:rsidRPr="00D9621A" w:rsidRDefault="0023697A" w:rsidP="009E1805">
            <w:pPr>
              <w:spacing w:after="120"/>
              <w:rPr>
                <w:lang w:eastAsia="zh-CN"/>
              </w:rPr>
            </w:pPr>
            <w:hyperlink r:id="rId9" w:history="1">
              <w:bookmarkStart w:id="11" w:name="lt_pId025"/>
              <w:r w:rsidR="009E1805">
                <w:rPr>
                  <w:rStyle w:val="Hyperlink"/>
                  <w:rFonts w:hint="eastAsia"/>
                  <w:lang w:eastAsia="zh-CN"/>
                </w:rPr>
                <w:t>全权代表大会《最后文件》，</w:t>
              </w:r>
              <w:r w:rsidR="009E1805">
                <w:rPr>
                  <w:rStyle w:val="Hyperlink"/>
                  <w:rFonts w:hint="eastAsia"/>
                  <w:lang w:eastAsia="zh-CN"/>
                </w:rPr>
                <w:t>2018</w:t>
              </w:r>
              <w:r w:rsidR="009E1805">
                <w:rPr>
                  <w:rStyle w:val="Hyperlink"/>
                  <w:rFonts w:hint="eastAsia"/>
                  <w:lang w:eastAsia="zh-CN"/>
                </w:rPr>
                <w:t>年，迪拜</w:t>
              </w:r>
              <w:bookmarkEnd w:id="11"/>
            </w:hyperlink>
          </w:p>
        </w:tc>
      </w:tr>
      <w:bookmarkEnd w:id="7"/>
      <w:bookmarkEnd w:id="8"/>
    </w:tbl>
    <w:p w:rsidR="005709B8" w:rsidRDefault="005709B8">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5709B8" w:rsidRPr="004D3B95" w:rsidRDefault="00FA598D" w:rsidP="00213F61">
      <w:pPr>
        <w:ind w:firstLineChars="200" w:firstLine="480"/>
        <w:rPr>
          <w:highlight w:val="cyan"/>
          <w:lang w:eastAsia="zh-CN"/>
        </w:rPr>
      </w:pPr>
      <w:r>
        <w:rPr>
          <w:rFonts w:hint="eastAsia"/>
          <w:color w:val="000000"/>
          <w:lang w:eastAsia="zh-CN"/>
        </w:rPr>
        <w:lastRenderedPageBreak/>
        <w:t>国际电联</w:t>
      </w:r>
      <w:r w:rsidRPr="0051527E">
        <w:rPr>
          <w:rFonts w:hint="eastAsia"/>
          <w:color w:val="000000"/>
          <w:lang w:eastAsia="zh-CN"/>
        </w:rPr>
        <w:t>第</w:t>
      </w:r>
      <w:r w:rsidRPr="0051527E">
        <w:rPr>
          <w:rFonts w:hint="eastAsia"/>
          <w:color w:val="000000"/>
          <w:lang w:eastAsia="zh-CN"/>
        </w:rPr>
        <w:t>20</w:t>
      </w:r>
      <w:r>
        <w:rPr>
          <w:rFonts w:hint="eastAsia"/>
          <w:color w:val="000000"/>
          <w:lang w:eastAsia="zh-CN"/>
        </w:rPr>
        <w:t>届全权代表大会</w:t>
      </w:r>
      <w:r w:rsidR="00334BEF" w:rsidRPr="0051527E">
        <w:rPr>
          <w:rFonts w:hint="eastAsia"/>
          <w:color w:val="000000"/>
          <w:lang w:eastAsia="zh-CN"/>
        </w:rPr>
        <w:t>自</w:t>
      </w:r>
      <w:r w:rsidR="00334BEF" w:rsidRPr="0051527E">
        <w:rPr>
          <w:rFonts w:hint="eastAsia"/>
          <w:color w:val="000000"/>
          <w:lang w:eastAsia="zh-CN"/>
        </w:rPr>
        <w:t>2018</w:t>
      </w:r>
      <w:r w:rsidR="00334BEF" w:rsidRPr="0051527E">
        <w:rPr>
          <w:rFonts w:hint="eastAsia"/>
          <w:color w:val="000000"/>
          <w:lang w:eastAsia="zh-CN"/>
        </w:rPr>
        <w:t>年</w:t>
      </w:r>
      <w:r w:rsidR="00334BEF" w:rsidRPr="0051527E">
        <w:rPr>
          <w:rFonts w:hint="eastAsia"/>
          <w:color w:val="000000"/>
          <w:lang w:eastAsia="zh-CN"/>
        </w:rPr>
        <w:t>10</w:t>
      </w:r>
      <w:r w:rsidR="00334BEF" w:rsidRPr="0051527E">
        <w:rPr>
          <w:rFonts w:hint="eastAsia"/>
          <w:color w:val="000000"/>
          <w:lang w:eastAsia="zh-CN"/>
        </w:rPr>
        <w:t>月</w:t>
      </w:r>
      <w:r w:rsidR="00334BEF" w:rsidRPr="0051527E">
        <w:rPr>
          <w:rFonts w:hint="eastAsia"/>
          <w:color w:val="000000"/>
          <w:lang w:eastAsia="zh-CN"/>
        </w:rPr>
        <w:t>29</w:t>
      </w:r>
      <w:r w:rsidR="00334BEF" w:rsidRPr="0051527E">
        <w:rPr>
          <w:rFonts w:hint="eastAsia"/>
          <w:color w:val="000000"/>
          <w:lang w:eastAsia="zh-CN"/>
        </w:rPr>
        <w:t>日至</w:t>
      </w:r>
      <w:r w:rsidR="00334BEF" w:rsidRPr="0051527E">
        <w:rPr>
          <w:rFonts w:hint="eastAsia"/>
          <w:color w:val="000000"/>
          <w:lang w:eastAsia="zh-CN"/>
        </w:rPr>
        <w:t>11</w:t>
      </w:r>
      <w:r w:rsidR="00334BEF" w:rsidRPr="0051527E">
        <w:rPr>
          <w:rFonts w:hint="eastAsia"/>
          <w:color w:val="000000"/>
          <w:lang w:eastAsia="zh-CN"/>
        </w:rPr>
        <w:t>月</w:t>
      </w:r>
      <w:r w:rsidR="00334BEF" w:rsidRPr="0051527E">
        <w:rPr>
          <w:rFonts w:hint="eastAsia"/>
          <w:color w:val="000000"/>
          <w:lang w:eastAsia="zh-CN"/>
        </w:rPr>
        <w:t>16</w:t>
      </w:r>
      <w:r w:rsidR="00334BEF" w:rsidRPr="0051527E">
        <w:rPr>
          <w:rFonts w:hint="eastAsia"/>
          <w:color w:val="000000"/>
          <w:lang w:eastAsia="zh-CN"/>
        </w:rPr>
        <w:t>日在迪拜举行。该会议由阿拉伯联合酋长国主办，吸引了来自</w:t>
      </w:r>
      <w:r>
        <w:rPr>
          <w:rFonts w:hint="eastAsia"/>
          <w:color w:val="000000"/>
          <w:lang w:eastAsia="zh-CN"/>
        </w:rPr>
        <w:t>180</w:t>
      </w:r>
      <w:r w:rsidR="00334BEF" w:rsidRPr="0051527E">
        <w:rPr>
          <w:rFonts w:hint="eastAsia"/>
          <w:color w:val="000000"/>
          <w:lang w:eastAsia="zh-CN"/>
        </w:rPr>
        <w:t>个国家（</w:t>
      </w:r>
      <w:r w:rsidR="00334BEF" w:rsidRPr="0051527E">
        <w:rPr>
          <w:rFonts w:hint="eastAsia"/>
          <w:color w:val="000000"/>
          <w:lang w:eastAsia="zh-CN"/>
        </w:rPr>
        <w:t>2014</w:t>
      </w:r>
      <w:r w:rsidR="00334BEF" w:rsidRPr="0051527E">
        <w:rPr>
          <w:rFonts w:hint="eastAsia"/>
          <w:color w:val="000000"/>
          <w:lang w:eastAsia="zh-CN"/>
        </w:rPr>
        <w:t>年为</w:t>
      </w:r>
      <w:r w:rsidR="00334BEF" w:rsidRPr="0051527E">
        <w:rPr>
          <w:rFonts w:hint="eastAsia"/>
          <w:color w:val="000000"/>
          <w:lang w:eastAsia="zh-CN"/>
        </w:rPr>
        <w:t>171</w:t>
      </w:r>
      <w:r w:rsidR="00334BEF" w:rsidRPr="0051527E">
        <w:rPr>
          <w:rFonts w:hint="eastAsia"/>
          <w:color w:val="000000"/>
          <w:lang w:eastAsia="zh-CN"/>
        </w:rPr>
        <w:t>个国家）的</w:t>
      </w:r>
      <w:r w:rsidR="00334BEF" w:rsidRPr="0051527E">
        <w:rPr>
          <w:rFonts w:hint="eastAsia"/>
          <w:color w:val="000000"/>
          <w:lang w:eastAsia="zh-CN"/>
        </w:rPr>
        <w:t>2300</w:t>
      </w:r>
      <w:r w:rsidR="00334BEF" w:rsidRPr="0051527E">
        <w:rPr>
          <w:rFonts w:hint="eastAsia"/>
          <w:color w:val="000000"/>
          <w:lang w:eastAsia="zh-CN"/>
        </w:rPr>
        <w:t>多名与会者。</w:t>
      </w:r>
    </w:p>
    <w:p w:rsidR="005709B8" w:rsidRPr="00A50BB3" w:rsidRDefault="005709B8" w:rsidP="00213F61">
      <w:pPr>
        <w:ind w:firstLineChars="200" w:firstLine="480"/>
        <w:rPr>
          <w:lang w:eastAsia="zh-CN"/>
        </w:rPr>
      </w:pPr>
      <w:r w:rsidRPr="0051527E">
        <w:rPr>
          <w:rFonts w:hint="eastAsia"/>
          <w:color w:val="000000"/>
          <w:lang w:eastAsia="zh-CN"/>
        </w:rPr>
        <w:t>成员国</w:t>
      </w:r>
      <w:r w:rsidR="001E1117">
        <w:rPr>
          <w:rFonts w:hint="eastAsia"/>
          <w:color w:val="000000"/>
          <w:lang w:eastAsia="zh-CN"/>
        </w:rPr>
        <w:t>签署了《最后文件》，</w:t>
      </w:r>
      <w:r w:rsidRPr="0051527E">
        <w:rPr>
          <w:rFonts w:hint="eastAsia"/>
          <w:color w:val="000000"/>
          <w:lang w:eastAsia="zh-CN"/>
        </w:rPr>
        <w:t>重申了</w:t>
      </w:r>
      <w:r w:rsidR="001E1117">
        <w:rPr>
          <w:rFonts w:hint="eastAsia"/>
          <w:color w:val="000000"/>
          <w:lang w:eastAsia="zh-CN"/>
        </w:rPr>
        <w:t>其对于</w:t>
      </w:r>
      <w:r w:rsidRPr="0051527E">
        <w:rPr>
          <w:rFonts w:hint="eastAsia"/>
          <w:color w:val="000000"/>
          <w:lang w:eastAsia="zh-CN"/>
        </w:rPr>
        <w:t>连通世界共同愿景</w:t>
      </w:r>
      <w:r w:rsidR="00213F61">
        <w:rPr>
          <w:rFonts w:hint="eastAsia"/>
          <w:color w:val="000000"/>
          <w:lang w:eastAsia="zh-CN"/>
        </w:rPr>
        <w:t xml:space="preserve"> </w:t>
      </w:r>
      <w:r w:rsidR="00213F61" w:rsidRPr="0051527E">
        <w:rPr>
          <w:color w:val="000000"/>
          <w:lang w:eastAsia="zh-CN"/>
        </w:rPr>
        <w:t>–</w:t>
      </w:r>
      <w:r w:rsidR="00213F61">
        <w:rPr>
          <w:color w:val="000000"/>
          <w:lang w:eastAsia="zh-CN"/>
        </w:rPr>
        <w:t xml:space="preserve"> </w:t>
      </w:r>
      <w:r w:rsidRPr="0051527E">
        <w:rPr>
          <w:rFonts w:hint="eastAsia"/>
          <w:color w:val="000000"/>
          <w:lang w:eastAsia="zh-CN"/>
        </w:rPr>
        <w:t>将信息通信技术（</w:t>
      </w:r>
      <w:r w:rsidRPr="0051527E">
        <w:rPr>
          <w:rFonts w:hint="eastAsia"/>
          <w:color w:val="000000"/>
          <w:lang w:eastAsia="zh-CN"/>
        </w:rPr>
        <w:t>I</w:t>
      </w:r>
      <w:r w:rsidRPr="0051527E">
        <w:rPr>
          <w:color w:val="000000"/>
          <w:lang w:eastAsia="zh-CN"/>
        </w:rPr>
        <w:t>CT</w:t>
      </w:r>
      <w:r w:rsidR="001E1117">
        <w:rPr>
          <w:rFonts w:hint="eastAsia"/>
          <w:color w:val="000000"/>
          <w:lang w:eastAsia="zh-CN"/>
        </w:rPr>
        <w:t>）作为全世界人民福祉的源泉</w:t>
      </w:r>
      <w:r w:rsidRPr="0051527E">
        <w:rPr>
          <w:rFonts w:hint="eastAsia"/>
          <w:color w:val="000000"/>
          <w:lang w:eastAsia="zh-CN"/>
        </w:rPr>
        <w:t xml:space="preserve"> </w:t>
      </w:r>
      <w:r w:rsidRPr="0051527E">
        <w:rPr>
          <w:color w:val="000000"/>
          <w:lang w:eastAsia="zh-CN"/>
        </w:rPr>
        <w:t xml:space="preserve">– </w:t>
      </w:r>
      <w:r w:rsidR="001E1117">
        <w:rPr>
          <w:rFonts w:hint="eastAsia"/>
          <w:color w:val="000000"/>
          <w:lang w:eastAsia="zh-CN"/>
        </w:rPr>
        <w:t>的承诺</w:t>
      </w:r>
      <w:r w:rsidRPr="0051527E">
        <w:rPr>
          <w:rFonts w:hint="eastAsia"/>
          <w:color w:val="000000"/>
          <w:lang w:eastAsia="zh-CN"/>
        </w:rPr>
        <w:t>。</w:t>
      </w:r>
    </w:p>
    <w:p w:rsidR="005709B8" w:rsidRDefault="001E358E" w:rsidP="00213F61">
      <w:pPr>
        <w:ind w:firstLineChars="200" w:firstLine="480"/>
        <w:rPr>
          <w:lang w:eastAsia="zh-CN"/>
        </w:rPr>
      </w:pPr>
      <w:bookmarkStart w:id="12" w:name="lt_pId029"/>
      <w:r w:rsidRPr="0051527E">
        <w:rPr>
          <w:rFonts w:hint="eastAsia"/>
          <w:color w:val="000000"/>
          <w:lang w:eastAsia="zh-CN"/>
        </w:rPr>
        <w:t>成员国批准了</w:t>
      </w:r>
      <w:r>
        <w:rPr>
          <w:rFonts w:hint="eastAsia"/>
          <w:color w:val="000000"/>
          <w:lang w:eastAsia="zh-CN"/>
        </w:rPr>
        <w:t>四年期《战略和财务规划》以及一系列新的和经修订的决议、决定和建议，为国际电联充分利用新技术来为人类谋求福祉的工作提供了指导。</w:t>
      </w:r>
      <w:bookmarkEnd w:id="12"/>
    </w:p>
    <w:p w:rsidR="002301AA" w:rsidRDefault="007518B2" w:rsidP="00213F61">
      <w:pPr>
        <w:ind w:firstLineChars="200" w:firstLine="480"/>
        <w:rPr>
          <w:lang w:eastAsia="zh-CN"/>
        </w:rPr>
      </w:pPr>
      <w:bookmarkStart w:id="13" w:name="lt_pId030"/>
      <w:r>
        <w:rPr>
          <w:rFonts w:hint="eastAsia"/>
          <w:lang w:eastAsia="zh-CN"/>
        </w:rPr>
        <w:t>以下总结对</w:t>
      </w:r>
      <w:r w:rsidR="00213F61">
        <w:rPr>
          <w:lang w:eastAsia="zh-CN"/>
        </w:rPr>
        <w:t>ITU-D</w:t>
      </w:r>
      <w:r>
        <w:rPr>
          <w:rFonts w:hint="eastAsia"/>
          <w:lang w:eastAsia="zh-CN"/>
        </w:rPr>
        <w:t>工作最具相关性的全权代表大会决定。</w:t>
      </w:r>
      <w:bookmarkEnd w:id="13"/>
    </w:p>
    <w:p w:rsidR="005709B8" w:rsidRPr="002F0031" w:rsidRDefault="00334BEF" w:rsidP="002301AA">
      <w:pPr>
        <w:rPr>
          <w:lang w:eastAsia="zh-CN"/>
        </w:rPr>
      </w:pPr>
      <w:bookmarkStart w:id="14" w:name="lt_pId031"/>
      <w:r w:rsidRPr="00087496">
        <w:rPr>
          <w:rFonts w:hint="eastAsia"/>
          <w:b/>
          <w:bCs/>
          <w:lang w:eastAsia="zh-CN"/>
        </w:rPr>
        <w:t>第</w:t>
      </w:r>
      <w:r w:rsidR="005709B8" w:rsidRPr="00087496">
        <w:rPr>
          <w:b/>
          <w:bCs/>
          <w:lang w:eastAsia="zh-CN"/>
        </w:rPr>
        <w:t>71</w:t>
      </w:r>
      <w:r w:rsidRPr="00087496">
        <w:rPr>
          <w:rFonts w:hint="eastAsia"/>
          <w:b/>
          <w:bCs/>
          <w:lang w:eastAsia="zh-CN"/>
        </w:rPr>
        <w:t>号</w:t>
      </w:r>
      <w:r w:rsidRPr="00087496">
        <w:rPr>
          <w:b/>
          <w:bCs/>
          <w:lang w:eastAsia="zh-CN"/>
        </w:rPr>
        <w:t>决议（</w:t>
      </w:r>
      <w:r w:rsidRPr="00087496">
        <w:rPr>
          <w:rFonts w:hint="eastAsia"/>
          <w:b/>
          <w:bCs/>
          <w:lang w:eastAsia="zh-CN"/>
        </w:rPr>
        <w:t>2018</w:t>
      </w:r>
      <w:r w:rsidRPr="00087496">
        <w:rPr>
          <w:rFonts w:hint="eastAsia"/>
          <w:b/>
          <w:bCs/>
          <w:lang w:eastAsia="zh-CN"/>
        </w:rPr>
        <w:t>年</w:t>
      </w:r>
      <w:r w:rsidRPr="00087496">
        <w:rPr>
          <w:b/>
          <w:bCs/>
          <w:lang w:eastAsia="zh-CN"/>
        </w:rPr>
        <w:t>，迪拜，修订版）</w:t>
      </w:r>
      <w:r w:rsidR="00213F61">
        <w:rPr>
          <w:rFonts w:hint="eastAsia"/>
          <w:b/>
          <w:bCs/>
          <w:lang w:eastAsia="zh-CN"/>
        </w:rPr>
        <w:t xml:space="preserve"> </w:t>
      </w:r>
      <w:r w:rsidRPr="00087496">
        <w:rPr>
          <w:b/>
          <w:bCs/>
          <w:lang w:eastAsia="zh-CN"/>
        </w:rPr>
        <w:t>–</w:t>
      </w:r>
      <w:bookmarkStart w:id="15" w:name="_Toc407024766"/>
      <w:bookmarkStart w:id="16" w:name="_Toc413838343"/>
      <w:r w:rsidR="00087496">
        <w:rPr>
          <w:b/>
          <w:bCs/>
          <w:lang w:eastAsia="zh-CN"/>
        </w:rPr>
        <w:t xml:space="preserve"> </w:t>
      </w:r>
      <w:r w:rsidRPr="00A50BB3">
        <w:rPr>
          <w:rFonts w:hint="eastAsia"/>
          <w:b/>
          <w:bCs/>
          <w:lang w:eastAsia="zh-CN"/>
        </w:rPr>
        <w:t>国际电联</w:t>
      </w:r>
      <w:r w:rsidRPr="00A50BB3">
        <w:rPr>
          <w:b/>
          <w:bCs/>
          <w:lang w:eastAsia="zh-CN"/>
        </w:rPr>
        <w:t>2020-2023</w:t>
      </w:r>
      <w:r w:rsidRPr="00A50BB3">
        <w:rPr>
          <w:rFonts w:hint="eastAsia"/>
          <w:b/>
          <w:bCs/>
          <w:lang w:eastAsia="zh-CN"/>
        </w:rPr>
        <w:t>年战略规划</w:t>
      </w:r>
      <w:bookmarkEnd w:id="15"/>
      <w:bookmarkEnd w:id="16"/>
      <w:r w:rsidR="00A50BB3" w:rsidRPr="00A50BB3">
        <w:rPr>
          <w:rFonts w:hint="eastAsia"/>
          <w:lang w:eastAsia="zh-CN"/>
        </w:rPr>
        <w:t xml:space="preserve"> </w:t>
      </w:r>
      <w:r w:rsidR="00A50BB3">
        <w:rPr>
          <w:lang w:eastAsia="zh-CN"/>
        </w:rPr>
        <w:t xml:space="preserve">– </w:t>
      </w:r>
      <w:r w:rsidR="002301AA">
        <w:rPr>
          <w:rFonts w:hint="eastAsia"/>
          <w:lang w:eastAsia="zh-CN"/>
        </w:rPr>
        <w:t>特别包含了下列主要内容：</w:t>
      </w:r>
      <w:bookmarkEnd w:id="14"/>
    </w:p>
    <w:p w:rsidR="005709B8" w:rsidRPr="002F0031" w:rsidRDefault="00213F61" w:rsidP="00213F61">
      <w:pPr>
        <w:pStyle w:val="enumlev1"/>
        <w:rPr>
          <w:lang w:eastAsia="zh-CN"/>
        </w:rPr>
      </w:pPr>
      <w:bookmarkStart w:id="17" w:name="lt_pId032"/>
      <w:r>
        <w:rPr>
          <w:lang w:eastAsia="zh-CN"/>
        </w:rPr>
        <w:t>–</w:t>
      </w:r>
      <w:r>
        <w:rPr>
          <w:lang w:eastAsia="zh-CN"/>
        </w:rPr>
        <w:tab/>
      </w:r>
      <w:r w:rsidR="00D41D3B">
        <w:rPr>
          <w:rFonts w:hint="eastAsia"/>
          <w:lang w:eastAsia="zh-CN"/>
        </w:rPr>
        <w:t>国际电联的愿景、任务、价值观和</w:t>
      </w:r>
      <w:r w:rsidR="00D41D3B">
        <w:rPr>
          <w:rFonts w:hint="eastAsia"/>
          <w:lang w:eastAsia="zh-CN"/>
        </w:rPr>
        <w:t>5</w:t>
      </w:r>
      <w:r w:rsidR="00D41D3B">
        <w:rPr>
          <w:rFonts w:hint="eastAsia"/>
          <w:lang w:eastAsia="zh-CN"/>
        </w:rPr>
        <w:t>项战略目标；</w:t>
      </w:r>
      <w:bookmarkEnd w:id="17"/>
    </w:p>
    <w:p w:rsidR="005709B8" w:rsidRPr="002F0031" w:rsidRDefault="00213F61" w:rsidP="00213F61">
      <w:pPr>
        <w:pStyle w:val="enumlev1"/>
        <w:rPr>
          <w:lang w:eastAsia="zh-CN"/>
        </w:rPr>
      </w:pPr>
      <w:r>
        <w:rPr>
          <w:lang w:eastAsia="zh-CN"/>
        </w:rPr>
        <w:t>–</w:t>
      </w:r>
      <w:r>
        <w:rPr>
          <w:lang w:eastAsia="zh-CN"/>
        </w:rPr>
        <w:tab/>
      </w:r>
      <w:r w:rsidR="00D41D3B">
        <w:rPr>
          <w:rFonts w:hint="eastAsia"/>
          <w:lang w:eastAsia="zh-CN"/>
        </w:rPr>
        <w:t>一系列具体目标；</w:t>
      </w:r>
    </w:p>
    <w:p w:rsidR="005709B8" w:rsidRPr="002F0031" w:rsidRDefault="00213F61" w:rsidP="00213F61">
      <w:pPr>
        <w:pStyle w:val="enumlev1"/>
        <w:rPr>
          <w:lang w:eastAsia="zh-CN"/>
        </w:rPr>
      </w:pPr>
      <w:bookmarkStart w:id="18" w:name="lt_pId034"/>
      <w:r>
        <w:rPr>
          <w:lang w:eastAsia="zh-CN"/>
        </w:rPr>
        <w:t>–</w:t>
      </w:r>
      <w:r>
        <w:rPr>
          <w:lang w:eastAsia="zh-CN"/>
        </w:rPr>
        <w:tab/>
      </w:r>
      <w:r w:rsidR="002A6684">
        <w:rPr>
          <w:rFonts w:hint="eastAsia"/>
          <w:lang w:eastAsia="zh-CN"/>
        </w:rPr>
        <w:t>国际电联基于结果的框架，包括</w:t>
      </w:r>
      <w:r w:rsidR="002A6684" w:rsidRPr="002F0031">
        <w:rPr>
          <w:lang w:eastAsia="zh-CN"/>
        </w:rPr>
        <w:t>WTDC-17</w:t>
      </w:r>
      <w:r w:rsidR="002A6684">
        <w:rPr>
          <w:rFonts w:hint="eastAsia"/>
          <w:lang w:eastAsia="zh-CN"/>
        </w:rPr>
        <w:t>批准的</w:t>
      </w:r>
      <w:r>
        <w:rPr>
          <w:lang w:eastAsia="zh-CN"/>
        </w:rPr>
        <w:t>ITU-D</w:t>
      </w:r>
      <w:r w:rsidR="002A6684">
        <w:rPr>
          <w:rFonts w:hint="eastAsia"/>
          <w:lang w:eastAsia="zh-CN"/>
        </w:rPr>
        <w:t>的</w:t>
      </w:r>
      <w:r w:rsidR="002A6684">
        <w:rPr>
          <w:rFonts w:hint="eastAsia"/>
          <w:lang w:eastAsia="zh-CN"/>
        </w:rPr>
        <w:t>4</w:t>
      </w:r>
      <w:r w:rsidR="002A6684">
        <w:rPr>
          <w:rFonts w:hint="eastAsia"/>
          <w:lang w:eastAsia="zh-CN"/>
        </w:rPr>
        <w:t>项部门目标；</w:t>
      </w:r>
      <w:bookmarkEnd w:id="18"/>
    </w:p>
    <w:p w:rsidR="005709B8" w:rsidRPr="002F0031" w:rsidRDefault="00213F61" w:rsidP="00213F61">
      <w:pPr>
        <w:pStyle w:val="enumlev1"/>
        <w:rPr>
          <w:lang w:eastAsia="zh-CN"/>
        </w:rPr>
      </w:pPr>
      <w:bookmarkStart w:id="19" w:name="lt_pId035"/>
      <w:r>
        <w:rPr>
          <w:lang w:eastAsia="zh-CN"/>
        </w:rPr>
        <w:t>–</w:t>
      </w:r>
      <w:r>
        <w:rPr>
          <w:lang w:eastAsia="zh-CN"/>
        </w:rPr>
        <w:tab/>
      </w:r>
      <w:r w:rsidR="00B85344">
        <w:rPr>
          <w:rFonts w:hint="eastAsia"/>
          <w:lang w:eastAsia="zh-CN"/>
        </w:rPr>
        <w:t>与《</w:t>
      </w:r>
      <w:r w:rsidR="005709B8" w:rsidRPr="002F0031">
        <w:rPr>
          <w:lang w:eastAsia="zh-CN"/>
        </w:rPr>
        <w:t>2030</w:t>
      </w:r>
      <w:r w:rsidR="00B85344">
        <w:rPr>
          <w:rFonts w:hint="eastAsia"/>
          <w:lang w:eastAsia="zh-CN"/>
        </w:rPr>
        <w:t>年可持续发展议程</w:t>
      </w:r>
      <w:r w:rsidR="00B85344">
        <w:rPr>
          <w:lang w:eastAsia="zh-CN"/>
        </w:rPr>
        <w:t>》</w:t>
      </w:r>
      <w:r w:rsidR="00B85344">
        <w:rPr>
          <w:rFonts w:hint="eastAsia"/>
          <w:lang w:eastAsia="zh-CN"/>
        </w:rPr>
        <w:t>和可持续发展目标（</w:t>
      </w:r>
      <w:r w:rsidR="00B85344" w:rsidRPr="002F0031">
        <w:rPr>
          <w:lang w:eastAsia="zh-CN"/>
        </w:rPr>
        <w:t>SDG</w:t>
      </w:r>
      <w:r w:rsidR="00B85344">
        <w:rPr>
          <w:lang w:eastAsia="zh-CN"/>
        </w:rPr>
        <w:t>）</w:t>
      </w:r>
      <w:r w:rsidR="00B85344">
        <w:rPr>
          <w:rFonts w:hint="eastAsia"/>
          <w:lang w:eastAsia="zh-CN"/>
        </w:rPr>
        <w:t>的联系；</w:t>
      </w:r>
      <w:bookmarkEnd w:id="19"/>
    </w:p>
    <w:p w:rsidR="005709B8" w:rsidRDefault="00213F61" w:rsidP="00213F61">
      <w:pPr>
        <w:pStyle w:val="enumlev1"/>
        <w:rPr>
          <w:lang w:eastAsia="zh-CN"/>
        </w:rPr>
      </w:pPr>
      <w:bookmarkStart w:id="20" w:name="lt_pId036"/>
      <w:r>
        <w:rPr>
          <w:lang w:eastAsia="zh-CN"/>
        </w:rPr>
        <w:t>–</w:t>
      </w:r>
      <w:r>
        <w:rPr>
          <w:lang w:eastAsia="zh-CN"/>
        </w:rPr>
        <w:tab/>
      </w:r>
      <w:r w:rsidR="00EE717B">
        <w:rPr>
          <w:rFonts w:hint="eastAsia"/>
          <w:lang w:eastAsia="zh-CN"/>
        </w:rPr>
        <w:t>与财务规划的联系，包括为总体目标、部门目标和输出成果划拨的资源。</w:t>
      </w:r>
      <w:bookmarkEnd w:id="20"/>
    </w:p>
    <w:p w:rsidR="005709B8" w:rsidRPr="00A519F9" w:rsidRDefault="00E068E3" w:rsidP="00213F61">
      <w:pPr>
        <w:rPr>
          <w:lang w:eastAsia="zh-CN"/>
        </w:rPr>
      </w:pPr>
      <w:bookmarkStart w:id="21" w:name="lt_pId037"/>
      <w:r w:rsidRPr="00E068E3">
        <w:rPr>
          <w:rFonts w:hint="eastAsia"/>
          <w:b/>
          <w:bCs/>
          <w:lang w:eastAsia="zh-CN"/>
        </w:rPr>
        <w:t>第</w:t>
      </w:r>
      <w:r w:rsidR="005709B8" w:rsidRPr="00E068E3">
        <w:rPr>
          <w:b/>
          <w:bCs/>
          <w:lang w:eastAsia="zh-CN"/>
        </w:rPr>
        <w:t>5</w:t>
      </w:r>
      <w:r w:rsidRPr="00E068E3">
        <w:rPr>
          <w:rFonts w:hint="eastAsia"/>
          <w:b/>
          <w:bCs/>
          <w:lang w:eastAsia="zh-CN"/>
        </w:rPr>
        <w:t>号</w:t>
      </w:r>
      <w:r w:rsidRPr="00E068E3">
        <w:rPr>
          <w:b/>
          <w:bCs/>
          <w:lang w:eastAsia="zh-CN"/>
        </w:rPr>
        <w:t>决定</w:t>
      </w:r>
      <w:r w:rsidRPr="00087496">
        <w:rPr>
          <w:b/>
          <w:bCs/>
          <w:lang w:eastAsia="zh-CN"/>
        </w:rPr>
        <w:t>（</w:t>
      </w:r>
      <w:r w:rsidRPr="00087496">
        <w:rPr>
          <w:rFonts w:hint="eastAsia"/>
          <w:b/>
          <w:bCs/>
          <w:lang w:eastAsia="zh-CN"/>
        </w:rPr>
        <w:t>2018</w:t>
      </w:r>
      <w:r w:rsidRPr="00087496">
        <w:rPr>
          <w:rFonts w:hint="eastAsia"/>
          <w:b/>
          <w:bCs/>
          <w:lang w:eastAsia="zh-CN"/>
        </w:rPr>
        <w:t>年</w:t>
      </w:r>
      <w:r w:rsidRPr="00087496">
        <w:rPr>
          <w:b/>
          <w:bCs/>
          <w:lang w:eastAsia="zh-CN"/>
        </w:rPr>
        <w:t>，迪拜，修订版）</w:t>
      </w:r>
      <w:r w:rsidR="00213F61">
        <w:rPr>
          <w:rFonts w:hint="eastAsia"/>
          <w:b/>
          <w:bCs/>
          <w:lang w:eastAsia="zh-CN"/>
        </w:rPr>
        <w:t xml:space="preserve"> </w:t>
      </w:r>
      <w:r w:rsidRPr="00087496">
        <w:rPr>
          <w:b/>
          <w:bCs/>
          <w:lang w:eastAsia="zh-CN"/>
        </w:rPr>
        <w:t>–</w:t>
      </w:r>
      <w:bookmarkStart w:id="22" w:name="_Toc407024733"/>
      <w:bookmarkStart w:id="23" w:name="_Toc413765642"/>
      <w:r>
        <w:rPr>
          <w:b/>
          <w:bCs/>
          <w:lang w:eastAsia="zh-CN"/>
        </w:rPr>
        <w:t xml:space="preserve"> </w:t>
      </w:r>
      <w:r w:rsidRPr="00A50BB3">
        <w:rPr>
          <w:rFonts w:hint="eastAsia"/>
          <w:b/>
          <w:bCs/>
          <w:lang w:eastAsia="zh-CN"/>
        </w:rPr>
        <w:t>国际电联</w:t>
      </w:r>
      <w:r w:rsidRPr="00A50BB3">
        <w:rPr>
          <w:rFonts w:hint="eastAsia"/>
          <w:b/>
          <w:bCs/>
          <w:lang w:eastAsia="zh-CN"/>
        </w:rPr>
        <w:t>2020-</w:t>
      </w:r>
      <w:r w:rsidRPr="00A50BB3">
        <w:rPr>
          <w:b/>
          <w:bCs/>
          <w:lang w:eastAsia="zh-CN"/>
        </w:rPr>
        <w:t>2023</w:t>
      </w:r>
      <w:r w:rsidRPr="00A50BB3">
        <w:rPr>
          <w:rFonts w:hint="eastAsia"/>
          <w:b/>
          <w:bCs/>
          <w:lang w:eastAsia="zh-CN"/>
        </w:rPr>
        <w:t>年的收入和支出</w:t>
      </w:r>
      <w:bookmarkEnd w:id="22"/>
      <w:bookmarkEnd w:id="23"/>
      <w:r w:rsidR="00213F61">
        <w:rPr>
          <w:lang w:eastAsia="zh-CN"/>
        </w:rPr>
        <w:t xml:space="preserve"> – </w:t>
      </w:r>
      <w:r w:rsidR="00437DFF">
        <w:rPr>
          <w:rFonts w:hint="eastAsia"/>
          <w:lang w:eastAsia="zh-CN"/>
        </w:rPr>
        <w:t>特别包含下列主要内容：</w:t>
      </w:r>
      <w:bookmarkEnd w:id="21"/>
    </w:p>
    <w:p w:rsidR="005709B8" w:rsidRPr="00A519F9" w:rsidRDefault="00213F61" w:rsidP="00213F61">
      <w:pPr>
        <w:pStyle w:val="enumlev1"/>
        <w:rPr>
          <w:lang w:eastAsia="zh-CN"/>
        </w:rPr>
      </w:pPr>
      <w:bookmarkStart w:id="24" w:name="lt_pId038"/>
      <w:r>
        <w:rPr>
          <w:lang w:eastAsia="zh-CN"/>
        </w:rPr>
        <w:t>–</w:t>
      </w:r>
      <w:r>
        <w:rPr>
          <w:lang w:eastAsia="zh-CN"/>
        </w:rPr>
        <w:tab/>
      </w:r>
      <w:r w:rsidR="00E068E3" w:rsidRPr="00E068E3">
        <w:rPr>
          <w:lang w:eastAsia="zh-CN"/>
        </w:rPr>
        <w:t>国际电联</w:t>
      </w:r>
      <w:r w:rsidR="00E068E3" w:rsidRPr="00E068E3">
        <w:rPr>
          <w:lang w:eastAsia="zh-CN"/>
        </w:rPr>
        <w:t>2020-2023</w:t>
      </w:r>
      <w:r w:rsidR="00E068E3" w:rsidRPr="00E068E3">
        <w:rPr>
          <w:lang w:eastAsia="zh-CN"/>
        </w:rPr>
        <w:t>年财务规划：收入与支出</w:t>
      </w:r>
      <w:bookmarkEnd w:id="24"/>
      <w:r w:rsidR="00E068E3">
        <w:rPr>
          <w:rFonts w:hint="eastAsia"/>
          <w:lang w:eastAsia="zh-CN"/>
        </w:rPr>
        <w:t>（第</w:t>
      </w:r>
      <w:r w:rsidR="00E068E3">
        <w:rPr>
          <w:rFonts w:hint="eastAsia"/>
          <w:lang w:eastAsia="zh-CN"/>
        </w:rPr>
        <w:t>5</w:t>
      </w:r>
      <w:r w:rsidR="00E068E3">
        <w:rPr>
          <w:rFonts w:hint="eastAsia"/>
          <w:lang w:eastAsia="zh-CN"/>
        </w:rPr>
        <w:t>号</w:t>
      </w:r>
      <w:r w:rsidR="00E068E3">
        <w:rPr>
          <w:lang w:eastAsia="zh-CN"/>
        </w:rPr>
        <w:t>决定附件</w:t>
      </w:r>
      <w:r w:rsidR="00E068E3">
        <w:rPr>
          <w:rFonts w:hint="eastAsia"/>
          <w:lang w:eastAsia="zh-CN"/>
        </w:rPr>
        <w:t>1</w:t>
      </w:r>
      <w:r w:rsidR="00E068E3">
        <w:rPr>
          <w:rFonts w:hint="eastAsia"/>
          <w:lang w:eastAsia="zh-CN"/>
        </w:rPr>
        <w:t>）；</w:t>
      </w:r>
    </w:p>
    <w:p w:rsidR="005709B8" w:rsidRPr="00A519F9" w:rsidRDefault="00213F61" w:rsidP="00213F61">
      <w:pPr>
        <w:pStyle w:val="enumlev1"/>
        <w:rPr>
          <w:lang w:eastAsia="zh-CN"/>
        </w:rPr>
      </w:pPr>
      <w:bookmarkStart w:id="25" w:name="lt_pId039"/>
      <w:r>
        <w:rPr>
          <w:lang w:eastAsia="zh-CN"/>
        </w:rPr>
        <w:t>–</w:t>
      </w:r>
      <w:r>
        <w:rPr>
          <w:lang w:eastAsia="zh-CN"/>
        </w:rPr>
        <w:tab/>
      </w:r>
      <w:r w:rsidR="00E068E3" w:rsidRPr="00E068E3">
        <w:rPr>
          <w:rFonts w:asciiTheme="majorBidi" w:hAnsiTheme="majorBidi" w:cstheme="majorBidi"/>
          <w:lang w:eastAsia="zh-CN"/>
        </w:rPr>
        <w:t>提高国际电联的效率并减少其支出的措施</w:t>
      </w:r>
      <w:bookmarkEnd w:id="25"/>
      <w:r w:rsidR="00E068E3">
        <w:rPr>
          <w:rFonts w:hint="eastAsia"/>
          <w:lang w:eastAsia="zh-CN"/>
        </w:rPr>
        <w:t>（第</w:t>
      </w:r>
      <w:r w:rsidR="00E068E3">
        <w:rPr>
          <w:rFonts w:hint="eastAsia"/>
          <w:lang w:eastAsia="zh-CN"/>
        </w:rPr>
        <w:t>5</w:t>
      </w:r>
      <w:r w:rsidR="00E068E3">
        <w:rPr>
          <w:rFonts w:hint="eastAsia"/>
          <w:lang w:eastAsia="zh-CN"/>
        </w:rPr>
        <w:t>号</w:t>
      </w:r>
      <w:r w:rsidR="00E068E3">
        <w:rPr>
          <w:lang w:eastAsia="zh-CN"/>
        </w:rPr>
        <w:t>决定附件</w:t>
      </w:r>
      <w:r w:rsidR="00E068E3">
        <w:rPr>
          <w:lang w:eastAsia="zh-CN"/>
        </w:rPr>
        <w:t>2</w:t>
      </w:r>
      <w:r w:rsidR="00E068E3">
        <w:rPr>
          <w:rFonts w:hint="eastAsia"/>
          <w:lang w:eastAsia="zh-CN"/>
        </w:rPr>
        <w:t>）；</w:t>
      </w:r>
    </w:p>
    <w:p w:rsidR="005709B8" w:rsidRPr="00A519F9" w:rsidRDefault="00213F61" w:rsidP="00213F61">
      <w:pPr>
        <w:pStyle w:val="enumlev1"/>
        <w:rPr>
          <w:lang w:eastAsia="zh-CN"/>
        </w:rPr>
      </w:pPr>
      <w:bookmarkStart w:id="26" w:name="lt_pId040"/>
      <w:r>
        <w:rPr>
          <w:lang w:eastAsia="zh-CN"/>
        </w:rPr>
        <w:t>–</w:t>
      </w:r>
      <w:r>
        <w:rPr>
          <w:lang w:eastAsia="zh-CN"/>
        </w:rPr>
        <w:tab/>
      </w:r>
      <w:r w:rsidR="00B7755F">
        <w:rPr>
          <w:rFonts w:asciiTheme="minorEastAsia" w:hAnsiTheme="minorEastAsia" w:hint="eastAsia"/>
          <w:lang w:eastAsia="zh-CN"/>
        </w:rPr>
        <w:t>计划的</w:t>
      </w:r>
      <w:r>
        <w:rPr>
          <w:lang w:eastAsia="zh-CN"/>
        </w:rPr>
        <w:t>6.603</w:t>
      </w:r>
      <w:r w:rsidR="00B7755F">
        <w:rPr>
          <w:rFonts w:asciiTheme="minorEastAsia" w:hAnsiTheme="minorEastAsia" w:hint="eastAsia"/>
          <w:lang w:eastAsia="zh-CN"/>
        </w:rPr>
        <w:t>亿瑞郎</w:t>
      </w:r>
      <w:r w:rsidR="00D50A91">
        <w:rPr>
          <w:rFonts w:asciiTheme="minorEastAsia" w:hAnsiTheme="minorEastAsia" w:hint="eastAsia"/>
          <w:lang w:eastAsia="zh-CN"/>
        </w:rPr>
        <w:t>总</w:t>
      </w:r>
      <w:r w:rsidR="00B7755F">
        <w:rPr>
          <w:rFonts w:asciiTheme="minorEastAsia" w:hAnsiTheme="minorEastAsia" w:hint="eastAsia"/>
          <w:lang w:eastAsia="zh-CN"/>
        </w:rPr>
        <w:t>支出将由预测的</w:t>
      </w:r>
      <w:r>
        <w:rPr>
          <w:lang w:eastAsia="zh-CN"/>
        </w:rPr>
        <w:t>6.603</w:t>
      </w:r>
      <w:r w:rsidR="00B7755F">
        <w:rPr>
          <w:rFonts w:asciiTheme="minorEastAsia" w:hAnsiTheme="minorEastAsia" w:hint="eastAsia"/>
          <w:lang w:eastAsia="zh-CN"/>
        </w:rPr>
        <w:t>亿瑞郎收入抵消，即，财务规划平衡，无需动用</w:t>
      </w:r>
      <w:r w:rsidR="003B37BC">
        <w:rPr>
          <w:rFonts w:asciiTheme="minorEastAsia" w:hAnsiTheme="minorEastAsia" w:hint="eastAsia"/>
          <w:lang w:eastAsia="zh-CN"/>
        </w:rPr>
        <w:t>储备金账目；</w:t>
      </w:r>
      <w:bookmarkEnd w:id="26"/>
    </w:p>
    <w:p w:rsidR="005709B8" w:rsidRPr="00A519F9" w:rsidRDefault="00213F61" w:rsidP="00213F61">
      <w:pPr>
        <w:pStyle w:val="enumlev1"/>
        <w:rPr>
          <w:lang w:eastAsia="zh-CN"/>
        </w:rPr>
      </w:pPr>
      <w:bookmarkStart w:id="27" w:name="lt_pId041"/>
      <w:r>
        <w:rPr>
          <w:lang w:eastAsia="zh-CN"/>
        </w:rPr>
        <w:t>–</w:t>
      </w:r>
      <w:r>
        <w:rPr>
          <w:lang w:eastAsia="zh-CN"/>
        </w:rPr>
        <w:tab/>
      </w:r>
      <w:r w:rsidR="00D50A91" w:rsidRPr="00A519F9">
        <w:rPr>
          <w:lang w:eastAsia="zh-CN"/>
        </w:rPr>
        <w:t>2020-2021</w:t>
      </w:r>
      <w:r w:rsidR="00D50A91">
        <w:rPr>
          <w:rFonts w:asciiTheme="minorEastAsia" w:hAnsiTheme="minorEastAsia" w:hint="eastAsia"/>
          <w:lang w:eastAsia="zh-CN"/>
        </w:rPr>
        <w:t>年，电信发展局的财务规划预算为</w:t>
      </w:r>
      <w:r w:rsidR="00D50A91">
        <w:rPr>
          <w:lang w:eastAsia="zh-CN"/>
        </w:rPr>
        <w:t>6</w:t>
      </w:r>
      <w:r>
        <w:rPr>
          <w:lang w:eastAsia="zh-CN"/>
        </w:rPr>
        <w:t xml:space="preserve"> </w:t>
      </w:r>
      <w:r w:rsidR="00D50A91">
        <w:rPr>
          <w:lang w:eastAsia="zh-CN"/>
        </w:rPr>
        <w:t>0</w:t>
      </w:r>
      <w:r w:rsidR="00D50A91" w:rsidRPr="00A519F9">
        <w:rPr>
          <w:lang w:eastAsia="zh-CN"/>
        </w:rPr>
        <w:t>3</w:t>
      </w:r>
      <w:r w:rsidR="00D50A91">
        <w:rPr>
          <w:lang w:eastAsia="zh-CN"/>
        </w:rPr>
        <w:t>0</w:t>
      </w:r>
      <w:r w:rsidR="00D50A91">
        <w:rPr>
          <w:rFonts w:asciiTheme="minorEastAsia" w:hAnsiTheme="minorEastAsia" w:hint="eastAsia"/>
          <w:lang w:eastAsia="zh-CN"/>
        </w:rPr>
        <w:t>万瑞郎；</w:t>
      </w:r>
      <w:r w:rsidR="00D50A91" w:rsidRPr="00A519F9">
        <w:rPr>
          <w:lang w:eastAsia="zh-CN"/>
        </w:rPr>
        <w:t>2022-2023</w:t>
      </w:r>
      <w:r w:rsidR="00D50A91">
        <w:rPr>
          <w:rFonts w:asciiTheme="minorEastAsia" w:hAnsiTheme="minorEastAsia" w:hint="eastAsia"/>
          <w:lang w:eastAsia="zh-CN"/>
        </w:rPr>
        <w:t>年为</w:t>
      </w:r>
      <w:r w:rsidR="00D50A91">
        <w:rPr>
          <w:lang w:eastAsia="zh-CN"/>
        </w:rPr>
        <w:t>5</w:t>
      </w:r>
      <w:r>
        <w:rPr>
          <w:lang w:eastAsia="zh-CN"/>
        </w:rPr>
        <w:t xml:space="preserve"> </w:t>
      </w:r>
      <w:r w:rsidR="00D50A91">
        <w:rPr>
          <w:lang w:eastAsia="zh-CN"/>
        </w:rPr>
        <w:t>5</w:t>
      </w:r>
      <w:r w:rsidR="00D50A91" w:rsidRPr="00A519F9">
        <w:rPr>
          <w:lang w:eastAsia="zh-CN"/>
        </w:rPr>
        <w:t>7</w:t>
      </w:r>
      <w:r w:rsidR="00D50A91">
        <w:rPr>
          <w:lang w:eastAsia="zh-CN"/>
        </w:rPr>
        <w:t>0</w:t>
      </w:r>
      <w:r w:rsidR="00D50A91">
        <w:rPr>
          <w:rFonts w:asciiTheme="minorEastAsia" w:hAnsiTheme="minorEastAsia" w:hint="eastAsia"/>
          <w:lang w:eastAsia="zh-CN"/>
        </w:rPr>
        <w:t>万瑞郎；</w:t>
      </w:r>
      <w:bookmarkEnd w:id="27"/>
    </w:p>
    <w:p w:rsidR="005709B8" w:rsidRPr="00A24022" w:rsidRDefault="00213F61" w:rsidP="00213F61">
      <w:pPr>
        <w:pStyle w:val="enumlev1"/>
        <w:rPr>
          <w:lang w:eastAsia="zh-CN"/>
        </w:rPr>
      </w:pPr>
      <w:bookmarkStart w:id="28" w:name="lt_pId042"/>
      <w:r>
        <w:rPr>
          <w:lang w:eastAsia="zh-CN"/>
        </w:rPr>
        <w:t>–</w:t>
      </w:r>
      <w:r>
        <w:rPr>
          <w:lang w:eastAsia="zh-CN"/>
        </w:rPr>
        <w:tab/>
      </w:r>
      <w:r w:rsidR="007B29A3" w:rsidRPr="00A519F9">
        <w:rPr>
          <w:lang w:eastAsia="zh-CN"/>
        </w:rPr>
        <w:t>2020-2021</w:t>
      </w:r>
      <w:r w:rsidR="007B29A3">
        <w:rPr>
          <w:rFonts w:asciiTheme="minorEastAsia" w:hAnsiTheme="minorEastAsia" w:hint="eastAsia"/>
          <w:lang w:eastAsia="zh-CN"/>
        </w:rPr>
        <w:t>年的预算额包含了</w:t>
      </w:r>
      <w:r w:rsidR="00E1053F">
        <w:rPr>
          <w:rFonts w:asciiTheme="minorEastAsia" w:hAnsiTheme="minorEastAsia" w:hint="eastAsia"/>
          <w:lang w:eastAsia="zh-CN"/>
        </w:rPr>
        <w:t>为</w:t>
      </w:r>
      <w:r w:rsidR="007B29A3">
        <w:rPr>
          <w:rFonts w:asciiTheme="minorEastAsia" w:hAnsiTheme="minorEastAsia" w:hint="eastAsia"/>
          <w:lang w:eastAsia="zh-CN"/>
        </w:rPr>
        <w:t>区域性举措项目</w:t>
      </w:r>
      <w:r w:rsidR="00E1053F">
        <w:rPr>
          <w:rFonts w:asciiTheme="minorEastAsia" w:hAnsiTheme="minorEastAsia" w:hint="eastAsia"/>
          <w:lang w:eastAsia="zh-CN"/>
        </w:rPr>
        <w:t>准备的</w:t>
      </w:r>
      <w:r w:rsidR="007B29A3" w:rsidRPr="00213F61">
        <w:rPr>
          <w:rFonts w:hint="eastAsia"/>
          <w:lang w:eastAsia="zh-CN"/>
        </w:rPr>
        <w:t>300</w:t>
      </w:r>
      <w:r w:rsidR="007B29A3">
        <w:rPr>
          <w:rFonts w:asciiTheme="minorEastAsia" w:hAnsiTheme="minorEastAsia" w:hint="eastAsia"/>
          <w:lang w:eastAsia="zh-CN"/>
        </w:rPr>
        <w:t>万瑞郎。</w:t>
      </w:r>
      <w:bookmarkEnd w:id="28"/>
    </w:p>
    <w:p w:rsidR="005709B8" w:rsidRPr="00F07568" w:rsidRDefault="00DD30F8" w:rsidP="00A50BB3">
      <w:pPr>
        <w:spacing w:after="120"/>
        <w:rPr>
          <w:lang w:eastAsia="zh-CN"/>
        </w:rPr>
      </w:pPr>
      <w:bookmarkStart w:id="29" w:name="Proposal"/>
      <w:bookmarkStart w:id="30" w:name="lt_pId043"/>
      <w:bookmarkEnd w:id="29"/>
      <w:r w:rsidRPr="00DD30F8">
        <w:rPr>
          <w:rFonts w:hint="eastAsia"/>
          <w:b/>
          <w:bCs/>
          <w:lang w:eastAsia="zh-CN"/>
        </w:rPr>
        <w:t>第</w:t>
      </w:r>
      <w:r w:rsidRPr="00DD30F8">
        <w:rPr>
          <w:rFonts w:hint="eastAsia"/>
          <w:b/>
          <w:bCs/>
          <w:lang w:eastAsia="zh-CN"/>
        </w:rPr>
        <w:t>25</w:t>
      </w:r>
      <w:r w:rsidRPr="00DD30F8">
        <w:rPr>
          <w:rFonts w:hint="eastAsia"/>
          <w:b/>
          <w:bCs/>
          <w:lang w:eastAsia="zh-CN"/>
        </w:rPr>
        <w:t>号</w:t>
      </w:r>
      <w:r w:rsidRPr="00DD30F8">
        <w:rPr>
          <w:b/>
          <w:bCs/>
          <w:lang w:eastAsia="zh-CN"/>
        </w:rPr>
        <w:t>决议</w:t>
      </w:r>
      <w:r w:rsidRPr="00087496">
        <w:rPr>
          <w:b/>
          <w:bCs/>
          <w:lang w:eastAsia="zh-CN"/>
        </w:rPr>
        <w:t>（</w:t>
      </w:r>
      <w:r w:rsidRPr="00087496">
        <w:rPr>
          <w:rFonts w:hint="eastAsia"/>
          <w:b/>
          <w:bCs/>
          <w:lang w:eastAsia="zh-CN"/>
        </w:rPr>
        <w:t>2018</w:t>
      </w:r>
      <w:r w:rsidRPr="00087496">
        <w:rPr>
          <w:rFonts w:hint="eastAsia"/>
          <w:b/>
          <w:bCs/>
          <w:lang w:eastAsia="zh-CN"/>
        </w:rPr>
        <w:t>年</w:t>
      </w:r>
      <w:r w:rsidRPr="00087496">
        <w:rPr>
          <w:b/>
          <w:bCs/>
          <w:lang w:eastAsia="zh-CN"/>
        </w:rPr>
        <w:t>，迪拜，修订版）</w:t>
      </w:r>
      <w:r w:rsidR="00213F61">
        <w:rPr>
          <w:rFonts w:hint="eastAsia"/>
          <w:b/>
          <w:bCs/>
          <w:lang w:eastAsia="zh-CN"/>
        </w:rPr>
        <w:t xml:space="preserve"> </w:t>
      </w:r>
      <w:r w:rsidRPr="00087496">
        <w:rPr>
          <w:b/>
          <w:bCs/>
          <w:lang w:eastAsia="zh-CN"/>
        </w:rPr>
        <w:t>–</w:t>
      </w:r>
      <w:r>
        <w:rPr>
          <w:b/>
          <w:bCs/>
          <w:lang w:eastAsia="zh-CN"/>
        </w:rPr>
        <w:t xml:space="preserve"> </w:t>
      </w:r>
      <w:r w:rsidR="00A24022" w:rsidRPr="00A50BB3">
        <w:rPr>
          <w:rFonts w:hint="eastAsia"/>
          <w:b/>
          <w:bCs/>
          <w:lang w:eastAsia="zh-CN"/>
        </w:rPr>
        <w:t>加强</w:t>
      </w:r>
      <w:r w:rsidRPr="00A50BB3">
        <w:rPr>
          <w:rFonts w:hint="eastAsia"/>
          <w:b/>
          <w:bCs/>
          <w:lang w:eastAsia="zh-CN"/>
        </w:rPr>
        <w:t>国际电联区域代表处</w:t>
      </w:r>
      <w:r w:rsidR="00A24022" w:rsidRPr="00A50BB3">
        <w:rPr>
          <w:rFonts w:hint="eastAsia"/>
          <w:b/>
          <w:bCs/>
          <w:lang w:eastAsia="zh-CN"/>
        </w:rPr>
        <w:t>的</w:t>
      </w:r>
      <w:r w:rsidRPr="00A50BB3">
        <w:rPr>
          <w:rFonts w:hint="eastAsia"/>
          <w:b/>
          <w:bCs/>
          <w:lang w:eastAsia="zh-CN"/>
        </w:rPr>
        <w:t>作用</w:t>
      </w:r>
      <w:bookmarkEnd w:id="30"/>
      <w:r w:rsidR="00A50BB3">
        <w:rPr>
          <w:rFonts w:hint="eastAsia"/>
          <w:lang w:eastAsia="zh-CN"/>
        </w:rPr>
        <w:t xml:space="preserve"> </w:t>
      </w:r>
      <w:r w:rsidR="00A50BB3">
        <w:rPr>
          <w:lang w:eastAsia="zh-CN"/>
        </w:rPr>
        <w:t xml:space="preserve">– </w:t>
      </w:r>
      <w:r w:rsidR="00A24022">
        <w:rPr>
          <w:rFonts w:hint="eastAsia"/>
          <w:lang w:eastAsia="zh-CN"/>
        </w:rPr>
        <w:t>特别包含下列主要内容：</w:t>
      </w:r>
    </w:p>
    <w:p w:rsidR="005709B8" w:rsidRDefault="00213F61" w:rsidP="00213F61">
      <w:pPr>
        <w:pStyle w:val="enumlev1"/>
        <w:rPr>
          <w:lang w:eastAsia="zh-CN"/>
        </w:rPr>
      </w:pPr>
      <w:r>
        <w:rPr>
          <w:lang w:eastAsia="zh-CN"/>
        </w:rPr>
        <w:t>–</w:t>
      </w:r>
      <w:r>
        <w:rPr>
          <w:lang w:eastAsia="zh-CN"/>
        </w:rPr>
        <w:tab/>
      </w:r>
      <w:r w:rsidR="00DD30F8" w:rsidRPr="00DD30F8">
        <w:rPr>
          <w:lang w:eastAsia="zh-CN"/>
        </w:rPr>
        <w:t>全面审查国际电联</w:t>
      </w:r>
      <w:r w:rsidR="006B791E">
        <w:rPr>
          <w:lang w:eastAsia="zh-CN"/>
        </w:rPr>
        <w:t>区域代表</w:t>
      </w:r>
      <w:r w:rsidR="006B791E">
        <w:rPr>
          <w:rFonts w:hint="eastAsia"/>
          <w:lang w:eastAsia="zh-CN"/>
        </w:rPr>
        <w:t>处</w:t>
      </w:r>
      <w:r w:rsidR="00DD30F8" w:rsidRPr="00DD30F8">
        <w:rPr>
          <w:lang w:eastAsia="zh-CN"/>
        </w:rPr>
        <w:t>的问题，同时考虑到本决议附件中所包含的要素，并且向理事会</w:t>
      </w:r>
      <w:r w:rsidR="00DD30F8" w:rsidRPr="00DD30F8">
        <w:rPr>
          <w:lang w:eastAsia="zh-CN"/>
        </w:rPr>
        <w:t>2020</w:t>
      </w:r>
      <w:r w:rsidR="00DD30F8" w:rsidRPr="00DD30F8">
        <w:rPr>
          <w:lang w:eastAsia="zh-CN"/>
        </w:rPr>
        <w:t>年会议汇报相关内容，其中包括建议采取相应措施以确保国际电联区域代表处持续有效且高效地发挥作用；</w:t>
      </w:r>
    </w:p>
    <w:p w:rsidR="005709B8" w:rsidRPr="006C6C2C" w:rsidRDefault="00213F61" w:rsidP="00213F61">
      <w:pPr>
        <w:pStyle w:val="enumlev1"/>
        <w:rPr>
          <w:lang w:eastAsia="zh-CN"/>
        </w:rPr>
      </w:pPr>
      <w:r>
        <w:rPr>
          <w:lang w:eastAsia="zh-CN"/>
        </w:rPr>
        <w:t>–</w:t>
      </w:r>
      <w:r>
        <w:rPr>
          <w:lang w:eastAsia="zh-CN"/>
        </w:rPr>
        <w:tab/>
      </w:r>
      <w:r w:rsidR="00DD30F8" w:rsidRPr="00DD30F8">
        <w:rPr>
          <w:rFonts w:ascii="SimSun" w:eastAsia="SimSun" w:hAnsi="SimSun" w:hint="eastAsia"/>
          <w:szCs w:val="24"/>
          <w:lang w:eastAsia="zh-CN"/>
        </w:rPr>
        <w:t>努力在</w:t>
      </w:r>
      <w:r w:rsidR="00762F17">
        <w:rPr>
          <w:rFonts w:ascii="SimSun" w:eastAsia="SimSun" w:hAnsi="SimSun" w:hint="eastAsia"/>
          <w:szCs w:val="24"/>
          <w:lang w:eastAsia="zh-CN"/>
        </w:rPr>
        <w:t>每个</w:t>
      </w:r>
      <w:r w:rsidR="00DD30F8" w:rsidRPr="00DD30F8">
        <w:rPr>
          <w:rFonts w:ascii="SimSun" w:eastAsia="SimSun" w:hAnsi="SimSun" w:hint="eastAsia"/>
          <w:szCs w:val="24"/>
          <w:lang w:eastAsia="zh-CN"/>
        </w:rPr>
        <w:t>区域</w:t>
      </w:r>
      <w:r w:rsidR="006C6C2C">
        <w:rPr>
          <w:rFonts w:ascii="SimSun" w:eastAsia="SimSun" w:hAnsi="SimSun" w:hint="eastAsia"/>
          <w:szCs w:val="24"/>
          <w:lang w:eastAsia="zh-CN"/>
        </w:rPr>
        <w:t>至少</w:t>
      </w:r>
      <w:r w:rsidR="00DD30F8" w:rsidRPr="00DD30F8">
        <w:rPr>
          <w:rFonts w:ascii="SimSun" w:eastAsia="SimSun" w:hAnsi="SimSun" w:hint="eastAsia"/>
          <w:szCs w:val="24"/>
          <w:lang w:eastAsia="zh-CN"/>
        </w:rPr>
        <w:t>配备</w:t>
      </w:r>
      <w:r w:rsidR="006C6C2C">
        <w:rPr>
          <w:rFonts w:ascii="SimSun" w:eastAsia="SimSun" w:hAnsi="SimSun" w:hint="eastAsia"/>
          <w:szCs w:val="24"/>
          <w:lang w:eastAsia="zh-CN"/>
        </w:rPr>
        <w:t>一名</w:t>
      </w:r>
      <w:r w:rsidR="00DD30F8" w:rsidRPr="00DD30F8">
        <w:rPr>
          <w:rFonts w:ascii="SimSun" w:eastAsia="SimSun" w:hAnsi="SimSun" w:hint="eastAsia"/>
          <w:szCs w:val="24"/>
          <w:lang w:eastAsia="zh-CN"/>
        </w:rPr>
        <w:t>具有三个部门每个部门</w:t>
      </w:r>
      <w:r w:rsidR="006C6C2C">
        <w:rPr>
          <w:rFonts w:ascii="SimSun" w:eastAsia="SimSun" w:hAnsi="SimSun" w:hint="eastAsia"/>
          <w:szCs w:val="24"/>
          <w:lang w:eastAsia="zh-CN"/>
        </w:rPr>
        <w:t>的</w:t>
      </w:r>
      <w:r w:rsidR="00DD30F8" w:rsidRPr="00DD30F8">
        <w:rPr>
          <w:rFonts w:ascii="SimSun" w:eastAsia="SimSun" w:hAnsi="SimSun" w:hint="eastAsia"/>
          <w:szCs w:val="24"/>
          <w:lang w:eastAsia="zh-CN"/>
        </w:rPr>
        <w:t>专业知识</w:t>
      </w:r>
      <w:r w:rsidR="006C6C2C">
        <w:rPr>
          <w:rFonts w:ascii="SimSun" w:eastAsia="SimSun" w:hAnsi="SimSun" w:hint="eastAsia"/>
          <w:szCs w:val="24"/>
          <w:lang w:eastAsia="zh-CN"/>
        </w:rPr>
        <w:t>和技能</w:t>
      </w:r>
      <w:r w:rsidR="00DD30F8" w:rsidRPr="00DD30F8">
        <w:rPr>
          <w:rFonts w:ascii="SimSun" w:eastAsia="SimSun" w:hAnsi="SimSun" w:hint="eastAsia"/>
          <w:szCs w:val="24"/>
          <w:lang w:eastAsia="zh-CN"/>
        </w:rPr>
        <w:t>的</w:t>
      </w:r>
      <w:r w:rsidR="006C6C2C">
        <w:rPr>
          <w:rFonts w:ascii="SimSun" w:eastAsia="SimSun" w:hAnsi="SimSun" w:hint="eastAsia"/>
          <w:szCs w:val="24"/>
          <w:lang w:eastAsia="zh-CN"/>
        </w:rPr>
        <w:t>专业人员，他（她）将向区域代表处主任负责，同时包括对现有职员进行培训</w:t>
      </w:r>
      <w:r w:rsidR="00A50BB3">
        <w:rPr>
          <w:rFonts w:ascii="SimSun" w:eastAsia="SimSun" w:hAnsi="SimSun" w:hint="eastAsia"/>
          <w:szCs w:val="24"/>
          <w:lang w:eastAsia="zh-CN"/>
        </w:rPr>
        <w:t>。</w:t>
      </w:r>
    </w:p>
    <w:p w:rsidR="005709B8" w:rsidRDefault="00C97A86" w:rsidP="00A50BB3">
      <w:pPr>
        <w:spacing w:after="120"/>
        <w:rPr>
          <w:lang w:eastAsia="zh-CN"/>
        </w:rPr>
      </w:pPr>
      <w:bookmarkStart w:id="31" w:name="lt_pId046"/>
      <w:r w:rsidRPr="00C97A86">
        <w:rPr>
          <w:rFonts w:hint="eastAsia"/>
          <w:b/>
          <w:bCs/>
          <w:lang w:eastAsia="zh-CN"/>
        </w:rPr>
        <w:t>第</w:t>
      </w:r>
      <w:r w:rsidR="005709B8" w:rsidRPr="00C97A86">
        <w:rPr>
          <w:b/>
          <w:bCs/>
          <w:lang w:eastAsia="zh-CN"/>
        </w:rPr>
        <w:t>213</w:t>
      </w:r>
      <w:r w:rsidRPr="00C97A86">
        <w:rPr>
          <w:rFonts w:hint="eastAsia"/>
          <w:b/>
          <w:bCs/>
          <w:lang w:eastAsia="zh-CN"/>
        </w:rPr>
        <w:t>号</w:t>
      </w:r>
      <w:r w:rsidRPr="00C97A86">
        <w:rPr>
          <w:b/>
          <w:bCs/>
          <w:lang w:eastAsia="zh-CN"/>
        </w:rPr>
        <w:t>新决议</w:t>
      </w:r>
      <w:r w:rsidR="005709B8" w:rsidRPr="00C97A86">
        <w:rPr>
          <w:b/>
          <w:bCs/>
          <w:lang w:eastAsia="zh-CN"/>
        </w:rPr>
        <w:t xml:space="preserve"> </w:t>
      </w:r>
      <w:r w:rsidRPr="00C97A86">
        <w:rPr>
          <w:b/>
          <w:bCs/>
          <w:lang w:eastAsia="zh-CN"/>
        </w:rPr>
        <w:t>–</w:t>
      </w:r>
      <w:r>
        <w:rPr>
          <w:b/>
          <w:bCs/>
          <w:lang w:eastAsia="zh-CN"/>
        </w:rPr>
        <w:t xml:space="preserve"> </w:t>
      </w:r>
      <w:r w:rsidRPr="00A50BB3">
        <w:rPr>
          <w:b/>
          <w:bCs/>
          <w:color w:val="000000"/>
          <w:lang w:eastAsia="zh-CN"/>
        </w:rPr>
        <w:t>完善、促进和加强国际电联与会补贴的措</w:t>
      </w:r>
      <w:r w:rsidRPr="00A50BB3">
        <w:rPr>
          <w:rFonts w:ascii="SimSun" w:eastAsia="SimSun" w:hAnsi="SimSun" w:cs="SimSun" w:hint="eastAsia"/>
          <w:b/>
          <w:bCs/>
          <w:color w:val="000000"/>
          <w:lang w:eastAsia="zh-CN"/>
        </w:rPr>
        <w:t>施</w:t>
      </w:r>
      <w:bookmarkEnd w:id="31"/>
      <w:r w:rsidR="00A50BB3" w:rsidRPr="00A50BB3">
        <w:rPr>
          <w:rFonts w:hint="eastAsia"/>
          <w:lang w:eastAsia="zh-CN"/>
        </w:rPr>
        <w:t xml:space="preserve"> </w:t>
      </w:r>
      <w:r w:rsidR="00A50BB3">
        <w:rPr>
          <w:lang w:eastAsia="zh-CN"/>
        </w:rPr>
        <w:t xml:space="preserve">– </w:t>
      </w:r>
      <w:r w:rsidR="000F5B88">
        <w:rPr>
          <w:rFonts w:hint="eastAsia"/>
          <w:lang w:eastAsia="zh-CN"/>
        </w:rPr>
        <w:t>特别包含下列主要内容：</w:t>
      </w:r>
    </w:p>
    <w:p w:rsidR="005709B8" w:rsidRDefault="00213F61" w:rsidP="00213F61">
      <w:pPr>
        <w:pStyle w:val="enumlev1"/>
        <w:rPr>
          <w:lang w:eastAsia="zh-CN"/>
        </w:rPr>
      </w:pPr>
      <w:r>
        <w:rPr>
          <w:lang w:eastAsia="zh-CN"/>
        </w:rPr>
        <w:t>–</w:t>
      </w:r>
      <w:r>
        <w:rPr>
          <w:lang w:eastAsia="zh-CN"/>
        </w:rPr>
        <w:tab/>
      </w:r>
      <w:r w:rsidR="0051527E" w:rsidRPr="0051527E">
        <w:rPr>
          <w:rFonts w:hint="eastAsia"/>
          <w:lang w:eastAsia="zh-CN"/>
        </w:rPr>
        <w:t>每年就与会补贴问题向国际电联理事会做出报告</w:t>
      </w:r>
      <w:r w:rsidR="00B854C4">
        <w:rPr>
          <w:rFonts w:hint="eastAsia"/>
          <w:lang w:eastAsia="zh-CN"/>
        </w:rPr>
        <w:t>；</w:t>
      </w:r>
    </w:p>
    <w:p w:rsidR="005709B8" w:rsidRDefault="00213F61" w:rsidP="00213F61">
      <w:pPr>
        <w:pStyle w:val="enumlev1"/>
        <w:rPr>
          <w:lang w:eastAsia="zh-CN"/>
        </w:rPr>
      </w:pPr>
      <w:r>
        <w:rPr>
          <w:lang w:eastAsia="zh-CN"/>
        </w:rPr>
        <w:t>–</w:t>
      </w:r>
      <w:r>
        <w:rPr>
          <w:lang w:eastAsia="zh-CN"/>
        </w:rPr>
        <w:tab/>
      </w:r>
      <w:r w:rsidR="00CA6D38">
        <w:rPr>
          <w:rFonts w:asciiTheme="minorEastAsia" w:hAnsiTheme="minorEastAsia" w:hint="eastAsia"/>
          <w:lang w:eastAsia="zh-CN"/>
        </w:rPr>
        <w:t>责成理事会</w:t>
      </w:r>
      <w:r w:rsidR="0051527E" w:rsidRPr="0051527E">
        <w:rPr>
          <w:rFonts w:hint="eastAsia"/>
          <w:lang w:eastAsia="zh-CN"/>
        </w:rPr>
        <w:t>审议与会补贴的现行发放标准并向秘书长提出建议，以完善、促进并加强国际电联的与会补贴</w:t>
      </w:r>
      <w:r w:rsidR="001C772C">
        <w:rPr>
          <w:rFonts w:hint="eastAsia"/>
          <w:lang w:eastAsia="zh-CN"/>
        </w:rPr>
        <w:t>。</w:t>
      </w:r>
    </w:p>
    <w:p w:rsidR="005709B8" w:rsidRDefault="00C97A86" w:rsidP="00A50BB3">
      <w:pPr>
        <w:spacing w:after="120"/>
        <w:rPr>
          <w:lang w:eastAsia="zh-CN"/>
        </w:rPr>
      </w:pPr>
      <w:bookmarkStart w:id="32" w:name="lt_pId049"/>
      <w:r w:rsidRPr="00C97A86">
        <w:rPr>
          <w:rFonts w:hint="eastAsia"/>
          <w:b/>
          <w:bCs/>
          <w:lang w:eastAsia="zh-CN"/>
        </w:rPr>
        <w:t>第</w:t>
      </w:r>
      <w:r w:rsidRPr="00C97A86">
        <w:rPr>
          <w:b/>
          <w:bCs/>
          <w:lang w:eastAsia="zh-CN"/>
        </w:rPr>
        <w:t>209</w:t>
      </w:r>
      <w:r w:rsidRPr="00C97A86">
        <w:rPr>
          <w:rFonts w:hint="eastAsia"/>
          <w:b/>
          <w:bCs/>
          <w:lang w:eastAsia="zh-CN"/>
        </w:rPr>
        <w:t>号</w:t>
      </w:r>
      <w:r w:rsidRPr="00C97A86">
        <w:rPr>
          <w:b/>
          <w:bCs/>
          <w:lang w:eastAsia="zh-CN"/>
        </w:rPr>
        <w:t>新决议</w:t>
      </w:r>
      <w:r w:rsidRPr="00C97A86">
        <w:rPr>
          <w:b/>
          <w:bCs/>
          <w:lang w:eastAsia="zh-CN"/>
        </w:rPr>
        <w:t xml:space="preserve"> –</w:t>
      </w:r>
      <w:r>
        <w:rPr>
          <w:b/>
          <w:bCs/>
          <w:lang w:eastAsia="zh-CN"/>
        </w:rPr>
        <w:t xml:space="preserve"> </w:t>
      </w:r>
      <w:r w:rsidRPr="00A50BB3">
        <w:rPr>
          <w:rFonts w:hint="eastAsia"/>
          <w:b/>
          <w:bCs/>
          <w:noProof/>
          <w:lang w:eastAsia="zh-CN"/>
        </w:rPr>
        <w:t>鼓励中小型企业参与国际电联</w:t>
      </w:r>
      <w:r w:rsidR="00D94A6B" w:rsidRPr="00A50BB3">
        <w:rPr>
          <w:rFonts w:hint="eastAsia"/>
          <w:b/>
          <w:bCs/>
          <w:noProof/>
          <w:lang w:eastAsia="zh-CN"/>
        </w:rPr>
        <w:t>工作</w:t>
      </w:r>
      <w:bookmarkEnd w:id="32"/>
      <w:r w:rsidR="00A50BB3">
        <w:rPr>
          <w:rFonts w:hint="eastAsia"/>
          <w:noProof/>
          <w:lang w:eastAsia="zh-CN"/>
        </w:rPr>
        <w:t xml:space="preserve"> </w:t>
      </w:r>
      <w:r w:rsidR="00A50BB3">
        <w:rPr>
          <w:lang w:eastAsia="zh-CN"/>
        </w:rPr>
        <w:t xml:space="preserve">– </w:t>
      </w:r>
      <w:r w:rsidR="00D94A6B">
        <w:rPr>
          <w:rFonts w:hint="eastAsia"/>
          <w:lang w:eastAsia="zh-CN"/>
        </w:rPr>
        <w:t>特别包含下列主要内容：</w:t>
      </w:r>
    </w:p>
    <w:p w:rsidR="005709B8" w:rsidRDefault="00213F61" w:rsidP="00213F61">
      <w:pPr>
        <w:pStyle w:val="enumlev1"/>
        <w:rPr>
          <w:lang w:eastAsia="zh-CN"/>
        </w:rPr>
      </w:pPr>
      <w:r>
        <w:rPr>
          <w:lang w:eastAsia="zh-CN"/>
        </w:rPr>
        <w:t>–</w:t>
      </w:r>
      <w:r>
        <w:rPr>
          <w:lang w:eastAsia="zh-CN"/>
        </w:rPr>
        <w:tab/>
      </w:r>
      <w:r w:rsidR="00145F53">
        <w:rPr>
          <w:rFonts w:hint="eastAsia"/>
          <w:lang w:eastAsia="zh-CN"/>
        </w:rPr>
        <w:t>通过减少其会费</w:t>
      </w:r>
      <w:r w:rsidR="00E82CE8">
        <w:rPr>
          <w:rFonts w:hint="eastAsia"/>
          <w:lang w:eastAsia="zh-CN"/>
        </w:rPr>
        <w:t>的手段</w:t>
      </w:r>
      <w:r w:rsidR="00B736AB">
        <w:rPr>
          <w:rFonts w:hint="eastAsia"/>
          <w:lang w:eastAsia="zh-CN"/>
        </w:rPr>
        <w:t>鼓励</w:t>
      </w:r>
      <w:r w:rsidR="00145F53">
        <w:rPr>
          <w:rFonts w:hint="eastAsia"/>
          <w:lang w:eastAsia="zh-CN"/>
        </w:rPr>
        <w:t>中小企业（</w:t>
      </w:r>
      <w:r w:rsidR="00B736AB">
        <w:rPr>
          <w:rFonts w:hint="eastAsia"/>
          <w:lang w:eastAsia="zh-CN"/>
        </w:rPr>
        <w:t>S</w:t>
      </w:r>
      <w:r w:rsidR="00B736AB">
        <w:rPr>
          <w:lang w:eastAsia="zh-CN"/>
        </w:rPr>
        <w:t>ME</w:t>
      </w:r>
      <w:r w:rsidR="00145F53">
        <w:rPr>
          <w:lang w:eastAsia="zh-CN"/>
        </w:rPr>
        <w:t>）</w:t>
      </w:r>
      <w:r w:rsidR="00B736AB">
        <w:rPr>
          <w:rFonts w:hint="eastAsia"/>
          <w:lang w:eastAsia="zh-CN"/>
        </w:rPr>
        <w:t>作为部门准成员</w:t>
      </w:r>
      <w:r w:rsidR="00B736AB" w:rsidRPr="00BC6A5E">
        <w:rPr>
          <w:lang w:eastAsia="zh-CN"/>
        </w:rPr>
        <w:t>参加国际电联各部门</w:t>
      </w:r>
      <w:r w:rsidR="00B736AB">
        <w:rPr>
          <w:rFonts w:hint="eastAsia"/>
          <w:lang w:eastAsia="zh-CN"/>
        </w:rPr>
        <w:t>的</w:t>
      </w:r>
      <w:r w:rsidR="00B736AB" w:rsidRPr="00BC6A5E">
        <w:rPr>
          <w:lang w:eastAsia="zh-CN"/>
        </w:rPr>
        <w:t>工作，</w:t>
      </w:r>
      <w:r w:rsidR="00E82CE8">
        <w:rPr>
          <w:rFonts w:hint="eastAsia"/>
          <w:lang w:eastAsia="zh-CN"/>
        </w:rPr>
        <w:t>并</w:t>
      </w:r>
      <w:r w:rsidR="00B736AB" w:rsidRPr="00BC6A5E">
        <w:rPr>
          <w:lang w:eastAsia="zh-CN"/>
        </w:rPr>
        <w:t>在试行期间采用差异化的</w:t>
      </w:r>
      <w:r w:rsidR="00B736AB">
        <w:rPr>
          <w:rFonts w:hint="eastAsia"/>
          <w:lang w:eastAsia="zh-CN"/>
        </w:rPr>
        <w:t>财务</w:t>
      </w:r>
      <w:r w:rsidR="00B736AB" w:rsidRPr="00BC6A5E">
        <w:rPr>
          <w:lang w:eastAsia="zh-CN"/>
        </w:rPr>
        <w:t>会费</w:t>
      </w:r>
      <w:r w:rsidR="00B736AB">
        <w:rPr>
          <w:lang w:eastAsia="zh-CN"/>
        </w:rPr>
        <w:t>，试行期将延</w:t>
      </w:r>
      <w:r w:rsidR="00B736AB" w:rsidRPr="00BC6A5E">
        <w:rPr>
          <w:lang w:eastAsia="zh-CN"/>
        </w:rPr>
        <w:t>至下届全权代表大会召开之时</w:t>
      </w:r>
      <w:r w:rsidR="001C772C">
        <w:rPr>
          <w:lang w:eastAsia="zh-CN"/>
        </w:rPr>
        <w:t>。</w:t>
      </w:r>
    </w:p>
    <w:p w:rsidR="00213F61" w:rsidRDefault="00213F61">
      <w:pPr>
        <w:tabs>
          <w:tab w:val="clear" w:pos="794"/>
          <w:tab w:val="clear" w:pos="1191"/>
          <w:tab w:val="clear" w:pos="1588"/>
          <w:tab w:val="clear" w:pos="1985"/>
        </w:tabs>
        <w:overflowPunct/>
        <w:autoSpaceDE/>
        <w:autoSpaceDN/>
        <w:adjustRightInd/>
        <w:spacing w:before="0"/>
        <w:textAlignment w:val="auto"/>
        <w:rPr>
          <w:lang w:eastAsia="zh-CN"/>
        </w:rPr>
      </w:pPr>
      <w:bookmarkStart w:id="33" w:name="lt_pId051"/>
      <w:r>
        <w:rPr>
          <w:lang w:eastAsia="zh-CN"/>
        </w:rPr>
        <w:br w:type="page"/>
      </w:r>
    </w:p>
    <w:p w:rsidR="005709B8" w:rsidRDefault="00240533" w:rsidP="00213F61">
      <w:pPr>
        <w:spacing w:after="120"/>
        <w:ind w:firstLineChars="200" w:firstLine="480"/>
        <w:rPr>
          <w:lang w:eastAsia="zh-CN"/>
        </w:rPr>
      </w:pPr>
      <w:r>
        <w:rPr>
          <w:rFonts w:hint="eastAsia"/>
          <w:lang w:eastAsia="zh-CN"/>
        </w:rPr>
        <w:lastRenderedPageBreak/>
        <w:t>涉及领域</w:t>
      </w:r>
      <w:r w:rsidR="00C522A4">
        <w:rPr>
          <w:rFonts w:hint="eastAsia"/>
          <w:lang w:eastAsia="zh-CN"/>
        </w:rPr>
        <w:t>与</w:t>
      </w:r>
      <w:r w:rsidR="00213F61">
        <w:rPr>
          <w:lang w:eastAsia="zh-CN"/>
        </w:rPr>
        <w:t>ITU-D</w:t>
      </w:r>
      <w:r w:rsidR="00C522A4">
        <w:rPr>
          <w:rFonts w:hint="eastAsia"/>
          <w:lang w:eastAsia="zh-CN"/>
        </w:rPr>
        <w:t>工作直接</w:t>
      </w:r>
      <w:r>
        <w:rPr>
          <w:rFonts w:hint="eastAsia"/>
          <w:lang w:eastAsia="zh-CN"/>
        </w:rPr>
        <w:t>相关的其他主要决议罗列如下：</w:t>
      </w:r>
      <w:bookmarkEnd w:id="33"/>
    </w:p>
    <w:p w:rsidR="005709B8" w:rsidRPr="00213F61" w:rsidRDefault="00213F61" w:rsidP="00213F61">
      <w:pPr>
        <w:pStyle w:val="enumlev1"/>
        <w:rPr>
          <w:lang w:eastAsia="zh-CN"/>
        </w:rPr>
      </w:pPr>
      <w:bookmarkStart w:id="34" w:name="lt_pId052"/>
      <w:bookmarkStart w:id="35" w:name="_Toc407024786"/>
      <w:bookmarkStart w:id="36" w:name="_Toc413838404"/>
      <w:r>
        <w:rPr>
          <w:lang w:eastAsia="zh-CN"/>
        </w:rPr>
        <w:t>–</w:t>
      </w:r>
      <w:r>
        <w:rPr>
          <w:lang w:eastAsia="zh-CN"/>
        </w:rPr>
        <w:tab/>
      </w:r>
      <w:r w:rsidR="0051527E" w:rsidRPr="00213F61">
        <w:rPr>
          <w:rFonts w:hint="eastAsia"/>
          <w:lang w:eastAsia="zh-CN"/>
        </w:rPr>
        <w:t>加强国际电联在树立使用信息通信技术</w:t>
      </w:r>
      <w:r w:rsidR="00F6542C" w:rsidRPr="00213F61">
        <w:rPr>
          <w:rFonts w:hint="eastAsia"/>
          <w:lang w:eastAsia="zh-CN"/>
        </w:rPr>
        <w:t>（</w:t>
      </w:r>
      <w:r w:rsidR="00F6542C" w:rsidRPr="00213F61">
        <w:rPr>
          <w:rFonts w:hint="eastAsia"/>
          <w:lang w:eastAsia="zh-CN"/>
        </w:rPr>
        <w:t>I</w:t>
      </w:r>
      <w:r w:rsidR="00F6542C" w:rsidRPr="00213F61">
        <w:rPr>
          <w:lang w:eastAsia="zh-CN"/>
        </w:rPr>
        <w:t>CT</w:t>
      </w:r>
      <w:r w:rsidR="00F6542C" w:rsidRPr="00213F61">
        <w:rPr>
          <w:rFonts w:hint="eastAsia"/>
          <w:lang w:eastAsia="zh-CN"/>
        </w:rPr>
        <w:t>）</w:t>
      </w:r>
      <w:r w:rsidR="0051527E" w:rsidRPr="00213F61">
        <w:rPr>
          <w:rFonts w:hint="eastAsia"/>
          <w:lang w:eastAsia="zh-CN"/>
        </w:rPr>
        <w:t>的信心和提高安全性方面的作用</w:t>
      </w:r>
      <w:bookmarkEnd w:id="34"/>
      <w:bookmarkEnd w:id="35"/>
      <w:bookmarkEnd w:id="36"/>
      <w:r w:rsidR="0051527E" w:rsidRPr="00213F61">
        <w:rPr>
          <w:rFonts w:hint="eastAsia"/>
          <w:lang w:eastAsia="zh-CN"/>
        </w:rPr>
        <w:t>（第</w:t>
      </w:r>
      <w:r w:rsidR="0051527E" w:rsidRPr="00213F61">
        <w:rPr>
          <w:rFonts w:hint="eastAsia"/>
          <w:lang w:eastAsia="zh-CN"/>
        </w:rPr>
        <w:t>130</w:t>
      </w:r>
      <w:r w:rsidR="0051527E" w:rsidRPr="00213F61">
        <w:rPr>
          <w:rFonts w:hint="eastAsia"/>
          <w:lang w:eastAsia="zh-CN"/>
        </w:rPr>
        <w:t>号</w:t>
      </w:r>
      <w:r w:rsidR="0051527E" w:rsidRPr="00213F61">
        <w:rPr>
          <w:lang w:eastAsia="zh-CN"/>
        </w:rPr>
        <w:t>决议）；</w:t>
      </w:r>
    </w:p>
    <w:p w:rsidR="005709B8" w:rsidRPr="00213F61" w:rsidRDefault="00213F61" w:rsidP="00213F61">
      <w:pPr>
        <w:pStyle w:val="enumlev1"/>
        <w:rPr>
          <w:lang w:eastAsia="zh-CN"/>
        </w:rPr>
      </w:pPr>
      <w:bookmarkStart w:id="37" w:name="_Toc407024788"/>
      <w:bookmarkStart w:id="38" w:name="_Toc413838406"/>
      <w:bookmarkStart w:id="39" w:name="lt_pId053"/>
      <w:r>
        <w:rPr>
          <w:lang w:eastAsia="zh-CN"/>
        </w:rPr>
        <w:t>–</w:t>
      </w:r>
      <w:r>
        <w:rPr>
          <w:lang w:eastAsia="zh-CN"/>
        </w:rPr>
        <w:tab/>
      </w:r>
      <w:r w:rsidR="0051527E" w:rsidRPr="00213F61">
        <w:rPr>
          <w:rFonts w:hint="eastAsia"/>
          <w:lang w:eastAsia="zh-CN"/>
        </w:rPr>
        <w:t>为建设综合型包容性信息社会进行信息通信技术的衡量</w:t>
      </w:r>
      <w:bookmarkEnd w:id="37"/>
      <w:bookmarkEnd w:id="38"/>
      <w:bookmarkEnd w:id="39"/>
      <w:r w:rsidR="0051527E" w:rsidRPr="00213F61">
        <w:rPr>
          <w:rFonts w:hint="eastAsia"/>
          <w:lang w:eastAsia="zh-CN"/>
        </w:rPr>
        <w:t>（第</w:t>
      </w:r>
      <w:r w:rsidR="0051527E" w:rsidRPr="00213F61">
        <w:rPr>
          <w:rFonts w:hint="eastAsia"/>
          <w:lang w:eastAsia="zh-CN"/>
        </w:rPr>
        <w:t>13</w:t>
      </w:r>
      <w:r w:rsidR="0051527E" w:rsidRPr="00213F61">
        <w:rPr>
          <w:lang w:eastAsia="zh-CN"/>
        </w:rPr>
        <w:t>1</w:t>
      </w:r>
      <w:r w:rsidR="0051527E" w:rsidRPr="00213F61">
        <w:rPr>
          <w:rFonts w:hint="eastAsia"/>
          <w:lang w:eastAsia="zh-CN"/>
        </w:rPr>
        <w:t>号</w:t>
      </w:r>
      <w:r w:rsidR="0051527E" w:rsidRPr="00213F61">
        <w:rPr>
          <w:lang w:eastAsia="zh-CN"/>
        </w:rPr>
        <w:t>决议）；</w:t>
      </w:r>
    </w:p>
    <w:p w:rsidR="005709B8" w:rsidRPr="00213F61" w:rsidRDefault="00213F61" w:rsidP="00213F61">
      <w:pPr>
        <w:pStyle w:val="enumlev1"/>
        <w:rPr>
          <w:lang w:eastAsia="zh-CN"/>
        </w:rPr>
      </w:pPr>
      <w:bookmarkStart w:id="40" w:name="_Toc407024800"/>
      <w:bookmarkStart w:id="41" w:name="_Toc413838420"/>
      <w:bookmarkStart w:id="42" w:name="lt_pId054"/>
      <w:r>
        <w:rPr>
          <w:lang w:eastAsia="zh-CN"/>
        </w:rPr>
        <w:t>–</w:t>
      </w:r>
      <w:r>
        <w:rPr>
          <w:lang w:eastAsia="zh-CN"/>
        </w:rPr>
        <w:tab/>
      </w:r>
      <w:r w:rsidR="0051527E" w:rsidRPr="00213F61">
        <w:rPr>
          <w:rFonts w:hint="eastAsia"/>
          <w:lang w:eastAsia="zh-CN"/>
        </w:rPr>
        <w:t>国际电联在落实信息社会世界高峰会议</w:t>
      </w:r>
      <w:r w:rsidR="00274588" w:rsidRPr="00213F61">
        <w:rPr>
          <w:rFonts w:hint="eastAsia"/>
          <w:lang w:eastAsia="zh-CN"/>
        </w:rPr>
        <w:t>（</w:t>
      </w:r>
      <w:r w:rsidR="00274588" w:rsidRPr="00213F61">
        <w:rPr>
          <w:rFonts w:hint="eastAsia"/>
          <w:lang w:eastAsia="zh-CN"/>
        </w:rPr>
        <w:t>W</w:t>
      </w:r>
      <w:r w:rsidR="00274588" w:rsidRPr="00213F61">
        <w:rPr>
          <w:lang w:eastAsia="zh-CN"/>
        </w:rPr>
        <w:t>SIS</w:t>
      </w:r>
      <w:r w:rsidR="00274588" w:rsidRPr="00213F61">
        <w:rPr>
          <w:rFonts w:hint="eastAsia"/>
          <w:lang w:eastAsia="zh-CN"/>
        </w:rPr>
        <w:t>）</w:t>
      </w:r>
      <w:r w:rsidR="0051527E" w:rsidRPr="00213F61">
        <w:rPr>
          <w:rFonts w:hint="eastAsia"/>
          <w:lang w:eastAsia="zh-CN"/>
        </w:rPr>
        <w:t>成果和</w:t>
      </w:r>
      <w:r w:rsidR="00274588" w:rsidRPr="00213F61">
        <w:rPr>
          <w:rFonts w:hint="eastAsia"/>
          <w:lang w:eastAsia="zh-CN"/>
        </w:rPr>
        <w:t>《</w:t>
      </w:r>
      <w:r w:rsidR="0051527E" w:rsidRPr="00213F61">
        <w:rPr>
          <w:rFonts w:hint="eastAsia"/>
          <w:lang w:eastAsia="zh-CN"/>
        </w:rPr>
        <w:t>2030</w:t>
      </w:r>
      <w:r w:rsidR="0051527E" w:rsidRPr="00213F61">
        <w:rPr>
          <w:rFonts w:hint="eastAsia"/>
          <w:lang w:eastAsia="zh-CN"/>
        </w:rPr>
        <w:t>年可持续发展议程</w:t>
      </w:r>
      <w:r w:rsidR="00274588" w:rsidRPr="00213F61">
        <w:rPr>
          <w:rFonts w:hint="eastAsia"/>
          <w:lang w:eastAsia="zh-CN"/>
        </w:rPr>
        <w:t>》</w:t>
      </w:r>
      <w:r w:rsidR="0051527E" w:rsidRPr="00213F61">
        <w:rPr>
          <w:rFonts w:hint="eastAsia"/>
          <w:lang w:eastAsia="zh-CN"/>
        </w:rPr>
        <w:t>及其跟进和审查</w:t>
      </w:r>
      <w:r w:rsidR="004B58F7" w:rsidRPr="00213F61">
        <w:rPr>
          <w:rFonts w:hint="eastAsia"/>
          <w:lang w:eastAsia="zh-CN"/>
        </w:rPr>
        <w:t>进程</w:t>
      </w:r>
      <w:r w:rsidR="0051527E" w:rsidRPr="00213F61">
        <w:rPr>
          <w:rFonts w:hint="eastAsia"/>
          <w:lang w:eastAsia="zh-CN"/>
        </w:rPr>
        <w:t>中的作用</w:t>
      </w:r>
      <w:bookmarkEnd w:id="40"/>
      <w:bookmarkEnd w:id="41"/>
      <w:bookmarkEnd w:id="42"/>
      <w:r w:rsidR="0051527E" w:rsidRPr="00213F61">
        <w:rPr>
          <w:rFonts w:hint="eastAsia"/>
          <w:lang w:eastAsia="zh-CN"/>
        </w:rPr>
        <w:t>（第</w:t>
      </w:r>
      <w:r w:rsidR="0051527E" w:rsidRPr="00213F61">
        <w:rPr>
          <w:rFonts w:hint="eastAsia"/>
          <w:lang w:eastAsia="zh-CN"/>
        </w:rPr>
        <w:t>1</w:t>
      </w:r>
      <w:r w:rsidR="0051527E" w:rsidRPr="00213F61">
        <w:rPr>
          <w:lang w:eastAsia="zh-CN"/>
        </w:rPr>
        <w:t>4</w:t>
      </w:r>
      <w:r w:rsidR="0051527E" w:rsidRPr="00213F61">
        <w:rPr>
          <w:rFonts w:hint="eastAsia"/>
          <w:lang w:eastAsia="zh-CN"/>
        </w:rPr>
        <w:t>0</w:t>
      </w:r>
      <w:r w:rsidR="0051527E" w:rsidRPr="00213F61">
        <w:rPr>
          <w:rFonts w:hint="eastAsia"/>
          <w:lang w:eastAsia="zh-CN"/>
        </w:rPr>
        <w:t>号</w:t>
      </w:r>
      <w:r w:rsidR="0051527E" w:rsidRPr="00213F61">
        <w:rPr>
          <w:lang w:eastAsia="zh-CN"/>
        </w:rPr>
        <w:t>决议）；</w:t>
      </w:r>
    </w:p>
    <w:p w:rsidR="005709B8" w:rsidRPr="00213F61" w:rsidRDefault="00213F61" w:rsidP="00213F61">
      <w:pPr>
        <w:pStyle w:val="enumlev1"/>
        <w:rPr>
          <w:lang w:eastAsia="zh-CN"/>
        </w:rPr>
      </w:pPr>
      <w:bookmarkStart w:id="43" w:name="lt_pId055"/>
      <w:bookmarkStart w:id="44" w:name="_Toc407024832"/>
      <w:bookmarkStart w:id="45" w:name="_Toc413838479"/>
      <w:r>
        <w:rPr>
          <w:lang w:eastAsia="zh-CN"/>
        </w:rPr>
        <w:t>–</w:t>
      </w:r>
      <w:r>
        <w:rPr>
          <w:lang w:eastAsia="zh-CN"/>
        </w:rPr>
        <w:tab/>
      </w:r>
      <w:r w:rsidR="0005431F" w:rsidRPr="00213F61">
        <w:rPr>
          <w:rFonts w:hint="eastAsia"/>
          <w:lang w:eastAsia="zh-CN"/>
        </w:rPr>
        <w:t>残疾人和有具体需求人士无障碍地获取电信</w:t>
      </w:r>
      <w:r w:rsidR="0005431F" w:rsidRPr="00213F61">
        <w:rPr>
          <w:lang w:eastAsia="zh-CN"/>
        </w:rPr>
        <w:t>/</w:t>
      </w:r>
      <w:r w:rsidR="0005431F" w:rsidRPr="00213F61">
        <w:rPr>
          <w:rFonts w:hint="eastAsia"/>
          <w:lang w:eastAsia="zh-CN"/>
        </w:rPr>
        <w:t>信息通信技术</w:t>
      </w:r>
      <w:bookmarkEnd w:id="43"/>
      <w:bookmarkEnd w:id="44"/>
      <w:bookmarkEnd w:id="45"/>
      <w:r w:rsidR="00103CBD" w:rsidRPr="00213F61">
        <w:rPr>
          <w:rFonts w:hint="eastAsia"/>
          <w:lang w:eastAsia="zh-CN"/>
        </w:rPr>
        <w:t>（</w:t>
      </w:r>
      <w:r w:rsidR="00103CBD" w:rsidRPr="00213F61">
        <w:rPr>
          <w:rFonts w:hint="eastAsia"/>
          <w:lang w:eastAsia="zh-CN"/>
        </w:rPr>
        <w:t>I</w:t>
      </w:r>
      <w:r w:rsidR="00103CBD" w:rsidRPr="00213F61">
        <w:rPr>
          <w:lang w:eastAsia="zh-CN"/>
        </w:rPr>
        <w:t>CT</w:t>
      </w:r>
      <w:r w:rsidR="00103CBD" w:rsidRPr="00213F61">
        <w:rPr>
          <w:rFonts w:hint="eastAsia"/>
          <w:lang w:eastAsia="zh-CN"/>
        </w:rPr>
        <w:t>）</w:t>
      </w:r>
      <w:r w:rsidR="0051527E" w:rsidRPr="00213F61">
        <w:rPr>
          <w:rFonts w:hint="eastAsia"/>
          <w:lang w:eastAsia="zh-CN"/>
        </w:rPr>
        <w:t>（第</w:t>
      </w:r>
      <w:r w:rsidR="0051527E" w:rsidRPr="00213F61">
        <w:rPr>
          <w:rFonts w:hint="eastAsia"/>
          <w:lang w:eastAsia="zh-CN"/>
        </w:rPr>
        <w:t>1</w:t>
      </w:r>
      <w:r w:rsidR="0051527E" w:rsidRPr="00213F61">
        <w:rPr>
          <w:lang w:eastAsia="zh-CN"/>
        </w:rPr>
        <w:t>75</w:t>
      </w:r>
      <w:r w:rsidR="0051527E" w:rsidRPr="00213F61">
        <w:rPr>
          <w:rFonts w:hint="eastAsia"/>
          <w:lang w:eastAsia="zh-CN"/>
        </w:rPr>
        <w:t>号</w:t>
      </w:r>
      <w:r w:rsidR="0051527E" w:rsidRPr="00213F61">
        <w:rPr>
          <w:lang w:eastAsia="zh-CN"/>
        </w:rPr>
        <w:t>决议）；</w:t>
      </w:r>
    </w:p>
    <w:p w:rsidR="005709B8" w:rsidRPr="00213F61" w:rsidRDefault="00213F61" w:rsidP="00213F61">
      <w:pPr>
        <w:pStyle w:val="enumlev1"/>
        <w:rPr>
          <w:lang w:eastAsia="zh-CN"/>
        </w:rPr>
      </w:pPr>
      <w:bookmarkStart w:id="46" w:name="lt_pId056"/>
      <w:bookmarkStart w:id="47" w:name="_Toc407024866"/>
      <w:bookmarkStart w:id="48" w:name="_Toc413838522"/>
      <w:r>
        <w:rPr>
          <w:lang w:eastAsia="zh-CN"/>
        </w:rPr>
        <w:t>–</w:t>
      </w:r>
      <w:r>
        <w:rPr>
          <w:lang w:eastAsia="zh-CN"/>
        </w:rPr>
        <w:tab/>
      </w:r>
      <w:r w:rsidR="0005431F" w:rsidRPr="00213F61">
        <w:rPr>
          <w:rFonts w:hint="eastAsia"/>
          <w:lang w:eastAsia="zh-CN"/>
        </w:rPr>
        <w:t>保护电信服务用户</w:t>
      </w:r>
      <w:r w:rsidR="0005431F" w:rsidRPr="00213F61">
        <w:rPr>
          <w:rFonts w:hint="eastAsia"/>
          <w:lang w:eastAsia="zh-CN"/>
        </w:rPr>
        <w:t>/</w:t>
      </w:r>
      <w:r w:rsidR="0005431F" w:rsidRPr="00213F61">
        <w:rPr>
          <w:rFonts w:hint="eastAsia"/>
          <w:lang w:eastAsia="zh-CN"/>
        </w:rPr>
        <w:t>消费者</w:t>
      </w:r>
      <w:bookmarkEnd w:id="46"/>
      <w:bookmarkEnd w:id="47"/>
      <w:bookmarkEnd w:id="48"/>
      <w:r w:rsidR="0051527E" w:rsidRPr="00213F61">
        <w:rPr>
          <w:rFonts w:hint="eastAsia"/>
          <w:lang w:eastAsia="zh-CN"/>
        </w:rPr>
        <w:t>（第</w:t>
      </w:r>
      <w:r w:rsidR="0051527E" w:rsidRPr="00213F61">
        <w:rPr>
          <w:rFonts w:hint="eastAsia"/>
          <w:lang w:eastAsia="zh-CN"/>
        </w:rPr>
        <w:t>1</w:t>
      </w:r>
      <w:r w:rsidR="0051527E" w:rsidRPr="00213F61">
        <w:rPr>
          <w:lang w:eastAsia="zh-CN"/>
        </w:rPr>
        <w:t>96</w:t>
      </w:r>
      <w:r w:rsidR="0051527E" w:rsidRPr="00213F61">
        <w:rPr>
          <w:rFonts w:hint="eastAsia"/>
          <w:lang w:eastAsia="zh-CN"/>
        </w:rPr>
        <w:t>号</w:t>
      </w:r>
      <w:r w:rsidR="0051527E" w:rsidRPr="00213F61">
        <w:rPr>
          <w:lang w:eastAsia="zh-CN"/>
        </w:rPr>
        <w:t>决议）；</w:t>
      </w:r>
    </w:p>
    <w:p w:rsidR="005709B8" w:rsidRPr="00213F61" w:rsidRDefault="00213F61" w:rsidP="00213F61">
      <w:pPr>
        <w:pStyle w:val="enumlev1"/>
        <w:rPr>
          <w:lang w:eastAsia="zh-CN"/>
        </w:rPr>
      </w:pPr>
      <w:bookmarkStart w:id="49" w:name="lt_pId057"/>
      <w:bookmarkStart w:id="50" w:name="_Toc407024868"/>
      <w:bookmarkStart w:id="51" w:name="_Toc413838524"/>
      <w:r>
        <w:rPr>
          <w:lang w:eastAsia="zh-CN"/>
        </w:rPr>
        <w:t>–</w:t>
      </w:r>
      <w:r>
        <w:rPr>
          <w:lang w:eastAsia="zh-CN"/>
        </w:rPr>
        <w:tab/>
      </w:r>
      <w:r w:rsidR="0005431F" w:rsidRPr="00213F61">
        <w:rPr>
          <w:rFonts w:hint="eastAsia"/>
          <w:lang w:eastAsia="zh-CN"/>
        </w:rPr>
        <w:t>促进物联网的发展</w:t>
      </w:r>
      <w:bookmarkEnd w:id="49"/>
      <w:bookmarkEnd w:id="50"/>
      <w:bookmarkEnd w:id="51"/>
      <w:r w:rsidR="00AB4E22" w:rsidRPr="00213F61">
        <w:rPr>
          <w:rFonts w:hint="eastAsia"/>
          <w:lang w:eastAsia="zh-CN"/>
        </w:rPr>
        <w:t>，为全球连通世界做好准备</w:t>
      </w:r>
      <w:r w:rsidR="0051527E" w:rsidRPr="00213F61">
        <w:rPr>
          <w:rFonts w:hint="eastAsia"/>
          <w:lang w:eastAsia="zh-CN"/>
        </w:rPr>
        <w:t>（第</w:t>
      </w:r>
      <w:r w:rsidR="0051527E" w:rsidRPr="00213F61">
        <w:rPr>
          <w:rFonts w:hint="eastAsia"/>
          <w:lang w:eastAsia="zh-CN"/>
        </w:rPr>
        <w:t>1</w:t>
      </w:r>
      <w:r w:rsidR="0051527E" w:rsidRPr="00213F61">
        <w:rPr>
          <w:lang w:eastAsia="zh-CN"/>
        </w:rPr>
        <w:t>97</w:t>
      </w:r>
      <w:r w:rsidR="0051527E" w:rsidRPr="00213F61">
        <w:rPr>
          <w:rFonts w:hint="eastAsia"/>
          <w:lang w:eastAsia="zh-CN"/>
        </w:rPr>
        <w:t>号</w:t>
      </w:r>
      <w:r w:rsidR="0051527E" w:rsidRPr="00213F61">
        <w:rPr>
          <w:lang w:eastAsia="zh-CN"/>
        </w:rPr>
        <w:t>决议）；</w:t>
      </w:r>
    </w:p>
    <w:p w:rsidR="005709B8" w:rsidRPr="00213F61" w:rsidRDefault="00213F61" w:rsidP="00213F61">
      <w:pPr>
        <w:pStyle w:val="enumlev1"/>
        <w:rPr>
          <w:lang w:eastAsia="zh-CN"/>
        </w:rPr>
      </w:pPr>
      <w:bookmarkStart w:id="52" w:name="lt_pId058"/>
      <w:r>
        <w:rPr>
          <w:lang w:eastAsia="zh-CN"/>
        </w:rPr>
        <w:t>–</w:t>
      </w:r>
      <w:r>
        <w:rPr>
          <w:lang w:eastAsia="zh-CN"/>
        </w:rPr>
        <w:tab/>
      </w:r>
      <w:r w:rsidR="00CE4229" w:rsidRPr="00213F61">
        <w:rPr>
          <w:rFonts w:asciiTheme="minorEastAsia" w:hAnsiTheme="minorEastAsia" w:hint="eastAsia"/>
          <w:lang w:eastAsia="zh-CN"/>
        </w:rPr>
        <w:t>创建有利环境，促进信息通信技术</w:t>
      </w:r>
      <w:r w:rsidR="00CE4229" w:rsidRPr="001C772C">
        <w:rPr>
          <w:rFonts w:hint="eastAsia"/>
          <w:lang w:eastAsia="zh-CN"/>
        </w:rPr>
        <w:t>（</w:t>
      </w:r>
      <w:r w:rsidR="00CE4229" w:rsidRPr="001C772C">
        <w:rPr>
          <w:rFonts w:hint="eastAsia"/>
          <w:lang w:eastAsia="zh-CN"/>
        </w:rPr>
        <w:t>I</w:t>
      </w:r>
      <w:r w:rsidR="00CE4229" w:rsidRPr="001C772C">
        <w:rPr>
          <w:lang w:eastAsia="zh-CN"/>
        </w:rPr>
        <w:t>CT</w:t>
      </w:r>
      <w:r w:rsidR="00CE4229" w:rsidRPr="001C772C">
        <w:rPr>
          <w:rFonts w:hint="eastAsia"/>
          <w:lang w:eastAsia="zh-CN"/>
        </w:rPr>
        <w:t>）</w:t>
      </w:r>
      <w:r w:rsidR="00CE4229" w:rsidRPr="00213F61">
        <w:rPr>
          <w:rFonts w:asciiTheme="minorEastAsia" w:hAnsiTheme="minorEastAsia" w:hint="eastAsia"/>
          <w:lang w:eastAsia="zh-CN"/>
        </w:rPr>
        <w:t>应用的部署和使用</w:t>
      </w:r>
      <w:bookmarkEnd w:id="52"/>
      <w:r w:rsidR="0051527E" w:rsidRPr="00213F61">
        <w:rPr>
          <w:rFonts w:hint="eastAsia"/>
          <w:lang w:eastAsia="zh-CN"/>
        </w:rPr>
        <w:t>（第</w:t>
      </w:r>
      <w:r w:rsidR="0051527E" w:rsidRPr="00213F61">
        <w:rPr>
          <w:lang w:eastAsia="zh-CN"/>
        </w:rPr>
        <w:t>201</w:t>
      </w:r>
      <w:r w:rsidR="0051527E" w:rsidRPr="00213F61">
        <w:rPr>
          <w:rFonts w:hint="eastAsia"/>
          <w:lang w:eastAsia="zh-CN"/>
        </w:rPr>
        <w:t>号</w:t>
      </w:r>
      <w:r w:rsidR="0051527E" w:rsidRPr="00213F61">
        <w:rPr>
          <w:lang w:eastAsia="zh-CN"/>
        </w:rPr>
        <w:t>决议）；</w:t>
      </w:r>
    </w:p>
    <w:p w:rsidR="005709B8" w:rsidRPr="00213F61" w:rsidRDefault="00213F61" w:rsidP="00213F61">
      <w:pPr>
        <w:pStyle w:val="enumlev1"/>
        <w:rPr>
          <w:lang w:eastAsia="zh-CN"/>
        </w:rPr>
      </w:pPr>
      <w:bookmarkStart w:id="53" w:name="lt_pId059"/>
      <w:r>
        <w:rPr>
          <w:lang w:eastAsia="zh-CN"/>
        </w:rPr>
        <w:t>–</w:t>
      </w:r>
      <w:r>
        <w:rPr>
          <w:lang w:eastAsia="zh-CN"/>
        </w:rPr>
        <w:tab/>
      </w:r>
      <w:r w:rsidR="0005431F" w:rsidRPr="00213F61">
        <w:rPr>
          <w:rFonts w:hint="eastAsia"/>
          <w:lang w:eastAsia="zh-CN"/>
        </w:rPr>
        <w:t>利用信息通信技术</w:t>
      </w:r>
      <w:r w:rsidR="00CD1EAB" w:rsidRPr="00213F61">
        <w:rPr>
          <w:rFonts w:hint="eastAsia"/>
          <w:lang w:eastAsia="zh-CN"/>
        </w:rPr>
        <w:t>（</w:t>
      </w:r>
      <w:r w:rsidR="00CD1EAB" w:rsidRPr="00213F61">
        <w:rPr>
          <w:rFonts w:hint="eastAsia"/>
          <w:lang w:eastAsia="zh-CN"/>
        </w:rPr>
        <w:t>I</w:t>
      </w:r>
      <w:r w:rsidR="00CD1EAB" w:rsidRPr="00213F61">
        <w:rPr>
          <w:lang w:eastAsia="zh-CN"/>
        </w:rPr>
        <w:t>CT</w:t>
      </w:r>
      <w:r w:rsidR="00CD1EAB" w:rsidRPr="00213F61">
        <w:rPr>
          <w:rFonts w:hint="eastAsia"/>
          <w:lang w:eastAsia="zh-CN"/>
        </w:rPr>
        <w:t>）</w:t>
      </w:r>
      <w:r w:rsidR="0005431F" w:rsidRPr="00213F61">
        <w:rPr>
          <w:rFonts w:hint="eastAsia"/>
          <w:lang w:eastAsia="zh-CN"/>
        </w:rPr>
        <w:t>缩小金融包容性差距</w:t>
      </w:r>
      <w:bookmarkEnd w:id="53"/>
      <w:r w:rsidR="007C6827" w:rsidRPr="00213F61">
        <w:rPr>
          <w:rFonts w:hint="eastAsia"/>
          <w:lang w:eastAsia="zh-CN"/>
        </w:rPr>
        <w:t>（第</w:t>
      </w:r>
      <w:r w:rsidR="007C6827" w:rsidRPr="00213F61">
        <w:rPr>
          <w:lang w:eastAsia="zh-CN"/>
        </w:rPr>
        <w:t>204</w:t>
      </w:r>
      <w:r w:rsidR="007C6827" w:rsidRPr="00213F61">
        <w:rPr>
          <w:rFonts w:hint="eastAsia"/>
          <w:lang w:eastAsia="zh-CN"/>
        </w:rPr>
        <w:t>号</w:t>
      </w:r>
      <w:r w:rsidR="007C6827" w:rsidRPr="00213F61">
        <w:rPr>
          <w:lang w:eastAsia="zh-CN"/>
        </w:rPr>
        <w:t>决议）；</w:t>
      </w:r>
    </w:p>
    <w:p w:rsidR="005709B8" w:rsidRPr="00213F61" w:rsidRDefault="00213F61" w:rsidP="00213F61">
      <w:pPr>
        <w:pStyle w:val="enumlev1"/>
        <w:rPr>
          <w:lang w:eastAsia="zh-CN"/>
        </w:rPr>
      </w:pPr>
      <w:bookmarkStart w:id="54" w:name="lt_pId060"/>
      <w:r>
        <w:rPr>
          <w:lang w:eastAsia="zh-CN"/>
        </w:rPr>
        <w:t>–</w:t>
      </w:r>
      <w:r>
        <w:rPr>
          <w:lang w:eastAsia="zh-CN"/>
        </w:rPr>
        <w:tab/>
      </w:r>
      <w:r w:rsidR="0005431F" w:rsidRPr="00213F61">
        <w:rPr>
          <w:rFonts w:hint="eastAsia"/>
          <w:lang w:eastAsia="zh-CN"/>
        </w:rPr>
        <w:t>国际电联在推动以电信</w:t>
      </w:r>
      <w:r w:rsidR="0005431F" w:rsidRPr="00213F61">
        <w:rPr>
          <w:rFonts w:hint="eastAsia"/>
          <w:lang w:eastAsia="zh-CN"/>
        </w:rPr>
        <w:t>/</w:t>
      </w:r>
      <w:r w:rsidR="0005431F" w:rsidRPr="00213F61">
        <w:rPr>
          <w:rFonts w:hint="eastAsia"/>
          <w:lang w:eastAsia="zh-CN"/>
        </w:rPr>
        <w:t>信息通信技术</w:t>
      </w:r>
      <w:r w:rsidR="00F94208" w:rsidRPr="00213F61">
        <w:rPr>
          <w:rFonts w:hint="eastAsia"/>
          <w:lang w:eastAsia="zh-CN"/>
        </w:rPr>
        <w:t>（</w:t>
      </w:r>
      <w:r w:rsidR="00F94208" w:rsidRPr="00213F61">
        <w:rPr>
          <w:rFonts w:hint="eastAsia"/>
          <w:lang w:eastAsia="zh-CN"/>
        </w:rPr>
        <w:t>I</w:t>
      </w:r>
      <w:r w:rsidR="00F94208" w:rsidRPr="00213F61">
        <w:rPr>
          <w:lang w:eastAsia="zh-CN"/>
        </w:rPr>
        <w:t>CT</w:t>
      </w:r>
      <w:r w:rsidR="00F94208" w:rsidRPr="00213F61">
        <w:rPr>
          <w:rFonts w:hint="eastAsia"/>
          <w:lang w:eastAsia="zh-CN"/>
        </w:rPr>
        <w:t>）</w:t>
      </w:r>
      <w:r w:rsidR="0005431F" w:rsidRPr="00213F61">
        <w:rPr>
          <w:rFonts w:hint="eastAsia"/>
          <w:lang w:eastAsia="zh-CN"/>
        </w:rPr>
        <w:t>为中心的创新以支持数字经济和社会方面的作用</w:t>
      </w:r>
      <w:bookmarkEnd w:id="54"/>
      <w:r w:rsidR="007C6827" w:rsidRPr="00213F61">
        <w:rPr>
          <w:rFonts w:hint="eastAsia"/>
          <w:lang w:eastAsia="zh-CN"/>
        </w:rPr>
        <w:t>（第</w:t>
      </w:r>
      <w:r w:rsidR="007C6827" w:rsidRPr="00213F61">
        <w:rPr>
          <w:lang w:eastAsia="zh-CN"/>
        </w:rPr>
        <w:t>205</w:t>
      </w:r>
      <w:r w:rsidR="007C6827" w:rsidRPr="00213F61">
        <w:rPr>
          <w:rFonts w:hint="eastAsia"/>
          <w:lang w:eastAsia="zh-CN"/>
        </w:rPr>
        <w:t>号</w:t>
      </w:r>
      <w:r w:rsidR="007C6827" w:rsidRPr="00213F61">
        <w:rPr>
          <w:lang w:eastAsia="zh-CN"/>
        </w:rPr>
        <w:t>决议）；</w:t>
      </w:r>
    </w:p>
    <w:p w:rsidR="005709B8" w:rsidRPr="00213F61" w:rsidRDefault="00213F61" w:rsidP="00213F61">
      <w:pPr>
        <w:pStyle w:val="enumlev1"/>
        <w:rPr>
          <w:lang w:eastAsia="zh-CN"/>
        </w:rPr>
      </w:pPr>
      <w:bookmarkStart w:id="55" w:name="lt_pId061"/>
      <w:r>
        <w:rPr>
          <w:lang w:eastAsia="zh-CN"/>
        </w:rPr>
        <w:t>–</w:t>
      </w:r>
      <w:r>
        <w:rPr>
          <w:lang w:eastAsia="zh-CN"/>
        </w:rPr>
        <w:tab/>
      </w:r>
      <w:r w:rsidR="0005431F" w:rsidRPr="00213F61">
        <w:rPr>
          <w:rFonts w:hint="eastAsia"/>
          <w:lang w:eastAsia="zh-CN"/>
        </w:rPr>
        <w:t>过顶业务（</w:t>
      </w:r>
      <w:r w:rsidR="0005431F" w:rsidRPr="00213F61">
        <w:rPr>
          <w:rFonts w:hint="eastAsia"/>
          <w:lang w:eastAsia="zh-CN"/>
        </w:rPr>
        <w:t>OTT</w:t>
      </w:r>
      <w:r w:rsidR="0005431F" w:rsidRPr="00213F61">
        <w:rPr>
          <w:rFonts w:hint="eastAsia"/>
          <w:lang w:eastAsia="zh-CN"/>
        </w:rPr>
        <w:t>）</w:t>
      </w:r>
      <w:bookmarkEnd w:id="55"/>
      <w:r w:rsidR="007C6827" w:rsidRPr="00213F61">
        <w:rPr>
          <w:rFonts w:hint="eastAsia"/>
          <w:lang w:eastAsia="zh-CN"/>
        </w:rPr>
        <w:t>（第</w:t>
      </w:r>
      <w:r w:rsidR="007C6827" w:rsidRPr="00213F61">
        <w:rPr>
          <w:lang w:eastAsia="zh-CN"/>
        </w:rPr>
        <w:t>206</w:t>
      </w:r>
      <w:r w:rsidR="007C6827" w:rsidRPr="00213F61">
        <w:rPr>
          <w:rFonts w:hint="eastAsia"/>
          <w:lang w:eastAsia="zh-CN"/>
        </w:rPr>
        <w:t>号</w:t>
      </w:r>
      <w:r w:rsidR="007C6827" w:rsidRPr="00213F61">
        <w:rPr>
          <w:lang w:eastAsia="zh-CN"/>
        </w:rPr>
        <w:t>决议）；</w:t>
      </w:r>
    </w:p>
    <w:p w:rsidR="005709B8" w:rsidRPr="00213F61" w:rsidRDefault="00213F61" w:rsidP="00213F61">
      <w:pPr>
        <w:pStyle w:val="enumlev1"/>
        <w:rPr>
          <w:lang w:eastAsia="zh-CN"/>
        </w:rPr>
      </w:pPr>
      <w:r>
        <w:rPr>
          <w:lang w:eastAsia="zh-CN"/>
        </w:rPr>
        <w:t>–</w:t>
      </w:r>
      <w:r>
        <w:rPr>
          <w:lang w:eastAsia="zh-CN"/>
        </w:rPr>
        <w:tab/>
      </w:r>
      <w:r w:rsidR="00F34EBA" w:rsidRPr="00213F61">
        <w:rPr>
          <w:rFonts w:hint="eastAsia"/>
          <w:lang w:eastAsia="zh-CN"/>
        </w:rPr>
        <w:t>人口贩运</w:t>
      </w:r>
      <w:r w:rsidR="007C6827" w:rsidRPr="00213F61">
        <w:rPr>
          <w:rFonts w:hint="eastAsia"/>
          <w:lang w:eastAsia="zh-CN"/>
        </w:rPr>
        <w:t>（第</w:t>
      </w:r>
      <w:r w:rsidR="007C6827" w:rsidRPr="00213F61">
        <w:rPr>
          <w:rFonts w:hint="eastAsia"/>
          <w:lang w:eastAsia="zh-CN"/>
        </w:rPr>
        <w:t>7</w:t>
      </w:r>
      <w:r w:rsidR="007C6827" w:rsidRPr="00213F61">
        <w:rPr>
          <w:rFonts w:hint="eastAsia"/>
          <w:lang w:eastAsia="zh-CN"/>
        </w:rPr>
        <w:t>号</w:t>
      </w:r>
      <w:r w:rsidR="007C6827" w:rsidRPr="00213F61">
        <w:rPr>
          <w:lang w:eastAsia="zh-CN"/>
        </w:rPr>
        <w:t>决议）</w:t>
      </w:r>
      <w:r w:rsidR="001C772C">
        <w:rPr>
          <w:lang w:eastAsia="zh-CN"/>
        </w:rPr>
        <w:t>。</w:t>
      </w:r>
    </w:p>
    <w:p w:rsidR="005709B8" w:rsidRPr="00213F61" w:rsidRDefault="00495214" w:rsidP="00213F61">
      <w:pPr>
        <w:ind w:firstLineChars="200" w:firstLine="480"/>
        <w:rPr>
          <w:lang w:eastAsia="zh-CN"/>
        </w:rPr>
      </w:pPr>
      <w:bookmarkStart w:id="56" w:name="lt_pId063"/>
      <w:r w:rsidRPr="00213F61">
        <w:rPr>
          <w:rFonts w:hint="eastAsia"/>
          <w:lang w:eastAsia="zh-CN"/>
        </w:rPr>
        <w:t>下列决议和决定也与电信发展局有关，因为所涵盖的主题涉及到国际电联各部门工作的行政管理和管理以及各局的运行：</w:t>
      </w:r>
      <w:bookmarkEnd w:id="56"/>
    </w:p>
    <w:p w:rsidR="005709B8" w:rsidRPr="00213F61" w:rsidRDefault="00213F61" w:rsidP="00213F61">
      <w:pPr>
        <w:pStyle w:val="enumlev1"/>
        <w:rPr>
          <w:lang w:eastAsia="zh-CN"/>
        </w:rPr>
      </w:pPr>
      <w:bookmarkStart w:id="57" w:name="lt_pId064"/>
      <w:bookmarkStart w:id="58" w:name="_Toc413838315"/>
      <w:r>
        <w:rPr>
          <w:lang w:eastAsia="zh-CN"/>
        </w:rPr>
        <w:t>–</w:t>
      </w:r>
      <w:r>
        <w:rPr>
          <w:lang w:eastAsia="zh-CN"/>
        </w:rPr>
        <w:tab/>
      </w:r>
      <w:r w:rsidR="00015A89" w:rsidRPr="00213F61">
        <w:rPr>
          <w:rFonts w:cstheme="minorHAnsi" w:hint="eastAsia"/>
          <w:szCs w:val="24"/>
          <w:lang w:eastAsia="zh-CN"/>
        </w:rPr>
        <w:t>人力资源管理和开发</w:t>
      </w:r>
      <w:bookmarkEnd w:id="57"/>
      <w:bookmarkEnd w:id="58"/>
      <w:r w:rsidR="00601C23" w:rsidRPr="00213F61">
        <w:rPr>
          <w:rFonts w:hint="eastAsia"/>
          <w:lang w:eastAsia="zh-CN"/>
        </w:rPr>
        <w:t>（第</w:t>
      </w:r>
      <w:r w:rsidR="00601C23" w:rsidRPr="00213F61">
        <w:rPr>
          <w:lang w:eastAsia="zh-CN"/>
        </w:rPr>
        <w:t>48</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59" w:name="lt_pId065"/>
      <w:r>
        <w:rPr>
          <w:lang w:eastAsia="zh-CN"/>
        </w:rPr>
        <w:t>–</w:t>
      </w:r>
      <w:r>
        <w:rPr>
          <w:lang w:eastAsia="zh-CN"/>
        </w:rPr>
        <w:tab/>
      </w:r>
      <w:r w:rsidR="00015A89" w:rsidRPr="00213F61">
        <w:rPr>
          <w:rFonts w:cstheme="minorHAnsi" w:hint="eastAsia"/>
          <w:szCs w:val="24"/>
          <w:lang w:eastAsia="zh-CN"/>
        </w:rPr>
        <w:t>加强国际电联与区域性电信组织的关系</w:t>
      </w:r>
      <w:bookmarkEnd w:id="59"/>
      <w:r w:rsidR="00601C23" w:rsidRPr="00213F61">
        <w:rPr>
          <w:rFonts w:hint="eastAsia"/>
          <w:lang w:eastAsia="zh-CN"/>
        </w:rPr>
        <w:t>（第</w:t>
      </w:r>
      <w:r w:rsidR="00601C23" w:rsidRPr="00213F61">
        <w:rPr>
          <w:lang w:eastAsia="zh-CN"/>
        </w:rPr>
        <w:t>58</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60" w:name="lt_pId066"/>
      <w:bookmarkStart w:id="61" w:name="_Toc413838335"/>
      <w:r>
        <w:rPr>
          <w:lang w:eastAsia="zh-CN"/>
        </w:rPr>
        <w:t>–</w:t>
      </w:r>
      <w:r>
        <w:rPr>
          <w:lang w:eastAsia="zh-CN"/>
        </w:rPr>
        <w:tab/>
      </w:r>
      <w:r w:rsidR="00015A89" w:rsidRPr="00213F61">
        <w:rPr>
          <w:rFonts w:cstheme="minorHAnsi" w:hint="eastAsia"/>
          <w:szCs w:val="24"/>
          <w:lang w:eastAsia="zh-CN"/>
        </w:rPr>
        <w:t>国际电联的文件和出版物</w:t>
      </w:r>
      <w:bookmarkEnd w:id="60"/>
      <w:bookmarkEnd w:id="61"/>
      <w:r w:rsidR="00601C23" w:rsidRPr="00213F61">
        <w:rPr>
          <w:rFonts w:hint="eastAsia"/>
          <w:lang w:eastAsia="zh-CN"/>
        </w:rPr>
        <w:t>（第</w:t>
      </w:r>
      <w:r w:rsidR="00601C23" w:rsidRPr="00213F61">
        <w:rPr>
          <w:lang w:eastAsia="zh-CN"/>
        </w:rPr>
        <w:t>66</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62" w:name="_Toc407024770"/>
      <w:bookmarkStart w:id="63" w:name="_Toc413838358"/>
      <w:r>
        <w:rPr>
          <w:lang w:eastAsia="zh-CN"/>
        </w:rPr>
        <w:t>–</w:t>
      </w:r>
      <w:r>
        <w:rPr>
          <w:lang w:eastAsia="zh-CN"/>
        </w:rPr>
        <w:tab/>
      </w:r>
      <w:r w:rsidR="00015A89" w:rsidRPr="00213F61">
        <w:rPr>
          <w:rFonts w:cstheme="minorHAnsi" w:hint="eastAsia"/>
          <w:szCs w:val="24"/>
          <w:lang w:eastAsia="zh-CN"/>
        </w:rPr>
        <w:t>国际电联的大会、论坛、全会和理事会会议的时间安排和会期</w:t>
      </w:r>
      <w:r w:rsidR="00015A89" w:rsidRPr="001C772C">
        <w:rPr>
          <w:rFonts w:hint="eastAsia"/>
          <w:lang w:eastAsia="zh-CN"/>
        </w:rPr>
        <w:t>（</w:t>
      </w:r>
      <w:r w:rsidR="00015A89" w:rsidRPr="00213F61">
        <w:rPr>
          <w:lang w:eastAsia="zh-CN"/>
        </w:rPr>
        <w:t>2019-2023</w:t>
      </w:r>
      <w:r w:rsidR="00015A89" w:rsidRPr="001C772C">
        <w:rPr>
          <w:rFonts w:hint="eastAsia"/>
          <w:lang w:eastAsia="zh-CN"/>
        </w:rPr>
        <w:t>年）</w:t>
      </w:r>
      <w:bookmarkEnd w:id="62"/>
      <w:bookmarkEnd w:id="63"/>
      <w:r w:rsidR="00601C23" w:rsidRPr="00213F61">
        <w:rPr>
          <w:rFonts w:hint="eastAsia"/>
          <w:lang w:eastAsia="zh-CN"/>
        </w:rPr>
        <w:t>（第</w:t>
      </w:r>
      <w:r w:rsidR="00601C23" w:rsidRPr="00213F61">
        <w:rPr>
          <w:lang w:eastAsia="zh-CN"/>
        </w:rPr>
        <w:t>77</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64" w:name="lt_pId068"/>
      <w:r>
        <w:rPr>
          <w:lang w:eastAsia="zh-CN"/>
        </w:rPr>
        <w:t>–</w:t>
      </w:r>
      <w:r>
        <w:rPr>
          <w:lang w:eastAsia="zh-CN"/>
        </w:rPr>
        <w:tab/>
      </w:r>
      <w:r w:rsidR="00015A89" w:rsidRPr="00213F61">
        <w:rPr>
          <w:rFonts w:cstheme="minorHAnsi" w:hint="eastAsia"/>
          <w:szCs w:val="24"/>
          <w:lang w:eastAsia="zh-CN"/>
        </w:rPr>
        <w:t>在进行国际电联大会、全会和理事会会议的日期安排时考虑到主要宗教节日</w:t>
      </w:r>
      <w:bookmarkEnd w:id="64"/>
      <w:r w:rsidR="00601C23" w:rsidRPr="00213F61">
        <w:rPr>
          <w:rFonts w:hint="eastAsia"/>
          <w:lang w:eastAsia="zh-CN"/>
        </w:rPr>
        <w:t>（第</w:t>
      </w:r>
      <w:r w:rsidR="00601C23" w:rsidRPr="00213F61">
        <w:rPr>
          <w:rFonts w:hint="eastAsia"/>
          <w:lang w:eastAsia="zh-CN"/>
        </w:rPr>
        <w:t>1</w:t>
      </w:r>
      <w:r w:rsidR="00601C23" w:rsidRPr="00213F61">
        <w:rPr>
          <w:lang w:eastAsia="zh-CN"/>
        </w:rPr>
        <w:t>11</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65" w:name="lt_pId069"/>
      <w:bookmarkStart w:id="66" w:name="_Toc407024792"/>
      <w:bookmarkStart w:id="67" w:name="_Toc413838410"/>
      <w:r>
        <w:rPr>
          <w:lang w:eastAsia="zh-CN"/>
        </w:rPr>
        <w:t>–</w:t>
      </w:r>
      <w:r>
        <w:rPr>
          <w:lang w:eastAsia="zh-CN"/>
        </w:rPr>
        <w:tab/>
      </w:r>
      <w:r w:rsidR="00015A89" w:rsidRPr="00213F61">
        <w:rPr>
          <w:rFonts w:cstheme="minorHAnsi" w:hint="eastAsia"/>
          <w:szCs w:val="24"/>
          <w:lang w:eastAsia="zh-CN"/>
        </w:rPr>
        <w:t>国际电联在电信</w:t>
      </w:r>
      <w:r w:rsidR="00015A89" w:rsidRPr="00213F61">
        <w:rPr>
          <w:rFonts w:cstheme="minorHAnsi" w:hint="eastAsia"/>
          <w:szCs w:val="24"/>
          <w:lang w:eastAsia="zh-CN"/>
        </w:rPr>
        <w:t>/</w:t>
      </w:r>
      <w:r w:rsidR="00015A89" w:rsidRPr="00213F61">
        <w:rPr>
          <w:rFonts w:cstheme="minorHAnsi" w:hint="eastAsia"/>
          <w:szCs w:val="24"/>
          <w:lang w:eastAsia="zh-CN"/>
        </w:rPr>
        <w:t>信息通信技术</w:t>
      </w:r>
      <w:r w:rsidR="000131AF" w:rsidRPr="00213F61">
        <w:rPr>
          <w:rFonts w:cstheme="minorHAnsi" w:hint="eastAsia"/>
          <w:szCs w:val="24"/>
          <w:lang w:eastAsia="zh-CN"/>
        </w:rPr>
        <w:t>（</w:t>
      </w:r>
      <w:r w:rsidR="000131AF" w:rsidRPr="00213F61">
        <w:rPr>
          <w:rFonts w:cstheme="minorHAnsi" w:hint="eastAsia"/>
          <w:szCs w:val="24"/>
          <w:lang w:eastAsia="zh-CN"/>
        </w:rPr>
        <w:t>I</w:t>
      </w:r>
      <w:r w:rsidR="000131AF" w:rsidRPr="00213F61">
        <w:rPr>
          <w:rFonts w:cstheme="minorHAnsi"/>
          <w:szCs w:val="24"/>
          <w:lang w:eastAsia="zh-CN"/>
        </w:rPr>
        <w:t>CT</w:t>
      </w:r>
      <w:r w:rsidR="000131AF" w:rsidRPr="00213F61">
        <w:rPr>
          <w:rFonts w:cstheme="minorHAnsi" w:hint="eastAsia"/>
          <w:szCs w:val="24"/>
          <w:lang w:eastAsia="zh-CN"/>
        </w:rPr>
        <w:t>）</w:t>
      </w:r>
      <w:r w:rsidR="00015A89" w:rsidRPr="00213F61">
        <w:rPr>
          <w:rFonts w:cstheme="minorHAnsi" w:hint="eastAsia"/>
          <w:szCs w:val="24"/>
          <w:lang w:eastAsia="zh-CN"/>
        </w:rPr>
        <w:t>的持</w:t>
      </w:r>
      <w:r w:rsidR="000131AF" w:rsidRPr="00213F61">
        <w:rPr>
          <w:rFonts w:cstheme="minorHAnsi" w:hint="eastAsia"/>
          <w:szCs w:val="24"/>
          <w:lang w:eastAsia="zh-CN"/>
        </w:rPr>
        <w:t>久和可持续发展、在向发展中国家提供技术援助和咨询以及实施相关国家、区域和跨区域</w:t>
      </w:r>
      <w:r w:rsidR="00015A89" w:rsidRPr="00213F61">
        <w:rPr>
          <w:rFonts w:cstheme="minorHAnsi" w:hint="eastAsia"/>
          <w:szCs w:val="24"/>
          <w:lang w:eastAsia="zh-CN"/>
        </w:rPr>
        <w:t>项目中的作用</w:t>
      </w:r>
      <w:bookmarkEnd w:id="65"/>
      <w:bookmarkEnd w:id="66"/>
      <w:bookmarkEnd w:id="67"/>
      <w:r w:rsidR="00601C23" w:rsidRPr="00213F61">
        <w:rPr>
          <w:rFonts w:hint="eastAsia"/>
          <w:lang w:eastAsia="zh-CN"/>
        </w:rPr>
        <w:t>（第</w:t>
      </w:r>
      <w:r w:rsidR="00601C23" w:rsidRPr="00213F61">
        <w:rPr>
          <w:rFonts w:hint="eastAsia"/>
          <w:lang w:eastAsia="zh-CN"/>
        </w:rPr>
        <w:t>13</w:t>
      </w:r>
      <w:r w:rsidR="00601C23" w:rsidRPr="00213F61">
        <w:rPr>
          <w:lang w:eastAsia="zh-CN"/>
        </w:rPr>
        <w:t>5</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68" w:name="lt_pId070"/>
      <w:bookmarkStart w:id="69" w:name="_Toc407024812"/>
      <w:bookmarkStart w:id="70" w:name="_Toc413838438"/>
      <w:r>
        <w:rPr>
          <w:lang w:eastAsia="zh-CN"/>
        </w:rPr>
        <w:t>–</w:t>
      </w:r>
      <w:r>
        <w:rPr>
          <w:lang w:eastAsia="zh-CN"/>
        </w:rPr>
        <w:tab/>
      </w:r>
      <w:r w:rsidR="00015A89" w:rsidRPr="00213F61">
        <w:rPr>
          <w:rFonts w:cstheme="minorHAnsi" w:hint="eastAsia"/>
          <w:szCs w:val="24"/>
          <w:lang w:eastAsia="zh-CN"/>
        </w:rPr>
        <w:t>在同等地位上使用国际电联的六种正式语文</w:t>
      </w:r>
      <w:bookmarkEnd w:id="68"/>
      <w:bookmarkEnd w:id="69"/>
      <w:bookmarkEnd w:id="70"/>
      <w:r w:rsidR="00601C23" w:rsidRPr="00213F61">
        <w:rPr>
          <w:rFonts w:hint="eastAsia"/>
          <w:lang w:eastAsia="zh-CN"/>
        </w:rPr>
        <w:t>（第</w:t>
      </w:r>
      <w:r w:rsidR="00601C23" w:rsidRPr="00213F61">
        <w:rPr>
          <w:rFonts w:hint="eastAsia"/>
          <w:lang w:eastAsia="zh-CN"/>
        </w:rPr>
        <w:t>1</w:t>
      </w:r>
      <w:r w:rsidR="00601C23" w:rsidRPr="00213F61">
        <w:rPr>
          <w:lang w:eastAsia="zh-CN"/>
        </w:rPr>
        <w:t>54</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71" w:name="lt_pId071"/>
      <w:bookmarkStart w:id="72" w:name="_Toc407024814"/>
      <w:bookmarkStart w:id="73" w:name="_Toc413838440"/>
      <w:r>
        <w:rPr>
          <w:lang w:eastAsia="zh-CN"/>
        </w:rPr>
        <w:t>–</w:t>
      </w:r>
      <w:r>
        <w:rPr>
          <w:lang w:eastAsia="zh-CN"/>
        </w:rPr>
        <w:tab/>
      </w:r>
      <w:r w:rsidR="00015A89" w:rsidRPr="00213F61">
        <w:rPr>
          <w:rFonts w:cstheme="minorHAnsi" w:hint="eastAsia"/>
          <w:szCs w:val="24"/>
          <w:lang w:eastAsia="zh-CN"/>
        </w:rPr>
        <w:t>加强国际电联的项目执行和项目监督职能</w:t>
      </w:r>
      <w:bookmarkEnd w:id="71"/>
      <w:bookmarkEnd w:id="72"/>
      <w:bookmarkEnd w:id="73"/>
      <w:r w:rsidR="00601C23" w:rsidRPr="00213F61">
        <w:rPr>
          <w:rFonts w:hint="eastAsia"/>
          <w:lang w:eastAsia="zh-CN"/>
        </w:rPr>
        <w:t>（第</w:t>
      </w:r>
      <w:r w:rsidR="00601C23" w:rsidRPr="00213F61">
        <w:rPr>
          <w:rFonts w:hint="eastAsia"/>
          <w:lang w:eastAsia="zh-CN"/>
        </w:rPr>
        <w:t>1</w:t>
      </w:r>
      <w:r w:rsidR="00601C23" w:rsidRPr="00213F61">
        <w:rPr>
          <w:lang w:eastAsia="zh-CN"/>
        </w:rPr>
        <w:t>57</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74" w:name="lt_pId072"/>
      <w:bookmarkStart w:id="75" w:name="_Toc413838463"/>
      <w:r>
        <w:rPr>
          <w:lang w:eastAsia="zh-CN"/>
        </w:rPr>
        <w:t>–</w:t>
      </w:r>
      <w:r>
        <w:rPr>
          <w:lang w:eastAsia="zh-CN"/>
        </w:rPr>
        <w:tab/>
      </w:r>
      <w:r w:rsidR="00015A89" w:rsidRPr="00213F61">
        <w:rPr>
          <w:rFonts w:cstheme="minorHAnsi" w:hint="eastAsia"/>
          <w:szCs w:val="24"/>
          <w:lang w:eastAsia="zh-CN"/>
        </w:rPr>
        <w:t>向国际电联大会和全会提交提案的截止期限和与会者的注册程序</w:t>
      </w:r>
      <w:bookmarkEnd w:id="74"/>
      <w:bookmarkEnd w:id="75"/>
      <w:r w:rsidR="00601C23" w:rsidRPr="00213F61">
        <w:rPr>
          <w:rFonts w:hint="eastAsia"/>
          <w:lang w:eastAsia="zh-CN"/>
        </w:rPr>
        <w:t>（第</w:t>
      </w:r>
      <w:r w:rsidR="00601C23" w:rsidRPr="00213F61">
        <w:rPr>
          <w:rFonts w:hint="eastAsia"/>
          <w:lang w:eastAsia="zh-CN"/>
        </w:rPr>
        <w:t>1</w:t>
      </w:r>
      <w:r w:rsidR="00601C23" w:rsidRPr="00213F61">
        <w:rPr>
          <w:lang w:eastAsia="zh-CN"/>
        </w:rPr>
        <w:t>65</w:t>
      </w:r>
      <w:r w:rsidR="00601C23" w:rsidRPr="00213F61">
        <w:rPr>
          <w:rFonts w:hint="eastAsia"/>
          <w:lang w:eastAsia="zh-CN"/>
        </w:rPr>
        <w:t>号</w:t>
      </w:r>
      <w:r w:rsidR="00601C23" w:rsidRPr="00213F61">
        <w:rPr>
          <w:lang w:eastAsia="zh-CN"/>
        </w:rPr>
        <w:t>决议）；</w:t>
      </w:r>
    </w:p>
    <w:p w:rsidR="005709B8" w:rsidRPr="00213F61" w:rsidRDefault="00213F61" w:rsidP="00213F61">
      <w:pPr>
        <w:pStyle w:val="enumlev1"/>
        <w:rPr>
          <w:lang w:eastAsia="zh-CN"/>
        </w:rPr>
      </w:pPr>
      <w:bookmarkStart w:id="76" w:name="lt_pId073"/>
      <w:bookmarkStart w:id="77" w:name="_Toc407024858"/>
      <w:bookmarkStart w:id="78" w:name="_Toc413838511"/>
      <w:r>
        <w:rPr>
          <w:lang w:eastAsia="zh-CN"/>
        </w:rPr>
        <w:t>–</w:t>
      </w:r>
      <w:r>
        <w:rPr>
          <w:lang w:eastAsia="zh-CN"/>
        </w:rPr>
        <w:tab/>
      </w:r>
      <w:r w:rsidR="005E6DFB" w:rsidRPr="00213F61">
        <w:rPr>
          <w:rFonts w:cstheme="minorHAnsi" w:hint="eastAsia"/>
          <w:szCs w:val="24"/>
          <w:lang w:eastAsia="zh-CN"/>
        </w:rPr>
        <w:t>协调国际电联三个部门工作的战略</w:t>
      </w:r>
      <w:bookmarkEnd w:id="76"/>
      <w:bookmarkEnd w:id="77"/>
      <w:bookmarkEnd w:id="78"/>
      <w:r w:rsidR="00601C23" w:rsidRPr="00213F61">
        <w:rPr>
          <w:rFonts w:hint="eastAsia"/>
          <w:lang w:eastAsia="zh-CN"/>
        </w:rPr>
        <w:t>（第</w:t>
      </w:r>
      <w:r w:rsidR="00601C23" w:rsidRPr="00213F61">
        <w:rPr>
          <w:rFonts w:hint="eastAsia"/>
          <w:lang w:eastAsia="zh-CN"/>
        </w:rPr>
        <w:t>1</w:t>
      </w:r>
      <w:r w:rsidR="00601C23" w:rsidRPr="00213F61">
        <w:rPr>
          <w:lang w:eastAsia="zh-CN"/>
        </w:rPr>
        <w:t>91</w:t>
      </w:r>
      <w:r w:rsidR="00601C23" w:rsidRPr="00213F61">
        <w:rPr>
          <w:rFonts w:hint="eastAsia"/>
          <w:lang w:eastAsia="zh-CN"/>
        </w:rPr>
        <w:t>号</w:t>
      </w:r>
      <w:r w:rsidR="00601C23" w:rsidRPr="00213F61">
        <w:rPr>
          <w:lang w:eastAsia="zh-CN"/>
        </w:rPr>
        <w:t>决议）；</w:t>
      </w:r>
    </w:p>
    <w:p w:rsidR="00E1298A" w:rsidRPr="00213F61" w:rsidRDefault="00213F61" w:rsidP="00213F61">
      <w:pPr>
        <w:pStyle w:val="enumlev1"/>
        <w:rPr>
          <w:lang w:eastAsia="zh-CN"/>
        </w:rPr>
      </w:pPr>
      <w:bookmarkStart w:id="79" w:name="lt_pId074"/>
      <w:r>
        <w:rPr>
          <w:lang w:eastAsia="zh-CN"/>
        </w:rPr>
        <w:t>–</w:t>
      </w:r>
      <w:r>
        <w:rPr>
          <w:lang w:eastAsia="zh-CN"/>
        </w:rPr>
        <w:tab/>
      </w:r>
      <w:r w:rsidR="005E6DFB" w:rsidRPr="00213F61">
        <w:rPr>
          <w:rFonts w:cstheme="minorHAnsi" w:hint="eastAsia"/>
          <w:szCs w:val="24"/>
          <w:lang w:eastAsia="zh-CN"/>
        </w:rPr>
        <w:t>各部门</w:t>
      </w:r>
      <w:r w:rsidR="00E1298A" w:rsidRPr="00213F61">
        <w:rPr>
          <w:rFonts w:cstheme="minorHAnsi" w:hint="eastAsia"/>
          <w:szCs w:val="24"/>
          <w:lang w:eastAsia="zh-CN"/>
        </w:rPr>
        <w:t>顾问组、研究组</w:t>
      </w:r>
      <w:r w:rsidR="005E6DFB" w:rsidRPr="00213F61">
        <w:rPr>
          <w:rFonts w:cstheme="minorHAnsi" w:hint="eastAsia"/>
          <w:szCs w:val="24"/>
          <w:lang w:eastAsia="zh-CN"/>
        </w:rPr>
        <w:t>和</w:t>
      </w:r>
      <w:r w:rsidR="00E1298A" w:rsidRPr="00213F61">
        <w:rPr>
          <w:rFonts w:cstheme="minorHAnsi" w:hint="eastAsia"/>
          <w:szCs w:val="24"/>
          <w:lang w:eastAsia="zh-CN"/>
        </w:rPr>
        <w:t>其他组</w:t>
      </w:r>
      <w:r w:rsidR="005E6DFB" w:rsidRPr="00213F61">
        <w:rPr>
          <w:rFonts w:cstheme="minorHAnsi" w:hint="eastAsia"/>
          <w:szCs w:val="24"/>
          <w:lang w:eastAsia="zh-CN"/>
        </w:rPr>
        <w:t>正副主席的任命及最长任期</w:t>
      </w:r>
      <w:bookmarkEnd w:id="79"/>
      <w:r w:rsidR="00601C23" w:rsidRPr="00213F61">
        <w:rPr>
          <w:rFonts w:hint="eastAsia"/>
          <w:lang w:eastAsia="zh-CN"/>
        </w:rPr>
        <w:t>（第</w:t>
      </w:r>
      <w:r w:rsidR="00601C23" w:rsidRPr="00213F61">
        <w:rPr>
          <w:lang w:eastAsia="zh-CN"/>
        </w:rPr>
        <w:t>208</w:t>
      </w:r>
      <w:r w:rsidR="00601C23" w:rsidRPr="00213F61">
        <w:rPr>
          <w:rFonts w:hint="eastAsia"/>
          <w:lang w:eastAsia="zh-CN"/>
        </w:rPr>
        <w:t>号</w:t>
      </w:r>
      <w:r w:rsidR="00601C23" w:rsidRPr="00213F61">
        <w:rPr>
          <w:lang w:eastAsia="zh-CN"/>
        </w:rPr>
        <w:t>决议）；</w:t>
      </w:r>
      <w:bookmarkStart w:id="80" w:name="lt_pId075"/>
    </w:p>
    <w:p w:rsidR="00E1298A" w:rsidRPr="00E1298A" w:rsidRDefault="00213F61" w:rsidP="00213F61">
      <w:pPr>
        <w:pStyle w:val="enumlev1"/>
        <w:rPr>
          <w:highlight w:val="cyan"/>
          <w:lang w:eastAsia="zh-CN"/>
        </w:rPr>
      </w:pPr>
      <w:r>
        <w:rPr>
          <w:lang w:eastAsia="zh-CN"/>
        </w:rPr>
        <w:t>–</w:t>
      </w:r>
      <w:r>
        <w:rPr>
          <w:lang w:eastAsia="zh-CN"/>
        </w:rPr>
        <w:tab/>
      </w:r>
      <w:r w:rsidR="00E1298A" w:rsidRPr="00213F61">
        <w:rPr>
          <w:rFonts w:asciiTheme="minorEastAsia" w:hAnsiTheme="minorEastAsia" w:hint="eastAsia"/>
          <w:lang w:eastAsia="zh-CN"/>
        </w:rPr>
        <w:t>未来</w:t>
      </w:r>
      <w:r w:rsidR="00E1298A" w:rsidRPr="00213F61">
        <w:rPr>
          <w:rFonts w:cstheme="minorHAnsi" w:hint="eastAsia"/>
          <w:szCs w:val="24"/>
          <w:lang w:eastAsia="zh-CN"/>
        </w:rPr>
        <w:t>总部办公场所</w:t>
      </w:r>
      <w:r w:rsidR="00E1298A" w:rsidRPr="00213F61">
        <w:rPr>
          <w:rFonts w:hint="eastAsia"/>
          <w:lang w:eastAsia="zh-CN"/>
        </w:rPr>
        <w:t>（第</w:t>
      </w:r>
      <w:r w:rsidR="00E1298A" w:rsidRPr="00213F61">
        <w:rPr>
          <w:lang w:eastAsia="zh-CN"/>
        </w:rPr>
        <w:t>212</w:t>
      </w:r>
      <w:r w:rsidR="00E1298A" w:rsidRPr="00213F61">
        <w:rPr>
          <w:rFonts w:hint="eastAsia"/>
          <w:lang w:eastAsia="zh-CN"/>
        </w:rPr>
        <w:t>号</w:t>
      </w:r>
      <w:r w:rsidR="00E1298A" w:rsidRPr="00213F61">
        <w:rPr>
          <w:lang w:eastAsia="zh-CN"/>
        </w:rPr>
        <w:t>决议）。</w:t>
      </w:r>
    </w:p>
    <w:bookmarkEnd w:id="80"/>
    <w:p w:rsidR="00213F61" w:rsidRDefault="00213F61" w:rsidP="00411C49">
      <w:pPr>
        <w:pStyle w:val="Reasons"/>
        <w:rPr>
          <w:lang w:eastAsia="zh-CN"/>
        </w:rPr>
      </w:pPr>
    </w:p>
    <w:p w:rsidR="003C58BF" w:rsidRPr="00175C4C" w:rsidRDefault="00213F61" w:rsidP="00213F61">
      <w:pPr>
        <w:jc w:val="center"/>
      </w:pPr>
      <w:r>
        <w:t>______________</w:t>
      </w:r>
    </w:p>
    <w:sectPr w:rsidR="003C58BF" w:rsidRPr="00175C4C" w:rsidSect="00CC4B75">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FE" w:rsidRDefault="00642FFE">
      <w:r>
        <w:separator/>
      </w:r>
    </w:p>
  </w:endnote>
  <w:endnote w:type="continuationSeparator" w:id="0">
    <w:p w:rsidR="00642FFE" w:rsidRDefault="006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7A" w:rsidRDefault="00236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1C772C" w:rsidP="0023697A">
    <w:pPr>
      <w:pStyle w:val="Footer"/>
      <w:rPr>
        <w:lang w:val="en-GB"/>
      </w:rPr>
    </w:pPr>
    <w:fldSimple w:instr=" FILENAME \p  \* MERGEFORMAT ">
      <w:r w:rsidR="00213F61">
        <w:t>P:\CHI\ITU-D\CONF-D\TDAG19\000\004C.docx</w:t>
      </w:r>
    </w:fldSimple>
    <w:r w:rsidR="005709B8" w:rsidRPr="005709B8">
      <w:t xml:space="preserve"> (</w:t>
    </w:r>
    <w:r w:rsidR="005709B8">
      <w:t>449203</w:t>
    </w:r>
    <w:r w:rsidR="005709B8" w:rsidRPr="005709B8">
      <w:t>)</w:t>
    </w:r>
    <w:r w:rsidR="00C62DE8">
      <w:rPr>
        <w:lang w:val="en-US"/>
      </w:rPr>
      <w:tab/>
    </w:r>
    <w:r w:rsidR="00721657" w:rsidRPr="003125C3">
      <w:rPr>
        <w:lang w:val="en-US"/>
      </w:rPr>
      <w:tab/>
    </w:r>
    <w:bookmarkStart w:id="81" w:name="_GoBack"/>
    <w:bookmarkEnd w:id="8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75C4C" w:rsidRPr="004D495C" w:rsidTr="00940EE4">
      <w:tc>
        <w:tcPr>
          <w:tcW w:w="1526" w:type="dxa"/>
          <w:tcBorders>
            <w:top w:val="single" w:sz="4" w:space="0" w:color="000000"/>
          </w:tcBorders>
          <w:shd w:val="clear" w:color="auto" w:fill="auto"/>
        </w:tcPr>
        <w:p w:rsidR="00175C4C" w:rsidRPr="004D495C" w:rsidRDefault="00175C4C"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175C4C" w:rsidRPr="004D495C" w:rsidRDefault="00175C4C"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175C4C" w:rsidRPr="005709B8" w:rsidRDefault="00430B54" w:rsidP="00430B54">
          <w:pPr>
            <w:pStyle w:val="FirstFooter"/>
            <w:rPr>
              <w:sz w:val="18"/>
              <w:szCs w:val="18"/>
              <w:lang w:val="en-GB"/>
            </w:rPr>
          </w:pPr>
          <w:bookmarkStart w:id="82" w:name="OrgName"/>
          <w:bookmarkEnd w:id="82"/>
          <w:r>
            <w:rPr>
              <w:rFonts w:hint="eastAsia"/>
              <w:sz w:val="18"/>
              <w:szCs w:val="18"/>
              <w:lang w:val="en-US" w:eastAsia="zh-CN"/>
            </w:rPr>
            <w:t>电信发展局副主任</w:t>
          </w:r>
          <w:r w:rsidRPr="00780FCD">
            <w:rPr>
              <w:sz w:val="18"/>
              <w:szCs w:val="18"/>
              <w:lang w:val="en-US"/>
            </w:rPr>
            <w:t xml:space="preserve">Yushi Torigoe </w:t>
          </w:r>
          <w:r>
            <w:rPr>
              <w:rFonts w:hint="eastAsia"/>
              <w:sz w:val="18"/>
              <w:szCs w:val="18"/>
              <w:lang w:val="en-US" w:eastAsia="zh-CN"/>
            </w:rPr>
            <w:t>先生</w:t>
          </w:r>
        </w:p>
      </w:tc>
    </w:tr>
    <w:tr w:rsidR="00175C4C" w:rsidRPr="004D495C" w:rsidTr="00940EE4">
      <w:tc>
        <w:tcPr>
          <w:tcW w:w="1526" w:type="dxa"/>
          <w:shd w:val="clear" w:color="auto" w:fill="auto"/>
        </w:tcPr>
        <w:p w:rsidR="00175C4C" w:rsidRPr="004D495C" w:rsidRDefault="00175C4C" w:rsidP="00175C4C">
          <w:pPr>
            <w:pStyle w:val="FirstFooter"/>
            <w:tabs>
              <w:tab w:val="left" w:pos="1559"/>
              <w:tab w:val="left" w:pos="3828"/>
            </w:tabs>
            <w:rPr>
              <w:sz w:val="20"/>
              <w:lang w:val="en-US"/>
            </w:rPr>
          </w:pPr>
        </w:p>
      </w:tc>
      <w:tc>
        <w:tcPr>
          <w:tcW w:w="2410" w:type="dxa"/>
          <w:shd w:val="clear" w:color="auto" w:fill="auto"/>
        </w:tcPr>
        <w:p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175C4C" w:rsidRPr="005455CE" w:rsidRDefault="005709B8" w:rsidP="00175C4C">
          <w:pPr>
            <w:pStyle w:val="FirstFooter"/>
            <w:tabs>
              <w:tab w:val="left" w:pos="2302"/>
            </w:tabs>
            <w:rPr>
              <w:sz w:val="18"/>
              <w:szCs w:val="18"/>
              <w:lang w:val="en-US"/>
            </w:rPr>
          </w:pPr>
          <w:bookmarkStart w:id="83" w:name="PhoneNo"/>
          <w:bookmarkEnd w:id="83"/>
          <w:r w:rsidRPr="00780FCD">
            <w:rPr>
              <w:sz w:val="18"/>
              <w:szCs w:val="18"/>
              <w:lang w:val="en-US"/>
            </w:rPr>
            <w:t>+ 41 22 730 5784</w:t>
          </w:r>
        </w:p>
      </w:tc>
    </w:tr>
    <w:tr w:rsidR="00175C4C" w:rsidRPr="004D495C" w:rsidTr="00940EE4">
      <w:tc>
        <w:tcPr>
          <w:tcW w:w="1526" w:type="dxa"/>
          <w:shd w:val="clear" w:color="auto" w:fill="auto"/>
        </w:tcPr>
        <w:p w:rsidR="00175C4C" w:rsidRPr="004D495C" w:rsidRDefault="00175C4C" w:rsidP="00175C4C">
          <w:pPr>
            <w:pStyle w:val="FirstFooter"/>
            <w:tabs>
              <w:tab w:val="left" w:pos="1559"/>
              <w:tab w:val="left" w:pos="3828"/>
            </w:tabs>
            <w:rPr>
              <w:sz w:val="20"/>
              <w:lang w:val="en-US"/>
            </w:rPr>
          </w:pPr>
        </w:p>
      </w:tc>
      <w:tc>
        <w:tcPr>
          <w:tcW w:w="2410" w:type="dxa"/>
          <w:shd w:val="clear" w:color="auto" w:fill="auto"/>
        </w:tcPr>
        <w:p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84" w:name="Email"/>
      <w:bookmarkEnd w:id="84"/>
      <w:tc>
        <w:tcPr>
          <w:tcW w:w="5987" w:type="dxa"/>
          <w:shd w:val="clear" w:color="auto" w:fill="auto"/>
        </w:tcPr>
        <w:p w:rsidR="00175C4C" w:rsidRPr="005455CE" w:rsidRDefault="005709B8" w:rsidP="00175C4C">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"mailto:yushi.torigoe@itu.int" </w:instrText>
          </w:r>
          <w:r>
            <w:rPr>
              <w:rStyle w:val="Hyperlink"/>
              <w:sz w:val="18"/>
              <w:szCs w:val="18"/>
              <w:lang w:val="en-US"/>
            </w:rPr>
            <w:fldChar w:fldCharType="separate"/>
          </w:r>
          <w:r w:rsidRPr="00780FCD">
            <w:rPr>
              <w:rStyle w:val="Hyperlink"/>
              <w:sz w:val="18"/>
              <w:szCs w:val="18"/>
              <w:lang w:val="en-US"/>
            </w:rPr>
            <w:t>yushi.torigoe@itu.int</w:t>
          </w:r>
          <w:r>
            <w:rPr>
              <w:rStyle w:val="Hyperlink"/>
              <w:sz w:val="18"/>
              <w:szCs w:val="18"/>
              <w:lang w:val="en-US"/>
            </w:rPr>
            <w:fldChar w:fldCharType="end"/>
          </w:r>
        </w:p>
      </w:tc>
    </w:tr>
  </w:tbl>
  <w:p w:rsidR="00175C4C" w:rsidRDefault="00175C4C" w:rsidP="00175C4C">
    <w:pPr>
      <w:pStyle w:val="Footer"/>
      <w:jc w:val="center"/>
    </w:pPr>
  </w:p>
  <w:p w:rsidR="00175C4C" w:rsidRPr="0059420B" w:rsidRDefault="0023697A" w:rsidP="00175C4C">
    <w:pPr>
      <w:pStyle w:val="Footer"/>
      <w:jc w:val="center"/>
    </w:pPr>
    <w:hyperlink r:id="rId1"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FE" w:rsidRDefault="00642FFE">
      <w:r>
        <w:t>____________________</w:t>
      </w:r>
    </w:p>
  </w:footnote>
  <w:footnote w:type="continuationSeparator" w:id="0">
    <w:p w:rsidR="00642FFE" w:rsidRDefault="0064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7A" w:rsidRDefault="00236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213F61" w:rsidRDefault="00175C4C" w:rsidP="00213F61">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18"/>
        <w:szCs w:val="18"/>
        <w:lang w:val="es-ES_tradnl"/>
      </w:rPr>
    </w:pPr>
    <w:r w:rsidRPr="00175C4C">
      <w:rPr>
        <w:rFonts w:ascii="Calibri" w:eastAsia="SimSun" w:hAnsi="Calibri"/>
        <w:sz w:val="18"/>
        <w:szCs w:val="18"/>
      </w:rPr>
      <w:tab/>
    </w:r>
    <w:r w:rsidR="008F5A2D" w:rsidRPr="009A6FC4">
      <w:rPr>
        <w:sz w:val="22"/>
        <w:szCs w:val="22"/>
        <w:lang w:val="en-US"/>
      </w:rPr>
      <w:t>ITU-D</w:t>
    </w:r>
    <w:r w:rsidR="008F5A2D" w:rsidRPr="003D4CFB">
      <w:rPr>
        <w:sz w:val="22"/>
        <w:szCs w:val="22"/>
        <w:lang w:val="en-US"/>
      </w:rPr>
      <w:t>/TDAG</w:t>
    </w:r>
    <w:r w:rsidR="008F5A2D">
      <w:rPr>
        <w:sz w:val="22"/>
        <w:szCs w:val="22"/>
        <w:lang w:val="en-US"/>
      </w:rPr>
      <w:t>-</w:t>
    </w:r>
    <w:r w:rsidR="008F5A2D" w:rsidRPr="003D4CFB">
      <w:rPr>
        <w:sz w:val="22"/>
        <w:szCs w:val="22"/>
        <w:lang w:val="en-US"/>
      </w:rPr>
      <w:t>1</w:t>
    </w:r>
    <w:r w:rsidR="008F5A2D">
      <w:rPr>
        <w:sz w:val="22"/>
        <w:szCs w:val="22"/>
        <w:lang w:val="en-US"/>
      </w:rPr>
      <w:t>9</w:t>
    </w:r>
    <w:r w:rsidR="008F5A2D" w:rsidRPr="003D4CFB">
      <w:rPr>
        <w:sz w:val="22"/>
        <w:szCs w:val="22"/>
        <w:lang w:val="en-US"/>
      </w:rPr>
      <w:t>/</w:t>
    </w:r>
    <w:r w:rsidR="008F5A2D">
      <w:rPr>
        <w:sz w:val="22"/>
        <w:szCs w:val="22"/>
        <w:lang w:val="en-US"/>
      </w:rPr>
      <w:t>4</w:t>
    </w:r>
    <w:r w:rsidR="008F5A2D" w:rsidRPr="003D4CFB">
      <w:rPr>
        <w:sz w:val="22"/>
        <w:szCs w:val="22"/>
        <w:lang w:val="en-US"/>
      </w:rPr>
      <w:t>-</w:t>
    </w:r>
    <w:r w:rsidR="008F5A2D">
      <w:rPr>
        <w:rFonts w:hint="eastAsia"/>
        <w:sz w:val="22"/>
        <w:szCs w:val="22"/>
        <w:lang w:val="en-US" w:eastAsia="zh-CN"/>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23697A">
      <w:rPr>
        <w:rFonts w:ascii="Calibri" w:eastAsia="SimSun" w:hAnsi="Calibri"/>
        <w:noProof/>
        <w:sz w:val="18"/>
        <w:szCs w:val="18"/>
        <w:lang w:val="es-ES_tradnl"/>
      </w:rPr>
      <w:t>3</w:t>
    </w:r>
    <w:r w:rsidRPr="00175C4C">
      <w:rPr>
        <w:rFonts w:ascii="Calibri" w:eastAsia="SimSun" w:hAnsi="Calibr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7A" w:rsidRDefault="00236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F4"/>
    <w:multiLevelType w:val="hybridMultilevel"/>
    <w:tmpl w:val="7578E854"/>
    <w:lvl w:ilvl="0" w:tplc="741CB2B0">
      <w:start w:val="1"/>
      <w:numFmt w:val="bullet"/>
      <w:lvlText w:val=""/>
      <w:lvlJc w:val="left"/>
      <w:pPr>
        <w:ind w:left="360" w:hanging="360"/>
      </w:pPr>
      <w:rPr>
        <w:rFonts w:ascii="Symbol" w:hAnsi="Symbol" w:hint="default"/>
      </w:rPr>
    </w:lvl>
    <w:lvl w:ilvl="1" w:tplc="B4A4A258" w:tentative="1">
      <w:start w:val="1"/>
      <w:numFmt w:val="lowerLetter"/>
      <w:lvlText w:val="%2."/>
      <w:lvlJc w:val="left"/>
      <w:pPr>
        <w:ind w:left="1080" w:hanging="360"/>
      </w:pPr>
    </w:lvl>
    <w:lvl w:ilvl="2" w:tplc="AA307176" w:tentative="1">
      <w:start w:val="1"/>
      <w:numFmt w:val="lowerRoman"/>
      <w:lvlText w:val="%3."/>
      <w:lvlJc w:val="right"/>
      <w:pPr>
        <w:ind w:left="1800" w:hanging="180"/>
      </w:pPr>
    </w:lvl>
    <w:lvl w:ilvl="3" w:tplc="5F546D86" w:tentative="1">
      <w:start w:val="1"/>
      <w:numFmt w:val="decimal"/>
      <w:lvlText w:val="%4."/>
      <w:lvlJc w:val="left"/>
      <w:pPr>
        <w:ind w:left="2520" w:hanging="360"/>
      </w:pPr>
    </w:lvl>
    <w:lvl w:ilvl="4" w:tplc="23A8458A" w:tentative="1">
      <w:start w:val="1"/>
      <w:numFmt w:val="lowerLetter"/>
      <w:lvlText w:val="%5."/>
      <w:lvlJc w:val="left"/>
      <w:pPr>
        <w:ind w:left="3240" w:hanging="360"/>
      </w:pPr>
    </w:lvl>
    <w:lvl w:ilvl="5" w:tplc="43C41012" w:tentative="1">
      <w:start w:val="1"/>
      <w:numFmt w:val="lowerRoman"/>
      <w:lvlText w:val="%6."/>
      <w:lvlJc w:val="right"/>
      <w:pPr>
        <w:ind w:left="3960" w:hanging="180"/>
      </w:pPr>
    </w:lvl>
    <w:lvl w:ilvl="6" w:tplc="03B21226" w:tentative="1">
      <w:start w:val="1"/>
      <w:numFmt w:val="decimal"/>
      <w:lvlText w:val="%7."/>
      <w:lvlJc w:val="left"/>
      <w:pPr>
        <w:ind w:left="4680" w:hanging="360"/>
      </w:pPr>
    </w:lvl>
    <w:lvl w:ilvl="7" w:tplc="C2A02DD6" w:tentative="1">
      <w:start w:val="1"/>
      <w:numFmt w:val="lowerLetter"/>
      <w:lvlText w:val="%8."/>
      <w:lvlJc w:val="left"/>
      <w:pPr>
        <w:ind w:left="5400" w:hanging="360"/>
      </w:pPr>
    </w:lvl>
    <w:lvl w:ilvl="8" w:tplc="F7CA9A9E" w:tentative="1">
      <w:start w:val="1"/>
      <w:numFmt w:val="lowerRoman"/>
      <w:lvlText w:val="%9."/>
      <w:lvlJc w:val="right"/>
      <w:pPr>
        <w:ind w:left="6120" w:hanging="180"/>
      </w:pPr>
    </w:lvl>
  </w:abstractNum>
  <w:abstractNum w:abstractNumId="1" w15:restartNumberingAfterBreak="0">
    <w:nsid w:val="2D3D2747"/>
    <w:multiLevelType w:val="hybridMultilevel"/>
    <w:tmpl w:val="861A1576"/>
    <w:lvl w:ilvl="0" w:tplc="254880AA">
      <w:start w:val="1"/>
      <w:numFmt w:val="bullet"/>
      <w:lvlText w:val=""/>
      <w:lvlJc w:val="left"/>
      <w:pPr>
        <w:ind w:left="-351" w:hanging="360"/>
      </w:pPr>
      <w:rPr>
        <w:rFonts w:ascii="Symbol" w:hAnsi="Symbol" w:hint="default"/>
      </w:rPr>
    </w:lvl>
    <w:lvl w:ilvl="1" w:tplc="87AC78B6">
      <w:start w:val="1"/>
      <w:numFmt w:val="bullet"/>
      <w:lvlText w:val="o"/>
      <w:lvlJc w:val="left"/>
      <w:pPr>
        <w:ind w:left="369" w:hanging="360"/>
      </w:pPr>
      <w:rPr>
        <w:rFonts w:ascii="Courier New" w:hAnsi="Courier New" w:cs="Courier New" w:hint="default"/>
      </w:rPr>
    </w:lvl>
    <w:lvl w:ilvl="2" w:tplc="615EC01C" w:tentative="1">
      <w:start w:val="1"/>
      <w:numFmt w:val="bullet"/>
      <w:lvlText w:val=""/>
      <w:lvlJc w:val="left"/>
      <w:pPr>
        <w:ind w:left="1089" w:hanging="360"/>
      </w:pPr>
      <w:rPr>
        <w:rFonts w:ascii="Wingdings" w:hAnsi="Wingdings" w:hint="default"/>
      </w:rPr>
    </w:lvl>
    <w:lvl w:ilvl="3" w:tplc="78D28880" w:tentative="1">
      <w:start w:val="1"/>
      <w:numFmt w:val="bullet"/>
      <w:lvlText w:val=""/>
      <w:lvlJc w:val="left"/>
      <w:pPr>
        <w:ind w:left="1809" w:hanging="360"/>
      </w:pPr>
      <w:rPr>
        <w:rFonts w:ascii="Symbol" w:hAnsi="Symbol" w:hint="default"/>
      </w:rPr>
    </w:lvl>
    <w:lvl w:ilvl="4" w:tplc="054A54DA" w:tentative="1">
      <w:start w:val="1"/>
      <w:numFmt w:val="bullet"/>
      <w:lvlText w:val="o"/>
      <w:lvlJc w:val="left"/>
      <w:pPr>
        <w:ind w:left="2529" w:hanging="360"/>
      </w:pPr>
      <w:rPr>
        <w:rFonts w:ascii="Courier New" w:hAnsi="Courier New" w:cs="Courier New" w:hint="default"/>
      </w:rPr>
    </w:lvl>
    <w:lvl w:ilvl="5" w:tplc="ACC20508" w:tentative="1">
      <w:start w:val="1"/>
      <w:numFmt w:val="bullet"/>
      <w:lvlText w:val=""/>
      <w:lvlJc w:val="left"/>
      <w:pPr>
        <w:ind w:left="3249" w:hanging="360"/>
      </w:pPr>
      <w:rPr>
        <w:rFonts w:ascii="Wingdings" w:hAnsi="Wingdings" w:hint="default"/>
      </w:rPr>
    </w:lvl>
    <w:lvl w:ilvl="6" w:tplc="6F9ADC04" w:tentative="1">
      <w:start w:val="1"/>
      <w:numFmt w:val="bullet"/>
      <w:lvlText w:val=""/>
      <w:lvlJc w:val="left"/>
      <w:pPr>
        <w:ind w:left="3969" w:hanging="360"/>
      </w:pPr>
      <w:rPr>
        <w:rFonts w:ascii="Symbol" w:hAnsi="Symbol" w:hint="default"/>
      </w:rPr>
    </w:lvl>
    <w:lvl w:ilvl="7" w:tplc="FE2C7856" w:tentative="1">
      <w:start w:val="1"/>
      <w:numFmt w:val="bullet"/>
      <w:lvlText w:val="o"/>
      <w:lvlJc w:val="left"/>
      <w:pPr>
        <w:ind w:left="4689" w:hanging="360"/>
      </w:pPr>
      <w:rPr>
        <w:rFonts w:ascii="Courier New" w:hAnsi="Courier New" w:cs="Courier New" w:hint="default"/>
      </w:rPr>
    </w:lvl>
    <w:lvl w:ilvl="8" w:tplc="0B26F030" w:tentative="1">
      <w:start w:val="1"/>
      <w:numFmt w:val="bullet"/>
      <w:lvlText w:val=""/>
      <w:lvlJc w:val="left"/>
      <w:pPr>
        <w:ind w:left="5409" w:hanging="360"/>
      </w:pPr>
      <w:rPr>
        <w:rFonts w:ascii="Wingdings" w:hAnsi="Wingdings" w:hint="default"/>
      </w:rPr>
    </w:lvl>
  </w:abstractNum>
  <w:abstractNum w:abstractNumId="2" w15:restartNumberingAfterBreak="0">
    <w:nsid w:val="51822CE6"/>
    <w:multiLevelType w:val="hybridMultilevel"/>
    <w:tmpl w:val="4E52F4CC"/>
    <w:lvl w:ilvl="0" w:tplc="1C266160">
      <w:start w:val="1"/>
      <w:numFmt w:val="bullet"/>
      <w:lvlText w:val=""/>
      <w:lvlJc w:val="left"/>
      <w:pPr>
        <w:ind w:left="360" w:hanging="360"/>
      </w:pPr>
      <w:rPr>
        <w:rFonts w:ascii="Symbol" w:hAnsi="Symbol" w:hint="default"/>
      </w:rPr>
    </w:lvl>
    <w:lvl w:ilvl="1" w:tplc="2D1292E2" w:tentative="1">
      <w:start w:val="1"/>
      <w:numFmt w:val="bullet"/>
      <w:lvlText w:val="o"/>
      <w:lvlJc w:val="left"/>
      <w:pPr>
        <w:ind w:left="1080" w:hanging="360"/>
      </w:pPr>
      <w:rPr>
        <w:rFonts w:ascii="Courier New" w:hAnsi="Courier New" w:cs="Courier New" w:hint="default"/>
      </w:rPr>
    </w:lvl>
    <w:lvl w:ilvl="2" w:tplc="6270C518" w:tentative="1">
      <w:start w:val="1"/>
      <w:numFmt w:val="bullet"/>
      <w:lvlText w:val=""/>
      <w:lvlJc w:val="left"/>
      <w:pPr>
        <w:ind w:left="1800" w:hanging="360"/>
      </w:pPr>
      <w:rPr>
        <w:rFonts w:ascii="Wingdings" w:hAnsi="Wingdings" w:hint="default"/>
      </w:rPr>
    </w:lvl>
    <w:lvl w:ilvl="3" w:tplc="AE4C4AAE" w:tentative="1">
      <w:start w:val="1"/>
      <w:numFmt w:val="bullet"/>
      <w:lvlText w:val=""/>
      <w:lvlJc w:val="left"/>
      <w:pPr>
        <w:ind w:left="2520" w:hanging="360"/>
      </w:pPr>
      <w:rPr>
        <w:rFonts w:ascii="Symbol" w:hAnsi="Symbol" w:hint="default"/>
      </w:rPr>
    </w:lvl>
    <w:lvl w:ilvl="4" w:tplc="892E2974" w:tentative="1">
      <w:start w:val="1"/>
      <w:numFmt w:val="bullet"/>
      <w:lvlText w:val="o"/>
      <w:lvlJc w:val="left"/>
      <w:pPr>
        <w:ind w:left="3240" w:hanging="360"/>
      </w:pPr>
      <w:rPr>
        <w:rFonts w:ascii="Courier New" w:hAnsi="Courier New" w:cs="Courier New" w:hint="default"/>
      </w:rPr>
    </w:lvl>
    <w:lvl w:ilvl="5" w:tplc="C02CEE00" w:tentative="1">
      <w:start w:val="1"/>
      <w:numFmt w:val="bullet"/>
      <w:lvlText w:val=""/>
      <w:lvlJc w:val="left"/>
      <w:pPr>
        <w:ind w:left="3960" w:hanging="360"/>
      </w:pPr>
      <w:rPr>
        <w:rFonts w:ascii="Wingdings" w:hAnsi="Wingdings" w:hint="default"/>
      </w:rPr>
    </w:lvl>
    <w:lvl w:ilvl="6" w:tplc="13EC9648" w:tentative="1">
      <w:start w:val="1"/>
      <w:numFmt w:val="bullet"/>
      <w:lvlText w:val=""/>
      <w:lvlJc w:val="left"/>
      <w:pPr>
        <w:ind w:left="4680" w:hanging="360"/>
      </w:pPr>
      <w:rPr>
        <w:rFonts w:ascii="Symbol" w:hAnsi="Symbol" w:hint="default"/>
      </w:rPr>
    </w:lvl>
    <w:lvl w:ilvl="7" w:tplc="F0DCC69A" w:tentative="1">
      <w:start w:val="1"/>
      <w:numFmt w:val="bullet"/>
      <w:lvlText w:val="o"/>
      <w:lvlJc w:val="left"/>
      <w:pPr>
        <w:ind w:left="5400" w:hanging="360"/>
      </w:pPr>
      <w:rPr>
        <w:rFonts w:ascii="Courier New" w:hAnsi="Courier New" w:cs="Courier New" w:hint="default"/>
      </w:rPr>
    </w:lvl>
    <w:lvl w:ilvl="8" w:tplc="8586F798" w:tentative="1">
      <w:start w:val="1"/>
      <w:numFmt w:val="bullet"/>
      <w:lvlText w:val=""/>
      <w:lvlJc w:val="left"/>
      <w:pPr>
        <w:ind w:left="6120" w:hanging="360"/>
      </w:pPr>
      <w:rPr>
        <w:rFonts w:ascii="Wingdings" w:hAnsi="Wingdings" w:hint="default"/>
      </w:rPr>
    </w:lvl>
  </w:abstractNum>
  <w:abstractNum w:abstractNumId="3" w15:restartNumberingAfterBreak="0">
    <w:nsid w:val="5AAF428F"/>
    <w:multiLevelType w:val="hybridMultilevel"/>
    <w:tmpl w:val="3438C676"/>
    <w:lvl w:ilvl="0" w:tplc="9418F1DA">
      <w:start w:val="1"/>
      <w:numFmt w:val="bullet"/>
      <w:lvlText w:val=""/>
      <w:lvlJc w:val="left"/>
      <w:pPr>
        <w:ind w:left="360" w:hanging="360"/>
      </w:pPr>
      <w:rPr>
        <w:rFonts w:ascii="Symbol" w:hAnsi="Symbol" w:hint="default"/>
      </w:rPr>
    </w:lvl>
    <w:lvl w:ilvl="1" w:tplc="B6C89792">
      <w:start w:val="1"/>
      <w:numFmt w:val="bullet"/>
      <w:lvlText w:val="o"/>
      <w:lvlJc w:val="left"/>
      <w:pPr>
        <w:ind w:left="1080" w:hanging="360"/>
      </w:pPr>
      <w:rPr>
        <w:rFonts w:ascii="Courier New" w:hAnsi="Courier New" w:cs="Courier New" w:hint="default"/>
      </w:rPr>
    </w:lvl>
    <w:lvl w:ilvl="2" w:tplc="2D488B38" w:tentative="1">
      <w:start w:val="1"/>
      <w:numFmt w:val="bullet"/>
      <w:lvlText w:val=""/>
      <w:lvlJc w:val="left"/>
      <w:pPr>
        <w:ind w:left="1800" w:hanging="360"/>
      </w:pPr>
      <w:rPr>
        <w:rFonts w:ascii="Wingdings" w:hAnsi="Wingdings" w:hint="default"/>
      </w:rPr>
    </w:lvl>
    <w:lvl w:ilvl="3" w:tplc="591272B0" w:tentative="1">
      <w:start w:val="1"/>
      <w:numFmt w:val="bullet"/>
      <w:lvlText w:val=""/>
      <w:lvlJc w:val="left"/>
      <w:pPr>
        <w:ind w:left="2520" w:hanging="360"/>
      </w:pPr>
      <w:rPr>
        <w:rFonts w:ascii="Symbol" w:hAnsi="Symbol" w:hint="default"/>
      </w:rPr>
    </w:lvl>
    <w:lvl w:ilvl="4" w:tplc="3C8AE946" w:tentative="1">
      <w:start w:val="1"/>
      <w:numFmt w:val="bullet"/>
      <w:lvlText w:val="o"/>
      <w:lvlJc w:val="left"/>
      <w:pPr>
        <w:ind w:left="3240" w:hanging="360"/>
      </w:pPr>
      <w:rPr>
        <w:rFonts w:ascii="Courier New" w:hAnsi="Courier New" w:cs="Courier New" w:hint="default"/>
      </w:rPr>
    </w:lvl>
    <w:lvl w:ilvl="5" w:tplc="E6365CE4" w:tentative="1">
      <w:start w:val="1"/>
      <w:numFmt w:val="bullet"/>
      <w:lvlText w:val=""/>
      <w:lvlJc w:val="left"/>
      <w:pPr>
        <w:ind w:left="3960" w:hanging="360"/>
      </w:pPr>
      <w:rPr>
        <w:rFonts w:ascii="Wingdings" w:hAnsi="Wingdings" w:hint="default"/>
      </w:rPr>
    </w:lvl>
    <w:lvl w:ilvl="6" w:tplc="25B02E28" w:tentative="1">
      <w:start w:val="1"/>
      <w:numFmt w:val="bullet"/>
      <w:lvlText w:val=""/>
      <w:lvlJc w:val="left"/>
      <w:pPr>
        <w:ind w:left="4680" w:hanging="360"/>
      </w:pPr>
      <w:rPr>
        <w:rFonts w:ascii="Symbol" w:hAnsi="Symbol" w:hint="default"/>
      </w:rPr>
    </w:lvl>
    <w:lvl w:ilvl="7" w:tplc="205603DA" w:tentative="1">
      <w:start w:val="1"/>
      <w:numFmt w:val="bullet"/>
      <w:lvlText w:val="o"/>
      <w:lvlJc w:val="left"/>
      <w:pPr>
        <w:ind w:left="5400" w:hanging="360"/>
      </w:pPr>
      <w:rPr>
        <w:rFonts w:ascii="Courier New" w:hAnsi="Courier New" w:cs="Courier New" w:hint="default"/>
      </w:rPr>
    </w:lvl>
    <w:lvl w:ilvl="8" w:tplc="07409856" w:tentative="1">
      <w:start w:val="1"/>
      <w:numFmt w:val="bullet"/>
      <w:lvlText w:val=""/>
      <w:lvlJc w:val="left"/>
      <w:pPr>
        <w:ind w:left="6120" w:hanging="360"/>
      </w:pPr>
      <w:rPr>
        <w:rFonts w:ascii="Wingdings" w:hAnsi="Wingdings" w:hint="default"/>
      </w:rPr>
    </w:lvl>
  </w:abstractNum>
  <w:abstractNum w:abstractNumId="4" w15:restartNumberingAfterBreak="0">
    <w:nsid w:val="5F8D7C5D"/>
    <w:multiLevelType w:val="hybridMultilevel"/>
    <w:tmpl w:val="8DCC5FEE"/>
    <w:lvl w:ilvl="0" w:tplc="E32C8F2C">
      <w:start w:val="1"/>
      <w:numFmt w:val="bullet"/>
      <w:lvlText w:val=""/>
      <w:lvlJc w:val="left"/>
      <w:pPr>
        <w:ind w:left="360" w:hanging="360"/>
      </w:pPr>
      <w:rPr>
        <w:rFonts w:ascii="Symbol" w:hAnsi="Symbol" w:hint="default"/>
      </w:rPr>
    </w:lvl>
    <w:lvl w:ilvl="1" w:tplc="21181F6C" w:tentative="1">
      <w:start w:val="1"/>
      <w:numFmt w:val="bullet"/>
      <w:lvlText w:val="o"/>
      <w:lvlJc w:val="left"/>
      <w:pPr>
        <w:ind w:left="1080" w:hanging="360"/>
      </w:pPr>
      <w:rPr>
        <w:rFonts w:ascii="Courier New" w:hAnsi="Courier New" w:cs="Courier New" w:hint="default"/>
      </w:rPr>
    </w:lvl>
    <w:lvl w:ilvl="2" w:tplc="E00024C6" w:tentative="1">
      <w:start w:val="1"/>
      <w:numFmt w:val="bullet"/>
      <w:lvlText w:val=""/>
      <w:lvlJc w:val="left"/>
      <w:pPr>
        <w:ind w:left="1800" w:hanging="360"/>
      </w:pPr>
      <w:rPr>
        <w:rFonts w:ascii="Wingdings" w:hAnsi="Wingdings" w:hint="default"/>
      </w:rPr>
    </w:lvl>
    <w:lvl w:ilvl="3" w:tplc="045C89BE" w:tentative="1">
      <w:start w:val="1"/>
      <w:numFmt w:val="bullet"/>
      <w:lvlText w:val=""/>
      <w:lvlJc w:val="left"/>
      <w:pPr>
        <w:ind w:left="2520" w:hanging="360"/>
      </w:pPr>
      <w:rPr>
        <w:rFonts w:ascii="Symbol" w:hAnsi="Symbol" w:hint="default"/>
      </w:rPr>
    </w:lvl>
    <w:lvl w:ilvl="4" w:tplc="A508C5F0" w:tentative="1">
      <w:start w:val="1"/>
      <w:numFmt w:val="bullet"/>
      <w:lvlText w:val="o"/>
      <w:lvlJc w:val="left"/>
      <w:pPr>
        <w:ind w:left="3240" w:hanging="360"/>
      </w:pPr>
      <w:rPr>
        <w:rFonts w:ascii="Courier New" w:hAnsi="Courier New" w:cs="Courier New" w:hint="default"/>
      </w:rPr>
    </w:lvl>
    <w:lvl w:ilvl="5" w:tplc="21900148" w:tentative="1">
      <w:start w:val="1"/>
      <w:numFmt w:val="bullet"/>
      <w:lvlText w:val=""/>
      <w:lvlJc w:val="left"/>
      <w:pPr>
        <w:ind w:left="3960" w:hanging="360"/>
      </w:pPr>
      <w:rPr>
        <w:rFonts w:ascii="Wingdings" w:hAnsi="Wingdings" w:hint="default"/>
      </w:rPr>
    </w:lvl>
    <w:lvl w:ilvl="6" w:tplc="94002E94" w:tentative="1">
      <w:start w:val="1"/>
      <w:numFmt w:val="bullet"/>
      <w:lvlText w:val=""/>
      <w:lvlJc w:val="left"/>
      <w:pPr>
        <w:ind w:left="4680" w:hanging="360"/>
      </w:pPr>
      <w:rPr>
        <w:rFonts w:ascii="Symbol" w:hAnsi="Symbol" w:hint="default"/>
      </w:rPr>
    </w:lvl>
    <w:lvl w:ilvl="7" w:tplc="540806FC" w:tentative="1">
      <w:start w:val="1"/>
      <w:numFmt w:val="bullet"/>
      <w:lvlText w:val="o"/>
      <w:lvlJc w:val="left"/>
      <w:pPr>
        <w:ind w:left="5400" w:hanging="360"/>
      </w:pPr>
      <w:rPr>
        <w:rFonts w:ascii="Courier New" w:hAnsi="Courier New" w:cs="Courier New" w:hint="default"/>
      </w:rPr>
    </w:lvl>
    <w:lvl w:ilvl="8" w:tplc="73DAD57E" w:tentative="1">
      <w:start w:val="1"/>
      <w:numFmt w:val="bullet"/>
      <w:lvlText w:val=""/>
      <w:lvlJc w:val="left"/>
      <w:pPr>
        <w:ind w:left="6120" w:hanging="360"/>
      </w:pPr>
      <w:rPr>
        <w:rFonts w:ascii="Wingdings" w:hAnsi="Wingdings" w:hint="default"/>
      </w:rPr>
    </w:lvl>
  </w:abstractNum>
  <w:abstractNum w:abstractNumId="5" w15:restartNumberingAfterBreak="0">
    <w:nsid w:val="68DF0056"/>
    <w:multiLevelType w:val="hybridMultilevel"/>
    <w:tmpl w:val="3FB0A2BE"/>
    <w:lvl w:ilvl="0" w:tplc="E0E0A4FE">
      <w:start w:val="1"/>
      <w:numFmt w:val="bullet"/>
      <w:lvlText w:val=""/>
      <w:lvlJc w:val="left"/>
      <w:pPr>
        <w:ind w:left="360" w:hanging="360"/>
      </w:pPr>
      <w:rPr>
        <w:rFonts w:ascii="Symbol" w:hAnsi="Symbol" w:hint="default"/>
      </w:rPr>
    </w:lvl>
    <w:lvl w:ilvl="1" w:tplc="560C9F9C" w:tentative="1">
      <w:start w:val="1"/>
      <w:numFmt w:val="bullet"/>
      <w:lvlText w:val="o"/>
      <w:lvlJc w:val="left"/>
      <w:pPr>
        <w:ind w:left="1080" w:hanging="360"/>
      </w:pPr>
      <w:rPr>
        <w:rFonts w:ascii="Courier New" w:hAnsi="Courier New" w:cs="Courier New" w:hint="default"/>
      </w:rPr>
    </w:lvl>
    <w:lvl w:ilvl="2" w:tplc="90BE40AA" w:tentative="1">
      <w:start w:val="1"/>
      <w:numFmt w:val="bullet"/>
      <w:lvlText w:val=""/>
      <w:lvlJc w:val="left"/>
      <w:pPr>
        <w:ind w:left="1800" w:hanging="360"/>
      </w:pPr>
      <w:rPr>
        <w:rFonts w:ascii="Wingdings" w:hAnsi="Wingdings" w:hint="default"/>
      </w:rPr>
    </w:lvl>
    <w:lvl w:ilvl="3" w:tplc="18F006F8" w:tentative="1">
      <w:start w:val="1"/>
      <w:numFmt w:val="bullet"/>
      <w:lvlText w:val=""/>
      <w:lvlJc w:val="left"/>
      <w:pPr>
        <w:ind w:left="2520" w:hanging="360"/>
      </w:pPr>
      <w:rPr>
        <w:rFonts w:ascii="Symbol" w:hAnsi="Symbol" w:hint="default"/>
      </w:rPr>
    </w:lvl>
    <w:lvl w:ilvl="4" w:tplc="CD3C10EE" w:tentative="1">
      <w:start w:val="1"/>
      <w:numFmt w:val="bullet"/>
      <w:lvlText w:val="o"/>
      <w:lvlJc w:val="left"/>
      <w:pPr>
        <w:ind w:left="3240" w:hanging="360"/>
      </w:pPr>
      <w:rPr>
        <w:rFonts w:ascii="Courier New" w:hAnsi="Courier New" w:cs="Courier New" w:hint="default"/>
      </w:rPr>
    </w:lvl>
    <w:lvl w:ilvl="5" w:tplc="C81095A0" w:tentative="1">
      <w:start w:val="1"/>
      <w:numFmt w:val="bullet"/>
      <w:lvlText w:val=""/>
      <w:lvlJc w:val="left"/>
      <w:pPr>
        <w:ind w:left="3960" w:hanging="360"/>
      </w:pPr>
      <w:rPr>
        <w:rFonts w:ascii="Wingdings" w:hAnsi="Wingdings" w:hint="default"/>
      </w:rPr>
    </w:lvl>
    <w:lvl w:ilvl="6" w:tplc="894A3B8A" w:tentative="1">
      <w:start w:val="1"/>
      <w:numFmt w:val="bullet"/>
      <w:lvlText w:val=""/>
      <w:lvlJc w:val="left"/>
      <w:pPr>
        <w:ind w:left="4680" w:hanging="360"/>
      </w:pPr>
      <w:rPr>
        <w:rFonts w:ascii="Symbol" w:hAnsi="Symbol" w:hint="default"/>
      </w:rPr>
    </w:lvl>
    <w:lvl w:ilvl="7" w:tplc="74A6A71C" w:tentative="1">
      <w:start w:val="1"/>
      <w:numFmt w:val="bullet"/>
      <w:lvlText w:val="o"/>
      <w:lvlJc w:val="left"/>
      <w:pPr>
        <w:ind w:left="5400" w:hanging="360"/>
      </w:pPr>
      <w:rPr>
        <w:rFonts w:ascii="Courier New" w:hAnsi="Courier New" w:cs="Courier New" w:hint="default"/>
      </w:rPr>
    </w:lvl>
    <w:lvl w:ilvl="8" w:tplc="79BA3F2A"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FE"/>
    <w:rsid w:val="00002716"/>
    <w:rsid w:val="00003ABE"/>
    <w:rsid w:val="00005791"/>
    <w:rsid w:val="000131AF"/>
    <w:rsid w:val="00015A89"/>
    <w:rsid w:val="0002520B"/>
    <w:rsid w:val="00037A9E"/>
    <w:rsid w:val="00037E57"/>
    <w:rsid w:val="00037F91"/>
    <w:rsid w:val="000539F1"/>
    <w:rsid w:val="0005431F"/>
    <w:rsid w:val="00055A2A"/>
    <w:rsid w:val="000615C1"/>
    <w:rsid w:val="00087496"/>
    <w:rsid w:val="0009225C"/>
    <w:rsid w:val="000A17C4"/>
    <w:rsid w:val="000A346A"/>
    <w:rsid w:val="000B2352"/>
    <w:rsid w:val="000C1147"/>
    <w:rsid w:val="000C7B84"/>
    <w:rsid w:val="000D261B"/>
    <w:rsid w:val="000D58A3"/>
    <w:rsid w:val="000E3ED4"/>
    <w:rsid w:val="000F5B88"/>
    <w:rsid w:val="000F6644"/>
    <w:rsid w:val="00100833"/>
    <w:rsid w:val="00103CBD"/>
    <w:rsid w:val="00113EE8"/>
    <w:rsid w:val="0011455A"/>
    <w:rsid w:val="00114A65"/>
    <w:rsid w:val="001262B6"/>
    <w:rsid w:val="00141699"/>
    <w:rsid w:val="00145F53"/>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4656"/>
    <w:rsid w:val="001C772C"/>
    <w:rsid w:val="001E1117"/>
    <w:rsid w:val="001E358E"/>
    <w:rsid w:val="001F1B3F"/>
    <w:rsid w:val="001F23E6"/>
    <w:rsid w:val="001F4238"/>
    <w:rsid w:val="00200A38"/>
    <w:rsid w:val="00200A46"/>
    <w:rsid w:val="00211B6F"/>
    <w:rsid w:val="00213F61"/>
    <w:rsid w:val="00217CC3"/>
    <w:rsid w:val="00220AB6"/>
    <w:rsid w:val="0022120F"/>
    <w:rsid w:val="00224A4B"/>
    <w:rsid w:val="0022754A"/>
    <w:rsid w:val="002301AA"/>
    <w:rsid w:val="00236560"/>
    <w:rsid w:val="0023662E"/>
    <w:rsid w:val="0023697A"/>
    <w:rsid w:val="00240533"/>
    <w:rsid w:val="00245D0F"/>
    <w:rsid w:val="002548C3"/>
    <w:rsid w:val="00257ACD"/>
    <w:rsid w:val="00262908"/>
    <w:rsid w:val="002650F4"/>
    <w:rsid w:val="002715FD"/>
    <w:rsid w:val="00274588"/>
    <w:rsid w:val="00285B33"/>
    <w:rsid w:val="002A1AF0"/>
    <w:rsid w:val="002A6684"/>
    <w:rsid w:val="002B34A3"/>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34BEF"/>
    <w:rsid w:val="00360B73"/>
    <w:rsid w:val="0038365A"/>
    <w:rsid w:val="00386A89"/>
    <w:rsid w:val="0039648E"/>
    <w:rsid w:val="003A5AFE"/>
    <w:rsid w:val="003A5D5F"/>
    <w:rsid w:val="003A7FFE"/>
    <w:rsid w:val="003B0A63"/>
    <w:rsid w:val="003B37BC"/>
    <w:rsid w:val="003B50E1"/>
    <w:rsid w:val="003C1746"/>
    <w:rsid w:val="003C58BF"/>
    <w:rsid w:val="003D451D"/>
    <w:rsid w:val="003F2DD8"/>
    <w:rsid w:val="003F50B2"/>
    <w:rsid w:val="00401BFF"/>
    <w:rsid w:val="004122C5"/>
    <w:rsid w:val="00413B78"/>
    <w:rsid w:val="00416DDE"/>
    <w:rsid w:val="00430B54"/>
    <w:rsid w:val="00437DFF"/>
    <w:rsid w:val="0044411E"/>
    <w:rsid w:val="00453435"/>
    <w:rsid w:val="00466398"/>
    <w:rsid w:val="0049128B"/>
    <w:rsid w:val="004924D3"/>
    <w:rsid w:val="00493B49"/>
    <w:rsid w:val="00495214"/>
    <w:rsid w:val="00495501"/>
    <w:rsid w:val="004A070A"/>
    <w:rsid w:val="004A320E"/>
    <w:rsid w:val="004A4E9C"/>
    <w:rsid w:val="004B1A3C"/>
    <w:rsid w:val="004B58F7"/>
    <w:rsid w:val="004C5C6B"/>
    <w:rsid w:val="004D2CC3"/>
    <w:rsid w:val="004D35CB"/>
    <w:rsid w:val="004D7BF1"/>
    <w:rsid w:val="004E20E5"/>
    <w:rsid w:val="004E64EA"/>
    <w:rsid w:val="004E7828"/>
    <w:rsid w:val="004F46AA"/>
    <w:rsid w:val="004F6A70"/>
    <w:rsid w:val="00502ABF"/>
    <w:rsid w:val="00504DB0"/>
    <w:rsid w:val="0051527E"/>
    <w:rsid w:val="0054420E"/>
    <w:rsid w:val="00544D1B"/>
    <w:rsid w:val="00545DC0"/>
    <w:rsid w:val="00545F6C"/>
    <w:rsid w:val="00554989"/>
    <w:rsid w:val="0055720C"/>
    <w:rsid w:val="0056423B"/>
    <w:rsid w:val="005709B8"/>
    <w:rsid w:val="00573424"/>
    <w:rsid w:val="0057402F"/>
    <w:rsid w:val="005849D6"/>
    <w:rsid w:val="00585367"/>
    <w:rsid w:val="00592518"/>
    <w:rsid w:val="00592E87"/>
    <w:rsid w:val="00593571"/>
    <w:rsid w:val="00594C4D"/>
    <w:rsid w:val="005A33B0"/>
    <w:rsid w:val="005A3E62"/>
    <w:rsid w:val="005B725F"/>
    <w:rsid w:val="005C2DC2"/>
    <w:rsid w:val="005C304A"/>
    <w:rsid w:val="005D57C8"/>
    <w:rsid w:val="005D7761"/>
    <w:rsid w:val="005E0278"/>
    <w:rsid w:val="005E3CA0"/>
    <w:rsid w:val="005E44B1"/>
    <w:rsid w:val="005E67B0"/>
    <w:rsid w:val="005E6DFB"/>
    <w:rsid w:val="005E7047"/>
    <w:rsid w:val="005E777F"/>
    <w:rsid w:val="005F1CA7"/>
    <w:rsid w:val="005F2963"/>
    <w:rsid w:val="005F43DD"/>
    <w:rsid w:val="005F51A9"/>
    <w:rsid w:val="005F7416"/>
    <w:rsid w:val="00600C11"/>
    <w:rsid w:val="00601C23"/>
    <w:rsid w:val="00606B89"/>
    <w:rsid w:val="00625FB8"/>
    <w:rsid w:val="006261BD"/>
    <w:rsid w:val="00636284"/>
    <w:rsid w:val="00642FFE"/>
    <w:rsid w:val="0064734E"/>
    <w:rsid w:val="00650137"/>
    <w:rsid w:val="006509D7"/>
    <w:rsid w:val="0065521B"/>
    <w:rsid w:val="00671EF6"/>
    <w:rsid w:val="0067205B"/>
    <w:rsid w:val="006748F8"/>
    <w:rsid w:val="00680489"/>
    <w:rsid w:val="006A7710"/>
    <w:rsid w:val="006A7A61"/>
    <w:rsid w:val="006B2FFB"/>
    <w:rsid w:val="006B791E"/>
    <w:rsid w:val="006C10A2"/>
    <w:rsid w:val="006C1F18"/>
    <w:rsid w:val="006C6C2C"/>
    <w:rsid w:val="006D40D5"/>
    <w:rsid w:val="006F009A"/>
    <w:rsid w:val="006F3D93"/>
    <w:rsid w:val="007019B1"/>
    <w:rsid w:val="00703E66"/>
    <w:rsid w:val="00717FED"/>
    <w:rsid w:val="00721657"/>
    <w:rsid w:val="00727B1A"/>
    <w:rsid w:val="00745F13"/>
    <w:rsid w:val="007518B2"/>
    <w:rsid w:val="00752258"/>
    <w:rsid w:val="00762880"/>
    <w:rsid w:val="00762F17"/>
    <w:rsid w:val="00772290"/>
    <w:rsid w:val="00777265"/>
    <w:rsid w:val="007805E7"/>
    <w:rsid w:val="0078222A"/>
    <w:rsid w:val="00787D48"/>
    <w:rsid w:val="007A4E50"/>
    <w:rsid w:val="007B18A7"/>
    <w:rsid w:val="007B250E"/>
    <w:rsid w:val="007B29A3"/>
    <w:rsid w:val="007C27FC"/>
    <w:rsid w:val="007C51FF"/>
    <w:rsid w:val="007C6827"/>
    <w:rsid w:val="007D50E4"/>
    <w:rsid w:val="008028CE"/>
    <w:rsid w:val="0080332E"/>
    <w:rsid w:val="008141E0"/>
    <w:rsid w:val="00816EE1"/>
    <w:rsid w:val="00816F88"/>
    <w:rsid w:val="00822323"/>
    <w:rsid w:val="00823118"/>
    <w:rsid w:val="00833024"/>
    <w:rsid w:val="00844A56"/>
    <w:rsid w:val="00852081"/>
    <w:rsid w:val="008717AC"/>
    <w:rsid w:val="00874DFD"/>
    <w:rsid w:val="00875021"/>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5A2D"/>
    <w:rsid w:val="008F71C1"/>
    <w:rsid w:val="00902D41"/>
    <w:rsid w:val="00914004"/>
    <w:rsid w:val="00915C8E"/>
    <w:rsid w:val="00922EC1"/>
    <w:rsid w:val="009301F1"/>
    <w:rsid w:val="009359B8"/>
    <w:rsid w:val="009431F8"/>
    <w:rsid w:val="00947984"/>
    <w:rsid w:val="00947A35"/>
    <w:rsid w:val="00966CB5"/>
    <w:rsid w:val="00975786"/>
    <w:rsid w:val="00981CB7"/>
    <w:rsid w:val="00983E1F"/>
    <w:rsid w:val="00993F46"/>
    <w:rsid w:val="00997358"/>
    <w:rsid w:val="009A452B"/>
    <w:rsid w:val="009B050C"/>
    <w:rsid w:val="009B087F"/>
    <w:rsid w:val="009C110B"/>
    <w:rsid w:val="009C5441"/>
    <w:rsid w:val="009D119F"/>
    <w:rsid w:val="009E1805"/>
    <w:rsid w:val="009F3940"/>
    <w:rsid w:val="009F3EB2"/>
    <w:rsid w:val="009F6EB1"/>
    <w:rsid w:val="00A00BCE"/>
    <w:rsid w:val="00A20267"/>
    <w:rsid w:val="00A24022"/>
    <w:rsid w:val="00A3158C"/>
    <w:rsid w:val="00A33E32"/>
    <w:rsid w:val="00A41AFF"/>
    <w:rsid w:val="00A50BB3"/>
    <w:rsid w:val="00A53E7C"/>
    <w:rsid w:val="00A60087"/>
    <w:rsid w:val="00A67D34"/>
    <w:rsid w:val="00A705E8"/>
    <w:rsid w:val="00A9392C"/>
    <w:rsid w:val="00A9462B"/>
    <w:rsid w:val="00A97D59"/>
    <w:rsid w:val="00AA193B"/>
    <w:rsid w:val="00AA3E09"/>
    <w:rsid w:val="00AA4BEF"/>
    <w:rsid w:val="00AB4962"/>
    <w:rsid w:val="00AB4E22"/>
    <w:rsid w:val="00AB740F"/>
    <w:rsid w:val="00AC7221"/>
    <w:rsid w:val="00AD0A21"/>
    <w:rsid w:val="00AE5961"/>
    <w:rsid w:val="00AF4971"/>
    <w:rsid w:val="00B01046"/>
    <w:rsid w:val="00B310F9"/>
    <w:rsid w:val="00B37866"/>
    <w:rsid w:val="00B412FB"/>
    <w:rsid w:val="00B4576B"/>
    <w:rsid w:val="00B46350"/>
    <w:rsid w:val="00B736AB"/>
    <w:rsid w:val="00B7755F"/>
    <w:rsid w:val="00B83D5E"/>
    <w:rsid w:val="00B8460A"/>
    <w:rsid w:val="00B85344"/>
    <w:rsid w:val="00B854C4"/>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522A4"/>
    <w:rsid w:val="00C60A41"/>
    <w:rsid w:val="00C62DE8"/>
    <w:rsid w:val="00C62DFB"/>
    <w:rsid w:val="00C66F4D"/>
    <w:rsid w:val="00C86600"/>
    <w:rsid w:val="00C87BCA"/>
    <w:rsid w:val="00C94506"/>
    <w:rsid w:val="00C954BC"/>
    <w:rsid w:val="00C97A86"/>
    <w:rsid w:val="00CA1F0B"/>
    <w:rsid w:val="00CA6D38"/>
    <w:rsid w:val="00CB110F"/>
    <w:rsid w:val="00CB2A2E"/>
    <w:rsid w:val="00CB338A"/>
    <w:rsid w:val="00CB79C5"/>
    <w:rsid w:val="00CC411F"/>
    <w:rsid w:val="00CC4B75"/>
    <w:rsid w:val="00CC732E"/>
    <w:rsid w:val="00CD1EAB"/>
    <w:rsid w:val="00CD7207"/>
    <w:rsid w:val="00CE0DBE"/>
    <w:rsid w:val="00CE4229"/>
    <w:rsid w:val="00CE5E4D"/>
    <w:rsid w:val="00CE7448"/>
    <w:rsid w:val="00CF02C4"/>
    <w:rsid w:val="00CF167F"/>
    <w:rsid w:val="00CF72E5"/>
    <w:rsid w:val="00D01F54"/>
    <w:rsid w:val="00D10FC7"/>
    <w:rsid w:val="00D20E99"/>
    <w:rsid w:val="00D21C83"/>
    <w:rsid w:val="00D30A31"/>
    <w:rsid w:val="00D35BDD"/>
    <w:rsid w:val="00D41D3B"/>
    <w:rsid w:val="00D50A91"/>
    <w:rsid w:val="00D63006"/>
    <w:rsid w:val="00D72301"/>
    <w:rsid w:val="00D91B97"/>
    <w:rsid w:val="00D93ACC"/>
    <w:rsid w:val="00D93C08"/>
    <w:rsid w:val="00D94A6B"/>
    <w:rsid w:val="00D95DAC"/>
    <w:rsid w:val="00DB1171"/>
    <w:rsid w:val="00DB1519"/>
    <w:rsid w:val="00DB1522"/>
    <w:rsid w:val="00DB2666"/>
    <w:rsid w:val="00DB2840"/>
    <w:rsid w:val="00DD30F8"/>
    <w:rsid w:val="00DD66B4"/>
    <w:rsid w:val="00DE1972"/>
    <w:rsid w:val="00DE27AB"/>
    <w:rsid w:val="00DF2AB3"/>
    <w:rsid w:val="00DF7250"/>
    <w:rsid w:val="00DF7AE9"/>
    <w:rsid w:val="00E00CAA"/>
    <w:rsid w:val="00E03EBF"/>
    <w:rsid w:val="00E05209"/>
    <w:rsid w:val="00E068E3"/>
    <w:rsid w:val="00E1053F"/>
    <w:rsid w:val="00E1298A"/>
    <w:rsid w:val="00E2258E"/>
    <w:rsid w:val="00E260C2"/>
    <w:rsid w:val="00E32596"/>
    <w:rsid w:val="00E368F7"/>
    <w:rsid w:val="00E36EB8"/>
    <w:rsid w:val="00E37FB8"/>
    <w:rsid w:val="00E40B07"/>
    <w:rsid w:val="00E42326"/>
    <w:rsid w:val="00E43544"/>
    <w:rsid w:val="00E44D89"/>
    <w:rsid w:val="00E477EA"/>
    <w:rsid w:val="00E63B14"/>
    <w:rsid w:val="00E82CE8"/>
    <w:rsid w:val="00E83810"/>
    <w:rsid w:val="00E86933"/>
    <w:rsid w:val="00E97298"/>
    <w:rsid w:val="00E97753"/>
    <w:rsid w:val="00E97E58"/>
    <w:rsid w:val="00EA2BC2"/>
    <w:rsid w:val="00EA7DE7"/>
    <w:rsid w:val="00EB7A8A"/>
    <w:rsid w:val="00ED6F3E"/>
    <w:rsid w:val="00EE3A64"/>
    <w:rsid w:val="00EE717B"/>
    <w:rsid w:val="00EF01CF"/>
    <w:rsid w:val="00F03590"/>
    <w:rsid w:val="00F03622"/>
    <w:rsid w:val="00F077FD"/>
    <w:rsid w:val="00F204F3"/>
    <w:rsid w:val="00F238B3"/>
    <w:rsid w:val="00F25586"/>
    <w:rsid w:val="00F2651D"/>
    <w:rsid w:val="00F31498"/>
    <w:rsid w:val="00F32FEF"/>
    <w:rsid w:val="00F34EBA"/>
    <w:rsid w:val="00F42E13"/>
    <w:rsid w:val="00F42F1C"/>
    <w:rsid w:val="00F43B44"/>
    <w:rsid w:val="00F440E5"/>
    <w:rsid w:val="00F448F6"/>
    <w:rsid w:val="00F52741"/>
    <w:rsid w:val="00F53D8A"/>
    <w:rsid w:val="00F626F7"/>
    <w:rsid w:val="00F6542C"/>
    <w:rsid w:val="00F86B35"/>
    <w:rsid w:val="00F9211C"/>
    <w:rsid w:val="00F93D2E"/>
    <w:rsid w:val="00F94208"/>
    <w:rsid w:val="00FA095D"/>
    <w:rsid w:val="00FA1136"/>
    <w:rsid w:val="00FA598D"/>
    <w:rsid w:val="00FA6C8B"/>
    <w:rsid w:val="00FB3CEA"/>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50C5883-FF4B-4532-BB3E-DD75BE94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5709B8"/>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List Paragraph11 Char,Recommendation Char"/>
    <w:basedOn w:val="DefaultParagraphFont"/>
    <w:link w:val="ListParagraph"/>
    <w:uiPriority w:val="34"/>
    <w:rsid w:val="005709B8"/>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5709B8"/>
    <w:rPr>
      <w:color w:val="800080" w:themeColor="followedHyperlink"/>
      <w:u w:val="single"/>
    </w:rPr>
  </w:style>
  <w:style w:type="character" w:customStyle="1" w:styleId="FootnoteTextChar">
    <w:name w:val="Footnote Text Char"/>
    <w:basedOn w:val="DefaultParagraphFont"/>
    <w:link w:val="FootnoteText"/>
    <w:rsid w:val="00015A89"/>
    <w:rPr>
      <w:rFonts w:asciiTheme="minorHAnsi" w:hAnsiTheme="minorHAnsi"/>
      <w:sz w:val="24"/>
      <w:lang w:val="en-GB" w:eastAsia="en-US"/>
    </w:rPr>
  </w:style>
  <w:style w:type="paragraph" w:customStyle="1" w:styleId="Reasons">
    <w:name w:val="Reasons"/>
    <w:basedOn w:val="Normal"/>
    <w:qFormat/>
    <w:rsid w:val="00213F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web/pp-18/en/page/192-Document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62B0-9AA8-4FF1-9BF1-2DFDA3F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21</TotalTime>
  <Pages>3</Pages>
  <Words>1952</Words>
  <Characters>519</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cp:lastModifiedBy>
  <cp:revision>7</cp:revision>
  <cp:lastPrinted>2014-06-10T13:01:00Z</cp:lastPrinted>
  <dcterms:created xsi:type="dcterms:W3CDTF">2019-02-01T08:43:00Z</dcterms:created>
  <dcterms:modified xsi:type="dcterms:W3CDTF">2019-02-06T15:26:00Z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