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567FCA" w:rsidTr="00E62572">
        <w:trPr>
          <w:trHeight w:val="1134"/>
        </w:trPr>
        <w:tc>
          <w:tcPr>
            <w:tcW w:w="6662" w:type="dxa"/>
          </w:tcPr>
          <w:p w:rsidR="004713B8" w:rsidRPr="00567FCA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567FC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567FCA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567FC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567FC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567FCA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567FCA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567FCA">
              <w:rPr>
                <w:b/>
                <w:bCs/>
                <w:sz w:val="24"/>
                <w:szCs w:val="24"/>
              </w:rPr>
              <w:t>3</w:t>
            </w:r>
            <w:r w:rsidRPr="00567FCA">
              <w:rPr>
                <w:b/>
                <w:bCs/>
                <w:sz w:val="24"/>
                <w:szCs w:val="24"/>
              </w:rPr>
              <w:t>−</w:t>
            </w:r>
            <w:r w:rsidR="00B24169" w:rsidRPr="00567FCA">
              <w:rPr>
                <w:b/>
                <w:bCs/>
                <w:sz w:val="24"/>
                <w:szCs w:val="24"/>
              </w:rPr>
              <w:t>5</w:t>
            </w:r>
            <w:r w:rsidRPr="00567FCA">
              <w:rPr>
                <w:b/>
                <w:bCs/>
                <w:sz w:val="24"/>
                <w:szCs w:val="24"/>
              </w:rPr>
              <w:t xml:space="preserve"> апреля 201</w:t>
            </w:r>
            <w:r w:rsidR="00B24169" w:rsidRPr="00567FCA">
              <w:rPr>
                <w:b/>
                <w:bCs/>
                <w:sz w:val="24"/>
                <w:szCs w:val="24"/>
              </w:rPr>
              <w:t>9</w:t>
            </w:r>
            <w:r w:rsidRPr="00567FCA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567FCA" w:rsidRDefault="00B24169" w:rsidP="00B24169">
            <w:pPr>
              <w:widowControl w:val="0"/>
              <w:spacing w:before="40"/>
              <w:jc w:val="right"/>
            </w:pPr>
            <w:r w:rsidRPr="00567FCA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567FCA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567FC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567FC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567FCA" w:rsidTr="00CD34AE">
        <w:trPr>
          <w:trHeight w:val="300"/>
        </w:trPr>
        <w:tc>
          <w:tcPr>
            <w:tcW w:w="6662" w:type="dxa"/>
          </w:tcPr>
          <w:p w:rsidR="00CD34AE" w:rsidRPr="00567FCA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567FCA" w:rsidRDefault="003E6E87" w:rsidP="000A004A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67FCA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567FCA">
              <w:rPr>
                <w:rFonts w:cstheme="minorHAnsi"/>
                <w:b/>
                <w:bCs/>
              </w:rPr>
              <w:t>TDAG</w:t>
            </w:r>
            <w:r w:rsidR="0040328D" w:rsidRPr="00567FCA">
              <w:rPr>
                <w:rFonts w:cstheme="minorHAnsi"/>
                <w:b/>
                <w:bCs/>
              </w:rPr>
              <w:t>-</w:t>
            </w:r>
            <w:r w:rsidRPr="00567FCA">
              <w:rPr>
                <w:rFonts w:cstheme="minorHAnsi"/>
                <w:b/>
                <w:bCs/>
              </w:rPr>
              <w:t>1</w:t>
            </w:r>
            <w:r w:rsidR="00B24169" w:rsidRPr="00567FCA">
              <w:rPr>
                <w:rFonts w:cstheme="minorHAnsi"/>
                <w:b/>
                <w:bCs/>
              </w:rPr>
              <w:t>9</w:t>
            </w:r>
            <w:r w:rsidRPr="00567FC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0A004A" w:rsidRPr="00567FCA">
              <w:rPr>
                <w:rFonts w:cstheme="minorHAnsi"/>
                <w:b/>
                <w:bCs/>
              </w:rPr>
              <w:t>4</w:t>
            </w:r>
            <w:r w:rsidRPr="00567FCA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567FCA" w:rsidTr="00CD34AE">
        <w:trPr>
          <w:trHeight w:val="300"/>
        </w:trPr>
        <w:tc>
          <w:tcPr>
            <w:tcW w:w="6662" w:type="dxa"/>
          </w:tcPr>
          <w:p w:rsidR="00CD34AE" w:rsidRPr="00567FCA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567FCA" w:rsidRDefault="000A004A" w:rsidP="000A004A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567FCA">
              <w:rPr>
                <w:b/>
                <w:bCs/>
              </w:rPr>
              <w:t>22 января</w:t>
            </w:r>
            <w:r w:rsidR="00A73D91" w:rsidRPr="00567FCA">
              <w:rPr>
                <w:b/>
                <w:bCs/>
              </w:rPr>
              <w:t xml:space="preserve"> 201</w:t>
            </w:r>
            <w:r w:rsidR="00B24169" w:rsidRPr="00567FCA">
              <w:rPr>
                <w:b/>
                <w:bCs/>
              </w:rPr>
              <w:t>9</w:t>
            </w:r>
            <w:r w:rsidR="00A73D91" w:rsidRPr="00567FCA">
              <w:rPr>
                <w:b/>
                <w:bCs/>
              </w:rPr>
              <w:t xml:space="preserve"> года</w:t>
            </w:r>
          </w:p>
        </w:tc>
      </w:tr>
      <w:tr w:rsidR="00CD34AE" w:rsidRPr="00567FCA" w:rsidTr="00CD34AE">
        <w:trPr>
          <w:trHeight w:val="300"/>
        </w:trPr>
        <w:tc>
          <w:tcPr>
            <w:tcW w:w="6662" w:type="dxa"/>
          </w:tcPr>
          <w:p w:rsidR="00CD34AE" w:rsidRPr="00567FCA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567FCA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67FC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567FCA">
              <w:rPr>
                <w:rFonts w:cstheme="minorHAnsi"/>
                <w:b/>
                <w:bCs/>
              </w:rPr>
              <w:t xml:space="preserve"> </w:t>
            </w:r>
            <w:r w:rsidR="000A004A" w:rsidRPr="00567FCA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567FCA" w:rsidTr="00CD34AE">
        <w:trPr>
          <w:trHeight w:val="850"/>
        </w:trPr>
        <w:tc>
          <w:tcPr>
            <w:tcW w:w="9923" w:type="dxa"/>
            <w:gridSpan w:val="2"/>
          </w:tcPr>
          <w:p w:rsidR="00CD34AE" w:rsidRPr="00567FCA" w:rsidRDefault="000A004A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567FCA">
              <w:t>Директор Бюро развития электросвязи</w:t>
            </w:r>
          </w:p>
        </w:tc>
      </w:tr>
      <w:tr w:rsidR="00CD34AE" w:rsidRPr="00567FCA" w:rsidTr="00270876">
        <w:tc>
          <w:tcPr>
            <w:tcW w:w="9923" w:type="dxa"/>
            <w:gridSpan w:val="2"/>
          </w:tcPr>
          <w:p w:rsidR="00CD34AE" w:rsidRPr="00567FCA" w:rsidRDefault="00B3038C" w:rsidP="00ED5705">
            <w:pPr>
              <w:pStyle w:val="Title1"/>
            </w:pPr>
            <w:bookmarkStart w:id="5" w:name="Title"/>
            <w:bookmarkStart w:id="6" w:name="lt_pId018"/>
            <w:bookmarkEnd w:id="5"/>
            <w:r w:rsidRPr="00567FCA">
              <w:t>результаты 20-</w:t>
            </w:r>
            <w:r w:rsidR="00567FCA" w:rsidRPr="00567FCA">
              <w:rPr>
                <w:caps w:val="0"/>
              </w:rPr>
              <w:t>й</w:t>
            </w:r>
            <w:r w:rsidRPr="00567FCA">
              <w:t xml:space="preserve"> полномочной конференции </w:t>
            </w:r>
            <w:r w:rsidR="000A004A" w:rsidRPr="00567FCA">
              <w:t>2018</w:t>
            </w:r>
            <w:bookmarkEnd w:id="6"/>
            <w:r w:rsidRPr="00567FCA">
              <w:t> года,</w:t>
            </w:r>
            <w:r w:rsidR="00567FCA" w:rsidRPr="00567FCA">
              <w:t xml:space="preserve"> </w:t>
            </w:r>
            <w:r w:rsidR="000A004A" w:rsidRPr="00567FCA">
              <w:br/>
            </w:r>
            <w:bookmarkStart w:id="7" w:name="lt_pId019"/>
            <w:r w:rsidR="00ED5705" w:rsidRPr="00567FCA">
              <w:t>влияющие</w:t>
            </w:r>
            <w:r w:rsidRPr="00567FCA">
              <w:t xml:space="preserve"> на работу мсэ</w:t>
            </w:r>
            <w:r w:rsidR="000A004A" w:rsidRPr="00567FCA">
              <w:t>-D</w:t>
            </w:r>
            <w:bookmarkEnd w:id="7"/>
          </w:p>
        </w:tc>
      </w:tr>
      <w:tr w:rsidR="00CD34AE" w:rsidRPr="00567FCA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567FCA" w:rsidRDefault="00CD34AE" w:rsidP="00CD34AE"/>
        </w:tc>
      </w:tr>
      <w:tr w:rsidR="00CD34AE" w:rsidRPr="00567FCA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567FCA" w:rsidRDefault="00CD34AE" w:rsidP="00CD34AE">
            <w:pPr>
              <w:spacing w:before="240"/>
              <w:rPr>
                <w:b/>
                <w:bCs/>
              </w:rPr>
            </w:pPr>
            <w:r w:rsidRPr="00567FCA">
              <w:rPr>
                <w:b/>
                <w:bCs/>
              </w:rPr>
              <w:t>Резюме</w:t>
            </w:r>
          </w:p>
          <w:p w:rsidR="00CD34AE" w:rsidRPr="00567FCA" w:rsidRDefault="00B3038C" w:rsidP="00B3038C">
            <w:pPr>
              <w:rPr>
                <w:b/>
                <w:bCs/>
              </w:rPr>
            </w:pPr>
            <w:bookmarkStart w:id="8" w:name="lt_pId021"/>
            <w:r w:rsidRPr="00567FCA">
              <w:rPr>
                <w:szCs w:val="24"/>
              </w:rPr>
              <w:t>В настоящем документе представлен краткий обзор основных результатов 20-й Полномочной конференции</w:t>
            </w:r>
            <w:r w:rsidR="000A004A" w:rsidRPr="00567FCA">
              <w:rPr>
                <w:szCs w:val="24"/>
              </w:rPr>
              <w:t xml:space="preserve"> 2018</w:t>
            </w:r>
            <w:r w:rsidRPr="00567FCA">
              <w:rPr>
                <w:szCs w:val="24"/>
              </w:rPr>
              <w:t> года, которые влияют на работу МСЭ</w:t>
            </w:r>
            <w:r w:rsidR="000A004A" w:rsidRPr="00567FCA">
              <w:rPr>
                <w:szCs w:val="24"/>
              </w:rPr>
              <w:t>-D.</w:t>
            </w:r>
            <w:bookmarkEnd w:id="8"/>
          </w:p>
          <w:p w:rsidR="00CD34AE" w:rsidRPr="00567FCA" w:rsidRDefault="00CD34AE" w:rsidP="00CD34AE">
            <w:pPr>
              <w:rPr>
                <w:b/>
                <w:bCs/>
              </w:rPr>
            </w:pPr>
            <w:r w:rsidRPr="00567FCA">
              <w:rPr>
                <w:b/>
                <w:bCs/>
              </w:rPr>
              <w:t>Необходимые действия</w:t>
            </w:r>
          </w:p>
          <w:p w:rsidR="00CD34AE" w:rsidRPr="00567FCA" w:rsidRDefault="000A004A" w:rsidP="00CD34AE">
            <w:pPr>
              <w:rPr>
                <w:b/>
                <w:bCs/>
              </w:rPr>
            </w:pPr>
            <w:r w:rsidRPr="00567FCA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  <w:p w:rsidR="00CD34AE" w:rsidRPr="00567FCA" w:rsidRDefault="00CD34AE" w:rsidP="00CD34AE">
            <w:pPr>
              <w:rPr>
                <w:b/>
                <w:bCs/>
              </w:rPr>
            </w:pPr>
            <w:r w:rsidRPr="00567FCA">
              <w:rPr>
                <w:b/>
                <w:bCs/>
              </w:rPr>
              <w:t>Справочные материалы</w:t>
            </w:r>
          </w:p>
          <w:p w:rsidR="00CD34AE" w:rsidRPr="00567FCA" w:rsidRDefault="00D01001" w:rsidP="000A004A">
            <w:pPr>
              <w:spacing w:after="120"/>
              <w:rPr>
                <w:b/>
                <w:bCs/>
              </w:rPr>
            </w:pPr>
            <w:hyperlink r:id="rId9" w:history="1">
              <w:r w:rsidR="000A004A" w:rsidRPr="00567FCA">
                <w:rPr>
                  <w:rStyle w:val="Hyperlink"/>
                </w:rPr>
                <w:t>Заключительные акты Полномочной конференции, Дубай, 2018 год</w:t>
              </w:r>
            </w:hyperlink>
          </w:p>
        </w:tc>
      </w:tr>
    </w:tbl>
    <w:p w:rsidR="000A004A" w:rsidRPr="00567FCA" w:rsidRDefault="000A00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567FCA">
        <w:br w:type="page"/>
      </w:r>
    </w:p>
    <w:p w:rsidR="000A004A" w:rsidRPr="00567FCA" w:rsidRDefault="00554D3C" w:rsidP="00ED5705">
      <w:bookmarkStart w:id="9" w:name="lt_pId026"/>
      <w:r w:rsidRPr="00567FCA">
        <w:rPr>
          <w:rFonts w:asciiTheme="minorHAnsi" w:eastAsiaTheme="minorEastAsia" w:hAnsiTheme="minorHAnsi" w:cstheme="minorHAnsi"/>
          <w:lang w:eastAsia="zh-CN"/>
        </w:rPr>
        <w:lastRenderedPageBreak/>
        <w:t>20</w:t>
      </w:r>
      <w:r w:rsidRPr="00567FCA">
        <w:rPr>
          <w:rFonts w:asciiTheme="minorHAnsi" w:eastAsiaTheme="minorEastAsia" w:hAnsiTheme="minorHAnsi" w:cstheme="minorHAnsi"/>
          <w:lang w:eastAsia="zh-CN"/>
        </w:rPr>
        <w:noBreakHyphen/>
        <w:t>я Полномочная конференция МСЭ</w:t>
      </w:r>
      <w:r w:rsidRPr="00567FCA">
        <w:t xml:space="preserve"> </w:t>
      </w:r>
      <w:r w:rsidR="000F429B" w:rsidRPr="00567FCA">
        <w:t>проходила</w:t>
      </w:r>
      <w:r w:rsidR="00CB2E3A" w:rsidRPr="00567FCA">
        <w:t xml:space="preserve"> в Дубае с 29</w:t>
      </w:r>
      <w:r w:rsidR="00ED5705" w:rsidRPr="00567FCA">
        <w:t> </w:t>
      </w:r>
      <w:r w:rsidR="00CB2E3A" w:rsidRPr="00567FCA">
        <w:t>октября по 16</w:t>
      </w:r>
      <w:r w:rsidR="00ED5705" w:rsidRPr="00567FCA">
        <w:t> </w:t>
      </w:r>
      <w:r w:rsidR="00CB2E3A" w:rsidRPr="00567FCA">
        <w:t>ноября 2018</w:t>
      </w:r>
      <w:r w:rsidR="00ED5705" w:rsidRPr="00567FCA">
        <w:t> </w:t>
      </w:r>
      <w:r w:rsidR="00CB2E3A" w:rsidRPr="00567FCA">
        <w:t>года</w:t>
      </w:r>
      <w:r w:rsidR="000A004A" w:rsidRPr="00567FCA">
        <w:t>.</w:t>
      </w:r>
      <w:bookmarkEnd w:id="9"/>
      <w:r w:rsidR="000A004A" w:rsidRPr="00567FCA">
        <w:t xml:space="preserve"> </w:t>
      </w:r>
      <w:bookmarkStart w:id="10" w:name="lt_pId027"/>
      <w:r w:rsidR="000F429B" w:rsidRPr="00567FCA">
        <w:t xml:space="preserve">Конференция, которую принимали Объединенные Арабские Эмираты, собрала более </w:t>
      </w:r>
      <w:r w:rsidR="00CB2E3A" w:rsidRPr="00567FCA">
        <w:t>2</w:t>
      </w:r>
      <w:r w:rsidR="000A004A" w:rsidRPr="00567FCA">
        <w:t>300 </w:t>
      </w:r>
      <w:r w:rsidR="000F429B" w:rsidRPr="00567FCA">
        <w:t xml:space="preserve">участников из </w:t>
      </w:r>
      <w:r w:rsidR="000A004A" w:rsidRPr="00567FCA">
        <w:t>180 </w:t>
      </w:r>
      <w:r w:rsidR="000F429B" w:rsidRPr="00567FCA">
        <w:t xml:space="preserve">стран, по сравнению со </w:t>
      </w:r>
      <w:r w:rsidR="000A004A" w:rsidRPr="00567FCA">
        <w:t>171 </w:t>
      </w:r>
      <w:r w:rsidR="000F429B" w:rsidRPr="00567FCA">
        <w:t>страной в</w:t>
      </w:r>
      <w:r w:rsidR="000A004A" w:rsidRPr="00567FCA">
        <w:t xml:space="preserve"> 2014</w:t>
      </w:r>
      <w:r w:rsidR="000F429B" w:rsidRPr="00567FCA">
        <w:t> году</w:t>
      </w:r>
      <w:r w:rsidR="000A004A" w:rsidRPr="00567FCA">
        <w:t>.</w:t>
      </w:r>
      <w:bookmarkEnd w:id="10"/>
    </w:p>
    <w:p w:rsidR="00554D3C" w:rsidRPr="00567FCA" w:rsidRDefault="00554D3C" w:rsidP="000F429B">
      <w:pPr>
        <w:rPr>
          <w:rFonts w:asciiTheme="minorHAnsi" w:eastAsiaTheme="minorEastAsia" w:hAnsiTheme="minorHAnsi" w:cstheme="minorHAnsi"/>
          <w:lang w:eastAsia="zh-CN"/>
        </w:rPr>
      </w:pPr>
      <w:bookmarkStart w:id="11" w:name="lt_pId028"/>
      <w:r w:rsidRPr="00567FCA">
        <w:rPr>
          <w:rFonts w:asciiTheme="minorHAnsi" w:eastAsiaTheme="minorEastAsia" w:hAnsiTheme="minorHAnsi" w:cstheme="minorHAnsi"/>
          <w:lang w:eastAsia="zh-CN"/>
        </w:rPr>
        <w:t xml:space="preserve">Государства-Члены подписали Заключительные акты и </w:t>
      </w:r>
      <w:r w:rsidR="000F429B" w:rsidRPr="00567FCA">
        <w:rPr>
          <w:rFonts w:asciiTheme="minorHAnsi" w:eastAsiaTheme="minorEastAsia" w:hAnsiTheme="minorHAnsi" w:cstheme="minorHAnsi"/>
          <w:lang w:eastAsia="zh-CN"/>
        </w:rPr>
        <w:t>подтвердили</w:t>
      </w:r>
      <w:r w:rsidRPr="00567FCA">
        <w:rPr>
          <w:rFonts w:asciiTheme="minorHAnsi" w:eastAsiaTheme="minorEastAsia" w:hAnsiTheme="minorHAnsi" w:cstheme="minorHAnsi"/>
          <w:lang w:eastAsia="zh-CN"/>
        </w:rPr>
        <w:t xml:space="preserve"> сво</w:t>
      </w:r>
      <w:r w:rsidR="000F429B" w:rsidRPr="00567FCA">
        <w:rPr>
          <w:rFonts w:asciiTheme="minorHAnsi" w:eastAsiaTheme="minorEastAsia" w:hAnsiTheme="minorHAnsi" w:cstheme="minorHAnsi"/>
          <w:lang w:eastAsia="zh-CN"/>
        </w:rPr>
        <w:t>ю</w:t>
      </w:r>
      <w:r w:rsidRPr="00567FCA">
        <w:rPr>
          <w:rFonts w:asciiTheme="minorHAnsi" w:eastAsiaTheme="minorEastAsia" w:hAnsiTheme="minorHAnsi" w:cstheme="minorHAnsi"/>
          <w:lang w:eastAsia="zh-CN"/>
        </w:rPr>
        <w:t xml:space="preserve"> приверженност</w:t>
      </w:r>
      <w:r w:rsidR="000F429B" w:rsidRPr="00567FCA">
        <w:rPr>
          <w:rFonts w:asciiTheme="minorHAnsi" w:eastAsiaTheme="minorEastAsia" w:hAnsiTheme="minorHAnsi" w:cstheme="minorHAnsi"/>
          <w:lang w:eastAsia="zh-CN"/>
        </w:rPr>
        <w:t>ь</w:t>
      </w:r>
      <w:r w:rsidRPr="00567FCA">
        <w:rPr>
          <w:rFonts w:asciiTheme="minorHAnsi" w:eastAsiaTheme="minorEastAsia" w:hAnsiTheme="minorHAnsi" w:cstheme="minorHAnsi"/>
          <w:lang w:eastAsia="zh-CN"/>
        </w:rPr>
        <w:t xml:space="preserve"> общей концепции соединенного мира, в котором информационно-коммуникационные технологии (ИКТ) являются источником благ</w:t>
      </w:r>
      <w:r w:rsidR="00B50DD1" w:rsidRPr="00567FCA">
        <w:rPr>
          <w:rFonts w:asciiTheme="minorHAnsi" w:eastAsiaTheme="minorEastAsia" w:hAnsiTheme="minorHAnsi" w:cstheme="minorHAnsi"/>
          <w:lang w:eastAsia="zh-CN"/>
        </w:rPr>
        <w:t>а</w:t>
      </w:r>
      <w:r w:rsidRPr="00567FCA">
        <w:rPr>
          <w:rFonts w:asciiTheme="minorHAnsi" w:eastAsiaTheme="minorEastAsia" w:hAnsiTheme="minorHAnsi" w:cstheme="minorHAnsi"/>
          <w:lang w:eastAsia="zh-CN"/>
        </w:rPr>
        <w:t xml:space="preserve"> для всех</w:t>
      </w:r>
      <w:r w:rsidR="000F429B" w:rsidRPr="00567FCA">
        <w:rPr>
          <w:rFonts w:asciiTheme="minorHAnsi" w:eastAsiaTheme="minorEastAsia" w:hAnsiTheme="minorHAnsi" w:cstheme="minorHAnsi"/>
          <w:lang w:eastAsia="zh-CN"/>
        </w:rPr>
        <w:t xml:space="preserve"> и</w:t>
      </w:r>
      <w:r w:rsidRPr="00567FCA">
        <w:rPr>
          <w:rFonts w:asciiTheme="minorHAnsi" w:eastAsiaTheme="minorEastAsia" w:hAnsiTheme="minorHAnsi" w:cstheme="minorHAnsi"/>
          <w:lang w:eastAsia="zh-CN"/>
        </w:rPr>
        <w:t xml:space="preserve"> повсюду.</w:t>
      </w:r>
    </w:p>
    <w:p w:rsidR="00554D3C" w:rsidRPr="00567FCA" w:rsidRDefault="00554D3C" w:rsidP="00B50DD1">
      <w:bookmarkStart w:id="12" w:name="lt_pId029"/>
      <w:bookmarkEnd w:id="11"/>
      <w:r w:rsidRPr="00567FCA">
        <w:rPr>
          <w:rFonts w:eastAsiaTheme="minorEastAsia" w:cs="Calibri"/>
          <w:color w:val="000000" w:themeColor="text1"/>
          <w:lang w:eastAsia="en-ZA"/>
        </w:rPr>
        <w:t>Государства-Члены утвер</w:t>
      </w:r>
      <w:r w:rsidR="000F429B" w:rsidRPr="00567FCA">
        <w:rPr>
          <w:rFonts w:eastAsiaTheme="minorEastAsia" w:cs="Calibri"/>
          <w:color w:val="000000" w:themeColor="text1"/>
          <w:lang w:eastAsia="en-ZA"/>
        </w:rPr>
        <w:t>дили</w:t>
      </w:r>
      <w:r w:rsidRPr="00567FCA">
        <w:rPr>
          <w:rFonts w:eastAsiaTheme="minorEastAsia" w:cs="Calibri"/>
          <w:color w:val="000000" w:themeColor="text1"/>
          <w:lang w:eastAsia="en-ZA"/>
        </w:rPr>
        <w:t xml:space="preserve"> четырехгодичны</w:t>
      </w:r>
      <w:r w:rsidR="000F429B" w:rsidRPr="00567FCA">
        <w:rPr>
          <w:rFonts w:eastAsiaTheme="minorEastAsia" w:cs="Calibri"/>
          <w:color w:val="000000" w:themeColor="text1"/>
          <w:lang w:eastAsia="en-ZA"/>
        </w:rPr>
        <w:t>й</w:t>
      </w:r>
      <w:r w:rsidRPr="00567FCA">
        <w:rPr>
          <w:rFonts w:eastAsiaTheme="minorEastAsia" w:cs="Calibri"/>
          <w:color w:val="000000" w:themeColor="text1"/>
          <w:lang w:eastAsia="en-ZA"/>
        </w:rPr>
        <w:t xml:space="preserve"> Стратегический и Финансовый планы</w:t>
      </w:r>
      <w:r w:rsidRPr="00567FCA">
        <w:t xml:space="preserve"> и</w:t>
      </w:r>
      <w:r w:rsidR="000A004A" w:rsidRPr="00567FCA">
        <w:t xml:space="preserve"> </w:t>
      </w:r>
      <w:r w:rsidR="000F429B" w:rsidRPr="00567FCA">
        <w:t xml:space="preserve">ряд новых и пересмотренных Резолюций, Решений и Рекомендаций, которые составляют для Союза руководство по использованию новых технологий </w:t>
      </w:r>
      <w:r w:rsidR="00B50DD1" w:rsidRPr="00567FCA">
        <w:rPr>
          <w:color w:val="000000"/>
        </w:rPr>
        <w:t>в интересах</w:t>
      </w:r>
      <w:r w:rsidR="000F429B" w:rsidRPr="00567FCA">
        <w:rPr>
          <w:color w:val="000000"/>
        </w:rPr>
        <w:t xml:space="preserve"> человечества</w:t>
      </w:r>
      <w:r w:rsidR="000A004A" w:rsidRPr="00567FCA">
        <w:t>.</w:t>
      </w:r>
      <w:bookmarkEnd w:id="12"/>
    </w:p>
    <w:p w:rsidR="000A004A" w:rsidRPr="00567FCA" w:rsidRDefault="000F429B" w:rsidP="000F429B">
      <w:bookmarkStart w:id="13" w:name="lt_pId030"/>
      <w:r w:rsidRPr="00567FCA">
        <w:t>Ниже кратко представлены наиболее важные решения Полномочной конференции для будущей работы МСЭ</w:t>
      </w:r>
      <w:r w:rsidR="000A004A" w:rsidRPr="00567FCA">
        <w:t>-D.</w:t>
      </w:r>
      <w:bookmarkEnd w:id="13"/>
      <w:r w:rsidR="000A004A" w:rsidRPr="00567FCA">
        <w:t xml:space="preserve"> </w:t>
      </w:r>
    </w:p>
    <w:p w:rsidR="000A004A" w:rsidRPr="00567FCA" w:rsidRDefault="00E90F77" w:rsidP="008F5A1B">
      <w:pPr>
        <w:keepNext/>
        <w:spacing w:after="120"/>
      </w:pPr>
      <w:bookmarkStart w:id="14" w:name="lt_pId031"/>
      <w:r w:rsidRPr="00567FCA">
        <w:rPr>
          <w:b/>
          <w:bCs/>
        </w:rPr>
        <w:t>Резолюция</w:t>
      </w:r>
      <w:r w:rsidR="000A004A" w:rsidRPr="00567FCA">
        <w:rPr>
          <w:b/>
          <w:bCs/>
        </w:rPr>
        <w:t xml:space="preserve"> 71 (</w:t>
      </w:r>
      <w:r w:rsidRPr="00567FCA">
        <w:rPr>
          <w:b/>
          <w:bCs/>
        </w:rPr>
        <w:t>Пересм. Дубай, 2018 г.</w:t>
      </w:r>
      <w:r w:rsidR="000A004A" w:rsidRPr="00567FCA">
        <w:rPr>
          <w:b/>
          <w:bCs/>
        </w:rPr>
        <w:t xml:space="preserve">) </w:t>
      </w:r>
      <w:r w:rsidRPr="00567FCA">
        <w:rPr>
          <w:b/>
          <w:bCs/>
        </w:rPr>
        <w:t>−</w:t>
      </w:r>
      <w:r w:rsidR="000A004A" w:rsidRPr="00567FCA">
        <w:rPr>
          <w:b/>
          <w:bCs/>
        </w:rPr>
        <w:t xml:space="preserve"> </w:t>
      </w:r>
      <w:r w:rsidR="00714DE0" w:rsidRPr="00567FCA">
        <w:rPr>
          <w:b/>
          <w:bCs/>
        </w:rPr>
        <w:t>Стратегический план Союза на 2020–2023 годы</w:t>
      </w:r>
      <w:r w:rsidR="0027791A" w:rsidRPr="00567FCA">
        <w:t>, в которой определены, в том числе, следующие ключевые элементы</w:t>
      </w:r>
      <w:r w:rsidR="000A004A" w:rsidRPr="00567FCA">
        <w:t>:</w:t>
      </w:r>
      <w:bookmarkEnd w:id="14"/>
    </w:p>
    <w:p w:rsidR="000A004A" w:rsidRPr="00567FCA" w:rsidRDefault="000A004A" w:rsidP="00B50DD1">
      <w:pPr>
        <w:pStyle w:val="enumlev1"/>
      </w:pPr>
      <w:bookmarkStart w:id="15" w:name="lt_pId032"/>
      <w:r w:rsidRPr="00567FCA">
        <w:t>−</w:t>
      </w:r>
      <w:r w:rsidRPr="00567FCA">
        <w:tab/>
      </w:r>
      <w:r w:rsidR="00B50DD1" w:rsidRPr="00567FCA">
        <w:t>концепция</w:t>
      </w:r>
      <w:r w:rsidRPr="00567FCA">
        <w:t xml:space="preserve">, </w:t>
      </w:r>
      <w:r w:rsidR="00B50DD1" w:rsidRPr="00567FCA">
        <w:t>миссия</w:t>
      </w:r>
      <w:r w:rsidRPr="00567FCA">
        <w:t xml:space="preserve">, </w:t>
      </w:r>
      <w:r w:rsidR="00B50DD1" w:rsidRPr="00567FCA">
        <w:t>ценности и пять стратегических целей Союза</w:t>
      </w:r>
      <w:r w:rsidRPr="00567FCA">
        <w:t>;</w:t>
      </w:r>
      <w:bookmarkEnd w:id="15"/>
    </w:p>
    <w:p w:rsidR="000A004A" w:rsidRPr="00567FCA" w:rsidRDefault="000A004A" w:rsidP="00B50DD1">
      <w:pPr>
        <w:pStyle w:val="enumlev1"/>
      </w:pPr>
      <w:bookmarkStart w:id="16" w:name="lt_pId033"/>
      <w:r w:rsidRPr="00567FCA">
        <w:t>−</w:t>
      </w:r>
      <w:r w:rsidRPr="00567FCA">
        <w:tab/>
      </w:r>
      <w:r w:rsidR="00B50DD1" w:rsidRPr="00567FCA">
        <w:t>комплекс общих целевых показателей</w:t>
      </w:r>
      <w:r w:rsidRPr="00567FCA">
        <w:t>;</w:t>
      </w:r>
      <w:bookmarkEnd w:id="16"/>
    </w:p>
    <w:p w:rsidR="000A004A" w:rsidRPr="00567FCA" w:rsidRDefault="000A004A" w:rsidP="00B50DD1">
      <w:pPr>
        <w:pStyle w:val="enumlev1"/>
      </w:pPr>
      <w:bookmarkStart w:id="17" w:name="lt_pId034"/>
      <w:r w:rsidRPr="00567FCA">
        <w:t>−</w:t>
      </w:r>
      <w:r w:rsidRPr="00567FCA">
        <w:tab/>
      </w:r>
      <w:r w:rsidR="00B50DD1" w:rsidRPr="00567FCA">
        <w:t>структура результатов деятельности МСЭ</w:t>
      </w:r>
      <w:r w:rsidRPr="00567FCA">
        <w:t xml:space="preserve">, </w:t>
      </w:r>
      <w:r w:rsidR="00B50DD1" w:rsidRPr="00567FCA">
        <w:t>включая четыре задачи МСЭ</w:t>
      </w:r>
      <w:r w:rsidRPr="00567FCA">
        <w:t>-D</w:t>
      </w:r>
      <w:r w:rsidR="00B50DD1" w:rsidRPr="00567FCA">
        <w:t>, принятые ВКРЭ-17</w:t>
      </w:r>
      <w:r w:rsidRPr="00567FCA">
        <w:t>;</w:t>
      </w:r>
      <w:bookmarkEnd w:id="17"/>
    </w:p>
    <w:p w:rsidR="000A004A" w:rsidRPr="00567FCA" w:rsidRDefault="000A004A" w:rsidP="000E7733">
      <w:pPr>
        <w:pStyle w:val="enumlev1"/>
      </w:pPr>
      <w:bookmarkStart w:id="18" w:name="lt_pId035"/>
      <w:r w:rsidRPr="00567FCA">
        <w:t>−</w:t>
      </w:r>
      <w:r w:rsidRPr="00567FCA">
        <w:tab/>
      </w:r>
      <w:r w:rsidR="00B50DD1" w:rsidRPr="00567FCA">
        <w:t>увязка с</w:t>
      </w:r>
      <w:r w:rsidR="000E7733" w:rsidRPr="00567FCA">
        <w:t xml:space="preserve"> Повесткой дня в области устойчивого развития на период до 2030 года и ЦУР</w:t>
      </w:r>
      <w:r w:rsidRPr="00567FCA">
        <w:t>;</w:t>
      </w:r>
      <w:bookmarkEnd w:id="18"/>
    </w:p>
    <w:p w:rsidR="000A004A" w:rsidRPr="00567FCA" w:rsidRDefault="000A004A" w:rsidP="000E7733">
      <w:pPr>
        <w:pStyle w:val="enumlev1"/>
      </w:pPr>
      <w:bookmarkStart w:id="19" w:name="lt_pId036"/>
      <w:r w:rsidRPr="00567FCA">
        <w:t>−</w:t>
      </w:r>
      <w:r w:rsidRPr="00567FCA">
        <w:tab/>
      </w:r>
      <w:r w:rsidR="000E7733" w:rsidRPr="00567FCA">
        <w:t>увязка с финансовым планом, включая распределение ресурсов по целям, задачам и конечным результатам</w:t>
      </w:r>
      <w:r w:rsidRPr="00567FCA">
        <w:t>.</w:t>
      </w:r>
      <w:bookmarkEnd w:id="19"/>
    </w:p>
    <w:p w:rsidR="000A004A" w:rsidRPr="00567FCA" w:rsidRDefault="00714DE0" w:rsidP="008F5A1B">
      <w:pPr>
        <w:keepNext/>
        <w:spacing w:after="120"/>
      </w:pPr>
      <w:bookmarkStart w:id="20" w:name="lt_pId037"/>
      <w:r w:rsidRPr="00567FCA">
        <w:rPr>
          <w:b/>
          <w:bCs/>
        </w:rPr>
        <w:t>Решение</w:t>
      </w:r>
      <w:r w:rsidR="00E90F77" w:rsidRPr="00567FCA">
        <w:rPr>
          <w:b/>
          <w:bCs/>
        </w:rPr>
        <w:t xml:space="preserve"> </w:t>
      </w:r>
      <w:r w:rsidR="000A004A" w:rsidRPr="00567FCA">
        <w:rPr>
          <w:b/>
          <w:bCs/>
        </w:rPr>
        <w:t>5 (</w:t>
      </w:r>
      <w:r w:rsidR="00E90F77" w:rsidRPr="00567FCA">
        <w:rPr>
          <w:b/>
          <w:bCs/>
        </w:rPr>
        <w:t>Пересм. Дубай, 2018 г.</w:t>
      </w:r>
      <w:r w:rsidR="000A004A" w:rsidRPr="00567FCA">
        <w:rPr>
          <w:b/>
          <w:bCs/>
        </w:rPr>
        <w:t xml:space="preserve">) </w:t>
      </w:r>
      <w:r w:rsidR="00E90F77" w:rsidRPr="00567FCA">
        <w:rPr>
          <w:b/>
          <w:bCs/>
        </w:rPr>
        <w:t>−</w:t>
      </w:r>
      <w:r w:rsidR="000A004A" w:rsidRPr="00567FCA">
        <w:rPr>
          <w:b/>
          <w:bCs/>
        </w:rPr>
        <w:t xml:space="preserve"> </w:t>
      </w:r>
      <w:r w:rsidRPr="00567FCA">
        <w:rPr>
          <w:b/>
          <w:bCs/>
        </w:rPr>
        <w:t>Доходы и расходы Союза на период 2020−2023 годов</w:t>
      </w:r>
      <w:r w:rsidR="0027791A" w:rsidRPr="00567FCA">
        <w:t>, в котором определены, в том числе, следующие ключевые элементы</w:t>
      </w:r>
      <w:r w:rsidR="000A004A" w:rsidRPr="00567FCA">
        <w:t>:</w:t>
      </w:r>
      <w:bookmarkEnd w:id="20"/>
    </w:p>
    <w:p w:rsidR="000A004A" w:rsidRPr="00567FCA" w:rsidRDefault="000A004A" w:rsidP="00714DE0">
      <w:pPr>
        <w:pStyle w:val="enumlev1"/>
      </w:pPr>
      <w:bookmarkStart w:id="21" w:name="lt_pId038"/>
      <w:r w:rsidRPr="00567FCA">
        <w:t>−</w:t>
      </w:r>
      <w:r w:rsidRPr="00567FCA">
        <w:tab/>
      </w:r>
      <w:r w:rsidR="00714DE0" w:rsidRPr="00567FCA">
        <w:t xml:space="preserve">Финансовый план Союза на 2020–2023 годы: доходы и расходы </w:t>
      </w:r>
      <w:r w:rsidRPr="00567FCA">
        <w:t>(</w:t>
      </w:r>
      <w:r w:rsidR="00714DE0" w:rsidRPr="00567FCA">
        <w:t>Приложение</w:t>
      </w:r>
      <w:r w:rsidRPr="00567FCA">
        <w:t xml:space="preserve"> 1 </w:t>
      </w:r>
      <w:r w:rsidR="00714DE0" w:rsidRPr="00567FCA">
        <w:t>к Решению </w:t>
      </w:r>
      <w:r w:rsidRPr="00567FCA">
        <w:t>5);</w:t>
      </w:r>
      <w:bookmarkEnd w:id="21"/>
    </w:p>
    <w:p w:rsidR="000A004A" w:rsidRPr="00567FCA" w:rsidRDefault="000A004A" w:rsidP="0027791A">
      <w:pPr>
        <w:pStyle w:val="enumlev1"/>
      </w:pPr>
      <w:bookmarkStart w:id="22" w:name="lt_pId039"/>
      <w:r w:rsidRPr="00567FCA">
        <w:t>−</w:t>
      </w:r>
      <w:r w:rsidRPr="00567FCA">
        <w:tab/>
      </w:r>
      <w:r w:rsidR="0027791A" w:rsidRPr="00567FCA">
        <w:t>м</w:t>
      </w:r>
      <w:r w:rsidR="00554D3C" w:rsidRPr="00567FCA">
        <w:t xml:space="preserve">еры, направленные на повышение эффективности деятельности и сокращение расходов МСЭ </w:t>
      </w:r>
      <w:r w:rsidRPr="00567FCA">
        <w:t>(</w:t>
      </w:r>
      <w:r w:rsidR="00554D3C" w:rsidRPr="00567FCA">
        <w:t>Приложение 2 к Решению 5</w:t>
      </w:r>
      <w:r w:rsidRPr="00567FCA">
        <w:t>);</w:t>
      </w:r>
      <w:bookmarkEnd w:id="22"/>
    </w:p>
    <w:p w:rsidR="000A004A" w:rsidRPr="00567FCA" w:rsidRDefault="000A004A" w:rsidP="00ED5705">
      <w:pPr>
        <w:pStyle w:val="enumlev1"/>
      </w:pPr>
      <w:bookmarkStart w:id="23" w:name="lt_pId040"/>
      <w:r w:rsidRPr="00567FCA">
        <w:t>−</w:t>
      </w:r>
      <w:r w:rsidRPr="00567FCA">
        <w:tab/>
      </w:r>
      <w:r w:rsidR="001359E6" w:rsidRPr="00567FCA">
        <w:rPr>
          <w:color w:val="000000"/>
        </w:rPr>
        <w:t xml:space="preserve">общие запланированные </w:t>
      </w:r>
      <w:r w:rsidR="00ED5705" w:rsidRPr="00567FCA">
        <w:rPr>
          <w:color w:val="000000"/>
        </w:rPr>
        <w:t xml:space="preserve">расходы </w:t>
      </w:r>
      <w:r w:rsidR="001359E6" w:rsidRPr="00567FCA">
        <w:rPr>
          <w:color w:val="000000"/>
        </w:rPr>
        <w:t>составляют 660,3 млн. швейцарских франков, и они компенсируются прогнозируемыми доходами в сумме 660,3 млн. швейцарских франков, то есть финансовый план является сбалансированным</w:t>
      </w:r>
      <w:r w:rsidR="001359E6" w:rsidRPr="00567FCA">
        <w:t xml:space="preserve"> без использования Резервного счета</w:t>
      </w:r>
      <w:r w:rsidRPr="00567FCA">
        <w:t>;</w:t>
      </w:r>
      <w:bookmarkEnd w:id="23"/>
    </w:p>
    <w:p w:rsidR="000A004A" w:rsidRPr="00567FCA" w:rsidRDefault="000A004A" w:rsidP="00ED5705">
      <w:pPr>
        <w:pStyle w:val="enumlev1"/>
      </w:pPr>
      <w:bookmarkStart w:id="24" w:name="lt_pId041"/>
      <w:r w:rsidRPr="00567FCA">
        <w:t>−</w:t>
      </w:r>
      <w:r w:rsidRPr="00567FCA">
        <w:tab/>
      </w:r>
      <w:r w:rsidR="001359E6" w:rsidRPr="00567FCA">
        <w:t xml:space="preserve">финансовый план БРЭ составляет </w:t>
      </w:r>
      <w:r w:rsidRPr="00567FCA">
        <w:t>60</w:t>
      </w:r>
      <w:r w:rsidR="001359E6" w:rsidRPr="00567FCA">
        <w:t>,</w:t>
      </w:r>
      <w:r w:rsidRPr="00567FCA">
        <w:t>3</w:t>
      </w:r>
      <w:r w:rsidR="00510D86" w:rsidRPr="00567FCA">
        <w:rPr>
          <w:color w:val="000000"/>
        </w:rPr>
        <w:t> млн. швейцарских франков</w:t>
      </w:r>
      <w:r w:rsidRPr="00567FCA">
        <w:t xml:space="preserve"> </w:t>
      </w:r>
      <w:r w:rsidR="00510D86" w:rsidRPr="00567FCA">
        <w:t xml:space="preserve">на </w:t>
      </w:r>
      <w:r w:rsidRPr="00567FCA">
        <w:t>2020</w:t>
      </w:r>
      <w:r w:rsidR="00510D86" w:rsidRPr="00567FCA">
        <w:t>–</w:t>
      </w:r>
      <w:r w:rsidRPr="00567FCA">
        <w:t>2021</w:t>
      </w:r>
      <w:r w:rsidR="00510D86" w:rsidRPr="00567FCA">
        <w:t> год</w:t>
      </w:r>
      <w:r w:rsidR="00ED5705" w:rsidRPr="00567FCA">
        <w:t>ы</w:t>
      </w:r>
      <w:r w:rsidR="00510D86" w:rsidRPr="00567FCA">
        <w:t xml:space="preserve"> и</w:t>
      </w:r>
      <w:r w:rsidRPr="00567FCA">
        <w:t xml:space="preserve"> 55</w:t>
      </w:r>
      <w:r w:rsidR="00510D86" w:rsidRPr="00567FCA">
        <w:t>,</w:t>
      </w:r>
      <w:r w:rsidRPr="00567FCA">
        <w:t>7</w:t>
      </w:r>
      <w:r w:rsidR="00510D86" w:rsidRPr="00567FCA">
        <w:rPr>
          <w:color w:val="000000"/>
        </w:rPr>
        <w:t> млн. швейцарских франков</w:t>
      </w:r>
      <w:r w:rsidRPr="00567FCA">
        <w:t xml:space="preserve"> </w:t>
      </w:r>
      <w:r w:rsidR="00510D86" w:rsidRPr="00567FCA">
        <w:t>на</w:t>
      </w:r>
      <w:r w:rsidRPr="00567FCA">
        <w:t xml:space="preserve"> 2022</w:t>
      </w:r>
      <w:r w:rsidR="00510D86" w:rsidRPr="00567FCA">
        <w:t>—</w:t>
      </w:r>
      <w:r w:rsidRPr="00567FCA">
        <w:t>2023</w:t>
      </w:r>
      <w:r w:rsidR="00510D86" w:rsidRPr="00567FCA">
        <w:t> годы</w:t>
      </w:r>
      <w:r w:rsidRPr="00567FCA">
        <w:t>;</w:t>
      </w:r>
      <w:bookmarkEnd w:id="24"/>
    </w:p>
    <w:p w:rsidR="000A004A" w:rsidRPr="00567FCA" w:rsidRDefault="000A004A" w:rsidP="00ED5705">
      <w:pPr>
        <w:pStyle w:val="enumlev1"/>
      </w:pPr>
      <w:bookmarkStart w:id="25" w:name="lt_pId042"/>
      <w:r w:rsidRPr="00567FCA">
        <w:t>−</w:t>
      </w:r>
      <w:r w:rsidRPr="00567FCA">
        <w:tab/>
      </w:r>
      <w:r w:rsidR="00AF1634" w:rsidRPr="00567FCA">
        <w:t>в сумму на 2020—2021 </w:t>
      </w:r>
      <w:r w:rsidR="00ED5705" w:rsidRPr="00567FCA">
        <w:t>годы</w:t>
      </w:r>
      <w:r w:rsidR="00AF1634" w:rsidRPr="00567FCA">
        <w:t xml:space="preserve"> включен</w:t>
      </w:r>
      <w:r w:rsidR="00ED5705" w:rsidRPr="00567FCA">
        <w:t>ы</w:t>
      </w:r>
      <w:r w:rsidR="00AF1634" w:rsidRPr="00567FCA">
        <w:t xml:space="preserve"> </w:t>
      </w:r>
      <w:r w:rsidR="00ED5705" w:rsidRPr="00567FCA">
        <w:t>ассигнования</w:t>
      </w:r>
      <w:r w:rsidR="00AF1634" w:rsidRPr="00567FCA">
        <w:t xml:space="preserve"> в размере </w:t>
      </w:r>
      <w:r w:rsidRPr="00567FCA">
        <w:t>3</w:t>
      </w:r>
      <w:r w:rsidR="00AF1634" w:rsidRPr="00567FCA">
        <w:t xml:space="preserve"> млн. </w:t>
      </w:r>
      <w:r w:rsidR="00AF1634" w:rsidRPr="00567FCA">
        <w:rPr>
          <w:color w:val="000000"/>
        </w:rPr>
        <w:t>швейцарских франков</w:t>
      </w:r>
      <w:r w:rsidR="00AF1634" w:rsidRPr="00567FCA">
        <w:t xml:space="preserve"> для </w:t>
      </w:r>
      <w:r w:rsidR="00ED5705" w:rsidRPr="00567FCA">
        <w:t xml:space="preserve">выполнения </w:t>
      </w:r>
      <w:r w:rsidR="00AF1634" w:rsidRPr="00567FCA">
        <w:t>проектов в рамках региональных инициатив</w:t>
      </w:r>
      <w:r w:rsidRPr="00567FCA">
        <w:t>.</w:t>
      </w:r>
      <w:bookmarkEnd w:id="25"/>
    </w:p>
    <w:p w:rsidR="000A004A" w:rsidRPr="00567FCA" w:rsidRDefault="00E90F77" w:rsidP="008F5A1B">
      <w:pPr>
        <w:keepNext/>
        <w:spacing w:after="120"/>
      </w:pPr>
      <w:bookmarkStart w:id="26" w:name="Proposal"/>
      <w:bookmarkStart w:id="27" w:name="lt_pId043"/>
      <w:bookmarkEnd w:id="26"/>
      <w:r w:rsidRPr="00567FCA">
        <w:rPr>
          <w:b/>
          <w:bCs/>
        </w:rPr>
        <w:t xml:space="preserve">Резолюция </w:t>
      </w:r>
      <w:r w:rsidR="000A004A" w:rsidRPr="00567FCA">
        <w:rPr>
          <w:b/>
          <w:bCs/>
        </w:rPr>
        <w:t>25 (</w:t>
      </w:r>
      <w:r w:rsidRPr="00567FCA">
        <w:rPr>
          <w:b/>
          <w:bCs/>
        </w:rPr>
        <w:t>Пересм. Дубай, 2018 г.</w:t>
      </w:r>
      <w:r w:rsidR="000A004A" w:rsidRPr="00567FCA">
        <w:rPr>
          <w:b/>
          <w:bCs/>
        </w:rPr>
        <w:t xml:space="preserve">) </w:t>
      </w:r>
      <w:r w:rsidRPr="00567FCA">
        <w:rPr>
          <w:b/>
          <w:bCs/>
        </w:rPr>
        <w:t>−</w:t>
      </w:r>
      <w:r w:rsidR="000A004A" w:rsidRPr="00567FCA">
        <w:rPr>
          <w:b/>
          <w:bCs/>
        </w:rPr>
        <w:t xml:space="preserve"> </w:t>
      </w:r>
      <w:r w:rsidR="00554D3C" w:rsidRPr="00567FCA">
        <w:rPr>
          <w:b/>
          <w:bCs/>
        </w:rPr>
        <w:t>Укрепление регионального присутствия</w:t>
      </w:r>
      <w:r w:rsidR="0027791A" w:rsidRPr="00567FCA">
        <w:t>, в которой определены, в том числе, следующие ключевые элементы</w:t>
      </w:r>
      <w:r w:rsidR="000A004A" w:rsidRPr="00567FCA">
        <w:t>:</w:t>
      </w:r>
      <w:bookmarkEnd w:id="27"/>
    </w:p>
    <w:p w:rsidR="000A004A" w:rsidRPr="00567FCA" w:rsidRDefault="000A004A" w:rsidP="0039764C">
      <w:pPr>
        <w:pStyle w:val="enumlev1"/>
      </w:pPr>
      <w:bookmarkStart w:id="28" w:name="lt_pId044"/>
      <w:r w:rsidRPr="00567FCA">
        <w:t>−</w:t>
      </w:r>
      <w:r w:rsidRPr="00567FCA">
        <w:tab/>
      </w:r>
      <w:r w:rsidR="0039764C" w:rsidRPr="00567FCA">
        <w:t>провести общий обзор регионального присутствия МСЭ, принимая во внимание элементы, приведенные в приложении к настоящей Резолюции</w:t>
      </w:r>
      <w:r w:rsidR="0039764C" w:rsidRPr="00567FCA">
        <w:rPr>
          <w:lang w:eastAsia="pt-BR"/>
        </w:rPr>
        <w:t>, и представить сессии Совета 2020 года отчет, включающий предложения относительно надлежащих мер для обеспечения постоянной эффективности и результативности регионального присутствия МСЭ</w:t>
      </w:r>
      <w:bookmarkEnd w:id="28"/>
      <w:r w:rsidR="0039764C" w:rsidRPr="00567FCA">
        <w:rPr>
          <w:lang w:eastAsia="pt-BR"/>
        </w:rPr>
        <w:t>;</w:t>
      </w:r>
    </w:p>
    <w:p w:rsidR="000A004A" w:rsidRPr="00567FCA" w:rsidRDefault="000A004A" w:rsidP="00AF1634">
      <w:pPr>
        <w:pStyle w:val="enumlev1"/>
      </w:pPr>
      <w:bookmarkStart w:id="29" w:name="lt_pId045"/>
      <w:r w:rsidRPr="00567FCA">
        <w:t>−</w:t>
      </w:r>
      <w:r w:rsidRPr="00567FCA">
        <w:tab/>
      </w:r>
      <w:r w:rsidR="00AF1634" w:rsidRPr="00567FCA">
        <w:t>стремиться обеспечить, чтобы в каждом регионе в подчинении директора регионального отделения был по крайней мере один специалист, обладающий навыками и знаниями, относящимися к каждому из трех Секторов, в том числе путем профессиональной подготовки имеющегося персонала</w:t>
      </w:r>
      <w:r w:rsidRPr="00567FCA">
        <w:t>.</w:t>
      </w:r>
      <w:bookmarkEnd w:id="29"/>
      <w:r w:rsidRPr="00567FCA">
        <w:rPr>
          <w:rFonts w:cs="Calibri"/>
          <w:b/>
          <w:color w:val="800000"/>
        </w:rPr>
        <w:t xml:space="preserve"> </w:t>
      </w:r>
    </w:p>
    <w:p w:rsidR="000A004A" w:rsidRPr="00567FCA" w:rsidRDefault="00E90F77" w:rsidP="008F5A1B">
      <w:pPr>
        <w:keepNext/>
        <w:spacing w:after="120"/>
      </w:pPr>
      <w:bookmarkStart w:id="30" w:name="lt_pId046"/>
      <w:r w:rsidRPr="00567FCA">
        <w:rPr>
          <w:b/>
          <w:bCs/>
        </w:rPr>
        <w:lastRenderedPageBreak/>
        <w:t>Новая</w:t>
      </w:r>
      <w:r w:rsidR="000A004A" w:rsidRPr="00567FCA">
        <w:rPr>
          <w:b/>
          <w:bCs/>
        </w:rPr>
        <w:t xml:space="preserve"> </w:t>
      </w:r>
      <w:r w:rsidRPr="00567FCA">
        <w:rPr>
          <w:b/>
          <w:bCs/>
        </w:rPr>
        <w:t xml:space="preserve">Резолюция </w:t>
      </w:r>
      <w:r w:rsidR="000A004A" w:rsidRPr="00567FCA">
        <w:rPr>
          <w:b/>
          <w:bCs/>
        </w:rPr>
        <w:t xml:space="preserve">213 </w:t>
      </w:r>
      <w:r w:rsidRPr="00567FCA">
        <w:rPr>
          <w:b/>
          <w:bCs/>
        </w:rPr>
        <w:t>−</w:t>
      </w:r>
      <w:r w:rsidR="000A004A" w:rsidRPr="00567FCA">
        <w:rPr>
          <w:b/>
          <w:bCs/>
        </w:rPr>
        <w:t xml:space="preserve"> </w:t>
      </w:r>
      <w:r w:rsidR="0039764C" w:rsidRPr="00567FCA">
        <w:rPr>
          <w:b/>
          <w:bCs/>
        </w:rPr>
        <w:t>Меры, направленные на совершенствование, популяризацию и укрепление программы стипендий МСЭ</w:t>
      </w:r>
      <w:r w:rsidR="0027791A" w:rsidRPr="00567FCA">
        <w:t>, в которой определены, в том числе, следующие ключевые элементы</w:t>
      </w:r>
      <w:r w:rsidR="000A004A" w:rsidRPr="00567FCA">
        <w:t>:</w:t>
      </w:r>
      <w:bookmarkEnd w:id="30"/>
    </w:p>
    <w:p w:rsidR="000A004A" w:rsidRPr="00567FCA" w:rsidRDefault="000A004A" w:rsidP="0039764C">
      <w:pPr>
        <w:pStyle w:val="enumlev1"/>
      </w:pPr>
      <w:bookmarkStart w:id="31" w:name="lt_pId047"/>
      <w:r w:rsidRPr="00567FCA">
        <w:t>−</w:t>
      </w:r>
      <w:r w:rsidRPr="00567FCA">
        <w:tab/>
      </w:r>
      <w:r w:rsidR="0039764C" w:rsidRPr="00567FCA">
        <w:t>ежегодно представлять Совету МСЭ отчет о предоставлении стипендий</w:t>
      </w:r>
      <w:r w:rsidRPr="00567FCA">
        <w:t>;</w:t>
      </w:r>
      <w:bookmarkEnd w:id="31"/>
      <w:r w:rsidRPr="00567FCA">
        <w:t xml:space="preserve"> </w:t>
      </w:r>
    </w:p>
    <w:p w:rsidR="000A004A" w:rsidRPr="00567FCA" w:rsidRDefault="000A004A" w:rsidP="00B10DC9">
      <w:pPr>
        <w:pStyle w:val="enumlev1"/>
      </w:pPr>
      <w:bookmarkStart w:id="32" w:name="lt_pId048"/>
      <w:r w:rsidRPr="00567FCA">
        <w:t>−</w:t>
      </w:r>
      <w:r w:rsidRPr="00567FCA">
        <w:tab/>
      </w:r>
      <w:r w:rsidR="0039764C" w:rsidRPr="00567FCA">
        <w:t>поруч</w:t>
      </w:r>
      <w:r w:rsidR="00B10DC9" w:rsidRPr="00567FCA">
        <w:t>ение</w:t>
      </w:r>
      <w:r w:rsidR="0039764C" w:rsidRPr="00567FCA">
        <w:t xml:space="preserve"> Совету</w:t>
      </w:r>
      <w:r w:rsidRPr="00567FCA">
        <w:t xml:space="preserve"> </w:t>
      </w:r>
      <w:r w:rsidR="0039764C" w:rsidRPr="00567FCA">
        <w:t>рассмотреть существующие критерии предоставления стипендий и представить Генеральному секретарю рекомендации по совершенствованию, популяризации и укреплению программы стипендий МСЭ</w:t>
      </w:r>
      <w:r w:rsidRPr="00567FCA">
        <w:t>.</w:t>
      </w:r>
      <w:bookmarkEnd w:id="32"/>
    </w:p>
    <w:p w:rsidR="000A004A" w:rsidRPr="00567FCA" w:rsidRDefault="00E90F77" w:rsidP="008F5A1B">
      <w:pPr>
        <w:keepNext/>
        <w:spacing w:after="120"/>
      </w:pPr>
      <w:bookmarkStart w:id="33" w:name="lt_pId049"/>
      <w:r w:rsidRPr="00567FCA">
        <w:rPr>
          <w:b/>
          <w:bCs/>
        </w:rPr>
        <w:t>Новая Резолюция</w:t>
      </w:r>
      <w:r w:rsidR="000A004A" w:rsidRPr="00567FCA">
        <w:rPr>
          <w:b/>
          <w:bCs/>
        </w:rPr>
        <w:t xml:space="preserve"> 209 </w:t>
      </w:r>
      <w:r w:rsidRPr="00567FCA">
        <w:rPr>
          <w:b/>
          <w:bCs/>
        </w:rPr>
        <w:t>−</w:t>
      </w:r>
      <w:r w:rsidR="000A004A" w:rsidRPr="00567FCA">
        <w:rPr>
          <w:b/>
          <w:bCs/>
        </w:rPr>
        <w:t xml:space="preserve"> </w:t>
      </w:r>
      <w:r w:rsidR="0039764C" w:rsidRPr="00567FCA">
        <w:rPr>
          <w:b/>
          <w:bCs/>
        </w:rPr>
        <w:t>Поощрение участия малых и средних предприятий в работе Союза</w:t>
      </w:r>
      <w:r w:rsidR="0027791A" w:rsidRPr="00567FCA">
        <w:t>, в которой определены, в том числе, следующие ключевые элементы</w:t>
      </w:r>
      <w:r w:rsidR="000A004A" w:rsidRPr="00567FCA">
        <w:t>:</w:t>
      </w:r>
      <w:bookmarkEnd w:id="33"/>
    </w:p>
    <w:p w:rsidR="000A004A" w:rsidRPr="00567FCA" w:rsidRDefault="000A004A" w:rsidP="0039764C">
      <w:pPr>
        <w:pStyle w:val="enumlev1"/>
      </w:pPr>
      <w:bookmarkStart w:id="34" w:name="lt_pId050"/>
      <w:r w:rsidRPr="00567FCA">
        <w:t>−</w:t>
      </w:r>
      <w:r w:rsidRPr="00567FCA">
        <w:tab/>
      </w:r>
      <w:r w:rsidR="0039764C" w:rsidRPr="00567FCA">
        <w:t>поощрять участие МСП в работе Секторов Союза в качестве Ассоциированных членов путем введения пониженных размеров взносов для таких организаций с дифференцированными уровнями финансовых взносов на испытательный срок до следующей Полномочной конференции.</w:t>
      </w:r>
      <w:bookmarkEnd w:id="34"/>
    </w:p>
    <w:p w:rsidR="000A004A" w:rsidRPr="00567FCA" w:rsidRDefault="00D14E41" w:rsidP="00D14E41">
      <w:pPr>
        <w:spacing w:after="120"/>
      </w:pPr>
      <w:bookmarkStart w:id="35" w:name="lt_pId051"/>
      <w:r w:rsidRPr="00567FCA">
        <w:t>Ниже перечислены другие Резолюции, связанные с областями, имеющими непосредственное отношение к работе МСЭ</w:t>
      </w:r>
      <w:r w:rsidR="000A004A" w:rsidRPr="00567FCA">
        <w:t>-D:</w:t>
      </w:r>
      <w:bookmarkEnd w:id="35"/>
    </w:p>
    <w:p w:rsidR="000A004A" w:rsidRPr="00567FCA" w:rsidRDefault="000A004A" w:rsidP="00567FCA">
      <w:pPr>
        <w:pStyle w:val="enumlev1"/>
      </w:pPr>
      <w:bookmarkStart w:id="36" w:name="lt_pId052"/>
      <w:r w:rsidRPr="00567FCA">
        <w:t>−</w:t>
      </w:r>
      <w:r w:rsidRPr="00567FCA">
        <w:tab/>
      </w:r>
      <w:bookmarkStart w:id="37" w:name="_Toc407102931"/>
      <w:bookmarkStart w:id="38" w:name="_Toc164569862"/>
      <w:r w:rsidR="00D724C3" w:rsidRPr="00567FCA">
        <w:t>Усиление роли МСЭ в укреплении доверия и безопасности при</w:t>
      </w:r>
      <w:r w:rsidR="00C86629" w:rsidRPr="00567FCA">
        <w:t xml:space="preserve"> </w:t>
      </w:r>
      <w:r w:rsidR="00D724C3" w:rsidRPr="00567FCA">
        <w:t xml:space="preserve">использовании </w:t>
      </w:r>
      <w:bookmarkEnd w:id="37"/>
      <w:bookmarkEnd w:id="38"/>
      <w:r w:rsidR="00C86629" w:rsidRPr="00567FCA">
        <w:t>ИКТ</w:t>
      </w:r>
      <w:r w:rsidR="00D724C3" w:rsidRPr="00567FCA">
        <w:t xml:space="preserve"> </w:t>
      </w:r>
      <w:r w:rsidRPr="00567FCA">
        <w:t>(</w:t>
      </w:r>
      <w:r w:rsidR="00B10DC9" w:rsidRPr="00567FCA">
        <w:t>Рез. </w:t>
      </w:r>
      <w:r w:rsidRPr="00567FCA">
        <w:t>130);</w:t>
      </w:r>
      <w:bookmarkEnd w:id="36"/>
    </w:p>
    <w:p w:rsidR="000A004A" w:rsidRPr="00567FCA" w:rsidRDefault="000A004A" w:rsidP="00567FCA">
      <w:pPr>
        <w:pStyle w:val="enumlev1"/>
      </w:pPr>
      <w:bookmarkStart w:id="39" w:name="lt_pId053"/>
      <w:r w:rsidRPr="00567FCA">
        <w:t>−</w:t>
      </w:r>
      <w:r w:rsidRPr="00567FCA">
        <w:tab/>
      </w:r>
      <w:bookmarkStart w:id="40" w:name="_Toc407102933"/>
      <w:r w:rsidR="00D724C3" w:rsidRPr="00567FCA">
        <w:t xml:space="preserve">Измерение </w:t>
      </w:r>
      <w:r w:rsidR="00C86629" w:rsidRPr="00567FCA">
        <w:t>ИКТ</w:t>
      </w:r>
      <w:r w:rsidR="00D724C3" w:rsidRPr="00567FCA">
        <w:t xml:space="preserve"> для построения объединяющего и открытого для всех информационного общества</w:t>
      </w:r>
      <w:bookmarkEnd w:id="40"/>
      <w:r w:rsidR="00D724C3" w:rsidRPr="00567FCA">
        <w:t xml:space="preserve"> </w:t>
      </w:r>
      <w:r w:rsidRPr="00567FCA">
        <w:t>(</w:t>
      </w:r>
      <w:r w:rsidR="00B10DC9" w:rsidRPr="00567FCA">
        <w:t>Рез. </w:t>
      </w:r>
      <w:r w:rsidRPr="00567FCA">
        <w:t>131);</w:t>
      </w:r>
      <w:bookmarkEnd w:id="39"/>
    </w:p>
    <w:p w:rsidR="000A004A" w:rsidRPr="00567FCA" w:rsidRDefault="000A004A" w:rsidP="00567FCA">
      <w:pPr>
        <w:pStyle w:val="enumlev1"/>
      </w:pPr>
      <w:bookmarkStart w:id="41" w:name="lt_pId054"/>
      <w:r w:rsidRPr="00567FCA">
        <w:t>−</w:t>
      </w:r>
      <w:r w:rsidRPr="00567FCA">
        <w:tab/>
      </w:r>
      <w:bookmarkStart w:id="42" w:name="_Toc527710293"/>
      <w:bookmarkStart w:id="43" w:name="_Toc407102945"/>
      <w:r w:rsidR="00D724C3" w:rsidRPr="00567FCA">
        <w:t xml:space="preserve">Роль МСЭ в выполнении решений </w:t>
      </w:r>
      <w:r w:rsidR="00B10DC9" w:rsidRPr="00567FCA">
        <w:t>ВВУИО</w:t>
      </w:r>
      <w:r w:rsidR="00D724C3" w:rsidRPr="00567FCA">
        <w:t xml:space="preserve"> и </w:t>
      </w:r>
      <w:bookmarkEnd w:id="42"/>
      <w:bookmarkEnd w:id="43"/>
      <w:r w:rsidR="00D724C3" w:rsidRPr="00567FCA">
        <w:t>Повестки дня в области устойчивого</w:t>
      </w:r>
      <w:r w:rsidR="00C86629" w:rsidRPr="00567FCA">
        <w:t xml:space="preserve"> </w:t>
      </w:r>
      <w:r w:rsidR="00D724C3" w:rsidRPr="00567FCA">
        <w:t>развития на</w:t>
      </w:r>
      <w:r w:rsidR="00C86629" w:rsidRPr="00567FCA">
        <w:t> </w:t>
      </w:r>
      <w:r w:rsidR="00D724C3" w:rsidRPr="00567FCA">
        <w:t>период до 2030 года, а также в принятии последующих мер и обзоре их выполнения</w:t>
      </w:r>
      <w:r w:rsidRPr="00567FCA">
        <w:t xml:space="preserve"> (</w:t>
      </w:r>
      <w:r w:rsidR="00B10DC9" w:rsidRPr="00567FCA">
        <w:t>Рез. </w:t>
      </w:r>
      <w:r w:rsidRPr="00567FCA">
        <w:t>140);</w:t>
      </w:r>
      <w:bookmarkEnd w:id="41"/>
    </w:p>
    <w:p w:rsidR="000A004A" w:rsidRPr="00567FCA" w:rsidRDefault="000A004A" w:rsidP="00567FCA">
      <w:pPr>
        <w:pStyle w:val="enumlev1"/>
      </w:pPr>
      <w:bookmarkStart w:id="44" w:name="lt_pId055"/>
      <w:r w:rsidRPr="00567FCA">
        <w:t>−</w:t>
      </w:r>
      <w:r w:rsidRPr="00567FCA">
        <w:tab/>
      </w:r>
      <w:bookmarkStart w:id="45" w:name="_Toc407102977"/>
      <w:r w:rsidR="00D724C3" w:rsidRPr="00567FCA">
        <w:t>Доступ к электросвязи/</w:t>
      </w:r>
      <w:r w:rsidR="00E6738B" w:rsidRPr="00567FCA">
        <w:t>ИКТ</w:t>
      </w:r>
      <w:r w:rsidR="00D724C3" w:rsidRPr="00567FCA">
        <w:t xml:space="preserve"> для лиц с ограниченными возможностями и лиц с особыми потребностями</w:t>
      </w:r>
      <w:bookmarkEnd w:id="45"/>
      <w:r w:rsidR="00D724C3" w:rsidRPr="00567FCA">
        <w:t xml:space="preserve"> </w:t>
      </w:r>
      <w:r w:rsidRPr="00567FCA">
        <w:t>(</w:t>
      </w:r>
      <w:r w:rsidR="00B10DC9" w:rsidRPr="00567FCA">
        <w:t>Рез. </w:t>
      </w:r>
      <w:r w:rsidRPr="00567FCA">
        <w:t>175);</w:t>
      </w:r>
      <w:bookmarkEnd w:id="44"/>
    </w:p>
    <w:p w:rsidR="000A004A" w:rsidRPr="00567FCA" w:rsidRDefault="000A004A" w:rsidP="00567FCA">
      <w:pPr>
        <w:pStyle w:val="enumlev1"/>
      </w:pPr>
      <w:bookmarkStart w:id="46" w:name="lt_pId056"/>
      <w:r w:rsidRPr="00567FCA">
        <w:t>−</w:t>
      </w:r>
      <w:r w:rsidRPr="00567FCA">
        <w:tab/>
      </w:r>
      <w:bookmarkStart w:id="47" w:name="_Toc407103013"/>
      <w:r w:rsidR="00D724C3" w:rsidRPr="00567FCA">
        <w:t>Защита пользователей/потребителей услуг электросвязи</w:t>
      </w:r>
      <w:bookmarkEnd w:id="47"/>
      <w:r w:rsidR="00D724C3" w:rsidRPr="00567FCA">
        <w:t xml:space="preserve"> </w:t>
      </w:r>
      <w:r w:rsidRPr="00567FCA">
        <w:t>(</w:t>
      </w:r>
      <w:r w:rsidR="00B10DC9" w:rsidRPr="00567FCA">
        <w:t>Рез. </w:t>
      </w:r>
      <w:r w:rsidRPr="00567FCA">
        <w:t>196);</w:t>
      </w:r>
      <w:bookmarkEnd w:id="46"/>
    </w:p>
    <w:p w:rsidR="000A004A" w:rsidRPr="00567FCA" w:rsidRDefault="000A004A" w:rsidP="00567FCA">
      <w:pPr>
        <w:pStyle w:val="enumlev1"/>
      </w:pPr>
      <w:bookmarkStart w:id="48" w:name="lt_pId057"/>
      <w:r w:rsidRPr="00567FCA">
        <w:t>−</w:t>
      </w:r>
      <w:r w:rsidRPr="00567FCA">
        <w:tab/>
      </w:r>
      <w:bookmarkStart w:id="49" w:name="_Toc407103015"/>
      <w:r w:rsidR="00CB2E3A" w:rsidRPr="00567FCA">
        <w:t xml:space="preserve">Содействие развитию интернета вещей </w:t>
      </w:r>
      <w:bookmarkEnd w:id="49"/>
      <w:r w:rsidR="00E6738B" w:rsidRPr="00567FCA">
        <w:t>для подготовки к глобально соединенному миру</w:t>
      </w:r>
      <w:r w:rsidR="00CB2E3A" w:rsidRPr="00567FCA">
        <w:t xml:space="preserve"> </w:t>
      </w:r>
      <w:r w:rsidRPr="00567FCA">
        <w:t>(</w:t>
      </w:r>
      <w:r w:rsidR="00B10DC9" w:rsidRPr="00567FCA">
        <w:t>Рез. </w:t>
      </w:r>
      <w:r w:rsidRPr="00567FCA">
        <w:t>197);</w:t>
      </w:r>
      <w:bookmarkEnd w:id="48"/>
    </w:p>
    <w:p w:rsidR="000A004A" w:rsidRPr="00567FCA" w:rsidRDefault="000A004A" w:rsidP="00567FCA">
      <w:pPr>
        <w:pStyle w:val="enumlev1"/>
      </w:pPr>
      <w:bookmarkStart w:id="50" w:name="lt_pId058"/>
      <w:r w:rsidRPr="00567FCA">
        <w:t>−</w:t>
      </w:r>
      <w:r w:rsidRPr="00567FCA">
        <w:tab/>
      </w:r>
      <w:bookmarkStart w:id="51" w:name="_Toc407103023"/>
      <w:r w:rsidR="00D724C3" w:rsidRPr="00567FCA">
        <w:t xml:space="preserve">Создание благоприятной среды для развертывания и использования приложений на базе </w:t>
      </w:r>
      <w:bookmarkEnd w:id="51"/>
      <w:r w:rsidR="00C86629" w:rsidRPr="00567FCA">
        <w:t>ИКТ</w:t>
      </w:r>
      <w:r w:rsidR="00D724C3" w:rsidRPr="00567FCA">
        <w:t xml:space="preserve"> </w:t>
      </w:r>
      <w:r w:rsidRPr="00567FCA">
        <w:t>(</w:t>
      </w:r>
      <w:r w:rsidR="00B10DC9" w:rsidRPr="00567FCA">
        <w:t>Рез. </w:t>
      </w:r>
      <w:r w:rsidRPr="00567FCA">
        <w:t>201);</w:t>
      </w:r>
      <w:bookmarkEnd w:id="50"/>
    </w:p>
    <w:p w:rsidR="000A004A" w:rsidRPr="00567FCA" w:rsidRDefault="000A004A" w:rsidP="00567FCA">
      <w:pPr>
        <w:pStyle w:val="enumlev1"/>
      </w:pPr>
      <w:bookmarkStart w:id="52" w:name="lt_pId059"/>
      <w:r w:rsidRPr="00567FCA">
        <w:t>−</w:t>
      </w:r>
      <w:r w:rsidRPr="00567FCA">
        <w:tab/>
      </w:r>
      <w:r w:rsidR="00CB2E3A" w:rsidRPr="00567FCA">
        <w:t xml:space="preserve">Использование </w:t>
      </w:r>
      <w:r w:rsidR="00C86629" w:rsidRPr="00567FCA">
        <w:t>ИКТ</w:t>
      </w:r>
      <w:r w:rsidR="00CB2E3A" w:rsidRPr="00567FCA">
        <w:t xml:space="preserve"> для</w:t>
      </w:r>
      <w:r w:rsidR="00C86629" w:rsidRPr="00567FCA">
        <w:t xml:space="preserve"> </w:t>
      </w:r>
      <w:r w:rsidR="00CB2E3A" w:rsidRPr="00567FCA">
        <w:t>преодоления</w:t>
      </w:r>
      <w:r w:rsidR="00C86629" w:rsidRPr="00567FCA">
        <w:t xml:space="preserve"> </w:t>
      </w:r>
      <w:r w:rsidR="00CB2E3A" w:rsidRPr="00567FCA">
        <w:t xml:space="preserve">разрыва в охвате финансовыми услугами </w:t>
      </w:r>
      <w:r w:rsidRPr="00567FCA">
        <w:t>(</w:t>
      </w:r>
      <w:r w:rsidR="00B10DC9" w:rsidRPr="00567FCA">
        <w:t>Рез. </w:t>
      </w:r>
      <w:r w:rsidRPr="00567FCA">
        <w:t>204);</w:t>
      </w:r>
      <w:bookmarkEnd w:id="52"/>
    </w:p>
    <w:p w:rsidR="000A004A" w:rsidRPr="00567FCA" w:rsidRDefault="000A004A" w:rsidP="00567FCA">
      <w:pPr>
        <w:pStyle w:val="enumlev1"/>
      </w:pPr>
      <w:bookmarkStart w:id="53" w:name="lt_pId060"/>
      <w:r w:rsidRPr="00567FCA">
        <w:t>−</w:t>
      </w:r>
      <w:r w:rsidRPr="00567FCA">
        <w:tab/>
      </w:r>
      <w:r w:rsidR="00CB2E3A" w:rsidRPr="00567FCA">
        <w:t>Роль МСЭ в содействии ориентированным на электросвязь/</w:t>
      </w:r>
      <w:r w:rsidR="00C86629" w:rsidRPr="00567FCA">
        <w:t>ИКТ</w:t>
      </w:r>
      <w:r w:rsidR="00CB2E3A" w:rsidRPr="00567FCA">
        <w:t xml:space="preserve"> инновациям для поддержки цифровой</w:t>
      </w:r>
      <w:r w:rsidR="00C86629" w:rsidRPr="00567FCA">
        <w:t xml:space="preserve"> </w:t>
      </w:r>
      <w:r w:rsidR="00CB2E3A" w:rsidRPr="00567FCA">
        <w:t>экономики</w:t>
      </w:r>
      <w:r w:rsidR="00C86629" w:rsidRPr="00567FCA">
        <w:t xml:space="preserve"> </w:t>
      </w:r>
      <w:r w:rsidR="00CB2E3A" w:rsidRPr="00567FCA">
        <w:t xml:space="preserve">и цифрового общества </w:t>
      </w:r>
      <w:r w:rsidRPr="00567FCA">
        <w:t>(</w:t>
      </w:r>
      <w:r w:rsidR="00B10DC9" w:rsidRPr="00567FCA">
        <w:t>Рез. </w:t>
      </w:r>
      <w:r w:rsidRPr="00567FCA">
        <w:t>205);</w:t>
      </w:r>
      <w:bookmarkEnd w:id="53"/>
    </w:p>
    <w:p w:rsidR="000A004A" w:rsidRPr="00567FCA" w:rsidRDefault="000A004A" w:rsidP="00567FCA">
      <w:pPr>
        <w:pStyle w:val="enumlev1"/>
      </w:pPr>
      <w:bookmarkStart w:id="54" w:name="lt_pId061"/>
      <w:r w:rsidRPr="00567FCA">
        <w:t>−</w:t>
      </w:r>
      <w:r w:rsidRPr="00567FCA">
        <w:tab/>
      </w:r>
      <w:r w:rsidR="0039764C" w:rsidRPr="00567FCA">
        <w:t>ОТТ</w:t>
      </w:r>
      <w:r w:rsidRPr="00567FCA">
        <w:t xml:space="preserve"> (</w:t>
      </w:r>
      <w:r w:rsidR="00B10DC9" w:rsidRPr="00567FCA">
        <w:t>Рез. </w:t>
      </w:r>
      <w:r w:rsidRPr="00567FCA">
        <w:t>206);</w:t>
      </w:r>
      <w:bookmarkEnd w:id="54"/>
    </w:p>
    <w:p w:rsidR="000A004A" w:rsidRPr="00567FCA" w:rsidRDefault="000A004A" w:rsidP="00567FCA">
      <w:pPr>
        <w:pStyle w:val="enumlev1"/>
      </w:pPr>
      <w:bookmarkStart w:id="55" w:name="lt_pId062"/>
      <w:r w:rsidRPr="00567FCA">
        <w:t>−</w:t>
      </w:r>
      <w:r w:rsidRPr="00567FCA">
        <w:tab/>
      </w:r>
      <w:r w:rsidR="00D14E41" w:rsidRPr="00567FCA">
        <w:t>Торговля людьми</w:t>
      </w:r>
      <w:r w:rsidRPr="00567FCA">
        <w:t xml:space="preserve"> (</w:t>
      </w:r>
      <w:r w:rsidR="00B10DC9" w:rsidRPr="00567FCA">
        <w:t>Рез. </w:t>
      </w:r>
      <w:r w:rsidRPr="00567FCA">
        <w:t>7).</w:t>
      </w:r>
      <w:bookmarkEnd w:id="55"/>
    </w:p>
    <w:p w:rsidR="000A004A" w:rsidRPr="00567FCA" w:rsidRDefault="00D14E41" w:rsidP="00567FCA">
      <w:bookmarkStart w:id="56" w:name="lt_pId063"/>
      <w:r w:rsidRPr="00567FCA">
        <w:t>Нижеследующие Резолюции и Решения также имеют отношение к БРЭ, поскольку они охватывают темы, связанные с администрированием и управлением работой Секторов МСЭ, а также деятельностью Бюро</w:t>
      </w:r>
      <w:r w:rsidR="000A004A" w:rsidRPr="00567FCA">
        <w:t>:</w:t>
      </w:r>
      <w:bookmarkEnd w:id="56"/>
    </w:p>
    <w:p w:rsidR="000A004A" w:rsidRPr="00567FCA" w:rsidRDefault="000A004A" w:rsidP="00D724C3">
      <w:pPr>
        <w:pStyle w:val="enumlev1"/>
      </w:pPr>
      <w:bookmarkStart w:id="57" w:name="lt_pId064"/>
      <w:r w:rsidRPr="00567FCA">
        <w:t>−</w:t>
      </w:r>
      <w:r w:rsidRPr="00567FCA">
        <w:tab/>
      </w:r>
      <w:bookmarkStart w:id="58" w:name="_Toc527710259"/>
      <w:r w:rsidR="00D724C3" w:rsidRPr="00567FCA">
        <w:t>Управление людскими ресурсами и их развитие</w:t>
      </w:r>
      <w:bookmarkEnd w:id="58"/>
      <w:r w:rsidR="00D724C3" w:rsidRPr="00567FCA">
        <w:t xml:space="preserve"> </w:t>
      </w:r>
      <w:r w:rsidRPr="00567FCA">
        <w:t>(</w:t>
      </w:r>
      <w:r w:rsidR="00B10DC9" w:rsidRPr="00567FCA">
        <w:t>Рез. </w:t>
      </w:r>
      <w:r w:rsidRPr="00567FCA">
        <w:t>48);</w:t>
      </w:r>
      <w:bookmarkEnd w:id="57"/>
    </w:p>
    <w:p w:rsidR="000A004A" w:rsidRPr="00567FCA" w:rsidRDefault="000A004A" w:rsidP="00D14E41">
      <w:pPr>
        <w:pStyle w:val="enumlev1"/>
      </w:pPr>
      <w:bookmarkStart w:id="59" w:name="lt_pId065"/>
      <w:r w:rsidRPr="00567FCA">
        <w:t>−</w:t>
      </w:r>
      <w:r w:rsidRPr="00567FCA">
        <w:tab/>
      </w:r>
      <w:r w:rsidR="00D14E41" w:rsidRPr="00567FCA">
        <w:t>Укрепление отношений МСЭ с региональными организациями электросвязи</w:t>
      </w:r>
      <w:r w:rsidRPr="00567FCA">
        <w:t xml:space="preserve"> (</w:t>
      </w:r>
      <w:r w:rsidR="00B10DC9" w:rsidRPr="00567FCA">
        <w:t>Рез. </w:t>
      </w:r>
      <w:r w:rsidRPr="00567FCA">
        <w:t>58);</w:t>
      </w:r>
      <w:bookmarkEnd w:id="59"/>
    </w:p>
    <w:p w:rsidR="000A004A" w:rsidRPr="00567FCA" w:rsidRDefault="000A004A" w:rsidP="00D724C3">
      <w:pPr>
        <w:pStyle w:val="enumlev1"/>
      </w:pPr>
      <w:bookmarkStart w:id="60" w:name="lt_pId066"/>
      <w:r w:rsidRPr="00567FCA">
        <w:t>−</w:t>
      </w:r>
      <w:r w:rsidRPr="00567FCA">
        <w:tab/>
      </w:r>
      <w:r w:rsidR="00D724C3" w:rsidRPr="00567FCA">
        <w:t xml:space="preserve">Документы и публикации Союза </w:t>
      </w:r>
      <w:r w:rsidRPr="00567FCA">
        <w:t>(</w:t>
      </w:r>
      <w:r w:rsidR="00B10DC9" w:rsidRPr="00567FCA">
        <w:t>Рез. </w:t>
      </w:r>
      <w:r w:rsidRPr="00567FCA">
        <w:t>66);</w:t>
      </w:r>
      <w:bookmarkEnd w:id="60"/>
    </w:p>
    <w:p w:rsidR="000A004A" w:rsidRPr="00567FCA" w:rsidRDefault="0039764C" w:rsidP="00D724C3">
      <w:pPr>
        <w:pStyle w:val="enumlev1"/>
      </w:pPr>
      <w:bookmarkStart w:id="61" w:name="lt_pId067"/>
      <w:r w:rsidRPr="00567FCA">
        <w:t>−</w:t>
      </w:r>
      <w:r w:rsidRPr="00567FCA">
        <w:tab/>
      </w:r>
      <w:bookmarkStart w:id="62" w:name="_Toc407102915"/>
      <w:r w:rsidR="00D724C3" w:rsidRPr="00567FCA">
        <w:t>График проведения и продолжительность конференций, форумов, ассамблей и сессий Совета Союза (2019−2023 гг.)</w:t>
      </w:r>
      <w:bookmarkEnd w:id="62"/>
      <w:r w:rsidR="000A004A" w:rsidRPr="00567FCA">
        <w:t xml:space="preserve"> (</w:t>
      </w:r>
      <w:r w:rsidR="00B10DC9" w:rsidRPr="00567FCA">
        <w:t>Рез. </w:t>
      </w:r>
      <w:r w:rsidR="000A004A" w:rsidRPr="00567FCA">
        <w:t>77);</w:t>
      </w:r>
      <w:bookmarkEnd w:id="61"/>
    </w:p>
    <w:p w:rsidR="000A004A" w:rsidRPr="00567FCA" w:rsidRDefault="000A004A" w:rsidP="00C86629">
      <w:pPr>
        <w:pStyle w:val="enumlev1"/>
      </w:pPr>
      <w:bookmarkStart w:id="63" w:name="lt_pId068"/>
      <w:r w:rsidRPr="00567FCA">
        <w:t>−</w:t>
      </w:r>
      <w:r w:rsidRPr="00567FCA">
        <w:tab/>
      </w:r>
      <w:r w:rsidR="00E84D50" w:rsidRPr="00567FCA">
        <w:rPr>
          <w:color w:val="000000"/>
        </w:rPr>
        <w:t>Учет важных религиозных периодов при составлении графика проведения конференций, ассамблей и сессий Совета МСЭ</w:t>
      </w:r>
      <w:r w:rsidRPr="00567FCA">
        <w:t xml:space="preserve"> (</w:t>
      </w:r>
      <w:r w:rsidR="00B10DC9" w:rsidRPr="00567FCA">
        <w:t>Рез. </w:t>
      </w:r>
      <w:r w:rsidRPr="00567FCA">
        <w:t>111);</w:t>
      </w:r>
      <w:bookmarkEnd w:id="63"/>
    </w:p>
    <w:p w:rsidR="000A004A" w:rsidRPr="00567FCA" w:rsidRDefault="000A004A" w:rsidP="00C86629">
      <w:pPr>
        <w:pStyle w:val="enumlev1"/>
      </w:pPr>
      <w:bookmarkStart w:id="64" w:name="lt_pId069"/>
      <w:r w:rsidRPr="00567FCA">
        <w:lastRenderedPageBreak/>
        <w:t>−</w:t>
      </w:r>
      <w:r w:rsidRPr="00567FCA">
        <w:tab/>
      </w:r>
      <w:bookmarkStart w:id="65" w:name="_Toc407102937"/>
      <w:r w:rsidR="00D724C3" w:rsidRPr="00567FCA">
        <w:t>Роль МСЭ в надежном и устойчивом развитии электросвязи/</w:t>
      </w:r>
      <w:r w:rsidR="00C86629" w:rsidRPr="00567FCA">
        <w:t>ИКТ</w:t>
      </w:r>
      <w:r w:rsidR="00D724C3" w:rsidRPr="00567FCA">
        <w:t>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</w:r>
      <w:bookmarkEnd w:id="65"/>
      <w:r w:rsidR="00D724C3" w:rsidRPr="00567FC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67FCA">
        <w:t>(</w:t>
      </w:r>
      <w:r w:rsidR="00B10DC9" w:rsidRPr="00567FCA">
        <w:t>Рез. </w:t>
      </w:r>
      <w:r w:rsidRPr="00567FCA">
        <w:t>135);</w:t>
      </w:r>
      <w:bookmarkEnd w:id="64"/>
    </w:p>
    <w:p w:rsidR="000A004A" w:rsidRPr="00567FCA" w:rsidRDefault="000A004A" w:rsidP="00D724C3">
      <w:pPr>
        <w:pStyle w:val="enumlev1"/>
      </w:pPr>
      <w:bookmarkStart w:id="66" w:name="lt_pId070"/>
      <w:r w:rsidRPr="00567FCA">
        <w:t>−</w:t>
      </w:r>
      <w:r w:rsidRPr="00567FCA">
        <w:tab/>
      </w:r>
      <w:r w:rsidR="00D724C3" w:rsidRPr="00567FCA">
        <w:t xml:space="preserve">Использование шести официальных языков Союза на равной основе </w:t>
      </w:r>
      <w:r w:rsidRPr="00567FCA">
        <w:t>(</w:t>
      </w:r>
      <w:r w:rsidR="00B10DC9" w:rsidRPr="00567FCA">
        <w:t>Рез. </w:t>
      </w:r>
      <w:r w:rsidRPr="00567FCA">
        <w:t>154);</w:t>
      </w:r>
      <w:bookmarkEnd w:id="66"/>
    </w:p>
    <w:p w:rsidR="000A004A" w:rsidRPr="00567FCA" w:rsidRDefault="000A004A" w:rsidP="00D724C3">
      <w:pPr>
        <w:pStyle w:val="enumlev1"/>
      </w:pPr>
      <w:bookmarkStart w:id="67" w:name="lt_pId071"/>
      <w:r w:rsidRPr="00567FCA">
        <w:t>−</w:t>
      </w:r>
      <w:r w:rsidRPr="00567FCA">
        <w:tab/>
      </w:r>
      <w:r w:rsidR="00D724C3" w:rsidRPr="00567FCA">
        <w:t xml:space="preserve">Укрепление функций исполнения проектов и мониторинга проектов в МСЭ </w:t>
      </w:r>
      <w:r w:rsidRPr="00567FCA">
        <w:t>(</w:t>
      </w:r>
      <w:r w:rsidR="00B10DC9" w:rsidRPr="00567FCA">
        <w:t>Рез. </w:t>
      </w:r>
      <w:r w:rsidRPr="00567FCA">
        <w:t>157);</w:t>
      </w:r>
      <w:bookmarkEnd w:id="67"/>
    </w:p>
    <w:p w:rsidR="000A004A" w:rsidRPr="00567FCA" w:rsidRDefault="000A004A" w:rsidP="00D724C3">
      <w:pPr>
        <w:pStyle w:val="enumlev1"/>
      </w:pPr>
      <w:bookmarkStart w:id="68" w:name="lt_pId072"/>
      <w:r w:rsidRPr="00567FCA">
        <w:t>−</w:t>
      </w:r>
      <w:r w:rsidRPr="00567FCA">
        <w:tab/>
      </w:r>
      <w:r w:rsidR="00D724C3" w:rsidRPr="00567FCA">
        <w:t xml:space="preserve">Предельные сроки для представления предложений и процедуры регистрации участников конференций и ассамблей Союза </w:t>
      </w:r>
      <w:r w:rsidRPr="00567FCA">
        <w:t>(</w:t>
      </w:r>
      <w:r w:rsidR="00B10DC9" w:rsidRPr="00567FCA">
        <w:t>Рез. </w:t>
      </w:r>
      <w:r w:rsidRPr="00567FCA">
        <w:t>165);</w:t>
      </w:r>
      <w:bookmarkEnd w:id="68"/>
    </w:p>
    <w:p w:rsidR="000A004A" w:rsidRPr="00567FCA" w:rsidRDefault="000A004A" w:rsidP="00D724C3">
      <w:pPr>
        <w:pStyle w:val="enumlev1"/>
      </w:pPr>
      <w:bookmarkStart w:id="69" w:name="lt_pId073"/>
      <w:r w:rsidRPr="00567FCA">
        <w:t>−</w:t>
      </w:r>
      <w:r w:rsidRPr="00567FCA">
        <w:tab/>
      </w:r>
      <w:bookmarkStart w:id="70" w:name="_Toc407103003"/>
      <w:r w:rsidR="00D724C3" w:rsidRPr="00567FCA">
        <w:t>Стратегия координации усилий трех Секторов Союза</w:t>
      </w:r>
      <w:bookmarkEnd w:id="70"/>
      <w:r w:rsidR="00D724C3" w:rsidRPr="00567FCA">
        <w:t xml:space="preserve"> </w:t>
      </w:r>
      <w:r w:rsidRPr="00567FCA">
        <w:t>(</w:t>
      </w:r>
      <w:r w:rsidR="00B10DC9" w:rsidRPr="00567FCA">
        <w:t>Рез. </w:t>
      </w:r>
      <w:r w:rsidRPr="00567FCA">
        <w:t>191);</w:t>
      </w:r>
      <w:bookmarkEnd w:id="69"/>
    </w:p>
    <w:p w:rsidR="000A004A" w:rsidRPr="00567FCA" w:rsidRDefault="000A004A" w:rsidP="009A4A90">
      <w:pPr>
        <w:pStyle w:val="enumlev1"/>
      </w:pPr>
      <w:bookmarkStart w:id="71" w:name="lt_pId074"/>
      <w:r w:rsidRPr="00567FCA">
        <w:t>−</w:t>
      </w:r>
      <w:r w:rsidRPr="00567FCA">
        <w:tab/>
      </w:r>
      <w:bookmarkStart w:id="72" w:name="_Toc527710350"/>
      <w:r w:rsidR="00D724C3" w:rsidRPr="00567FCA">
        <w:t xml:space="preserve">Назначение и максимальный срок полномочий председателей и заместителей председателей консультативных групп, </w:t>
      </w:r>
      <w:r w:rsidR="009A4A90" w:rsidRPr="00567FCA">
        <w:t>ИК</w:t>
      </w:r>
      <w:r w:rsidR="00D724C3" w:rsidRPr="00567FCA">
        <w:t xml:space="preserve"> и других групп </w:t>
      </w:r>
      <w:bookmarkEnd w:id="72"/>
      <w:r w:rsidRPr="00567FCA">
        <w:t>(</w:t>
      </w:r>
      <w:r w:rsidR="00B10DC9" w:rsidRPr="00567FCA">
        <w:t>Рез. </w:t>
      </w:r>
      <w:r w:rsidRPr="00567FCA">
        <w:t>208);</w:t>
      </w:r>
      <w:bookmarkEnd w:id="71"/>
    </w:p>
    <w:p w:rsidR="000A004A" w:rsidRPr="00567FCA" w:rsidRDefault="000A004A" w:rsidP="00CB2E3A">
      <w:pPr>
        <w:pStyle w:val="enumlev1"/>
      </w:pPr>
      <w:bookmarkStart w:id="73" w:name="lt_pId075"/>
      <w:r w:rsidRPr="00567FCA">
        <w:t>−</w:t>
      </w:r>
      <w:r w:rsidRPr="00567FCA">
        <w:tab/>
      </w:r>
      <w:bookmarkStart w:id="74" w:name="_Toc406757766"/>
      <w:r w:rsidR="00D724C3" w:rsidRPr="00567FCA">
        <w:t>Будущие помещения штаб-квартиры Союза</w:t>
      </w:r>
      <w:bookmarkEnd w:id="74"/>
      <w:r w:rsidR="00D724C3" w:rsidRPr="00567FCA">
        <w:t xml:space="preserve"> </w:t>
      </w:r>
      <w:r w:rsidRPr="00567FCA">
        <w:t>(</w:t>
      </w:r>
      <w:r w:rsidR="00B10DC9" w:rsidRPr="00567FCA">
        <w:t>Рез. </w:t>
      </w:r>
      <w:r w:rsidRPr="00567FCA">
        <w:t>212).</w:t>
      </w:r>
      <w:bookmarkEnd w:id="73"/>
    </w:p>
    <w:p w:rsidR="0040328D" w:rsidRPr="00567FCA" w:rsidRDefault="0040328D" w:rsidP="000A004A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r w:rsidRPr="00567FCA">
        <w:t>_______________</w:t>
      </w:r>
    </w:p>
    <w:sectPr w:rsidR="0040328D" w:rsidRPr="00567FCA" w:rsidSect="001116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4A" w:rsidRDefault="000A004A" w:rsidP="00E54FD2">
      <w:pPr>
        <w:spacing w:before="0"/>
      </w:pPr>
      <w:r>
        <w:separator/>
      </w:r>
    </w:p>
  </w:endnote>
  <w:endnote w:type="continuationSeparator" w:id="0">
    <w:p w:rsidR="000A004A" w:rsidRDefault="000A004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01" w:rsidRDefault="00D010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AA42F8" w:rsidRDefault="00D01001" w:rsidP="00D01001">
    <w:pPr>
      <w:pStyle w:val="Footer"/>
      <w:tabs>
        <w:tab w:val="clear" w:pos="794"/>
        <w:tab w:val="clear" w:pos="1191"/>
        <w:tab w:val="clear" w:pos="1588"/>
        <w:tab w:val="clear" w:pos="5954"/>
        <w:tab w:val="left" w:pos="6804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CB2E3A">
      <w:t>P:\RUS\ITU-D\CONF-D\TDAG19\000\004R.docx</w:t>
    </w:r>
    <w:r>
      <w:fldChar w:fldCharType="end"/>
    </w:r>
    <w:r w:rsidR="00AA42F8">
      <w:t xml:space="preserve"> (</w:t>
    </w:r>
    <w:r w:rsidR="000A004A">
      <w:t>449203</w:t>
    </w:r>
    <w:r w:rsidR="00AA42F8">
      <w:t>)</w:t>
    </w:r>
    <w:r w:rsidR="00AA42F8">
      <w:tab/>
    </w:r>
    <w:bookmarkStart w:id="75" w:name="_GoBack"/>
    <w:bookmarkEnd w:id="7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554D3C" w:rsidRPr="004D495C" w:rsidTr="00554D3C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554D3C" w:rsidRPr="004D495C" w:rsidRDefault="00554D3C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554D3C" w:rsidRPr="00EB2F10" w:rsidRDefault="00554D3C" w:rsidP="00554D3C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:rsidR="00554D3C" w:rsidRPr="00BA0AE3" w:rsidRDefault="00554D3C" w:rsidP="00CB2E3A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B64AAC">
            <w:rPr>
              <w:sz w:val="18"/>
              <w:szCs w:val="18"/>
            </w:rPr>
            <w:t xml:space="preserve">г-н </w:t>
          </w:r>
          <w:r>
            <w:rPr>
              <w:sz w:val="18"/>
              <w:szCs w:val="18"/>
            </w:rPr>
            <w:t>Юси Торигое (</w:t>
          </w:r>
          <w:r w:rsidRPr="00BA0AE3">
            <w:rPr>
              <w:sz w:val="18"/>
              <w:szCs w:val="18"/>
              <w:lang w:val="en-US"/>
            </w:rPr>
            <w:t>Mr</w:t>
          </w:r>
          <w:r w:rsidRPr="00B64AAC">
            <w:rPr>
              <w:sz w:val="18"/>
              <w:szCs w:val="18"/>
            </w:rPr>
            <w:t xml:space="preserve"> </w:t>
          </w:r>
          <w:r w:rsidRPr="00BA0AE3">
            <w:rPr>
              <w:sz w:val="18"/>
              <w:szCs w:val="18"/>
              <w:lang w:val="en-US"/>
            </w:rPr>
            <w:t>Yushi</w:t>
          </w:r>
          <w:r w:rsidRPr="00B64AAC">
            <w:rPr>
              <w:sz w:val="18"/>
              <w:szCs w:val="18"/>
            </w:rPr>
            <w:t xml:space="preserve"> </w:t>
          </w:r>
          <w:r w:rsidRPr="00BA0AE3">
            <w:rPr>
              <w:sz w:val="18"/>
              <w:szCs w:val="18"/>
              <w:lang w:val="en-US"/>
            </w:rPr>
            <w:t>Torigoe</w:t>
          </w:r>
          <w:r>
            <w:rPr>
              <w:sz w:val="18"/>
              <w:szCs w:val="18"/>
            </w:rPr>
            <w:t>)</w:t>
          </w:r>
          <w:r w:rsidRPr="00B64AAC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заместитель Директора Бюро развития электросвязи</w:t>
          </w:r>
        </w:p>
      </w:tc>
    </w:tr>
    <w:tr w:rsidR="00554D3C" w:rsidRPr="004D495C" w:rsidTr="00554D3C">
      <w:tc>
        <w:tcPr>
          <w:tcW w:w="1418" w:type="dxa"/>
          <w:shd w:val="clear" w:color="auto" w:fill="auto"/>
        </w:tcPr>
        <w:p w:rsidR="00554D3C" w:rsidRPr="00554D3C" w:rsidRDefault="00554D3C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554D3C" w:rsidRPr="00EB2F10" w:rsidRDefault="00554D3C" w:rsidP="00554D3C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554D3C" w:rsidRPr="00BA0AE3" w:rsidRDefault="00554D3C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7F5A01">
            <w:rPr>
              <w:sz w:val="18"/>
              <w:szCs w:val="18"/>
            </w:rPr>
            <w:t xml:space="preserve">+41 22 730 </w:t>
          </w:r>
          <w:r>
            <w:rPr>
              <w:sz w:val="18"/>
              <w:szCs w:val="18"/>
            </w:rPr>
            <w:t>5784</w:t>
          </w:r>
        </w:p>
      </w:tc>
    </w:tr>
    <w:tr w:rsidR="00554D3C" w:rsidRPr="004D495C" w:rsidTr="00554D3C">
      <w:tc>
        <w:tcPr>
          <w:tcW w:w="1418" w:type="dxa"/>
          <w:shd w:val="clear" w:color="auto" w:fill="auto"/>
        </w:tcPr>
        <w:p w:rsidR="00554D3C" w:rsidRPr="004D495C" w:rsidRDefault="00554D3C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554D3C" w:rsidRPr="00EB2F10" w:rsidRDefault="00554D3C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:rsidR="00554D3C" w:rsidRPr="007F5A01" w:rsidRDefault="00D01001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554D3C" w:rsidRPr="00BA0AE3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="00554D3C" w:rsidRPr="007F5A01">
              <w:rPr>
                <w:rStyle w:val="Hyperlink"/>
                <w:sz w:val="18"/>
                <w:szCs w:val="18"/>
              </w:rPr>
              <w:t>.</w:t>
            </w:r>
            <w:r w:rsidR="00554D3C" w:rsidRPr="00BA0AE3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="00554D3C" w:rsidRPr="007F5A01">
              <w:rPr>
                <w:rStyle w:val="Hyperlink"/>
                <w:sz w:val="18"/>
                <w:szCs w:val="18"/>
              </w:rPr>
              <w:t>@</w:t>
            </w:r>
            <w:r w:rsidR="00554D3C" w:rsidRPr="00BA0AE3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554D3C" w:rsidRPr="007F5A01">
              <w:rPr>
                <w:rStyle w:val="Hyperlink"/>
                <w:sz w:val="18"/>
                <w:szCs w:val="18"/>
              </w:rPr>
              <w:t>.</w:t>
            </w:r>
            <w:r w:rsidR="00554D3C" w:rsidRPr="00BA0AE3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:rsidR="00B52E6E" w:rsidRPr="006E4AB3" w:rsidRDefault="00D01001" w:rsidP="00CB2E3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4A" w:rsidRDefault="000A004A" w:rsidP="00E54FD2">
      <w:pPr>
        <w:spacing w:before="0"/>
      </w:pPr>
      <w:r>
        <w:separator/>
      </w:r>
    </w:p>
  </w:footnote>
  <w:footnote w:type="continuationSeparator" w:id="0">
    <w:p w:rsidR="000A004A" w:rsidRDefault="000A004A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01" w:rsidRDefault="00D010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0A004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="0040328D" w:rsidRPr="0040328D">
      <w:t>-</w:t>
    </w:r>
    <w:r w:rsidRPr="00701E31">
      <w:t>1</w:t>
    </w:r>
    <w:r w:rsidR="00B24169" w:rsidRPr="00B24169">
      <w:t>9</w:t>
    </w:r>
    <w:r w:rsidRPr="00701E31">
      <w:t>/</w:t>
    </w:r>
    <w:r w:rsidR="000A004A">
      <w:t>4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D01001">
      <w:rPr>
        <w:rStyle w:val="PageNumber"/>
        <w:noProof/>
      </w:rPr>
      <w:t>3</w:t>
    </w:r>
    <w:r w:rsidR="00D923CD"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01" w:rsidRDefault="00D010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EF4"/>
    <w:multiLevelType w:val="hybridMultilevel"/>
    <w:tmpl w:val="7578E854"/>
    <w:lvl w:ilvl="0" w:tplc="741CB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4A4A258" w:tentative="1">
      <w:start w:val="1"/>
      <w:numFmt w:val="lowerLetter"/>
      <w:lvlText w:val="%2."/>
      <w:lvlJc w:val="left"/>
      <w:pPr>
        <w:ind w:left="1080" w:hanging="360"/>
      </w:pPr>
    </w:lvl>
    <w:lvl w:ilvl="2" w:tplc="AA307176" w:tentative="1">
      <w:start w:val="1"/>
      <w:numFmt w:val="lowerRoman"/>
      <w:lvlText w:val="%3."/>
      <w:lvlJc w:val="right"/>
      <w:pPr>
        <w:ind w:left="1800" w:hanging="180"/>
      </w:pPr>
    </w:lvl>
    <w:lvl w:ilvl="3" w:tplc="5F546D86" w:tentative="1">
      <w:start w:val="1"/>
      <w:numFmt w:val="decimal"/>
      <w:lvlText w:val="%4."/>
      <w:lvlJc w:val="left"/>
      <w:pPr>
        <w:ind w:left="2520" w:hanging="360"/>
      </w:pPr>
    </w:lvl>
    <w:lvl w:ilvl="4" w:tplc="23A8458A" w:tentative="1">
      <w:start w:val="1"/>
      <w:numFmt w:val="lowerLetter"/>
      <w:lvlText w:val="%5."/>
      <w:lvlJc w:val="left"/>
      <w:pPr>
        <w:ind w:left="3240" w:hanging="360"/>
      </w:pPr>
    </w:lvl>
    <w:lvl w:ilvl="5" w:tplc="43C41012" w:tentative="1">
      <w:start w:val="1"/>
      <w:numFmt w:val="lowerRoman"/>
      <w:lvlText w:val="%6."/>
      <w:lvlJc w:val="right"/>
      <w:pPr>
        <w:ind w:left="3960" w:hanging="180"/>
      </w:pPr>
    </w:lvl>
    <w:lvl w:ilvl="6" w:tplc="03B21226" w:tentative="1">
      <w:start w:val="1"/>
      <w:numFmt w:val="decimal"/>
      <w:lvlText w:val="%7."/>
      <w:lvlJc w:val="left"/>
      <w:pPr>
        <w:ind w:left="4680" w:hanging="360"/>
      </w:pPr>
    </w:lvl>
    <w:lvl w:ilvl="7" w:tplc="C2A02DD6" w:tentative="1">
      <w:start w:val="1"/>
      <w:numFmt w:val="lowerLetter"/>
      <w:lvlText w:val="%8."/>
      <w:lvlJc w:val="left"/>
      <w:pPr>
        <w:ind w:left="5400" w:hanging="360"/>
      </w:pPr>
    </w:lvl>
    <w:lvl w:ilvl="8" w:tplc="F7CA9A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D2747"/>
    <w:multiLevelType w:val="hybridMultilevel"/>
    <w:tmpl w:val="F25650C8"/>
    <w:lvl w:ilvl="0" w:tplc="254880A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87AC78B6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615EC01C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78D28880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54A54DA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ACC20508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6F9ADC04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FE2C7856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B26F030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51822CE6"/>
    <w:multiLevelType w:val="hybridMultilevel"/>
    <w:tmpl w:val="4E52F4CC"/>
    <w:lvl w:ilvl="0" w:tplc="1C266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1292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70C5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4C4A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2E29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2CEE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EC96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DCC6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86F7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F428F"/>
    <w:multiLevelType w:val="hybridMultilevel"/>
    <w:tmpl w:val="3438C676"/>
    <w:lvl w:ilvl="0" w:tplc="9418F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6C897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488B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1272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8AE9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365C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B02E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5603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4098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8D7C5D"/>
    <w:multiLevelType w:val="hybridMultilevel"/>
    <w:tmpl w:val="8DCC5FEE"/>
    <w:lvl w:ilvl="0" w:tplc="E32C8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181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0024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C89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08C5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9001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002E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806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DAD5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DF0056"/>
    <w:multiLevelType w:val="hybridMultilevel"/>
    <w:tmpl w:val="3FB0A2BE"/>
    <w:lvl w:ilvl="0" w:tplc="E0E0A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60C9F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BE40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F006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3C10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1095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4A3B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A6A7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BA3F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4A"/>
    <w:rsid w:val="000A004A"/>
    <w:rsid w:val="000C3EF8"/>
    <w:rsid w:val="000E7733"/>
    <w:rsid w:val="000F429B"/>
    <w:rsid w:val="00107E03"/>
    <w:rsid w:val="00111662"/>
    <w:rsid w:val="00134D3C"/>
    <w:rsid w:val="001359E6"/>
    <w:rsid w:val="001530FB"/>
    <w:rsid w:val="00191479"/>
    <w:rsid w:val="001C6DD3"/>
    <w:rsid w:val="001E3E78"/>
    <w:rsid w:val="00202D0A"/>
    <w:rsid w:val="002236F8"/>
    <w:rsid w:val="00257C2C"/>
    <w:rsid w:val="00270876"/>
    <w:rsid w:val="002717CC"/>
    <w:rsid w:val="0027791A"/>
    <w:rsid w:val="00316454"/>
    <w:rsid w:val="00366978"/>
    <w:rsid w:val="0039764C"/>
    <w:rsid w:val="003A294B"/>
    <w:rsid w:val="003C6E83"/>
    <w:rsid w:val="003E6E87"/>
    <w:rsid w:val="0040328D"/>
    <w:rsid w:val="004143D5"/>
    <w:rsid w:val="00422053"/>
    <w:rsid w:val="004713B8"/>
    <w:rsid w:val="00492670"/>
    <w:rsid w:val="004E4490"/>
    <w:rsid w:val="00510D86"/>
    <w:rsid w:val="00554D3C"/>
    <w:rsid w:val="00567FCA"/>
    <w:rsid w:val="00655923"/>
    <w:rsid w:val="00694764"/>
    <w:rsid w:val="00701E31"/>
    <w:rsid w:val="00714DE0"/>
    <w:rsid w:val="007205A9"/>
    <w:rsid w:val="007761C4"/>
    <w:rsid w:val="008112E9"/>
    <w:rsid w:val="00875722"/>
    <w:rsid w:val="008C576E"/>
    <w:rsid w:val="008E719D"/>
    <w:rsid w:val="008F5A1B"/>
    <w:rsid w:val="00916B10"/>
    <w:rsid w:val="009A4A90"/>
    <w:rsid w:val="009C5B8E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AF1634"/>
    <w:rsid w:val="00B10DC9"/>
    <w:rsid w:val="00B222FE"/>
    <w:rsid w:val="00B24169"/>
    <w:rsid w:val="00B3038C"/>
    <w:rsid w:val="00B50DD1"/>
    <w:rsid w:val="00B52E6E"/>
    <w:rsid w:val="00B726C0"/>
    <w:rsid w:val="00B75868"/>
    <w:rsid w:val="00BD2C91"/>
    <w:rsid w:val="00BD7A1A"/>
    <w:rsid w:val="00C62E82"/>
    <w:rsid w:val="00C71A6F"/>
    <w:rsid w:val="00C84CCD"/>
    <w:rsid w:val="00C86629"/>
    <w:rsid w:val="00CB2E3A"/>
    <w:rsid w:val="00CD34AE"/>
    <w:rsid w:val="00CE37A1"/>
    <w:rsid w:val="00CE5E7B"/>
    <w:rsid w:val="00D01001"/>
    <w:rsid w:val="00D14E41"/>
    <w:rsid w:val="00D16175"/>
    <w:rsid w:val="00D712FE"/>
    <w:rsid w:val="00D724C3"/>
    <w:rsid w:val="00D923CD"/>
    <w:rsid w:val="00D93FCC"/>
    <w:rsid w:val="00DA4610"/>
    <w:rsid w:val="00DD19E1"/>
    <w:rsid w:val="00DD5D8C"/>
    <w:rsid w:val="00E06A7D"/>
    <w:rsid w:val="00E30170"/>
    <w:rsid w:val="00E54FD2"/>
    <w:rsid w:val="00E6738B"/>
    <w:rsid w:val="00E82D31"/>
    <w:rsid w:val="00E84D50"/>
    <w:rsid w:val="00E90F77"/>
    <w:rsid w:val="00ED5705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29EF29FA-6E8C-4FF8-8D63-B7335DEF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567FCA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0A004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0A004A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page/192-Documents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1FEB-7C74-4ACB-94FF-A9BF0D3C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5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BDT</cp:lastModifiedBy>
  <cp:revision>4</cp:revision>
  <cp:lastPrinted>2015-03-02T13:42:00Z</cp:lastPrinted>
  <dcterms:created xsi:type="dcterms:W3CDTF">2019-01-30T09:08:00Z</dcterms:created>
  <dcterms:modified xsi:type="dcterms:W3CDTF">2019-02-06T15:26:00Z</dcterms:modified>
</cp:coreProperties>
</file>