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B45F2D">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w:t>
            </w:r>
            <w:r w:rsidR="00681C0D">
              <w:rPr>
                <w:b/>
                <w:bCs/>
                <w:sz w:val="26"/>
                <w:szCs w:val="26"/>
              </w:rPr>
              <w:t>4</w:t>
            </w:r>
            <w:r w:rsidR="00681C0D" w:rsidRPr="00681C0D">
              <w:rPr>
                <w:b/>
                <w:bCs/>
                <w:sz w:val="26"/>
                <w:szCs w:val="26"/>
                <w:vertAlign w:val="superscript"/>
              </w:rPr>
              <w:t>th</w:t>
            </w:r>
            <w:r w:rsidR="00681C0D">
              <w:rPr>
                <w:b/>
                <w:bCs/>
                <w:sz w:val="26"/>
                <w:szCs w:val="26"/>
              </w:rPr>
              <w:t xml:space="preserve"> Meeting, Geneva,</w:t>
            </w:r>
            <w:r w:rsidR="00BB4339">
              <w:rPr>
                <w:b/>
                <w:bCs/>
                <w:sz w:val="26"/>
                <w:szCs w:val="26"/>
              </w:rPr>
              <w:t xml:space="preserve"> </w:t>
            </w:r>
            <w:r>
              <w:rPr>
                <w:b/>
                <w:bCs/>
                <w:sz w:val="26"/>
                <w:szCs w:val="26"/>
              </w:rPr>
              <w:t>April 201</w:t>
            </w:r>
            <w:r w:rsidR="00681C0D">
              <w:rPr>
                <w:b/>
                <w:bCs/>
                <w:sz w:val="26"/>
                <w:szCs w:val="26"/>
              </w:rPr>
              <w:t>9</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BBA9990" wp14:editId="5BBA9991">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75705">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681C0D">
              <w:rPr>
                <w:b/>
                <w:bCs/>
                <w:szCs w:val="24"/>
                <w:lang w:val="es-ES_tradnl"/>
              </w:rPr>
              <w:t>TDAG-19</w:t>
            </w:r>
            <w:r w:rsidRPr="00147DA1">
              <w:rPr>
                <w:b/>
                <w:bCs/>
                <w:szCs w:val="24"/>
                <w:lang w:val="es-ES_tradnl"/>
              </w:rPr>
              <w:t>/</w:t>
            </w:r>
            <w:r w:rsidR="00475705">
              <w:rPr>
                <w:b/>
                <w:bCs/>
                <w:szCs w:val="24"/>
                <w:lang w:val="es-ES_tradnl"/>
              </w:rPr>
              <w:t>6</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5E3178" w:rsidP="00033EEB">
            <w:pPr>
              <w:spacing w:before="0" w:line="240" w:lineRule="atLeast"/>
              <w:rPr>
                <w:rFonts w:cstheme="minorHAnsi"/>
                <w:szCs w:val="24"/>
              </w:rPr>
            </w:pPr>
            <w:r>
              <w:rPr>
                <w:b/>
                <w:bCs/>
                <w:szCs w:val="24"/>
                <w:lang w:val="fr-FR"/>
              </w:rPr>
              <w:t>14</w:t>
            </w:r>
            <w:bookmarkStart w:id="7" w:name="_GoBack"/>
            <w:bookmarkEnd w:id="7"/>
            <w:r w:rsidR="00033EEB">
              <w:rPr>
                <w:b/>
                <w:bCs/>
                <w:szCs w:val="24"/>
                <w:lang w:val="fr-FR"/>
              </w:rPr>
              <w:t xml:space="preserve"> February</w:t>
            </w:r>
            <w:r w:rsidR="00593B87">
              <w:rPr>
                <w:b/>
                <w:bCs/>
                <w:szCs w:val="24"/>
                <w:lang w:val="fr-FR"/>
              </w:rPr>
              <w:t xml:space="preserve"> 201</w:t>
            </w:r>
            <w:r w:rsidR="00681C0D">
              <w:rPr>
                <w:b/>
                <w:bCs/>
                <w:szCs w:val="24"/>
                <w:lang w:val="fr-FR"/>
              </w:rPr>
              <w:t>9</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475705" w:rsidP="00B911B2">
            <w:pPr>
              <w:pStyle w:val="Source"/>
              <w:spacing w:before="240" w:after="240"/>
            </w:pPr>
            <w:r w:rsidRPr="00475705">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44B78" w:rsidP="00A44B78">
            <w:pPr>
              <w:pStyle w:val="Title1"/>
              <w:spacing w:after="120"/>
            </w:pPr>
            <w:r>
              <w:rPr>
                <w:bCs/>
                <w:szCs w:val="28"/>
              </w:rPr>
              <w:t>ITU-D</w:t>
            </w:r>
            <w:r w:rsidRPr="0029380F">
              <w:rPr>
                <w:bCs/>
                <w:szCs w:val="28"/>
              </w:rPr>
              <w:t xml:space="preserve"> </w:t>
            </w:r>
            <w:r w:rsidR="0029380F" w:rsidRPr="0029380F">
              <w:rPr>
                <w:bCs/>
                <w:szCs w:val="28"/>
              </w:rPr>
              <w:t>FOUR-YE</w:t>
            </w:r>
            <w:r w:rsidR="00681C0D">
              <w:rPr>
                <w:bCs/>
                <w:szCs w:val="28"/>
              </w:rPr>
              <w:t>AR ROLLING OPERATIONAL PLAN 2020</w:t>
            </w:r>
            <w:r w:rsidR="0029380F" w:rsidRPr="0029380F">
              <w:rPr>
                <w:bCs/>
                <w:szCs w:val="28"/>
              </w:rPr>
              <w:t>-202</w:t>
            </w:r>
            <w:r w:rsidR="00681C0D">
              <w:rPr>
                <w:bCs/>
                <w:szCs w:val="28"/>
              </w:rPr>
              <w:t>3</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29380F">
            <w:pPr>
              <w:rPr>
                <w:b/>
                <w:bCs/>
                <w:szCs w:val="24"/>
              </w:rPr>
            </w:pPr>
            <w:r w:rsidRPr="00D9621A">
              <w:rPr>
                <w:b/>
                <w:bCs/>
                <w:szCs w:val="24"/>
              </w:rPr>
              <w:t>Summary:</w:t>
            </w:r>
          </w:p>
          <w:p w:rsidR="0029380F" w:rsidRPr="00E442AF" w:rsidRDefault="0029380F" w:rsidP="00191687">
            <w:pPr>
              <w:rPr>
                <w:rFonts w:ascii="Calibri" w:hAnsi="Calibri"/>
                <w:sz w:val="22"/>
                <w:lang w:eastAsia="zh-CN"/>
              </w:rPr>
            </w:pPr>
            <w:r w:rsidRPr="006279FE">
              <w:t xml:space="preserve">The purpose of this document is to present for TDAG’s consideration the outline and key elements of the draft four-year rolling Operational Plan for the Telecommunication </w:t>
            </w:r>
            <w:r w:rsidR="00681C0D">
              <w:t>Development Sector for the 2020-2023</w:t>
            </w:r>
            <w:r w:rsidRPr="006279FE">
              <w:t xml:space="preserve"> timeframe.</w:t>
            </w:r>
            <w:r w:rsidR="00BB4339">
              <w:t xml:space="preserve"> </w:t>
            </w:r>
            <w:r>
              <w:t xml:space="preserve">The complete draft four-year rolling Operational Plan for the </w:t>
            </w:r>
            <w:r w:rsidRPr="00E442AF">
              <w:t>Telecommunica</w:t>
            </w:r>
            <w:r w:rsidR="00681C0D" w:rsidRPr="00E442AF">
              <w:t>tion Development Sector for 2020-2023</w:t>
            </w:r>
            <w:r w:rsidRPr="00E442AF">
              <w:t xml:space="preserve"> can be found </w:t>
            </w:r>
            <w:r w:rsidR="00191687" w:rsidRPr="00E442AF">
              <w:t>here:</w:t>
            </w:r>
            <w:r w:rsidR="00191687" w:rsidRPr="00E442AF">
              <w:br/>
            </w:r>
            <w:hyperlink r:id="rId13" w:history="1">
              <w:r w:rsidR="00681C0D" w:rsidRPr="00E442AF">
                <w:rPr>
                  <w:rStyle w:val="Hyperlink"/>
                </w:rPr>
                <w:t>https://www.itu.int/en/ITU-D/TIES_Protected/OP2020-2023.pdf</w:t>
              </w:r>
            </w:hyperlink>
            <w:r w:rsidR="00191687" w:rsidRPr="00E442AF">
              <w:t>.</w:t>
            </w:r>
          </w:p>
          <w:p w:rsidR="0029380F" w:rsidRDefault="00681C0D" w:rsidP="00191687">
            <w:pPr>
              <w:snapToGrid w:val="0"/>
            </w:pPr>
            <w:r w:rsidRPr="00E442AF">
              <w:t>The 2018</w:t>
            </w:r>
            <w:r w:rsidR="0029380F" w:rsidRPr="00E442AF">
              <w:t xml:space="preserve"> ITU-D performance report sets forth details on the level of implementation of the</w:t>
            </w:r>
            <w:r w:rsidRPr="00E442AF">
              <w:t xml:space="preserve"> outcomes as</w:t>
            </w:r>
            <w:r>
              <w:t xml:space="preserve"> well as on the 2021</w:t>
            </w:r>
            <w:r w:rsidR="0029380F">
              <w:t xml:space="preserve"> targets when applicable.</w:t>
            </w:r>
          </w:p>
          <w:p w:rsidR="001E252D" w:rsidRPr="00D9621A" w:rsidRDefault="001E252D" w:rsidP="00191687">
            <w:pPr>
              <w:rPr>
                <w:b/>
                <w:bCs/>
                <w:szCs w:val="24"/>
              </w:rPr>
            </w:pPr>
            <w:r w:rsidRPr="005E090D">
              <w:rPr>
                <w:b/>
                <w:bCs/>
              </w:rPr>
              <w:t>Action required</w:t>
            </w:r>
            <w:r w:rsidR="008A3933">
              <w:rPr>
                <w:b/>
                <w:bCs/>
              </w:rPr>
              <w:t>:</w:t>
            </w:r>
          </w:p>
          <w:p w:rsidR="0029380F" w:rsidRDefault="0029380F" w:rsidP="00855E45">
            <w:r w:rsidRPr="0029380F">
              <w:t xml:space="preserve">TDAG </w:t>
            </w:r>
            <w:r>
              <w:t xml:space="preserve">is invited to consider this </w:t>
            </w:r>
            <w:r w:rsidR="00855E45">
              <w:t xml:space="preserve">document </w:t>
            </w:r>
            <w:r>
              <w:t>and provide guidance</w:t>
            </w:r>
            <w:r w:rsidR="00855E45">
              <w:t>,</w:t>
            </w:r>
            <w:r>
              <w:t xml:space="preserve"> as deemed appropriate.</w:t>
            </w:r>
          </w:p>
          <w:p w:rsidR="001E252D" w:rsidRPr="00D9621A" w:rsidRDefault="001E252D" w:rsidP="00191687">
            <w:pPr>
              <w:rPr>
                <w:b/>
                <w:bCs/>
                <w:szCs w:val="24"/>
              </w:rPr>
            </w:pPr>
            <w:r w:rsidRPr="00D9621A">
              <w:rPr>
                <w:b/>
                <w:bCs/>
                <w:szCs w:val="24"/>
              </w:rPr>
              <w:t>References</w:t>
            </w:r>
            <w:r w:rsidR="008A3933">
              <w:rPr>
                <w:b/>
                <w:bCs/>
                <w:szCs w:val="24"/>
              </w:rPr>
              <w:t>:</w:t>
            </w:r>
          </w:p>
          <w:p w:rsidR="001E252D" w:rsidRPr="00D9621A" w:rsidRDefault="005E3178" w:rsidP="00567AB7">
            <w:pPr>
              <w:spacing w:after="120"/>
            </w:pPr>
            <w:hyperlink r:id="rId14" w:history="1">
              <w:r w:rsidR="0029380F" w:rsidRPr="00595B1B">
                <w:rPr>
                  <w:rStyle w:val="Hyperlink"/>
                  <w:rFonts w:cstheme="minorHAnsi"/>
                  <w:szCs w:val="28"/>
                </w:rPr>
                <w:t>No. 223A</w:t>
              </w:r>
            </w:hyperlink>
            <w:r w:rsidR="008839F4">
              <w:rPr>
                <w:rStyle w:val="Hyperlink"/>
                <w:rFonts w:cstheme="minorHAnsi"/>
                <w:szCs w:val="28"/>
              </w:rPr>
              <w:t xml:space="preserve"> of the ITU </w:t>
            </w:r>
            <w:r w:rsidR="00567AB7">
              <w:rPr>
                <w:rStyle w:val="Hyperlink"/>
                <w:rFonts w:cstheme="minorHAnsi"/>
                <w:szCs w:val="28"/>
              </w:rPr>
              <w:t>Convention</w:t>
            </w:r>
            <w:r w:rsidR="008839F4">
              <w:rPr>
                <w:rStyle w:val="Hyperlink"/>
                <w:rFonts w:cstheme="minorHAnsi"/>
                <w:szCs w:val="28"/>
              </w:rPr>
              <w:t>,</w:t>
            </w:r>
            <w:r w:rsidR="0029380F" w:rsidRPr="00595B1B">
              <w:rPr>
                <w:rStyle w:val="Hyperlink"/>
                <w:rFonts w:cstheme="minorHAnsi"/>
                <w:szCs w:val="28"/>
              </w:rPr>
              <w:t xml:space="preserve"> </w:t>
            </w:r>
            <w:hyperlink r:id="rId15" w:history="1">
              <w:r w:rsidR="0029380F" w:rsidRPr="00595B1B">
                <w:rPr>
                  <w:rStyle w:val="Hyperlink"/>
                </w:rPr>
                <w:t>Resolution 72 (Rev. Busan, 2014)</w:t>
              </w:r>
            </w:hyperlink>
            <w:r w:rsidR="008839F4">
              <w:rPr>
                <w:rStyle w:val="Hyperlink"/>
              </w:rPr>
              <w:t>,</w:t>
            </w:r>
            <w:r w:rsidR="0029380F" w:rsidRPr="00595B1B">
              <w:rPr>
                <w:rStyle w:val="Hyperlink"/>
              </w:rPr>
              <w:t xml:space="preserve"> </w:t>
            </w:r>
            <w:hyperlink r:id="rId16" w:history="1">
              <w:r w:rsidR="00681C0D">
                <w:rPr>
                  <w:rStyle w:val="Hyperlink"/>
                </w:rPr>
                <w:t>2018</w:t>
              </w:r>
              <w:r w:rsidR="0029380F" w:rsidRPr="00595B1B">
                <w:rPr>
                  <w:rStyle w:val="Hyperlink"/>
                </w:rPr>
                <w:t xml:space="preserve"> ITU-D performance report</w:t>
              </w:r>
            </w:hyperlink>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rPr>
      </w:pPr>
    </w:p>
    <w:p w:rsidR="00AD78C9" w:rsidRDefault="00AD78C9" w:rsidP="00AD78C9">
      <w:pPr>
        <w:pStyle w:val="Heading1"/>
        <w:numPr>
          <w:ilvl w:val="0"/>
          <w:numId w:val="15"/>
        </w:numPr>
        <w:tabs>
          <w:tab w:val="clear" w:pos="1134"/>
          <w:tab w:val="clear" w:pos="1871"/>
          <w:tab w:val="clear" w:pos="2268"/>
        </w:tabs>
        <w:overflowPunct/>
        <w:autoSpaceDE/>
        <w:autoSpaceDN/>
        <w:adjustRightInd/>
        <w:spacing w:before="240" w:line="259" w:lineRule="auto"/>
        <w:textAlignment w:val="auto"/>
        <w:rPr>
          <w:lang w:val="en-US"/>
        </w:rPr>
        <w:sectPr w:rsidR="00AD78C9" w:rsidSect="00044DF8">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134" w:left="1134" w:header="709" w:footer="709" w:gutter="0"/>
          <w:cols w:space="708"/>
          <w:titlePg/>
          <w:docGrid w:linePitch="360"/>
        </w:sectPr>
      </w:pPr>
    </w:p>
    <w:p w:rsidR="00B45F2D" w:rsidRPr="00F8783B" w:rsidRDefault="00B45F2D"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Introduction</w:t>
      </w:r>
    </w:p>
    <w:p w:rsidR="00B45F2D" w:rsidRPr="00DF1219" w:rsidRDefault="00B45F2D" w:rsidP="00F8783B">
      <w:pPr>
        <w:spacing w:after="120"/>
        <w:rPr>
          <w:lang w:val="en-US"/>
        </w:rPr>
      </w:pPr>
      <w:r>
        <w:rPr>
          <w:lang w:val="en-US"/>
        </w:rPr>
        <w:t>T</w:t>
      </w:r>
      <w:r w:rsidRPr="00DF1219">
        <w:rPr>
          <w:lang w:val="en-US"/>
        </w:rPr>
        <w:t>he 4-year rolling operational plan for the ITU Telecommunication Develo</w:t>
      </w:r>
      <w:r w:rsidR="00A7509A">
        <w:rPr>
          <w:lang w:val="en-US"/>
        </w:rPr>
        <w:t>pment Sector (ITU-D OP) for 2020-2023</w:t>
      </w:r>
      <w:r w:rsidRPr="00DF1219">
        <w:rPr>
          <w:lang w:val="en-US"/>
        </w:rPr>
        <w:t xml:space="preserve"> is aligned with the structure of the strategic plan for the Union for 2020-2023</w:t>
      </w:r>
      <w:r w:rsidR="00276AC8">
        <w:rPr>
          <w:lang w:val="en-US"/>
        </w:rPr>
        <w:t xml:space="preserve"> approved by the ITU Plenipotentiary Conference 2018</w:t>
      </w:r>
      <w:r w:rsidRPr="00DF1219">
        <w:rPr>
          <w:lang w:val="en-US"/>
        </w:rPr>
        <w:t>.</w:t>
      </w:r>
      <w:r w:rsidR="00BB4339">
        <w:rPr>
          <w:lang w:val="en-US"/>
        </w:rPr>
        <w:t xml:space="preserve"> </w:t>
      </w:r>
      <w:r w:rsidRPr="00DF1219">
        <w:rPr>
          <w:lang w:val="en-US"/>
        </w:rPr>
        <w:t xml:space="preserve">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2020-2023 </w:t>
      </w:r>
      <w:r w:rsidR="00276AC8">
        <w:rPr>
          <w:lang w:val="en-US"/>
        </w:rPr>
        <w:t xml:space="preserve">are included in </w:t>
      </w:r>
      <w:r w:rsidRPr="00DF1219">
        <w:rPr>
          <w:lang w:val="en-US"/>
        </w:rPr>
        <w:t>Resolution 71</w:t>
      </w:r>
      <w:r w:rsidR="00276AC8">
        <w:rPr>
          <w:lang w:val="en-US"/>
        </w:rPr>
        <w:t xml:space="preserve"> (Rev. Dubai, 2018) on </w:t>
      </w:r>
      <w:r w:rsidR="00276AC8" w:rsidRPr="00E442AF">
        <w:rPr>
          <w:i/>
          <w:iCs/>
          <w:lang w:val="en-US"/>
        </w:rPr>
        <w:t>Strategic p</w:t>
      </w:r>
      <w:r w:rsidRPr="00E442AF">
        <w:rPr>
          <w:i/>
          <w:iCs/>
          <w:lang w:val="en-US"/>
        </w:rPr>
        <w:t>lan for the Union</w:t>
      </w:r>
      <w:r w:rsidR="00276AC8" w:rsidRPr="00E442AF">
        <w:rPr>
          <w:i/>
          <w:iCs/>
          <w:lang w:val="en-US"/>
        </w:rPr>
        <w:t xml:space="preserve"> for</w:t>
      </w:r>
      <w:r w:rsidRPr="00E442AF">
        <w:rPr>
          <w:i/>
          <w:iCs/>
          <w:lang w:val="en-US"/>
        </w:rPr>
        <w:t xml:space="preserve"> 2020-2023</w:t>
      </w:r>
      <w:r w:rsidRPr="00DF1219">
        <w:rPr>
          <w:lang w:val="en-US"/>
        </w:rPr>
        <w:t>.</w:t>
      </w:r>
      <w:r w:rsidR="00BB4339">
        <w:rPr>
          <w:lang w:val="en-US"/>
        </w:rPr>
        <w:t xml:space="preserve"> </w:t>
      </w:r>
      <w:r w:rsidRPr="00DF1219">
        <w:rPr>
          <w:lang w:val="en-US"/>
        </w:rPr>
        <w:t>The operational plan is presented here within the limits set in the financial plans for the concerned timeframes.</w:t>
      </w:r>
    </w:p>
    <w:p w:rsidR="00B45F2D" w:rsidRPr="00DF1219" w:rsidRDefault="00B45F2D" w:rsidP="00F8783B">
      <w:pPr>
        <w:spacing w:after="120"/>
        <w:jc w:val="center"/>
        <w:rPr>
          <w:b/>
          <w:bCs/>
          <w:lang w:val="en-US"/>
        </w:rPr>
      </w:pPr>
      <w:r w:rsidRPr="00DF1219">
        <w:rPr>
          <w:b/>
          <w:bCs/>
          <w:lang w:val="en-US"/>
        </w:rPr>
        <w:t>Chart 1. ITU-D Operational Plan and the ITU Strategic Framework for 2020-2023</w:t>
      </w:r>
    </w:p>
    <w:p w:rsidR="00B45F2D" w:rsidRPr="00DF1219" w:rsidRDefault="00B45F2D" w:rsidP="00F8783B">
      <w:pPr>
        <w:spacing w:after="120"/>
        <w:rPr>
          <w:lang w:val="en-US"/>
        </w:rPr>
      </w:pPr>
    </w:p>
    <w:p w:rsidR="00B45F2D" w:rsidRPr="00DF1219" w:rsidRDefault="00B45F2D" w:rsidP="00B45F2D">
      <w:pPr>
        <w:jc w:val="center"/>
        <w:rPr>
          <w:lang w:val="en-US"/>
        </w:rPr>
      </w:pPr>
      <w:r>
        <w:rPr>
          <w:noProof/>
          <w:lang w:eastAsia="zh-CN"/>
        </w:rPr>
        <w:drawing>
          <wp:inline distT="0" distB="0" distL="0" distR="0" wp14:anchorId="5BBA9992" wp14:editId="5BBA9993">
            <wp:extent cx="6305550" cy="353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4158" cy="3547009"/>
                    </a:xfrm>
                    <a:prstGeom prst="rect">
                      <a:avLst/>
                    </a:prstGeom>
                    <a:noFill/>
                  </pic:spPr>
                </pic:pic>
              </a:graphicData>
            </a:graphic>
          </wp:inline>
        </w:drawing>
      </w:r>
    </w:p>
    <w:p w:rsidR="00B45F2D" w:rsidRPr="00F8783B" w:rsidRDefault="00B45F2D"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Context and key priorities for the ITU-D Sector</w:t>
      </w:r>
    </w:p>
    <w:p w:rsidR="00B45F2D" w:rsidRPr="00C55585" w:rsidRDefault="00B45F2D">
      <w:pPr>
        <w:spacing w:after="120"/>
        <w:rPr>
          <w:szCs w:val="24"/>
          <w:lang w:val="en-US"/>
        </w:rPr>
      </w:pPr>
      <w:r w:rsidRPr="00F8783B">
        <w:rPr>
          <w:szCs w:val="24"/>
          <w:lang w:val="en-US"/>
        </w:rPr>
        <w:t>The 20</w:t>
      </w:r>
      <w:r w:rsidR="00DD61D0" w:rsidRPr="00F8783B">
        <w:rPr>
          <w:szCs w:val="24"/>
          <w:lang w:val="en-US"/>
        </w:rPr>
        <w:t>20</w:t>
      </w:r>
      <w:r w:rsidRPr="00F8783B">
        <w:rPr>
          <w:szCs w:val="24"/>
          <w:lang w:val="en-US"/>
        </w:rPr>
        <w:t>-202</w:t>
      </w:r>
      <w:r w:rsidR="00DD61D0" w:rsidRPr="00F8783B">
        <w:rPr>
          <w:szCs w:val="24"/>
          <w:lang w:val="en-US"/>
        </w:rPr>
        <w:t>3</w:t>
      </w:r>
      <w:r w:rsidRPr="00F8783B">
        <w:rPr>
          <w:szCs w:val="24"/>
          <w:lang w:val="en-US"/>
        </w:rPr>
        <w:t xml:space="preserve"> timeframe will be an important and challenging period for the ITU-D Sector.</w:t>
      </w:r>
      <w:r w:rsidR="00BB4339">
        <w:rPr>
          <w:szCs w:val="24"/>
          <w:lang w:val="en-US"/>
        </w:rPr>
        <w:t xml:space="preserve"> </w:t>
      </w:r>
      <w:r w:rsidRPr="00F8783B">
        <w:rPr>
          <w:szCs w:val="24"/>
          <w:lang w:val="en-US"/>
        </w:rPr>
        <w:t>This</w:t>
      </w:r>
      <w:r w:rsidR="00DD61D0" w:rsidRPr="00F8783B">
        <w:rPr>
          <w:szCs w:val="24"/>
          <w:lang w:val="en-US"/>
        </w:rPr>
        <w:t xml:space="preserve"> will be the period for the continued</w:t>
      </w:r>
      <w:r w:rsidRPr="00F8783B">
        <w:rPr>
          <w:szCs w:val="24"/>
          <w:lang w:val="en-US"/>
        </w:rPr>
        <w:t xml:space="preserve"> implementation of the Buenos Aires Action Plan (BaAP), </w:t>
      </w:r>
      <w:r w:rsidR="00855E45">
        <w:rPr>
          <w:szCs w:val="24"/>
          <w:lang w:val="en-US"/>
        </w:rPr>
        <w:t xml:space="preserve">and the </w:t>
      </w:r>
      <w:r w:rsidRPr="00F8783B">
        <w:rPr>
          <w:szCs w:val="24"/>
          <w:lang w:val="en-US"/>
        </w:rPr>
        <w:t>Regional Initiatives and other outcomes of the World Telecommunication Development Conference 2017 (WTDC-17).</w:t>
      </w:r>
      <w:r w:rsidR="00BB4339">
        <w:rPr>
          <w:szCs w:val="24"/>
          <w:lang w:val="en-US"/>
        </w:rPr>
        <w:t xml:space="preserve"> </w:t>
      </w:r>
      <w:r w:rsidR="00DD61D0" w:rsidRPr="00F8783B">
        <w:rPr>
          <w:szCs w:val="24"/>
          <w:lang w:val="en-US"/>
        </w:rPr>
        <w:t xml:space="preserve">This will also be the period for </w:t>
      </w:r>
      <w:r w:rsidRPr="00F8783B">
        <w:rPr>
          <w:szCs w:val="24"/>
          <w:lang w:val="en-US"/>
        </w:rPr>
        <w:t>the implementation of the new 2020-2023 Strategic Plan</w:t>
      </w:r>
      <w:r w:rsidR="00DD61D0" w:rsidRPr="00F8783B">
        <w:rPr>
          <w:szCs w:val="24"/>
          <w:lang w:val="en-US"/>
        </w:rPr>
        <w:t>.</w:t>
      </w:r>
      <w:r w:rsidR="00BB4339">
        <w:rPr>
          <w:szCs w:val="24"/>
          <w:lang w:val="en-US"/>
        </w:rPr>
        <w:t xml:space="preserve"> </w:t>
      </w:r>
      <w:r w:rsidR="00DD61D0" w:rsidRPr="00F8783B">
        <w:rPr>
          <w:szCs w:val="24"/>
          <w:lang w:val="en-US"/>
        </w:rPr>
        <w:t xml:space="preserve">This new Strategic Plan </w:t>
      </w:r>
      <w:r w:rsidRPr="00F8783B">
        <w:rPr>
          <w:szCs w:val="24"/>
          <w:lang w:val="en-US"/>
        </w:rPr>
        <w:t>set</w:t>
      </w:r>
      <w:r w:rsidR="00DD61D0" w:rsidRPr="00F8783B">
        <w:rPr>
          <w:szCs w:val="24"/>
          <w:lang w:val="en-US"/>
        </w:rPr>
        <w:t>s</w:t>
      </w:r>
      <w:r w:rsidRPr="00F8783B">
        <w:rPr>
          <w:szCs w:val="24"/>
          <w:lang w:val="en-US"/>
        </w:rPr>
        <w:t xml:space="preserve"> </w:t>
      </w:r>
      <w:r w:rsidR="00DD61D0" w:rsidRPr="00F8783B">
        <w:rPr>
          <w:i/>
          <w:iCs/>
          <w:szCs w:val="24"/>
          <w:lang w:val="en-US"/>
        </w:rPr>
        <w:t>inter alia</w:t>
      </w:r>
      <w:r w:rsidR="00DD61D0" w:rsidRPr="00F8783B">
        <w:rPr>
          <w:szCs w:val="24"/>
          <w:lang w:val="en-US"/>
        </w:rPr>
        <w:t xml:space="preserve"> </w:t>
      </w:r>
      <w:r w:rsidRPr="00F8783B">
        <w:rPr>
          <w:szCs w:val="24"/>
          <w:lang w:val="en-US"/>
        </w:rPr>
        <w:t xml:space="preserve">the strategic and financial frameworks within which ITU-D will organize its work and implement its work </w:t>
      </w:r>
      <w:r w:rsidRPr="00C55585">
        <w:rPr>
          <w:szCs w:val="24"/>
          <w:lang w:val="en-US"/>
        </w:rPr>
        <w:t>programme for that period.</w:t>
      </w:r>
      <w:r w:rsidR="00BB4339" w:rsidRPr="00C55585">
        <w:rPr>
          <w:szCs w:val="24"/>
          <w:lang w:val="en-US"/>
        </w:rPr>
        <w:t xml:space="preserve"> </w:t>
      </w:r>
      <w:r w:rsidRPr="00C55585">
        <w:rPr>
          <w:szCs w:val="24"/>
          <w:lang w:val="en-US"/>
        </w:rPr>
        <w:t>The next World Telecommunication Development Conference will convene in 2021 setting out objectives, action plans, programmes and regional initiatives for the following four-year period.</w:t>
      </w:r>
      <w:r w:rsidR="00BB4339" w:rsidRPr="00C55585">
        <w:rPr>
          <w:szCs w:val="24"/>
          <w:lang w:val="en-US"/>
        </w:rPr>
        <w:t xml:space="preserve"> </w:t>
      </w:r>
      <w:r w:rsidRPr="00C55585">
        <w:rPr>
          <w:szCs w:val="24"/>
          <w:lang w:val="en-US"/>
        </w:rPr>
        <w:t>The preparation of WTDC-21 will start in 2020.</w:t>
      </w:r>
    </w:p>
    <w:p w:rsidR="00B45F2D" w:rsidRPr="00C55585" w:rsidRDefault="00192517">
      <w:pPr>
        <w:spacing w:after="120"/>
        <w:rPr>
          <w:szCs w:val="24"/>
          <w:lang w:val="en-US"/>
        </w:rPr>
      </w:pPr>
      <w:r w:rsidRPr="00C55585">
        <w:rPr>
          <w:szCs w:val="24"/>
          <w:lang w:val="en-US"/>
        </w:rPr>
        <w:t xml:space="preserve">It is recalled that </w:t>
      </w:r>
      <w:r w:rsidR="00B45F2D" w:rsidRPr="00C55585">
        <w:rPr>
          <w:szCs w:val="24"/>
          <w:lang w:val="en-US"/>
        </w:rPr>
        <w:t xml:space="preserve">WTDC-17 </w:t>
      </w:r>
      <w:r w:rsidR="00D9318F" w:rsidRPr="00C55585">
        <w:rPr>
          <w:szCs w:val="24"/>
          <w:lang w:val="en-US"/>
        </w:rPr>
        <w:t xml:space="preserve">was </w:t>
      </w:r>
      <w:r w:rsidR="00B45F2D" w:rsidRPr="00C55585">
        <w:rPr>
          <w:szCs w:val="24"/>
          <w:lang w:val="en-US"/>
        </w:rPr>
        <w:t>convened under the theme of "ICT for Sustainable Development Goals” (ICT</w:t>
      </w:r>
      <w:r w:rsidR="00B45F2D" w:rsidRPr="00C55585">
        <w:rPr>
          <w:rFonts w:hint="eastAsia"/>
          <w:szCs w:val="24"/>
          <w:lang w:val="en-US"/>
        </w:rPr>
        <w:t>④</w:t>
      </w:r>
      <w:r w:rsidR="00B45F2D" w:rsidRPr="00C55585">
        <w:rPr>
          <w:szCs w:val="24"/>
          <w:lang w:val="en-US"/>
        </w:rPr>
        <w:t>SDGs).</w:t>
      </w:r>
      <w:r w:rsidR="00BB4339" w:rsidRPr="00C55585">
        <w:rPr>
          <w:szCs w:val="24"/>
          <w:lang w:val="en-US"/>
        </w:rPr>
        <w:t xml:space="preserve"> </w:t>
      </w:r>
      <w:r w:rsidR="00B45F2D" w:rsidRPr="00C55585">
        <w:rPr>
          <w:szCs w:val="24"/>
          <w:lang w:val="en-US"/>
        </w:rPr>
        <w:t>Telecommunications/ICTs are recognized as a key tool for implementing the WSIS Vision beyond 2015 and a key enabler for social, environmental, cultural and economic development; and consequently for accelerating the timely attainment of the Sustainable Development Goals (SDGs).</w:t>
      </w:r>
    </w:p>
    <w:p w:rsidR="00B45F2D" w:rsidRPr="00C55585" w:rsidRDefault="00B45F2D">
      <w:pPr>
        <w:spacing w:after="120"/>
        <w:rPr>
          <w:szCs w:val="24"/>
          <w:lang w:val="en-US"/>
        </w:rPr>
      </w:pPr>
      <w:r w:rsidRPr="00C55585">
        <w:rPr>
          <w:szCs w:val="24"/>
          <w:lang w:val="en-US"/>
        </w:rPr>
        <w:t>The high-priority areas for ITU-D have been identified as the following (without associating any order of priority):</w:t>
      </w:r>
    </w:p>
    <w:p w:rsidR="00B45F2D" w:rsidRPr="00C55585"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C55585">
        <w:rPr>
          <w:sz w:val="24"/>
          <w:szCs w:val="18"/>
          <w:lang w:val="en-US"/>
        </w:rPr>
        <w:t>International cooperation and agreement</w:t>
      </w:r>
    </w:p>
    <w:p w:rsidR="00B45F2D" w:rsidRPr="00C55585" w:rsidRDefault="00B45F2D"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C55585">
        <w:rPr>
          <w:szCs w:val="24"/>
          <w:lang w:val="en-US"/>
        </w:rPr>
        <w:t>Ensuring the successful organization and completion of the major ITU-D Conference and meetings planned for 20</w:t>
      </w:r>
      <w:r w:rsidR="00DA7012">
        <w:rPr>
          <w:szCs w:val="24"/>
          <w:lang w:val="en-US"/>
        </w:rPr>
        <w:t>20</w:t>
      </w:r>
      <w:r w:rsidRPr="00C55585">
        <w:rPr>
          <w:szCs w:val="24"/>
          <w:lang w:val="en-US"/>
        </w:rPr>
        <w:t>-202</w:t>
      </w:r>
      <w:r w:rsidR="00DA7012">
        <w:rPr>
          <w:szCs w:val="24"/>
          <w:lang w:val="en-US"/>
        </w:rPr>
        <w:t>3</w:t>
      </w:r>
      <w:r w:rsidRPr="00C55585">
        <w:rPr>
          <w:szCs w:val="24"/>
          <w:lang w:val="en-US"/>
        </w:rPr>
        <w:t xml:space="preserve"> (TDAG, Study Group meetings, RPMs, WTDC-21) on the basis of timely preparatory and organizational work.</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C55585">
        <w:rPr>
          <w:szCs w:val="24"/>
          <w:lang w:val="en-US"/>
        </w:rPr>
        <w:t>Implementing the ITU-D Action Plan and the resolutions and recommendations adopted by the 2017 World Telecommunication Development</w:t>
      </w:r>
      <w:r w:rsidRPr="00F8783B">
        <w:rPr>
          <w:szCs w:val="24"/>
          <w:lang w:val="en-US"/>
        </w:rPr>
        <w:t xml:space="preserve"> Conference (WTDC-17)</w:t>
      </w:r>
      <w:r w:rsidR="00DA7012">
        <w:rPr>
          <w:szCs w:val="24"/>
          <w:lang w:val="en-US"/>
        </w:rPr>
        <w:t xml:space="preserve"> and the next WTDC.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Ensuring enhanced knowledge-sharing, dialogue and partnership among the ITU membership on telecommunication/ICT issues.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Ensuring timely and effective implementation of telecommunication/ICT development projects and regional initiatives.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 xml:space="preserve">Developing and strengthening partnerships to mobilize resources to promote sustainable telecommunication/ICT development.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Development of infrastructure and services, including building confidence and security in the use of telecommunications/ICTs</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Assisting ITU membership in maximizing the use of new technologies for the development of their information and communication infrastructures and services and building global telecommunication/ICT infrastructure.</w:t>
      </w:r>
      <w:r w:rsidR="00BB4339">
        <w:rPr>
          <w:szCs w:val="24"/>
          <w:lang w:val="en-US"/>
        </w:rPr>
        <w:t xml:space="preserve"> </w:t>
      </w:r>
    </w:p>
    <w:p w:rsidR="00B45F2D" w:rsidRPr="00F8783B" w:rsidRDefault="00B45F2D">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particular developing countries, in building trust and confidence in the use of ICTs.</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lastRenderedPageBreak/>
        <w:t>Assisting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w:t>
      </w:r>
      <w:r w:rsidR="00BB4339">
        <w:rPr>
          <w:szCs w:val="24"/>
          <w:lang w:val="en-US"/>
        </w:rPr>
        <w:t xml:space="preserve">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Enabling policy and regulatory environment conducive to sustainable telecommunication/ICT development</w:t>
      </w:r>
    </w:p>
    <w:p w:rsidR="00DA7012" w:rsidRPr="00E442AF" w:rsidRDefault="00DA7012" w:rsidP="00DA7012">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pPr>
      <w:r w:rsidRPr="00E442AF">
        <w:t xml:space="preserve">Strengthening the capacity of  ITU membership in enhancing the enabling legal, policy and regulatory environments, as well as communication and collaboration mechanisms with other sectors conducive to the development of telecommunications /ICTs in a digital economy to ensure  that all can benefit from the full potential of telecommunications/ICTs.  </w:t>
      </w:r>
    </w:p>
    <w:p w:rsidR="00DA7012" w:rsidRDefault="00B45F2D"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taking informed policy and strategic decisions based on high-quality, internationally comparable ICT statistics and data analysis.</w:t>
      </w:r>
      <w:r w:rsidR="00BB4339">
        <w:rPr>
          <w:szCs w:val="24"/>
          <w:lang w:val="en-US"/>
        </w:rPr>
        <w:t xml:space="preserve"> </w:t>
      </w:r>
    </w:p>
    <w:p w:rsidR="00DA7012" w:rsidRPr="00E442AF" w:rsidRDefault="00DA7012" w:rsidP="00DA7012">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E442AF">
        <w:t xml:space="preserve">Strengthening human skills and institutional capacity of the ITU membership </w:t>
      </w:r>
      <w:r w:rsidRPr="00A8072A">
        <w:t>to tap into the full potential of telecommunications/ICTs.</w:t>
      </w:r>
      <w:r w:rsidRPr="00E442AF">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ITU-D memberships to foster digital transformation through ICT entrepreneurship and increased ICT innovation in the ICT ecosystem, while encouraging empowerment of grassroots key stakeholders and creating new opportunities for them in the telecommunication/ICT sector.</w:t>
      </w:r>
      <w:r w:rsidR="00BB4339">
        <w:rPr>
          <w:szCs w:val="24"/>
          <w:lang w:val="en-US"/>
        </w:rPr>
        <w:t xml:space="preserve"> </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The development and use of telecommunications/ICTs and applications to empower people and societies for sustainable development (inclusive digital society)</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Providing concentrated assistance to Least Developed Countries (LDCs), Small Island Developing States (SIDS), Landlocked Developing Countries (LDCs) and countries with economies in transition.</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Supporting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w:t>
      </w:r>
      <w:r w:rsidR="00BB4339">
        <w:rPr>
          <w:szCs w:val="24"/>
          <w:lang w:val="en-US"/>
        </w:rPr>
        <w:t xml:space="preserve">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 xml:space="preserve">Promoting digital inclusion for empowering women and girls, persons with disabilities and other people with specific needs. </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pPr>
      <w:r w:rsidRPr="00F8783B">
        <w:rPr>
          <w:szCs w:val="24"/>
          <w:lang w:val="en-US"/>
        </w:rPr>
        <w:t>Assisting Member States to enhance their capacities on and improve the use of telecommunication/ICTs in mitigating and responding to the devastating effects of climate change.</w:t>
      </w:r>
    </w:p>
    <w:p w:rsidR="00B45F2D" w:rsidRPr="00F8783B" w:rsidRDefault="00B45F2D" w:rsidP="00F8783B">
      <w:pPr>
        <w:pStyle w:val="ListParagraph"/>
        <w:numPr>
          <w:ilvl w:val="0"/>
          <w:numId w:val="10"/>
        </w:numPr>
        <w:tabs>
          <w:tab w:val="clear" w:pos="1134"/>
          <w:tab w:val="clear" w:pos="1871"/>
          <w:tab w:val="clear" w:pos="2268"/>
        </w:tabs>
        <w:overflowPunct/>
        <w:autoSpaceDE/>
        <w:autoSpaceDN/>
        <w:adjustRightInd/>
        <w:spacing w:before="40" w:after="40"/>
        <w:ind w:left="357" w:hanging="357"/>
        <w:contextualSpacing w:val="0"/>
        <w:textAlignment w:val="auto"/>
        <w:rPr>
          <w:szCs w:val="24"/>
          <w:lang w:val="en-US"/>
        </w:rPr>
        <w:sectPr w:rsidR="00B45F2D" w:rsidRPr="00F8783B" w:rsidSect="00B45F2D">
          <w:pgSz w:w="16838" w:h="11906" w:orient="landscape"/>
          <w:pgMar w:top="1440" w:right="1440" w:bottom="1440" w:left="1440" w:header="708" w:footer="708" w:gutter="0"/>
          <w:cols w:space="708"/>
          <w:docGrid w:linePitch="360"/>
        </w:sectPr>
      </w:pPr>
    </w:p>
    <w:p w:rsidR="00B45F2D" w:rsidRPr="00F8783B" w:rsidRDefault="00581899" w:rsidP="00F8783B">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F8783B">
        <w:rPr>
          <w:sz w:val="24"/>
          <w:szCs w:val="18"/>
          <w:lang w:val="en-US"/>
        </w:rPr>
        <w:lastRenderedPageBreak/>
        <w:t>ITU-D results framework for 2020-2023</w:t>
      </w:r>
    </w:p>
    <w:p w:rsidR="00B45F2D" w:rsidRPr="00F8783B" w:rsidRDefault="00B45F2D" w:rsidP="00F8783B">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F8783B">
        <w:rPr>
          <w:sz w:val="24"/>
          <w:szCs w:val="18"/>
          <w:lang w:val="en-US"/>
        </w:rPr>
        <w:t xml:space="preserve">Linkage with the ITU Strategic Goals </w:t>
      </w:r>
    </w:p>
    <w:tbl>
      <w:tblPr>
        <w:tblStyle w:val="GridTable4-Accent111"/>
        <w:tblW w:w="14634" w:type="dxa"/>
        <w:tblLayout w:type="fixed"/>
        <w:tblLook w:val="0620" w:firstRow="1" w:lastRow="0" w:firstColumn="0" w:lastColumn="0" w:noHBand="1" w:noVBand="1"/>
      </w:tblPr>
      <w:tblGrid>
        <w:gridCol w:w="6189"/>
        <w:gridCol w:w="1689"/>
        <w:gridCol w:w="1689"/>
        <w:gridCol w:w="1689"/>
        <w:gridCol w:w="1549"/>
        <w:gridCol w:w="1829"/>
      </w:tblGrid>
      <w:tr w:rsidR="00B45F2D" w:rsidRPr="009C0B00" w:rsidTr="00B45F2D">
        <w:trPr>
          <w:cnfStyle w:val="100000000000" w:firstRow="1" w:lastRow="0" w:firstColumn="0" w:lastColumn="0" w:oddVBand="0" w:evenVBand="0" w:oddHBand="0" w:evenHBand="0" w:firstRowFirstColumn="0" w:firstRowLastColumn="0" w:lastRowFirstColumn="0" w:lastRowLastColumn="0"/>
          <w:trHeight w:val="66"/>
        </w:trPr>
        <w:tc>
          <w:tcPr>
            <w:tcW w:w="6189" w:type="dxa"/>
            <w:vAlign w:val="center"/>
            <w:hideMark/>
          </w:tcPr>
          <w:p w:rsidR="00B45F2D" w:rsidRPr="009C0B00" w:rsidRDefault="00B45F2D" w:rsidP="00B45F2D">
            <w:pPr>
              <w:spacing w:after="200" w:line="192" w:lineRule="auto"/>
              <w:rPr>
                <w:rFonts w:eastAsia="Times New Roman" w:cs="Times New Roman"/>
                <w:sz w:val="20"/>
                <w:szCs w:val="18"/>
                <w:lang w:val="fr-CH"/>
              </w:rPr>
            </w:pPr>
            <w:r w:rsidRPr="009176DB">
              <w:rPr>
                <w:rFonts w:eastAsia="Times New Roman" w:cs="Times New Roman"/>
                <w:sz w:val="20"/>
                <w:szCs w:val="18"/>
              </w:rPr>
              <w:t>ITU-D objectives</w:t>
            </w:r>
          </w:p>
        </w:tc>
        <w:tc>
          <w:tcPr>
            <w:tcW w:w="1689" w:type="dxa"/>
          </w:tcPr>
          <w:p w:rsidR="00B45F2D" w:rsidRPr="009C0B00" w:rsidRDefault="00B45F2D" w:rsidP="00B45F2D">
            <w:pPr>
              <w:spacing w:after="200" w:line="192" w:lineRule="auto"/>
              <w:rPr>
                <w:rFonts w:eastAsia="SimSun" w:cs="Times New Roman"/>
                <w:noProof/>
                <w:szCs w:val="20"/>
              </w:rPr>
            </w:pPr>
            <w:r w:rsidRPr="009C0B00">
              <w:rPr>
                <w:rFonts w:eastAsia="SimSun"/>
                <w:noProof/>
                <w:lang w:eastAsia="zh-CN"/>
              </w:rPr>
              <w:drawing>
                <wp:inline distT="0" distB="0" distL="0" distR="0" wp14:anchorId="5BBA9994" wp14:editId="5BBA9995">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6" wp14:editId="5BBA9997">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8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8" wp14:editId="5BBA9999">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549" w:type="dxa"/>
          </w:tcPr>
          <w:p w:rsidR="00B45F2D" w:rsidRPr="009C0B00" w:rsidRDefault="00B45F2D" w:rsidP="00B45F2D">
            <w:pPr>
              <w:spacing w:after="200" w:line="192" w:lineRule="auto"/>
              <w:rPr>
                <w:rFonts w:eastAsia="Times New Roman" w:cs="Times New Roman"/>
                <w:sz w:val="20"/>
                <w:szCs w:val="20"/>
                <w:lang w:val="fr-CH"/>
              </w:rPr>
            </w:pPr>
            <w:r w:rsidRPr="009C0B00">
              <w:rPr>
                <w:rFonts w:eastAsia="SimSun"/>
                <w:noProof/>
                <w:lang w:eastAsia="zh-CN"/>
              </w:rPr>
              <w:drawing>
                <wp:inline distT="0" distB="0" distL="0" distR="0" wp14:anchorId="5BBA999A" wp14:editId="5BBA999B">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29" w:type="dxa"/>
          </w:tcPr>
          <w:p w:rsidR="00B45F2D" w:rsidRDefault="00B45F2D" w:rsidP="00B45F2D">
            <w:pPr>
              <w:spacing w:after="200" w:line="192" w:lineRule="auto"/>
              <w:rPr>
                <w:rFonts w:eastAsia="Times New Roman" w:cs="Times New Roman"/>
                <w:sz w:val="20"/>
                <w:szCs w:val="20"/>
                <w:lang w:val="fr-CH"/>
              </w:rPr>
            </w:pPr>
          </w:p>
          <w:p w:rsidR="00B45F2D" w:rsidRPr="009C0B00" w:rsidRDefault="00B45F2D" w:rsidP="00B45F2D">
            <w:pPr>
              <w:spacing w:after="200" w:line="192" w:lineRule="auto"/>
              <w:jc w:val="center"/>
              <w:rPr>
                <w:rFonts w:eastAsia="Times New Roman" w:cs="Times New Roman"/>
                <w:sz w:val="20"/>
                <w:szCs w:val="20"/>
                <w:lang w:val="fr-CH"/>
              </w:rPr>
            </w:pPr>
            <w:r>
              <w:rPr>
                <w:rFonts w:eastAsia="Times New Roman" w:cs="Times New Roman"/>
                <w:sz w:val="20"/>
                <w:szCs w:val="20"/>
                <w:lang w:val="fr-CH"/>
              </w:rPr>
              <w:t>Partnership</w:t>
            </w:r>
          </w:p>
        </w:tc>
      </w:tr>
      <w:tr w:rsidR="00B45F2D" w:rsidRPr="009C0B00" w:rsidTr="00EE1223">
        <w:trPr>
          <w:trHeight w:val="46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D.1 Coordination: Foster international cooperation and agreement on telecommunication/ICT development issues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hideMark/>
          </w:tcPr>
          <w:p w:rsidR="00B45F2D" w:rsidRDefault="00B45F2D" w:rsidP="00B45F2D">
            <w:pPr>
              <w:jc w:val="center"/>
            </w:pPr>
            <w:r>
              <w:rPr>
                <w:rFonts w:eastAsia="Times New Roman" w:cs="Times New Roman"/>
                <w:b/>
                <w:sz w:val="20"/>
                <w:szCs w:val="20"/>
                <w:lang w:val="fr-CH"/>
              </w:rPr>
              <w:sym w:font="Wingdings" w:char="F0FC"/>
            </w:r>
          </w:p>
        </w:tc>
        <w:tc>
          <w:tcPr>
            <w:tcW w:w="1549" w:type="dxa"/>
            <w:hideMark/>
          </w:tcPr>
          <w:p w:rsidR="00B45F2D" w:rsidRDefault="00B45F2D" w:rsidP="00B45F2D">
            <w:pPr>
              <w:jc w:val="center"/>
            </w:pPr>
            <w:r>
              <w:rPr>
                <w:rFonts w:eastAsia="Times New Roman" w:cs="Times New Roman"/>
                <w:b/>
                <w:sz w:val="20"/>
                <w:szCs w:val="20"/>
                <w:lang w:val="fr-CH"/>
              </w:rPr>
              <w:sym w:font="Wingdings" w:char="F0FC"/>
            </w:r>
          </w:p>
        </w:tc>
        <w:tc>
          <w:tcPr>
            <w:tcW w:w="1829" w:type="dxa"/>
            <w:hideMark/>
          </w:tcPr>
          <w:p w:rsidR="00B45F2D" w:rsidRDefault="00B45F2D" w:rsidP="00B45F2D">
            <w:pPr>
              <w:jc w:val="center"/>
            </w:pPr>
            <w:r w:rsidRPr="009C0B00">
              <w:rPr>
                <w:rFonts w:eastAsia="Times New Roman" w:cs="Times New Roman"/>
                <w:b/>
                <w:sz w:val="20"/>
                <w:szCs w:val="20"/>
                <w:lang w:val="fr-CH"/>
              </w:rPr>
              <w:sym w:font="Wingdings 2" w:char="F052"/>
            </w:r>
          </w:p>
        </w:tc>
      </w:tr>
      <w:tr w:rsidR="00B45F2D" w:rsidRPr="009C0B00" w:rsidTr="00EE1223">
        <w:trPr>
          <w:trHeight w:val="66"/>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D.2 Modern and secure telecommunication/ICT infrastructure: Foster the development of infrastructure and services, including building confidence and security in the use of telecommunications/ICTs</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67362E">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67362E">
              <w:rPr>
                <w:rFonts w:eastAsia="Times New Roman" w:cs="Times New Roman"/>
                <w:b/>
                <w:sz w:val="20"/>
                <w:szCs w:val="20"/>
                <w:lang w:val="fr-CH"/>
              </w:rPr>
              <w:sym w:font="Wingdings" w:char="F0FC"/>
            </w:r>
          </w:p>
        </w:tc>
        <w:tc>
          <w:tcPr>
            <w:tcW w:w="1549" w:type="dxa"/>
          </w:tcPr>
          <w:p w:rsidR="00B45F2D" w:rsidRDefault="00B45F2D" w:rsidP="00B45F2D">
            <w:pPr>
              <w:jc w:val="center"/>
            </w:pPr>
            <w:r w:rsidRPr="0067362E">
              <w:rPr>
                <w:rFonts w:eastAsia="Times New Roman" w:cs="Times New Roman"/>
                <w:b/>
                <w:sz w:val="20"/>
                <w:szCs w:val="20"/>
                <w:lang w:val="fr-CH"/>
              </w:rPr>
              <w:sym w:font="Wingdings" w:char="F0FC"/>
            </w:r>
          </w:p>
        </w:tc>
        <w:tc>
          <w:tcPr>
            <w:tcW w:w="1829" w:type="dxa"/>
          </w:tcPr>
          <w:p w:rsidR="00B45F2D" w:rsidRDefault="00B45F2D" w:rsidP="00B45F2D">
            <w:pPr>
              <w:jc w:val="center"/>
            </w:pPr>
            <w:r w:rsidRPr="0067362E">
              <w:rPr>
                <w:rFonts w:eastAsia="Times New Roman" w:cs="Times New Roman"/>
                <w:b/>
                <w:sz w:val="20"/>
                <w:szCs w:val="20"/>
                <w:lang w:val="fr-CH"/>
              </w:rPr>
              <w:sym w:font="Wingdings" w:char="F0FC"/>
            </w:r>
          </w:p>
        </w:tc>
      </w:tr>
      <w:tr w:rsidR="00B45F2D" w:rsidRPr="009C0B00" w:rsidTr="00EE1223">
        <w:trPr>
          <w:trHeight w:val="687"/>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D.3 Enabling environment: Foster an enabling policy and regulatory environment conducive to sustainable telecommunication/ICT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tcPr>
          <w:p w:rsidR="00B45F2D" w:rsidRDefault="00B45F2D" w:rsidP="00B45F2D">
            <w:pPr>
              <w:jc w:val="center"/>
            </w:pPr>
            <w:r w:rsidRPr="00872988">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549" w:type="dxa"/>
          </w:tcPr>
          <w:p w:rsidR="00B45F2D" w:rsidRDefault="00B45F2D" w:rsidP="00B45F2D">
            <w:pPr>
              <w:jc w:val="center"/>
            </w:pPr>
            <w:r w:rsidRPr="009C0B00">
              <w:rPr>
                <w:rFonts w:eastAsia="Times New Roman" w:cs="Times New Roman"/>
                <w:b/>
                <w:sz w:val="20"/>
                <w:szCs w:val="20"/>
                <w:lang w:val="fr-CH"/>
              </w:rPr>
              <w:sym w:font="Wingdings 2" w:char="F052"/>
            </w:r>
          </w:p>
        </w:tc>
        <w:tc>
          <w:tcPr>
            <w:tcW w:w="1829" w:type="dxa"/>
          </w:tcPr>
          <w:p w:rsidR="00B45F2D" w:rsidRDefault="00B45F2D" w:rsidP="00B45F2D">
            <w:pPr>
              <w:jc w:val="center"/>
            </w:pPr>
            <w:r w:rsidRPr="00CD7F95">
              <w:rPr>
                <w:rFonts w:eastAsia="Times New Roman" w:cs="Times New Roman"/>
                <w:b/>
                <w:sz w:val="20"/>
                <w:szCs w:val="20"/>
                <w:lang w:val="fr-CH"/>
              </w:rPr>
              <w:sym w:font="Wingdings" w:char="F0FC"/>
            </w:r>
          </w:p>
        </w:tc>
      </w:tr>
      <w:tr w:rsidR="00B45F2D" w:rsidRPr="009C0B00" w:rsidTr="00EE1223">
        <w:trPr>
          <w:trHeight w:val="582"/>
        </w:trPr>
        <w:tc>
          <w:tcPr>
            <w:tcW w:w="6189" w:type="dxa"/>
            <w:hideMark/>
          </w:tcPr>
          <w:p w:rsidR="00B45F2D" w:rsidRDefault="00B45F2D" w:rsidP="00B45F2D">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D.4 Inclusive digital society: Foster the development and use of telecommunications/ICTs and applications to empower people and societies for sustainable development</w:t>
            </w:r>
          </w:p>
          <w:p w:rsidR="00B45F2D" w:rsidRPr="009C0B00" w:rsidRDefault="00B45F2D" w:rsidP="00B45F2D">
            <w:pPr>
              <w:spacing w:before="60" w:after="60" w:line="192" w:lineRule="auto"/>
              <w:rPr>
                <w:rFonts w:eastAsia="Times New Roman" w:cs="Times New Roman"/>
                <w:sz w:val="20"/>
                <w:szCs w:val="20"/>
              </w:rPr>
            </w:pPr>
          </w:p>
        </w:tc>
        <w:tc>
          <w:tcPr>
            <w:tcW w:w="1689" w:type="dxa"/>
          </w:tcPr>
          <w:p w:rsidR="00B45F2D" w:rsidRDefault="00B45F2D" w:rsidP="00B45F2D">
            <w:pPr>
              <w:jc w:val="center"/>
            </w:pPr>
            <w:r>
              <w:rPr>
                <w:rFonts w:eastAsia="Times New Roman" w:cs="Times New Roman"/>
                <w:b/>
                <w:sz w:val="20"/>
                <w:szCs w:val="20"/>
                <w:lang w:val="fr-CH"/>
              </w:rPr>
              <w:sym w:font="Wingdings" w:char="F0FC"/>
            </w:r>
          </w:p>
        </w:tc>
        <w:tc>
          <w:tcPr>
            <w:tcW w:w="1689" w:type="dxa"/>
            <w:hideMark/>
          </w:tcPr>
          <w:p w:rsidR="00B45F2D" w:rsidRDefault="00B45F2D" w:rsidP="00B45F2D">
            <w:pPr>
              <w:jc w:val="center"/>
            </w:pPr>
            <w:r w:rsidRPr="009C0B00">
              <w:rPr>
                <w:rFonts w:eastAsia="Times New Roman" w:cs="Times New Roman"/>
                <w:b/>
                <w:sz w:val="20"/>
                <w:szCs w:val="20"/>
                <w:lang w:val="fr-CH"/>
              </w:rPr>
              <w:sym w:font="Wingdings 2" w:char="F052"/>
            </w:r>
          </w:p>
        </w:tc>
        <w:tc>
          <w:tcPr>
            <w:tcW w:w="1689" w:type="dxa"/>
          </w:tcPr>
          <w:p w:rsidR="00B45F2D" w:rsidRDefault="00B45F2D" w:rsidP="00B45F2D">
            <w:pPr>
              <w:jc w:val="center"/>
            </w:pPr>
            <w:r w:rsidRPr="00A504FF">
              <w:rPr>
                <w:rFonts w:eastAsia="Times New Roman" w:cs="Times New Roman"/>
                <w:b/>
                <w:sz w:val="20"/>
                <w:szCs w:val="20"/>
                <w:lang w:val="fr-CH"/>
              </w:rPr>
              <w:sym w:font="Wingdings" w:char="F0FC"/>
            </w:r>
          </w:p>
        </w:tc>
        <w:tc>
          <w:tcPr>
            <w:tcW w:w="1549" w:type="dxa"/>
          </w:tcPr>
          <w:p w:rsidR="00B45F2D" w:rsidRDefault="00B45F2D" w:rsidP="00B45F2D">
            <w:pPr>
              <w:jc w:val="center"/>
            </w:pPr>
            <w:r w:rsidRPr="00A504FF">
              <w:rPr>
                <w:rFonts w:eastAsia="Times New Roman" w:cs="Times New Roman"/>
                <w:b/>
                <w:sz w:val="20"/>
                <w:szCs w:val="20"/>
                <w:lang w:val="fr-CH"/>
              </w:rPr>
              <w:sym w:font="Wingdings" w:char="F0FC"/>
            </w:r>
          </w:p>
        </w:tc>
        <w:tc>
          <w:tcPr>
            <w:tcW w:w="1829" w:type="dxa"/>
          </w:tcPr>
          <w:p w:rsidR="00B45F2D" w:rsidRDefault="00B45F2D" w:rsidP="00B45F2D">
            <w:pPr>
              <w:jc w:val="center"/>
            </w:pPr>
            <w:r w:rsidRPr="00A504FF">
              <w:rPr>
                <w:rFonts w:eastAsia="Times New Roman" w:cs="Times New Roman"/>
                <w:b/>
                <w:sz w:val="20"/>
                <w:szCs w:val="20"/>
                <w:lang w:val="fr-CH"/>
              </w:rPr>
              <w:sym w:font="Wingdings" w:char="F0FC"/>
            </w:r>
          </w:p>
        </w:tc>
      </w:tr>
    </w:tbl>
    <w:p w:rsidR="00B45F2D" w:rsidRPr="009C0B00" w:rsidRDefault="00B45F2D" w:rsidP="00B45F2D">
      <w:pPr>
        <w:spacing w:line="276" w:lineRule="auto"/>
        <w:rPr>
          <w:rFonts w:ascii="Calibri" w:eastAsia="SimSun" w:hAnsi="Calibri" w:cs="Arial"/>
          <w:lang w:val="fr-CH"/>
        </w:rPr>
      </w:pPr>
      <w:r w:rsidRPr="009C0B00">
        <w:rPr>
          <w:rFonts w:ascii="Calibri" w:eastAsia="SimSun" w:hAnsi="Calibri" w:cs="Arial"/>
          <w:lang w:val="fr-CH"/>
        </w:rPr>
        <w:br w:type="page"/>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 xml:space="preserve">ITU-D Objectives, Outcomes and Outputs </w:t>
      </w:r>
    </w:p>
    <w:tbl>
      <w:tblPr>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B45F2D" w:rsidRPr="004D5145" w:rsidTr="00B45F2D">
        <w:trPr>
          <w:cantSplit/>
          <w:trHeight w:val="1134"/>
          <w:tblHeader/>
        </w:trPr>
        <w:tc>
          <w:tcPr>
            <w:tcW w:w="534" w:type="dxa"/>
            <w:shd w:val="clear" w:color="auto" w:fill="365F91" w:themeFill="accent1" w:themeFillShade="BF"/>
            <w:textDirection w:val="btLr"/>
          </w:tcPr>
          <w:p w:rsidR="00B45F2D" w:rsidRPr="004D5145" w:rsidRDefault="00B45F2D" w:rsidP="00B45F2D">
            <w:pPr>
              <w:spacing w:before="40" w:after="40"/>
              <w:ind w:left="113" w:right="113"/>
              <w:jc w:val="center"/>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Objectives</w:t>
            </w:r>
          </w:p>
        </w:tc>
        <w:tc>
          <w:tcPr>
            <w:tcW w:w="3402"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D.1 Coordination: Foster international cooperation and agreement on telecommunication/ICT development issues</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D.2 Modern and secure telecommunication/ICT infrastructure: Foster the development of</w:t>
            </w:r>
            <w:r>
              <w:rPr>
                <w:rFonts w:ascii="Calibri" w:eastAsia="Calibri" w:hAnsi="Calibri" w:cs="Arial"/>
                <w:b/>
                <w:bCs/>
                <w:color w:val="F2F2F2" w:themeColor="background1" w:themeShade="F2"/>
                <w:sz w:val="18"/>
                <w:szCs w:val="18"/>
                <w:lang w:val="en-US"/>
              </w:rPr>
              <w:t xml:space="preserve"> </w:t>
            </w:r>
            <w:r w:rsidRPr="004D5145">
              <w:rPr>
                <w:rFonts w:ascii="Calibri" w:eastAsia="Calibri" w:hAnsi="Calibri" w:cs="Arial"/>
                <w:b/>
                <w:bCs/>
                <w:color w:val="F2F2F2" w:themeColor="background1" w:themeShade="F2"/>
                <w:sz w:val="18"/>
                <w:szCs w:val="18"/>
                <w:lang w:val="en-US"/>
              </w:rPr>
              <w:t xml:space="preserve">infrastructure and services, including building confidence and security in the use of telecommunications/ICTs </w:t>
            </w:r>
          </w:p>
        </w:tc>
        <w:tc>
          <w:tcPr>
            <w:tcW w:w="3260"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D.3 Enabling environment: Foster an enabling policy and regulatory environment conducive to sustainable telecommunication/ICT development </w:t>
            </w:r>
          </w:p>
        </w:tc>
        <w:tc>
          <w:tcPr>
            <w:tcW w:w="3827" w:type="dxa"/>
            <w:shd w:val="clear" w:color="auto" w:fill="365F91" w:themeFill="accent1" w:themeFillShade="BF"/>
          </w:tcPr>
          <w:p w:rsidR="00B45F2D" w:rsidRPr="004D5145" w:rsidRDefault="00B45F2D" w:rsidP="00B45F2D">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D.4 Inclusive digital society: Foster the development and use of telecommunications/ICTs and applications to empower people and societies for sustainable development </w:t>
            </w:r>
          </w:p>
        </w:tc>
      </w:tr>
      <w:tr w:rsidR="00B45F2D" w:rsidRPr="00701655" w:rsidTr="00B45F2D">
        <w:trPr>
          <w:cantSplit/>
          <w:trHeight w:val="4063"/>
        </w:trPr>
        <w:tc>
          <w:tcPr>
            <w:tcW w:w="534" w:type="dxa"/>
            <w:textDirection w:val="btLr"/>
            <w:vAlign w:val="center"/>
          </w:tcPr>
          <w:p w:rsidR="00B45F2D" w:rsidRPr="009B4539" w:rsidRDefault="00B45F2D" w:rsidP="00B45F2D">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Enhanced review and increased level of agreement on the draft ITU-D contribution to the draft ITU strategic plan, the World Telecommunication Development Conference (WTDC) Declaration, and the WTDC Action Plan.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rsidR="00B45F2D" w:rsidRDefault="00B45F2D" w:rsidP="00B45F2D">
            <w:pPr>
              <w:rPr>
                <w:rFonts w:eastAsia="Calibri" w:cs="Arial"/>
                <w:sz w:val="18"/>
                <w:szCs w:val="18"/>
              </w:rPr>
            </w:pP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dialogue</w:t>
            </w:r>
            <w:r>
              <w:rPr>
                <w:rFonts w:eastAsia="Calibri" w:cs="Arial"/>
                <w:sz w:val="18"/>
                <w:szCs w:val="18"/>
              </w:rPr>
              <w:t xml:space="preserve"> and partnership</w:t>
            </w:r>
            <w:r w:rsidRPr="00B83E77">
              <w:rPr>
                <w:rFonts w:eastAsia="Calibri" w:cs="Arial"/>
                <w:sz w:val="18"/>
                <w:szCs w:val="18"/>
              </w:rPr>
              <w:t xml:space="preserve"> among</w:t>
            </w:r>
            <w:r>
              <w:rPr>
                <w:rFonts w:eastAsia="Calibri" w:cs="Arial"/>
                <w:sz w:val="18"/>
                <w:szCs w:val="18"/>
              </w:rPr>
              <w:t xml:space="preserve"> the</w:t>
            </w:r>
            <w:r w:rsidRPr="00B83E77">
              <w:rPr>
                <w:rFonts w:eastAsia="Calibri" w:cs="Arial"/>
                <w:sz w:val="18"/>
                <w:szCs w:val="18"/>
              </w:rPr>
              <w:t xml:space="preserve"> </w:t>
            </w:r>
            <w:r>
              <w:rPr>
                <w:rFonts w:eastAsia="Calibri" w:cs="Arial"/>
                <w:sz w:val="18"/>
                <w:szCs w:val="18"/>
              </w:rPr>
              <w:t xml:space="preserve">ITU membership </w:t>
            </w:r>
            <w:r w:rsidRPr="00B83E77">
              <w:rPr>
                <w:rFonts w:eastAsia="Calibri" w:cs="Arial"/>
                <w:sz w:val="18"/>
                <w:szCs w:val="18"/>
              </w:rPr>
              <w:t>on telecommunication/ICT issues.</w:t>
            </w:r>
            <w:r w:rsidRPr="00B83E77" w:rsidDel="007A6810">
              <w:rPr>
                <w:rFonts w:eastAsia="Calibri" w:cs="Arial"/>
                <w:sz w:val="18"/>
                <w:szCs w:val="18"/>
              </w:rPr>
              <w:t xml:space="preserve"> </w:t>
            </w:r>
          </w:p>
          <w:p w:rsidR="00B45F2D" w:rsidRPr="00DA51BA" w:rsidRDefault="00B45F2D" w:rsidP="00B45F2D">
            <w:pPr>
              <w:rPr>
                <w:rFonts w:ascii="Calibri" w:eastAsia="Calibri" w:hAnsi="Calibri" w:cs="Arial"/>
                <w:sz w:val="18"/>
                <w:szCs w:val="18"/>
              </w:rPr>
            </w:pPr>
            <w:r w:rsidRPr="00A65D43">
              <w:rPr>
                <w:rFonts w:eastAsia="Calibri" w:cs="Arial"/>
                <w:b/>
                <w:bCs/>
                <w:color w:val="4F81BD" w:themeColor="accent1"/>
                <w:sz w:val="18"/>
                <w:szCs w:val="18"/>
              </w:rPr>
              <w:t>D.1-4</w:t>
            </w:r>
            <w:r>
              <w:rPr>
                <w:rFonts w:ascii="Calibri" w:eastAsia="Calibri" w:hAnsi="Calibri" w:cs="Arial"/>
                <w:b/>
                <w:bCs/>
                <w:color w:val="5B9BD5"/>
                <w:sz w:val="18"/>
                <w:szCs w:val="18"/>
              </w:rPr>
              <w:t>:</w:t>
            </w:r>
            <w:r w:rsidRPr="00DA51BA">
              <w:rPr>
                <w:rFonts w:ascii="Calibri" w:eastAsia="Calibri" w:hAnsi="Calibri" w:cs="Arial"/>
                <w:sz w:val="18"/>
                <w:szCs w:val="18"/>
              </w:rPr>
              <w:t xml:space="preserve"> Enhanced process and implementation of telecommunication/ICT development projects and regional initiatives.</w:t>
            </w:r>
          </w:p>
          <w:p w:rsidR="00B45F2D" w:rsidRPr="00B83E77" w:rsidRDefault="00B45F2D" w:rsidP="00B45F2D">
            <w:pPr>
              <w:rPr>
                <w:rFonts w:eastAsia="Calibri" w:cs="Arial"/>
                <w:b/>
                <w:bCs/>
                <w:color w:val="4F81BD" w:themeColor="accent1"/>
                <w:sz w:val="18"/>
                <w:szCs w:val="18"/>
              </w:rPr>
            </w:pPr>
            <w:r w:rsidRPr="00C3445C">
              <w:rPr>
                <w:rFonts w:eastAsia="Calibri" w:cs="Arial"/>
                <w:b/>
                <w:bCs/>
                <w:color w:val="4F81BD" w:themeColor="accent1"/>
                <w:sz w:val="18"/>
                <w:szCs w:val="18"/>
              </w:rPr>
              <w:t>D.1.5</w:t>
            </w:r>
            <w:r>
              <w:rPr>
                <w:rFonts w:ascii="Calibri" w:eastAsia="Calibri" w:hAnsi="Calibri" w:cs="Arial"/>
                <w:sz w:val="18"/>
                <w:szCs w:val="18"/>
              </w:rPr>
              <w:t xml:space="preserve">: </w:t>
            </w:r>
            <w:r w:rsidRPr="00DA51BA">
              <w:rPr>
                <w:rFonts w:ascii="Calibri" w:eastAsia="Calibri" w:hAnsi="Calibri" w:cs="Arial"/>
                <w:sz w:val="18"/>
                <w:szCs w:val="18"/>
              </w:rPr>
              <w:t>Facilitation of agreement to cooperate on telecommunication/ICT development program</w:t>
            </w:r>
            <w:r>
              <w:rPr>
                <w:rFonts w:ascii="Calibri" w:eastAsia="Calibri" w:hAnsi="Calibri" w:cs="Arial"/>
                <w:sz w:val="18"/>
                <w:szCs w:val="18"/>
              </w:rPr>
              <w:t>m</w:t>
            </w:r>
            <w:r w:rsidRPr="00DA51BA">
              <w:rPr>
                <w:rFonts w:ascii="Calibri" w:eastAsia="Calibri" w:hAnsi="Calibri" w:cs="Arial"/>
                <w:sz w:val="18"/>
                <w:szCs w:val="18"/>
              </w:rPr>
              <w:t>es between Member States, and between Member States and other stakeholders in the ICT ecosystem, based on request</w:t>
            </w:r>
            <w:r>
              <w:rPr>
                <w:rFonts w:ascii="Calibri" w:eastAsia="Calibri" w:hAnsi="Calibri" w:cs="Arial"/>
                <w:sz w:val="18"/>
                <w:szCs w:val="18"/>
              </w:rPr>
              <w:t>s</w:t>
            </w:r>
            <w:r w:rsidRPr="00DA51BA">
              <w:rPr>
                <w:rFonts w:ascii="Calibri" w:eastAsia="Calibri" w:hAnsi="Calibri" w:cs="Arial"/>
                <w:sz w:val="18"/>
                <w:szCs w:val="18"/>
              </w:rPr>
              <w:t xml:space="preserve"> from ITU Member States involved</w:t>
            </w:r>
            <w:r>
              <w:rPr>
                <w:rFonts w:ascii="Calibri" w:eastAsia="Calibri" w:hAnsi="Calibri" w:cs="Arial"/>
                <w:sz w:val="18"/>
                <w:szCs w:val="18"/>
              </w:rPr>
              <w:t>.</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xml:space="preserve">: Enhanced capacity of </w:t>
            </w:r>
            <w:r>
              <w:rPr>
                <w:rFonts w:eastAsia="Calibri" w:cs="Arial"/>
                <w:sz w:val="18"/>
                <w:szCs w:val="18"/>
              </w:rPr>
              <w:t xml:space="preserve">the </w:t>
            </w:r>
            <w:r w:rsidRPr="00B83E77">
              <w:rPr>
                <w:rFonts w:eastAsia="Calibri" w:cs="Arial"/>
                <w:sz w:val="18"/>
                <w:szCs w:val="18"/>
              </w:rPr>
              <w:t>ITU membership to make available resilient telecommunication/ICT infrastructure and services</w:t>
            </w:r>
            <w:r>
              <w:rPr>
                <w:rFonts w:eastAsia="Calibri" w:cs="Arial"/>
                <w:sz w:val="18"/>
                <w:szCs w:val="18"/>
              </w:rPr>
              <w:t xml:space="preserve">.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D.2-2</w:t>
            </w:r>
            <w:r w:rsidRPr="00B83E77">
              <w:rPr>
                <w:rFonts w:eastAsia="Calibri" w:cs="Arial"/>
                <w:sz w:val="18"/>
                <w:szCs w:val="18"/>
              </w:rPr>
              <w:t xml:space="preserve">: </w:t>
            </w:r>
            <w:r>
              <w:rPr>
                <w:rFonts w:eastAsia="Calibri" w:cs="Arial"/>
                <w:sz w:val="18"/>
                <w:szCs w:val="18"/>
              </w:rPr>
              <w:t xml:space="preserve">Strengthened capacity of Member States </w:t>
            </w:r>
            <w:r w:rsidRPr="00B83E77">
              <w:rPr>
                <w:rFonts w:eastAsia="Calibri" w:cs="Arial"/>
                <w:sz w:val="18"/>
                <w:szCs w:val="18"/>
              </w:rPr>
              <w:t xml:space="preserve">to effectively </w:t>
            </w:r>
            <w:r>
              <w:rPr>
                <w:rFonts w:eastAsia="Calibri" w:cs="Arial"/>
                <w:sz w:val="18"/>
                <w:szCs w:val="18"/>
              </w:rPr>
              <w:t xml:space="preserve">share information, find solutions, and </w:t>
            </w:r>
            <w:r w:rsidRPr="00B83E77">
              <w:rPr>
                <w:rFonts w:eastAsia="Calibri" w:cs="Arial"/>
                <w:sz w:val="18"/>
                <w:szCs w:val="18"/>
              </w:rPr>
              <w:t xml:space="preserve">respond to threats </w:t>
            </w:r>
            <w:r>
              <w:rPr>
                <w:rFonts w:eastAsia="Calibri" w:cs="Arial"/>
                <w:sz w:val="18"/>
                <w:szCs w:val="18"/>
              </w:rPr>
              <w:t xml:space="preserve">to cybersecurity, </w:t>
            </w:r>
            <w:r w:rsidRPr="00B83E77">
              <w:rPr>
                <w:rFonts w:eastAsia="Calibri" w:cs="Arial"/>
                <w:sz w:val="18"/>
                <w:szCs w:val="18"/>
              </w:rPr>
              <w:t xml:space="preserve">and </w:t>
            </w:r>
            <w:r>
              <w:rPr>
                <w:rFonts w:eastAsia="Calibri" w:cs="Arial"/>
                <w:sz w:val="18"/>
                <w:szCs w:val="18"/>
              </w:rPr>
              <w:t xml:space="preserve">to </w:t>
            </w:r>
            <w:r w:rsidRPr="00B83E77">
              <w:rPr>
                <w:rFonts w:eastAsia="Calibri" w:cs="Arial"/>
                <w:sz w:val="18"/>
                <w:szCs w:val="18"/>
              </w:rPr>
              <w:t xml:space="preserve">develop </w:t>
            </w:r>
            <w:r>
              <w:rPr>
                <w:rFonts w:eastAsia="Calibri" w:cs="Arial"/>
                <w:sz w:val="18"/>
                <w:szCs w:val="18"/>
              </w:rPr>
              <w:t xml:space="preserve">and implement </w:t>
            </w:r>
            <w:r w:rsidRPr="00B83E77">
              <w:rPr>
                <w:rFonts w:eastAsia="Calibri" w:cs="Arial"/>
                <w:sz w:val="18"/>
                <w:szCs w:val="18"/>
              </w:rPr>
              <w:t>national strategies and capabilities, including capacity building</w:t>
            </w:r>
            <w:r>
              <w:rPr>
                <w:rFonts w:eastAsia="Calibri" w:cs="Arial"/>
                <w:sz w:val="18"/>
                <w:szCs w:val="18"/>
              </w:rPr>
              <w:t>, encourage national, regional and international cooperation towards enhanced engagement among Member States and relevant players</w:t>
            </w:r>
            <w:r w:rsidRPr="00B83E77">
              <w:rPr>
                <w:rFonts w:eastAsia="Calibri" w:cs="Arial"/>
                <w:sz w:val="18"/>
                <w:szCs w:val="18"/>
              </w:rPr>
              <w:t>.</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D.2-3</w:t>
            </w:r>
            <w:r w:rsidRPr="00B83E77">
              <w:rPr>
                <w:rFonts w:eastAsia="Calibri" w:cs="Arial"/>
                <w:sz w:val="18"/>
                <w:szCs w:val="18"/>
              </w:rPr>
              <w:t>: Strengthened capacity of Member States to use telecommunication</w:t>
            </w:r>
            <w:r>
              <w:rPr>
                <w:rFonts w:eastAsia="Calibri" w:cs="Arial"/>
                <w:sz w:val="18"/>
                <w:szCs w:val="18"/>
              </w:rPr>
              <w:t>s</w:t>
            </w:r>
            <w:r w:rsidRPr="00B83E77">
              <w:rPr>
                <w:rFonts w:eastAsia="Calibri" w:cs="Arial"/>
                <w:sz w:val="18"/>
                <w:szCs w:val="18"/>
              </w:rPr>
              <w:t>/ICT</w:t>
            </w:r>
            <w:r>
              <w:rPr>
                <w:rFonts w:eastAsia="Calibri" w:cs="Arial"/>
                <w:sz w:val="18"/>
                <w:szCs w:val="18"/>
              </w:rPr>
              <w:t>s</w:t>
            </w:r>
            <w:r w:rsidRPr="00B83E77">
              <w:rPr>
                <w:rFonts w:eastAsia="Calibri" w:cs="Arial"/>
                <w:sz w:val="18"/>
                <w:szCs w:val="18"/>
              </w:rPr>
              <w:t xml:space="preserve"> for disaster risk </w:t>
            </w:r>
            <w:r w:rsidRPr="00DB1FBF">
              <w:rPr>
                <w:rFonts w:eastAsia="Calibri" w:cs="Arial"/>
                <w:sz w:val="18"/>
                <w:szCs w:val="18"/>
              </w:rPr>
              <w:t xml:space="preserve">reduction </w:t>
            </w:r>
            <w:r w:rsidRPr="0040242D">
              <w:rPr>
                <w:rFonts w:eastAsia="Calibri" w:cs="Arial"/>
                <w:sz w:val="18"/>
                <w:szCs w:val="18"/>
              </w:rPr>
              <w:t>and</w:t>
            </w:r>
            <w:r w:rsidRPr="00DB1FBF">
              <w:rPr>
                <w:rFonts w:eastAsia="Calibri" w:cs="Arial"/>
                <w:sz w:val="18"/>
                <w:szCs w:val="18"/>
              </w:rPr>
              <w:t xml:space="preserve"> </w:t>
            </w:r>
            <w:r>
              <w:rPr>
                <w:rFonts w:eastAsia="Calibri" w:cs="Arial"/>
                <w:sz w:val="18"/>
                <w:szCs w:val="18"/>
              </w:rPr>
              <w:t xml:space="preserve">management, to ensure availability of </w:t>
            </w:r>
            <w:r w:rsidRPr="00DB1FBF">
              <w:rPr>
                <w:rFonts w:eastAsia="Calibri" w:cs="Arial"/>
                <w:sz w:val="18"/>
                <w:szCs w:val="18"/>
              </w:rPr>
              <w:t>emergency</w:t>
            </w:r>
            <w:r w:rsidRPr="00B83E77">
              <w:rPr>
                <w:rFonts w:eastAsia="Calibri" w:cs="Arial"/>
                <w:sz w:val="18"/>
                <w:szCs w:val="18"/>
              </w:rPr>
              <w:t xml:space="preserve"> telecommunications</w:t>
            </w:r>
            <w:r>
              <w:rPr>
                <w:rFonts w:eastAsia="Calibri" w:cs="Arial"/>
                <w:sz w:val="18"/>
                <w:szCs w:val="18"/>
              </w:rPr>
              <w:t>, and support cooperation in this area</w:t>
            </w:r>
            <w:r w:rsidRPr="00B83E77">
              <w:rPr>
                <w:rFonts w:eastAsia="Calibri" w:cs="Arial"/>
                <w:sz w:val="18"/>
                <w:szCs w:val="18"/>
              </w:rPr>
              <w:t>.</w:t>
            </w:r>
          </w:p>
        </w:tc>
        <w:tc>
          <w:tcPr>
            <w:tcW w:w="3260"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w:t>
            </w:r>
            <w:r>
              <w:rPr>
                <w:rFonts w:eastAsia="Calibri" w:cs="Arial"/>
                <w:sz w:val="18"/>
                <w:szCs w:val="18"/>
              </w:rPr>
              <w:t xml:space="preserve">enhance their </w:t>
            </w:r>
            <w:r w:rsidRPr="00B83E77">
              <w:rPr>
                <w:rFonts w:eastAsia="Calibri" w:cs="Arial"/>
                <w:sz w:val="18"/>
                <w:szCs w:val="18"/>
              </w:rPr>
              <w:t xml:space="preserve">policy, legal and regulatory frameworks conducive to development of telecommunications/ICTs. </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 xml:space="preserve">Strengthened capacity of Member States to produce high-quality, internationally comparable </w:t>
            </w:r>
            <w:r>
              <w:rPr>
                <w:rFonts w:eastAsia="Calibri" w:cs="Arial"/>
                <w:sz w:val="18"/>
                <w:szCs w:val="18"/>
              </w:rPr>
              <w:t>telecommunication/</w:t>
            </w:r>
            <w:r w:rsidRPr="00B83E77">
              <w:rPr>
                <w:rFonts w:eastAsia="Calibri" w:cs="Arial"/>
                <w:sz w:val="18"/>
                <w:szCs w:val="18"/>
              </w:rPr>
              <w:t>ICT statistics</w:t>
            </w:r>
            <w:r>
              <w:rPr>
                <w:rFonts w:eastAsia="Calibri" w:cs="Arial"/>
                <w:sz w:val="18"/>
                <w:szCs w:val="18"/>
              </w:rPr>
              <w:t xml:space="preserve"> which reflect developments and trends in telecommunications/ICTs,</w:t>
            </w:r>
            <w:r w:rsidRPr="00B83E77">
              <w:rPr>
                <w:rFonts w:eastAsia="Calibri" w:cs="Arial"/>
                <w:sz w:val="18"/>
                <w:szCs w:val="18"/>
              </w:rPr>
              <w:t xml:space="preserve"> based on agreed standards and methodologies.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w:t>
            </w:r>
            <w:r>
              <w:rPr>
                <w:rFonts w:eastAsia="Calibri" w:cs="Arial"/>
                <w:sz w:val="18"/>
                <w:szCs w:val="18"/>
              </w:rPr>
              <w:t xml:space="preserve">the </w:t>
            </w:r>
            <w:r w:rsidRPr="00B83E77">
              <w:rPr>
                <w:rFonts w:eastAsia="Calibri" w:cs="Arial"/>
                <w:sz w:val="18"/>
                <w:szCs w:val="18"/>
              </w:rPr>
              <w:t xml:space="preserve">ITU membership to tap into the full potential of telecommunications/ICTs. </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 xml:space="preserve">Strengthened </w:t>
            </w:r>
            <w:r>
              <w:rPr>
                <w:rFonts w:eastAsia="Calibri" w:cs="Arial"/>
                <w:sz w:val="18"/>
                <w:szCs w:val="18"/>
              </w:rPr>
              <w:t xml:space="preserve">capacity of the </w:t>
            </w:r>
            <w:r w:rsidRPr="00B83E77">
              <w:rPr>
                <w:rFonts w:eastAsia="Calibri" w:cs="Arial"/>
                <w:sz w:val="18"/>
                <w:szCs w:val="18"/>
              </w:rPr>
              <w:t>ITU membership</w:t>
            </w:r>
            <w:r>
              <w:rPr>
                <w:rFonts w:eastAsia="Calibri" w:cs="Arial"/>
                <w:sz w:val="18"/>
                <w:szCs w:val="18"/>
              </w:rPr>
              <w:t xml:space="preserve"> </w:t>
            </w:r>
            <w:r w:rsidRPr="00B83E77">
              <w:rPr>
                <w:rFonts w:eastAsia="Calibri" w:cs="Arial"/>
                <w:sz w:val="18"/>
                <w:szCs w:val="18"/>
              </w:rPr>
              <w:t>to integrate telecommunication/ICT innovation in national development agenda</w:t>
            </w:r>
            <w:r>
              <w:rPr>
                <w:rFonts w:eastAsia="Calibri" w:cs="Arial"/>
                <w:sz w:val="18"/>
                <w:szCs w:val="18"/>
              </w:rPr>
              <w:t>s and to develop strategies to promote innovation initiatives, including through public, private, and public-private partnerships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 xml:space="preserve">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small island developing states (SIDS) and landlocked developing countries (LLDCs)</w:t>
            </w:r>
            <w:r>
              <w:rPr>
                <w:sz w:val="18"/>
                <w:szCs w:val="18"/>
              </w:rPr>
              <w:t>,</w:t>
            </w:r>
            <w:r w:rsidRPr="00B83E77">
              <w:rPr>
                <w:sz w:val="18"/>
                <w:szCs w:val="18"/>
              </w:rPr>
              <w:t xml:space="preserve"> </w:t>
            </w:r>
            <w:r w:rsidRPr="00B83E77">
              <w:rPr>
                <w:rFonts w:eastAsia="Calibri" w:cs="Arial"/>
                <w:sz w:val="18"/>
                <w:szCs w:val="18"/>
              </w:rPr>
              <w:t>and countries with economies in transition.</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xml:space="preserve">: Improved </w:t>
            </w:r>
            <w:r>
              <w:rPr>
                <w:rFonts w:eastAsia="Calibri" w:cs="Arial"/>
                <w:sz w:val="18"/>
                <w:szCs w:val="18"/>
              </w:rPr>
              <w:t xml:space="preserve">capacity of the </w:t>
            </w:r>
            <w:r w:rsidRPr="00B83E77">
              <w:rPr>
                <w:rFonts w:eastAsia="Calibri" w:cs="Arial"/>
                <w:sz w:val="18"/>
                <w:szCs w:val="18"/>
              </w:rPr>
              <w:t xml:space="preserve">ITU membership </w:t>
            </w:r>
            <w:r>
              <w:rPr>
                <w:rFonts w:eastAsia="Calibri" w:cs="Arial"/>
                <w:sz w:val="18"/>
                <w:szCs w:val="18"/>
              </w:rPr>
              <w:t>to accelerate economic and social development by leveraging and using new technologies and telecommunication/</w:t>
            </w:r>
            <w:r w:rsidRPr="00B83E77">
              <w:rPr>
                <w:rFonts w:eastAsia="Calibri" w:cs="Arial"/>
                <w:sz w:val="18"/>
                <w:szCs w:val="18"/>
              </w:rPr>
              <w:t xml:space="preserve">ICT </w:t>
            </w:r>
            <w:r>
              <w:rPr>
                <w:rFonts w:eastAsia="Calibri" w:cs="Arial"/>
                <w:sz w:val="18"/>
                <w:szCs w:val="18"/>
              </w:rPr>
              <w:t xml:space="preserve">services and </w:t>
            </w:r>
            <w:r w:rsidRPr="00B83E77">
              <w:rPr>
                <w:rFonts w:eastAsia="Calibri" w:cs="Arial"/>
                <w:sz w:val="18"/>
                <w:szCs w:val="18"/>
              </w:rPr>
              <w:t>applications.</w:t>
            </w:r>
          </w:p>
          <w:p w:rsidR="00B45F2D" w:rsidRPr="00B83E77" w:rsidRDefault="00B45F2D" w:rsidP="00B45F2D">
            <w:pPr>
              <w:rPr>
                <w:rFonts w:eastAsia="Calibri" w:cs="Arial"/>
                <w:sz w:val="18"/>
                <w:szCs w:val="18"/>
              </w:rPr>
            </w:pP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 xml:space="preserve">Strengthened capacity of </w:t>
            </w:r>
            <w:r>
              <w:rPr>
                <w:rFonts w:eastAsia="Calibri" w:cs="Arial"/>
                <w:sz w:val="18"/>
                <w:szCs w:val="18"/>
              </w:rPr>
              <w:t xml:space="preserve">the </w:t>
            </w:r>
            <w:r w:rsidRPr="00B83E77">
              <w:rPr>
                <w:rFonts w:eastAsia="Calibri" w:cs="Arial"/>
                <w:sz w:val="18"/>
                <w:szCs w:val="18"/>
              </w:rPr>
              <w:t xml:space="preserve">ITU membership to develop strategies, policies and practices for digital inclusion, </w:t>
            </w:r>
            <w:r>
              <w:rPr>
                <w:rFonts w:eastAsia="Calibri" w:cs="Arial"/>
                <w:sz w:val="18"/>
                <w:szCs w:val="18"/>
              </w:rPr>
              <w:t xml:space="preserve">in particular for the empowerment of women and girls, persons with disabilities and other persons </w:t>
            </w:r>
            <w:r w:rsidRPr="00B83E77">
              <w:rPr>
                <w:rFonts w:eastAsia="Calibri" w:cs="Arial"/>
                <w:sz w:val="18"/>
                <w:szCs w:val="18"/>
              </w:rPr>
              <w:t>with specific needs.</w:t>
            </w:r>
          </w:p>
          <w:p w:rsidR="00B45F2D" w:rsidRPr="000D1B46" w:rsidRDefault="00B45F2D" w:rsidP="00B45F2D">
            <w:pPr>
              <w:rPr>
                <w:rFonts w:eastAsia="Calibri" w:cs="Arial"/>
                <w:sz w:val="18"/>
                <w:szCs w:val="18"/>
              </w:rPr>
            </w:pP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w:t>
            </w:r>
            <w:r>
              <w:rPr>
                <w:rFonts w:eastAsia="Calibri" w:cs="Arial"/>
                <w:sz w:val="18"/>
                <w:szCs w:val="18"/>
              </w:rPr>
              <w:t xml:space="preserve"> the</w:t>
            </w:r>
            <w:r w:rsidRPr="00B83E77">
              <w:rPr>
                <w:rFonts w:eastAsia="Calibri" w:cs="Arial"/>
                <w:sz w:val="18"/>
                <w:szCs w:val="18"/>
              </w:rPr>
              <w:t xml:space="preserve"> ITU membership to develop </w:t>
            </w:r>
            <w:r>
              <w:rPr>
                <w:rFonts w:eastAsia="Calibri" w:cs="Arial"/>
                <w:sz w:val="18"/>
                <w:szCs w:val="18"/>
              </w:rPr>
              <w:t>telecommunication/</w:t>
            </w:r>
            <w:r w:rsidRPr="00B83E77">
              <w:rPr>
                <w:rFonts w:eastAsia="Calibri" w:cs="Arial"/>
                <w:sz w:val="18"/>
                <w:szCs w:val="18"/>
              </w:rPr>
              <w:t>ICT strategies and solutions on climate-change adaptation and mitigation</w:t>
            </w:r>
            <w:r>
              <w:rPr>
                <w:rFonts w:eastAsia="Calibri" w:cs="Arial"/>
                <w:sz w:val="18"/>
                <w:szCs w:val="18"/>
              </w:rPr>
              <w:t xml:space="preserve"> and the use of green/renewable energy</w:t>
            </w:r>
            <w:r w:rsidRPr="00B83E77">
              <w:rPr>
                <w:rFonts w:eastAsia="Calibri" w:cs="Arial"/>
                <w:sz w:val="18"/>
                <w:szCs w:val="18"/>
              </w:rPr>
              <w:t xml:space="preserve">. </w:t>
            </w:r>
          </w:p>
        </w:tc>
      </w:tr>
    </w:tbl>
    <w:p w:rsidR="00B45F2D" w:rsidRDefault="00B45F2D" w:rsidP="00B45F2D">
      <w:pPr>
        <w:tabs>
          <w:tab w:val="left" w:pos="794"/>
          <w:tab w:val="left" w:pos="1191"/>
          <w:tab w:val="left" w:pos="1588"/>
          <w:tab w:val="left" w:pos="1985"/>
        </w:tabs>
        <w:rPr>
          <w:rFonts w:eastAsia="SimSun"/>
        </w:rPr>
        <w:sectPr w:rsidR="00B45F2D" w:rsidSect="00B45F2D">
          <w:pgSz w:w="16838" w:h="11906" w:orient="landscape"/>
          <w:pgMar w:top="1440" w:right="1440" w:bottom="1440" w:left="1440" w:header="708" w:footer="708" w:gutter="0"/>
          <w:cols w:space="708"/>
          <w:docGrid w:linePitch="360"/>
        </w:sectPr>
      </w:pP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Allocation of resources to ITU-D objectives and outputs</w:t>
      </w:r>
      <w:r w:rsidR="000F308B" w:rsidRPr="00271824">
        <w:rPr>
          <w:sz w:val="24"/>
          <w:szCs w:val="18"/>
          <w:vertAlign w:val="superscript"/>
          <w:lang w:val="en-US"/>
        </w:rPr>
        <w:footnoteReference w:id="1"/>
      </w:r>
      <w:r w:rsidRPr="00516485">
        <w:rPr>
          <w:sz w:val="24"/>
          <w:szCs w:val="18"/>
          <w:lang w:val="en-US"/>
        </w:rPr>
        <w:t xml:space="preserve"> for 20</w:t>
      </w:r>
      <w:r w:rsidR="00192517" w:rsidRPr="00516485">
        <w:rPr>
          <w:sz w:val="24"/>
          <w:szCs w:val="18"/>
          <w:lang w:val="en-US"/>
        </w:rPr>
        <w:t>20</w:t>
      </w:r>
      <w:r w:rsidR="00470AB7" w:rsidRPr="00516485">
        <w:rPr>
          <w:sz w:val="24"/>
          <w:szCs w:val="18"/>
          <w:lang w:val="en-US"/>
        </w:rPr>
        <w:t>-2023</w:t>
      </w:r>
      <w:r w:rsidRPr="00516485">
        <w:rPr>
          <w:sz w:val="24"/>
          <w:szCs w:val="18"/>
          <w:lang w:val="en-US"/>
        </w:rPr>
        <w:t xml:space="preserve"> </w:t>
      </w:r>
    </w:p>
    <w:p w:rsidR="00B45F2D" w:rsidRDefault="00B45F2D" w:rsidP="00B45F2D">
      <w:pPr>
        <w:pStyle w:val="Heading2"/>
      </w:pPr>
      <w:r>
        <w:rPr>
          <w:noProof/>
          <w:lang w:eastAsia="zh-CN"/>
        </w:rPr>
        <mc:AlternateContent>
          <mc:Choice Requires="wps">
            <w:drawing>
              <wp:anchor distT="45720" distB="45720" distL="114300" distR="114300" simplePos="0" relativeHeight="251662336" behindDoc="0" locked="0" layoutInCell="1" allowOverlap="1" wp14:anchorId="5BBA999C" wp14:editId="5BBA999D">
                <wp:simplePos x="0" y="0"/>
                <wp:positionH relativeFrom="column">
                  <wp:posOffset>3879850</wp:posOffset>
                </wp:positionH>
                <wp:positionV relativeFrom="paragraph">
                  <wp:posOffset>217805</wp:posOffset>
                </wp:positionV>
                <wp:extent cx="5446395" cy="5231765"/>
                <wp:effectExtent l="0" t="0" r="1905" b="69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5231765"/>
                        </a:xfrm>
                        <a:prstGeom prst="rect">
                          <a:avLst/>
                        </a:prstGeom>
                        <a:solidFill>
                          <a:srgbClr val="FFFFFF"/>
                        </a:solidFill>
                        <a:ln w="9525">
                          <a:noFill/>
                          <a:miter lim="800000"/>
                          <a:headEnd/>
                          <a:tailEnd/>
                        </a:ln>
                      </wps:spPr>
                      <wps:txbx>
                        <w:txbxContent>
                          <w:p w:rsidR="00D9318F" w:rsidRDefault="00D9318F" w:rsidP="00B45F2D">
                            <w:r w:rsidRPr="0000659B">
                              <w:rPr>
                                <w:noProof/>
                                <w:lang w:eastAsia="zh-CN"/>
                              </w:rPr>
                              <w:drawing>
                                <wp:inline distT="0" distB="0" distL="0" distR="0" wp14:anchorId="5BBA99BB" wp14:editId="2BBFFAB1">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8265" cy="49962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A999C" id="_x0000_t202" coordsize="21600,21600" o:spt="202" path="m,l,21600r21600,l21600,xe">
                <v:stroke joinstyle="miter"/>
                <v:path gradientshapeok="t" o:connecttype="rect"/>
              </v:shapetype>
              <v:shape id="Text Box 2" o:spid="_x0000_s1026" type="#_x0000_t202" style="position:absolute;left:0;text-align:left;margin-left:305.5pt;margin-top:17.15pt;width:428.85pt;height:41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" stroked="f">
                <v:textbox>
                  <w:txbxContent>
                    <w:p w:rsidR="00D9318F" w:rsidRDefault="00D9318F" w:rsidP="00B45F2D">
                      <w:r w:rsidRPr="0000659B">
                        <w:rPr>
                          <w:noProof/>
                          <w:lang w:eastAsia="zh-CN"/>
                        </w:rPr>
                        <w:drawing>
                          <wp:inline distT="0" distB="0" distL="0" distR="0" wp14:anchorId="5BBA99BB" wp14:editId="2BBFFAB1">
                            <wp:extent cx="5168265" cy="49962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8265" cy="4996281"/>
                                    </a:xfrm>
                                    <a:prstGeom prst="rect">
                                      <a:avLst/>
                                    </a:prstGeom>
                                    <a:noFill/>
                                    <a:ln>
                                      <a:noFill/>
                                    </a:ln>
                                  </pic:spPr>
                                </pic:pic>
                              </a:graphicData>
                            </a:graphic>
                          </wp:inline>
                        </w:drawing>
                      </w:r>
                    </w:p>
                  </w:txbxContent>
                </v:textbox>
                <w10:wrap type="square"/>
              </v:shape>
            </w:pict>
          </mc:Fallback>
        </mc:AlternateContent>
      </w:r>
    </w:p>
    <w:p w:rsidR="00B45F2D" w:rsidRDefault="00B45F2D" w:rsidP="00EE1223">
      <w:pPr>
        <w:pStyle w:val="Heading2"/>
        <w:ind w:left="0" w:firstLine="0"/>
      </w:pPr>
      <w:r>
        <w:rPr>
          <w:noProof/>
          <w:lang w:eastAsia="zh-CN"/>
        </w:rPr>
        <mc:AlternateContent>
          <mc:Choice Requires="wps">
            <w:drawing>
              <wp:anchor distT="45720" distB="45720" distL="114300" distR="114300" simplePos="0" relativeHeight="251663360" behindDoc="0" locked="0" layoutInCell="1" allowOverlap="1" wp14:anchorId="5BBA999E" wp14:editId="5BBA999F">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D9318F" w:rsidRDefault="00D9318F" w:rsidP="00B45F2D">
                            <w:r w:rsidRPr="0000659B">
                              <w:rPr>
                                <w:noProof/>
                                <w:lang w:eastAsia="zh-CN"/>
                              </w:rPr>
                              <w:drawing>
                                <wp:inline distT="0" distB="0" distL="0" distR="0" wp14:anchorId="5BBA99BD" wp14:editId="5BBA99BE">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999E" id="_x0000_s1027" type="#_x0000_t202" style="position:absolute;margin-left:0;margin-top:2.4pt;width:259.8pt;height:200.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aJAIAACQ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" stroked="f">
                <v:textbox>
                  <w:txbxContent>
                    <w:p w:rsidR="00D9318F" w:rsidRDefault="00D9318F" w:rsidP="00B45F2D">
                      <w:r w:rsidRPr="0000659B">
                        <w:rPr>
                          <w:noProof/>
                          <w:lang w:eastAsia="zh-CN"/>
                        </w:rPr>
                        <w:drawing>
                          <wp:inline distT="0" distB="0" distL="0" distR="0" wp14:anchorId="5BBA99BD" wp14:editId="5BBA99BE">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p w:rsidR="00B45F2D" w:rsidRDefault="00B45F2D" w:rsidP="00B45F2D">
      <w:pPr>
        <w:pStyle w:val="Heading2"/>
      </w:pPr>
    </w:p>
    <w:p w:rsidR="00B45F2D" w:rsidRDefault="00B45F2D" w:rsidP="00B45F2D">
      <w:pPr>
        <w:pStyle w:val="Heading2"/>
      </w:pPr>
      <w:r w:rsidRPr="007D59BF">
        <w:t xml:space="preserve"> </w:t>
      </w:r>
    </w:p>
    <w:p w:rsidR="00B45F2D" w:rsidRDefault="00B45F2D" w:rsidP="00B45F2D">
      <w:pPr>
        <w:pStyle w:val="Heading2"/>
      </w:pPr>
    </w:p>
    <w:p w:rsidR="00B45F2D" w:rsidRDefault="00B45F2D" w:rsidP="00B45F2D">
      <w:pPr>
        <w:pStyle w:val="Heading2"/>
      </w:pPr>
    </w:p>
    <w:p w:rsidR="00B45F2D" w:rsidRPr="00AB1060" w:rsidRDefault="00B45F2D" w:rsidP="00B45F2D">
      <w:pPr>
        <w:pStyle w:val="Heading2"/>
        <w:rPr>
          <w:sz w:val="32"/>
          <w:szCs w:val="32"/>
          <w:lang w:val="en-US"/>
        </w:rPr>
      </w:pPr>
      <w:r>
        <w:rPr>
          <w:rFonts w:asciiTheme="majorHAnsi" w:eastAsiaTheme="majorEastAsia" w:hAnsiTheme="majorHAnsi" w:cstheme="majorBidi"/>
          <w:b w:val="0"/>
          <w:noProof/>
          <w:color w:val="365F91" w:themeColor="accent1" w:themeShade="BF"/>
          <w:sz w:val="26"/>
          <w:szCs w:val="26"/>
          <w:lang w:eastAsia="zh-CN"/>
        </w:rPr>
        <mc:AlternateContent>
          <mc:Choice Requires="wps">
            <w:drawing>
              <wp:anchor distT="45720" distB="45720" distL="114300" distR="114300" simplePos="0" relativeHeight="251661312" behindDoc="0" locked="0" layoutInCell="1" allowOverlap="1" wp14:anchorId="5BBA99A0" wp14:editId="5BBA99A1">
                <wp:simplePos x="0" y="0"/>
                <wp:positionH relativeFrom="margin">
                  <wp:align>left</wp:align>
                </wp:positionH>
                <wp:positionV relativeFrom="paragraph">
                  <wp:posOffset>1495481</wp:posOffset>
                </wp:positionV>
                <wp:extent cx="3235960" cy="2472690"/>
                <wp:effectExtent l="0" t="0" r="254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2472690"/>
                        </a:xfrm>
                        <a:prstGeom prst="rect">
                          <a:avLst/>
                        </a:prstGeom>
                        <a:solidFill>
                          <a:srgbClr val="FFFFFF"/>
                        </a:solidFill>
                        <a:ln w="9525">
                          <a:noFill/>
                          <a:miter lim="800000"/>
                          <a:headEnd/>
                          <a:tailEnd/>
                        </a:ln>
                      </wps:spPr>
                      <wps:txbx>
                        <w:txbxContent>
                          <w:p w:rsidR="00D9318F" w:rsidRDefault="00D9318F" w:rsidP="00B45F2D">
                            <w:r w:rsidRPr="0000659B">
                              <w:rPr>
                                <w:noProof/>
                                <w:lang w:eastAsia="zh-CN"/>
                              </w:rPr>
                              <w:drawing>
                                <wp:inline distT="0" distB="0" distL="0" distR="0" wp14:anchorId="5BBA99BF" wp14:editId="2B6B8F04">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3477" cy="2282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99A0" id="_x0000_s1028" type="#_x0000_t202" style="position:absolute;left:0;text-align:left;margin-left:0;margin-top:117.75pt;width:254.8pt;height:194.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" stroked="f">
                <v:textbox>
                  <w:txbxContent>
                    <w:p w:rsidR="00D9318F" w:rsidRDefault="00D9318F" w:rsidP="00B45F2D">
                      <w:r w:rsidRPr="0000659B">
                        <w:rPr>
                          <w:noProof/>
                          <w:lang w:eastAsia="zh-CN"/>
                        </w:rPr>
                        <w:drawing>
                          <wp:inline distT="0" distB="0" distL="0" distR="0" wp14:anchorId="5BBA99BF" wp14:editId="2B6B8F04">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3477" cy="2282025"/>
                                    </a:xfrm>
                                    <a:prstGeom prst="rect">
                                      <a:avLst/>
                                    </a:prstGeom>
                                    <a:noFill/>
                                    <a:ln>
                                      <a:noFill/>
                                    </a:ln>
                                  </pic:spPr>
                                </pic:pic>
                              </a:graphicData>
                            </a:graphic>
                          </wp:inline>
                        </w:drawing>
                      </w:r>
                    </w:p>
                  </w:txbxContent>
                </v:textbox>
                <w10:wrap type="square" anchorx="margin"/>
              </v:shape>
            </w:pict>
          </mc:Fallback>
        </mc:AlternateContent>
      </w:r>
      <w:r w:rsidR="00BB4339">
        <w:t xml:space="preserve"> </w:t>
      </w:r>
      <w:r w:rsidRPr="00AB1060">
        <w:rPr>
          <w:lang w:val="en-US"/>
        </w:rPr>
        <w:br w:type="page"/>
      </w: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Risk analysis</w:t>
      </w:r>
    </w:p>
    <w:p w:rsidR="00B45F2D" w:rsidRPr="00DF1219" w:rsidRDefault="00B45F2D" w:rsidP="00516485">
      <w:pPr>
        <w:spacing w:after="120"/>
        <w:rPr>
          <w:rFonts w:eastAsia="SimSun" w:cs="Arial"/>
        </w:rPr>
      </w:pPr>
      <w:r w:rsidRPr="00DF1219">
        <w:rPr>
          <w:rFonts w:eastAsia="SimSun" w:cs="Arial"/>
        </w:rPr>
        <w:t>The table below identifies the major operational risks for the 20</w:t>
      </w:r>
      <w:r w:rsidR="00822DFE">
        <w:rPr>
          <w:rFonts w:eastAsia="SimSun" w:cs="Arial"/>
        </w:rPr>
        <w:t>20</w:t>
      </w:r>
      <w:r w:rsidRPr="00DF1219">
        <w:rPr>
          <w:rFonts w:eastAsia="SimSun" w:cs="Arial"/>
        </w:rPr>
        <w:t>-202</w:t>
      </w:r>
      <w:r w:rsidR="00822DFE">
        <w:rPr>
          <w:rFonts w:eastAsia="SimSun" w:cs="Arial"/>
        </w:rPr>
        <w:t>3</w:t>
      </w:r>
      <w:r w:rsidRPr="00DF1219">
        <w:rPr>
          <w:rFonts w:eastAsia="SimSun" w:cs="Arial"/>
        </w:rPr>
        <w:t xml:space="preserve"> timeframe.</w:t>
      </w:r>
      <w:r w:rsidR="00BB4339">
        <w:rPr>
          <w:rFonts w:eastAsia="SimSun" w:cs="Arial"/>
        </w:rPr>
        <w:t xml:space="preserve"> </w:t>
      </w:r>
      <w:r>
        <w:rPr>
          <w:rFonts w:eastAsia="SimSun" w:cs="Arial"/>
        </w:rPr>
        <w:t>These risks are identical to the risks identified for the 201</w:t>
      </w:r>
      <w:r w:rsidR="00822DFE">
        <w:rPr>
          <w:rFonts w:eastAsia="SimSun" w:cs="Arial"/>
        </w:rPr>
        <w:t>9</w:t>
      </w:r>
      <w:r>
        <w:rPr>
          <w:rFonts w:eastAsia="SimSun" w:cs="Arial"/>
        </w:rPr>
        <w:t>-202</w:t>
      </w:r>
      <w:r w:rsidR="00822DFE">
        <w:rPr>
          <w:rFonts w:eastAsia="SimSun" w:cs="Arial"/>
        </w:rPr>
        <w:t>2</w:t>
      </w:r>
      <w:r>
        <w:rPr>
          <w:rFonts w:eastAsia="SimSun" w:cs="Arial"/>
        </w:rPr>
        <w:t xml:space="preserve"> period.</w:t>
      </w:r>
    </w:p>
    <w:tbl>
      <w:tblPr>
        <w:tblStyle w:val="GridTable4-Accent11"/>
        <w:tblW w:w="14737" w:type="dxa"/>
        <w:tblLook w:val="06A0" w:firstRow="1" w:lastRow="0" w:firstColumn="1" w:lastColumn="0" w:noHBand="1" w:noVBand="1"/>
      </w:tblPr>
      <w:tblGrid>
        <w:gridCol w:w="1555"/>
        <w:gridCol w:w="4677"/>
        <w:gridCol w:w="1276"/>
        <w:gridCol w:w="1418"/>
        <w:gridCol w:w="5811"/>
      </w:tblGrid>
      <w:tr w:rsidR="00B45F2D" w:rsidRPr="00271824" w:rsidTr="001E5F5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spacing w:after="200" w:line="276" w:lineRule="auto"/>
              <w:rPr>
                <w:rFonts w:eastAsia="SimSun"/>
                <w:sz w:val="22"/>
                <w:szCs w:val="20"/>
                <w:lang w:eastAsia="zh-CN"/>
              </w:rPr>
            </w:pPr>
            <w:r w:rsidRPr="00271824">
              <w:rPr>
                <w:rFonts w:eastAsia="SimSun"/>
                <w:sz w:val="22"/>
                <w:szCs w:val="20"/>
                <w:lang w:eastAsia="zh-CN"/>
              </w:rPr>
              <w:t>Perspective</w:t>
            </w:r>
          </w:p>
        </w:tc>
        <w:tc>
          <w:tcPr>
            <w:tcW w:w="4677"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Description of risk</w:t>
            </w:r>
          </w:p>
        </w:tc>
        <w:tc>
          <w:tcPr>
            <w:tcW w:w="1276"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Probability</w:t>
            </w:r>
          </w:p>
        </w:tc>
        <w:tc>
          <w:tcPr>
            <w:tcW w:w="1418" w:type="dxa"/>
          </w:tcPr>
          <w:p w:rsidR="00B45F2D" w:rsidRPr="00271824" w:rsidRDefault="00B45F2D" w:rsidP="00B45F2D">
            <w:pPr>
              <w:spacing w:after="200" w:line="276" w:lineRule="auto"/>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Impact level</w:t>
            </w:r>
          </w:p>
        </w:tc>
        <w:tc>
          <w:tcPr>
            <w:tcW w:w="5811" w:type="dxa"/>
          </w:tcPr>
          <w:p w:rsidR="00B45F2D" w:rsidRPr="00271824" w:rsidRDefault="00B45F2D" w:rsidP="00B45F2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SimSun"/>
                <w:sz w:val="22"/>
                <w:szCs w:val="20"/>
                <w:lang w:eastAsia="zh-CN"/>
              </w:rPr>
            </w:pPr>
            <w:r w:rsidRPr="00271824">
              <w:rPr>
                <w:rFonts w:eastAsia="SimSun"/>
                <w:sz w:val="22"/>
                <w:szCs w:val="20"/>
                <w:lang w:eastAsia="zh-CN"/>
              </w:rPr>
              <w:t>Mitigation</w:t>
            </w:r>
            <w:r w:rsidRPr="00CD3FB1">
              <w:rPr>
                <w:rFonts w:eastAsia="SimSun"/>
                <w:position w:val="6"/>
                <w:sz w:val="22"/>
                <w:szCs w:val="20"/>
                <w:vertAlign w:val="superscript"/>
                <w:lang w:val="fr-CH" w:eastAsia="zh-CN"/>
              </w:rPr>
              <w:footnoteReference w:id="2"/>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spacing w:after="200" w:line="276" w:lineRule="auto"/>
              <w:rPr>
                <w:rFonts w:eastAsia="SimSun" w:cs="Calibri"/>
                <w:sz w:val="22"/>
                <w:szCs w:val="20"/>
                <w:lang w:eastAsia="zh-CN"/>
              </w:rPr>
            </w:pPr>
            <w:r w:rsidRPr="00271824">
              <w:rPr>
                <w:rFonts w:eastAsia="SimSun" w:cs="Calibri"/>
                <w:sz w:val="22"/>
                <w:szCs w:val="20"/>
                <w:lang w:eastAsia="zh-CN"/>
              </w:rPr>
              <w:t>Finance</w:t>
            </w:r>
          </w:p>
        </w:tc>
        <w:tc>
          <w:tcPr>
            <w:tcW w:w="4677" w:type="dxa"/>
          </w:tcPr>
          <w:p w:rsidR="00B45F2D" w:rsidRPr="00271824" w:rsidRDefault="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Lack of resources/Insufficient funding</w:t>
            </w:r>
          </w:p>
        </w:tc>
        <w:tc>
          <w:tcPr>
            <w:tcW w:w="1276" w:type="dxa"/>
          </w:tcPr>
          <w:p w:rsidR="00B45F2D" w:rsidRPr="00271824"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 xml:space="preserve">medium </w:t>
            </w:r>
          </w:p>
        </w:tc>
        <w:tc>
          <w:tcPr>
            <w:tcW w:w="1418" w:type="dxa"/>
          </w:tcPr>
          <w:p w:rsidR="00B45F2D" w:rsidRPr="00271824" w:rsidRDefault="00B45F2D" w:rsidP="00B45F2D">
            <w:pPr>
              <w:spacing w:after="200" w:line="276" w:lineRule="auto"/>
              <w:cnfStyle w:val="000000000000" w:firstRow="0" w:lastRow="0" w:firstColumn="0" w:lastColumn="0" w:oddVBand="0" w:evenVBand="0" w:oddHBand="0" w:evenHBand="0" w:firstRowFirstColumn="0" w:firstRowLastColumn="0" w:lastRowFirstColumn="0" w:lastRowLastColumn="0"/>
              <w:rPr>
                <w:rFonts w:eastAsia="SimSun" w:cs="Calibri"/>
                <w:sz w:val="22"/>
                <w:szCs w:val="20"/>
                <w:lang w:val="fr-CH" w:eastAsia="zh-CN"/>
              </w:rPr>
            </w:pPr>
            <w:r w:rsidRPr="00271824">
              <w:rPr>
                <w:rFonts w:eastAsia="SimSun" w:cs="Calibri"/>
                <w:sz w:val="22"/>
                <w:szCs w:val="20"/>
                <w:lang w:val="fr-CH" w:eastAsia="zh-CN"/>
              </w:rPr>
              <w:t>high</w:t>
            </w:r>
          </w:p>
        </w:tc>
        <w:tc>
          <w:tcPr>
            <w:tcW w:w="5811" w:type="dxa"/>
          </w:tcPr>
          <w:p w:rsidR="00B45F2D" w:rsidRPr="00271824"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Appropriate budget forecast to be prepared.</w:t>
            </w:r>
          </w:p>
          <w:p w:rsidR="00B45F2D" w:rsidRPr="00271824" w:rsidRDefault="00B45F2D" w:rsidP="00B45F2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Mobilization of additional/extra-budgetary resources when required</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r w:rsidRPr="00271824">
              <w:rPr>
                <w:rFonts w:eastAsia="SimSun" w:cs="Calibri"/>
                <w:sz w:val="22"/>
                <w:szCs w:val="20"/>
                <w:lang w:val="fr-CH" w:eastAsia="zh-CN"/>
              </w:rPr>
              <w:t>Human resources</w:t>
            </w:r>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Lack of qualified experts in the field of activity</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cs="Calibri"/>
                <w:sz w:val="22"/>
                <w:szCs w:val="20"/>
                <w:lang w:val="fr-CH" w:eastAsia="zh-CN"/>
              </w:rPr>
              <w:t>high</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cs="Calibri"/>
                <w:sz w:val="22"/>
                <w:szCs w:val="20"/>
                <w:lang w:val="fr-CH" w:eastAsia="zh-CN"/>
              </w:rPr>
              <w:t>medium</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color w:val="767171"/>
                <w:sz w:val="22"/>
                <w:szCs w:val="20"/>
                <w:lang w:eastAsia="zh-CN"/>
              </w:rPr>
            </w:pPr>
            <w:r w:rsidRPr="00271824">
              <w:rPr>
                <w:rFonts w:eastAsia="SimSun" w:cs="Calibri"/>
                <w:sz w:val="22"/>
                <w:szCs w:val="20"/>
                <w:lang w:eastAsia="zh-CN"/>
              </w:rPr>
              <w:t>Anticipate the resources requirements and initiate recruitment procedures as soon as possible. Create and keep up-to-date a roster for experts</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r w:rsidRPr="00271824">
              <w:rPr>
                <w:rFonts w:eastAsia="SimSun" w:cs="Calibri"/>
                <w:sz w:val="22"/>
                <w:szCs w:val="20"/>
                <w:lang w:val="fr-CH" w:eastAsia="zh-CN"/>
              </w:rPr>
              <w:t>Stakeholders / partners</w:t>
            </w:r>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Lack of support/commitment from partners and countries</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val="fr-CH" w:eastAsia="zh-CN"/>
              </w:rPr>
              <w:t>High</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val="fr-CH" w:eastAsia="zh-CN"/>
              </w:rPr>
              <w:t>Medium</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s="Calibri"/>
                <w:sz w:val="22"/>
                <w:szCs w:val="20"/>
                <w:lang w:eastAsia="zh-CN"/>
              </w:rPr>
            </w:pPr>
            <w:r w:rsidRPr="00271824">
              <w:rPr>
                <w:rFonts w:eastAsia="SimSun" w:cs="Calibri"/>
                <w:sz w:val="22"/>
                <w:szCs w:val="20"/>
                <w:lang w:eastAsia="zh-CN"/>
              </w:rPr>
              <w:t>Ensure and improve cooperation with countries so as to guarantee appropriate level of involvement by countries.</w:t>
            </w:r>
          </w:p>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cs="Calibri"/>
                <w:sz w:val="22"/>
                <w:szCs w:val="20"/>
                <w:lang w:eastAsia="zh-CN"/>
              </w:rPr>
              <w:t>Request for greater involvement in activities.</w:t>
            </w:r>
          </w:p>
        </w:tc>
      </w:tr>
      <w:tr w:rsidR="00B45F2D" w:rsidRPr="00271824" w:rsidTr="00EE1223">
        <w:tc>
          <w:tcPr>
            <w:cnfStyle w:val="001000000000" w:firstRow="0" w:lastRow="0" w:firstColumn="1" w:lastColumn="0" w:oddVBand="0" w:evenVBand="0" w:oddHBand="0" w:evenHBand="0" w:firstRowFirstColumn="0" w:firstRowLastColumn="0" w:lastRowFirstColumn="0" w:lastRowLastColumn="0"/>
            <w:tcW w:w="1555" w:type="dxa"/>
          </w:tcPr>
          <w:p w:rsidR="00B45F2D" w:rsidRPr="00271824" w:rsidRDefault="00B45F2D" w:rsidP="00B45F2D">
            <w:pPr>
              <w:rPr>
                <w:rFonts w:eastAsia="SimSun" w:cs="Calibri"/>
                <w:sz w:val="22"/>
                <w:szCs w:val="20"/>
                <w:lang w:val="fr-CH" w:eastAsia="zh-CN"/>
              </w:rPr>
            </w:pPr>
            <w:r w:rsidRPr="00271824">
              <w:rPr>
                <w:rFonts w:eastAsia="SimSun"/>
                <w:sz w:val="22"/>
                <w:szCs w:val="20"/>
                <w:lang w:eastAsia="zh-CN"/>
              </w:rPr>
              <w:t>Environment</w:t>
            </w:r>
          </w:p>
        </w:tc>
        <w:tc>
          <w:tcPr>
            <w:tcW w:w="4677"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eastAsia="zh-CN"/>
              </w:rPr>
              <w:t>Delays in country activities</w:t>
            </w:r>
            <w:r w:rsidR="00896EC0">
              <w:rPr>
                <w:rFonts w:eastAsia="SimSun"/>
                <w:sz w:val="22"/>
                <w:szCs w:val="20"/>
                <w:lang w:eastAsia="zh-CN"/>
              </w:rPr>
              <w:t xml:space="preserve"> </w:t>
            </w:r>
            <w:r w:rsidRPr="00271824">
              <w:rPr>
                <w:rFonts w:eastAsia="SimSun"/>
                <w:sz w:val="22"/>
                <w:szCs w:val="20"/>
                <w:lang w:eastAsia="zh-CN"/>
              </w:rPr>
              <w:t>due to unforeseen local events</w:t>
            </w:r>
          </w:p>
        </w:tc>
        <w:tc>
          <w:tcPr>
            <w:tcW w:w="1276"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val="fr-CH" w:eastAsia="zh-CN"/>
              </w:rPr>
              <w:t>Medium</w:t>
            </w:r>
          </w:p>
        </w:tc>
        <w:tc>
          <w:tcPr>
            <w:tcW w:w="1418" w:type="dxa"/>
          </w:tcPr>
          <w:p w:rsidR="00B45F2D" w:rsidRPr="00271824" w:rsidRDefault="00B45F2D" w:rsidP="00B45F2D">
            <w:pPr>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val="fr-CH" w:eastAsia="zh-CN"/>
              </w:rPr>
            </w:pPr>
            <w:r w:rsidRPr="00271824">
              <w:rPr>
                <w:rFonts w:eastAsia="SimSun"/>
                <w:sz w:val="22"/>
                <w:szCs w:val="20"/>
                <w:lang w:eastAsia="zh-CN"/>
              </w:rPr>
              <w:t>Low</w:t>
            </w:r>
          </w:p>
        </w:tc>
        <w:tc>
          <w:tcPr>
            <w:tcW w:w="5811" w:type="dxa"/>
          </w:tcPr>
          <w:p w:rsidR="00B45F2D" w:rsidRPr="00271824" w:rsidRDefault="00B45F2D" w:rsidP="00B45F2D">
            <w:pPr>
              <w:ind w:left="34"/>
              <w:cnfStyle w:val="000000000000" w:firstRow="0" w:lastRow="0" w:firstColumn="0" w:lastColumn="0" w:oddVBand="0" w:evenVBand="0" w:oddHBand="0" w:evenHBand="0" w:firstRowFirstColumn="0" w:firstRowLastColumn="0" w:lastRowFirstColumn="0" w:lastRowLastColumn="0"/>
              <w:rPr>
                <w:rFonts w:eastAsia="SimSun"/>
                <w:color w:val="767171"/>
                <w:sz w:val="22"/>
                <w:szCs w:val="20"/>
                <w:lang w:eastAsia="zh-CN"/>
              </w:rPr>
            </w:pPr>
            <w:r w:rsidRPr="00271824">
              <w:rPr>
                <w:rFonts w:eastAsia="SimSun"/>
                <w:sz w:val="22"/>
                <w:szCs w:val="20"/>
                <w:lang w:eastAsia="zh-CN"/>
              </w:rPr>
              <w:t>Develop adaptive and responsive implementation mechanisms and communicate with partners and donors</w:t>
            </w:r>
          </w:p>
        </w:tc>
      </w:tr>
    </w:tbl>
    <w:p w:rsidR="00B45F2D" w:rsidRPr="00DF1219" w:rsidRDefault="00B45F2D" w:rsidP="00B45F2D">
      <w:pPr>
        <w:tabs>
          <w:tab w:val="left" w:pos="794"/>
          <w:tab w:val="left" w:pos="1191"/>
          <w:tab w:val="left" w:pos="1588"/>
          <w:tab w:val="left" w:pos="1985"/>
        </w:tabs>
        <w:rPr>
          <w:rFonts w:eastAsia="SimSun"/>
        </w:rPr>
      </w:pP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ITU-D objective</w:t>
      </w:r>
      <w:r w:rsidR="00B90C0C" w:rsidRPr="00516485">
        <w:rPr>
          <w:sz w:val="24"/>
          <w:szCs w:val="18"/>
          <w:lang w:val="en-US"/>
        </w:rPr>
        <w:t>s, outcomes and outputs for 2020-2023</w:t>
      </w:r>
      <w:r w:rsidR="00BB4339">
        <w:rPr>
          <w:sz w:val="24"/>
          <w:szCs w:val="18"/>
          <w:lang w:val="en-US"/>
        </w:rPr>
        <w:t xml:space="preserve"> </w:t>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t>Objective 1 – Coordination: Foster international cooperation and agreement on telecommunication/ICT development issues</w:t>
      </w:r>
    </w:p>
    <w:tbl>
      <w:tblPr>
        <w:tblStyle w:val="GridTable4-Accent11"/>
        <w:tblW w:w="14596" w:type="dxa"/>
        <w:tblLook w:val="06A0" w:firstRow="1" w:lastRow="0" w:firstColumn="1" w:lastColumn="0" w:noHBand="1" w:noVBand="1"/>
      </w:tblPr>
      <w:tblGrid>
        <w:gridCol w:w="6573"/>
        <w:gridCol w:w="8023"/>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73" w:type="dxa"/>
          </w:tcPr>
          <w:p w:rsidR="00B45F2D" w:rsidRPr="008839F4" w:rsidRDefault="00B45F2D" w:rsidP="001E5F58">
            <w:pPr>
              <w:keepNext/>
              <w:keepLines/>
              <w:spacing w:before="40"/>
              <w:jc w:val="center"/>
              <w:rPr>
                <w:rFonts w:eastAsia="SimSun"/>
                <w:sz w:val="16"/>
                <w:szCs w:val="16"/>
                <w:lang w:eastAsia="zh-CN"/>
              </w:rPr>
            </w:pPr>
            <w:r w:rsidRPr="008839F4">
              <w:rPr>
                <w:rFonts w:eastAsia="SimSun"/>
                <w:sz w:val="16"/>
                <w:szCs w:val="16"/>
              </w:rPr>
              <w:t>Outcome</w:t>
            </w:r>
          </w:p>
        </w:tc>
        <w:tc>
          <w:tcPr>
            <w:tcW w:w="8023" w:type="dxa"/>
          </w:tcPr>
          <w:p w:rsidR="00B45F2D" w:rsidRPr="008839F4"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8839F4">
              <w:rPr>
                <w:rFonts w:eastAsia="SimSun"/>
                <w:sz w:val="16"/>
                <w:szCs w:val="16"/>
              </w:rPr>
              <w:t>Outcome</w:t>
            </w:r>
            <w:r w:rsidRPr="008839F4">
              <w:rPr>
                <w:rFonts w:eastAsia="SimSun"/>
                <w:sz w:val="16"/>
                <w:szCs w:val="16"/>
                <w:lang w:val="fr-CH"/>
              </w:rPr>
              <w:t xml:space="preserve"> </w:t>
            </w:r>
            <w:r w:rsidRPr="008839F4">
              <w:rPr>
                <w:rFonts w:eastAsia="SimSun"/>
                <w:sz w:val="16"/>
                <w:szCs w:val="16"/>
              </w:rPr>
              <w:t>Indicator</w:t>
            </w:r>
          </w:p>
        </w:tc>
      </w:tr>
      <w:tr w:rsidR="00B45F2D" w:rsidRPr="00DF1219" w:rsidTr="00EE1223">
        <w:trPr>
          <w:trHeight w:val="69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9B5273">
            <w:pPr>
              <w:keepNext/>
              <w:keepLines/>
              <w:spacing w:before="60" w:after="60"/>
              <w:rPr>
                <w:sz w:val="16"/>
                <w:szCs w:val="16"/>
                <w:lang w:eastAsia="zh-CN"/>
              </w:rPr>
            </w:pPr>
            <w:r w:rsidRPr="00EE1223">
              <w:rPr>
                <w:color w:val="5B9BD5"/>
                <w:sz w:val="16"/>
                <w:szCs w:val="16"/>
              </w:rPr>
              <w:t>1.1 - Enhanced review and increased level of agreement on the draft ITU-D contribution to the draft ITU strategic plan, the World Telecommunication Development Conference (WTDC) Declaration, and the WTDC Action Plan</w:t>
            </w:r>
          </w:p>
        </w:tc>
        <w:tc>
          <w:tcPr>
            <w:tcW w:w="8023"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Membership level of understanding and sharing of the ITU-D objectives and outputs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Declaration approved - level of support/ agreement</w:t>
            </w:r>
          </w:p>
        </w:tc>
      </w:tr>
      <w:tr w:rsidR="00B45F2D" w:rsidRPr="00DF1219" w:rsidTr="00EE1223">
        <w:trPr>
          <w:trHeight w:val="26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sz w:val="16"/>
                <w:szCs w:val="16"/>
                <w:lang w:eastAsia="zh-CN"/>
              </w:rPr>
            </w:pPr>
            <w:r w:rsidRPr="00EE1223">
              <w:rPr>
                <w:color w:val="5B9BD5"/>
                <w:sz w:val="16"/>
                <w:szCs w:val="16"/>
              </w:rPr>
              <w:t>1.2 - Assessment of the implementation of the Action Plan and of the WSIS Plan of Action</w:t>
            </w:r>
          </w:p>
        </w:tc>
        <w:tc>
          <w:tcPr>
            <w:tcW w:w="8023"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Indicators of regional cooperation -Level of consensus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1.3 - Enhanced knowledge-sharing, dialogue and partnership among the ITU membership on telecommunication/ICT issues</w:t>
            </w:r>
          </w:p>
        </w:tc>
        <w:tc>
          <w:tcPr>
            <w:tcW w:w="8023"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Work programmes undertaken in response to: Resolution 2 (Rev. Buenos Aires 2017); work assigned by WTDC; ITU-D resolutions addressing specific areas of study through ITU-D study groups.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Meetings and documentation for meetings processed in accordance with Resolution 1 (and working guidelines) and in accordance with decisions of WTDC</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Increased use of electronic tools to progress the work on the study group work programmes</w:t>
            </w:r>
          </w:p>
        </w:tc>
      </w:tr>
      <w:tr w:rsidR="00B45F2D" w:rsidRPr="00DF1219" w:rsidTr="00EE1223">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1.4 - Enhanced process and implementation of telecommunication/ICT development projects and regional initiatives</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Increased use of electronic tools to progress work on the study group work programmes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development projects and projects related to regional initiatives implemented per region</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implementing projects related to regional initiatives</w:t>
            </w:r>
          </w:p>
        </w:tc>
      </w:tr>
      <w:tr w:rsidR="00B45F2D" w:rsidRPr="00DF1219" w:rsidTr="00EE1223">
        <w:trPr>
          <w:trHeight w:val="722"/>
        </w:trPr>
        <w:tc>
          <w:tcPr>
            <w:cnfStyle w:val="001000000000" w:firstRow="0" w:lastRow="0" w:firstColumn="1" w:lastColumn="0" w:oddVBand="0" w:evenVBand="0" w:oddHBand="0" w:evenHBand="0" w:firstRowFirstColumn="0" w:firstRowLastColumn="0" w:lastRowFirstColumn="0" w:lastRowLastColumn="0"/>
            <w:tcW w:w="6573" w:type="dxa"/>
          </w:tcPr>
          <w:p w:rsidR="00B45F2D" w:rsidRPr="00EE1223" w:rsidRDefault="00B45F2D" w:rsidP="00B45F2D">
            <w:pPr>
              <w:keepNext/>
              <w:keepLines/>
              <w:spacing w:before="60" w:after="60"/>
              <w:rPr>
                <w:color w:val="5B9BD5"/>
                <w:sz w:val="16"/>
                <w:szCs w:val="16"/>
              </w:rPr>
            </w:pPr>
            <w:r w:rsidRPr="00EE1223">
              <w:rPr>
                <w:color w:val="5B9BD5"/>
                <w:sz w:val="16"/>
                <w:szCs w:val="16"/>
              </w:rPr>
              <w:t>1.5 - Facilitation of agreement to cooperate on telecommunication/ICT development programmes between Member States, and between Member States and other stakeholders in the ICT ecosystem, based on requests from ITU Member States involved</w:t>
            </w:r>
          </w:p>
        </w:tc>
        <w:tc>
          <w:tcPr>
            <w:tcW w:w="8023" w:type="dxa"/>
          </w:tcPr>
          <w:p w:rsidR="00B45F2D" w:rsidRPr="00066137"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066137">
              <w:rPr>
                <w:sz w:val="16"/>
                <w:szCs w:val="16"/>
              </w:rPr>
              <w:t>Number of partnerships signed, and resources mobilized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requests of administrations to the ITU to facilitate agreements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agreements facilitated by the ITU</w:t>
            </w:r>
          </w:p>
        </w:tc>
      </w:tr>
    </w:tbl>
    <w:p w:rsidR="00B45F2D" w:rsidRPr="00DF1219" w:rsidRDefault="00B45F2D" w:rsidP="00B45F2D"/>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tcW w:w="8784" w:type="dxa"/>
            <w:tcBorders>
              <w:bottom w:val="single" w:sz="4" w:space="0" w:color="4F81BD" w:themeColor="accent1"/>
            </w:tcBorders>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Borders>
              <w:bottom w:val="single" w:sz="4" w:space="0" w:color="4F81BD" w:themeColor="accent1"/>
            </w:tcBorders>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DF1219" w:rsidTr="00EE1223">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rPr>
                <w:rFonts w:eastAsia="SimSun"/>
                <w:sz w:val="16"/>
                <w:szCs w:val="16"/>
                <w:lang w:eastAsia="zh-CN"/>
              </w:rPr>
            </w:pP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rPr>
                <w:rFonts w:eastAsia="SimSun"/>
                <w:sz w:val="16"/>
                <w:szCs w:val="16"/>
                <w:lang w:eastAsia="zh-CN"/>
              </w:rPr>
            </w:pPr>
            <w:r w:rsidRPr="00EE1223">
              <w:rPr>
                <w:rFonts w:eastAsia="SimSun"/>
                <w:color w:val="5B9BD5"/>
                <w:sz w:val="16"/>
                <w:szCs w:val="16"/>
              </w:rPr>
              <w:t>1.1</w:t>
            </w:r>
            <w:r w:rsidR="00BB4339">
              <w:rPr>
                <w:rFonts w:eastAsia="SimSun"/>
                <w:color w:val="5B9BD5"/>
                <w:sz w:val="16"/>
                <w:szCs w:val="16"/>
                <w:lang w:eastAsia="zh-CN"/>
              </w:rPr>
              <w:t xml:space="preserve"> </w:t>
            </w:r>
            <w:r w:rsidRPr="00EE1223">
              <w:rPr>
                <w:rFonts w:eastAsia="SimSun"/>
                <w:color w:val="5B9BD5"/>
                <w:sz w:val="16"/>
                <w:szCs w:val="16"/>
              </w:rPr>
              <w:t>World telecommunication development conference (WTDC) and WTDC final report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539"/>
              <w:jc w:val="right"/>
              <w:rPr>
                <w:rFonts w:eastAsia="SimSun"/>
                <w:sz w:val="16"/>
                <w:szCs w:val="16"/>
                <w:lang w:val="fr-CH" w:eastAsia="zh-CN"/>
              </w:rPr>
            </w:pPr>
            <w:r w:rsidRPr="00EE1223">
              <w:rPr>
                <w:sz w:val="16"/>
                <w:szCs w:val="16"/>
              </w:rPr>
              <w:t xml:space="preserve"> 1,163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6,664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682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C55585" w:rsidRDefault="00822DFE" w:rsidP="00822DFE">
            <w:pPr>
              <w:spacing w:before="60" w:after="60"/>
              <w:rPr>
                <w:rFonts w:eastAsia="SimSun"/>
                <w:sz w:val="16"/>
                <w:szCs w:val="16"/>
                <w:lang w:eastAsia="zh-CN"/>
              </w:rPr>
            </w:pPr>
            <w:r w:rsidRPr="00C55585">
              <w:rPr>
                <w:rFonts w:eastAsia="SimSun"/>
                <w:color w:val="5B9BD5"/>
                <w:sz w:val="16"/>
                <w:szCs w:val="16"/>
              </w:rPr>
              <w:t>1.2</w:t>
            </w:r>
            <w:r w:rsidR="00BB4339" w:rsidRPr="00C55585">
              <w:rPr>
                <w:rFonts w:eastAsia="SimSun"/>
                <w:color w:val="5B9BD5"/>
                <w:sz w:val="16"/>
                <w:szCs w:val="16"/>
                <w:lang w:eastAsia="zh-CN"/>
              </w:rPr>
              <w:t xml:space="preserve"> </w:t>
            </w:r>
            <w:r w:rsidRPr="00C55585">
              <w:rPr>
                <w:rFonts w:eastAsia="SimSun"/>
                <w:color w:val="5B9BD5"/>
                <w:sz w:val="16"/>
                <w:szCs w:val="16"/>
              </w:rPr>
              <w:t>Regional preparatory meetings (RPMS) and final report of the RPMS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C55585" w:rsidRDefault="00822DFE" w:rsidP="00822DFE">
            <w:pPr>
              <w:spacing w:before="60" w:after="60"/>
              <w:ind w:right="459"/>
              <w:jc w:val="right"/>
              <w:rPr>
                <w:rFonts w:eastAsia="SimSun"/>
                <w:sz w:val="16"/>
                <w:szCs w:val="16"/>
                <w:lang w:val="fr-CH" w:eastAsia="zh-CN"/>
              </w:rPr>
            </w:pPr>
            <w:r w:rsidRPr="00C55585">
              <w:rPr>
                <w:sz w:val="16"/>
                <w:szCs w:val="16"/>
              </w:rPr>
              <w:t xml:space="preserve"> 2,213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C55585" w:rsidRDefault="00822DFE" w:rsidP="00822DFE">
            <w:pPr>
              <w:spacing w:before="60" w:after="60"/>
              <w:ind w:right="459"/>
              <w:jc w:val="right"/>
              <w:rPr>
                <w:sz w:val="16"/>
                <w:szCs w:val="16"/>
              </w:rPr>
            </w:pPr>
            <w:r w:rsidRPr="00C55585">
              <w:rPr>
                <w:sz w:val="16"/>
                <w:szCs w:val="16"/>
              </w:rPr>
              <w:t xml:space="preserve"> 3,522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C55585" w:rsidRDefault="00822DFE" w:rsidP="00822DFE">
            <w:pPr>
              <w:spacing w:before="60" w:after="60"/>
              <w:ind w:right="459"/>
              <w:jc w:val="right"/>
              <w:rPr>
                <w:sz w:val="16"/>
                <w:szCs w:val="16"/>
              </w:rPr>
            </w:pPr>
            <w:r w:rsidRPr="00C55585">
              <w:rPr>
                <w:sz w:val="16"/>
                <w:szCs w:val="16"/>
              </w:rPr>
              <w:t xml:space="preserve"> 282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55585">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rPr>
                <w:rFonts w:eastAsia="SimSun"/>
                <w:sz w:val="16"/>
                <w:szCs w:val="16"/>
                <w:lang w:eastAsia="zh-CN"/>
              </w:rPr>
            </w:pPr>
            <w:r w:rsidRPr="00EE1223">
              <w:rPr>
                <w:rFonts w:eastAsia="SimSun"/>
                <w:color w:val="5B9BD5"/>
                <w:sz w:val="16"/>
                <w:szCs w:val="16"/>
              </w:rPr>
              <w:t>1.3</w:t>
            </w:r>
            <w:r w:rsidR="00BB4339">
              <w:rPr>
                <w:rFonts w:eastAsia="SimSun"/>
                <w:color w:val="5B9BD5"/>
                <w:sz w:val="16"/>
                <w:szCs w:val="16"/>
                <w:lang w:eastAsia="zh-CN"/>
              </w:rPr>
              <w:t xml:space="preserve"> </w:t>
            </w:r>
            <w:r w:rsidRPr="00EE1223">
              <w:rPr>
                <w:rFonts w:eastAsia="SimSun"/>
                <w:color w:val="5B9BD5"/>
                <w:sz w:val="16"/>
                <w:szCs w:val="16"/>
              </w:rPr>
              <w:t>Telecommunication Development Advisory Group (TDAG) and reports of the TDAG for the BDT Director and for WTDC</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rFonts w:eastAsia="SimSun"/>
                <w:sz w:val="16"/>
                <w:szCs w:val="16"/>
                <w:lang w:val="fr-CH" w:eastAsia="zh-CN"/>
              </w:rPr>
            </w:pPr>
            <w:r w:rsidRPr="00EE1223">
              <w:rPr>
                <w:sz w:val="16"/>
                <w:szCs w:val="16"/>
              </w:rPr>
              <w:t xml:space="preserve"> 2,905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2,668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3,040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rPr>
                <w:rFonts w:eastAsia="SimSun"/>
                <w:color w:val="5B9BD5"/>
                <w:sz w:val="16"/>
                <w:szCs w:val="16"/>
              </w:rPr>
            </w:pPr>
            <w:r w:rsidRPr="00EE1223">
              <w:rPr>
                <w:rFonts w:eastAsia="SimSun"/>
                <w:color w:val="5B9BD5"/>
                <w:sz w:val="16"/>
                <w:szCs w:val="16"/>
              </w:rPr>
              <w:t>1.4</w:t>
            </w:r>
            <w:r w:rsidR="00BB4339">
              <w:rPr>
                <w:rFonts w:eastAsia="SimSun"/>
                <w:color w:val="5B9BD5"/>
                <w:sz w:val="16"/>
                <w:szCs w:val="16"/>
              </w:rPr>
              <w:t xml:space="preserve"> </w:t>
            </w:r>
            <w:r w:rsidRPr="00EE1223">
              <w:rPr>
                <w:rFonts w:eastAsia="SimSun"/>
                <w:color w:val="5B9BD5"/>
                <w:sz w:val="16"/>
                <w:szCs w:val="16"/>
              </w:rPr>
              <w:t>Study groups and guidelines, recommendations and reports of study groups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rFonts w:eastAsia="SimSun"/>
                <w:sz w:val="16"/>
                <w:szCs w:val="16"/>
                <w:lang w:val="fr-CH" w:eastAsia="zh-CN"/>
              </w:rPr>
            </w:pPr>
            <w:r w:rsidRPr="00EE1223">
              <w:rPr>
                <w:sz w:val="16"/>
                <w:szCs w:val="16"/>
              </w:rPr>
              <w:t xml:space="preserve"> 4,344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4,372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4,557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rPr>
                <w:color w:val="4F81BD" w:themeColor="accent1"/>
                <w:sz w:val="16"/>
                <w:szCs w:val="16"/>
              </w:rPr>
            </w:pPr>
            <w:r>
              <w:rPr>
                <w:rFonts w:eastAsia="SimSun"/>
                <w:color w:val="5B9BD5"/>
                <w:sz w:val="16"/>
                <w:szCs w:val="16"/>
                <w:lang w:eastAsia="zh-CN"/>
              </w:rPr>
              <w:t>1.5</w:t>
            </w:r>
            <w:r w:rsidR="00BB4339">
              <w:rPr>
                <w:rFonts w:eastAsia="SimSun"/>
                <w:color w:val="5B9BD5"/>
                <w:sz w:val="16"/>
                <w:szCs w:val="16"/>
                <w:lang w:eastAsia="zh-CN"/>
              </w:rPr>
              <w:t xml:space="preserve"> </w:t>
            </w:r>
            <w:r w:rsidRPr="00EE1223">
              <w:rPr>
                <w:rFonts w:eastAsia="SimSun"/>
                <w:color w:val="5B9BD5"/>
                <w:sz w:val="16"/>
                <w:szCs w:val="16"/>
              </w:rPr>
              <w:t>Pla</w:t>
            </w:r>
            <w:r w:rsidRPr="00EE1223">
              <w:rPr>
                <w:color w:val="4F81BD" w:themeColor="accent1"/>
                <w:sz w:val="16"/>
                <w:szCs w:val="16"/>
              </w:rPr>
              <w:t>tforms for regional coordination, including regional development forums (RDFs)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rFonts w:eastAsia="SimSun"/>
                <w:sz w:val="16"/>
                <w:szCs w:val="16"/>
              </w:rPr>
            </w:pPr>
            <w:r w:rsidRPr="00EE1223">
              <w:rPr>
                <w:sz w:val="16"/>
                <w:szCs w:val="16"/>
              </w:rPr>
              <w:t xml:space="preserve"> 2,383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1,818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 1,970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967597" w:rsidRDefault="00822DFE" w:rsidP="00822DFE">
            <w:pPr>
              <w:spacing w:before="60" w:after="60"/>
              <w:rPr>
                <w:color w:val="4F81BD" w:themeColor="accent1"/>
                <w:sz w:val="16"/>
                <w:szCs w:val="16"/>
              </w:rPr>
            </w:pPr>
            <w:r>
              <w:rPr>
                <w:color w:val="4F81BD" w:themeColor="accent1"/>
                <w:sz w:val="16"/>
                <w:szCs w:val="16"/>
              </w:rPr>
              <w:t>1.6</w:t>
            </w:r>
            <w:r w:rsidR="00BB4339">
              <w:rPr>
                <w:color w:val="4F81BD" w:themeColor="accent1"/>
                <w:sz w:val="16"/>
                <w:szCs w:val="16"/>
              </w:rPr>
              <w:t xml:space="preserve"> </w:t>
            </w:r>
            <w:r w:rsidRPr="00066137">
              <w:rPr>
                <w:color w:val="4F81BD" w:themeColor="accent1"/>
                <w:sz w:val="16"/>
                <w:szCs w:val="16"/>
              </w:rPr>
              <w:t>Implemented telecommunication/ICT development projects and services related to regional initiatives</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rFonts w:eastAsia="SimSun"/>
                <w:sz w:val="16"/>
                <w:szCs w:val="16"/>
              </w:rPr>
            </w:pPr>
            <w:r w:rsidRPr="00EE1223">
              <w:rPr>
                <w:sz w:val="16"/>
                <w:szCs w:val="16"/>
              </w:rPr>
              <w:t xml:space="preserve"> 3,947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6C0376" w:rsidRDefault="00822DFE" w:rsidP="00822DFE">
            <w:pPr>
              <w:spacing w:before="60" w:after="60"/>
              <w:ind w:right="459"/>
              <w:jc w:val="right"/>
              <w:rPr>
                <w:sz w:val="16"/>
                <w:szCs w:val="16"/>
              </w:rPr>
            </w:pPr>
            <w:r w:rsidRPr="00EE1223">
              <w:rPr>
                <w:sz w:val="16"/>
                <w:szCs w:val="16"/>
              </w:rPr>
              <w:t xml:space="preserve"> 3,007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6C0376" w:rsidRDefault="00822DFE" w:rsidP="00822DFE">
            <w:pPr>
              <w:spacing w:before="60" w:after="60"/>
              <w:ind w:right="459"/>
              <w:jc w:val="right"/>
              <w:rPr>
                <w:sz w:val="16"/>
                <w:szCs w:val="16"/>
              </w:rPr>
            </w:pPr>
            <w:r w:rsidRPr="00EE1223">
              <w:rPr>
                <w:sz w:val="16"/>
                <w:szCs w:val="16"/>
              </w:rPr>
              <w:t xml:space="preserve"> 3,513 </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6C0376"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rPr>
                <w:rFonts w:eastAsia="SimSun"/>
                <w:color w:val="5B9BD5"/>
                <w:sz w:val="16"/>
                <w:szCs w:val="16"/>
                <w:lang w:eastAsia="zh-CN"/>
              </w:rPr>
            </w:pPr>
            <w:r w:rsidRPr="00EE1223">
              <w:rPr>
                <w:color w:val="4F81BD" w:themeColor="accent1"/>
                <w:sz w:val="16"/>
                <w:szCs w:val="16"/>
              </w:rPr>
              <w:t>Cost allocation to Plenipotentiary Conference and Council activities (PP, Council/CWGs</w:t>
            </w:r>
            <w:r w:rsidRPr="00EE1223">
              <w:rPr>
                <w:sz w:val="16"/>
                <w:szCs w:val="16"/>
              </w:rPr>
              <w:t>)</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rFonts w:eastAsia="SimSun"/>
                <w:sz w:val="16"/>
                <w:szCs w:val="16"/>
                <w:lang w:val="fr-CH" w:eastAsia="zh-CN"/>
              </w:rPr>
            </w:pPr>
            <w:r>
              <w:rPr>
                <w:sz w:val="16"/>
                <w:szCs w:val="16"/>
              </w:rPr>
              <w:t>518</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773</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847</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sz w:val="16"/>
                <w:szCs w:val="16"/>
              </w:rPr>
            </w:pPr>
            <w:r w:rsidRPr="00C6297A">
              <w:rPr>
                <w:sz w:val="16"/>
                <w:szCs w:val="16"/>
              </w:rPr>
              <w:t>n/a</w:t>
            </w:r>
          </w:p>
        </w:tc>
      </w:tr>
      <w:tr w:rsidR="00822DFE" w:rsidRPr="00DF1219" w:rsidTr="00D9318F">
        <w:tc>
          <w:tcPr>
            <w:tcW w:w="87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2DFE" w:rsidRPr="00EE1223" w:rsidRDefault="00822DFE" w:rsidP="00822DFE">
            <w:pPr>
              <w:spacing w:before="60" w:after="60"/>
              <w:ind w:right="113"/>
              <w:rPr>
                <w:rFonts w:eastAsia="SimSun"/>
                <w:b/>
                <w:bCs/>
                <w:noProof/>
                <w:color w:val="5B9BD5"/>
                <w:sz w:val="16"/>
                <w:szCs w:val="16"/>
                <w:lang w:val="fr-CH" w:eastAsia="zh-CN"/>
              </w:rPr>
            </w:pPr>
            <w:r w:rsidRPr="00EE1223">
              <w:rPr>
                <w:rFonts w:eastAsia="SimSun"/>
                <w:b/>
                <w:bCs/>
                <w:color w:val="5B9BD5"/>
                <w:sz w:val="16"/>
                <w:szCs w:val="16"/>
                <w:lang w:val="fr-CH"/>
              </w:rPr>
              <w:t>Total for Objective 1</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rFonts w:eastAsia="SimSun"/>
                <w:b/>
                <w:bCs/>
                <w:sz w:val="16"/>
                <w:szCs w:val="16"/>
                <w:lang w:val="fr-CH" w:eastAsia="zh-CN"/>
              </w:rPr>
            </w:pPr>
            <w:r>
              <w:rPr>
                <w:rFonts w:eastAsia="SimSun"/>
                <w:b/>
                <w:bCs/>
                <w:sz w:val="16"/>
                <w:szCs w:val="16"/>
                <w:lang w:val="fr-CH"/>
              </w:rPr>
              <w:t>17,473</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rFonts w:eastAsia="SimSun"/>
                <w:b/>
                <w:bCs/>
                <w:sz w:val="16"/>
                <w:szCs w:val="16"/>
                <w:lang w:val="fr-CH" w:eastAsia="zh-CN"/>
              </w:rPr>
            </w:pPr>
            <w:r>
              <w:rPr>
                <w:rFonts w:eastAsia="SimSun"/>
                <w:b/>
                <w:bCs/>
                <w:sz w:val="16"/>
                <w:szCs w:val="16"/>
                <w:lang w:val="fr-CH"/>
              </w:rPr>
              <w:t>22,824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822DFE" w:rsidRPr="00EE1223" w:rsidRDefault="00822DFE" w:rsidP="00822DFE">
            <w:pPr>
              <w:spacing w:before="60" w:after="60"/>
              <w:ind w:right="459"/>
              <w:jc w:val="right"/>
              <w:rPr>
                <w:rFonts w:eastAsia="SimSun"/>
                <w:b/>
                <w:bCs/>
                <w:sz w:val="16"/>
                <w:szCs w:val="16"/>
                <w:lang w:val="fr-CH" w:eastAsia="zh-CN"/>
              </w:rPr>
            </w:pPr>
            <w:r>
              <w:rPr>
                <w:rFonts w:eastAsia="SimSun"/>
                <w:b/>
                <w:bCs/>
                <w:sz w:val="16"/>
                <w:szCs w:val="16"/>
                <w:lang w:val="fr-CH"/>
              </w:rPr>
              <w:t>14,891</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822DFE" w:rsidRPr="00EE1223" w:rsidRDefault="00822DFE" w:rsidP="00822DFE">
            <w:pPr>
              <w:spacing w:before="60" w:after="60"/>
              <w:ind w:right="459"/>
              <w:jc w:val="right"/>
              <w:rPr>
                <w:rFonts w:eastAsia="SimSun"/>
                <w:b/>
                <w:bCs/>
                <w:sz w:val="16"/>
                <w:szCs w:val="16"/>
                <w:lang w:val="fr-CH" w:eastAsia="zh-CN"/>
              </w:rPr>
            </w:pPr>
            <w:r w:rsidRPr="00C6297A">
              <w:rPr>
                <w:sz w:val="16"/>
                <w:szCs w:val="16"/>
              </w:rPr>
              <w:t>n/a</w:t>
            </w:r>
          </w:p>
        </w:tc>
      </w:tr>
    </w:tbl>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GridTable4-Accent11"/>
        <w:tblW w:w="14596" w:type="dxa"/>
        <w:tblLook w:val="06A0" w:firstRow="1" w:lastRow="0" w:firstColumn="1" w:lastColumn="0" w:noHBand="1" w:noVBand="1"/>
      </w:tblPr>
      <w:tblGrid>
        <w:gridCol w:w="5665"/>
        <w:gridCol w:w="8931"/>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931"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DF1219" w:rsidTr="00EE1223">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2.1 - Enhanced capacity of ITU Membership to make available resilient telecommunication/ICT infrastructure and services.</w:t>
            </w:r>
          </w:p>
        </w:tc>
        <w:tc>
          <w:tcPr>
            <w:tcW w:w="8931"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Guidelines, Handbooks, assessment studies and publications finalized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users/subscribers accessing the tools for the relevant subjects in countries that BDT contributed to develop</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experts participating in trainings, Seminars, Workshops for the relevant subjects and their satisfaction in countries that BDT contributed to develop</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sz w:val="16"/>
                <w:szCs w:val="16"/>
                <w:lang w:eastAsia="zh-CN"/>
              </w:rPr>
            </w:pPr>
            <w:r w:rsidRPr="00EE1223">
              <w:rPr>
                <w:color w:val="5B9BD5"/>
                <w:sz w:val="16"/>
                <w:szCs w:val="16"/>
              </w:rPr>
              <w:t>2.2 -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8931"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cybersecurity national strategies implemented in countries that BDT contributed to develop</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CERTs that BDT has contributed to establish</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where BDT provided technical assistance and improved cybersecurity capability and awareness</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cyber attacks repelled by CERTs established with the support of BDT</w:t>
            </w:r>
          </w:p>
        </w:tc>
      </w:tr>
      <w:tr w:rsidR="00B45F2D" w:rsidRPr="00DF1219" w:rsidTr="00EE1223">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B45F2D" w:rsidRPr="00EE1223" w:rsidRDefault="00B45F2D" w:rsidP="00B45F2D">
            <w:pPr>
              <w:keepNext/>
              <w:keepLines/>
              <w:spacing w:before="60" w:after="60"/>
              <w:rPr>
                <w:color w:val="5B9BD5"/>
                <w:sz w:val="16"/>
                <w:szCs w:val="16"/>
              </w:rPr>
            </w:pPr>
            <w:r w:rsidRPr="00EE1223">
              <w:rPr>
                <w:color w:val="5B9BD5"/>
                <w:sz w:val="16"/>
                <w:szCs w:val="16"/>
              </w:rPr>
              <w:t>2.3 - Strengthened capacity of Member States to use telecommunication/ICT for disaster risk reduction and management, to ensure availability of emergency telecommunications, and support cooperation in this area.</w:t>
            </w:r>
          </w:p>
        </w:tc>
        <w:tc>
          <w:tcPr>
            <w:tcW w:w="8931"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where BDT assisted with disaster relief efforts both through provision of equipment and infrastructure damage assessments in the aftermath of a disaster</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development and establishment of early warning systems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that received BDT Assistance in developing and establishing national emergency telecommunications plans.</w:t>
            </w:r>
          </w:p>
        </w:tc>
      </w:tr>
    </w:tbl>
    <w:p w:rsidR="00B45F2D" w:rsidRPr="00DF1219" w:rsidRDefault="00B45F2D" w:rsidP="008839F4">
      <w:pPr>
        <w:jc w:val="center"/>
        <w:rPr>
          <w:b/>
          <w:bCs/>
        </w:rPr>
      </w:pPr>
    </w:p>
    <w:tbl>
      <w:tblPr>
        <w:tblStyle w:val="GridTable4-Accent11"/>
        <w:tblW w:w="14596" w:type="dxa"/>
        <w:tblLayout w:type="fixed"/>
        <w:tblLook w:val="0620" w:firstRow="1" w:lastRow="0" w:firstColumn="0" w:lastColumn="0" w:noHBand="1" w:noVBand="1"/>
      </w:tblPr>
      <w:tblGrid>
        <w:gridCol w:w="8784"/>
        <w:gridCol w:w="1417"/>
        <w:gridCol w:w="1418"/>
        <w:gridCol w:w="1559"/>
        <w:gridCol w:w="1418"/>
      </w:tblGrid>
      <w:tr w:rsidR="00B45F2D" w:rsidRPr="00DF1219"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DF1219" w:rsidTr="00EE1223">
        <w:tc>
          <w:tcPr>
            <w:tcW w:w="8784" w:type="dxa"/>
          </w:tcPr>
          <w:p w:rsidR="00822DFE" w:rsidRPr="00EE1223" w:rsidRDefault="00822DFE" w:rsidP="00822DFE">
            <w:pPr>
              <w:spacing w:before="60" w:after="60" w:line="276" w:lineRule="auto"/>
              <w:rPr>
                <w:rFonts w:eastAsia="SimSun"/>
                <w:sz w:val="16"/>
                <w:szCs w:val="16"/>
                <w:lang w:eastAsia="zh-CN"/>
              </w:rPr>
            </w:pPr>
          </w:p>
        </w:tc>
        <w:tc>
          <w:tcPr>
            <w:tcW w:w="1417"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559"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822DFE" w:rsidRPr="00DF1219" w:rsidTr="00B45F2D">
        <w:tc>
          <w:tcPr>
            <w:tcW w:w="8784" w:type="dxa"/>
          </w:tcPr>
          <w:p w:rsidR="00822DFE" w:rsidRPr="00EE1223" w:rsidRDefault="00822DFE" w:rsidP="00822DFE">
            <w:pPr>
              <w:keepNext/>
              <w:keepLines/>
              <w:spacing w:before="60" w:after="60"/>
              <w:rPr>
                <w:sz w:val="16"/>
                <w:szCs w:val="16"/>
                <w:lang w:eastAsia="zh-CN"/>
              </w:rPr>
            </w:pPr>
            <w:r w:rsidRPr="00EE1223">
              <w:rPr>
                <w:color w:val="5B9BD5"/>
                <w:sz w:val="16"/>
                <w:szCs w:val="16"/>
              </w:rPr>
              <w:t>2.1</w:t>
            </w:r>
            <w:r w:rsidR="00BB4339">
              <w:rPr>
                <w:color w:val="5B9BD5"/>
                <w:sz w:val="16"/>
                <w:szCs w:val="16"/>
                <w:lang w:eastAsia="zh-CN"/>
              </w:rPr>
              <w:t xml:space="preserve"> </w:t>
            </w:r>
            <w:r w:rsidRPr="008C15EA">
              <w:rPr>
                <w:color w:val="5B9BD5"/>
                <w:sz w:val="16"/>
                <w:szCs w:val="16"/>
                <w:lang w:eastAsia="zh-CN"/>
              </w:rPr>
              <w:t>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5,911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5,087 </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5,290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D7679">
              <w:rPr>
                <w:sz w:val="16"/>
                <w:szCs w:val="16"/>
              </w:rPr>
              <w:t>n/a</w:t>
            </w:r>
          </w:p>
        </w:tc>
      </w:tr>
      <w:tr w:rsidR="00822DFE" w:rsidRPr="00DF1219" w:rsidTr="00B45F2D">
        <w:tc>
          <w:tcPr>
            <w:tcW w:w="8784" w:type="dxa"/>
          </w:tcPr>
          <w:p w:rsidR="00822DFE" w:rsidRPr="00EE1223" w:rsidRDefault="00822DFE" w:rsidP="00822DFE">
            <w:pPr>
              <w:keepNext/>
              <w:keepLines/>
              <w:spacing w:before="60" w:after="60"/>
              <w:rPr>
                <w:sz w:val="16"/>
                <w:szCs w:val="16"/>
                <w:lang w:eastAsia="zh-CN"/>
              </w:rPr>
            </w:pPr>
            <w:r w:rsidRPr="00EE1223">
              <w:rPr>
                <w:color w:val="5B9BD5"/>
                <w:sz w:val="16"/>
                <w:szCs w:val="16"/>
              </w:rPr>
              <w:t>2.2</w:t>
            </w:r>
            <w:r w:rsidR="00BB4339">
              <w:rPr>
                <w:color w:val="5B9BD5"/>
                <w:sz w:val="16"/>
                <w:szCs w:val="16"/>
                <w:lang w:eastAsia="zh-CN"/>
              </w:rPr>
              <w:t xml:space="preserve"> </w:t>
            </w:r>
            <w:r w:rsidRPr="008C15EA">
              <w:rPr>
                <w:color w:val="5B9BD5"/>
                <w:sz w:val="16"/>
                <w:szCs w:val="16"/>
                <w:lang w:eastAsia="zh-CN"/>
              </w:rPr>
              <w:t>Products and services in building confidence and security in the use of telecommunications/ICTs, such as reports and publications, and to contribute to the implementation of national and global initiatives.</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3,920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3,399 </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4,147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D7679">
              <w:rPr>
                <w:sz w:val="16"/>
                <w:szCs w:val="16"/>
              </w:rPr>
              <w:t>n/a</w:t>
            </w:r>
          </w:p>
        </w:tc>
      </w:tr>
      <w:tr w:rsidR="00822DFE" w:rsidRPr="00DF1219" w:rsidTr="00B45F2D">
        <w:tc>
          <w:tcPr>
            <w:tcW w:w="8784" w:type="dxa"/>
          </w:tcPr>
          <w:p w:rsidR="00822DFE" w:rsidRPr="00EE1223" w:rsidRDefault="00822DFE" w:rsidP="00822DFE">
            <w:pPr>
              <w:keepNext/>
              <w:keepLines/>
              <w:spacing w:before="60" w:after="60"/>
              <w:rPr>
                <w:color w:val="5B9BD5"/>
                <w:sz w:val="16"/>
                <w:szCs w:val="16"/>
              </w:rPr>
            </w:pPr>
            <w:r w:rsidRPr="00EE1223">
              <w:rPr>
                <w:color w:val="5B9BD5"/>
                <w:sz w:val="16"/>
                <w:szCs w:val="16"/>
              </w:rPr>
              <w:t>2.3</w:t>
            </w:r>
            <w:r w:rsidR="00BB4339">
              <w:rPr>
                <w:color w:val="5B9BD5"/>
                <w:sz w:val="16"/>
                <w:szCs w:val="16"/>
              </w:rPr>
              <w:t xml:space="preserve"> </w:t>
            </w:r>
            <w:r w:rsidRPr="008C15EA">
              <w:rPr>
                <w:color w:val="5B9BD5"/>
                <w:sz w:val="16"/>
                <w:szCs w:val="16"/>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c>
          <w:tcPr>
            <w:tcW w:w="1417"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3,198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2,840 </w:t>
            </w:r>
          </w:p>
        </w:tc>
        <w:tc>
          <w:tcPr>
            <w:tcW w:w="1559"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 xml:space="preserve">3,070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D7679">
              <w:rPr>
                <w:sz w:val="16"/>
                <w:szCs w:val="16"/>
              </w:rPr>
              <w:t>n/a</w:t>
            </w:r>
          </w:p>
        </w:tc>
      </w:tr>
      <w:tr w:rsidR="00822DFE" w:rsidRPr="00DF1219" w:rsidTr="00D9318F">
        <w:tc>
          <w:tcPr>
            <w:tcW w:w="8784" w:type="dxa"/>
            <w:vAlign w:val="center"/>
          </w:tcPr>
          <w:p w:rsidR="00822DFE" w:rsidRPr="00EE1223" w:rsidRDefault="00822DFE" w:rsidP="00822DFE">
            <w:pPr>
              <w:spacing w:before="60" w:after="60"/>
              <w:rPr>
                <w:color w:val="4F81BD" w:themeColor="accent1"/>
                <w:sz w:val="16"/>
                <w:szCs w:val="16"/>
                <w:lang w:eastAsia="zh-CN"/>
              </w:rPr>
            </w:pPr>
            <w:r w:rsidRPr="00EE1223">
              <w:rPr>
                <w:color w:val="4F81BD" w:themeColor="accent1"/>
                <w:sz w:val="16"/>
                <w:szCs w:val="16"/>
              </w:rPr>
              <w:t>Cost allocation to Plenipotentiary Conference and Council activities (PP, Council/CWGs)</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398</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397</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754</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D7679">
              <w:rPr>
                <w:sz w:val="16"/>
                <w:szCs w:val="16"/>
              </w:rPr>
              <w:t>n/a</w:t>
            </w:r>
          </w:p>
        </w:tc>
      </w:tr>
      <w:tr w:rsidR="00822DFE" w:rsidRPr="00DF1219" w:rsidTr="00D9318F">
        <w:tc>
          <w:tcPr>
            <w:tcW w:w="8784" w:type="dxa"/>
            <w:vAlign w:val="center"/>
          </w:tcPr>
          <w:p w:rsidR="00822DFE" w:rsidRPr="00EE1223" w:rsidRDefault="00822DFE" w:rsidP="00822DFE">
            <w:pPr>
              <w:spacing w:before="60" w:after="60"/>
              <w:rPr>
                <w:rFonts w:eastAsia="SimSun"/>
                <w:b/>
                <w:bCs/>
                <w:noProof/>
                <w:color w:val="5B9BD5"/>
                <w:sz w:val="16"/>
                <w:szCs w:val="16"/>
                <w:lang w:val="fr-CH" w:eastAsia="zh-CN"/>
              </w:rPr>
            </w:pPr>
            <w:r w:rsidRPr="00EE1223">
              <w:rPr>
                <w:b/>
                <w:bCs/>
                <w:color w:val="4F81BD" w:themeColor="accent1"/>
                <w:sz w:val="16"/>
                <w:szCs w:val="16"/>
              </w:rPr>
              <w:t>Total for Objective 2</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13,</w:t>
            </w:r>
            <w:r>
              <w:rPr>
                <w:b/>
                <w:bCs/>
                <w:sz w:val="16"/>
                <w:szCs w:val="16"/>
              </w:rPr>
              <w:t>427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w:t>
            </w:r>
            <w:r>
              <w:rPr>
                <w:b/>
                <w:bCs/>
                <w:sz w:val="16"/>
                <w:szCs w:val="16"/>
              </w:rPr>
              <w:t>1,723</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13,</w:t>
            </w:r>
            <w:r>
              <w:rPr>
                <w:b/>
                <w:bCs/>
                <w:sz w:val="16"/>
                <w:szCs w:val="16"/>
              </w:rPr>
              <w:t>261</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b/>
                <w:bCs/>
                <w:sz w:val="16"/>
                <w:szCs w:val="16"/>
              </w:rPr>
            </w:pPr>
            <w:r w:rsidRPr="00ED7679">
              <w:rPr>
                <w:sz w:val="16"/>
                <w:szCs w:val="16"/>
              </w:rPr>
              <w:t>n/a</w:t>
            </w:r>
          </w:p>
        </w:tc>
      </w:tr>
    </w:tbl>
    <w:p w:rsidR="00B45F2D" w:rsidRDefault="00B45F2D" w:rsidP="00B45F2D">
      <w:pPr>
        <w:pStyle w:val="Heading2"/>
      </w:pPr>
      <w:r>
        <w:br w:type="page"/>
      </w:r>
    </w:p>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Objective 3 – Enabling environment: Foster an enabling policy, and regulatory environment conducive to sustainable telecommunication/ICT development</w:t>
      </w:r>
    </w:p>
    <w:tbl>
      <w:tblPr>
        <w:tblStyle w:val="GridTable4-Accent11"/>
        <w:tblW w:w="14596" w:type="dxa"/>
        <w:tblLook w:val="06A0" w:firstRow="1" w:lastRow="0" w:firstColumn="1" w:lastColumn="0" w:noHBand="1" w:noVBand="1"/>
      </w:tblPr>
      <w:tblGrid>
        <w:gridCol w:w="5949"/>
        <w:gridCol w:w="8647"/>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1E5F58">
            <w:pPr>
              <w:keepNext/>
              <w:keepLines/>
              <w:spacing w:before="40"/>
              <w:jc w:val="center"/>
              <w:rPr>
                <w:rFonts w:eastAsia="SimSun"/>
                <w:sz w:val="16"/>
                <w:szCs w:val="16"/>
                <w:lang w:eastAsia="zh-CN"/>
              </w:rPr>
            </w:pPr>
            <w:r w:rsidRPr="00EE1223">
              <w:rPr>
                <w:rFonts w:eastAsia="SimSun"/>
                <w:sz w:val="16"/>
                <w:szCs w:val="16"/>
              </w:rPr>
              <w:t>Outcome</w:t>
            </w:r>
          </w:p>
        </w:tc>
        <w:tc>
          <w:tcPr>
            <w:tcW w:w="8647"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eastAsia="zh-CN"/>
              </w:rPr>
            </w:pPr>
            <w:r w:rsidRPr="00EE1223">
              <w:rPr>
                <w:rFonts w:eastAsia="SimSun"/>
                <w:sz w:val="16"/>
                <w:szCs w:val="16"/>
              </w:rPr>
              <w:t>Outcome Indicator</w:t>
            </w:r>
          </w:p>
        </w:tc>
      </w:tr>
      <w:tr w:rsidR="00B45F2D" w:rsidRPr="00F95071" w:rsidTr="00EE1223">
        <w:trPr>
          <w:trHeight w:val="1380"/>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3.1 - Strengthened capacity of Member States to enhance their policy, legal and regulatory frameworks conducive to development of telecommunications/ICTs.</w:t>
            </w:r>
          </w:p>
        </w:tc>
        <w:tc>
          <w:tcPr>
            <w:tcW w:w="8647"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the annual questionnaires to Members States (Regulatory, Economics and Finance) and of data on the PREF knowledge centre (Policy, Regulation, Economics &amp; Finance) and the ICTEye database</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participants in Global Symposium for Regulators, in regional regulatory and economic fora and workshops; and in Strategic dialogues on topical regulatory and policy issues; satisfaction rates of participants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sz w:val="16"/>
                <w:szCs w:val="16"/>
                <w:lang w:eastAsia="zh-CN"/>
              </w:rPr>
            </w:pPr>
            <w:r w:rsidRPr="00EE1223">
              <w:rPr>
                <w:color w:val="5B9BD5"/>
                <w:sz w:val="16"/>
                <w:szCs w:val="16"/>
              </w:rPr>
              <w:t>3.2 - Strengthened capacity of Member States to produce high-quality, internationally comparable telecommunication/ICT statistics which reflect developments and trends in telecommunications/ICTs based on agreed standards and methodologies.</w:t>
            </w:r>
          </w:p>
        </w:tc>
        <w:tc>
          <w:tcPr>
            <w:tcW w:w="8647"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Timely release of ITU World Telecommunication/ICT Indicators (WTI) Database</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data points and indicators available in WTI Database</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3.3 - Improved human and institutional capacity of ITU Membership to tap into the full potential of telecommunications/ICTs.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and level of individuals trained</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pass the training assessment</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participants who are satisfied with the training</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 xml:space="preserve">Number of high-level training programmes developed </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trainings carried out that relate to Regional Initiatives</w:t>
            </w:r>
          </w:p>
        </w:tc>
      </w:tr>
      <w:tr w:rsidR="00B45F2D" w:rsidRPr="00F95071" w:rsidTr="00EE1223">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B45F2D" w:rsidRPr="00EE1223" w:rsidRDefault="00B45F2D" w:rsidP="00B45F2D">
            <w:pPr>
              <w:keepNext/>
              <w:keepLines/>
              <w:spacing w:before="60" w:after="60"/>
              <w:rPr>
                <w:color w:val="5B9BD5"/>
                <w:sz w:val="16"/>
                <w:szCs w:val="16"/>
              </w:rPr>
            </w:pPr>
            <w:r w:rsidRPr="00EE1223">
              <w:rPr>
                <w:color w:val="5B9BD5"/>
                <w:sz w:val="16"/>
                <w:szCs w:val="16"/>
              </w:rPr>
              <w:t>3.4 - Strengthened ITU Membership capacity to integrate telecommunication/ICT innovation in national development agendas and to develop strategies to promote innovation initiatives, including through public, private, and public-private partnerships.</w:t>
            </w:r>
          </w:p>
        </w:tc>
        <w:tc>
          <w:tcPr>
            <w:tcW w:w="8647"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initiatives (e.g. with guidelines and recommendations, DIY toolkits, etc.) and grassroots projects strengthening the innovations ecosystems for member states.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new partnerships that foster innovation ecosystems key stakeholders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partnership, initiative and projects translated into action for membership</w:t>
            </w:r>
          </w:p>
        </w:tc>
      </w:tr>
    </w:tbl>
    <w:p w:rsidR="008839F4" w:rsidRDefault="008839F4"/>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cantSplit/>
          <w:trHeight w:hRule="exact" w:val="284"/>
        </w:trPr>
        <w:tc>
          <w:tcPr>
            <w:tcW w:w="8784" w:type="dxa"/>
          </w:tcPr>
          <w:p w:rsidR="00B45F2D" w:rsidRPr="00EE1223" w:rsidRDefault="00B45F2D" w:rsidP="001E5F58">
            <w:pPr>
              <w:keepLines/>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keepLines/>
              <w:spacing w:before="40"/>
              <w:jc w:val="center"/>
              <w:rPr>
                <w:rFonts w:eastAsia="SimSun"/>
                <w:sz w:val="16"/>
                <w:szCs w:val="16"/>
                <w:lang w:eastAsia="zh-CN"/>
              </w:rPr>
            </w:pPr>
            <w:r w:rsidRPr="00EE1223">
              <w:rPr>
                <w:rFonts w:eastAsia="SimSun"/>
                <w:sz w:val="16"/>
                <w:szCs w:val="16"/>
              </w:rPr>
              <w:t>Financial resources (in k CHF)</w:t>
            </w:r>
          </w:p>
        </w:tc>
      </w:tr>
      <w:tr w:rsidR="00822DFE" w:rsidRPr="00F95071" w:rsidTr="008839F4">
        <w:trPr>
          <w:cantSplit/>
        </w:trPr>
        <w:tc>
          <w:tcPr>
            <w:tcW w:w="8784" w:type="dxa"/>
          </w:tcPr>
          <w:p w:rsidR="00822DFE" w:rsidRPr="00EE1223" w:rsidRDefault="00822DFE" w:rsidP="00822DFE">
            <w:pPr>
              <w:keepLines/>
              <w:spacing w:before="60" w:after="60" w:line="276" w:lineRule="auto"/>
              <w:rPr>
                <w:rFonts w:eastAsia="SimSun"/>
                <w:sz w:val="16"/>
                <w:szCs w:val="16"/>
                <w:lang w:eastAsia="zh-CN"/>
              </w:rPr>
            </w:pPr>
          </w:p>
        </w:tc>
        <w:tc>
          <w:tcPr>
            <w:tcW w:w="1559"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keepLines/>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822DFE" w:rsidRPr="00F95071" w:rsidTr="008839F4">
        <w:trPr>
          <w:cantSplit/>
        </w:trPr>
        <w:tc>
          <w:tcPr>
            <w:tcW w:w="8784" w:type="dxa"/>
          </w:tcPr>
          <w:p w:rsidR="00822DFE" w:rsidRPr="00EE1223" w:rsidRDefault="00822DFE" w:rsidP="00822DFE">
            <w:pPr>
              <w:keepLines/>
              <w:spacing w:before="60" w:after="60"/>
              <w:rPr>
                <w:color w:val="5B9BD5"/>
                <w:sz w:val="16"/>
                <w:szCs w:val="16"/>
              </w:rPr>
            </w:pPr>
            <w:r w:rsidRPr="00EE1223">
              <w:rPr>
                <w:color w:val="5B9BD5"/>
                <w:sz w:val="16"/>
                <w:szCs w:val="16"/>
              </w:rPr>
              <w:t>3.1</w:t>
            </w:r>
            <w:r w:rsidR="00BB4339">
              <w:rPr>
                <w:color w:val="5B9BD5"/>
                <w:sz w:val="16"/>
                <w:szCs w:val="16"/>
              </w:rPr>
              <w:t xml:space="preserve"> </w:t>
            </w:r>
            <w:r w:rsidRPr="008C15EA">
              <w:rPr>
                <w:color w:val="5B9BD5"/>
                <w:sz w:val="16"/>
                <w:szCs w:val="16"/>
              </w:rPr>
              <w:t>Products and services on telecommunication/ICT policy and regulation for better international coordination and coherence, such as assessment studies and other publications, and other platforms to exchange information.</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4,867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4,067 </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5,152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36399F">
              <w:rPr>
                <w:sz w:val="16"/>
                <w:szCs w:val="16"/>
              </w:rPr>
              <w:t>n/a</w:t>
            </w:r>
          </w:p>
        </w:tc>
      </w:tr>
      <w:tr w:rsidR="00822DFE" w:rsidRPr="00F95071" w:rsidTr="008839F4">
        <w:trPr>
          <w:cantSplit/>
        </w:trPr>
        <w:tc>
          <w:tcPr>
            <w:tcW w:w="8784" w:type="dxa"/>
          </w:tcPr>
          <w:p w:rsidR="00822DFE" w:rsidRPr="00EE1223" w:rsidRDefault="00822DFE" w:rsidP="00822DFE">
            <w:pPr>
              <w:keepLines/>
              <w:spacing w:before="60" w:after="60"/>
              <w:rPr>
                <w:color w:val="5B9BD5"/>
                <w:sz w:val="16"/>
                <w:szCs w:val="16"/>
              </w:rPr>
            </w:pPr>
            <w:r w:rsidRPr="00EE1223">
              <w:rPr>
                <w:color w:val="5B9BD5"/>
                <w:sz w:val="16"/>
                <w:szCs w:val="16"/>
              </w:rPr>
              <w:t>3.2</w:t>
            </w:r>
            <w:r w:rsidR="00BB4339">
              <w:rPr>
                <w:color w:val="5B9BD5"/>
                <w:sz w:val="16"/>
                <w:szCs w:val="16"/>
              </w:rPr>
              <w:t xml:space="preserve"> </w:t>
            </w:r>
            <w:r w:rsidRPr="008C15EA">
              <w:rPr>
                <w:color w:val="5B9BD5"/>
                <w:sz w:val="16"/>
                <w:szCs w:val="16"/>
              </w:rPr>
              <w:t>Products and services on telecommunication/ICT statistics and data analysis, such as research reports, collection, harmonization and dissemination of high-quality, internationally comparable statistical data, and forums of discussion.</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4,611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4,445 </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4,976 </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36399F">
              <w:rPr>
                <w:sz w:val="16"/>
                <w:szCs w:val="16"/>
              </w:rPr>
              <w:t>n/a</w:t>
            </w:r>
          </w:p>
        </w:tc>
      </w:tr>
      <w:tr w:rsidR="00822DFE" w:rsidRPr="00F95071" w:rsidTr="008839F4">
        <w:trPr>
          <w:cantSplit/>
        </w:trPr>
        <w:tc>
          <w:tcPr>
            <w:tcW w:w="8784" w:type="dxa"/>
          </w:tcPr>
          <w:p w:rsidR="00822DFE" w:rsidRPr="00EE1223" w:rsidRDefault="00822DFE" w:rsidP="00822DFE">
            <w:pPr>
              <w:keepLines/>
              <w:spacing w:before="60" w:after="60"/>
              <w:rPr>
                <w:color w:val="5B9BD5"/>
                <w:sz w:val="16"/>
                <w:szCs w:val="16"/>
              </w:rPr>
            </w:pPr>
            <w:r w:rsidRPr="00EE1223">
              <w:rPr>
                <w:color w:val="5B9BD5"/>
                <w:sz w:val="16"/>
                <w:szCs w:val="16"/>
              </w:rPr>
              <w:t>3.3</w:t>
            </w:r>
            <w:r w:rsidR="00BB4339">
              <w:rPr>
                <w:color w:val="5B9BD5"/>
                <w:sz w:val="16"/>
                <w:szCs w:val="16"/>
              </w:rPr>
              <w:t xml:space="preserve"> </w:t>
            </w:r>
            <w:r w:rsidRPr="00E93781">
              <w:rPr>
                <w:color w:val="5B9BD5"/>
                <w:sz w:val="16"/>
                <w:szCs w:val="16"/>
              </w:rPr>
              <w:t>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tc>
        <w:tc>
          <w:tcPr>
            <w:tcW w:w="1559"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4,177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4,380 </w:t>
            </w:r>
          </w:p>
        </w:tc>
        <w:tc>
          <w:tcPr>
            <w:tcW w:w="1417"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5,036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36399F">
              <w:rPr>
                <w:sz w:val="16"/>
                <w:szCs w:val="16"/>
              </w:rPr>
              <w:t>n/a</w:t>
            </w:r>
          </w:p>
        </w:tc>
      </w:tr>
      <w:tr w:rsidR="00822DFE" w:rsidRPr="00F95071" w:rsidTr="008839F4">
        <w:trPr>
          <w:cantSplit/>
        </w:trPr>
        <w:tc>
          <w:tcPr>
            <w:tcW w:w="8784" w:type="dxa"/>
          </w:tcPr>
          <w:p w:rsidR="00822DFE" w:rsidRPr="00EE1223" w:rsidRDefault="00822DFE" w:rsidP="00822DFE">
            <w:pPr>
              <w:keepLines/>
              <w:spacing w:before="60" w:after="60"/>
              <w:rPr>
                <w:color w:val="5B9BD5"/>
                <w:sz w:val="16"/>
                <w:szCs w:val="16"/>
              </w:rPr>
            </w:pPr>
            <w:r w:rsidRPr="00EE1223">
              <w:rPr>
                <w:color w:val="5B9BD5"/>
                <w:sz w:val="16"/>
                <w:szCs w:val="16"/>
              </w:rPr>
              <w:t>3.4</w:t>
            </w:r>
            <w:r w:rsidR="00BB4339">
              <w:rPr>
                <w:color w:val="5B9BD5"/>
                <w:sz w:val="16"/>
                <w:szCs w:val="16"/>
              </w:rPr>
              <w:t xml:space="preserve"> </w:t>
            </w:r>
            <w:r w:rsidRPr="00E93781">
              <w:rPr>
                <w:color w:val="5B9BD5"/>
                <w:sz w:val="16"/>
                <w:szCs w:val="16"/>
              </w:rPr>
              <w:t>Products and services on telecommunication/ICT innovation, such as knowledge-sharing and assistance, upon request, on developing a national innovation agenda; mechanisms for partnerships; development of projects, studies and telecommunication/ICT innovation policies.</w:t>
            </w:r>
          </w:p>
        </w:tc>
        <w:tc>
          <w:tcPr>
            <w:tcW w:w="1559"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3,980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3,805 </w:t>
            </w:r>
          </w:p>
        </w:tc>
        <w:tc>
          <w:tcPr>
            <w:tcW w:w="1417"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EE1223">
              <w:rPr>
                <w:sz w:val="16"/>
                <w:szCs w:val="16"/>
              </w:rPr>
              <w:t xml:space="preserve"> 4,429 </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36399F">
              <w:rPr>
                <w:sz w:val="16"/>
                <w:szCs w:val="16"/>
              </w:rPr>
              <w:t>n/a</w:t>
            </w:r>
          </w:p>
        </w:tc>
      </w:tr>
      <w:tr w:rsidR="00822DFE" w:rsidRPr="00F95071" w:rsidTr="00D9318F">
        <w:trPr>
          <w:cantSplit/>
        </w:trPr>
        <w:tc>
          <w:tcPr>
            <w:tcW w:w="8784" w:type="dxa"/>
          </w:tcPr>
          <w:p w:rsidR="00822DFE" w:rsidRPr="00EE1223" w:rsidRDefault="00822DFE" w:rsidP="00822DFE">
            <w:pPr>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sz w:val="16"/>
                <w:szCs w:val="16"/>
              </w:rPr>
            </w:pPr>
            <w:r>
              <w:rPr>
                <w:sz w:val="16"/>
                <w:szCs w:val="16"/>
              </w:rPr>
              <w:t>539</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sz w:val="16"/>
                <w:szCs w:val="16"/>
              </w:rPr>
            </w:pPr>
            <w:r>
              <w:rPr>
                <w:sz w:val="16"/>
                <w:szCs w:val="16"/>
              </w:rPr>
              <w:t>586</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sz w:val="16"/>
                <w:szCs w:val="16"/>
              </w:rPr>
            </w:pPr>
            <w:r>
              <w:rPr>
                <w:sz w:val="16"/>
                <w:szCs w:val="16"/>
              </w:rPr>
              <w:t>1,182</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sz w:val="16"/>
                <w:szCs w:val="16"/>
              </w:rPr>
            </w:pPr>
            <w:r w:rsidRPr="0036399F">
              <w:rPr>
                <w:sz w:val="16"/>
                <w:szCs w:val="16"/>
              </w:rPr>
              <w:t>n/a</w:t>
            </w:r>
          </w:p>
        </w:tc>
      </w:tr>
      <w:tr w:rsidR="00822DFE" w:rsidRPr="00F95071" w:rsidTr="00D9318F">
        <w:trPr>
          <w:cantSplit/>
        </w:trPr>
        <w:tc>
          <w:tcPr>
            <w:tcW w:w="8784" w:type="dxa"/>
          </w:tcPr>
          <w:p w:rsidR="00822DFE" w:rsidRPr="00EE1223" w:rsidRDefault="00822DFE" w:rsidP="00822DFE">
            <w:pPr>
              <w:keepLines/>
              <w:spacing w:before="60" w:after="60"/>
              <w:rPr>
                <w:b/>
                <w:bCs/>
                <w:color w:val="5B9BD5"/>
                <w:sz w:val="16"/>
                <w:szCs w:val="16"/>
              </w:rPr>
            </w:pPr>
            <w:r w:rsidRPr="00EE1223">
              <w:rPr>
                <w:b/>
                <w:bCs/>
                <w:color w:val="5B9BD5"/>
                <w:sz w:val="16"/>
                <w:szCs w:val="16"/>
              </w:rPr>
              <w:t>Total for Objective 3</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b/>
                <w:bCs/>
                <w:sz w:val="16"/>
                <w:szCs w:val="16"/>
              </w:rPr>
            </w:pPr>
            <w:r>
              <w:rPr>
                <w:b/>
                <w:bCs/>
                <w:sz w:val="16"/>
                <w:szCs w:val="16"/>
              </w:rPr>
              <w:t>18,174</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b/>
                <w:bCs/>
                <w:sz w:val="16"/>
                <w:szCs w:val="16"/>
              </w:rPr>
            </w:pPr>
            <w:r w:rsidRPr="00EE1223">
              <w:rPr>
                <w:b/>
                <w:bCs/>
                <w:sz w:val="16"/>
                <w:szCs w:val="16"/>
              </w:rPr>
              <w:t>1</w:t>
            </w:r>
            <w:r>
              <w:rPr>
                <w:b/>
                <w:bCs/>
                <w:sz w:val="16"/>
                <w:szCs w:val="16"/>
              </w:rPr>
              <w:t>7,283</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keepLines/>
              <w:spacing w:before="60" w:after="60"/>
              <w:ind w:right="459"/>
              <w:jc w:val="right"/>
              <w:rPr>
                <w:b/>
                <w:bCs/>
                <w:sz w:val="16"/>
                <w:szCs w:val="16"/>
              </w:rPr>
            </w:pPr>
            <w:r w:rsidRPr="00EE1223">
              <w:rPr>
                <w:b/>
                <w:bCs/>
                <w:sz w:val="16"/>
                <w:szCs w:val="16"/>
              </w:rPr>
              <w:t>2</w:t>
            </w:r>
            <w:r>
              <w:rPr>
                <w:b/>
                <w:bCs/>
                <w:sz w:val="16"/>
                <w:szCs w:val="16"/>
              </w:rPr>
              <w:t>0,775</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keepLines/>
              <w:spacing w:before="60" w:after="60"/>
              <w:ind w:right="459"/>
              <w:jc w:val="right"/>
              <w:rPr>
                <w:b/>
                <w:bCs/>
                <w:sz w:val="16"/>
                <w:szCs w:val="16"/>
              </w:rPr>
            </w:pPr>
            <w:r w:rsidRPr="0036399F">
              <w:rPr>
                <w:sz w:val="16"/>
                <w:szCs w:val="16"/>
              </w:rPr>
              <w:t>n/a</w:t>
            </w:r>
          </w:p>
        </w:tc>
      </w:tr>
    </w:tbl>
    <w:p w:rsidR="00B45F2D" w:rsidRPr="00516485" w:rsidRDefault="00B45F2D" w:rsidP="00516485">
      <w:pPr>
        <w:pStyle w:val="Heading1"/>
        <w:numPr>
          <w:ilvl w:val="1"/>
          <w:numId w:val="15"/>
        </w:numPr>
        <w:tabs>
          <w:tab w:val="clear" w:pos="1134"/>
          <w:tab w:val="clear" w:pos="1871"/>
          <w:tab w:val="clear" w:pos="2268"/>
        </w:tabs>
        <w:overflowPunct/>
        <w:autoSpaceDE/>
        <w:autoSpaceDN/>
        <w:adjustRightInd/>
        <w:spacing w:before="120" w:after="120"/>
        <w:textAlignment w:val="auto"/>
        <w:rPr>
          <w:sz w:val="24"/>
          <w:szCs w:val="18"/>
          <w:lang w:val="en-US"/>
        </w:rPr>
      </w:pPr>
      <w:r w:rsidRPr="00516485">
        <w:rPr>
          <w:sz w:val="24"/>
          <w:szCs w:val="18"/>
          <w:lang w:val="en-US"/>
        </w:rPr>
        <w:lastRenderedPageBreak/>
        <w:t>Objective 4 – Inclusive digital society: Foster the development and use of telecommunications/ICTs and applications to empower people and societies for sustainable development</w:t>
      </w:r>
    </w:p>
    <w:tbl>
      <w:tblPr>
        <w:tblStyle w:val="GridTable4-Accent11"/>
        <w:tblW w:w="14596" w:type="dxa"/>
        <w:tblLook w:val="06A0" w:firstRow="1" w:lastRow="0" w:firstColumn="1" w:lastColumn="0" w:noHBand="1" w:noVBand="1"/>
      </w:tblPr>
      <w:tblGrid>
        <w:gridCol w:w="6091"/>
        <w:gridCol w:w="8505"/>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1E5F58">
            <w:pPr>
              <w:keepNext/>
              <w:keepLines/>
              <w:spacing w:before="40"/>
              <w:jc w:val="center"/>
              <w:rPr>
                <w:rFonts w:eastAsia="SimSun"/>
                <w:sz w:val="16"/>
                <w:szCs w:val="16"/>
                <w:lang w:val="fr-CH" w:eastAsia="zh-CN"/>
              </w:rPr>
            </w:pPr>
            <w:r w:rsidRPr="00EE1223">
              <w:rPr>
                <w:rFonts w:eastAsia="SimSun"/>
                <w:sz w:val="16"/>
                <w:szCs w:val="16"/>
                <w:lang w:val="fr-CH"/>
              </w:rPr>
              <w:t>Outcome</w:t>
            </w:r>
          </w:p>
        </w:tc>
        <w:tc>
          <w:tcPr>
            <w:tcW w:w="8505" w:type="dxa"/>
          </w:tcPr>
          <w:p w:rsidR="00B45F2D" w:rsidRPr="00EE1223" w:rsidRDefault="00B45F2D" w:rsidP="001E5F58">
            <w:pPr>
              <w:keepNext/>
              <w:keepLines/>
              <w:spacing w:before="40"/>
              <w:jc w:val="center"/>
              <w:cnfStyle w:val="100000000000" w:firstRow="1" w:lastRow="0" w:firstColumn="0" w:lastColumn="0" w:oddVBand="0" w:evenVBand="0" w:oddHBand="0" w:evenHBand="0" w:firstRowFirstColumn="0" w:firstRowLastColumn="0" w:lastRowFirstColumn="0" w:lastRowLastColumn="0"/>
              <w:rPr>
                <w:rFonts w:eastAsia="SimSun"/>
                <w:sz w:val="16"/>
                <w:szCs w:val="16"/>
                <w:lang w:val="fr-CH" w:eastAsia="zh-CN"/>
              </w:rPr>
            </w:pPr>
            <w:r w:rsidRPr="00EE1223">
              <w:rPr>
                <w:rFonts w:eastAsia="SimSun"/>
                <w:sz w:val="16"/>
                <w:szCs w:val="16"/>
                <w:lang w:val="fr-CH"/>
              </w:rPr>
              <w:t>Outcome Indicator</w:t>
            </w:r>
          </w:p>
        </w:tc>
      </w:tr>
      <w:tr w:rsidR="00B45F2D" w:rsidRPr="00F95071" w:rsidTr="00EE1223">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4.1 - Improved access to and use of telecommunication/ICT in Least Developed Countries (LDCs), small island developing states (SIDS) and landlocked developing countries (LLDCs) and countries with economies in transition.</w:t>
            </w:r>
          </w:p>
        </w:tc>
        <w:tc>
          <w:tcPr>
            <w:tcW w:w="8505" w:type="dxa"/>
          </w:tcPr>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receiving concentrated assistance following BDT actions, with improved connectivity, availability and affordability telecommunications/ICTs</w:t>
            </w:r>
          </w:p>
          <w:p w:rsidR="00B45F2D" w:rsidRPr="00EE1223" w:rsidRDefault="00B45F2D" w:rsidP="00B45F2D">
            <w:pPr>
              <w:pStyle w:val="ListParagraph"/>
              <w:keepNext/>
              <w:keepLines/>
              <w:numPr>
                <w:ilvl w:val="0"/>
                <w:numId w:val="12"/>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countries that received assistance following BDT actions, including number of fellowships requested and number of fellowships awarded</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sz w:val="16"/>
                <w:szCs w:val="16"/>
                <w:lang w:eastAsia="zh-CN"/>
              </w:rPr>
            </w:pPr>
            <w:r w:rsidRPr="00EE1223">
              <w:rPr>
                <w:color w:val="5B9BD5"/>
                <w:sz w:val="16"/>
                <w:szCs w:val="16"/>
              </w:rPr>
              <w:t>4.2 - Improved ITU Membership capacity to accelerate economic and social development by leveraging and using new technologies and telecommunication/ICT services and applications.</w:t>
            </w:r>
          </w:p>
        </w:tc>
        <w:tc>
          <w:tcPr>
            <w:tcW w:w="8505" w:type="dxa"/>
          </w:tcPr>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toolkits published and downloaded for national sectoral digital strategies development</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 xml:space="preserve">Number of telecommunications/ICT for Development Best Practices reports published </w:t>
            </w:r>
          </w:p>
          <w:p w:rsidR="00B45F2D" w:rsidRPr="00EE1223" w:rsidRDefault="00B45F2D" w:rsidP="00B45F2D">
            <w:pPr>
              <w:pStyle w:val="ListParagraph"/>
              <w:keepNext/>
              <w:keepLines/>
              <w:numPr>
                <w:ilvl w:val="0"/>
                <w:numId w:val="14"/>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lang w:eastAsia="zh-CN"/>
              </w:rPr>
            </w:pPr>
            <w:r w:rsidRPr="00EE1223">
              <w:rPr>
                <w:sz w:val="16"/>
                <w:szCs w:val="16"/>
              </w:rPr>
              <w:t>Number of telecommunications/ICT for Development events/workshops/seminars assisting developing countries on challenges that these people and societies must overcome and respective number of participants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4.3 - Strengthened capacity of ITU Membership to develop strategies, policies and practices for digital inclusion, in particular for the empowerment of women and girls, persons with disabilities and other persons with specific needs.</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members aware of, trained or advised on digital inclusion policies, strategies and guidelines</w:t>
            </w:r>
          </w:p>
        </w:tc>
      </w:tr>
      <w:tr w:rsidR="00B45F2D" w:rsidRPr="00F95071" w:rsidTr="00EE1223">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B45F2D" w:rsidRPr="00EE1223" w:rsidRDefault="00B45F2D" w:rsidP="00B45F2D">
            <w:pPr>
              <w:keepNext/>
              <w:keepLines/>
              <w:spacing w:before="60" w:after="60"/>
              <w:rPr>
                <w:color w:val="5B9BD5"/>
                <w:sz w:val="16"/>
                <w:szCs w:val="16"/>
              </w:rPr>
            </w:pPr>
            <w:r w:rsidRPr="00EE1223">
              <w:rPr>
                <w:color w:val="5B9BD5"/>
                <w:sz w:val="16"/>
                <w:szCs w:val="16"/>
              </w:rPr>
              <w:t>4.4 - Enhanced capacity of ITU Membership to develop telecommunication/ICT strategies and solutions climate-change adaptation and mitigation and the use of green/renewable energy</w:t>
            </w:r>
          </w:p>
        </w:tc>
        <w:tc>
          <w:tcPr>
            <w:tcW w:w="8505" w:type="dxa"/>
          </w:tcPr>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for increasing awareness on impact of climate change on promoting the use of telecommunication/ICTs to mitigate negative effects;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their climate change strategies policy and legislative frameworks</w:t>
            </w:r>
          </w:p>
          <w:p w:rsidR="00B45F2D" w:rsidRPr="00EE1223" w:rsidRDefault="00B45F2D" w:rsidP="00B45F2D">
            <w:pPr>
              <w:pStyle w:val="ListParagraph"/>
              <w:keepNext/>
              <w:keepLines/>
              <w:numPr>
                <w:ilvl w:val="0"/>
                <w:numId w:val="13"/>
              </w:numPr>
              <w:tabs>
                <w:tab w:val="clear" w:pos="1134"/>
                <w:tab w:val="clear" w:pos="1871"/>
                <w:tab w:val="clear" w:pos="2268"/>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EE1223">
              <w:rPr>
                <w:sz w:val="16"/>
                <w:szCs w:val="16"/>
              </w:rPr>
              <w:t>Number of Member States assisted by BDT in developing e-waste strategy policy and regulatory frameworks</w:t>
            </w:r>
          </w:p>
        </w:tc>
      </w:tr>
    </w:tbl>
    <w:p w:rsidR="00B45F2D" w:rsidRPr="00EE1223" w:rsidRDefault="00B45F2D" w:rsidP="00B45F2D">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B45F2D" w:rsidRPr="00F95071" w:rsidTr="001E5F58">
        <w:trPr>
          <w:cnfStyle w:val="100000000000" w:firstRow="1" w:lastRow="0" w:firstColumn="0" w:lastColumn="0" w:oddVBand="0" w:evenVBand="0" w:oddHBand="0" w:evenHBand="0" w:firstRowFirstColumn="0" w:firstRowLastColumn="0" w:lastRowFirstColumn="0" w:lastRowLastColumn="0"/>
          <w:trHeight w:val="284"/>
        </w:trPr>
        <w:tc>
          <w:tcPr>
            <w:tcW w:w="8784" w:type="dxa"/>
          </w:tcPr>
          <w:p w:rsidR="00B45F2D" w:rsidRPr="00EE1223" w:rsidRDefault="00B45F2D" w:rsidP="001E5F58">
            <w:pPr>
              <w:spacing w:before="40"/>
              <w:jc w:val="center"/>
              <w:rPr>
                <w:rFonts w:eastAsia="SimSun"/>
                <w:sz w:val="16"/>
                <w:szCs w:val="16"/>
                <w:lang w:val="fr-CH" w:eastAsia="zh-CN"/>
              </w:rPr>
            </w:pPr>
            <w:r w:rsidRPr="00EE1223">
              <w:rPr>
                <w:rFonts w:eastAsia="SimSun"/>
                <w:sz w:val="16"/>
                <w:szCs w:val="16"/>
                <w:lang w:val="fr-CH"/>
              </w:rPr>
              <w:t>Output</w:t>
            </w:r>
          </w:p>
        </w:tc>
        <w:tc>
          <w:tcPr>
            <w:tcW w:w="5812" w:type="dxa"/>
            <w:gridSpan w:val="4"/>
          </w:tcPr>
          <w:p w:rsidR="00B45F2D" w:rsidRPr="00EE1223" w:rsidRDefault="00B45F2D" w:rsidP="001E5F58">
            <w:pPr>
              <w:spacing w:before="40"/>
              <w:jc w:val="center"/>
              <w:rPr>
                <w:rFonts w:eastAsia="SimSun"/>
                <w:sz w:val="16"/>
                <w:szCs w:val="16"/>
                <w:lang w:eastAsia="zh-CN"/>
              </w:rPr>
            </w:pPr>
            <w:r w:rsidRPr="00EE1223">
              <w:rPr>
                <w:rFonts w:eastAsia="SimSun"/>
                <w:sz w:val="16"/>
                <w:szCs w:val="16"/>
              </w:rPr>
              <w:t>Financial resources (in k CHF)</w:t>
            </w:r>
          </w:p>
        </w:tc>
      </w:tr>
      <w:tr w:rsidR="00822DFE" w:rsidRPr="00F95071" w:rsidTr="00EE1223">
        <w:tc>
          <w:tcPr>
            <w:tcW w:w="8784" w:type="dxa"/>
          </w:tcPr>
          <w:p w:rsidR="00822DFE" w:rsidRPr="00EE1223" w:rsidRDefault="00822DFE" w:rsidP="00822DFE">
            <w:pPr>
              <w:spacing w:before="60" w:after="60" w:line="276" w:lineRule="auto"/>
              <w:rPr>
                <w:rFonts w:eastAsia="SimSun"/>
                <w:sz w:val="16"/>
                <w:szCs w:val="16"/>
                <w:lang w:eastAsia="zh-CN"/>
              </w:rPr>
            </w:pPr>
          </w:p>
        </w:tc>
        <w:tc>
          <w:tcPr>
            <w:tcW w:w="1559"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2020</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2021</w:t>
            </w:r>
          </w:p>
        </w:tc>
        <w:tc>
          <w:tcPr>
            <w:tcW w:w="1417"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2022</w:t>
            </w:r>
          </w:p>
        </w:tc>
        <w:tc>
          <w:tcPr>
            <w:tcW w:w="1418" w:type="dxa"/>
          </w:tcPr>
          <w:p w:rsidR="00822DFE" w:rsidRPr="00EE1223" w:rsidRDefault="00822DFE" w:rsidP="00822DFE">
            <w:pPr>
              <w:spacing w:before="60" w:after="60" w:line="276" w:lineRule="auto"/>
              <w:jc w:val="center"/>
              <w:rPr>
                <w:rFonts w:eastAsia="SimSun"/>
                <w:b/>
                <w:bCs/>
                <w:color w:val="5B9BD5"/>
                <w:sz w:val="16"/>
                <w:szCs w:val="16"/>
                <w:lang w:val="fr-CH" w:eastAsia="zh-CN"/>
              </w:rPr>
            </w:pPr>
            <w:r w:rsidRPr="00EE1223">
              <w:rPr>
                <w:rFonts w:eastAsia="SimSun"/>
                <w:b/>
                <w:bCs/>
                <w:color w:val="5B9BD5"/>
                <w:sz w:val="16"/>
                <w:szCs w:val="16"/>
                <w:lang w:val="fr-CH"/>
              </w:rPr>
              <w:t>202</w:t>
            </w:r>
            <w:r>
              <w:rPr>
                <w:rFonts w:eastAsia="SimSun"/>
                <w:b/>
                <w:bCs/>
                <w:color w:val="5B9BD5"/>
                <w:sz w:val="16"/>
                <w:szCs w:val="16"/>
                <w:lang w:val="fr-CH"/>
              </w:rPr>
              <w:t>3</w:t>
            </w:r>
          </w:p>
        </w:tc>
      </w:tr>
      <w:tr w:rsidR="00822DFE" w:rsidRPr="00F95071" w:rsidTr="00B45F2D">
        <w:tc>
          <w:tcPr>
            <w:tcW w:w="8784" w:type="dxa"/>
          </w:tcPr>
          <w:p w:rsidR="00822DFE" w:rsidRPr="00EE1223" w:rsidRDefault="00822DFE" w:rsidP="00822DFE">
            <w:pPr>
              <w:keepNext/>
              <w:keepLines/>
              <w:spacing w:before="60" w:after="60"/>
              <w:rPr>
                <w:color w:val="5B9BD5"/>
                <w:sz w:val="16"/>
                <w:szCs w:val="16"/>
              </w:rPr>
            </w:pPr>
            <w:r w:rsidRPr="00EE1223">
              <w:rPr>
                <w:color w:val="5B9BD5"/>
                <w:sz w:val="16"/>
                <w:szCs w:val="16"/>
              </w:rPr>
              <w:t>4.1</w:t>
            </w:r>
            <w:r w:rsidR="00BB4339">
              <w:rPr>
                <w:color w:val="5B9BD5"/>
                <w:sz w:val="16"/>
                <w:szCs w:val="16"/>
              </w:rPr>
              <w:t xml:space="preserve"> </w:t>
            </w:r>
            <w:r w:rsidRPr="00E93781">
              <w:rPr>
                <w:color w:val="5B9BD5"/>
                <w:sz w:val="16"/>
                <w:szCs w:val="16"/>
              </w:rPr>
              <w:t>Products and services on concentrated assistance to LDCs, SIDS and LLDCs and countries with economies in transition, to foster availability and affordability of telecommunications/ICTs.</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2,385</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2,137</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2,480</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06543E">
              <w:rPr>
                <w:sz w:val="16"/>
                <w:szCs w:val="16"/>
              </w:rPr>
              <w:t>n/a</w:t>
            </w:r>
          </w:p>
        </w:tc>
      </w:tr>
      <w:tr w:rsidR="00822DFE" w:rsidRPr="00F95071" w:rsidTr="00B45F2D">
        <w:tc>
          <w:tcPr>
            <w:tcW w:w="8784" w:type="dxa"/>
          </w:tcPr>
          <w:p w:rsidR="00822DFE" w:rsidRPr="00EE1223" w:rsidRDefault="00822DFE" w:rsidP="00822DFE">
            <w:pPr>
              <w:keepNext/>
              <w:keepLines/>
              <w:spacing w:before="60" w:after="60"/>
              <w:rPr>
                <w:color w:val="5B9BD5"/>
                <w:sz w:val="16"/>
                <w:szCs w:val="16"/>
              </w:rPr>
            </w:pPr>
            <w:r w:rsidRPr="00EE1223">
              <w:rPr>
                <w:color w:val="5B9BD5"/>
                <w:sz w:val="16"/>
                <w:szCs w:val="16"/>
              </w:rPr>
              <w:t>4.2</w:t>
            </w:r>
            <w:r w:rsidR="00BB4339">
              <w:rPr>
                <w:color w:val="5B9BD5"/>
                <w:sz w:val="16"/>
                <w:szCs w:val="16"/>
              </w:rPr>
              <w:t xml:space="preserve"> </w:t>
            </w:r>
            <w:r w:rsidRPr="00E93781">
              <w:rPr>
                <w:color w:val="5B9BD5"/>
                <w:sz w:val="16"/>
                <w:szCs w:val="16"/>
              </w:rPr>
              <w:t>Products and services on telecommunication/ICT policies supporting the development of the digital economy, ICT applications and new technologies, such as information sharing and support for their deployment, assessment studies, and toolkits.</w:t>
            </w:r>
          </w:p>
        </w:tc>
        <w:tc>
          <w:tcPr>
            <w:tcW w:w="1559"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2,945</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2,852</w:t>
            </w:r>
          </w:p>
        </w:tc>
        <w:tc>
          <w:tcPr>
            <w:tcW w:w="1417"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3,053</w:t>
            </w:r>
          </w:p>
        </w:tc>
        <w:tc>
          <w:tcPr>
            <w:tcW w:w="1418" w:type="dxa"/>
            <w:tcBorders>
              <w:top w:val="nil"/>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06543E">
              <w:rPr>
                <w:sz w:val="16"/>
                <w:szCs w:val="16"/>
              </w:rPr>
              <w:t>n/a</w:t>
            </w:r>
          </w:p>
        </w:tc>
      </w:tr>
      <w:tr w:rsidR="00822DFE" w:rsidRPr="00F95071" w:rsidTr="00B45F2D">
        <w:tc>
          <w:tcPr>
            <w:tcW w:w="8784" w:type="dxa"/>
          </w:tcPr>
          <w:p w:rsidR="00822DFE" w:rsidRPr="00EE1223" w:rsidRDefault="00822DFE" w:rsidP="00822DFE">
            <w:pPr>
              <w:keepNext/>
              <w:keepLines/>
              <w:spacing w:before="60" w:after="60"/>
              <w:rPr>
                <w:color w:val="5B9BD5"/>
                <w:sz w:val="16"/>
                <w:szCs w:val="16"/>
              </w:rPr>
            </w:pPr>
            <w:r w:rsidRPr="00EE1223">
              <w:rPr>
                <w:color w:val="5B9BD5"/>
                <w:sz w:val="16"/>
                <w:szCs w:val="16"/>
              </w:rPr>
              <w:t>4.3</w:t>
            </w:r>
            <w:r w:rsidR="00BB4339">
              <w:rPr>
                <w:color w:val="5B9BD5"/>
                <w:sz w:val="16"/>
                <w:szCs w:val="16"/>
              </w:rPr>
              <w:t xml:space="preserve"> </w:t>
            </w:r>
            <w:r w:rsidRPr="00E93781">
              <w:rPr>
                <w:color w:val="5B9BD5"/>
                <w:sz w:val="16"/>
                <w:szCs w:val="16"/>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tc>
        <w:tc>
          <w:tcPr>
            <w:tcW w:w="1559"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3,016</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2,621</w:t>
            </w:r>
          </w:p>
        </w:tc>
        <w:tc>
          <w:tcPr>
            <w:tcW w:w="1417"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3,221</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06543E">
              <w:rPr>
                <w:sz w:val="16"/>
                <w:szCs w:val="16"/>
              </w:rPr>
              <w:t>n/a</w:t>
            </w:r>
          </w:p>
        </w:tc>
      </w:tr>
      <w:tr w:rsidR="00822DFE" w:rsidRPr="00F95071" w:rsidTr="00B45F2D">
        <w:tc>
          <w:tcPr>
            <w:tcW w:w="8784" w:type="dxa"/>
          </w:tcPr>
          <w:p w:rsidR="00822DFE" w:rsidRPr="00EE1223" w:rsidRDefault="00822DFE" w:rsidP="00822DFE">
            <w:pPr>
              <w:keepNext/>
              <w:keepLines/>
              <w:spacing w:before="60" w:after="60"/>
              <w:rPr>
                <w:color w:val="5B9BD5"/>
                <w:sz w:val="16"/>
                <w:szCs w:val="16"/>
              </w:rPr>
            </w:pPr>
            <w:r w:rsidRPr="00EE1223">
              <w:rPr>
                <w:color w:val="5B9BD5"/>
                <w:sz w:val="16"/>
                <w:szCs w:val="16"/>
              </w:rPr>
              <w:t>4.4</w:t>
            </w:r>
            <w:r w:rsidR="00BB4339">
              <w:rPr>
                <w:color w:val="5B9BD5"/>
                <w:sz w:val="16"/>
                <w:szCs w:val="16"/>
              </w:rPr>
              <w:t xml:space="preserve"> </w:t>
            </w:r>
            <w:r w:rsidRPr="00E93781">
              <w:rPr>
                <w:color w:val="5B9BD5"/>
                <w:sz w:val="16"/>
                <w:szCs w:val="16"/>
              </w:rPr>
              <w:t>Products and services on ICT climate-change adaptation and mitigation, such as promotion of strategies and dissemination of best practices on mapping vulnerable areas and developing information systems, metrics, and e-waste management.</w:t>
            </w:r>
          </w:p>
        </w:tc>
        <w:tc>
          <w:tcPr>
            <w:tcW w:w="1559"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2,348</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2,269</w:t>
            </w:r>
          </w:p>
        </w:tc>
        <w:tc>
          <w:tcPr>
            <w:tcW w:w="1417"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EE1223">
              <w:rPr>
                <w:sz w:val="16"/>
                <w:szCs w:val="16"/>
              </w:rPr>
              <w:t>2,568</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06543E">
              <w:rPr>
                <w:sz w:val="16"/>
                <w:szCs w:val="16"/>
              </w:rPr>
              <w:t>n/a</w:t>
            </w:r>
          </w:p>
        </w:tc>
      </w:tr>
      <w:tr w:rsidR="00822DFE" w:rsidRPr="00F95071" w:rsidTr="00D9318F">
        <w:tc>
          <w:tcPr>
            <w:tcW w:w="8784" w:type="dxa"/>
            <w:vAlign w:val="center"/>
          </w:tcPr>
          <w:p w:rsidR="00822DFE" w:rsidRPr="00EE1223" w:rsidRDefault="00822DFE" w:rsidP="00822DFE">
            <w:pPr>
              <w:keepNext/>
              <w:keepLines/>
              <w:spacing w:before="60" w:after="60"/>
              <w:rPr>
                <w:color w:val="5B9BD5"/>
                <w:sz w:val="16"/>
                <w:szCs w:val="16"/>
              </w:rPr>
            </w:pPr>
            <w:r w:rsidRPr="00EE1223">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327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347</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sz w:val="16"/>
                <w:szCs w:val="16"/>
              </w:rPr>
            </w:pPr>
            <w:r>
              <w:rPr>
                <w:sz w:val="16"/>
                <w:szCs w:val="16"/>
              </w:rPr>
              <w:t>683</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sz w:val="16"/>
                <w:szCs w:val="16"/>
              </w:rPr>
            </w:pPr>
            <w:r w:rsidRPr="0006543E">
              <w:rPr>
                <w:sz w:val="16"/>
                <w:szCs w:val="16"/>
              </w:rPr>
              <w:t>n/a</w:t>
            </w:r>
          </w:p>
        </w:tc>
      </w:tr>
      <w:tr w:rsidR="00822DFE" w:rsidRPr="00F95071" w:rsidTr="00D9318F">
        <w:tc>
          <w:tcPr>
            <w:tcW w:w="8784" w:type="dxa"/>
            <w:vAlign w:val="center"/>
          </w:tcPr>
          <w:p w:rsidR="00822DFE" w:rsidRPr="00EE1223" w:rsidRDefault="00822DFE" w:rsidP="00822DFE">
            <w:pPr>
              <w:keepNext/>
              <w:keepLines/>
              <w:spacing w:before="60" w:after="60"/>
              <w:rPr>
                <w:b/>
                <w:bCs/>
                <w:color w:val="5B9BD5"/>
                <w:sz w:val="16"/>
                <w:szCs w:val="16"/>
              </w:rPr>
            </w:pPr>
            <w:r w:rsidRPr="00EE1223">
              <w:rPr>
                <w:b/>
                <w:bCs/>
                <w:color w:val="5B9BD5"/>
                <w:sz w:val="16"/>
                <w:szCs w:val="16"/>
              </w:rPr>
              <w:t>Total for Objective 4</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w:t>
            </w:r>
            <w:r>
              <w:rPr>
                <w:b/>
                <w:bCs/>
                <w:sz w:val="16"/>
                <w:szCs w:val="16"/>
              </w:rPr>
              <w:t>1,021</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w:t>
            </w:r>
            <w:r>
              <w:rPr>
                <w:b/>
                <w:bCs/>
                <w:sz w:val="16"/>
                <w:szCs w:val="16"/>
              </w:rPr>
              <w:t>0,226</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822DFE" w:rsidRPr="00EE1223" w:rsidRDefault="00822DFE" w:rsidP="00822DFE">
            <w:pPr>
              <w:spacing w:before="60" w:after="60"/>
              <w:ind w:right="459"/>
              <w:jc w:val="right"/>
              <w:rPr>
                <w:b/>
                <w:bCs/>
                <w:sz w:val="16"/>
                <w:szCs w:val="16"/>
              </w:rPr>
            </w:pPr>
            <w:r w:rsidRPr="00EE1223">
              <w:rPr>
                <w:b/>
                <w:bCs/>
                <w:sz w:val="16"/>
                <w:szCs w:val="16"/>
              </w:rPr>
              <w:t>1</w:t>
            </w:r>
            <w:r>
              <w:rPr>
                <w:b/>
                <w:bCs/>
                <w:sz w:val="16"/>
                <w:szCs w:val="16"/>
              </w:rPr>
              <w:t>2,005</w:t>
            </w:r>
          </w:p>
        </w:tc>
        <w:tc>
          <w:tcPr>
            <w:tcW w:w="1418" w:type="dxa"/>
            <w:tcBorders>
              <w:top w:val="single" w:sz="8" w:space="0" w:color="9CC2E5"/>
              <w:left w:val="nil"/>
              <w:bottom w:val="single" w:sz="8" w:space="0" w:color="9CC2E5"/>
              <w:right w:val="single" w:sz="8" w:space="0" w:color="9CC2E5"/>
            </w:tcBorders>
            <w:shd w:val="clear" w:color="auto" w:fill="auto"/>
          </w:tcPr>
          <w:p w:rsidR="00822DFE" w:rsidRPr="00EE1223" w:rsidRDefault="00822DFE" w:rsidP="00822DFE">
            <w:pPr>
              <w:spacing w:before="60" w:after="60"/>
              <w:ind w:right="459"/>
              <w:jc w:val="right"/>
              <w:rPr>
                <w:b/>
                <w:bCs/>
                <w:sz w:val="16"/>
                <w:szCs w:val="16"/>
              </w:rPr>
            </w:pPr>
            <w:r w:rsidRPr="0006543E">
              <w:rPr>
                <w:sz w:val="16"/>
                <w:szCs w:val="16"/>
              </w:rPr>
              <w:t>n/a</w:t>
            </w:r>
          </w:p>
        </w:tc>
      </w:tr>
    </w:tbl>
    <w:p w:rsidR="00B45F2D" w:rsidRDefault="00B45F2D" w:rsidP="00B45F2D">
      <w:pPr>
        <w:rPr>
          <w:rFonts w:eastAsia="SimSun"/>
        </w:rPr>
      </w:pPr>
    </w:p>
    <w:p w:rsidR="00B45F2D" w:rsidRPr="00516485" w:rsidRDefault="00B45F2D" w:rsidP="00516485">
      <w:pPr>
        <w:pStyle w:val="Heading1"/>
        <w:numPr>
          <w:ilvl w:val="0"/>
          <w:numId w:val="15"/>
        </w:numPr>
        <w:tabs>
          <w:tab w:val="clear" w:pos="1134"/>
          <w:tab w:val="clear" w:pos="1871"/>
          <w:tab w:val="clear" w:pos="2268"/>
        </w:tabs>
        <w:overflowPunct/>
        <w:autoSpaceDE/>
        <w:autoSpaceDN/>
        <w:adjustRightInd/>
        <w:spacing w:before="120" w:after="120"/>
        <w:ind w:left="357" w:hanging="357"/>
        <w:textAlignment w:val="auto"/>
        <w:rPr>
          <w:sz w:val="24"/>
          <w:szCs w:val="18"/>
          <w:lang w:val="en-US"/>
        </w:rPr>
      </w:pPr>
      <w:r w:rsidRPr="00516485">
        <w:rPr>
          <w:sz w:val="24"/>
          <w:szCs w:val="18"/>
          <w:lang w:val="en-US"/>
        </w:rPr>
        <w:lastRenderedPageBreak/>
        <w:t>Implementation of the Operational Plan</w:t>
      </w:r>
    </w:p>
    <w:p w:rsidR="00B45F2D" w:rsidRDefault="00B45F2D" w:rsidP="00FF7B72">
      <w:pPr>
        <w:rPr>
          <w:rFonts w:eastAsia="SimSun" w:cs="Arial"/>
        </w:rPr>
      </w:pPr>
      <w:r w:rsidRPr="00934D52">
        <w:rPr>
          <w:rFonts w:eastAsia="SimSun" w:cs="Arial"/>
        </w:rPr>
        <w:t>The outputs defined in this Operational Plan will be delivered by the responsible Regional Offices and Departments of the Telecommunication Development Bureau</w:t>
      </w:r>
      <w:r>
        <w:rPr>
          <w:rFonts w:eastAsia="Calibri" w:cs="Arial"/>
        </w:rPr>
        <w:t>. T</w:t>
      </w:r>
      <w:r w:rsidRPr="00934D52">
        <w:rPr>
          <w:rFonts w:eastAsia="Calibri" w:cs="Arial"/>
        </w:rPr>
        <w:t>he regional offices will participate in the implementation of this operational plan</w:t>
      </w:r>
      <w:r w:rsidRPr="00934D52">
        <w:rPr>
          <w:rFonts w:eastAsia="SimSun" w:cs="Arial"/>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B45F2D" w:rsidRDefault="00B45F2D" w:rsidP="00B45F2D">
      <w:pPr>
        <w:rPr>
          <w:rFonts w:eastAsia="SimSun" w:cs="Arial"/>
        </w:rPr>
      </w:pPr>
      <w:r>
        <w:rPr>
          <w:rFonts w:eastAsia="SimSun" w:cs="Arial"/>
        </w:rPr>
        <w:br w:type="page"/>
      </w:r>
    </w:p>
    <w:p w:rsidR="00B45F2D" w:rsidRPr="00516485" w:rsidRDefault="00B45F2D" w:rsidP="00516485">
      <w:pPr>
        <w:pStyle w:val="Heading1"/>
        <w:spacing w:before="120" w:after="120"/>
        <w:jc w:val="center"/>
        <w:rPr>
          <w:sz w:val="24"/>
          <w:szCs w:val="24"/>
        </w:rPr>
      </w:pPr>
      <w:r w:rsidRPr="00516485">
        <w:rPr>
          <w:sz w:val="24"/>
          <w:szCs w:val="24"/>
        </w:rPr>
        <w:lastRenderedPageBreak/>
        <w:t>Annex 1: Allocation of resources to ITU-D objectives and ITU Strategic Goals</w:t>
      </w:r>
    </w:p>
    <w:p w:rsidR="00B45F2D" w:rsidRPr="00DF1219" w:rsidRDefault="00C273BB" w:rsidP="00B45F2D">
      <w:pPr>
        <w:rPr>
          <w:b/>
          <w:bCs/>
        </w:rPr>
      </w:pPr>
      <w:r w:rsidRPr="00C273BB">
        <w:rPr>
          <w:noProof/>
          <w:lang w:eastAsia="zh-CN"/>
        </w:rPr>
        <w:drawing>
          <wp:inline distT="0" distB="0" distL="0" distR="0">
            <wp:extent cx="9564854" cy="3754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74852" cy="3758240"/>
                    </a:xfrm>
                    <a:prstGeom prst="rect">
                      <a:avLst/>
                    </a:prstGeom>
                    <a:noFill/>
                    <a:ln>
                      <a:noFill/>
                    </a:ln>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headerReference w:type="default" r:id="rId35"/>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6D" w:rsidRDefault="00EB246D">
      <w:r>
        <w:separator/>
      </w:r>
    </w:p>
  </w:endnote>
  <w:endnote w:type="continuationSeparator" w:id="0">
    <w:p w:rsidR="00EB246D" w:rsidRDefault="00EB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8A" w:rsidRDefault="00AF7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8A" w:rsidRDefault="00AF7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9318F" w:rsidRPr="004D495C" w:rsidTr="00B45F2D">
      <w:tc>
        <w:tcPr>
          <w:tcW w:w="1526" w:type="dxa"/>
          <w:tcBorders>
            <w:top w:val="single" w:sz="4" w:space="0" w:color="000000"/>
          </w:tcBorders>
          <w:shd w:val="clear" w:color="auto" w:fill="auto"/>
        </w:tcPr>
        <w:p w:rsidR="00D9318F" w:rsidRPr="004D495C" w:rsidRDefault="00D9318F" w:rsidP="003C47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9318F" w:rsidRPr="004D495C" w:rsidRDefault="00D9318F" w:rsidP="003C47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D9318F" w:rsidRPr="00AF7A97" w:rsidRDefault="00D9318F" w:rsidP="003C475F">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1" w:name="OrgName"/>
      <w:bookmarkEnd w:id="11"/>
    </w:tr>
    <w:tr w:rsidR="00D9318F" w:rsidRPr="004D495C" w:rsidTr="00B45F2D">
      <w:tc>
        <w:tcPr>
          <w:tcW w:w="1526" w:type="dxa"/>
          <w:shd w:val="clear" w:color="auto" w:fill="auto"/>
        </w:tcPr>
        <w:p w:rsidR="00D9318F" w:rsidRPr="004D495C" w:rsidRDefault="00D9318F" w:rsidP="003C475F">
          <w:pPr>
            <w:pStyle w:val="FirstFooter"/>
            <w:tabs>
              <w:tab w:val="left" w:pos="1559"/>
              <w:tab w:val="left" w:pos="3828"/>
            </w:tabs>
            <w:rPr>
              <w:sz w:val="20"/>
              <w:lang w:val="en-US"/>
            </w:rPr>
          </w:pPr>
        </w:p>
      </w:tc>
      <w:tc>
        <w:tcPr>
          <w:tcW w:w="2410" w:type="dxa"/>
          <w:shd w:val="clear" w:color="auto" w:fill="auto"/>
        </w:tcPr>
        <w:p w:rsidR="00D9318F" w:rsidRPr="004D495C" w:rsidRDefault="00D9318F" w:rsidP="003C475F">
          <w:pPr>
            <w:pStyle w:val="FirstFooter"/>
            <w:tabs>
              <w:tab w:val="left" w:pos="2302"/>
            </w:tabs>
            <w:rPr>
              <w:sz w:val="18"/>
              <w:szCs w:val="18"/>
              <w:lang w:val="en-US"/>
            </w:rPr>
          </w:pPr>
          <w:r w:rsidRPr="004D495C">
            <w:rPr>
              <w:sz w:val="18"/>
              <w:szCs w:val="18"/>
              <w:lang w:val="en-US"/>
            </w:rPr>
            <w:t>Phone number:</w:t>
          </w:r>
        </w:p>
      </w:tc>
      <w:tc>
        <w:tcPr>
          <w:tcW w:w="5987" w:type="dxa"/>
        </w:tcPr>
        <w:p w:rsidR="00D9318F" w:rsidRPr="00AF7A97" w:rsidRDefault="00D9318F" w:rsidP="003C475F">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D9318F" w:rsidRPr="004D495C" w:rsidTr="00B45F2D">
      <w:tc>
        <w:tcPr>
          <w:tcW w:w="1526" w:type="dxa"/>
          <w:shd w:val="clear" w:color="auto" w:fill="auto"/>
        </w:tcPr>
        <w:p w:rsidR="00D9318F" w:rsidRPr="004D495C" w:rsidRDefault="00D9318F" w:rsidP="003C475F">
          <w:pPr>
            <w:pStyle w:val="FirstFooter"/>
            <w:tabs>
              <w:tab w:val="left" w:pos="1559"/>
              <w:tab w:val="left" w:pos="3828"/>
            </w:tabs>
            <w:rPr>
              <w:sz w:val="20"/>
              <w:lang w:val="en-US"/>
            </w:rPr>
          </w:pPr>
        </w:p>
      </w:tc>
      <w:tc>
        <w:tcPr>
          <w:tcW w:w="2410" w:type="dxa"/>
          <w:shd w:val="clear" w:color="auto" w:fill="auto"/>
        </w:tcPr>
        <w:p w:rsidR="00D9318F" w:rsidRPr="004D495C" w:rsidRDefault="00D9318F" w:rsidP="003C475F">
          <w:pPr>
            <w:pStyle w:val="FirstFooter"/>
            <w:tabs>
              <w:tab w:val="left" w:pos="2302"/>
            </w:tabs>
            <w:rPr>
              <w:sz w:val="18"/>
              <w:szCs w:val="18"/>
              <w:lang w:val="en-US"/>
            </w:rPr>
          </w:pPr>
          <w:r w:rsidRPr="004D495C">
            <w:rPr>
              <w:sz w:val="18"/>
              <w:szCs w:val="18"/>
              <w:lang w:val="en-US"/>
            </w:rPr>
            <w:t>E-mail:</w:t>
          </w:r>
        </w:p>
      </w:tc>
      <w:tc>
        <w:tcPr>
          <w:tcW w:w="5987" w:type="dxa"/>
        </w:tcPr>
        <w:p w:rsidR="00D9318F" w:rsidRPr="00AF7A97" w:rsidRDefault="005E3178" w:rsidP="003C475F">
          <w:pPr>
            <w:pStyle w:val="FirstFooter"/>
            <w:tabs>
              <w:tab w:val="left" w:pos="2302"/>
            </w:tabs>
            <w:rPr>
              <w:sz w:val="18"/>
              <w:szCs w:val="18"/>
              <w:lang w:val="en-US"/>
            </w:rPr>
          </w:pPr>
          <w:hyperlink r:id="rId1" w:history="1">
            <w:r w:rsidR="00D9318F" w:rsidRPr="007A235C">
              <w:rPr>
                <w:rStyle w:val="Hyperlink"/>
                <w:sz w:val="18"/>
                <w:szCs w:val="18"/>
                <w:lang w:val="en-US"/>
              </w:rPr>
              <w:t>yushi.torigoe@itu.int</w:t>
            </w:r>
          </w:hyperlink>
          <w:r w:rsidR="00D9318F">
            <w:rPr>
              <w:sz w:val="18"/>
              <w:szCs w:val="18"/>
              <w:lang w:val="en-US"/>
            </w:rPr>
            <w:t xml:space="preserve"> </w:t>
          </w:r>
        </w:p>
      </w:tc>
      <w:bookmarkStart w:id="13" w:name="Email"/>
      <w:bookmarkEnd w:id="13"/>
    </w:tr>
  </w:tbl>
  <w:p w:rsidR="00D9318F" w:rsidRDefault="005E3178" w:rsidP="003C475F">
    <w:pPr>
      <w:jc w:val="center"/>
    </w:pPr>
    <w:hyperlink r:id="rId2" w:history="1">
      <w:r w:rsidR="00D9318F"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6D" w:rsidRDefault="00EB246D">
      <w:r>
        <w:rPr>
          <w:b/>
        </w:rPr>
        <w:t>_______________</w:t>
      </w:r>
    </w:p>
  </w:footnote>
  <w:footnote w:type="continuationSeparator" w:id="0">
    <w:p w:rsidR="00EB246D" w:rsidRDefault="00EB246D">
      <w:r>
        <w:continuationSeparator/>
      </w:r>
    </w:p>
  </w:footnote>
  <w:footnote w:id="1">
    <w:p w:rsidR="00D9318F" w:rsidRPr="00694A02" w:rsidRDefault="00D9318F" w:rsidP="007768AA">
      <w:pPr>
        <w:pStyle w:val="FootnoteText"/>
        <w:spacing w:before="0"/>
        <w:rPr>
          <w:lang w:val="en-US"/>
        </w:rPr>
      </w:pPr>
      <w:r>
        <w:rPr>
          <w:rStyle w:val="FootnoteReference"/>
        </w:rPr>
        <w:footnoteRef/>
      </w:r>
      <w:r>
        <w:t xml:space="preserve"> </w:t>
      </w:r>
      <w:r w:rsidRPr="00694A02">
        <w:rPr>
          <w:sz w:val="18"/>
          <w:szCs w:val="18"/>
        </w:rPr>
        <w:t>Within the context of the outputs in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2">
    <w:p w:rsidR="00D9318F" w:rsidRPr="0015341F" w:rsidRDefault="00D9318F" w:rsidP="007768AA">
      <w:pPr>
        <w:pStyle w:val="FootnoteText"/>
        <w:spacing w:before="0"/>
      </w:pPr>
      <w:r>
        <w:rPr>
          <w:rStyle w:val="FootnoteReference"/>
        </w:rPr>
        <w:footnoteRef/>
      </w:r>
      <w:r w:rsidRPr="0015341F">
        <w:t xml:space="preserve"> </w:t>
      </w:r>
      <w:r w:rsidRPr="008F45F3">
        <w:rPr>
          <w:sz w:val="18"/>
          <w:szCs w:val="18"/>
        </w:rPr>
        <w:t>Risk owners will be appointed by the Director of the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8A" w:rsidRDefault="00AF7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F" w:rsidRDefault="00D9318F" w:rsidP="00AF788A">
    <w:pPr>
      <w:tabs>
        <w:tab w:val="clear" w:pos="1134"/>
        <w:tab w:val="clear" w:pos="1871"/>
        <w:tab w:val="clear" w:pos="2268"/>
        <w:tab w:val="center" w:pos="6946"/>
        <w:tab w:val="right" w:pos="13892"/>
      </w:tabs>
      <w:ind w:right="1"/>
    </w:pPr>
    <w:r w:rsidRPr="004D495C">
      <w:rPr>
        <w:sz w:val="22"/>
        <w:szCs w:val="22"/>
      </w:rPr>
      <w:tab/>
    </w:r>
    <w:r>
      <w:rPr>
        <w:sz w:val="22"/>
        <w:szCs w:val="22"/>
        <w:lang w:val="es-ES_tradnl"/>
      </w:rPr>
      <w:t>TDAG-1</w:t>
    </w:r>
    <w:r w:rsidR="00AF788A">
      <w:rPr>
        <w:sz w:val="22"/>
        <w:szCs w:val="22"/>
        <w:lang w:val="es-ES_tradnl"/>
      </w:rPr>
      <w:t>9</w:t>
    </w:r>
    <w:r w:rsidRPr="00FF089C">
      <w:rPr>
        <w:sz w:val="22"/>
        <w:szCs w:val="22"/>
        <w:lang w:val="es-ES_tradnl"/>
      </w:rPr>
      <w:t>/</w:t>
    </w:r>
    <w:bookmarkStart w:id="10" w:name="DocNo2"/>
    <w:bookmarkEnd w:id="10"/>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E3178">
      <w:rPr>
        <w:noProof/>
        <w:sz w:val="22"/>
        <w:szCs w:val="22"/>
        <w:lang w:val="es-ES_tradnl"/>
      </w:rPr>
      <w:t>6</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8A" w:rsidRDefault="00AF78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8F" w:rsidRPr="00D83BF5" w:rsidRDefault="00D9318F" w:rsidP="0098612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w:t>
    </w:r>
    <w:r w:rsidR="00986124">
      <w:rPr>
        <w:sz w:val="22"/>
        <w:szCs w:val="22"/>
        <w:lang w:val="es-ES_tradnl"/>
      </w:rPr>
      <w:t>9</w:t>
    </w:r>
    <w:r w:rsidRPr="00FF089C">
      <w:rPr>
        <w:sz w:val="22"/>
        <w:szCs w:val="22"/>
        <w:lang w:val="es-ES_tradnl"/>
      </w:rPr>
      <w:t>/</w:t>
    </w:r>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E3178">
      <w:rPr>
        <w:noProof/>
        <w:sz w:val="22"/>
        <w:szCs w:val="22"/>
        <w:lang w:val="es-ES_tradnl"/>
      </w:rPr>
      <w:t>14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E688F"/>
    <w:multiLevelType w:val="multilevel"/>
    <w:tmpl w:val="25BE6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D3682"/>
    <w:multiLevelType w:val="hybridMultilevel"/>
    <w:tmpl w:val="547ED134"/>
    <w:lvl w:ilvl="0" w:tplc="4E069B5A">
      <w:start w:val="4"/>
      <w:numFmt w:val="decimal"/>
      <w:lvlText w:val="%1."/>
      <w:lvlJc w:val="left"/>
      <w:pPr>
        <w:ind w:left="360" w:hanging="360"/>
      </w:pPr>
      <w:rPr>
        <w:rFonts w:eastAsiaTheme="majorEastAsia"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DA3813"/>
    <w:multiLevelType w:val="hybridMultilevel"/>
    <w:tmpl w:val="DBD05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64805"/>
    <w:multiLevelType w:val="hybridMultilevel"/>
    <w:tmpl w:val="72267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9E7734"/>
    <w:multiLevelType w:val="hybridMultilevel"/>
    <w:tmpl w:val="AA4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2411479"/>
    <w:multiLevelType w:val="hybridMultilevel"/>
    <w:tmpl w:val="5596D4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45AE"/>
    <w:multiLevelType w:val="hybridMultilevel"/>
    <w:tmpl w:val="6B843EB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4"/>
  </w:num>
  <w:num w:numId="5">
    <w:abstractNumId w:val="15"/>
  </w:num>
  <w:num w:numId="6">
    <w:abstractNumId w:val="18"/>
  </w:num>
  <w:num w:numId="7">
    <w:abstractNumId w:val="5"/>
  </w:num>
  <w:num w:numId="8">
    <w:abstractNumId w:val="11"/>
  </w:num>
  <w:num w:numId="9">
    <w:abstractNumId w:val="6"/>
  </w:num>
  <w:num w:numId="10">
    <w:abstractNumId w:val="7"/>
  </w:num>
  <w:num w:numId="11">
    <w:abstractNumId w:val="12"/>
  </w:num>
  <w:num w:numId="12">
    <w:abstractNumId w:val="8"/>
  </w:num>
  <w:num w:numId="13">
    <w:abstractNumId w:val="17"/>
  </w:num>
  <w:num w:numId="14">
    <w:abstractNumId w:val="2"/>
  </w:num>
  <w:num w:numId="15">
    <w:abstractNumId w:val="10"/>
  </w:num>
  <w:num w:numId="16">
    <w:abstractNumId w:val="9"/>
  </w:num>
  <w:num w:numId="17">
    <w:abstractNumId w:val="16"/>
  </w:num>
  <w:num w:numId="18">
    <w:abstractNumId w:val="13"/>
  </w:num>
  <w:num w:numId="19">
    <w:abstractNumId w:val="20"/>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3EEB"/>
    <w:rsid w:val="000355FD"/>
    <w:rsid w:val="00044DF8"/>
    <w:rsid w:val="00051E39"/>
    <w:rsid w:val="00056696"/>
    <w:rsid w:val="000617DF"/>
    <w:rsid w:val="00075C63"/>
    <w:rsid w:val="00077239"/>
    <w:rsid w:val="00080905"/>
    <w:rsid w:val="000822BE"/>
    <w:rsid w:val="00082D46"/>
    <w:rsid w:val="00086491"/>
    <w:rsid w:val="00091346"/>
    <w:rsid w:val="000D4875"/>
    <w:rsid w:val="000E196E"/>
    <w:rsid w:val="000F308B"/>
    <w:rsid w:val="000F73FF"/>
    <w:rsid w:val="00114CF7"/>
    <w:rsid w:val="00123B68"/>
    <w:rsid w:val="00126F2E"/>
    <w:rsid w:val="00146F6F"/>
    <w:rsid w:val="00147DA1"/>
    <w:rsid w:val="00152957"/>
    <w:rsid w:val="00187BD9"/>
    <w:rsid w:val="00190B55"/>
    <w:rsid w:val="00191687"/>
    <w:rsid w:val="00192517"/>
    <w:rsid w:val="00194CFB"/>
    <w:rsid w:val="001B1E1C"/>
    <w:rsid w:val="001B2ED3"/>
    <w:rsid w:val="001B7EA3"/>
    <w:rsid w:val="001C3B5F"/>
    <w:rsid w:val="001D058F"/>
    <w:rsid w:val="001E252D"/>
    <w:rsid w:val="001E5DDF"/>
    <w:rsid w:val="001E5F58"/>
    <w:rsid w:val="002009EA"/>
    <w:rsid w:val="00202CA0"/>
    <w:rsid w:val="00205CEB"/>
    <w:rsid w:val="002154A6"/>
    <w:rsid w:val="002162CD"/>
    <w:rsid w:val="00220634"/>
    <w:rsid w:val="002255B3"/>
    <w:rsid w:val="00236E8A"/>
    <w:rsid w:val="002420D0"/>
    <w:rsid w:val="00271316"/>
    <w:rsid w:val="00271824"/>
    <w:rsid w:val="00276AC8"/>
    <w:rsid w:val="0029380F"/>
    <w:rsid w:val="00296313"/>
    <w:rsid w:val="002A48FF"/>
    <w:rsid w:val="002B3C84"/>
    <w:rsid w:val="002D58BE"/>
    <w:rsid w:val="003013EE"/>
    <w:rsid w:val="003329B7"/>
    <w:rsid w:val="00361609"/>
    <w:rsid w:val="00373ABD"/>
    <w:rsid w:val="00377BD3"/>
    <w:rsid w:val="00384088"/>
    <w:rsid w:val="0038489B"/>
    <w:rsid w:val="0039169B"/>
    <w:rsid w:val="003A7F8C"/>
    <w:rsid w:val="003B532E"/>
    <w:rsid w:val="003B6F14"/>
    <w:rsid w:val="003C475F"/>
    <w:rsid w:val="003D0F8B"/>
    <w:rsid w:val="004131D4"/>
    <w:rsid w:val="0041348E"/>
    <w:rsid w:val="00437870"/>
    <w:rsid w:val="00447308"/>
    <w:rsid w:val="00462CB2"/>
    <w:rsid w:val="00470AB7"/>
    <w:rsid w:val="00475705"/>
    <w:rsid w:val="004765FF"/>
    <w:rsid w:val="00492075"/>
    <w:rsid w:val="004969AD"/>
    <w:rsid w:val="004A496E"/>
    <w:rsid w:val="004A79A1"/>
    <w:rsid w:val="004B13CB"/>
    <w:rsid w:val="004B4FDF"/>
    <w:rsid w:val="004C3355"/>
    <w:rsid w:val="004D5D5C"/>
    <w:rsid w:val="004E2F10"/>
    <w:rsid w:val="0050139F"/>
    <w:rsid w:val="00516485"/>
    <w:rsid w:val="00521223"/>
    <w:rsid w:val="00523D3E"/>
    <w:rsid w:val="00524DF1"/>
    <w:rsid w:val="005318F0"/>
    <w:rsid w:val="00536513"/>
    <w:rsid w:val="0055140B"/>
    <w:rsid w:val="00554C4F"/>
    <w:rsid w:val="00561D72"/>
    <w:rsid w:val="00567AB7"/>
    <w:rsid w:val="00581899"/>
    <w:rsid w:val="00593B87"/>
    <w:rsid w:val="005964AB"/>
    <w:rsid w:val="00597510"/>
    <w:rsid w:val="005A329A"/>
    <w:rsid w:val="005B44F5"/>
    <w:rsid w:val="005C099A"/>
    <w:rsid w:val="005C31A5"/>
    <w:rsid w:val="005E10C9"/>
    <w:rsid w:val="005E3178"/>
    <w:rsid w:val="005E61DD"/>
    <w:rsid w:val="005E6321"/>
    <w:rsid w:val="005F30C7"/>
    <w:rsid w:val="006023DF"/>
    <w:rsid w:val="0062663A"/>
    <w:rsid w:val="00636B82"/>
    <w:rsid w:val="0064322F"/>
    <w:rsid w:val="0064615E"/>
    <w:rsid w:val="006463EE"/>
    <w:rsid w:val="00657DE0"/>
    <w:rsid w:val="0066183B"/>
    <w:rsid w:val="0067199F"/>
    <w:rsid w:val="00677048"/>
    <w:rsid w:val="00681C0D"/>
    <w:rsid w:val="00685313"/>
    <w:rsid w:val="00694A02"/>
    <w:rsid w:val="006A6E9B"/>
    <w:rsid w:val="006B7C2A"/>
    <w:rsid w:val="006C23DA"/>
    <w:rsid w:val="006E3D45"/>
    <w:rsid w:val="007149F9"/>
    <w:rsid w:val="00733A30"/>
    <w:rsid w:val="00745AEE"/>
    <w:rsid w:val="007479EA"/>
    <w:rsid w:val="00750F10"/>
    <w:rsid w:val="00762EB2"/>
    <w:rsid w:val="007742CA"/>
    <w:rsid w:val="007768AA"/>
    <w:rsid w:val="007B4578"/>
    <w:rsid w:val="007D06F0"/>
    <w:rsid w:val="007D0FDC"/>
    <w:rsid w:val="007D45E3"/>
    <w:rsid w:val="007D5320"/>
    <w:rsid w:val="007E7295"/>
    <w:rsid w:val="007F735C"/>
    <w:rsid w:val="00800972"/>
    <w:rsid w:val="00804475"/>
    <w:rsid w:val="00811633"/>
    <w:rsid w:val="00821CEF"/>
    <w:rsid w:val="00822DFE"/>
    <w:rsid w:val="00832828"/>
    <w:rsid w:val="008334AF"/>
    <w:rsid w:val="0083645A"/>
    <w:rsid w:val="00840B0F"/>
    <w:rsid w:val="00844688"/>
    <w:rsid w:val="00846538"/>
    <w:rsid w:val="00855E45"/>
    <w:rsid w:val="00863578"/>
    <w:rsid w:val="008711AE"/>
    <w:rsid w:val="00872FC8"/>
    <w:rsid w:val="008801D3"/>
    <w:rsid w:val="008839F4"/>
    <w:rsid w:val="008845D0"/>
    <w:rsid w:val="00884C24"/>
    <w:rsid w:val="00893C28"/>
    <w:rsid w:val="00896EC0"/>
    <w:rsid w:val="008A3933"/>
    <w:rsid w:val="008B43F2"/>
    <w:rsid w:val="008B61EA"/>
    <w:rsid w:val="008B6CFF"/>
    <w:rsid w:val="008E38B3"/>
    <w:rsid w:val="009006A0"/>
    <w:rsid w:val="00910B26"/>
    <w:rsid w:val="009274B4"/>
    <w:rsid w:val="00934EA2"/>
    <w:rsid w:val="00944A5C"/>
    <w:rsid w:val="00952A66"/>
    <w:rsid w:val="00986124"/>
    <w:rsid w:val="009A5855"/>
    <w:rsid w:val="009B32A7"/>
    <w:rsid w:val="009B5273"/>
    <w:rsid w:val="009B75FF"/>
    <w:rsid w:val="009C56E5"/>
    <w:rsid w:val="009E5FC8"/>
    <w:rsid w:val="009E687A"/>
    <w:rsid w:val="00A03C5C"/>
    <w:rsid w:val="00A066F1"/>
    <w:rsid w:val="00A141AF"/>
    <w:rsid w:val="00A143C4"/>
    <w:rsid w:val="00A16D29"/>
    <w:rsid w:val="00A20E5E"/>
    <w:rsid w:val="00A30305"/>
    <w:rsid w:val="00A31D2D"/>
    <w:rsid w:val="00A379DF"/>
    <w:rsid w:val="00A44B78"/>
    <w:rsid w:val="00A4600A"/>
    <w:rsid w:val="00A538A6"/>
    <w:rsid w:val="00A54C25"/>
    <w:rsid w:val="00A710E7"/>
    <w:rsid w:val="00A7372E"/>
    <w:rsid w:val="00A7509A"/>
    <w:rsid w:val="00A93B85"/>
    <w:rsid w:val="00AA0B18"/>
    <w:rsid w:val="00AA666F"/>
    <w:rsid w:val="00AB4927"/>
    <w:rsid w:val="00AC034F"/>
    <w:rsid w:val="00AD78C9"/>
    <w:rsid w:val="00AF788A"/>
    <w:rsid w:val="00B004E5"/>
    <w:rsid w:val="00B15F9D"/>
    <w:rsid w:val="00B45F2D"/>
    <w:rsid w:val="00B639E9"/>
    <w:rsid w:val="00B73A64"/>
    <w:rsid w:val="00B817CD"/>
    <w:rsid w:val="00B90C0C"/>
    <w:rsid w:val="00B911B2"/>
    <w:rsid w:val="00B951D0"/>
    <w:rsid w:val="00B95DA2"/>
    <w:rsid w:val="00BB29C8"/>
    <w:rsid w:val="00BB3A95"/>
    <w:rsid w:val="00BB4339"/>
    <w:rsid w:val="00BC0382"/>
    <w:rsid w:val="00BD239D"/>
    <w:rsid w:val="00BD62C6"/>
    <w:rsid w:val="00BF154D"/>
    <w:rsid w:val="00C0018F"/>
    <w:rsid w:val="00C20466"/>
    <w:rsid w:val="00C214ED"/>
    <w:rsid w:val="00C234E6"/>
    <w:rsid w:val="00C273BB"/>
    <w:rsid w:val="00C324A8"/>
    <w:rsid w:val="00C54517"/>
    <w:rsid w:val="00C55585"/>
    <w:rsid w:val="00C64CD8"/>
    <w:rsid w:val="00C73347"/>
    <w:rsid w:val="00C97C68"/>
    <w:rsid w:val="00CA1A47"/>
    <w:rsid w:val="00CC247A"/>
    <w:rsid w:val="00CD3FB1"/>
    <w:rsid w:val="00CE5E47"/>
    <w:rsid w:val="00CF020F"/>
    <w:rsid w:val="00CF2B5B"/>
    <w:rsid w:val="00D14CE0"/>
    <w:rsid w:val="00D20E52"/>
    <w:rsid w:val="00D34963"/>
    <w:rsid w:val="00D36333"/>
    <w:rsid w:val="00D5651D"/>
    <w:rsid w:val="00D74898"/>
    <w:rsid w:val="00D801ED"/>
    <w:rsid w:val="00D83BF5"/>
    <w:rsid w:val="00D925C2"/>
    <w:rsid w:val="00D9318F"/>
    <w:rsid w:val="00D936BC"/>
    <w:rsid w:val="00D9621A"/>
    <w:rsid w:val="00D96530"/>
    <w:rsid w:val="00D96B4B"/>
    <w:rsid w:val="00DA2345"/>
    <w:rsid w:val="00DA453A"/>
    <w:rsid w:val="00DA7012"/>
    <w:rsid w:val="00DA7078"/>
    <w:rsid w:val="00DD08B4"/>
    <w:rsid w:val="00DD44AF"/>
    <w:rsid w:val="00DD61D0"/>
    <w:rsid w:val="00DE2AC3"/>
    <w:rsid w:val="00DE434C"/>
    <w:rsid w:val="00DE5692"/>
    <w:rsid w:val="00DF6F8E"/>
    <w:rsid w:val="00E03C94"/>
    <w:rsid w:val="00E07105"/>
    <w:rsid w:val="00E26226"/>
    <w:rsid w:val="00E34459"/>
    <w:rsid w:val="00E4165C"/>
    <w:rsid w:val="00E442AF"/>
    <w:rsid w:val="00E45D05"/>
    <w:rsid w:val="00E55816"/>
    <w:rsid w:val="00E55AEF"/>
    <w:rsid w:val="00E64B4B"/>
    <w:rsid w:val="00E976C1"/>
    <w:rsid w:val="00EA12E5"/>
    <w:rsid w:val="00EB246D"/>
    <w:rsid w:val="00EB4C45"/>
    <w:rsid w:val="00EE1223"/>
    <w:rsid w:val="00F02766"/>
    <w:rsid w:val="00F04067"/>
    <w:rsid w:val="00F05BD4"/>
    <w:rsid w:val="00F11A98"/>
    <w:rsid w:val="00F21A1D"/>
    <w:rsid w:val="00F64DBC"/>
    <w:rsid w:val="00F65C19"/>
    <w:rsid w:val="00F8476E"/>
    <w:rsid w:val="00F8783B"/>
    <w:rsid w:val="00FD2546"/>
    <w:rsid w:val="00FD772E"/>
    <w:rsid w:val="00FE3926"/>
    <w:rsid w:val="00FE78C7"/>
    <w:rsid w:val="00FF43AC"/>
    <w:rsid w:val="00FF52C1"/>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99"/>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table" w:customStyle="1" w:styleId="GridTable4-Accent11">
    <w:name w:val="Grid Table 4 - Accent 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AD78C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EndnoteText">
    <w:name w:val="endnote text"/>
    <w:basedOn w:val="Normal"/>
    <w:link w:val="EndnoteTextChar"/>
    <w:semiHidden/>
    <w:unhideWhenUsed/>
    <w:rsid w:val="000F308B"/>
    <w:pPr>
      <w:spacing w:before="0"/>
    </w:pPr>
    <w:rPr>
      <w:sz w:val="20"/>
    </w:rPr>
  </w:style>
  <w:style w:type="character" w:customStyle="1" w:styleId="EndnoteTextChar">
    <w:name w:val="Endnote Text Char"/>
    <w:basedOn w:val="DefaultParagraphFont"/>
    <w:link w:val="EndnoteText"/>
    <w:semiHidden/>
    <w:rsid w:val="000F308B"/>
    <w:rPr>
      <w:rFonts w:asciiTheme="minorHAnsi" w:hAnsiTheme="minorHAnsi"/>
      <w:lang w:val="en-GB" w:eastAsia="en-US"/>
    </w:rPr>
  </w:style>
  <w:style w:type="character" w:styleId="EndnoteReference">
    <w:name w:val="endnote reference"/>
    <w:basedOn w:val="DefaultParagraphFont"/>
    <w:semiHidden/>
    <w:unhideWhenUsed/>
    <w:rsid w:val="000F3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580571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20-2023.pdf" TargetMode="Externa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90.wmf"/><Relationship Id="rId2" Type="http://schemas.openxmlformats.org/officeDocument/2006/relationships/customXml" Target="../customXml/item2.xml"/><Relationship Id="rId16" Type="http://schemas.openxmlformats.org/officeDocument/2006/relationships/hyperlink" Target="https://www.itu.int/md/S18-CL-C-0001/en" TargetMode="External"/><Relationship Id="rId20" Type="http://schemas.openxmlformats.org/officeDocument/2006/relationships/footer" Target="footer2.xml"/><Relationship Id="rId29"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pub/S-CONF-PLEN-2015" TargetMode="External"/><Relationship Id="rId23" Type="http://schemas.openxmlformats.org/officeDocument/2006/relationships/image" Target="media/image2.png"/><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8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8.wmf"/><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5e64a1d579fdee9abdbf12d32a65059a">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d38661aed2f8f4fe0c9a90883688a0ee"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khirtladze R."/>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XMDQHHHA4CRK-2051021946-73</_dlc_DocId>
    <_dlc_DocIdUrl xmlns="10bb021d-947f-43a0-81ba-2a21b0d60df9">
      <Url>https://intranet.itu.int/sites/ITU-D/tdag/_layouts/15/DocIdRedir.aspx?ID=XMDQHHHA4CRK-2051021946-73</Url>
      <Description>XMDQHHHA4CRK-2051021946-73</Description>
    </_dlc_DocIdUrl>
    <Comments xmlns="bc0480e9-89b5-4e04-9897-b8ef005e5e50" xsi:nil="true"/>
    <Doc_x0020_No xmlns="bc0480e9-89b5-4e04-9897-b8ef005e5e50">33</Doc_x0020_No>
    <Focal_x0020_Points xmlns="bc0480e9-89b5-4e04-9897-b8ef005e5e50">
      <Value>Byamba G.</Value>
    </Focal_x0020_Points>
    <Doc_x0020_posted xmlns="bc0480e9-89b5-4e04-9897-b8ef005e5e50">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9B9F-CB75-473F-94DE-E0AB9595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10bb021d-947f-43a0-81ba-2a21b0d60df9"/>
    <ds:schemaRef ds:uri="bc0480e9-89b5-4e04-9897-b8ef005e5e5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2E7270B-9870-4F19-852D-06C0DA0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ITU-D four-year rolling Operational Plan 2019-2022</vt:lpstr>
    </vt:vector>
  </TitlesOfParts>
  <Manager>General Secretariat - Pool</Manager>
  <Company/>
  <LinksUpToDate>false</LinksUpToDate>
  <CharactersWithSpaces>28344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four-year rolling Operational Plan 2019-2022</dc:title>
  <dc:subject/>
  <dc:creator>BDT</dc:creator>
  <cp:keywords/>
  <dc:description/>
  <cp:lastModifiedBy>BDT</cp:lastModifiedBy>
  <cp:revision>6</cp:revision>
  <cp:lastPrinted>2018-01-29T15:09:00Z</cp:lastPrinted>
  <dcterms:created xsi:type="dcterms:W3CDTF">2019-02-07T11:12:00Z</dcterms:created>
  <dcterms:modified xsi:type="dcterms:W3CDTF">2019-02-14T08:07:00Z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5118bbdc-d6e7-46da-8aba-3c3a5cf16c7d</vt:lpwstr>
  </property>
</Properties>
</file>