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3A4A13" w:rsidTr="005B694A">
        <w:trPr>
          <w:cantSplit/>
          <w:trHeight w:val="1134"/>
        </w:trPr>
        <w:tc>
          <w:tcPr>
            <w:tcW w:w="7251" w:type="dxa"/>
          </w:tcPr>
          <w:p w:rsidR="0021438F" w:rsidRPr="003A4A13" w:rsidRDefault="0021438F" w:rsidP="00AE6B70">
            <w:pPr>
              <w:tabs>
                <w:tab w:val="left" w:pos="1871"/>
                <w:tab w:val="left" w:pos="2268"/>
              </w:tabs>
              <w:spacing w:before="20" w:after="48"/>
              <w:ind w:left="34"/>
              <w:rPr>
                <w:b/>
                <w:bCs/>
                <w:sz w:val="32"/>
                <w:szCs w:val="32"/>
                <w:lang w:val="fr-CH"/>
              </w:rPr>
            </w:pPr>
            <w:r w:rsidRPr="003A4A13">
              <w:rPr>
                <w:b/>
                <w:sz w:val="32"/>
                <w:szCs w:val="32"/>
                <w:lang w:val="fr-CH"/>
              </w:rPr>
              <w:t>Groupe</w:t>
            </w:r>
            <w:r w:rsidRPr="003A4A13">
              <w:rPr>
                <w:b/>
                <w:bCs/>
                <w:sz w:val="32"/>
                <w:szCs w:val="32"/>
                <w:lang w:val="fr-CH"/>
              </w:rPr>
              <w:t xml:space="preserve"> consultatif pour le développement </w:t>
            </w:r>
            <w:r w:rsidRPr="003A4A13">
              <w:rPr>
                <w:b/>
                <w:bCs/>
                <w:sz w:val="32"/>
                <w:szCs w:val="32"/>
                <w:lang w:val="fr-CH"/>
              </w:rPr>
              <w:br/>
              <w:t>des télécommunications (GCDT)</w:t>
            </w:r>
          </w:p>
          <w:p w:rsidR="0021438F" w:rsidRPr="003A4A13" w:rsidRDefault="00D87E6C" w:rsidP="00AE6B70">
            <w:pPr>
              <w:tabs>
                <w:tab w:val="clear" w:pos="1191"/>
                <w:tab w:val="clear" w:pos="1588"/>
                <w:tab w:val="clear" w:pos="1985"/>
              </w:tabs>
              <w:spacing w:before="100" w:after="120"/>
              <w:ind w:left="34"/>
              <w:rPr>
                <w:rFonts w:ascii="Verdana" w:hAnsi="Verdana"/>
                <w:sz w:val="28"/>
                <w:szCs w:val="28"/>
                <w:lang w:val="fr-CH"/>
              </w:rPr>
            </w:pPr>
            <w:r w:rsidRPr="003A4A13">
              <w:rPr>
                <w:b/>
                <w:bCs/>
                <w:sz w:val="26"/>
                <w:szCs w:val="26"/>
                <w:lang w:val="fr-CH"/>
              </w:rPr>
              <w:t>24ème réunion, Genève, 3-5 avril 2019</w:t>
            </w:r>
          </w:p>
        </w:tc>
        <w:tc>
          <w:tcPr>
            <w:tcW w:w="2996" w:type="dxa"/>
          </w:tcPr>
          <w:p w:rsidR="0021438F" w:rsidRPr="003A4A13" w:rsidRDefault="00D87E6C" w:rsidP="00AE6B70">
            <w:pPr>
              <w:spacing w:before="0"/>
              <w:ind w:right="142"/>
              <w:jc w:val="right"/>
              <w:rPr>
                <w:lang w:val="fr-CH"/>
              </w:rPr>
            </w:pPr>
            <w:r w:rsidRPr="003A4A13">
              <w:rPr>
                <w:noProof/>
                <w:color w:val="3399FF"/>
                <w:lang w:val="en-GB"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3A4A13" w:rsidTr="000C61E9">
        <w:trPr>
          <w:cantSplit/>
        </w:trPr>
        <w:tc>
          <w:tcPr>
            <w:tcW w:w="7251" w:type="dxa"/>
            <w:tcBorders>
              <w:top w:val="single" w:sz="12" w:space="0" w:color="auto"/>
            </w:tcBorders>
          </w:tcPr>
          <w:p w:rsidR="00683C32" w:rsidRPr="003A4A13" w:rsidRDefault="00683C32" w:rsidP="00AE6B70">
            <w:pPr>
              <w:spacing w:before="0"/>
              <w:rPr>
                <w:rFonts w:cs="Arial"/>
                <w:b/>
                <w:bCs/>
                <w:sz w:val="20"/>
                <w:lang w:val="fr-CH"/>
              </w:rPr>
            </w:pPr>
          </w:p>
        </w:tc>
        <w:tc>
          <w:tcPr>
            <w:tcW w:w="2996" w:type="dxa"/>
            <w:tcBorders>
              <w:top w:val="single" w:sz="12" w:space="0" w:color="auto"/>
            </w:tcBorders>
          </w:tcPr>
          <w:p w:rsidR="00683C32" w:rsidRPr="003A4A13" w:rsidRDefault="00683C32" w:rsidP="00AE6B70">
            <w:pPr>
              <w:spacing w:before="0"/>
              <w:rPr>
                <w:b/>
                <w:bCs/>
                <w:sz w:val="20"/>
                <w:lang w:val="fr-CH"/>
              </w:rPr>
            </w:pPr>
          </w:p>
        </w:tc>
      </w:tr>
      <w:tr w:rsidR="00683C32" w:rsidRPr="003A4A13" w:rsidTr="000C61E9">
        <w:trPr>
          <w:cantSplit/>
        </w:trPr>
        <w:tc>
          <w:tcPr>
            <w:tcW w:w="7251" w:type="dxa"/>
          </w:tcPr>
          <w:p w:rsidR="00683C32" w:rsidRPr="003A4A13" w:rsidRDefault="00683C32" w:rsidP="00AE6B70">
            <w:pPr>
              <w:pStyle w:val="Committee"/>
              <w:spacing w:before="0"/>
              <w:rPr>
                <w:b w:val="0"/>
                <w:szCs w:val="24"/>
                <w:lang w:val="fr-CH"/>
              </w:rPr>
            </w:pPr>
          </w:p>
        </w:tc>
        <w:tc>
          <w:tcPr>
            <w:tcW w:w="2996" w:type="dxa"/>
          </w:tcPr>
          <w:p w:rsidR="00683C32" w:rsidRPr="003A4A13" w:rsidRDefault="00323587" w:rsidP="00AE6B70">
            <w:pPr>
              <w:spacing w:before="0"/>
              <w:rPr>
                <w:bCs/>
                <w:szCs w:val="24"/>
                <w:lang w:val="fr-CH"/>
              </w:rPr>
            </w:pPr>
            <w:r w:rsidRPr="003A4A13">
              <w:rPr>
                <w:b/>
                <w:bCs/>
                <w:szCs w:val="28"/>
                <w:lang w:val="fr-CH"/>
              </w:rPr>
              <w:t xml:space="preserve">Document </w:t>
            </w:r>
            <w:bookmarkStart w:id="0" w:name="DocRef1"/>
            <w:bookmarkEnd w:id="0"/>
            <w:r w:rsidRPr="003A4A13">
              <w:rPr>
                <w:b/>
                <w:bCs/>
                <w:szCs w:val="28"/>
                <w:lang w:val="fr-CH"/>
              </w:rPr>
              <w:t>TDAG</w:t>
            </w:r>
            <w:r w:rsidR="008F20EB" w:rsidRPr="003A4A13">
              <w:rPr>
                <w:b/>
                <w:bCs/>
                <w:szCs w:val="28"/>
                <w:lang w:val="fr-CH"/>
              </w:rPr>
              <w:t>-</w:t>
            </w:r>
            <w:r w:rsidRPr="003A4A13">
              <w:rPr>
                <w:b/>
                <w:bCs/>
                <w:szCs w:val="28"/>
                <w:lang w:val="fr-CH"/>
              </w:rPr>
              <w:t>1</w:t>
            </w:r>
            <w:r w:rsidR="00D87E6C" w:rsidRPr="003A4A13">
              <w:rPr>
                <w:b/>
                <w:bCs/>
                <w:szCs w:val="28"/>
                <w:lang w:val="fr-CH"/>
              </w:rPr>
              <w:t>9</w:t>
            </w:r>
            <w:r w:rsidRPr="003A4A13">
              <w:rPr>
                <w:b/>
                <w:bCs/>
                <w:szCs w:val="28"/>
                <w:lang w:val="fr-CH"/>
              </w:rPr>
              <w:t>/</w:t>
            </w:r>
            <w:bookmarkStart w:id="1" w:name="DocNo1"/>
            <w:bookmarkEnd w:id="1"/>
            <w:r w:rsidR="0005359E" w:rsidRPr="003A4A13">
              <w:rPr>
                <w:b/>
                <w:bCs/>
                <w:szCs w:val="28"/>
                <w:lang w:val="fr-CH"/>
              </w:rPr>
              <w:t>12</w:t>
            </w:r>
            <w:r w:rsidRPr="003A4A13">
              <w:rPr>
                <w:b/>
                <w:bCs/>
                <w:szCs w:val="28"/>
                <w:lang w:val="fr-CH"/>
              </w:rPr>
              <w:t>-F</w:t>
            </w:r>
          </w:p>
        </w:tc>
      </w:tr>
      <w:tr w:rsidR="00683C32" w:rsidRPr="003A4A13" w:rsidTr="000C61E9">
        <w:trPr>
          <w:cantSplit/>
        </w:trPr>
        <w:tc>
          <w:tcPr>
            <w:tcW w:w="7251" w:type="dxa"/>
          </w:tcPr>
          <w:p w:rsidR="00683C32" w:rsidRPr="003A4A13" w:rsidRDefault="00683C32" w:rsidP="00AE6B70">
            <w:pPr>
              <w:spacing w:before="0"/>
              <w:rPr>
                <w:b/>
                <w:bCs/>
                <w:smallCaps/>
                <w:szCs w:val="24"/>
                <w:lang w:val="fr-CH"/>
              </w:rPr>
            </w:pPr>
          </w:p>
        </w:tc>
        <w:tc>
          <w:tcPr>
            <w:tcW w:w="2996" w:type="dxa"/>
          </w:tcPr>
          <w:p w:rsidR="00683C32" w:rsidRPr="003A4A13" w:rsidRDefault="0005359E" w:rsidP="00AE6B70">
            <w:pPr>
              <w:spacing w:before="0"/>
              <w:rPr>
                <w:b/>
                <w:szCs w:val="24"/>
                <w:lang w:val="fr-CH"/>
              </w:rPr>
            </w:pPr>
            <w:bookmarkStart w:id="2" w:name="CreationDate"/>
            <w:bookmarkEnd w:id="2"/>
            <w:r w:rsidRPr="003A4A13">
              <w:rPr>
                <w:b/>
                <w:bCs/>
                <w:szCs w:val="28"/>
                <w:lang w:val="fr-CH"/>
              </w:rPr>
              <w:t xml:space="preserve">6 février </w:t>
            </w:r>
            <w:r w:rsidR="00323587" w:rsidRPr="003A4A13">
              <w:rPr>
                <w:b/>
                <w:bCs/>
                <w:szCs w:val="28"/>
                <w:lang w:val="fr-CH"/>
              </w:rPr>
              <w:t>201</w:t>
            </w:r>
            <w:r w:rsidR="00D87E6C" w:rsidRPr="003A4A13">
              <w:rPr>
                <w:b/>
                <w:bCs/>
                <w:szCs w:val="28"/>
                <w:lang w:val="fr-CH"/>
              </w:rPr>
              <w:t>9</w:t>
            </w:r>
          </w:p>
        </w:tc>
      </w:tr>
      <w:tr w:rsidR="00683C32" w:rsidRPr="003A4A13" w:rsidTr="000C61E9">
        <w:trPr>
          <w:cantSplit/>
        </w:trPr>
        <w:tc>
          <w:tcPr>
            <w:tcW w:w="7251" w:type="dxa"/>
          </w:tcPr>
          <w:p w:rsidR="00683C32" w:rsidRPr="003A4A13" w:rsidRDefault="00683C32" w:rsidP="00AE6B70">
            <w:pPr>
              <w:spacing w:before="0"/>
              <w:rPr>
                <w:b/>
                <w:bCs/>
                <w:smallCaps/>
                <w:szCs w:val="24"/>
                <w:lang w:val="fr-CH"/>
              </w:rPr>
            </w:pPr>
          </w:p>
        </w:tc>
        <w:tc>
          <w:tcPr>
            <w:tcW w:w="2996" w:type="dxa"/>
          </w:tcPr>
          <w:p w:rsidR="00514D2F" w:rsidRPr="003A4A13" w:rsidRDefault="00323587" w:rsidP="00AE6B70">
            <w:pPr>
              <w:spacing w:before="0"/>
              <w:rPr>
                <w:szCs w:val="24"/>
                <w:lang w:val="fr-CH"/>
              </w:rPr>
            </w:pPr>
            <w:r w:rsidRPr="003A4A13">
              <w:rPr>
                <w:b/>
                <w:szCs w:val="28"/>
                <w:lang w:val="fr-CH"/>
              </w:rPr>
              <w:t>Original:</w:t>
            </w:r>
            <w:bookmarkStart w:id="3" w:name="Original"/>
            <w:bookmarkEnd w:id="3"/>
            <w:r w:rsidR="0005359E" w:rsidRPr="003A4A13">
              <w:rPr>
                <w:b/>
                <w:szCs w:val="28"/>
                <w:lang w:val="fr-CH"/>
              </w:rPr>
              <w:t xml:space="preserve"> anglais</w:t>
            </w:r>
          </w:p>
        </w:tc>
      </w:tr>
      <w:tr w:rsidR="00A13162" w:rsidRPr="003A4A13" w:rsidTr="000C61E9">
        <w:trPr>
          <w:cantSplit/>
          <w:trHeight w:val="852"/>
        </w:trPr>
        <w:tc>
          <w:tcPr>
            <w:tcW w:w="10247" w:type="dxa"/>
            <w:gridSpan w:val="2"/>
          </w:tcPr>
          <w:p w:rsidR="00A13162" w:rsidRPr="003A4A13" w:rsidRDefault="0005359E" w:rsidP="00AE6B70">
            <w:pPr>
              <w:pStyle w:val="Source"/>
              <w:rPr>
                <w:lang w:val="fr-CH"/>
              </w:rPr>
            </w:pPr>
            <w:bookmarkStart w:id="4" w:name="Source"/>
            <w:bookmarkEnd w:id="4"/>
            <w:r w:rsidRPr="003A4A13">
              <w:rPr>
                <w:lang w:val="fr-CH"/>
              </w:rPr>
              <w:t>Présidente de la Commission d</w:t>
            </w:r>
            <w:r w:rsidR="00B47AFA" w:rsidRPr="003A4A13">
              <w:rPr>
                <w:lang w:val="fr-CH"/>
              </w:rPr>
              <w:t>'</w:t>
            </w:r>
            <w:r w:rsidRPr="003A4A13">
              <w:rPr>
                <w:lang w:val="fr-CH"/>
              </w:rPr>
              <w:t>études 1 de l</w:t>
            </w:r>
            <w:r w:rsidR="00B47AFA" w:rsidRPr="003A4A13">
              <w:rPr>
                <w:lang w:val="fr-CH"/>
              </w:rPr>
              <w:t>'</w:t>
            </w:r>
            <w:r w:rsidRPr="003A4A13">
              <w:rPr>
                <w:lang w:val="fr-CH"/>
              </w:rPr>
              <w:t>UIT-D</w:t>
            </w:r>
          </w:p>
        </w:tc>
      </w:tr>
      <w:tr w:rsidR="00AC6F14" w:rsidRPr="003A4A13" w:rsidTr="000C61E9">
        <w:trPr>
          <w:cantSplit/>
        </w:trPr>
        <w:tc>
          <w:tcPr>
            <w:tcW w:w="10247" w:type="dxa"/>
            <w:gridSpan w:val="2"/>
          </w:tcPr>
          <w:p w:rsidR="00AC6F14" w:rsidRPr="003A4A13" w:rsidRDefault="0005359E" w:rsidP="00AE6B70">
            <w:pPr>
              <w:pStyle w:val="Title1"/>
              <w:rPr>
                <w:lang w:val="fr-CH"/>
              </w:rPr>
            </w:pPr>
            <w:bookmarkStart w:id="5" w:name="Title"/>
            <w:bookmarkEnd w:id="5"/>
            <w:r w:rsidRPr="003A4A13">
              <w:rPr>
                <w:lang w:val="fr-CH"/>
              </w:rPr>
              <w:t>COMMISSION D</w:t>
            </w:r>
            <w:r w:rsidR="00B47AFA" w:rsidRPr="003A4A13">
              <w:rPr>
                <w:lang w:val="fr-CH"/>
              </w:rPr>
              <w:t>'</w:t>
            </w:r>
            <w:r w:rsidRPr="003A4A13">
              <w:rPr>
                <w:lang w:val="fr-CH"/>
              </w:rPr>
              <w:t>ÉTUDES 1 DE L</w:t>
            </w:r>
            <w:r w:rsidR="00B47AFA" w:rsidRPr="003A4A13">
              <w:rPr>
                <w:lang w:val="fr-CH"/>
              </w:rPr>
              <w:t>'</w:t>
            </w:r>
            <w:r w:rsidRPr="003A4A13">
              <w:rPr>
                <w:lang w:val="fr-CH"/>
              </w:rPr>
              <w:t xml:space="preserve">UIT-D – ACTIVITÉS ET </w:t>
            </w:r>
            <w:r w:rsidR="00AE6B70" w:rsidRPr="003A4A13">
              <w:rPr>
                <w:lang w:val="fr-CH"/>
              </w:rPr>
              <w:t>AVANCEMENT DES TRAVAUX</w:t>
            </w:r>
          </w:p>
        </w:tc>
      </w:tr>
      <w:tr w:rsidR="00A721F4" w:rsidRPr="003A4A13" w:rsidTr="000C61E9">
        <w:trPr>
          <w:cantSplit/>
        </w:trPr>
        <w:tc>
          <w:tcPr>
            <w:tcW w:w="10247" w:type="dxa"/>
            <w:gridSpan w:val="2"/>
            <w:tcBorders>
              <w:bottom w:val="single" w:sz="4" w:space="0" w:color="auto"/>
            </w:tcBorders>
          </w:tcPr>
          <w:p w:rsidR="00A721F4" w:rsidRPr="003A4A13" w:rsidRDefault="00A721F4" w:rsidP="00AE6B70">
            <w:pPr>
              <w:rPr>
                <w:lang w:val="fr-CH"/>
              </w:rPr>
            </w:pPr>
          </w:p>
        </w:tc>
      </w:tr>
      <w:tr w:rsidR="00A721F4" w:rsidRPr="00A50DBE"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3A4A13" w:rsidRDefault="00156BF6" w:rsidP="00AE6B70">
            <w:pPr>
              <w:rPr>
                <w:b/>
                <w:bCs/>
                <w:szCs w:val="24"/>
                <w:lang w:val="fr-CH"/>
              </w:rPr>
            </w:pPr>
            <w:r w:rsidRPr="003A4A13">
              <w:rPr>
                <w:b/>
                <w:bCs/>
                <w:szCs w:val="24"/>
                <w:lang w:val="fr-CH"/>
              </w:rPr>
              <w:t>Résumé:</w:t>
            </w:r>
          </w:p>
          <w:p w:rsidR="0005359E" w:rsidRPr="003A4A13" w:rsidRDefault="00AB511D" w:rsidP="00AE6B70">
            <w:pPr>
              <w:rPr>
                <w:color w:val="000000"/>
                <w:lang w:val="fr-CH"/>
              </w:rPr>
            </w:pPr>
            <w:r w:rsidRPr="003A4A13">
              <w:rPr>
                <w:color w:val="000000"/>
                <w:lang w:val="fr-CH"/>
              </w:rPr>
              <w:t>Le</w:t>
            </w:r>
            <w:r w:rsidR="00AE6B70" w:rsidRPr="003A4A13">
              <w:rPr>
                <w:color w:val="000000"/>
                <w:lang w:val="fr-CH"/>
              </w:rPr>
              <w:t xml:space="preserve"> GCDT trouvera dans l</w:t>
            </w:r>
            <w:r w:rsidR="0005359E" w:rsidRPr="003A4A13">
              <w:rPr>
                <w:color w:val="000000"/>
                <w:lang w:val="fr-CH"/>
              </w:rPr>
              <w:t xml:space="preserve">e présent document </w:t>
            </w:r>
            <w:r w:rsidR="00AE6B70" w:rsidRPr="003A4A13">
              <w:rPr>
                <w:color w:val="000000"/>
                <w:lang w:val="fr-CH"/>
              </w:rPr>
              <w:t>l</w:t>
            </w:r>
            <w:r w:rsidR="00B47AFA" w:rsidRPr="003A4A13">
              <w:rPr>
                <w:color w:val="000000"/>
                <w:lang w:val="fr-CH"/>
              </w:rPr>
              <w:t>'</w:t>
            </w:r>
            <w:r w:rsidR="00AE6B70" w:rsidRPr="003A4A13">
              <w:rPr>
                <w:color w:val="000000"/>
                <w:lang w:val="fr-CH"/>
              </w:rPr>
              <w:t>état d</w:t>
            </w:r>
            <w:r w:rsidR="00B47AFA" w:rsidRPr="003A4A13">
              <w:rPr>
                <w:color w:val="000000"/>
                <w:lang w:val="fr-CH"/>
              </w:rPr>
              <w:t>'</w:t>
            </w:r>
            <w:r w:rsidR="00AE6B70" w:rsidRPr="003A4A13">
              <w:rPr>
                <w:color w:val="000000"/>
                <w:lang w:val="fr-CH"/>
              </w:rPr>
              <w:t>avancement des travaux</w:t>
            </w:r>
            <w:r w:rsidR="0005359E" w:rsidRPr="003A4A13">
              <w:rPr>
                <w:color w:val="000000"/>
                <w:lang w:val="fr-CH"/>
              </w:rPr>
              <w:t xml:space="preserve"> de la Commission d</w:t>
            </w:r>
            <w:r w:rsidR="00B47AFA" w:rsidRPr="003A4A13">
              <w:rPr>
                <w:color w:val="000000"/>
                <w:lang w:val="fr-CH"/>
              </w:rPr>
              <w:t>'</w:t>
            </w:r>
            <w:r w:rsidR="0005359E" w:rsidRPr="003A4A13">
              <w:rPr>
                <w:color w:val="000000"/>
                <w:lang w:val="fr-CH"/>
              </w:rPr>
              <w:t>études 1 de l</w:t>
            </w:r>
            <w:r w:rsidR="00B47AFA" w:rsidRPr="003A4A13">
              <w:rPr>
                <w:color w:val="000000"/>
                <w:lang w:val="fr-CH"/>
              </w:rPr>
              <w:t>'</w:t>
            </w:r>
            <w:r w:rsidR="0005359E" w:rsidRPr="003A4A13">
              <w:rPr>
                <w:color w:val="000000"/>
                <w:lang w:val="fr-CH"/>
              </w:rPr>
              <w:t>UIT-D</w:t>
            </w:r>
            <w:r w:rsidR="00AE6B70" w:rsidRPr="003A4A13">
              <w:rPr>
                <w:color w:val="000000"/>
                <w:lang w:val="fr-CH"/>
              </w:rPr>
              <w:t>,</w:t>
            </w:r>
            <w:r w:rsidR="0005359E" w:rsidRPr="003A4A13">
              <w:rPr>
                <w:color w:val="000000"/>
                <w:lang w:val="fr-CH"/>
              </w:rPr>
              <w:t xml:space="preserve"> </w:t>
            </w:r>
            <w:r w:rsidR="00AE6B70" w:rsidRPr="003A4A13">
              <w:rPr>
                <w:color w:val="000000"/>
                <w:lang w:val="fr-CH"/>
              </w:rPr>
              <w:t>ainsi que certains des principaux points à retenir</w:t>
            </w:r>
            <w:r w:rsidR="0005359E" w:rsidRPr="003A4A13">
              <w:rPr>
                <w:color w:val="000000"/>
                <w:lang w:val="fr-CH"/>
              </w:rPr>
              <w:t xml:space="preserve"> de la </w:t>
            </w:r>
            <w:r w:rsidR="00577FB2" w:rsidRPr="003A4A13">
              <w:rPr>
                <w:color w:val="000000"/>
                <w:lang w:val="fr-CH"/>
              </w:rPr>
              <w:t>première</w:t>
            </w:r>
            <w:r w:rsidR="00A50DBE">
              <w:rPr>
                <w:color w:val="000000"/>
                <w:lang w:val="fr-CH"/>
              </w:rPr>
              <w:t xml:space="preserve"> réunion de la </w:t>
            </w:r>
            <w:r w:rsidR="0005359E" w:rsidRPr="003A4A13">
              <w:rPr>
                <w:color w:val="000000"/>
                <w:lang w:val="fr-CH"/>
              </w:rPr>
              <w:t>CE 1 pour la période d</w:t>
            </w:r>
            <w:r w:rsidR="00B47AFA" w:rsidRPr="003A4A13">
              <w:rPr>
                <w:color w:val="000000"/>
                <w:lang w:val="fr-CH"/>
              </w:rPr>
              <w:t>'</w:t>
            </w:r>
            <w:r w:rsidR="0005359E" w:rsidRPr="003A4A13">
              <w:rPr>
                <w:color w:val="000000"/>
                <w:lang w:val="fr-CH"/>
              </w:rPr>
              <w:t>études 201</w:t>
            </w:r>
            <w:r w:rsidR="00577FB2" w:rsidRPr="003A4A13">
              <w:rPr>
                <w:color w:val="000000"/>
                <w:lang w:val="fr-CH"/>
              </w:rPr>
              <w:t>8</w:t>
            </w:r>
            <w:r w:rsidR="0005359E" w:rsidRPr="003A4A13">
              <w:rPr>
                <w:color w:val="000000"/>
                <w:lang w:val="fr-CH"/>
              </w:rPr>
              <w:t>-20</w:t>
            </w:r>
            <w:r w:rsidR="00577FB2" w:rsidRPr="003A4A13">
              <w:rPr>
                <w:color w:val="000000"/>
                <w:lang w:val="fr-CH"/>
              </w:rPr>
              <w:t>21</w:t>
            </w:r>
            <w:r w:rsidR="0005359E" w:rsidRPr="003A4A13">
              <w:rPr>
                <w:color w:val="000000"/>
                <w:lang w:val="fr-CH"/>
              </w:rPr>
              <w:t xml:space="preserve"> tenue </w:t>
            </w:r>
            <w:r w:rsidR="00577FB2" w:rsidRPr="003A4A13">
              <w:rPr>
                <w:color w:val="000000"/>
                <w:lang w:val="fr-CH"/>
              </w:rPr>
              <w:t>du 30 avril au 4 mai 2018 et des réunions des Groupes du Rapporteur qui ont lieu du 17 au 28 septembre</w:t>
            </w:r>
            <w:r w:rsidR="0005359E" w:rsidRPr="003A4A13">
              <w:rPr>
                <w:color w:val="000000"/>
                <w:lang w:val="fr-CH"/>
              </w:rPr>
              <w:t>, ainsi qu</w:t>
            </w:r>
            <w:r w:rsidR="00B47AFA" w:rsidRPr="003A4A13">
              <w:rPr>
                <w:color w:val="000000"/>
                <w:lang w:val="fr-CH"/>
              </w:rPr>
              <w:t>'</w:t>
            </w:r>
            <w:r w:rsidR="0005359E" w:rsidRPr="003A4A13">
              <w:rPr>
                <w:color w:val="000000"/>
                <w:lang w:val="fr-CH"/>
              </w:rPr>
              <w:t xml:space="preserve">un examen du programme de travail. </w:t>
            </w:r>
          </w:p>
          <w:p w:rsidR="00A721F4" w:rsidRPr="003A4A13" w:rsidRDefault="0005359E" w:rsidP="00AE6B70">
            <w:pPr>
              <w:rPr>
                <w:szCs w:val="24"/>
                <w:lang w:val="fr-CH"/>
              </w:rPr>
            </w:pPr>
            <w:r w:rsidRPr="003A4A13">
              <w:rPr>
                <w:color w:val="000000"/>
                <w:lang w:val="fr-CH"/>
              </w:rPr>
              <w:t>Il est à noter que les trav</w:t>
            </w:r>
            <w:r w:rsidR="00AE6B70" w:rsidRPr="003A4A13">
              <w:rPr>
                <w:color w:val="000000"/>
                <w:lang w:val="fr-CH"/>
              </w:rPr>
              <w:t>aux des Groupes du Rapporteur s</w:t>
            </w:r>
            <w:r w:rsidRPr="003A4A13">
              <w:rPr>
                <w:color w:val="000000"/>
                <w:lang w:val="fr-CH"/>
              </w:rPr>
              <w:t xml:space="preserve">ur les </w:t>
            </w:r>
            <w:r w:rsidR="00577FB2" w:rsidRPr="003A4A13">
              <w:rPr>
                <w:color w:val="000000"/>
                <w:lang w:val="fr-CH"/>
              </w:rPr>
              <w:t>sept</w:t>
            </w:r>
            <w:r w:rsidR="00AE6B70" w:rsidRPr="003A4A13">
              <w:rPr>
                <w:color w:val="000000"/>
                <w:lang w:val="fr-CH"/>
              </w:rPr>
              <w:t xml:space="preserve"> Questions confiées à</w:t>
            </w:r>
            <w:r w:rsidRPr="003A4A13">
              <w:rPr>
                <w:color w:val="000000"/>
                <w:lang w:val="fr-CH"/>
              </w:rPr>
              <w:t xml:space="preserve"> la CE 1 progressent de manière satisfaisante </w:t>
            </w:r>
            <w:r w:rsidR="00577FB2" w:rsidRPr="003A4A13">
              <w:rPr>
                <w:color w:val="000000"/>
                <w:lang w:val="fr-CH"/>
              </w:rPr>
              <w:t>vers</w:t>
            </w:r>
            <w:r w:rsidRPr="003A4A13">
              <w:rPr>
                <w:color w:val="000000"/>
                <w:lang w:val="fr-CH"/>
              </w:rPr>
              <w:t xml:space="preserve"> les résultats escomptés</w:t>
            </w:r>
            <w:r w:rsidR="00577FB2" w:rsidRPr="003A4A13">
              <w:rPr>
                <w:color w:val="000000"/>
                <w:lang w:val="fr-CH"/>
              </w:rPr>
              <w:t xml:space="preserve"> définis par</w:t>
            </w:r>
            <w:r w:rsidR="00AE6B70" w:rsidRPr="003A4A13">
              <w:rPr>
                <w:color w:val="000000"/>
                <w:lang w:val="fr-CH"/>
              </w:rPr>
              <w:t xml:space="preserve"> </w:t>
            </w:r>
            <w:r w:rsidR="00577FB2" w:rsidRPr="003A4A13">
              <w:rPr>
                <w:color w:val="000000"/>
                <w:lang w:val="fr-CH"/>
              </w:rPr>
              <w:t>la CMDT</w:t>
            </w:r>
            <w:r w:rsidRPr="003A4A13">
              <w:rPr>
                <w:color w:val="000000"/>
                <w:lang w:val="fr-CH"/>
              </w:rPr>
              <w:t>.</w:t>
            </w:r>
          </w:p>
          <w:p w:rsidR="00A721F4" w:rsidRPr="003A4A13" w:rsidRDefault="00156BF6" w:rsidP="00AE6B70">
            <w:pPr>
              <w:rPr>
                <w:b/>
                <w:bCs/>
                <w:szCs w:val="24"/>
                <w:lang w:val="fr-CH"/>
              </w:rPr>
            </w:pPr>
            <w:r w:rsidRPr="003A4A13">
              <w:rPr>
                <w:b/>
                <w:bCs/>
                <w:szCs w:val="24"/>
                <w:lang w:val="fr-CH"/>
              </w:rPr>
              <w:t>Suite à donner:</w:t>
            </w:r>
          </w:p>
          <w:p w:rsidR="00A721F4" w:rsidRPr="003A4A13" w:rsidRDefault="0005359E" w:rsidP="00AE6B70">
            <w:pPr>
              <w:rPr>
                <w:szCs w:val="24"/>
                <w:lang w:val="fr-CH"/>
              </w:rPr>
            </w:pPr>
            <w:r w:rsidRPr="003A4A13">
              <w:rPr>
                <w:lang w:val="fr-CH"/>
              </w:rPr>
              <w:t xml:space="preserve">Le GCDT est invité à prendre note du présent </w:t>
            </w:r>
            <w:r w:rsidR="00577FB2" w:rsidRPr="003A4A13">
              <w:rPr>
                <w:lang w:val="fr-CH"/>
              </w:rPr>
              <w:t>document</w:t>
            </w:r>
            <w:r w:rsidRPr="003A4A13">
              <w:rPr>
                <w:lang w:val="fr-CH"/>
              </w:rPr>
              <w:t xml:space="preserve"> et à </w:t>
            </w:r>
            <w:r w:rsidR="00AE6B70" w:rsidRPr="003A4A13">
              <w:rPr>
                <w:lang w:val="fr-CH"/>
              </w:rPr>
              <w:t>donner les instructions</w:t>
            </w:r>
            <w:r w:rsidRPr="003A4A13">
              <w:rPr>
                <w:lang w:val="fr-CH"/>
              </w:rPr>
              <w:t xml:space="preserve"> qu</w:t>
            </w:r>
            <w:r w:rsidR="00B47AFA" w:rsidRPr="003A4A13">
              <w:rPr>
                <w:lang w:val="fr-CH"/>
              </w:rPr>
              <w:t>'</w:t>
            </w:r>
            <w:r w:rsidRPr="003A4A13">
              <w:rPr>
                <w:lang w:val="fr-CH"/>
              </w:rPr>
              <w:t>il jugera nécessaires.</w:t>
            </w:r>
          </w:p>
          <w:p w:rsidR="00A721F4" w:rsidRPr="003A4A13" w:rsidRDefault="00156BF6" w:rsidP="00AE6B70">
            <w:pPr>
              <w:rPr>
                <w:b/>
                <w:bCs/>
                <w:szCs w:val="24"/>
                <w:lang w:val="fr-CH"/>
              </w:rPr>
            </w:pPr>
            <w:r w:rsidRPr="003A4A13">
              <w:rPr>
                <w:b/>
                <w:bCs/>
                <w:szCs w:val="24"/>
                <w:lang w:val="fr-CH"/>
              </w:rPr>
              <w:t>Références:</w:t>
            </w:r>
          </w:p>
          <w:p w:rsidR="00A721F4" w:rsidRPr="00A50DBE" w:rsidRDefault="00A50DBE" w:rsidP="00A50DBE">
            <w:pPr>
              <w:spacing w:after="120"/>
              <w:rPr>
                <w:lang w:val="fr-CH"/>
              </w:rPr>
            </w:pPr>
            <w:r>
              <w:rPr>
                <w:lang w:val="fr-CH"/>
              </w:rPr>
              <w:t>Résolution 2 (Rév.</w:t>
            </w:r>
            <w:r w:rsidR="0005359E" w:rsidRPr="003A4A13">
              <w:rPr>
                <w:lang w:val="fr-CH"/>
              </w:rPr>
              <w:t>Buenos Aires, 2017)</w:t>
            </w:r>
            <w:r w:rsidR="00577FB2" w:rsidRPr="003A4A13">
              <w:rPr>
                <w:lang w:val="fr-CH"/>
              </w:rPr>
              <w:t xml:space="preserve"> et</w:t>
            </w:r>
            <w:r>
              <w:rPr>
                <w:lang w:val="fr-CH"/>
              </w:rPr>
              <w:t xml:space="preserve"> Résolution 1 (Rév.</w:t>
            </w:r>
            <w:r w:rsidR="0005359E" w:rsidRPr="00A50DBE">
              <w:rPr>
                <w:lang w:val="fr-CH"/>
              </w:rPr>
              <w:t>Buenos Aires, 2017)</w:t>
            </w:r>
            <w:r w:rsidR="00577FB2" w:rsidRPr="00A50DBE">
              <w:rPr>
                <w:lang w:val="fr-CH"/>
              </w:rPr>
              <w:t xml:space="preserve"> de la CMDT</w:t>
            </w:r>
          </w:p>
        </w:tc>
      </w:tr>
    </w:tbl>
    <w:p w:rsidR="0005359E" w:rsidRPr="00A50DBE" w:rsidRDefault="0005359E" w:rsidP="00AE6B70">
      <w:pPr>
        <w:tabs>
          <w:tab w:val="clear" w:pos="794"/>
          <w:tab w:val="clear" w:pos="1191"/>
          <w:tab w:val="clear" w:pos="1588"/>
          <w:tab w:val="clear" w:pos="1985"/>
        </w:tabs>
        <w:overflowPunct/>
        <w:autoSpaceDE/>
        <w:autoSpaceDN/>
        <w:adjustRightInd/>
        <w:spacing w:before="0"/>
        <w:textAlignment w:val="auto"/>
        <w:rPr>
          <w:lang w:val="fr-CH"/>
        </w:rPr>
      </w:pPr>
      <w:bookmarkStart w:id="6" w:name="Proposal"/>
      <w:bookmarkEnd w:id="6"/>
      <w:r w:rsidRPr="00A50DBE">
        <w:rPr>
          <w:lang w:val="fr-CH"/>
        </w:rPr>
        <w:br w:type="page"/>
      </w:r>
    </w:p>
    <w:p w:rsidR="00836BDB" w:rsidRPr="003A4A13" w:rsidRDefault="004206C6" w:rsidP="00AE6B70">
      <w:pPr>
        <w:pStyle w:val="Heading1"/>
        <w:rPr>
          <w:lang w:val="fr-CH"/>
        </w:rPr>
      </w:pPr>
      <w:r w:rsidRPr="003A4A13">
        <w:rPr>
          <w:lang w:val="fr-CH"/>
        </w:rPr>
        <w:lastRenderedPageBreak/>
        <w:t>1</w:t>
      </w:r>
      <w:r w:rsidRPr="003A4A13">
        <w:rPr>
          <w:lang w:val="fr-CH"/>
        </w:rPr>
        <w:tab/>
      </w:r>
      <w:r w:rsidR="006A35CA" w:rsidRPr="003A4A13">
        <w:rPr>
          <w:lang w:val="fr-CH"/>
        </w:rPr>
        <w:t>Principaux résultats</w:t>
      </w:r>
    </w:p>
    <w:p w:rsidR="004206C6" w:rsidRPr="003A4A13" w:rsidRDefault="006A35CA" w:rsidP="00647785">
      <w:pPr>
        <w:rPr>
          <w:lang w:val="fr-CH"/>
        </w:rPr>
      </w:pPr>
      <w:r w:rsidRPr="003A4A13">
        <w:rPr>
          <w:lang w:val="fr-CH"/>
        </w:rPr>
        <w:t>La Commission d</w:t>
      </w:r>
      <w:r w:rsidR="00B47AFA" w:rsidRPr="003A4A13">
        <w:rPr>
          <w:lang w:val="fr-CH"/>
        </w:rPr>
        <w:t>'</w:t>
      </w:r>
      <w:r w:rsidRPr="003A4A13">
        <w:rPr>
          <w:lang w:val="fr-CH"/>
        </w:rPr>
        <w:t xml:space="preserve">études 1 (CE 1) </w:t>
      </w:r>
      <w:r w:rsidR="00647785" w:rsidRPr="003A4A13">
        <w:rPr>
          <w:lang w:val="fr-CH"/>
        </w:rPr>
        <w:t>de l</w:t>
      </w:r>
      <w:r w:rsidR="00B47AFA" w:rsidRPr="003A4A13">
        <w:rPr>
          <w:lang w:val="fr-CH"/>
        </w:rPr>
        <w:t>'</w:t>
      </w:r>
      <w:r w:rsidR="00647785" w:rsidRPr="003A4A13">
        <w:rPr>
          <w:lang w:val="fr-CH"/>
        </w:rPr>
        <w:t>UIT</w:t>
      </w:r>
      <w:r w:rsidR="00647785" w:rsidRPr="003A4A13">
        <w:rPr>
          <w:lang w:val="fr-CH"/>
        </w:rPr>
        <w:noBreakHyphen/>
        <w:t xml:space="preserve">D </w:t>
      </w:r>
      <w:r w:rsidRPr="003A4A13">
        <w:rPr>
          <w:lang w:val="fr-CH"/>
        </w:rPr>
        <w:t xml:space="preserve">examine </w:t>
      </w:r>
      <w:r w:rsidR="004206C6" w:rsidRPr="003A4A13">
        <w:rPr>
          <w:lang w:val="fr-CH"/>
        </w:rPr>
        <w:t>les questions relatives à la mise en place d</w:t>
      </w:r>
      <w:r w:rsidR="00B47AFA" w:rsidRPr="003A4A13">
        <w:rPr>
          <w:lang w:val="fr-CH"/>
        </w:rPr>
        <w:t>'</w:t>
      </w:r>
      <w:r w:rsidR="004206C6" w:rsidRPr="003A4A13">
        <w:rPr>
          <w:lang w:val="fr-CH"/>
        </w:rPr>
        <w:t xml:space="preserve">un environnement propice pour le développement des télécommunications/TIC. A ce titre, </w:t>
      </w:r>
      <w:r w:rsidR="00647785" w:rsidRPr="003A4A13">
        <w:rPr>
          <w:lang w:val="fr-CH"/>
        </w:rPr>
        <w:t>elle</w:t>
      </w:r>
      <w:r w:rsidR="004206C6" w:rsidRPr="003A4A13">
        <w:rPr>
          <w:lang w:val="fr-CH"/>
        </w:rPr>
        <w:t xml:space="preserve"> est responsable de sept sujets de fond, qui incluent l</w:t>
      </w:r>
      <w:r w:rsidR="00B47AFA" w:rsidRPr="003A4A13">
        <w:rPr>
          <w:lang w:val="fr-CH"/>
        </w:rPr>
        <w:t>'</w:t>
      </w:r>
      <w:r w:rsidR="004206C6" w:rsidRPr="003A4A13">
        <w:rPr>
          <w:lang w:val="fr-CH"/>
        </w:rPr>
        <w:t>élaboration des politiques, des réglementations, des techniques et des stratégies nationales de télécommunication/TIC les mieux à même de permettre aux pays de tirer parti de l</w:t>
      </w:r>
      <w:r w:rsidR="00B47AFA" w:rsidRPr="003A4A13">
        <w:rPr>
          <w:lang w:val="fr-CH"/>
        </w:rPr>
        <w:t>'</w:t>
      </w:r>
      <w:r w:rsidR="004206C6" w:rsidRPr="003A4A13">
        <w:rPr>
          <w:lang w:val="fr-CH"/>
        </w:rPr>
        <w:t>élan imprimé par les télécommunications/TIC, l</w:t>
      </w:r>
      <w:r w:rsidR="00B47AFA" w:rsidRPr="003A4A13">
        <w:rPr>
          <w:lang w:val="fr-CH"/>
        </w:rPr>
        <w:t>'</w:t>
      </w:r>
      <w:r w:rsidR="004206C6" w:rsidRPr="003A4A13">
        <w:rPr>
          <w:lang w:val="fr-CH"/>
        </w:rPr>
        <w:t xml:space="preserve">accès aux télécommunications/TIC dans les zones rurales et isolées et les politiques économiques et les méthodes de détermination des coûts des services relatifs aux télécommunications/TIC nationales. La CE 1 étudie également les questions relatives </w:t>
      </w:r>
      <w:r w:rsidR="00647785" w:rsidRPr="003A4A13">
        <w:rPr>
          <w:lang w:val="fr-CH"/>
        </w:rPr>
        <w:t>au passage à</w:t>
      </w:r>
      <w:r w:rsidR="004206C6" w:rsidRPr="003A4A13">
        <w:rPr>
          <w:lang w:val="fr-CH"/>
        </w:rPr>
        <w:t xml:space="preserve"> la radiodiffusion numérique et à son adoption</w:t>
      </w:r>
      <w:r w:rsidR="00647785" w:rsidRPr="003A4A13">
        <w:rPr>
          <w:lang w:val="fr-CH"/>
        </w:rPr>
        <w:t>,</w:t>
      </w:r>
      <w:r w:rsidR="004206C6" w:rsidRPr="003A4A13">
        <w:rPr>
          <w:lang w:val="fr-CH"/>
        </w:rPr>
        <w:t xml:space="preserve"> ainsi qu</w:t>
      </w:r>
      <w:r w:rsidR="00B47AFA" w:rsidRPr="003A4A13">
        <w:rPr>
          <w:lang w:val="fr-CH"/>
        </w:rPr>
        <w:t>'</w:t>
      </w:r>
      <w:r w:rsidR="004206C6" w:rsidRPr="003A4A13">
        <w:rPr>
          <w:lang w:val="fr-CH"/>
        </w:rPr>
        <w:t>à la mise en oeuvre de nouveaux services, à la protection des consommateurs et à l</w:t>
      </w:r>
      <w:r w:rsidR="00B47AFA" w:rsidRPr="003A4A13">
        <w:rPr>
          <w:lang w:val="fr-CH"/>
        </w:rPr>
        <w:t>'</w:t>
      </w:r>
      <w:r w:rsidR="004206C6" w:rsidRPr="003A4A13">
        <w:rPr>
          <w:lang w:val="fr-CH"/>
        </w:rPr>
        <w:t>accès des personnes handicapées et des autres personnes ayant des besoins particuliers aux services de télécommunication/TIC.</w:t>
      </w:r>
    </w:p>
    <w:p w:rsidR="00EF65E3" w:rsidRPr="003A4A13" w:rsidRDefault="00EF65E3" w:rsidP="00C46A07">
      <w:pPr>
        <w:rPr>
          <w:lang w:val="fr-CH"/>
        </w:rPr>
      </w:pPr>
      <w:r w:rsidRPr="003A4A13">
        <w:rPr>
          <w:lang w:val="fr-CH"/>
        </w:rPr>
        <w:t xml:space="preserve">Les principaux </w:t>
      </w:r>
      <w:r w:rsidR="00647785" w:rsidRPr="003A4A13">
        <w:rPr>
          <w:lang w:val="fr-CH"/>
        </w:rPr>
        <w:t>points à retenir</w:t>
      </w:r>
      <w:r w:rsidRPr="003A4A13">
        <w:rPr>
          <w:lang w:val="fr-CH"/>
        </w:rPr>
        <w:t xml:space="preserve"> de la première réunion de la CE 1 pour la période d</w:t>
      </w:r>
      <w:r w:rsidR="00B47AFA" w:rsidRPr="003A4A13">
        <w:rPr>
          <w:lang w:val="fr-CH"/>
        </w:rPr>
        <w:t>'</w:t>
      </w:r>
      <w:r w:rsidRPr="003A4A13">
        <w:rPr>
          <w:lang w:val="fr-CH"/>
        </w:rPr>
        <w:t>études</w:t>
      </w:r>
      <w:r w:rsidR="00C46A07" w:rsidRPr="003A4A13">
        <w:rPr>
          <w:lang w:val="fr-CH"/>
        </w:rPr>
        <w:t> </w:t>
      </w:r>
      <w:r w:rsidRPr="003A4A13">
        <w:rPr>
          <w:lang w:val="fr-CH"/>
        </w:rPr>
        <w:t>2018</w:t>
      </w:r>
      <w:r w:rsidR="00647785" w:rsidRPr="003A4A13">
        <w:rPr>
          <w:lang w:val="fr-CH"/>
        </w:rPr>
        <w:noBreakHyphen/>
      </w:r>
      <w:r w:rsidRPr="003A4A13">
        <w:rPr>
          <w:lang w:val="fr-CH"/>
        </w:rPr>
        <w:t>2021 sont les suivants:</w:t>
      </w:r>
    </w:p>
    <w:p w:rsidR="007E5DB1" w:rsidRPr="003A4A13" w:rsidRDefault="007E5DB1" w:rsidP="00AE6B70">
      <w:pPr>
        <w:pStyle w:val="enumlev1"/>
        <w:rPr>
          <w:lang w:val="fr-CH"/>
        </w:rPr>
      </w:pPr>
      <w:r w:rsidRPr="003A4A13">
        <w:rPr>
          <w:lang w:val="fr-CH"/>
        </w:rPr>
        <w:t>–</w:t>
      </w:r>
      <w:r w:rsidRPr="003A4A13">
        <w:rPr>
          <w:lang w:val="fr-CH"/>
        </w:rPr>
        <w:tab/>
      </w:r>
      <w:r w:rsidR="00887866" w:rsidRPr="003A4A13">
        <w:rPr>
          <w:lang w:val="fr-CH"/>
        </w:rPr>
        <w:t>131 participants de 57 Etats Membres</w:t>
      </w:r>
      <w:r w:rsidR="00647785" w:rsidRPr="003A4A13">
        <w:rPr>
          <w:lang w:val="fr-CH"/>
        </w:rPr>
        <w:t xml:space="preserve"> ont pris part à la réunion</w:t>
      </w:r>
      <w:r w:rsidR="00393C63" w:rsidRPr="003A4A13">
        <w:rPr>
          <w:lang w:val="fr-CH"/>
        </w:rPr>
        <w:t>.</w:t>
      </w:r>
    </w:p>
    <w:p w:rsidR="007E5DB1" w:rsidRPr="003A4A13" w:rsidRDefault="007E5DB1" w:rsidP="00AB511D">
      <w:pPr>
        <w:pStyle w:val="enumlev1"/>
        <w:rPr>
          <w:lang w:val="fr-CH"/>
        </w:rPr>
      </w:pPr>
      <w:r w:rsidRPr="003A4A13">
        <w:rPr>
          <w:lang w:val="fr-CH"/>
        </w:rPr>
        <w:t>–</w:t>
      </w:r>
      <w:r w:rsidRPr="003A4A13">
        <w:rPr>
          <w:lang w:val="fr-CH"/>
        </w:rPr>
        <w:tab/>
        <w:t xml:space="preserve">9 Rapporteurs/Corapporteurs et 71 Vice-Rapporteurs </w:t>
      </w:r>
      <w:r w:rsidR="00647785" w:rsidRPr="003A4A13">
        <w:rPr>
          <w:lang w:val="fr-CH"/>
        </w:rPr>
        <w:t xml:space="preserve">ont été nommés </w:t>
      </w:r>
      <w:r w:rsidRPr="003A4A13">
        <w:rPr>
          <w:lang w:val="fr-CH"/>
        </w:rPr>
        <w:t>pour diriger les travaux menés au titre des Questions à l</w:t>
      </w:r>
      <w:r w:rsidR="00B47AFA" w:rsidRPr="003A4A13">
        <w:rPr>
          <w:lang w:val="fr-CH"/>
        </w:rPr>
        <w:t>'</w:t>
      </w:r>
      <w:r w:rsidR="00393C63" w:rsidRPr="003A4A13">
        <w:rPr>
          <w:lang w:val="fr-CH"/>
        </w:rPr>
        <w:t>étude.</w:t>
      </w:r>
    </w:p>
    <w:p w:rsidR="007E5DB1" w:rsidRPr="003A4A13" w:rsidRDefault="007E5DB1" w:rsidP="00393C63">
      <w:pPr>
        <w:pStyle w:val="enumlev1"/>
        <w:rPr>
          <w:lang w:val="fr-CH"/>
        </w:rPr>
      </w:pPr>
      <w:r w:rsidRPr="003A4A13">
        <w:rPr>
          <w:lang w:val="fr-CH"/>
        </w:rPr>
        <w:t>–</w:t>
      </w:r>
      <w:r w:rsidRPr="003A4A13">
        <w:rPr>
          <w:lang w:val="fr-CH"/>
        </w:rPr>
        <w:tab/>
      </w:r>
      <w:r w:rsidR="00032EC4" w:rsidRPr="003A4A13">
        <w:rPr>
          <w:lang w:val="fr-CH"/>
        </w:rPr>
        <w:t>93</w:t>
      </w:r>
      <w:r w:rsidRPr="003A4A13">
        <w:rPr>
          <w:lang w:val="fr-CH"/>
        </w:rPr>
        <w:t xml:space="preserve"> contributions </w:t>
      </w:r>
      <w:r w:rsidR="00647785" w:rsidRPr="003A4A13">
        <w:rPr>
          <w:lang w:val="fr-CH"/>
        </w:rPr>
        <w:t xml:space="preserve">ont été soumises </w:t>
      </w:r>
      <w:r w:rsidRPr="003A4A13">
        <w:rPr>
          <w:lang w:val="fr-CH"/>
        </w:rPr>
        <w:t>pour débuter les travaux pour la période d</w:t>
      </w:r>
      <w:r w:rsidR="00B47AFA" w:rsidRPr="003A4A13">
        <w:rPr>
          <w:lang w:val="fr-CH"/>
        </w:rPr>
        <w:t>'</w:t>
      </w:r>
      <w:r w:rsidR="00393C63" w:rsidRPr="003A4A13">
        <w:rPr>
          <w:lang w:val="fr-CH"/>
        </w:rPr>
        <w:t>études 2018-2021.</w:t>
      </w:r>
    </w:p>
    <w:p w:rsidR="007E5DB1" w:rsidRPr="003A4A13" w:rsidRDefault="007E5DB1" w:rsidP="00647785">
      <w:pPr>
        <w:pStyle w:val="enumlev1"/>
        <w:rPr>
          <w:lang w:val="fr-CH"/>
        </w:rPr>
      </w:pPr>
      <w:r w:rsidRPr="003A4A13">
        <w:rPr>
          <w:lang w:val="fr-CH"/>
        </w:rPr>
        <w:t>–</w:t>
      </w:r>
      <w:r w:rsidRPr="003A4A13">
        <w:rPr>
          <w:lang w:val="fr-CH"/>
        </w:rPr>
        <w:tab/>
        <w:t xml:space="preserve">29 notes de liaison ont été reçues et 13 </w:t>
      </w:r>
      <w:r w:rsidR="006A35CA" w:rsidRPr="003A4A13">
        <w:rPr>
          <w:lang w:val="fr-CH"/>
        </w:rPr>
        <w:t>ont été adoptées et</w:t>
      </w:r>
      <w:r w:rsidR="00393C63" w:rsidRPr="003A4A13">
        <w:rPr>
          <w:lang w:val="fr-CH"/>
        </w:rPr>
        <w:t xml:space="preserve"> envoyées aux autres Secteurs.</w:t>
      </w:r>
    </w:p>
    <w:p w:rsidR="006A35CA" w:rsidRPr="003A4A13" w:rsidRDefault="00F1485B" w:rsidP="00AE6B70">
      <w:pPr>
        <w:pStyle w:val="enumlev1"/>
        <w:rPr>
          <w:lang w:val="fr-CH"/>
        </w:rPr>
      </w:pPr>
      <w:r w:rsidRPr="003A4A13">
        <w:rPr>
          <w:lang w:val="fr-CH"/>
        </w:rPr>
        <w:t>–</w:t>
      </w:r>
      <w:r w:rsidRPr="003A4A13">
        <w:rPr>
          <w:lang w:val="fr-CH"/>
        </w:rPr>
        <w:tab/>
      </w:r>
      <w:r w:rsidR="006A35CA" w:rsidRPr="003A4A13">
        <w:rPr>
          <w:lang w:val="fr-CH"/>
        </w:rPr>
        <w:t>Des projets de programme de travail ont été approuvés. Des ébauches initiales/projets de tables des matières pour les résultats escomptés pour toutes les Questions ainsi que des listes détaillant la répartition des re</w:t>
      </w:r>
      <w:r w:rsidR="00393C63" w:rsidRPr="003A4A13">
        <w:rPr>
          <w:lang w:val="fr-CH"/>
        </w:rPr>
        <w:t>sponsabilités ont été préparés.</w:t>
      </w:r>
    </w:p>
    <w:p w:rsidR="006A35CA" w:rsidRPr="003A4A13" w:rsidRDefault="00F1485B" w:rsidP="00647785">
      <w:pPr>
        <w:pStyle w:val="enumlev1"/>
        <w:rPr>
          <w:lang w:val="fr-CH"/>
        </w:rPr>
      </w:pPr>
      <w:r w:rsidRPr="003A4A13">
        <w:rPr>
          <w:lang w:val="fr-CH"/>
        </w:rPr>
        <w:t>–</w:t>
      </w:r>
      <w:r w:rsidRPr="003A4A13">
        <w:rPr>
          <w:lang w:val="fr-CH"/>
        </w:rPr>
        <w:tab/>
      </w:r>
      <w:r w:rsidR="00647785" w:rsidRPr="003A4A13">
        <w:rPr>
          <w:lang w:val="fr-CH"/>
        </w:rPr>
        <w:t>La Hongrie a présenté u</w:t>
      </w:r>
      <w:r w:rsidR="006A35CA" w:rsidRPr="003A4A13">
        <w:rPr>
          <w:lang w:val="fr-CH"/>
        </w:rPr>
        <w:t>ne proposition concernant l</w:t>
      </w:r>
      <w:r w:rsidR="00B47AFA" w:rsidRPr="003A4A13">
        <w:rPr>
          <w:lang w:val="fr-CH"/>
        </w:rPr>
        <w:t>'</w:t>
      </w:r>
      <w:r w:rsidR="006A35CA" w:rsidRPr="003A4A13">
        <w:rPr>
          <w:lang w:val="fr-CH"/>
        </w:rPr>
        <w:t>organisati</w:t>
      </w:r>
      <w:r w:rsidR="00647785" w:rsidRPr="003A4A13">
        <w:rPr>
          <w:lang w:val="fr-CH"/>
        </w:rPr>
        <w:t>on d</w:t>
      </w:r>
      <w:r w:rsidR="00B47AFA" w:rsidRPr="003A4A13">
        <w:rPr>
          <w:lang w:val="fr-CH"/>
        </w:rPr>
        <w:t>'</w:t>
      </w:r>
      <w:r w:rsidR="00647785" w:rsidRPr="003A4A13">
        <w:rPr>
          <w:lang w:val="fr-CH"/>
        </w:rPr>
        <w:t>un échange de connaissances à l</w:t>
      </w:r>
      <w:r w:rsidR="00B47AFA" w:rsidRPr="003A4A13">
        <w:rPr>
          <w:lang w:val="fr-CH"/>
        </w:rPr>
        <w:t>'</w:t>
      </w:r>
      <w:r w:rsidR="00647785" w:rsidRPr="003A4A13">
        <w:rPr>
          <w:lang w:val="fr-CH"/>
        </w:rPr>
        <w:t xml:space="preserve">occasion </w:t>
      </w:r>
      <w:r w:rsidR="006A35CA" w:rsidRPr="003A4A13">
        <w:rPr>
          <w:lang w:val="fr-CH"/>
        </w:rPr>
        <w:t>du Séminaire régional de l</w:t>
      </w:r>
      <w:r w:rsidR="00B47AFA" w:rsidRPr="003A4A13">
        <w:rPr>
          <w:lang w:val="fr-CH"/>
        </w:rPr>
        <w:t>'</w:t>
      </w:r>
      <w:r w:rsidR="006A35CA" w:rsidRPr="003A4A13">
        <w:rPr>
          <w:lang w:val="fr-CH"/>
        </w:rPr>
        <w:t>UIT pour l</w:t>
      </w:r>
      <w:r w:rsidR="00B47AFA" w:rsidRPr="003A4A13">
        <w:rPr>
          <w:lang w:val="fr-CH"/>
        </w:rPr>
        <w:t>'</w:t>
      </w:r>
      <w:r w:rsidR="006A35CA" w:rsidRPr="003A4A13">
        <w:rPr>
          <w:lang w:val="fr-CH"/>
        </w:rPr>
        <w:t>Europe et la CEI à Budapest (Hongrie) en juillet 2018 en vue de contribuer aux activités de la Commission d</w:t>
      </w:r>
      <w:r w:rsidR="00B47AFA" w:rsidRPr="003A4A13">
        <w:rPr>
          <w:lang w:val="fr-CH"/>
        </w:rPr>
        <w:t>'</w:t>
      </w:r>
      <w:r w:rsidR="006A35CA" w:rsidRPr="003A4A13">
        <w:rPr>
          <w:lang w:val="fr-CH"/>
        </w:rPr>
        <w:t>études 1 de l</w:t>
      </w:r>
      <w:r w:rsidR="00B47AFA" w:rsidRPr="003A4A13">
        <w:rPr>
          <w:lang w:val="fr-CH"/>
        </w:rPr>
        <w:t>'</w:t>
      </w:r>
      <w:r w:rsidR="006A35CA" w:rsidRPr="003A4A13">
        <w:rPr>
          <w:lang w:val="fr-CH"/>
        </w:rPr>
        <w:t>UIT-D</w:t>
      </w:r>
      <w:r w:rsidR="00647785" w:rsidRPr="003A4A13">
        <w:rPr>
          <w:lang w:val="fr-CH"/>
        </w:rPr>
        <w:t>, proposition qui</w:t>
      </w:r>
      <w:r w:rsidR="006A35CA" w:rsidRPr="003A4A13">
        <w:rPr>
          <w:lang w:val="fr-CH"/>
        </w:rPr>
        <w:t xml:space="preserve"> a été acceptée.</w:t>
      </w:r>
    </w:p>
    <w:p w:rsidR="00032EC4" w:rsidRPr="003A4A13" w:rsidRDefault="00432DFC" w:rsidP="00647785">
      <w:pPr>
        <w:rPr>
          <w:lang w:val="fr-CH"/>
        </w:rPr>
      </w:pPr>
      <w:r w:rsidRPr="003A4A13">
        <w:rPr>
          <w:lang w:val="fr-CH"/>
        </w:rPr>
        <w:t xml:space="preserve">Les principaux </w:t>
      </w:r>
      <w:r w:rsidR="00647785" w:rsidRPr="003A4A13">
        <w:rPr>
          <w:lang w:val="fr-CH"/>
        </w:rPr>
        <w:t>points à retenir</w:t>
      </w:r>
      <w:r w:rsidRPr="003A4A13">
        <w:rPr>
          <w:lang w:val="fr-CH"/>
        </w:rPr>
        <w:t xml:space="preserve"> de la première série de réunions </w:t>
      </w:r>
      <w:r w:rsidR="00A50DBE">
        <w:rPr>
          <w:lang w:val="fr-CH"/>
        </w:rPr>
        <w:t>des Groupes du Rapporteur de la </w:t>
      </w:r>
      <w:r w:rsidRPr="003A4A13">
        <w:rPr>
          <w:lang w:val="fr-CH"/>
        </w:rPr>
        <w:t>CE 1 sont les suivants</w:t>
      </w:r>
      <w:r w:rsidR="00032EC4" w:rsidRPr="003A4A13">
        <w:rPr>
          <w:lang w:val="fr-CH"/>
        </w:rPr>
        <w:t xml:space="preserve">: </w:t>
      </w:r>
    </w:p>
    <w:p w:rsidR="00432DFC" w:rsidRPr="003A4A13" w:rsidRDefault="00EF65E3" w:rsidP="00AE6B70">
      <w:pPr>
        <w:pStyle w:val="enumlev1"/>
        <w:rPr>
          <w:lang w:val="fr-CH"/>
        </w:rPr>
      </w:pPr>
      <w:r w:rsidRPr="003A4A13">
        <w:rPr>
          <w:lang w:val="fr-CH"/>
        </w:rPr>
        <w:t>–</w:t>
      </w:r>
      <w:r w:rsidRPr="003A4A13">
        <w:rPr>
          <w:lang w:val="fr-CH"/>
        </w:rPr>
        <w:tab/>
      </w:r>
      <w:r w:rsidR="00032EC4" w:rsidRPr="003A4A13">
        <w:rPr>
          <w:lang w:val="fr-CH"/>
        </w:rPr>
        <w:t xml:space="preserve">112 participants </w:t>
      </w:r>
      <w:r w:rsidR="00432DFC" w:rsidRPr="003A4A13">
        <w:rPr>
          <w:lang w:val="fr-CH"/>
        </w:rPr>
        <w:t>de</w:t>
      </w:r>
      <w:r w:rsidR="00032EC4" w:rsidRPr="003A4A13">
        <w:rPr>
          <w:lang w:val="fr-CH"/>
        </w:rPr>
        <w:t xml:space="preserve"> 48 </w:t>
      </w:r>
      <w:r w:rsidR="00432DFC" w:rsidRPr="003A4A13">
        <w:rPr>
          <w:lang w:val="fr-CH"/>
        </w:rPr>
        <w:t>Etats Membres ont pris part aux réunions des Groupes du Rapporteur et aux sessions/ateliers associés organisés au cou</w:t>
      </w:r>
      <w:r w:rsidR="00647785" w:rsidRPr="003A4A13">
        <w:rPr>
          <w:lang w:val="fr-CH"/>
        </w:rPr>
        <w:t>rs des deux semaines de réunion</w:t>
      </w:r>
      <w:r w:rsidR="00393C63" w:rsidRPr="003A4A13">
        <w:rPr>
          <w:lang w:val="fr-CH"/>
        </w:rPr>
        <w:t>.</w:t>
      </w:r>
    </w:p>
    <w:p w:rsidR="00032EC4" w:rsidRPr="003A4A13" w:rsidRDefault="00EF65E3" w:rsidP="00AE6B70">
      <w:pPr>
        <w:pStyle w:val="enumlev1"/>
        <w:rPr>
          <w:lang w:val="fr-CH"/>
        </w:rPr>
      </w:pPr>
      <w:r w:rsidRPr="003A4A13">
        <w:rPr>
          <w:lang w:val="fr-CH"/>
        </w:rPr>
        <w:t>–</w:t>
      </w:r>
      <w:r w:rsidRPr="003A4A13">
        <w:rPr>
          <w:lang w:val="fr-CH"/>
        </w:rPr>
        <w:tab/>
      </w:r>
      <w:r w:rsidR="00032EC4" w:rsidRPr="003A4A13">
        <w:rPr>
          <w:lang w:val="fr-CH"/>
        </w:rPr>
        <w:t>104 contributions</w:t>
      </w:r>
      <w:r w:rsidR="00432DFC" w:rsidRPr="003A4A13">
        <w:rPr>
          <w:lang w:val="fr-CH"/>
        </w:rPr>
        <w:t xml:space="preserve"> ont été soumises en vue de faire avancer les travaux et la r</w:t>
      </w:r>
      <w:r w:rsidR="00393C63" w:rsidRPr="003A4A13">
        <w:rPr>
          <w:lang w:val="fr-CH"/>
        </w:rPr>
        <w:t>édaction des documents attendus.</w:t>
      </w:r>
    </w:p>
    <w:p w:rsidR="00432DFC" w:rsidRPr="003A4A13" w:rsidRDefault="00EF65E3" w:rsidP="00AE6B70">
      <w:pPr>
        <w:pStyle w:val="enumlev1"/>
        <w:rPr>
          <w:lang w:val="fr-CH"/>
        </w:rPr>
      </w:pPr>
      <w:r w:rsidRPr="003A4A13">
        <w:rPr>
          <w:lang w:val="fr-CH"/>
        </w:rPr>
        <w:t>–</w:t>
      </w:r>
      <w:r w:rsidRPr="003A4A13">
        <w:rPr>
          <w:lang w:val="fr-CH"/>
        </w:rPr>
        <w:tab/>
      </w:r>
      <w:r w:rsidR="00032EC4" w:rsidRPr="003A4A13">
        <w:rPr>
          <w:lang w:val="fr-CH"/>
        </w:rPr>
        <w:t xml:space="preserve">15 </w:t>
      </w:r>
      <w:r w:rsidR="00432DFC" w:rsidRPr="003A4A13">
        <w:rPr>
          <w:lang w:val="fr-CH"/>
        </w:rPr>
        <w:t>notes de liaison ont été reçu</w:t>
      </w:r>
      <w:r w:rsidR="00647785" w:rsidRPr="003A4A13">
        <w:rPr>
          <w:lang w:val="fr-CH"/>
        </w:rPr>
        <w:t>es</w:t>
      </w:r>
      <w:r w:rsidR="00432DFC" w:rsidRPr="003A4A13">
        <w:rPr>
          <w:lang w:val="fr-CH"/>
        </w:rPr>
        <w:t xml:space="preserve"> et 21 ont été élaborées et envoyées à l</w:t>
      </w:r>
      <w:r w:rsidR="00B47AFA" w:rsidRPr="003A4A13">
        <w:rPr>
          <w:lang w:val="fr-CH"/>
        </w:rPr>
        <w:t>'</w:t>
      </w:r>
      <w:r w:rsidR="00393C63" w:rsidRPr="003A4A13">
        <w:rPr>
          <w:lang w:val="fr-CH"/>
        </w:rPr>
        <w:t>issue des réunions.</w:t>
      </w:r>
    </w:p>
    <w:p w:rsidR="00432DFC" w:rsidRPr="003A4A13" w:rsidRDefault="00EF65E3" w:rsidP="00647785">
      <w:pPr>
        <w:pStyle w:val="enumlev1"/>
        <w:rPr>
          <w:lang w:val="fr-CH"/>
        </w:rPr>
      </w:pPr>
      <w:r w:rsidRPr="003A4A13">
        <w:rPr>
          <w:lang w:val="fr-CH"/>
        </w:rPr>
        <w:t>–</w:t>
      </w:r>
      <w:r w:rsidRPr="003A4A13">
        <w:rPr>
          <w:lang w:val="fr-CH"/>
        </w:rPr>
        <w:tab/>
      </w:r>
      <w:r w:rsidR="00432DFC" w:rsidRPr="003A4A13">
        <w:rPr>
          <w:lang w:val="fr-CH"/>
        </w:rPr>
        <w:t xml:space="preserve">Les participants aux réunions ont défini plus précisément la structure générale des </w:t>
      </w:r>
      <w:r w:rsidR="00647785" w:rsidRPr="003A4A13">
        <w:rPr>
          <w:lang w:val="fr-CH"/>
        </w:rPr>
        <w:t>produits relatifs aux</w:t>
      </w:r>
      <w:r w:rsidR="00432DFC" w:rsidRPr="003A4A13">
        <w:rPr>
          <w:lang w:val="fr-CH"/>
        </w:rPr>
        <w:t xml:space="preserve"> Questions confiées à la CE</w:t>
      </w:r>
      <w:r w:rsidR="00393C63" w:rsidRPr="003A4A13">
        <w:rPr>
          <w:lang w:val="fr-CH"/>
        </w:rPr>
        <w:t xml:space="preserve"> </w:t>
      </w:r>
      <w:r w:rsidR="00432DFC" w:rsidRPr="003A4A13">
        <w:rPr>
          <w:lang w:val="fr-CH"/>
        </w:rPr>
        <w:t>1 et ont poursuivi le travail de rédaction et les échanges concernant les chapitres des rapports, les lignes d</w:t>
      </w:r>
      <w:r w:rsidR="00393C63" w:rsidRPr="003A4A13">
        <w:rPr>
          <w:lang w:val="fr-CH"/>
        </w:rPr>
        <w:t>irectrices et les études de cas.</w:t>
      </w:r>
    </w:p>
    <w:p w:rsidR="00A50DBE" w:rsidRDefault="00A50DBE" w:rsidP="00AE6B70">
      <w:pPr>
        <w:pStyle w:val="enumlev1"/>
        <w:rPr>
          <w:lang w:val="fr-CH"/>
        </w:rPr>
      </w:pPr>
      <w:r>
        <w:rPr>
          <w:lang w:val="fr-CH"/>
        </w:rPr>
        <w:br w:type="page"/>
      </w:r>
    </w:p>
    <w:p w:rsidR="00432DFC" w:rsidRPr="003A4A13" w:rsidRDefault="00EF65E3" w:rsidP="00AE6B70">
      <w:pPr>
        <w:pStyle w:val="enumlev1"/>
        <w:rPr>
          <w:lang w:val="fr-CH"/>
        </w:rPr>
      </w:pPr>
      <w:r w:rsidRPr="003A4A13">
        <w:rPr>
          <w:lang w:val="fr-CH"/>
        </w:rPr>
        <w:lastRenderedPageBreak/>
        <w:t>–</w:t>
      </w:r>
      <w:r w:rsidRPr="003A4A13">
        <w:rPr>
          <w:lang w:val="fr-CH"/>
        </w:rPr>
        <w:tab/>
      </w:r>
      <w:r w:rsidR="00432DFC" w:rsidRPr="003A4A13">
        <w:rPr>
          <w:lang w:val="fr-CH"/>
        </w:rPr>
        <w:t>3 séances/ateliers spécialisés et séances de renforcement des capacités ont été organisés sur des sujets se rapportant aux Questions 1/1, 4/1 et 7/1.</w:t>
      </w:r>
    </w:p>
    <w:p w:rsidR="00432DFC" w:rsidRPr="003A4A13" w:rsidRDefault="00EF65E3" w:rsidP="00647785">
      <w:pPr>
        <w:pStyle w:val="enumlev1"/>
        <w:rPr>
          <w:lang w:val="fr-CH"/>
        </w:rPr>
      </w:pPr>
      <w:r w:rsidRPr="003A4A13">
        <w:rPr>
          <w:lang w:val="fr-CH"/>
        </w:rPr>
        <w:t>–</w:t>
      </w:r>
      <w:r w:rsidRPr="003A4A13">
        <w:rPr>
          <w:lang w:val="fr-CH"/>
        </w:rPr>
        <w:tab/>
      </w:r>
      <w:r w:rsidR="00432DFC" w:rsidRPr="003A4A13">
        <w:rPr>
          <w:lang w:val="fr-CH"/>
        </w:rPr>
        <w:t xml:space="preserve">Une exposition avec des présentations sponsorisées </w:t>
      </w:r>
      <w:r w:rsidR="00647785" w:rsidRPr="003A4A13">
        <w:rPr>
          <w:lang w:val="fr-CH"/>
        </w:rPr>
        <w:t>a</w:t>
      </w:r>
      <w:r w:rsidR="00432DFC" w:rsidRPr="003A4A13">
        <w:rPr>
          <w:lang w:val="fr-CH"/>
        </w:rPr>
        <w:t xml:space="preserve"> eu lieu parallèlement aux réunions des Groupes du Rapporteur. Les exposants, essentiellement des PME soutenues par leur administration, ont </w:t>
      </w:r>
      <w:r w:rsidR="00647785" w:rsidRPr="003A4A13">
        <w:rPr>
          <w:lang w:val="fr-CH"/>
        </w:rPr>
        <w:t>communiqué</w:t>
      </w:r>
      <w:r w:rsidR="00432DFC" w:rsidRPr="003A4A13">
        <w:rPr>
          <w:lang w:val="fr-CH"/>
        </w:rPr>
        <w:t xml:space="preserve"> des informations et </w:t>
      </w:r>
      <w:r w:rsidR="00647785" w:rsidRPr="003A4A13">
        <w:rPr>
          <w:lang w:val="fr-CH"/>
        </w:rPr>
        <w:t>présenté</w:t>
      </w:r>
      <w:r w:rsidR="00432DFC" w:rsidRPr="003A4A13">
        <w:rPr>
          <w:lang w:val="fr-CH"/>
        </w:rPr>
        <w:t xml:space="preserve"> des démonstrations pratiques de solutions et de procédés innovants mis en oeuvre dans leur pays.</w:t>
      </w:r>
    </w:p>
    <w:p w:rsidR="00432DFC" w:rsidRPr="003A4A13" w:rsidRDefault="00432DFC" w:rsidP="00AE6B70">
      <w:pPr>
        <w:spacing w:after="120"/>
        <w:textAlignment w:val="auto"/>
        <w:rPr>
          <w:rFonts w:eastAsia="Batang" w:cs="Calibri"/>
          <w:bCs/>
          <w:szCs w:val="24"/>
          <w:lang w:val="fr-CH"/>
        </w:rPr>
      </w:pPr>
      <w:r w:rsidRPr="003A4A13">
        <w:rPr>
          <w:rFonts w:eastAsia="Batang" w:cs="Calibri"/>
          <w:bCs/>
          <w:szCs w:val="24"/>
          <w:lang w:val="fr-CH"/>
        </w:rPr>
        <w:t>Pour faciliter la coordination et continuer de renforcer la collaboration entre les deux Commissions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UIT-D, ainsi qu</w:t>
      </w:r>
      <w:r w:rsidR="00B47AFA" w:rsidRPr="003A4A13">
        <w:rPr>
          <w:rFonts w:eastAsia="Batang" w:cs="Calibri"/>
          <w:bCs/>
          <w:szCs w:val="24"/>
          <w:lang w:val="fr-CH"/>
        </w:rPr>
        <w:t>'</w:t>
      </w:r>
      <w:r w:rsidRPr="003A4A13">
        <w:rPr>
          <w:rFonts w:eastAsia="Batang" w:cs="Calibri"/>
          <w:bCs/>
          <w:szCs w:val="24"/>
          <w:lang w:val="fr-CH"/>
        </w:rPr>
        <w:t>avec les commissions d</w:t>
      </w:r>
      <w:r w:rsidR="00B47AFA" w:rsidRPr="003A4A13">
        <w:rPr>
          <w:rFonts w:eastAsia="Batang" w:cs="Calibri"/>
          <w:bCs/>
          <w:szCs w:val="24"/>
          <w:lang w:val="fr-CH"/>
        </w:rPr>
        <w:t>'</w:t>
      </w:r>
      <w:r w:rsidRPr="003A4A13">
        <w:rPr>
          <w:rFonts w:eastAsia="Batang" w:cs="Calibri"/>
          <w:bCs/>
          <w:szCs w:val="24"/>
          <w:lang w:val="fr-CH"/>
        </w:rPr>
        <w:t xml:space="preserve">études des autres Secteurs, </w:t>
      </w:r>
      <w:r w:rsidR="004870F3" w:rsidRPr="003A4A13">
        <w:rPr>
          <w:rFonts w:eastAsia="Batang" w:cs="Calibri"/>
          <w:bCs/>
          <w:szCs w:val="24"/>
          <w:lang w:val="fr-CH"/>
        </w:rPr>
        <w:t>les participants ont travaillé en vue d</w:t>
      </w:r>
      <w:r w:rsidR="00B47AFA" w:rsidRPr="003A4A13">
        <w:rPr>
          <w:rFonts w:eastAsia="Batang" w:cs="Calibri"/>
          <w:bCs/>
          <w:szCs w:val="24"/>
          <w:lang w:val="fr-CH"/>
        </w:rPr>
        <w:t>'</w:t>
      </w:r>
      <w:r w:rsidR="004870F3" w:rsidRPr="003A4A13">
        <w:rPr>
          <w:rFonts w:eastAsia="Batang" w:cs="Calibri"/>
          <w:bCs/>
          <w:szCs w:val="24"/>
          <w:lang w:val="fr-CH"/>
        </w:rPr>
        <w:t>élaborer trois ensembles de tableaux de correspondance.</w:t>
      </w:r>
    </w:p>
    <w:p w:rsidR="004870F3" w:rsidRPr="003A4A13" w:rsidRDefault="00032EC4" w:rsidP="00AE6B70">
      <w:pPr>
        <w:pStyle w:val="Heading1"/>
        <w:rPr>
          <w:lang w:val="fr-CH"/>
        </w:rPr>
      </w:pPr>
      <w:r w:rsidRPr="003A4A13">
        <w:rPr>
          <w:lang w:val="fr-CH"/>
        </w:rPr>
        <w:t>2</w:t>
      </w:r>
      <w:r w:rsidRPr="003A4A13">
        <w:rPr>
          <w:lang w:val="fr-CH"/>
        </w:rPr>
        <w:tab/>
      </w:r>
      <w:r w:rsidR="004870F3" w:rsidRPr="003A4A13">
        <w:rPr>
          <w:lang w:val="fr-CH"/>
        </w:rPr>
        <w:t>Aperçu des travaux de la Commission d</w:t>
      </w:r>
      <w:r w:rsidR="00B47AFA" w:rsidRPr="003A4A13">
        <w:rPr>
          <w:lang w:val="fr-CH"/>
        </w:rPr>
        <w:t>'</w:t>
      </w:r>
      <w:r w:rsidR="004870F3" w:rsidRPr="003A4A13">
        <w:rPr>
          <w:lang w:val="fr-CH"/>
        </w:rPr>
        <w:t>études 1 de l</w:t>
      </w:r>
      <w:r w:rsidR="00B47AFA" w:rsidRPr="003A4A13">
        <w:rPr>
          <w:lang w:val="fr-CH"/>
        </w:rPr>
        <w:t>'</w:t>
      </w:r>
      <w:r w:rsidR="004870F3" w:rsidRPr="003A4A13">
        <w:rPr>
          <w:lang w:val="fr-CH"/>
        </w:rPr>
        <w:t>UIT-D</w:t>
      </w:r>
    </w:p>
    <w:p w:rsidR="004870F3" w:rsidRPr="003A4A13" w:rsidRDefault="00032EC4" w:rsidP="00A50DBE">
      <w:pPr>
        <w:pStyle w:val="Heading2"/>
        <w:rPr>
          <w:lang w:val="fr-CH"/>
        </w:rPr>
      </w:pPr>
      <w:r w:rsidRPr="003A4A13">
        <w:rPr>
          <w:lang w:val="fr-CH"/>
        </w:rPr>
        <w:t>2.1</w:t>
      </w:r>
      <w:r w:rsidRPr="003A4A13">
        <w:rPr>
          <w:lang w:val="fr-CH"/>
        </w:rPr>
        <w:tab/>
      </w:r>
      <w:r w:rsidR="004870F3" w:rsidRPr="003A4A13">
        <w:rPr>
          <w:lang w:val="fr-CH"/>
        </w:rPr>
        <w:t>Première réunion de la Commission d</w:t>
      </w:r>
      <w:r w:rsidR="00B47AFA" w:rsidRPr="003A4A13">
        <w:rPr>
          <w:lang w:val="fr-CH"/>
        </w:rPr>
        <w:t>'</w:t>
      </w:r>
      <w:r w:rsidR="004870F3" w:rsidRPr="003A4A13">
        <w:rPr>
          <w:lang w:val="fr-CH"/>
        </w:rPr>
        <w:t xml:space="preserve">études </w:t>
      </w:r>
      <w:r w:rsidR="00CC0E69" w:rsidRPr="003A4A13">
        <w:rPr>
          <w:lang w:val="fr-CH"/>
        </w:rPr>
        <w:t xml:space="preserve">1 </w:t>
      </w:r>
      <w:r w:rsidR="004870F3" w:rsidRPr="003A4A13">
        <w:rPr>
          <w:lang w:val="fr-CH"/>
        </w:rPr>
        <w:t>pour la période d</w:t>
      </w:r>
      <w:r w:rsidR="00B47AFA" w:rsidRPr="003A4A13">
        <w:rPr>
          <w:lang w:val="fr-CH"/>
        </w:rPr>
        <w:t>'</w:t>
      </w:r>
      <w:r w:rsidR="004870F3" w:rsidRPr="003A4A13">
        <w:rPr>
          <w:lang w:val="fr-CH"/>
        </w:rPr>
        <w:t>études</w:t>
      </w:r>
      <w:r w:rsidR="00647785" w:rsidRPr="003A4A13">
        <w:rPr>
          <w:lang w:val="fr-CH"/>
        </w:rPr>
        <w:t xml:space="preserve"> </w:t>
      </w:r>
      <w:r w:rsidR="00A50DBE">
        <w:rPr>
          <w:lang w:val="fr-CH"/>
        </w:rPr>
        <w:t>(30 avril </w:t>
      </w:r>
      <w:r w:rsidR="00647785" w:rsidRPr="003A4A13">
        <w:rPr>
          <w:lang w:val="fr-CH"/>
        </w:rPr>
        <w:t>–</w:t>
      </w:r>
      <w:r w:rsidR="00A50DBE">
        <w:rPr>
          <w:lang w:val="fr-CH"/>
        </w:rPr>
        <w:t> </w:t>
      </w:r>
      <w:r w:rsidR="004870F3" w:rsidRPr="003A4A13">
        <w:rPr>
          <w:lang w:val="fr-CH"/>
        </w:rPr>
        <w:t>4</w:t>
      </w:r>
      <w:r w:rsidR="00647785" w:rsidRPr="003A4A13">
        <w:rPr>
          <w:lang w:val="fr-CH"/>
        </w:rPr>
        <w:t> </w:t>
      </w:r>
      <w:r w:rsidR="004870F3" w:rsidRPr="003A4A13">
        <w:rPr>
          <w:lang w:val="fr-CH"/>
        </w:rPr>
        <w:t>mai</w:t>
      </w:r>
      <w:r w:rsidR="00647785" w:rsidRPr="003A4A13">
        <w:rPr>
          <w:lang w:val="fr-CH"/>
        </w:rPr>
        <w:t> </w:t>
      </w:r>
      <w:r w:rsidR="004870F3" w:rsidRPr="003A4A13">
        <w:rPr>
          <w:lang w:val="fr-CH"/>
        </w:rPr>
        <w:t>2018)</w:t>
      </w:r>
    </w:p>
    <w:p w:rsidR="00032EC4" w:rsidRPr="003A4A13" w:rsidRDefault="00032EC4" w:rsidP="00AD43DF">
      <w:pPr>
        <w:rPr>
          <w:bCs/>
          <w:lang w:val="fr-CH"/>
        </w:rPr>
      </w:pPr>
      <w:r w:rsidRPr="003A4A13">
        <w:rPr>
          <w:bCs/>
          <w:lang w:val="fr-CH"/>
        </w:rPr>
        <w:t>La première réunion de la Commission d</w:t>
      </w:r>
      <w:r w:rsidR="00B47AFA" w:rsidRPr="003A4A13">
        <w:rPr>
          <w:bCs/>
          <w:lang w:val="fr-CH"/>
        </w:rPr>
        <w:t>'</w:t>
      </w:r>
      <w:r w:rsidRPr="003A4A13">
        <w:rPr>
          <w:bCs/>
          <w:lang w:val="fr-CH"/>
        </w:rPr>
        <w:t>études 1 après la Conférence mondiale de développement des télécommunications de 2017 (CMDT-17) a eu lieu du 30 avril au 4 mai 2018, en présence de 131 délégués issus de 57 pays</w:t>
      </w:r>
      <w:r w:rsidRPr="003A4A13">
        <w:rPr>
          <w:bCs/>
          <w:vertAlign w:val="superscript"/>
          <w:lang w:val="fr-CH"/>
        </w:rPr>
        <w:footnoteReference w:id="1"/>
      </w:r>
      <w:r w:rsidRPr="003A4A13">
        <w:rPr>
          <w:bCs/>
          <w:lang w:val="fr-CH"/>
        </w:rPr>
        <w:t xml:space="preserve">, </w:t>
      </w:r>
      <w:r w:rsidR="00261645" w:rsidRPr="003A4A13">
        <w:rPr>
          <w:bCs/>
          <w:lang w:val="fr-CH"/>
        </w:rPr>
        <w:t xml:space="preserve">parmi lesquels </w:t>
      </w:r>
      <w:r w:rsidRPr="003A4A13">
        <w:rPr>
          <w:bCs/>
          <w:lang w:val="fr-CH"/>
        </w:rPr>
        <w:t>100 représentant</w:t>
      </w:r>
      <w:r w:rsidR="00261645" w:rsidRPr="003A4A13">
        <w:rPr>
          <w:bCs/>
          <w:lang w:val="fr-CH"/>
        </w:rPr>
        <w:t>s</w:t>
      </w:r>
      <w:r w:rsidRPr="003A4A13">
        <w:rPr>
          <w:bCs/>
          <w:lang w:val="fr-CH"/>
        </w:rPr>
        <w:t xml:space="preserve"> des Etats Membres, 27 </w:t>
      </w:r>
      <w:r w:rsidR="00261645" w:rsidRPr="003A4A13">
        <w:rPr>
          <w:bCs/>
          <w:lang w:val="fr-CH"/>
        </w:rPr>
        <w:t xml:space="preserve">représentants </w:t>
      </w:r>
      <w:r w:rsidR="00A50DBE">
        <w:rPr>
          <w:bCs/>
          <w:lang w:val="fr-CH"/>
        </w:rPr>
        <w:t>de</w:t>
      </w:r>
      <w:r w:rsidRPr="003A4A13">
        <w:rPr>
          <w:bCs/>
          <w:lang w:val="fr-CH"/>
        </w:rPr>
        <w:t xml:space="preserve"> Membres du Secteur, 4 </w:t>
      </w:r>
      <w:r w:rsidR="00261645" w:rsidRPr="003A4A13">
        <w:rPr>
          <w:bCs/>
          <w:lang w:val="fr-CH"/>
        </w:rPr>
        <w:t>représentants d'</w:t>
      </w:r>
      <w:r w:rsidRPr="003A4A13">
        <w:rPr>
          <w:bCs/>
          <w:lang w:val="fr-CH"/>
        </w:rPr>
        <w:t>Associés et d</w:t>
      </w:r>
      <w:r w:rsidR="00261645" w:rsidRPr="003A4A13">
        <w:rPr>
          <w:bCs/>
          <w:lang w:val="fr-CH"/>
        </w:rPr>
        <w:t>'</w:t>
      </w:r>
      <w:r w:rsidRPr="003A4A13">
        <w:rPr>
          <w:bCs/>
          <w:lang w:val="fr-CH"/>
        </w:rPr>
        <w:t>éta</w:t>
      </w:r>
      <w:r w:rsidR="00261645" w:rsidRPr="003A4A13">
        <w:rPr>
          <w:bCs/>
          <w:lang w:val="fr-CH"/>
        </w:rPr>
        <w:t>blissements universitaires et 7 représentants d'</w:t>
      </w:r>
      <w:r w:rsidRPr="003A4A13">
        <w:rPr>
          <w:bCs/>
          <w:lang w:val="fr-CH"/>
        </w:rPr>
        <w:t>organisations internationales ou régionales (</w:t>
      </w:r>
      <w:hyperlink r:id="rId9" w:history="1">
        <w:r w:rsidRPr="003A4A13">
          <w:rPr>
            <w:rStyle w:val="Hyperlink"/>
            <w:bCs/>
            <w:lang w:val="fr-CH"/>
          </w:rPr>
          <w:t>1/89</w:t>
        </w:r>
      </w:hyperlink>
      <w:r w:rsidRPr="003A4A13">
        <w:rPr>
          <w:bCs/>
          <w:lang w:val="fr-CH"/>
        </w:rPr>
        <w:t xml:space="preserve">). </w:t>
      </w:r>
      <w:r w:rsidRPr="003A4A13">
        <w:rPr>
          <w:lang w:val="fr-CH"/>
        </w:rPr>
        <w:t>On trouvera les statistiques résumant la participation par région, les contributions par Question et d</w:t>
      </w:r>
      <w:r w:rsidR="00B47AFA" w:rsidRPr="003A4A13">
        <w:rPr>
          <w:lang w:val="fr-CH"/>
        </w:rPr>
        <w:t>'</w:t>
      </w:r>
      <w:r w:rsidRPr="003A4A13">
        <w:rPr>
          <w:lang w:val="fr-CH"/>
        </w:rPr>
        <w:t>autres informations dans le Document </w:t>
      </w:r>
      <w:hyperlink r:id="rId10" w:history="1">
        <w:r w:rsidRPr="003A4A13">
          <w:rPr>
            <w:rStyle w:val="Hyperlink"/>
            <w:lang w:val="fr-CH"/>
          </w:rPr>
          <w:t>1/ADM/3 + Annexe</w:t>
        </w:r>
      </w:hyperlink>
      <w:r w:rsidRPr="003A4A13">
        <w:rPr>
          <w:lang w:val="fr-CH"/>
        </w:rPr>
        <w:t xml:space="preserve">. </w:t>
      </w:r>
      <w:r w:rsidR="004870F3" w:rsidRPr="003A4A13">
        <w:rPr>
          <w:bCs/>
          <w:lang w:val="fr-CH"/>
        </w:rPr>
        <w:t>Le</w:t>
      </w:r>
      <w:r w:rsidRPr="003A4A13">
        <w:rPr>
          <w:bCs/>
          <w:lang w:val="fr-CH"/>
        </w:rPr>
        <w:t xml:space="preserve"> service</w:t>
      </w:r>
      <w:r w:rsidR="004870F3" w:rsidRPr="003A4A13">
        <w:rPr>
          <w:bCs/>
          <w:lang w:val="fr-CH"/>
        </w:rPr>
        <w:t xml:space="preserve"> habituel</w:t>
      </w:r>
      <w:r w:rsidRPr="003A4A13">
        <w:rPr>
          <w:bCs/>
          <w:lang w:val="fr-CH"/>
        </w:rPr>
        <w:t xml:space="preserve"> de diffusion sur le web, ainsi qu</w:t>
      </w:r>
      <w:r w:rsidR="00B47AFA" w:rsidRPr="003A4A13">
        <w:rPr>
          <w:bCs/>
          <w:lang w:val="fr-CH"/>
        </w:rPr>
        <w:t>'</w:t>
      </w:r>
      <w:r w:rsidRPr="003A4A13">
        <w:rPr>
          <w:bCs/>
          <w:lang w:val="fr-CH"/>
        </w:rPr>
        <w:t>un service de participation à distance interactive en plusieurs langues</w:t>
      </w:r>
      <w:r w:rsidR="00846B9A" w:rsidRPr="003A4A13">
        <w:rPr>
          <w:bCs/>
          <w:lang w:val="fr-CH"/>
        </w:rPr>
        <w:t xml:space="preserve"> ont été assurés</w:t>
      </w:r>
      <w:r w:rsidRPr="003A4A13">
        <w:rPr>
          <w:bCs/>
          <w:lang w:val="fr-CH"/>
        </w:rPr>
        <w:t xml:space="preserve">. Tous les documents de la réunion peuvent être téléchargés </w:t>
      </w:r>
      <w:r w:rsidR="00846B9A" w:rsidRPr="003A4A13">
        <w:rPr>
          <w:bCs/>
          <w:lang w:val="fr-CH"/>
        </w:rPr>
        <w:t>sur</w:t>
      </w:r>
      <w:r w:rsidRPr="003A4A13">
        <w:rPr>
          <w:bCs/>
          <w:lang w:val="fr-CH"/>
        </w:rPr>
        <w:t xml:space="preserve"> le </w:t>
      </w:r>
      <w:hyperlink r:id="rId11" w:history="1">
        <w:r w:rsidRPr="003A4A13">
          <w:rPr>
            <w:rStyle w:val="Hyperlink"/>
            <w:bCs/>
            <w:lang w:val="fr-CH"/>
          </w:rPr>
          <w:t>site web de la réunion</w:t>
        </w:r>
      </w:hyperlink>
      <w:r w:rsidRPr="003A4A13">
        <w:rPr>
          <w:bCs/>
          <w:lang w:val="fr-CH"/>
        </w:rPr>
        <w:t xml:space="preserve"> (compte utilisateur TIES obligatoire).</w:t>
      </w:r>
    </w:p>
    <w:p w:rsidR="00032EC4" w:rsidRPr="003A4A13" w:rsidRDefault="00B51858" w:rsidP="00901946">
      <w:pPr>
        <w:rPr>
          <w:lang w:val="fr-CH"/>
        </w:rPr>
      </w:pPr>
      <w:r w:rsidRPr="003A4A13">
        <w:rPr>
          <w:rFonts w:cstheme="minorHAnsi"/>
          <w:szCs w:val="24"/>
          <w:lang w:val="fr-CH"/>
        </w:rPr>
        <w:t>L</w:t>
      </w:r>
      <w:r w:rsidR="00032EC4" w:rsidRPr="003A4A13">
        <w:rPr>
          <w:rFonts w:cstheme="minorHAnsi"/>
          <w:szCs w:val="24"/>
          <w:lang w:val="fr-CH"/>
        </w:rPr>
        <w:t xml:space="preserve">e </w:t>
      </w:r>
      <w:hyperlink r:id="rId12" w:history="1">
        <w:r w:rsidR="00032EC4" w:rsidRPr="003A4A13">
          <w:rPr>
            <w:rStyle w:val="Hyperlink"/>
            <w:rFonts w:cstheme="minorHAnsi"/>
            <w:szCs w:val="24"/>
            <w:lang w:val="fr-CH"/>
          </w:rPr>
          <w:t>Direct</w:t>
        </w:r>
        <w:r w:rsidR="004870F3" w:rsidRPr="003A4A13">
          <w:rPr>
            <w:rStyle w:val="Hyperlink"/>
            <w:rFonts w:cstheme="minorHAnsi"/>
            <w:szCs w:val="24"/>
            <w:lang w:val="fr-CH"/>
          </w:rPr>
          <w:t>eur du BDT</w:t>
        </w:r>
      </w:hyperlink>
      <w:r w:rsidR="004870F3" w:rsidRPr="003A4A13">
        <w:rPr>
          <w:rFonts w:cstheme="minorHAnsi"/>
          <w:szCs w:val="24"/>
          <w:lang w:val="fr-CH"/>
        </w:rPr>
        <w:t>, M.</w:t>
      </w:r>
      <w:r w:rsidR="00032EC4" w:rsidRPr="003A4A13">
        <w:rPr>
          <w:rFonts w:cstheme="minorHAnsi"/>
          <w:szCs w:val="24"/>
          <w:lang w:val="fr-CH"/>
        </w:rPr>
        <w:t xml:space="preserve"> Brahima Sanou</w:t>
      </w:r>
      <w:r w:rsidR="00927867" w:rsidRPr="003A4A13">
        <w:rPr>
          <w:rStyle w:val="FootnoteReference"/>
          <w:rFonts w:cstheme="minorHAnsi"/>
          <w:szCs w:val="24"/>
          <w:lang w:val="fr-CH"/>
        </w:rPr>
        <w:footnoteReference w:id="2"/>
      </w:r>
      <w:r w:rsidR="00032EC4" w:rsidRPr="003A4A13">
        <w:rPr>
          <w:rFonts w:cstheme="minorHAnsi"/>
          <w:szCs w:val="24"/>
          <w:lang w:val="fr-CH"/>
        </w:rPr>
        <w:t xml:space="preserve">, </w:t>
      </w:r>
      <w:r w:rsidR="00927867" w:rsidRPr="003A4A13">
        <w:rPr>
          <w:rFonts w:cstheme="minorHAnsi"/>
          <w:szCs w:val="24"/>
          <w:lang w:val="fr-CH"/>
        </w:rPr>
        <w:t>et la Présidente de la Commission d</w:t>
      </w:r>
      <w:r w:rsidR="00B47AFA" w:rsidRPr="003A4A13">
        <w:rPr>
          <w:rFonts w:cstheme="minorHAnsi"/>
          <w:szCs w:val="24"/>
          <w:lang w:val="fr-CH"/>
        </w:rPr>
        <w:t>'</w:t>
      </w:r>
      <w:r w:rsidR="00927867" w:rsidRPr="003A4A13">
        <w:rPr>
          <w:rFonts w:cstheme="minorHAnsi"/>
          <w:szCs w:val="24"/>
          <w:lang w:val="fr-CH"/>
        </w:rPr>
        <w:t>études</w:t>
      </w:r>
      <w:r w:rsidR="00032EC4" w:rsidRPr="003A4A13">
        <w:rPr>
          <w:rFonts w:cstheme="minorHAnsi"/>
          <w:szCs w:val="24"/>
          <w:lang w:val="fr-CH"/>
        </w:rPr>
        <w:t xml:space="preserve"> 1, </w:t>
      </w:r>
      <w:r w:rsidR="00032EC4" w:rsidRPr="003A4A13">
        <w:rPr>
          <w:bCs/>
          <w:szCs w:val="24"/>
          <w:lang w:val="fr-CH"/>
        </w:rPr>
        <w:t>M</w:t>
      </w:r>
      <w:r w:rsidR="00927867" w:rsidRPr="003A4A13">
        <w:rPr>
          <w:bCs/>
          <w:szCs w:val="24"/>
          <w:lang w:val="fr-CH"/>
        </w:rPr>
        <w:t>me</w:t>
      </w:r>
      <w:r w:rsidR="00846B9A" w:rsidRPr="003A4A13">
        <w:rPr>
          <w:bCs/>
          <w:szCs w:val="24"/>
          <w:lang w:val="fr-CH"/>
        </w:rPr>
        <w:t> </w:t>
      </w:r>
      <w:r w:rsidR="00032EC4" w:rsidRPr="003A4A13">
        <w:rPr>
          <w:bCs/>
          <w:szCs w:val="24"/>
          <w:lang w:val="fr-CH"/>
        </w:rPr>
        <w:t>Fleur</w:t>
      </w:r>
      <w:r w:rsidR="00846B9A" w:rsidRPr="003A4A13">
        <w:rPr>
          <w:bCs/>
          <w:szCs w:val="24"/>
          <w:lang w:val="fr-CH"/>
        </w:rPr>
        <w:t> </w:t>
      </w:r>
      <w:r w:rsidR="00032EC4" w:rsidRPr="003A4A13">
        <w:rPr>
          <w:bCs/>
          <w:szCs w:val="24"/>
          <w:lang w:val="fr-CH"/>
        </w:rPr>
        <w:t>Regina Assoumou Bessou (</w:t>
      </w:r>
      <w:r w:rsidR="00927867" w:rsidRPr="003A4A13">
        <w:rPr>
          <w:bCs/>
          <w:szCs w:val="24"/>
          <w:lang w:val="fr-CH"/>
        </w:rPr>
        <w:t>République de</w:t>
      </w:r>
      <w:r w:rsidR="00032EC4" w:rsidRPr="003A4A13">
        <w:rPr>
          <w:bCs/>
          <w:szCs w:val="24"/>
          <w:lang w:val="fr-CH"/>
        </w:rPr>
        <w:t xml:space="preserve"> Côte d</w:t>
      </w:r>
      <w:r w:rsidR="00B47AFA" w:rsidRPr="003A4A13">
        <w:rPr>
          <w:bCs/>
          <w:szCs w:val="24"/>
          <w:lang w:val="fr-CH"/>
        </w:rPr>
        <w:t>'</w:t>
      </w:r>
      <w:r w:rsidR="00032EC4" w:rsidRPr="003A4A13">
        <w:rPr>
          <w:bCs/>
          <w:szCs w:val="24"/>
          <w:lang w:val="fr-CH"/>
        </w:rPr>
        <w:t>Ivoire),</w:t>
      </w:r>
      <w:r w:rsidR="00032EC4" w:rsidRPr="003A4A13">
        <w:rPr>
          <w:rFonts w:cstheme="minorHAnsi"/>
          <w:bCs/>
          <w:szCs w:val="24"/>
          <w:lang w:val="fr-CH"/>
        </w:rPr>
        <w:t xml:space="preserve"> </w:t>
      </w:r>
      <w:r w:rsidRPr="003A4A13">
        <w:rPr>
          <w:rFonts w:cstheme="minorHAnsi"/>
          <w:bCs/>
          <w:szCs w:val="24"/>
          <w:lang w:val="fr-CH"/>
        </w:rPr>
        <w:t>étaient assistés des 12</w:t>
      </w:r>
      <w:r w:rsidR="00846B9A" w:rsidRPr="003A4A13">
        <w:rPr>
          <w:rFonts w:cstheme="minorHAnsi"/>
          <w:bCs/>
          <w:szCs w:val="24"/>
          <w:lang w:val="fr-CH"/>
        </w:rPr>
        <w:t> </w:t>
      </w:r>
      <w:r w:rsidRPr="003A4A13">
        <w:rPr>
          <w:rFonts w:cstheme="minorHAnsi"/>
          <w:bCs/>
          <w:szCs w:val="24"/>
          <w:lang w:val="fr-CH"/>
        </w:rPr>
        <w:t>Vice</w:t>
      </w:r>
      <w:r w:rsidR="00846B9A" w:rsidRPr="003A4A13">
        <w:rPr>
          <w:rFonts w:cstheme="minorHAnsi"/>
          <w:bCs/>
          <w:szCs w:val="24"/>
          <w:lang w:val="fr-CH"/>
        </w:rPr>
        <w:noBreakHyphen/>
      </w:r>
      <w:r w:rsidR="00261645" w:rsidRPr="003A4A13">
        <w:rPr>
          <w:rFonts w:cstheme="minorHAnsi"/>
          <w:bCs/>
          <w:szCs w:val="24"/>
          <w:lang w:val="fr-CH"/>
        </w:rPr>
        <w:t>Présidents de la CE 1 désignés</w:t>
      </w:r>
      <w:r w:rsidRPr="003A4A13">
        <w:rPr>
          <w:rFonts w:cstheme="minorHAnsi"/>
          <w:bCs/>
          <w:szCs w:val="24"/>
          <w:lang w:val="fr-CH"/>
        </w:rPr>
        <w:t xml:space="preserve">: </w:t>
      </w:r>
      <w:r w:rsidR="00032EC4" w:rsidRPr="003A4A13">
        <w:rPr>
          <w:lang w:val="fr-CH"/>
        </w:rPr>
        <w:t>M. Peter Ngwan Mbengie (Cameroun), M.</w:t>
      </w:r>
      <w:r w:rsidR="00AD43DF">
        <w:rPr>
          <w:lang w:val="fr-CH"/>
        </w:rPr>
        <w:t xml:space="preserve"> </w:t>
      </w:r>
      <w:r w:rsidR="00032EC4" w:rsidRPr="003A4A13">
        <w:rPr>
          <w:lang w:val="fr-CH"/>
        </w:rPr>
        <w:t>Amah</w:t>
      </w:r>
      <w:r w:rsidR="00AD43DF">
        <w:rPr>
          <w:lang w:val="fr-CH"/>
        </w:rPr>
        <w:t xml:space="preserve"> </w:t>
      </w:r>
      <w:r w:rsidR="00032EC4" w:rsidRPr="003A4A13">
        <w:rPr>
          <w:lang w:val="fr-CH"/>
        </w:rPr>
        <w:t>Vinyo</w:t>
      </w:r>
      <w:r w:rsidR="00AD43DF">
        <w:rPr>
          <w:lang w:val="fr-CH"/>
        </w:rPr>
        <w:t xml:space="preserve"> </w:t>
      </w:r>
      <w:r w:rsidR="00032EC4" w:rsidRPr="003A4A13">
        <w:rPr>
          <w:lang w:val="fr-CH"/>
        </w:rPr>
        <w:t>Capo (Togo), M. Roberto Mitsuake Hirayama (Brésil), M. Víctor</w:t>
      </w:r>
      <w:r w:rsidR="00846B9A" w:rsidRPr="003A4A13">
        <w:rPr>
          <w:lang w:val="fr-CH"/>
        </w:rPr>
        <w:t> </w:t>
      </w:r>
      <w:r w:rsidR="00032EC4" w:rsidRPr="003A4A13">
        <w:rPr>
          <w:lang w:val="fr-CH"/>
        </w:rPr>
        <w:t>Antonio</w:t>
      </w:r>
      <w:r w:rsidR="00846B9A" w:rsidRPr="003A4A13">
        <w:rPr>
          <w:lang w:val="fr-CH"/>
        </w:rPr>
        <w:t> </w:t>
      </w:r>
      <w:r w:rsidR="00032EC4" w:rsidRPr="003A4A13">
        <w:rPr>
          <w:lang w:val="fr-CH"/>
        </w:rPr>
        <w:t>Martínez</w:t>
      </w:r>
      <w:r w:rsidR="00846B9A" w:rsidRPr="003A4A13">
        <w:rPr>
          <w:lang w:val="fr-CH"/>
        </w:rPr>
        <w:t> </w:t>
      </w:r>
      <w:r w:rsidR="00032EC4" w:rsidRPr="003A4A13">
        <w:rPr>
          <w:lang w:val="fr-CH"/>
        </w:rPr>
        <w:t>Sánchez (Paraguay), M. Ahmed Abdel Aziz Gad (Egypte), Mme Sameera Belal Momen Mohammad (Koweït), M. Yasuhiko Kawasumi (Japon), M.</w:t>
      </w:r>
      <w:r w:rsidR="00846B9A" w:rsidRPr="003A4A13">
        <w:rPr>
          <w:lang w:val="fr-CH"/>
        </w:rPr>
        <w:t> </w:t>
      </w:r>
      <w:r w:rsidR="00032EC4" w:rsidRPr="003A4A13">
        <w:rPr>
          <w:lang w:val="fr-CH"/>
        </w:rPr>
        <w:t>Sangwon</w:t>
      </w:r>
      <w:r w:rsidR="00846B9A" w:rsidRPr="003A4A13">
        <w:rPr>
          <w:lang w:val="fr-CH"/>
        </w:rPr>
        <w:t> </w:t>
      </w:r>
      <w:r w:rsidR="00032EC4" w:rsidRPr="003A4A13">
        <w:rPr>
          <w:lang w:val="fr-CH"/>
        </w:rPr>
        <w:t>Ko (République de Corée), M. Almaz Tilenbaev (Kirghizistan), M. Vadym Kaptur (Ukraine), Mme Amela Odob</w:t>
      </w:r>
      <w:r w:rsidR="00AD43DF">
        <w:rPr>
          <w:lang w:val="fr-CH"/>
        </w:rPr>
        <w:t>asic (Bosnie-Herzégovine) et M. </w:t>
      </w:r>
      <w:r w:rsidR="00032EC4" w:rsidRPr="003A4A13">
        <w:rPr>
          <w:lang w:val="fr-CH"/>
        </w:rPr>
        <w:t>Krisztián Stefanics (Hongrie</w:t>
      </w:r>
      <w:r w:rsidR="00901946" w:rsidRPr="003A4A13">
        <w:rPr>
          <w:lang w:val="fr-CH"/>
        </w:rPr>
        <w:t xml:space="preserve">). Sous la supervision de cette équipe, </w:t>
      </w:r>
      <w:r w:rsidR="00032EC4" w:rsidRPr="003A4A13">
        <w:rPr>
          <w:lang w:val="fr-CH"/>
        </w:rPr>
        <w:t xml:space="preserve">la CE 1 </w:t>
      </w:r>
      <w:r w:rsidR="00901946" w:rsidRPr="003A4A13">
        <w:rPr>
          <w:lang w:val="fr-CH"/>
        </w:rPr>
        <w:t>a</w:t>
      </w:r>
      <w:r w:rsidRPr="003A4A13">
        <w:rPr>
          <w:lang w:val="fr-CH"/>
        </w:rPr>
        <w:t xml:space="preserve"> examin</w:t>
      </w:r>
      <w:r w:rsidR="00901946" w:rsidRPr="003A4A13">
        <w:rPr>
          <w:lang w:val="fr-CH"/>
        </w:rPr>
        <w:t>é</w:t>
      </w:r>
      <w:r w:rsidRPr="003A4A13">
        <w:rPr>
          <w:lang w:val="fr-CH"/>
        </w:rPr>
        <w:t xml:space="preserve"> les</w:t>
      </w:r>
      <w:r w:rsidR="00AD43DF">
        <w:rPr>
          <w:lang w:val="fr-CH"/>
        </w:rPr>
        <w:t> 93 </w:t>
      </w:r>
      <w:r w:rsidR="00032EC4" w:rsidRPr="003A4A13">
        <w:rPr>
          <w:lang w:val="fr-CH"/>
        </w:rPr>
        <w:t xml:space="preserve">contributions </w:t>
      </w:r>
      <w:r w:rsidRPr="003A4A13">
        <w:rPr>
          <w:lang w:val="fr-CH"/>
        </w:rPr>
        <w:t xml:space="preserve">soumises pour faire avancer les travaux, dont </w:t>
      </w:r>
      <w:r w:rsidR="00032EC4" w:rsidRPr="003A4A13">
        <w:rPr>
          <w:lang w:val="fr-CH"/>
        </w:rPr>
        <w:t xml:space="preserve">29 notes de liaison </w:t>
      </w:r>
      <w:r w:rsidRPr="003A4A13">
        <w:rPr>
          <w:lang w:val="fr-CH"/>
        </w:rPr>
        <w:t>adressées par les</w:t>
      </w:r>
      <w:r w:rsidR="00032EC4" w:rsidRPr="003A4A13">
        <w:rPr>
          <w:lang w:val="fr-CH"/>
        </w:rPr>
        <w:t xml:space="preserve"> deux autres Secteurs de l</w:t>
      </w:r>
      <w:r w:rsidR="00B47AFA" w:rsidRPr="003A4A13">
        <w:rPr>
          <w:lang w:val="fr-CH"/>
        </w:rPr>
        <w:t>'</w:t>
      </w:r>
      <w:r w:rsidR="00032EC4" w:rsidRPr="003A4A13">
        <w:rPr>
          <w:lang w:val="fr-CH"/>
        </w:rPr>
        <w:t>UIT.</w:t>
      </w:r>
      <w:r w:rsidRPr="003A4A13">
        <w:rPr>
          <w:lang w:val="fr-CH"/>
        </w:rPr>
        <w:t xml:space="preserve"> Treize notes de liaison ont été adoptées et envoyées à l</w:t>
      </w:r>
      <w:r w:rsidR="00B47AFA" w:rsidRPr="003A4A13">
        <w:rPr>
          <w:lang w:val="fr-CH"/>
        </w:rPr>
        <w:t>'</w:t>
      </w:r>
      <w:r w:rsidRPr="003A4A13">
        <w:rPr>
          <w:lang w:val="fr-CH"/>
        </w:rPr>
        <w:t>issue des réunions.</w:t>
      </w:r>
    </w:p>
    <w:p w:rsidR="001137AC" w:rsidRPr="003A4A13" w:rsidRDefault="009968DF" w:rsidP="00CC0E69">
      <w:pPr>
        <w:rPr>
          <w:lang w:val="fr-CH"/>
        </w:rPr>
      </w:pPr>
      <w:r w:rsidRPr="003A4A13">
        <w:rPr>
          <w:lang w:val="fr-CH"/>
        </w:rPr>
        <w:t>Les participants à ces</w:t>
      </w:r>
      <w:r w:rsidR="001137AC" w:rsidRPr="003A4A13">
        <w:rPr>
          <w:lang w:val="fr-CH"/>
        </w:rPr>
        <w:t xml:space="preserve"> première</w:t>
      </w:r>
      <w:r w:rsidRPr="003A4A13">
        <w:rPr>
          <w:lang w:val="fr-CH"/>
        </w:rPr>
        <w:t>s</w:t>
      </w:r>
      <w:r w:rsidR="001137AC" w:rsidRPr="003A4A13">
        <w:rPr>
          <w:lang w:val="fr-CH"/>
        </w:rPr>
        <w:t xml:space="preserve"> réunion</w:t>
      </w:r>
      <w:r w:rsidRPr="003A4A13">
        <w:rPr>
          <w:lang w:val="fr-CH"/>
        </w:rPr>
        <w:t>s</w:t>
      </w:r>
      <w:r w:rsidR="001137AC" w:rsidRPr="003A4A13">
        <w:rPr>
          <w:lang w:val="fr-CH"/>
        </w:rPr>
        <w:t xml:space="preserve"> </w:t>
      </w:r>
      <w:r w:rsidRPr="003A4A13">
        <w:rPr>
          <w:lang w:val="fr-CH"/>
        </w:rPr>
        <w:t>ont examiné</w:t>
      </w:r>
      <w:r w:rsidR="001137AC" w:rsidRPr="003A4A13">
        <w:rPr>
          <w:lang w:val="fr-CH"/>
        </w:rPr>
        <w:t xml:space="preserve"> les résultats attendus </w:t>
      </w:r>
      <w:r w:rsidRPr="003A4A13">
        <w:rPr>
          <w:lang w:val="fr-CH"/>
        </w:rPr>
        <w:t>définis par les membres à</w:t>
      </w:r>
      <w:r w:rsidR="001137AC" w:rsidRPr="003A4A13">
        <w:rPr>
          <w:lang w:val="fr-CH"/>
        </w:rPr>
        <w:t xml:space="preserve"> la CMDT-17</w:t>
      </w:r>
      <w:r w:rsidRPr="003A4A13">
        <w:rPr>
          <w:lang w:val="fr-CH"/>
        </w:rPr>
        <w:t>, identifié</w:t>
      </w:r>
      <w:r w:rsidR="001137AC" w:rsidRPr="003A4A13">
        <w:rPr>
          <w:lang w:val="fr-CH"/>
        </w:rPr>
        <w:t xml:space="preserve"> </w:t>
      </w:r>
      <w:r w:rsidRPr="003A4A13">
        <w:rPr>
          <w:lang w:val="fr-CH"/>
        </w:rPr>
        <w:t>des</w:t>
      </w:r>
      <w:r w:rsidR="001137AC" w:rsidRPr="003A4A13">
        <w:rPr>
          <w:lang w:val="fr-CH"/>
        </w:rPr>
        <w:t xml:space="preserve"> méthodes p</w:t>
      </w:r>
      <w:r w:rsidR="00901946" w:rsidRPr="003A4A13">
        <w:rPr>
          <w:lang w:val="fr-CH"/>
        </w:rPr>
        <w:t xml:space="preserve">our la conduite des travaux et </w:t>
      </w:r>
      <w:r w:rsidR="001137AC" w:rsidRPr="003A4A13">
        <w:rPr>
          <w:lang w:val="fr-CH"/>
        </w:rPr>
        <w:t>adopt</w:t>
      </w:r>
      <w:r w:rsidR="00901946" w:rsidRPr="003A4A13">
        <w:rPr>
          <w:lang w:val="fr-CH"/>
        </w:rPr>
        <w:t>é</w:t>
      </w:r>
      <w:r w:rsidR="001137AC" w:rsidRPr="003A4A13">
        <w:rPr>
          <w:lang w:val="fr-CH"/>
        </w:rPr>
        <w:t xml:space="preserve"> des programmes de travail détaillés pour chaque Question à l</w:t>
      </w:r>
      <w:r w:rsidR="00B47AFA" w:rsidRPr="003A4A13">
        <w:rPr>
          <w:lang w:val="fr-CH"/>
        </w:rPr>
        <w:t>'</w:t>
      </w:r>
      <w:r w:rsidR="001137AC" w:rsidRPr="003A4A13">
        <w:rPr>
          <w:lang w:val="fr-CH"/>
        </w:rPr>
        <w:t>étude.</w:t>
      </w:r>
      <w:r w:rsidRPr="003A4A13">
        <w:rPr>
          <w:lang w:val="fr-CH"/>
        </w:rPr>
        <w:t xml:space="preserve"> Des ébauches initiales/projets de tables des matières pour les résultats escomptés pour toutes les Questions ainsi que des listes détaillant la répartition des responsabilités ont été préparés</w:t>
      </w:r>
      <w:r w:rsidR="00454E8F" w:rsidRPr="003A4A13">
        <w:rPr>
          <w:lang w:val="fr-CH"/>
        </w:rPr>
        <w:t>. La Commission d</w:t>
      </w:r>
      <w:r w:rsidR="00B47AFA" w:rsidRPr="003A4A13">
        <w:rPr>
          <w:lang w:val="fr-CH"/>
        </w:rPr>
        <w:t>'</w:t>
      </w:r>
      <w:r w:rsidR="00454E8F" w:rsidRPr="003A4A13">
        <w:rPr>
          <w:lang w:val="fr-CH"/>
        </w:rPr>
        <w:t>études 1 de l</w:t>
      </w:r>
      <w:r w:rsidR="00B47AFA" w:rsidRPr="003A4A13">
        <w:rPr>
          <w:lang w:val="fr-CH"/>
        </w:rPr>
        <w:t>'</w:t>
      </w:r>
      <w:r w:rsidR="00454E8F" w:rsidRPr="003A4A13">
        <w:rPr>
          <w:lang w:val="fr-CH"/>
        </w:rPr>
        <w:t xml:space="preserve">UIT-D </w:t>
      </w:r>
      <w:r w:rsidR="00454E8F" w:rsidRPr="003A4A13">
        <w:rPr>
          <w:lang w:val="fr-CH"/>
        </w:rPr>
        <w:lastRenderedPageBreak/>
        <w:t xml:space="preserve">a reçu 84 candidatures pour </w:t>
      </w:r>
      <w:r w:rsidR="00901946" w:rsidRPr="003A4A13">
        <w:rPr>
          <w:lang w:val="fr-CH"/>
        </w:rPr>
        <w:t xml:space="preserve">les </w:t>
      </w:r>
      <w:r w:rsidR="00454E8F" w:rsidRPr="003A4A13">
        <w:rPr>
          <w:lang w:val="fr-CH"/>
        </w:rPr>
        <w:t>différentes fonctions</w:t>
      </w:r>
      <w:r w:rsidR="004E624A" w:rsidRPr="003A4A13">
        <w:rPr>
          <w:lang w:val="fr-CH"/>
        </w:rPr>
        <w:t xml:space="preserve"> de direction</w:t>
      </w:r>
      <w:r w:rsidR="00454E8F" w:rsidRPr="003A4A13">
        <w:rPr>
          <w:lang w:val="fr-CH"/>
        </w:rPr>
        <w:t xml:space="preserve"> et les participan</w:t>
      </w:r>
      <w:r w:rsidR="00261645" w:rsidRPr="003A4A13">
        <w:rPr>
          <w:lang w:val="fr-CH"/>
        </w:rPr>
        <w:t>ts ont désigné 9</w:t>
      </w:r>
      <w:r w:rsidR="00CC0E69" w:rsidRPr="003A4A13">
        <w:rPr>
          <w:lang w:val="fr-CH"/>
        </w:rPr>
        <w:t> </w:t>
      </w:r>
      <w:r w:rsidR="00261645" w:rsidRPr="003A4A13">
        <w:rPr>
          <w:lang w:val="fr-CH"/>
        </w:rPr>
        <w:t>Rapporteurs/Cor</w:t>
      </w:r>
      <w:r w:rsidR="00454E8F" w:rsidRPr="003A4A13">
        <w:rPr>
          <w:lang w:val="fr-CH"/>
        </w:rPr>
        <w:t>apporteurs et 71 Vice-Rapporteurs pour diriger les travaux sur les Questions à l</w:t>
      </w:r>
      <w:r w:rsidR="00B47AFA" w:rsidRPr="003A4A13">
        <w:rPr>
          <w:lang w:val="fr-CH"/>
        </w:rPr>
        <w:t>'</w:t>
      </w:r>
      <w:r w:rsidR="00454E8F" w:rsidRPr="003A4A13">
        <w:rPr>
          <w:lang w:val="fr-CH"/>
        </w:rPr>
        <w:t>étude. On trouvera dans l</w:t>
      </w:r>
      <w:r w:rsidR="00B47AFA" w:rsidRPr="003A4A13">
        <w:rPr>
          <w:lang w:val="fr-CH"/>
        </w:rPr>
        <w:t>'</w:t>
      </w:r>
      <w:r w:rsidR="00454E8F" w:rsidRPr="003A4A13">
        <w:rPr>
          <w:b/>
          <w:bCs/>
          <w:lang w:val="fr-CH"/>
        </w:rPr>
        <w:t>Annexe 1</w:t>
      </w:r>
      <w:r w:rsidR="00454E8F" w:rsidRPr="003A4A13">
        <w:rPr>
          <w:lang w:val="fr-CH"/>
        </w:rPr>
        <w:t xml:space="preserve"> du présent Rapport la composition de l</w:t>
      </w:r>
      <w:r w:rsidR="00B47AFA" w:rsidRPr="003A4A13">
        <w:rPr>
          <w:lang w:val="fr-CH"/>
        </w:rPr>
        <w:t>'</w:t>
      </w:r>
      <w:r w:rsidR="00454E8F" w:rsidRPr="003A4A13">
        <w:rPr>
          <w:lang w:val="fr-CH"/>
        </w:rPr>
        <w:t>équipe de direction de la CE 1.</w:t>
      </w:r>
    </w:p>
    <w:p w:rsidR="004E624A" w:rsidRPr="003A4A13" w:rsidRDefault="001137AC" w:rsidP="00AE6B70">
      <w:pPr>
        <w:pStyle w:val="Heading2"/>
        <w:rPr>
          <w:lang w:val="fr-CH"/>
        </w:rPr>
      </w:pPr>
      <w:r w:rsidRPr="003A4A13">
        <w:rPr>
          <w:lang w:val="fr-CH"/>
        </w:rPr>
        <w:t>2.2</w:t>
      </w:r>
      <w:r w:rsidRPr="003A4A13">
        <w:rPr>
          <w:lang w:val="fr-CH"/>
        </w:rPr>
        <w:tab/>
      </w:r>
      <w:r w:rsidR="004E624A" w:rsidRPr="003A4A13">
        <w:rPr>
          <w:lang w:val="fr-CH"/>
        </w:rPr>
        <w:t>Réunions des Groupes du Rapport</w:t>
      </w:r>
      <w:r w:rsidR="00F76FB2" w:rsidRPr="003A4A13">
        <w:rPr>
          <w:lang w:val="fr-CH"/>
        </w:rPr>
        <w:t>eur</w:t>
      </w:r>
      <w:r w:rsidR="004E624A" w:rsidRPr="003A4A13">
        <w:rPr>
          <w:lang w:val="fr-CH"/>
        </w:rPr>
        <w:t xml:space="preserve"> de la Commission d</w:t>
      </w:r>
      <w:r w:rsidR="00B47AFA" w:rsidRPr="003A4A13">
        <w:rPr>
          <w:lang w:val="fr-CH"/>
        </w:rPr>
        <w:t>'</w:t>
      </w:r>
      <w:r w:rsidR="004E624A" w:rsidRPr="003A4A13">
        <w:rPr>
          <w:lang w:val="fr-CH"/>
        </w:rPr>
        <w:t xml:space="preserve">études 1 de 2018 </w:t>
      </w:r>
      <w:r w:rsidR="00CC0E69" w:rsidRPr="003A4A13">
        <w:rPr>
          <w:lang w:val="fr-CH"/>
        </w:rPr>
        <w:br/>
      </w:r>
      <w:r w:rsidR="004E624A" w:rsidRPr="003A4A13">
        <w:rPr>
          <w:lang w:val="fr-CH"/>
        </w:rPr>
        <w:t>(17-29 septembre 2018)</w:t>
      </w:r>
    </w:p>
    <w:p w:rsidR="004E624A" w:rsidRPr="003A4A13" w:rsidRDefault="004E624A" w:rsidP="00F76FB2">
      <w:pPr>
        <w:spacing w:after="120"/>
        <w:rPr>
          <w:bCs/>
          <w:szCs w:val="24"/>
          <w:lang w:val="fr-CH"/>
        </w:rPr>
      </w:pPr>
      <w:r w:rsidRPr="003A4A13">
        <w:rPr>
          <w:bCs/>
          <w:szCs w:val="24"/>
          <w:lang w:val="fr-CH"/>
        </w:rPr>
        <w:t>Les participants aux réunions des Groupes du Rapporteur de la Commission d</w:t>
      </w:r>
      <w:r w:rsidR="00B47AFA" w:rsidRPr="003A4A13">
        <w:rPr>
          <w:bCs/>
          <w:szCs w:val="24"/>
          <w:lang w:val="fr-CH"/>
        </w:rPr>
        <w:t>'</w:t>
      </w:r>
      <w:r w:rsidRPr="003A4A13">
        <w:rPr>
          <w:bCs/>
          <w:szCs w:val="24"/>
          <w:lang w:val="fr-CH"/>
        </w:rPr>
        <w:t>études 1 de 2018 ont défini plus précis</w:t>
      </w:r>
      <w:r w:rsidR="00F76FB2" w:rsidRPr="003A4A13">
        <w:rPr>
          <w:bCs/>
          <w:szCs w:val="24"/>
          <w:lang w:val="fr-CH"/>
        </w:rPr>
        <w:t>ément le programme de travail ainsi que</w:t>
      </w:r>
      <w:r w:rsidRPr="003A4A13">
        <w:rPr>
          <w:bCs/>
          <w:szCs w:val="24"/>
          <w:lang w:val="fr-CH"/>
        </w:rPr>
        <w:t xml:space="preserve"> la structure générale des </w:t>
      </w:r>
      <w:r w:rsidR="00F76FB2" w:rsidRPr="003A4A13">
        <w:rPr>
          <w:bCs/>
          <w:szCs w:val="24"/>
          <w:lang w:val="fr-CH"/>
        </w:rPr>
        <w:t xml:space="preserve">produits relatifs aux </w:t>
      </w:r>
      <w:r w:rsidRPr="003A4A13">
        <w:rPr>
          <w:bCs/>
          <w:szCs w:val="24"/>
          <w:lang w:val="fr-CH"/>
        </w:rPr>
        <w:t xml:space="preserve">Questions confiées à la CE 1 et ont </w:t>
      </w:r>
      <w:r w:rsidRPr="003A4A13">
        <w:rPr>
          <w:lang w:val="fr-CH"/>
        </w:rPr>
        <w:t>poursuivi le travail de rédaction et les échanges concernant les chapitres des rapports, les lignes directrices et les études de cas</w:t>
      </w:r>
      <w:r w:rsidR="00E12785" w:rsidRPr="003A4A13">
        <w:rPr>
          <w:lang w:val="fr-CH"/>
        </w:rPr>
        <w:t xml:space="preserve">. Cent quatre contributions, dont 15 notes de liaison, </w:t>
      </w:r>
      <w:r w:rsidRPr="003A4A13">
        <w:rPr>
          <w:lang w:val="fr-CH"/>
        </w:rPr>
        <w:t xml:space="preserve">ont été reçues en vue de </w:t>
      </w:r>
      <w:r w:rsidR="00E12785" w:rsidRPr="003A4A13">
        <w:rPr>
          <w:lang w:val="fr-CH"/>
        </w:rPr>
        <w:t>faire avancer les travaux et la rédaction d</w:t>
      </w:r>
      <w:r w:rsidR="00AD43DF">
        <w:rPr>
          <w:lang w:val="fr-CH"/>
        </w:rPr>
        <w:t xml:space="preserve">es documents attendus. Vingt et </w:t>
      </w:r>
      <w:r w:rsidR="00E12785" w:rsidRPr="003A4A13">
        <w:rPr>
          <w:lang w:val="fr-CH"/>
        </w:rPr>
        <w:t>une note</w:t>
      </w:r>
      <w:r w:rsidR="00F76FB2" w:rsidRPr="003A4A13">
        <w:rPr>
          <w:lang w:val="fr-CH"/>
        </w:rPr>
        <w:t>s</w:t>
      </w:r>
      <w:r w:rsidR="00E12785" w:rsidRPr="003A4A13">
        <w:rPr>
          <w:lang w:val="fr-CH"/>
        </w:rPr>
        <w:t xml:space="preserve"> de liaison ont été envoyées à l</w:t>
      </w:r>
      <w:r w:rsidR="00B47AFA" w:rsidRPr="003A4A13">
        <w:rPr>
          <w:lang w:val="fr-CH"/>
        </w:rPr>
        <w:t>'</w:t>
      </w:r>
      <w:r w:rsidR="00E12785" w:rsidRPr="003A4A13">
        <w:rPr>
          <w:lang w:val="fr-CH"/>
        </w:rPr>
        <w:t xml:space="preserve">issue des réunions. </w:t>
      </w:r>
    </w:p>
    <w:p w:rsidR="006D525C" w:rsidRPr="003A4A13" w:rsidRDefault="00E12785" w:rsidP="00F76FB2">
      <w:pPr>
        <w:rPr>
          <w:lang w:val="fr-CH" w:bidi="fr-FR"/>
        </w:rPr>
      </w:pPr>
      <w:r w:rsidRPr="003A4A13">
        <w:rPr>
          <w:bCs/>
          <w:szCs w:val="24"/>
          <w:lang w:val="fr-CH"/>
        </w:rPr>
        <w:t xml:space="preserve">Parallèlement aux réunions, 3 </w:t>
      </w:r>
      <w:r w:rsidRPr="003A4A13">
        <w:rPr>
          <w:lang w:val="fr-CH"/>
        </w:rPr>
        <w:t>séances/ateliers spécialisés et séances de renforcement des capacités ont été organisés sur des sujets se rapportant aux Quest</w:t>
      </w:r>
      <w:r w:rsidR="00D762D1" w:rsidRPr="003A4A13">
        <w:rPr>
          <w:lang w:val="fr-CH"/>
        </w:rPr>
        <w:t>ions</w:t>
      </w:r>
      <w:r w:rsidRPr="003A4A13">
        <w:rPr>
          <w:lang w:val="fr-CH"/>
        </w:rPr>
        <w:t>.</w:t>
      </w:r>
      <w:r w:rsidR="00D762D1" w:rsidRPr="003A4A13">
        <w:rPr>
          <w:lang w:val="fr-CH"/>
        </w:rPr>
        <w:t xml:space="preserve"> Une</w:t>
      </w:r>
      <w:r w:rsidR="001137AC" w:rsidRPr="003A4A13">
        <w:rPr>
          <w:szCs w:val="24"/>
          <w:lang w:val="fr-CH" w:bidi="fr-FR"/>
        </w:rPr>
        <w:t xml:space="preserve"> </w:t>
      </w:r>
      <w:hyperlink r:id="rId13" w:history="1">
        <w:r w:rsidR="001137AC" w:rsidRPr="003A4A13">
          <w:rPr>
            <w:rStyle w:val="Hyperlink"/>
            <w:szCs w:val="24"/>
            <w:lang w:val="fr-CH" w:bidi="fr-FR"/>
          </w:rPr>
          <w:t>session sur les politiques et les approches réglementaires relatives au déploiement du large bande et aux technologies d</w:t>
        </w:r>
        <w:r w:rsidR="00B47AFA" w:rsidRPr="003A4A13">
          <w:rPr>
            <w:rStyle w:val="Hyperlink"/>
            <w:szCs w:val="24"/>
            <w:lang w:val="fr-CH" w:bidi="fr-FR"/>
          </w:rPr>
          <w:t>'</w:t>
        </w:r>
        <w:r w:rsidR="001137AC" w:rsidRPr="003A4A13">
          <w:rPr>
            <w:rStyle w:val="Hyperlink"/>
            <w:szCs w:val="24"/>
            <w:lang w:val="fr-CH" w:bidi="fr-FR"/>
          </w:rPr>
          <w:t>accès large bande</w:t>
        </w:r>
      </w:hyperlink>
      <w:r w:rsidR="00D762D1" w:rsidRPr="003A4A13">
        <w:rPr>
          <w:szCs w:val="24"/>
          <w:lang w:val="fr-CH" w:bidi="fr-FR"/>
        </w:rPr>
        <w:t xml:space="preserve"> a eu lieu à l</w:t>
      </w:r>
      <w:r w:rsidR="00B47AFA" w:rsidRPr="003A4A13">
        <w:rPr>
          <w:szCs w:val="24"/>
          <w:lang w:val="fr-CH" w:bidi="fr-FR"/>
        </w:rPr>
        <w:t>'</w:t>
      </w:r>
      <w:r w:rsidR="00D762D1" w:rsidRPr="003A4A13">
        <w:rPr>
          <w:szCs w:val="24"/>
          <w:lang w:val="fr-CH" w:bidi="fr-FR"/>
        </w:rPr>
        <w:t xml:space="preserve">occasion de la réunion du Groupe du Rapporteur pour la Question 1/1, une </w:t>
      </w:r>
      <w:hyperlink r:id="rId14" w:history="1">
        <w:r w:rsidR="00D762D1" w:rsidRPr="003A4A13">
          <w:rPr>
            <w:rStyle w:val="Hyperlink"/>
            <w:szCs w:val="24"/>
            <w:lang w:val="fr-CH" w:bidi="fr-FR"/>
          </w:rPr>
          <w:t>session</w:t>
        </w:r>
        <w:r w:rsidR="006D525C" w:rsidRPr="003A4A13">
          <w:rPr>
            <w:rStyle w:val="Hyperlink"/>
            <w:lang w:val="fr-CH" w:bidi="fr-FR"/>
          </w:rPr>
          <w:t xml:space="preserve"> sur les questions économiques relatives aux marchés des télécommunications/TIC modernes</w:t>
        </w:r>
      </w:hyperlink>
      <w:r w:rsidR="006D525C" w:rsidRPr="003A4A13">
        <w:rPr>
          <w:lang w:val="fr-CH" w:bidi="fr-FR"/>
        </w:rPr>
        <w:t xml:space="preserve"> </w:t>
      </w:r>
      <w:r w:rsidR="00D762D1" w:rsidRPr="003A4A13">
        <w:rPr>
          <w:szCs w:val="24"/>
          <w:lang w:val="fr-CH" w:bidi="fr-FR"/>
        </w:rPr>
        <w:t>a eu lieu à l</w:t>
      </w:r>
      <w:r w:rsidR="00B47AFA" w:rsidRPr="003A4A13">
        <w:rPr>
          <w:szCs w:val="24"/>
          <w:lang w:val="fr-CH" w:bidi="fr-FR"/>
        </w:rPr>
        <w:t>'</w:t>
      </w:r>
      <w:r w:rsidR="00D762D1" w:rsidRPr="003A4A13">
        <w:rPr>
          <w:szCs w:val="24"/>
          <w:lang w:val="fr-CH" w:bidi="fr-FR"/>
        </w:rPr>
        <w:t xml:space="preserve">occasion de la réunion du Groupe du Rapporteur pour la Question 4/1 et un </w:t>
      </w:r>
      <w:hyperlink r:id="rId15" w:history="1">
        <w:r w:rsidR="00D762D1" w:rsidRPr="003A4A13">
          <w:rPr>
            <w:rStyle w:val="Hyperlink"/>
            <w:szCs w:val="24"/>
            <w:lang w:val="fr-CH" w:bidi="fr-FR"/>
          </w:rPr>
          <w:t xml:space="preserve">atelier </w:t>
        </w:r>
        <w:r w:rsidR="006D525C" w:rsidRPr="003A4A13">
          <w:rPr>
            <w:rStyle w:val="Hyperlink"/>
            <w:lang w:val="fr-CH" w:bidi="fr-FR"/>
          </w:rPr>
          <w:t>de renforcement des capacités en matière d</w:t>
        </w:r>
        <w:r w:rsidR="00B47AFA" w:rsidRPr="003A4A13">
          <w:rPr>
            <w:rStyle w:val="Hyperlink"/>
            <w:lang w:val="fr-CH" w:bidi="fr-FR"/>
          </w:rPr>
          <w:t>'</w:t>
        </w:r>
        <w:r w:rsidR="006D525C" w:rsidRPr="003A4A13">
          <w:rPr>
            <w:rStyle w:val="Hyperlink"/>
            <w:lang w:val="fr-CH" w:bidi="fr-FR"/>
          </w:rPr>
          <w:t>accessibilité des TIC</w:t>
        </w:r>
      </w:hyperlink>
      <w:r w:rsidR="006D525C" w:rsidRPr="003A4A13">
        <w:rPr>
          <w:lang w:val="fr-CH" w:bidi="fr-FR"/>
        </w:rPr>
        <w:t xml:space="preserve"> </w:t>
      </w:r>
      <w:r w:rsidR="00D762D1" w:rsidRPr="003A4A13">
        <w:rPr>
          <w:szCs w:val="24"/>
          <w:lang w:val="fr-CH" w:bidi="fr-FR"/>
        </w:rPr>
        <w:t>a eu lieu à l</w:t>
      </w:r>
      <w:r w:rsidR="00B47AFA" w:rsidRPr="003A4A13">
        <w:rPr>
          <w:szCs w:val="24"/>
          <w:lang w:val="fr-CH" w:bidi="fr-FR"/>
        </w:rPr>
        <w:t>'</w:t>
      </w:r>
      <w:r w:rsidR="00D762D1" w:rsidRPr="003A4A13">
        <w:rPr>
          <w:szCs w:val="24"/>
          <w:lang w:val="fr-CH" w:bidi="fr-FR"/>
        </w:rPr>
        <w:t xml:space="preserve">occasion de la réunion du Groupe du Rapporteur pour la Question 7/1. Les informations détaillées et utiles rassemblées lors de ces sessions seront utilisées pour </w:t>
      </w:r>
      <w:r w:rsidR="00F76FB2" w:rsidRPr="003A4A13">
        <w:rPr>
          <w:szCs w:val="24"/>
          <w:lang w:val="fr-CH" w:bidi="fr-FR"/>
        </w:rPr>
        <w:t>élaborer</w:t>
      </w:r>
      <w:r w:rsidR="00D762D1" w:rsidRPr="003A4A13">
        <w:rPr>
          <w:szCs w:val="24"/>
          <w:lang w:val="fr-CH" w:bidi="fr-FR"/>
        </w:rPr>
        <w:t xml:space="preserve"> les </w:t>
      </w:r>
      <w:r w:rsidR="00F76FB2" w:rsidRPr="003A4A13">
        <w:rPr>
          <w:szCs w:val="24"/>
          <w:lang w:val="fr-CH" w:bidi="fr-FR"/>
        </w:rPr>
        <w:t>produits</w:t>
      </w:r>
      <w:r w:rsidR="00D762D1" w:rsidRPr="003A4A13">
        <w:rPr>
          <w:szCs w:val="24"/>
          <w:lang w:val="fr-CH" w:bidi="fr-FR"/>
        </w:rPr>
        <w:t xml:space="preserve"> attendus chaque année, les premiers devant être présentés à la réunion de la CE 1 de mars 2019.</w:t>
      </w:r>
    </w:p>
    <w:p w:rsidR="006D525C" w:rsidRPr="003A4A13" w:rsidRDefault="006D525C" w:rsidP="00AE6B70">
      <w:pPr>
        <w:pStyle w:val="Heading2"/>
        <w:rPr>
          <w:lang w:val="fr-CH"/>
        </w:rPr>
      </w:pPr>
      <w:r w:rsidRPr="003A4A13">
        <w:rPr>
          <w:lang w:val="fr-CH"/>
        </w:rPr>
        <w:t>2.3</w:t>
      </w:r>
      <w:r w:rsidRPr="003A4A13">
        <w:rPr>
          <w:lang w:val="fr-CH"/>
        </w:rPr>
        <w:tab/>
        <w:t>R</w:t>
      </w:r>
      <w:r w:rsidR="007574F1" w:rsidRPr="003A4A13">
        <w:rPr>
          <w:lang w:val="fr-CH"/>
        </w:rPr>
        <w:t>ap</w:t>
      </w:r>
      <w:r w:rsidRPr="003A4A13">
        <w:rPr>
          <w:lang w:val="fr-CH"/>
        </w:rPr>
        <w:t xml:space="preserve">ports </w:t>
      </w:r>
      <w:r w:rsidR="007574F1" w:rsidRPr="003A4A13">
        <w:rPr>
          <w:lang w:val="fr-CH"/>
        </w:rPr>
        <w:t>des réunions des Groupes du Rapporteur</w:t>
      </w:r>
    </w:p>
    <w:p w:rsidR="007574F1" w:rsidRPr="003A4A13" w:rsidRDefault="007574F1" w:rsidP="00F76FB2">
      <w:pPr>
        <w:spacing w:after="120"/>
        <w:rPr>
          <w:bCs/>
          <w:szCs w:val="24"/>
          <w:lang w:val="fr-CH"/>
        </w:rPr>
      </w:pPr>
      <w:r w:rsidRPr="003A4A13">
        <w:rPr>
          <w:bCs/>
          <w:szCs w:val="24"/>
          <w:lang w:val="fr-CH"/>
        </w:rPr>
        <w:t xml:space="preserve">Les rapports des réunions de </w:t>
      </w:r>
      <w:r w:rsidR="00F76FB2" w:rsidRPr="003A4A13">
        <w:rPr>
          <w:bCs/>
          <w:szCs w:val="24"/>
          <w:lang w:val="fr-CH"/>
        </w:rPr>
        <w:t>différents</w:t>
      </w:r>
      <w:r w:rsidRPr="003A4A13">
        <w:rPr>
          <w:bCs/>
          <w:szCs w:val="24"/>
          <w:lang w:val="fr-CH"/>
        </w:rPr>
        <w:t xml:space="preserve"> Groupe</w:t>
      </w:r>
      <w:r w:rsidR="00F76FB2" w:rsidRPr="003A4A13">
        <w:rPr>
          <w:bCs/>
          <w:szCs w:val="24"/>
          <w:lang w:val="fr-CH"/>
        </w:rPr>
        <w:t>s</w:t>
      </w:r>
      <w:r w:rsidRPr="003A4A13">
        <w:rPr>
          <w:bCs/>
          <w:szCs w:val="24"/>
          <w:lang w:val="fr-CH"/>
        </w:rPr>
        <w:t xml:space="preserve"> du Rapporteur qui ont eu lieu en 2018 d</w:t>
      </w:r>
      <w:r w:rsidR="00CA785E" w:rsidRPr="003A4A13">
        <w:rPr>
          <w:bCs/>
          <w:szCs w:val="24"/>
          <w:lang w:val="fr-CH"/>
        </w:rPr>
        <w:t>epuis la dernière réunion du GCD</w:t>
      </w:r>
      <w:r w:rsidRPr="003A4A13">
        <w:rPr>
          <w:bCs/>
          <w:szCs w:val="24"/>
          <w:lang w:val="fr-CH"/>
        </w:rPr>
        <w:t>T sont accessibles via les liens suivants:</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1/1 </w:t>
      </w:r>
      <w:r w:rsidR="007574F1" w:rsidRPr="003A4A13">
        <w:rPr>
          <w:lang w:val="fr-CH"/>
        </w:rPr>
        <w:t>disponible ici</w:t>
      </w:r>
      <w:r w:rsidR="006D525C" w:rsidRPr="003A4A13">
        <w:rPr>
          <w:lang w:val="fr-CH"/>
        </w:rPr>
        <w:t>: (</w:t>
      </w:r>
      <w:hyperlink r:id="rId16" w:history="1">
        <w:r w:rsidR="007574F1" w:rsidRPr="003A4A13">
          <w:rPr>
            <w:rStyle w:val="Hyperlink"/>
            <w:bCs/>
            <w:szCs w:val="24"/>
            <w:lang w:val="fr-CH"/>
          </w:rPr>
          <w:t>Rapport de mai 2018</w:t>
        </w:r>
      </w:hyperlink>
      <w:r w:rsidR="006D525C" w:rsidRPr="003A4A13">
        <w:rPr>
          <w:lang w:val="fr-CH"/>
        </w:rPr>
        <w:t>)(</w:t>
      </w:r>
      <w:hyperlink r:id="rId17" w:history="1">
        <w:r w:rsidR="00A50DBE" w:rsidRPr="003A4A13">
          <w:rPr>
            <w:rStyle w:val="Hyperlink"/>
            <w:bCs/>
            <w:szCs w:val="24"/>
            <w:lang w:val="fr-CH"/>
          </w:rPr>
          <w:t>s</w:t>
        </w:r>
        <w:r w:rsidR="006D525C" w:rsidRPr="003A4A13">
          <w:rPr>
            <w:rStyle w:val="Hyperlink"/>
            <w:bCs/>
            <w:szCs w:val="24"/>
            <w:lang w:val="fr-CH"/>
          </w:rPr>
          <w:t>eptemb</w:t>
        </w:r>
        <w:r w:rsidR="007574F1" w:rsidRPr="003A4A13">
          <w:rPr>
            <w:rStyle w:val="Hyperlink"/>
            <w:bCs/>
            <w:szCs w:val="24"/>
            <w:lang w:val="fr-CH"/>
          </w:rPr>
          <w:t>re</w:t>
        </w:r>
        <w:r w:rsidR="006D525C" w:rsidRPr="003A4A13">
          <w:rPr>
            <w:rStyle w:val="Hyperlink"/>
            <w:bCs/>
            <w:szCs w:val="24"/>
            <w:lang w:val="fr-CH"/>
          </w:rPr>
          <w:t xml:space="preserve"> 2018</w:t>
        </w:r>
      </w:hyperlink>
      <w:r w:rsidR="006D525C" w:rsidRPr="003A4A13">
        <w:rPr>
          <w:lang w:val="fr-CH"/>
        </w:rPr>
        <w:t>)</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2/1 </w:t>
      </w:r>
      <w:r w:rsidR="007574F1" w:rsidRPr="003A4A13">
        <w:rPr>
          <w:lang w:val="fr-CH"/>
        </w:rPr>
        <w:t>disponible ici</w:t>
      </w:r>
      <w:r w:rsidR="006D525C" w:rsidRPr="003A4A13">
        <w:rPr>
          <w:lang w:val="fr-CH"/>
        </w:rPr>
        <w:t>: (</w:t>
      </w:r>
      <w:hyperlink r:id="rId18" w:history="1">
        <w:r w:rsidR="007574F1" w:rsidRPr="003A4A13">
          <w:rPr>
            <w:rStyle w:val="Hyperlink"/>
            <w:bCs/>
            <w:szCs w:val="24"/>
            <w:lang w:val="fr-CH"/>
          </w:rPr>
          <w:t xml:space="preserve">Rapport de mai </w:t>
        </w:r>
        <w:r w:rsidR="006D525C" w:rsidRPr="003A4A13">
          <w:rPr>
            <w:rStyle w:val="Hyperlink"/>
            <w:bCs/>
            <w:szCs w:val="24"/>
            <w:lang w:val="fr-CH"/>
          </w:rPr>
          <w:t>2018</w:t>
        </w:r>
      </w:hyperlink>
      <w:r w:rsidR="006D525C" w:rsidRPr="003A4A13">
        <w:rPr>
          <w:lang w:val="fr-CH"/>
        </w:rPr>
        <w:t>)(</w:t>
      </w:r>
      <w:hyperlink r:id="rId19" w:history="1">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hyperlink>
      <w:r w:rsidR="006D525C" w:rsidRPr="003A4A13">
        <w:rPr>
          <w:lang w:val="fr-CH"/>
        </w:rPr>
        <w:t>)</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3/1 </w:t>
      </w:r>
      <w:r w:rsidR="007574F1" w:rsidRPr="003A4A13">
        <w:rPr>
          <w:lang w:val="fr-CH"/>
        </w:rPr>
        <w:t>disponible ici</w:t>
      </w:r>
      <w:r w:rsidR="006D525C" w:rsidRPr="003A4A13">
        <w:rPr>
          <w:lang w:val="fr-CH"/>
        </w:rPr>
        <w:t>: (</w:t>
      </w:r>
      <w:hyperlink r:id="rId20" w:history="1">
        <w:r w:rsidR="007574F1" w:rsidRPr="003A4A13">
          <w:rPr>
            <w:rStyle w:val="Hyperlink"/>
            <w:bCs/>
            <w:szCs w:val="24"/>
            <w:lang w:val="fr-CH"/>
          </w:rPr>
          <w:t xml:space="preserve">Rapport de mai </w:t>
        </w:r>
        <w:r w:rsidR="006D525C" w:rsidRPr="003A4A13">
          <w:rPr>
            <w:rStyle w:val="Hyperlink"/>
            <w:bCs/>
            <w:szCs w:val="24"/>
            <w:lang w:val="fr-CH"/>
          </w:rPr>
          <w:t>2018</w:t>
        </w:r>
      </w:hyperlink>
      <w:r w:rsidR="006D525C" w:rsidRPr="003A4A13">
        <w:rPr>
          <w:lang w:val="fr-CH"/>
        </w:rPr>
        <w:t>)(</w:t>
      </w:r>
      <w:hyperlink r:id="rId21" w:history="1">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hyperlink>
      <w:r w:rsidR="006D525C" w:rsidRPr="003A4A13">
        <w:rPr>
          <w:lang w:val="fr-CH"/>
        </w:rPr>
        <w:t>)</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4/1 </w:t>
      </w:r>
      <w:r w:rsidR="007574F1" w:rsidRPr="003A4A13">
        <w:rPr>
          <w:lang w:val="fr-CH"/>
        </w:rPr>
        <w:t>disponible ici</w:t>
      </w:r>
      <w:r w:rsidR="006D525C" w:rsidRPr="003A4A13">
        <w:rPr>
          <w:lang w:val="fr-CH"/>
        </w:rPr>
        <w:t>: (</w:t>
      </w:r>
      <w:hyperlink r:id="rId22" w:history="1">
        <w:r w:rsidR="007574F1" w:rsidRPr="003A4A13">
          <w:rPr>
            <w:rStyle w:val="Hyperlink"/>
            <w:bCs/>
            <w:szCs w:val="24"/>
            <w:lang w:val="fr-CH"/>
          </w:rPr>
          <w:t xml:space="preserve">Rapport de mai </w:t>
        </w:r>
        <w:r w:rsidR="006D525C" w:rsidRPr="003A4A13">
          <w:rPr>
            <w:rStyle w:val="Hyperlink"/>
            <w:bCs/>
            <w:szCs w:val="24"/>
            <w:lang w:val="fr-CH"/>
          </w:rPr>
          <w:t>2018</w:t>
        </w:r>
      </w:hyperlink>
      <w:r w:rsidR="006D525C" w:rsidRPr="003A4A13">
        <w:rPr>
          <w:lang w:val="fr-CH"/>
        </w:rPr>
        <w:t>)(</w:t>
      </w:r>
      <w:hyperlink r:id="rId23" w:history="1">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hyperlink>
      <w:r w:rsidR="006D525C" w:rsidRPr="003A4A13">
        <w:rPr>
          <w:lang w:val="fr-CH"/>
        </w:rPr>
        <w:t>)</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5/1 </w:t>
      </w:r>
      <w:r w:rsidR="007574F1" w:rsidRPr="003A4A13">
        <w:rPr>
          <w:lang w:val="fr-CH"/>
        </w:rPr>
        <w:t>disponible ici</w:t>
      </w:r>
      <w:r w:rsidR="006D525C" w:rsidRPr="003A4A13">
        <w:rPr>
          <w:lang w:val="fr-CH"/>
        </w:rPr>
        <w:t>: (</w:t>
      </w:r>
      <w:hyperlink r:id="rId24" w:history="1">
        <w:r w:rsidR="007574F1" w:rsidRPr="003A4A13">
          <w:rPr>
            <w:rStyle w:val="Hyperlink"/>
            <w:bCs/>
            <w:szCs w:val="24"/>
            <w:lang w:val="fr-CH"/>
          </w:rPr>
          <w:t xml:space="preserve">Rapport de mai </w:t>
        </w:r>
        <w:r w:rsidR="006D525C" w:rsidRPr="003A4A13">
          <w:rPr>
            <w:rStyle w:val="Hyperlink"/>
            <w:bCs/>
            <w:szCs w:val="24"/>
            <w:lang w:val="fr-CH"/>
          </w:rPr>
          <w:t>2018</w:t>
        </w:r>
      </w:hyperlink>
      <w:r w:rsidR="006D525C" w:rsidRPr="003A4A13">
        <w:rPr>
          <w:lang w:val="fr-CH"/>
        </w:rPr>
        <w:t>)(</w:t>
      </w:r>
      <w:hyperlink r:id="rId25" w:history="1">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hyperlink>
      <w:r w:rsidR="006D525C" w:rsidRPr="003A4A13">
        <w:rPr>
          <w:lang w:val="fr-CH"/>
        </w:rPr>
        <w:t>)</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6/1 </w:t>
      </w:r>
      <w:r w:rsidR="007574F1" w:rsidRPr="003A4A13">
        <w:rPr>
          <w:lang w:val="fr-CH"/>
        </w:rPr>
        <w:t>disponible ici</w:t>
      </w:r>
      <w:r w:rsidR="006D525C" w:rsidRPr="003A4A13">
        <w:rPr>
          <w:lang w:val="fr-CH"/>
        </w:rPr>
        <w:t>: (</w:t>
      </w:r>
      <w:hyperlink r:id="rId26" w:history="1">
        <w:r w:rsidR="007574F1" w:rsidRPr="003A4A13">
          <w:rPr>
            <w:rStyle w:val="Hyperlink"/>
            <w:bCs/>
            <w:szCs w:val="24"/>
            <w:lang w:val="fr-CH"/>
          </w:rPr>
          <w:t xml:space="preserve">Rapport de mai </w:t>
        </w:r>
        <w:r w:rsidR="006D525C" w:rsidRPr="003A4A13">
          <w:rPr>
            <w:rStyle w:val="Hyperlink"/>
            <w:bCs/>
            <w:szCs w:val="24"/>
            <w:lang w:val="fr-CH"/>
          </w:rPr>
          <w:t>2018</w:t>
        </w:r>
      </w:hyperlink>
      <w:r w:rsidR="006D525C" w:rsidRPr="003A4A13">
        <w:rPr>
          <w:lang w:val="fr-CH"/>
        </w:rPr>
        <w:t>)(</w:t>
      </w:r>
      <w:hyperlink r:id="rId27" w:history="1">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hyperlink>
      <w:r w:rsidR="006D525C" w:rsidRPr="003A4A13">
        <w:rPr>
          <w:lang w:val="fr-CH"/>
        </w:rPr>
        <w:t>)</w:t>
      </w:r>
    </w:p>
    <w:p w:rsidR="006D525C" w:rsidRPr="003A4A13" w:rsidRDefault="00F76FB2" w:rsidP="00AD43DF">
      <w:pPr>
        <w:pStyle w:val="enumlev1"/>
        <w:spacing w:before="60"/>
        <w:rPr>
          <w:lang w:val="fr-CH"/>
        </w:rPr>
      </w:pPr>
      <w:r w:rsidRPr="003A4A13">
        <w:rPr>
          <w:lang w:val="fr-CH"/>
        </w:rPr>
        <w:t>–</w:t>
      </w:r>
      <w:r w:rsidRPr="003A4A13">
        <w:rPr>
          <w:lang w:val="fr-CH"/>
        </w:rPr>
        <w:tab/>
      </w:r>
      <w:r w:rsidR="006D525C" w:rsidRPr="003A4A13">
        <w:rPr>
          <w:lang w:val="fr-CH"/>
        </w:rPr>
        <w:t xml:space="preserve">Question 7/1 </w:t>
      </w:r>
      <w:r w:rsidR="007574F1" w:rsidRPr="003A4A13">
        <w:rPr>
          <w:lang w:val="fr-CH"/>
        </w:rPr>
        <w:t>disponible ici</w:t>
      </w:r>
      <w:r w:rsidR="006D525C" w:rsidRPr="003A4A13">
        <w:rPr>
          <w:lang w:val="fr-CH"/>
        </w:rPr>
        <w:t>: (</w:t>
      </w:r>
      <w:hyperlink r:id="rId28" w:history="1">
        <w:r w:rsidR="007574F1" w:rsidRPr="003A4A13">
          <w:rPr>
            <w:rStyle w:val="Hyperlink"/>
            <w:bCs/>
            <w:szCs w:val="24"/>
            <w:lang w:val="fr-CH"/>
          </w:rPr>
          <w:t xml:space="preserve">Rapport de mai </w:t>
        </w:r>
        <w:r w:rsidR="006D525C" w:rsidRPr="003A4A13">
          <w:rPr>
            <w:rStyle w:val="Hyperlink"/>
            <w:bCs/>
            <w:szCs w:val="24"/>
            <w:lang w:val="fr-CH"/>
          </w:rPr>
          <w:t>2018</w:t>
        </w:r>
      </w:hyperlink>
      <w:r w:rsidR="006D525C" w:rsidRPr="003A4A13">
        <w:rPr>
          <w:lang w:val="fr-CH"/>
        </w:rPr>
        <w:t>)(</w:t>
      </w:r>
      <w:hyperlink r:id="rId29" w:history="1">
        <w:r w:rsidR="00A50DBE" w:rsidRPr="003A4A13">
          <w:rPr>
            <w:rStyle w:val="Hyperlink"/>
            <w:bCs/>
            <w:szCs w:val="24"/>
            <w:lang w:val="fr-CH"/>
          </w:rPr>
          <w:t>s</w:t>
        </w:r>
        <w:r w:rsidR="007574F1" w:rsidRPr="003A4A13">
          <w:rPr>
            <w:rStyle w:val="Hyperlink"/>
            <w:bCs/>
            <w:szCs w:val="24"/>
            <w:lang w:val="fr-CH"/>
          </w:rPr>
          <w:t xml:space="preserve">eptembre </w:t>
        </w:r>
        <w:r w:rsidR="006D525C" w:rsidRPr="003A4A13">
          <w:rPr>
            <w:rStyle w:val="Hyperlink"/>
            <w:bCs/>
            <w:szCs w:val="24"/>
            <w:lang w:val="fr-CH"/>
          </w:rPr>
          <w:t>2018</w:t>
        </w:r>
      </w:hyperlink>
      <w:r w:rsidR="006D525C" w:rsidRPr="003A4A13">
        <w:rPr>
          <w:lang w:val="fr-CH"/>
        </w:rPr>
        <w:t>)</w:t>
      </w:r>
    </w:p>
    <w:p w:rsidR="00044FB3" w:rsidRPr="003A4A13" w:rsidRDefault="006D525C" w:rsidP="00AE6B70">
      <w:pPr>
        <w:pStyle w:val="Heading1"/>
        <w:rPr>
          <w:lang w:val="fr-CH"/>
        </w:rPr>
      </w:pPr>
      <w:r w:rsidRPr="003A4A13">
        <w:rPr>
          <w:lang w:val="fr-CH"/>
        </w:rPr>
        <w:t>3</w:t>
      </w:r>
      <w:r w:rsidRPr="003A4A13">
        <w:rPr>
          <w:lang w:val="fr-CH"/>
        </w:rPr>
        <w:tab/>
      </w:r>
      <w:r w:rsidR="00044FB3" w:rsidRPr="003A4A13">
        <w:rPr>
          <w:lang w:val="fr-CH"/>
        </w:rPr>
        <w:t>Stratégie et programme de travail de la Commission d</w:t>
      </w:r>
      <w:r w:rsidR="00B47AFA" w:rsidRPr="003A4A13">
        <w:rPr>
          <w:lang w:val="fr-CH"/>
        </w:rPr>
        <w:t>'</w:t>
      </w:r>
      <w:r w:rsidR="00044FB3" w:rsidRPr="003A4A13">
        <w:rPr>
          <w:lang w:val="fr-CH"/>
        </w:rPr>
        <w:t>études 1</w:t>
      </w:r>
    </w:p>
    <w:p w:rsidR="00AE1E38" w:rsidRPr="003A4A13" w:rsidRDefault="006D525C" w:rsidP="00CA785E">
      <w:pPr>
        <w:rPr>
          <w:lang w:val="fr-CH"/>
        </w:rPr>
      </w:pPr>
      <w:r w:rsidRPr="003A4A13">
        <w:rPr>
          <w:lang w:val="fr-CH"/>
        </w:rPr>
        <w:t>L</w:t>
      </w:r>
      <w:r w:rsidR="00920682" w:rsidRPr="003A4A13">
        <w:rPr>
          <w:lang w:val="fr-CH"/>
        </w:rPr>
        <w:t>a</w:t>
      </w:r>
      <w:r w:rsidRPr="003A4A13">
        <w:rPr>
          <w:lang w:val="fr-CH"/>
        </w:rPr>
        <w:t xml:space="preserve"> Commission d</w:t>
      </w:r>
      <w:r w:rsidR="00B47AFA" w:rsidRPr="003A4A13">
        <w:rPr>
          <w:lang w:val="fr-CH"/>
        </w:rPr>
        <w:t>'</w:t>
      </w:r>
      <w:r w:rsidRPr="003A4A13">
        <w:rPr>
          <w:lang w:val="fr-CH"/>
        </w:rPr>
        <w:t>études</w:t>
      </w:r>
      <w:r w:rsidR="00920682" w:rsidRPr="003A4A13">
        <w:rPr>
          <w:lang w:val="fr-CH"/>
        </w:rPr>
        <w:t xml:space="preserve"> 1</w:t>
      </w:r>
      <w:r w:rsidRPr="003A4A13">
        <w:rPr>
          <w:lang w:val="fr-CH"/>
        </w:rPr>
        <w:t xml:space="preserve"> mène</w:t>
      </w:r>
      <w:r w:rsidR="00920682" w:rsidRPr="003A4A13">
        <w:rPr>
          <w:lang w:val="fr-CH"/>
        </w:rPr>
        <w:t xml:space="preserve"> ses</w:t>
      </w:r>
      <w:r w:rsidRPr="003A4A13">
        <w:rPr>
          <w:lang w:val="fr-CH"/>
        </w:rPr>
        <w:t xml:space="preserve"> travaux conformément </w:t>
      </w:r>
      <w:r w:rsidR="00920682" w:rsidRPr="003A4A13">
        <w:rPr>
          <w:lang w:val="fr-CH"/>
        </w:rPr>
        <w:t>à son domaine de compétence défini dans la Résolution 2 (Rév. Buenos Aires, 2017) "Etablissement de commissions d</w:t>
      </w:r>
      <w:r w:rsidR="00B47AFA" w:rsidRPr="003A4A13">
        <w:rPr>
          <w:lang w:val="fr-CH"/>
        </w:rPr>
        <w:t>'</w:t>
      </w:r>
      <w:r w:rsidR="00920682" w:rsidRPr="003A4A13">
        <w:rPr>
          <w:lang w:val="fr-CH"/>
        </w:rPr>
        <w:t>études", afin d</w:t>
      </w:r>
      <w:r w:rsidR="00B47AFA" w:rsidRPr="003A4A13">
        <w:rPr>
          <w:lang w:val="fr-CH"/>
        </w:rPr>
        <w:t>'</w:t>
      </w:r>
      <w:r w:rsidR="00920682" w:rsidRPr="003A4A13">
        <w:rPr>
          <w:lang w:val="fr-CH"/>
        </w:rPr>
        <w:t>obtenir les résultats escomptés pour la période 2018-2021. A sa première réunion, la CE 1 a approuvé son programme de travail sur quatre ans, figurant dans l</w:t>
      </w:r>
      <w:r w:rsidR="00B47AFA" w:rsidRPr="003A4A13">
        <w:rPr>
          <w:lang w:val="fr-CH"/>
        </w:rPr>
        <w:t>'</w:t>
      </w:r>
      <w:r w:rsidR="00920682" w:rsidRPr="003A4A13">
        <w:rPr>
          <w:b/>
          <w:bCs/>
          <w:lang w:val="fr-CH"/>
        </w:rPr>
        <w:t>Annexe 2</w:t>
      </w:r>
      <w:r w:rsidR="00920682" w:rsidRPr="003A4A13">
        <w:rPr>
          <w:lang w:val="fr-CH"/>
        </w:rPr>
        <w:t xml:space="preserve"> du présent Rapport.</w:t>
      </w:r>
      <w:r w:rsidR="0069285B" w:rsidRPr="003A4A13">
        <w:rPr>
          <w:lang w:val="fr-CH"/>
        </w:rPr>
        <w:t xml:space="preserve"> </w:t>
      </w:r>
      <w:r w:rsidR="00B104A8" w:rsidRPr="003A4A13">
        <w:rPr>
          <w:lang w:val="fr-CH"/>
        </w:rPr>
        <w:t>Le Groupe consultatif pour le développement des télécommunications (GCDT) s</w:t>
      </w:r>
      <w:r w:rsidR="00B47AFA" w:rsidRPr="003A4A13">
        <w:rPr>
          <w:lang w:val="fr-CH"/>
        </w:rPr>
        <w:t>'</w:t>
      </w:r>
      <w:r w:rsidR="00B104A8" w:rsidRPr="003A4A13">
        <w:rPr>
          <w:lang w:val="fr-CH"/>
        </w:rPr>
        <w:t xml:space="preserve">étant réuni du 9 au 11 avril, </w:t>
      </w:r>
      <w:r w:rsidR="00CA785E" w:rsidRPr="003A4A13">
        <w:rPr>
          <w:lang w:val="fr-CH"/>
        </w:rPr>
        <w:t xml:space="preserve">soit </w:t>
      </w:r>
      <w:r w:rsidR="00B104A8" w:rsidRPr="003A4A13">
        <w:rPr>
          <w:lang w:val="fr-CH"/>
        </w:rPr>
        <w:t xml:space="preserve">avant la première réunion de la CE 1, le </w:t>
      </w:r>
      <w:r w:rsidR="00CA785E" w:rsidRPr="003A4A13">
        <w:rPr>
          <w:lang w:val="fr-CH"/>
        </w:rPr>
        <w:t>programme</w:t>
      </w:r>
      <w:r w:rsidR="00B104A8" w:rsidRPr="003A4A13">
        <w:rPr>
          <w:lang w:val="fr-CH"/>
        </w:rPr>
        <w:t xml:space="preserve"> de travail avait </w:t>
      </w:r>
      <w:r w:rsidR="0069285B" w:rsidRPr="003A4A13">
        <w:rPr>
          <w:lang w:val="fr-CH"/>
        </w:rPr>
        <w:t>déjà été présenté</w:t>
      </w:r>
      <w:r w:rsidR="00B104A8" w:rsidRPr="003A4A13">
        <w:rPr>
          <w:lang w:val="fr-CH"/>
        </w:rPr>
        <w:t xml:space="preserve"> au GCDT</w:t>
      </w:r>
      <w:r w:rsidR="0069285B" w:rsidRPr="003A4A13">
        <w:rPr>
          <w:lang w:val="fr-CH"/>
        </w:rPr>
        <w:t xml:space="preserve"> (Document </w:t>
      </w:r>
      <w:hyperlink r:id="rId30" w:history="1">
        <w:r w:rsidR="0069285B" w:rsidRPr="003A4A13">
          <w:rPr>
            <w:rStyle w:val="Hyperlink"/>
            <w:lang w:val="fr-CH"/>
          </w:rPr>
          <w:t>TDAG-18/12</w:t>
        </w:r>
      </w:hyperlink>
      <w:r w:rsidR="0069285B" w:rsidRPr="003A4A13">
        <w:rPr>
          <w:lang w:val="fr-CH"/>
        </w:rPr>
        <w:t>)</w:t>
      </w:r>
      <w:r w:rsidR="00B104A8" w:rsidRPr="003A4A13">
        <w:rPr>
          <w:lang w:val="fr-CH"/>
        </w:rPr>
        <w:t>, qui en a pris note.</w:t>
      </w:r>
    </w:p>
    <w:p w:rsidR="00AE1E38" w:rsidRPr="003A4A13" w:rsidRDefault="009939FD" w:rsidP="00CC0E69">
      <w:pPr>
        <w:rPr>
          <w:lang w:val="fr-CH"/>
        </w:rPr>
      </w:pPr>
      <w:r w:rsidRPr="003A4A13">
        <w:rPr>
          <w:lang w:val="fr-CH"/>
        </w:rPr>
        <w:lastRenderedPageBreak/>
        <w:t xml:space="preserve">La Présidente de la CE </w:t>
      </w:r>
      <w:r w:rsidR="00CA785E" w:rsidRPr="003A4A13">
        <w:rPr>
          <w:lang w:val="fr-CH"/>
        </w:rPr>
        <w:t xml:space="preserve">1 </w:t>
      </w:r>
      <w:r w:rsidRPr="003A4A13">
        <w:rPr>
          <w:lang w:val="fr-CH"/>
        </w:rPr>
        <w:t>a expliqué qu</w:t>
      </w:r>
      <w:r w:rsidR="00B47AFA" w:rsidRPr="003A4A13">
        <w:rPr>
          <w:lang w:val="fr-CH"/>
        </w:rPr>
        <w:t>'</w:t>
      </w:r>
      <w:r w:rsidRPr="003A4A13">
        <w:rPr>
          <w:lang w:val="fr-CH"/>
        </w:rPr>
        <w:t>il est nécessaire que les Groupes du Rapporteur planifient l</w:t>
      </w:r>
      <w:r w:rsidR="00B47AFA" w:rsidRPr="003A4A13">
        <w:rPr>
          <w:lang w:val="fr-CH"/>
        </w:rPr>
        <w:t>'</w:t>
      </w:r>
      <w:r w:rsidRPr="003A4A13">
        <w:rPr>
          <w:lang w:val="fr-CH"/>
        </w:rPr>
        <w:t>élaboration de</w:t>
      </w:r>
      <w:r w:rsidR="00CA785E" w:rsidRPr="003A4A13">
        <w:rPr>
          <w:lang w:val="fr-CH"/>
        </w:rPr>
        <w:t>s produits annuels sur des sous-</w:t>
      </w:r>
      <w:r w:rsidRPr="003A4A13">
        <w:rPr>
          <w:lang w:val="fr-CH"/>
        </w:rPr>
        <w:t xml:space="preserve">thèmes </w:t>
      </w:r>
      <w:r w:rsidR="00CA785E" w:rsidRPr="003A4A13">
        <w:rPr>
          <w:lang w:val="fr-CH"/>
        </w:rPr>
        <w:t xml:space="preserve">se rapportant aux Questions; </w:t>
      </w:r>
      <w:r w:rsidRPr="003A4A13">
        <w:rPr>
          <w:lang w:val="fr-CH"/>
        </w:rPr>
        <w:t xml:space="preserve">les Rapporteurs ont </w:t>
      </w:r>
      <w:r w:rsidR="00CA785E" w:rsidRPr="003A4A13">
        <w:rPr>
          <w:lang w:val="fr-CH"/>
        </w:rPr>
        <w:t xml:space="preserve">donc </w:t>
      </w:r>
      <w:r w:rsidRPr="003A4A13">
        <w:rPr>
          <w:lang w:val="fr-CH"/>
        </w:rPr>
        <w:t>été invités à travailler dans le cadre de chaque Question afin de veiller à ce que ces produits soient fournis. La Présidente a présenté le calendrier des futures réunions de la Commission d</w:t>
      </w:r>
      <w:r w:rsidR="00B47AFA" w:rsidRPr="003A4A13">
        <w:rPr>
          <w:lang w:val="fr-CH"/>
        </w:rPr>
        <w:t>'</w:t>
      </w:r>
      <w:r w:rsidRPr="003A4A13">
        <w:rPr>
          <w:lang w:val="fr-CH"/>
        </w:rPr>
        <w:t>études 1 et des Groupes du Rapporteur et a en outre demandé au</w:t>
      </w:r>
      <w:r w:rsidR="00CA785E" w:rsidRPr="003A4A13">
        <w:rPr>
          <w:lang w:val="fr-CH"/>
        </w:rPr>
        <w:t>x</w:t>
      </w:r>
      <w:r w:rsidRPr="003A4A13">
        <w:rPr>
          <w:lang w:val="fr-CH"/>
        </w:rPr>
        <w:t xml:space="preserve"> Groupe</w:t>
      </w:r>
      <w:r w:rsidR="00CA785E" w:rsidRPr="003A4A13">
        <w:rPr>
          <w:lang w:val="fr-CH"/>
        </w:rPr>
        <w:t>s</w:t>
      </w:r>
      <w:r w:rsidRPr="003A4A13">
        <w:rPr>
          <w:lang w:val="fr-CH"/>
        </w:rPr>
        <w:t xml:space="preserve"> du Rapporteur</w:t>
      </w:r>
      <w:r w:rsidR="00CA785E" w:rsidRPr="003A4A13">
        <w:rPr>
          <w:lang w:val="fr-CH"/>
        </w:rPr>
        <w:t>, d'une part,</w:t>
      </w:r>
      <w:r w:rsidRPr="003A4A13">
        <w:rPr>
          <w:lang w:val="fr-CH"/>
        </w:rPr>
        <w:t xml:space="preserve"> d</w:t>
      </w:r>
      <w:r w:rsidR="00B47AFA" w:rsidRPr="003A4A13">
        <w:rPr>
          <w:lang w:val="fr-CH"/>
        </w:rPr>
        <w:t>'</w:t>
      </w:r>
      <w:r w:rsidRPr="003A4A13">
        <w:rPr>
          <w:lang w:val="fr-CH"/>
        </w:rPr>
        <w:t>identifier des sujets appropriés afin d</w:t>
      </w:r>
      <w:r w:rsidR="00B47AFA" w:rsidRPr="003A4A13">
        <w:rPr>
          <w:lang w:val="fr-CH"/>
        </w:rPr>
        <w:t>'</w:t>
      </w:r>
      <w:r w:rsidRPr="003A4A13">
        <w:rPr>
          <w:lang w:val="fr-CH"/>
        </w:rPr>
        <w:t xml:space="preserve">organiser des séminaires et des ateliers qui </w:t>
      </w:r>
      <w:r w:rsidR="00CA785E" w:rsidRPr="003A4A13">
        <w:rPr>
          <w:lang w:val="fr-CH"/>
        </w:rPr>
        <w:t>leur semblaient</w:t>
      </w:r>
      <w:r w:rsidRPr="003A4A13">
        <w:rPr>
          <w:lang w:val="fr-CH"/>
        </w:rPr>
        <w:t xml:space="preserve"> utiles et</w:t>
      </w:r>
      <w:r w:rsidR="00CA785E" w:rsidRPr="003A4A13">
        <w:rPr>
          <w:lang w:val="fr-CH"/>
        </w:rPr>
        <w:t>, d'autre part,</w:t>
      </w:r>
      <w:r w:rsidRPr="003A4A13">
        <w:rPr>
          <w:lang w:val="fr-CH"/>
        </w:rPr>
        <w:t xml:space="preserve"> de présenter des propositions correspondantes à la Commission d</w:t>
      </w:r>
      <w:r w:rsidR="00B47AFA" w:rsidRPr="003A4A13">
        <w:rPr>
          <w:lang w:val="fr-CH"/>
        </w:rPr>
        <w:t>'</w:t>
      </w:r>
      <w:r w:rsidRPr="003A4A13">
        <w:rPr>
          <w:lang w:val="fr-CH"/>
        </w:rPr>
        <w:t>études. La</w:t>
      </w:r>
      <w:r w:rsidR="00261362" w:rsidRPr="003A4A13">
        <w:rPr>
          <w:lang w:val="fr-CH"/>
        </w:rPr>
        <w:t xml:space="preserve"> Présidente a invité tous les (C</w:t>
      </w:r>
      <w:r w:rsidR="004B0278" w:rsidRPr="003A4A13">
        <w:rPr>
          <w:lang w:val="fr-CH"/>
        </w:rPr>
        <w:t>o)</w:t>
      </w:r>
      <w:r w:rsidR="00CA785E" w:rsidRPr="003A4A13">
        <w:rPr>
          <w:lang w:val="fr-CH"/>
        </w:rPr>
        <w:t>Rapporteurs et Vice-</w:t>
      </w:r>
      <w:r w:rsidRPr="003A4A13">
        <w:rPr>
          <w:lang w:val="fr-CH"/>
        </w:rPr>
        <w:t>Rapporteurs</w:t>
      </w:r>
      <w:r w:rsidR="009030FB" w:rsidRPr="003A4A13">
        <w:rPr>
          <w:lang w:val="fr-CH"/>
        </w:rPr>
        <w:t xml:space="preserve"> à faire leur possible pour définir une feuille de route claire, qui puisse ensuite servir de base solide pour les réunions à venir. </w:t>
      </w:r>
      <w:r w:rsidR="00AE1E38" w:rsidRPr="003A4A13">
        <w:rPr>
          <w:lang w:val="fr-CH"/>
        </w:rPr>
        <w:t>L</w:t>
      </w:r>
      <w:r w:rsidR="00B47AFA" w:rsidRPr="003A4A13">
        <w:rPr>
          <w:lang w:val="fr-CH"/>
        </w:rPr>
        <w:t>'</w:t>
      </w:r>
      <w:r w:rsidR="00AE1E38" w:rsidRPr="003A4A13">
        <w:rPr>
          <w:lang w:val="fr-CH"/>
        </w:rPr>
        <w:t>importance de la coordination intersectorielle, telle que l</w:t>
      </w:r>
      <w:r w:rsidR="00B47AFA" w:rsidRPr="003A4A13">
        <w:rPr>
          <w:lang w:val="fr-CH"/>
        </w:rPr>
        <w:t>'</w:t>
      </w:r>
      <w:r w:rsidR="00AE1E38" w:rsidRPr="003A4A13">
        <w:rPr>
          <w:lang w:val="fr-CH"/>
        </w:rPr>
        <w:t>a conseillé</w:t>
      </w:r>
      <w:r w:rsidR="00CA785E" w:rsidRPr="003A4A13">
        <w:rPr>
          <w:lang w:val="fr-CH"/>
        </w:rPr>
        <w:t>e</w:t>
      </w:r>
      <w:r w:rsidR="00AE1E38" w:rsidRPr="003A4A13">
        <w:rPr>
          <w:lang w:val="fr-CH"/>
        </w:rPr>
        <w:t xml:space="preserve"> le GCDT, a aussi été mise en lumière. La Présidente a encouragé les membres à </w:t>
      </w:r>
      <w:r w:rsidR="00CA785E" w:rsidRPr="003A4A13">
        <w:rPr>
          <w:lang w:val="fr-CH"/>
        </w:rPr>
        <w:t>tout mettre en oeuvre pour renforcer</w:t>
      </w:r>
      <w:r w:rsidR="00AE1E38" w:rsidRPr="003A4A13">
        <w:rPr>
          <w:lang w:val="fr-CH"/>
        </w:rPr>
        <w:t xml:space="preserve"> la collaboration entre les Secteurs afin </w:t>
      </w:r>
      <w:r w:rsidR="00CA785E" w:rsidRPr="003A4A13">
        <w:rPr>
          <w:lang w:val="fr-CH"/>
        </w:rPr>
        <w:t xml:space="preserve">d'accroître </w:t>
      </w:r>
      <w:r w:rsidR="00AE1E38" w:rsidRPr="003A4A13">
        <w:rPr>
          <w:lang w:val="fr-CH"/>
        </w:rPr>
        <w:t xml:space="preserve">encore </w:t>
      </w:r>
      <w:r w:rsidR="00CA785E" w:rsidRPr="003A4A13">
        <w:rPr>
          <w:lang w:val="fr-CH"/>
        </w:rPr>
        <w:t>les compétences techniques</w:t>
      </w:r>
      <w:r w:rsidR="00AE1E38" w:rsidRPr="003A4A13">
        <w:rPr>
          <w:lang w:val="fr-CH"/>
        </w:rPr>
        <w:t xml:space="preserve"> disponible</w:t>
      </w:r>
      <w:r w:rsidR="00CA785E" w:rsidRPr="003A4A13">
        <w:rPr>
          <w:lang w:val="fr-CH"/>
        </w:rPr>
        <w:t>s</w:t>
      </w:r>
      <w:r w:rsidR="00AE1E38" w:rsidRPr="003A4A13">
        <w:rPr>
          <w:lang w:val="fr-CH"/>
        </w:rPr>
        <w:t xml:space="preserve"> et de </w:t>
      </w:r>
      <w:r w:rsidR="00CA785E" w:rsidRPr="003A4A13">
        <w:rPr>
          <w:lang w:val="fr-CH"/>
        </w:rPr>
        <w:t>faire en sorte</w:t>
      </w:r>
      <w:r w:rsidR="00AE1E38" w:rsidRPr="003A4A13">
        <w:rPr>
          <w:lang w:val="fr-CH"/>
        </w:rPr>
        <w:t xml:space="preserve"> qu</w:t>
      </w:r>
      <w:r w:rsidR="00B47AFA" w:rsidRPr="003A4A13">
        <w:rPr>
          <w:lang w:val="fr-CH"/>
        </w:rPr>
        <w:t>'</w:t>
      </w:r>
      <w:r w:rsidR="00AE1E38" w:rsidRPr="003A4A13">
        <w:rPr>
          <w:lang w:val="fr-CH"/>
        </w:rPr>
        <w:t xml:space="preserve">un plus grand nombre de </w:t>
      </w:r>
      <w:r w:rsidR="00CA785E" w:rsidRPr="003A4A13">
        <w:rPr>
          <w:lang w:val="fr-CH"/>
        </w:rPr>
        <w:t>sujets</w:t>
      </w:r>
      <w:r w:rsidR="00AE1E38" w:rsidRPr="003A4A13">
        <w:rPr>
          <w:lang w:val="fr-CH"/>
        </w:rPr>
        <w:t xml:space="preserve"> puissent être traités sous le même thème.</w:t>
      </w:r>
    </w:p>
    <w:p w:rsidR="00AE1E38" w:rsidRPr="003A4A13" w:rsidRDefault="00083258" w:rsidP="00CA785E">
      <w:pPr>
        <w:tabs>
          <w:tab w:val="clear" w:pos="794"/>
          <w:tab w:val="clear" w:pos="1191"/>
          <w:tab w:val="clear" w:pos="1588"/>
          <w:tab w:val="clear" w:pos="1985"/>
        </w:tabs>
        <w:overflowPunct/>
        <w:autoSpaceDE/>
        <w:autoSpaceDN/>
        <w:adjustRightInd/>
        <w:textAlignment w:val="auto"/>
        <w:rPr>
          <w:bCs/>
          <w:lang w:val="fr-CH"/>
        </w:rPr>
      </w:pPr>
      <w:r w:rsidRPr="003A4A13">
        <w:rPr>
          <w:lang w:val="fr-CH"/>
        </w:rPr>
        <w:t>La Présidente a</w:t>
      </w:r>
      <w:r w:rsidR="006D431E" w:rsidRPr="003A4A13">
        <w:rPr>
          <w:lang w:val="fr-CH"/>
        </w:rPr>
        <w:t xml:space="preserve"> par ailleurs</w:t>
      </w:r>
      <w:r w:rsidRPr="003A4A13">
        <w:rPr>
          <w:lang w:val="fr-CH"/>
        </w:rPr>
        <w:t xml:space="preserve"> expliqué </w:t>
      </w:r>
      <w:r w:rsidR="006D431E" w:rsidRPr="003A4A13">
        <w:rPr>
          <w:lang w:val="fr-CH"/>
        </w:rPr>
        <w:t>sa vision d</w:t>
      </w:r>
      <w:r w:rsidRPr="003A4A13">
        <w:rPr>
          <w:lang w:val="fr-CH"/>
        </w:rPr>
        <w:t xml:space="preserve">es activités et </w:t>
      </w:r>
      <w:r w:rsidR="006D431E" w:rsidRPr="003A4A13">
        <w:rPr>
          <w:lang w:val="fr-CH"/>
        </w:rPr>
        <w:t>d</w:t>
      </w:r>
      <w:r w:rsidRPr="003A4A13">
        <w:rPr>
          <w:lang w:val="fr-CH"/>
        </w:rPr>
        <w:t>es objectifs de la C</w:t>
      </w:r>
      <w:r w:rsidR="006D431E" w:rsidRPr="003A4A13">
        <w:rPr>
          <w:lang w:val="fr-CH"/>
        </w:rPr>
        <w:t>E </w:t>
      </w:r>
      <w:r w:rsidRPr="003A4A13">
        <w:rPr>
          <w:lang w:val="fr-CH"/>
        </w:rPr>
        <w:t xml:space="preserve">1, </w:t>
      </w:r>
      <w:r w:rsidR="004B0278" w:rsidRPr="003A4A13">
        <w:rPr>
          <w:lang w:val="fr-CH"/>
        </w:rPr>
        <w:t xml:space="preserve">qui constitue un </w:t>
      </w:r>
      <w:r w:rsidR="00CA785E" w:rsidRPr="003A4A13">
        <w:rPr>
          <w:lang w:val="fr-CH"/>
        </w:rPr>
        <w:t>outil pour</w:t>
      </w:r>
      <w:r w:rsidR="004B0278" w:rsidRPr="003A4A13">
        <w:rPr>
          <w:lang w:val="fr-CH"/>
        </w:rPr>
        <w:t xml:space="preserve"> m</w:t>
      </w:r>
      <w:r w:rsidR="00CA785E" w:rsidRPr="003A4A13">
        <w:rPr>
          <w:lang w:val="fr-CH"/>
        </w:rPr>
        <w:t xml:space="preserve">ener à bien le travail demandé et </w:t>
      </w:r>
      <w:r w:rsidR="004B0278" w:rsidRPr="003A4A13">
        <w:rPr>
          <w:lang w:val="fr-CH"/>
        </w:rPr>
        <w:t xml:space="preserve">repose sur les trois piliers suivants: 1) </w:t>
      </w:r>
      <w:r w:rsidRPr="003A4A13">
        <w:rPr>
          <w:lang w:val="fr-CH"/>
        </w:rPr>
        <w:t>plus d</w:t>
      </w:r>
      <w:r w:rsidR="00B47AFA" w:rsidRPr="003A4A13">
        <w:rPr>
          <w:lang w:val="fr-CH"/>
        </w:rPr>
        <w:t>'</w:t>
      </w:r>
      <w:r w:rsidRPr="003A4A13">
        <w:rPr>
          <w:b/>
          <w:bCs/>
          <w:lang w:val="fr-CH"/>
        </w:rPr>
        <w:t>interaction</w:t>
      </w:r>
      <w:r w:rsidRPr="003A4A13">
        <w:rPr>
          <w:lang w:val="fr-CH"/>
        </w:rPr>
        <w:t xml:space="preserve"> entre les parties prenantes dans</w:t>
      </w:r>
      <w:r w:rsidR="004B0278" w:rsidRPr="003A4A13">
        <w:rPr>
          <w:lang w:val="fr-CH"/>
        </w:rPr>
        <w:t xml:space="preserve"> le cadre des </w:t>
      </w:r>
      <w:r w:rsidRPr="003A4A13">
        <w:rPr>
          <w:lang w:val="fr-CH"/>
        </w:rPr>
        <w:t>travaux (contributions, partage d</w:t>
      </w:r>
      <w:r w:rsidR="00B47AFA" w:rsidRPr="003A4A13">
        <w:rPr>
          <w:lang w:val="fr-CH"/>
        </w:rPr>
        <w:t>'</w:t>
      </w:r>
      <w:r w:rsidRPr="003A4A13">
        <w:rPr>
          <w:lang w:val="fr-CH"/>
        </w:rPr>
        <w:t>expériences, etc.);</w:t>
      </w:r>
      <w:r w:rsidR="004B0278" w:rsidRPr="003A4A13">
        <w:rPr>
          <w:lang w:val="fr-CH"/>
        </w:rPr>
        <w:t xml:space="preserve"> 2) plus d</w:t>
      </w:r>
      <w:r w:rsidR="00B47AFA" w:rsidRPr="003A4A13">
        <w:rPr>
          <w:lang w:val="fr-CH"/>
        </w:rPr>
        <w:t>'</w:t>
      </w:r>
      <w:r w:rsidRPr="003A4A13">
        <w:rPr>
          <w:b/>
          <w:bCs/>
          <w:lang w:val="fr-CH"/>
        </w:rPr>
        <w:t>innovation</w:t>
      </w:r>
      <w:r w:rsidRPr="003A4A13">
        <w:rPr>
          <w:lang w:val="fr-CH"/>
        </w:rPr>
        <w:t xml:space="preserve"> dans les méthodes de travail; </w:t>
      </w:r>
      <w:r w:rsidR="004B0278" w:rsidRPr="003A4A13">
        <w:rPr>
          <w:lang w:val="fr-CH"/>
        </w:rPr>
        <w:t xml:space="preserve">et </w:t>
      </w:r>
      <w:r w:rsidRPr="003A4A13">
        <w:rPr>
          <w:lang w:val="fr-CH"/>
        </w:rPr>
        <w:t>3)</w:t>
      </w:r>
      <w:r w:rsidR="004B0278" w:rsidRPr="003A4A13">
        <w:rPr>
          <w:lang w:val="fr-CH"/>
        </w:rPr>
        <w:t xml:space="preserve"> renforcement </w:t>
      </w:r>
      <w:r w:rsidRPr="003A4A13">
        <w:rPr>
          <w:lang w:val="fr-CH"/>
        </w:rPr>
        <w:t xml:space="preserve">de la </w:t>
      </w:r>
      <w:r w:rsidRPr="003A4A13">
        <w:rPr>
          <w:b/>
          <w:bCs/>
          <w:lang w:val="fr-CH"/>
        </w:rPr>
        <w:t>mise en oeuvre</w:t>
      </w:r>
      <w:r w:rsidRPr="003A4A13">
        <w:rPr>
          <w:lang w:val="fr-CH"/>
        </w:rPr>
        <w:t xml:space="preserve"> des résultats des </w:t>
      </w:r>
      <w:r w:rsidR="00CA785E" w:rsidRPr="003A4A13">
        <w:rPr>
          <w:lang w:val="fr-CH"/>
        </w:rPr>
        <w:t xml:space="preserve">travaux des </w:t>
      </w:r>
      <w:r w:rsidRPr="003A4A13">
        <w:rPr>
          <w:lang w:val="fr-CH"/>
        </w:rPr>
        <w:t>Commissions d</w:t>
      </w:r>
      <w:r w:rsidR="00B47AFA" w:rsidRPr="003A4A13">
        <w:rPr>
          <w:lang w:val="fr-CH"/>
        </w:rPr>
        <w:t>'</w:t>
      </w:r>
      <w:r w:rsidRPr="003A4A13">
        <w:rPr>
          <w:lang w:val="fr-CH"/>
        </w:rPr>
        <w:t>études de l</w:t>
      </w:r>
      <w:r w:rsidR="00B47AFA" w:rsidRPr="003A4A13">
        <w:rPr>
          <w:lang w:val="fr-CH"/>
        </w:rPr>
        <w:t>'</w:t>
      </w:r>
      <w:r w:rsidRPr="003A4A13">
        <w:rPr>
          <w:lang w:val="fr-CH"/>
        </w:rPr>
        <w:t>UIT-D par les Etats Membres.</w:t>
      </w:r>
      <w:r w:rsidR="004B0278" w:rsidRPr="003A4A13">
        <w:rPr>
          <w:lang w:val="fr-CH"/>
        </w:rPr>
        <w:t xml:space="preserve"> </w:t>
      </w:r>
      <w:r w:rsidRPr="003A4A13">
        <w:rPr>
          <w:bCs/>
          <w:lang w:val="fr-CH"/>
        </w:rPr>
        <w:t xml:space="preserve">La Présidente a encouragé tous les participants à appuyer cette </w:t>
      </w:r>
      <w:r w:rsidR="004B0278" w:rsidRPr="003A4A13">
        <w:rPr>
          <w:bCs/>
          <w:lang w:val="fr-CH"/>
        </w:rPr>
        <w:t>vision</w:t>
      </w:r>
      <w:r w:rsidRPr="003A4A13">
        <w:rPr>
          <w:bCs/>
          <w:lang w:val="fr-CH"/>
        </w:rPr>
        <w:t>, ajoutant que c</w:t>
      </w:r>
      <w:r w:rsidR="00B47AFA" w:rsidRPr="003A4A13">
        <w:rPr>
          <w:bCs/>
          <w:lang w:val="fr-CH"/>
        </w:rPr>
        <w:t>'</w:t>
      </w:r>
      <w:r w:rsidRPr="003A4A13">
        <w:rPr>
          <w:bCs/>
          <w:lang w:val="fr-CH"/>
        </w:rPr>
        <w:t xml:space="preserve">est ensemble, et grâce à une mise en oeuvre et à un engagement </w:t>
      </w:r>
      <w:r w:rsidR="00CA785E" w:rsidRPr="003A4A13">
        <w:rPr>
          <w:bCs/>
          <w:lang w:val="fr-CH"/>
        </w:rPr>
        <w:t>intégrés</w:t>
      </w:r>
      <w:r w:rsidRPr="003A4A13">
        <w:rPr>
          <w:bCs/>
          <w:lang w:val="fr-CH"/>
        </w:rPr>
        <w:t xml:space="preserve"> que la </w:t>
      </w:r>
      <w:r w:rsidR="00CA785E" w:rsidRPr="003A4A13">
        <w:rPr>
          <w:bCs/>
          <w:lang w:val="fr-CH"/>
        </w:rPr>
        <w:t>CE 1</w:t>
      </w:r>
      <w:r w:rsidRPr="003A4A13">
        <w:rPr>
          <w:bCs/>
          <w:lang w:val="fr-CH"/>
        </w:rPr>
        <w:t xml:space="preserve"> sera capable d</w:t>
      </w:r>
      <w:r w:rsidR="00B47AFA" w:rsidRPr="003A4A13">
        <w:rPr>
          <w:bCs/>
          <w:lang w:val="fr-CH"/>
        </w:rPr>
        <w:t>'</w:t>
      </w:r>
      <w:r w:rsidRPr="003A4A13">
        <w:rPr>
          <w:bCs/>
          <w:lang w:val="fr-CH"/>
        </w:rPr>
        <w:t>atteindre les cibles et les résultats fixés.</w:t>
      </w:r>
    </w:p>
    <w:p w:rsidR="00083258" w:rsidRPr="003A4A13" w:rsidRDefault="00083258" w:rsidP="00CA785E">
      <w:pPr>
        <w:pStyle w:val="Heading1"/>
        <w:rPr>
          <w:lang w:val="fr-CH"/>
        </w:rPr>
      </w:pPr>
      <w:r w:rsidRPr="003A4A13">
        <w:rPr>
          <w:lang w:val="fr-CH"/>
        </w:rPr>
        <w:t>4</w:t>
      </w:r>
      <w:r w:rsidRPr="003A4A13">
        <w:rPr>
          <w:lang w:val="fr-CH"/>
        </w:rPr>
        <w:tab/>
        <w:t>C</w:t>
      </w:r>
      <w:r w:rsidR="004B0278" w:rsidRPr="003A4A13">
        <w:rPr>
          <w:lang w:val="fr-CH"/>
        </w:rPr>
        <w:t>ollaboration et c</w:t>
      </w:r>
      <w:r w:rsidRPr="003A4A13">
        <w:rPr>
          <w:lang w:val="fr-CH"/>
        </w:rPr>
        <w:t>oordination avec la Commission d</w:t>
      </w:r>
      <w:r w:rsidR="00B47AFA" w:rsidRPr="003A4A13">
        <w:rPr>
          <w:lang w:val="fr-CH"/>
        </w:rPr>
        <w:t>'</w:t>
      </w:r>
      <w:r w:rsidRPr="003A4A13">
        <w:rPr>
          <w:lang w:val="fr-CH"/>
        </w:rPr>
        <w:t>études 2 de l</w:t>
      </w:r>
      <w:r w:rsidR="00B47AFA" w:rsidRPr="003A4A13">
        <w:rPr>
          <w:lang w:val="fr-CH"/>
        </w:rPr>
        <w:t>'</w:t>
      </w:r>
      <w:r w:rsidR="00CA785E" w:rsidRPr="003A4A13">
        <w:rPr>
          <w:lang w:val="fr-CH"/>
        </w:rPr>
        <w:t xml:space="preserve">UIT-D </w:t>
      </w:r>
      <w:r w:rsidRPr="003A4A13">
        <w:rPr>
          <w:lang w:val="fr-CH"/>
        </w:rPr>
        <w:t>et avec les autres Secteurs sur des questions d</w:t>
      </w:r>
      <w:r w:rsidR="00B47AFA" w:rsidRPr="003A4A13">
        <w:rPr>
          <w:lang w:val="fr-CH"/>
        </w:rPr>
        <w:t>'</w:t>
      </w:r>
      <w:r w:rsidRPr="003A4A13">
        <w:rPr>
          <w:lang w:val="fr-CH"/>
        </w:rPr>
        <w:t>intérêt mutuel</w:t>
      </w:r>
    </w:p>
    <w:p w:rsidR="007F4177" w:rsidRPr="003A4A13" w:rsidRDefault="00083258" w:rsidP="00CC0E69">
      <w:pPr>
        <w:pStyle w:val="Heading2"/>
        <w:rPr>
          <w:lang w:val="fr-CH"/>
        </w:rPr>
      </w:pPr>
      <w:r w:rsidRPr="003A4A13">
        <w:rPr>
          <w:lang w:val="fr-CH"/>
        </w:rPr>
        <w:t>4.1</w:t>
      </w:r>
      <w:r w:rsidRPr="003A4A13">
        <w:rPr>
          <w:lang w:val="fr-CH"/>
        </w:rPr>
        <w:tab/>
      </w:r>
      <w:r w:rsidR="007F4177" w:rsidRPr="003A4A13">
        <w:rPr>
          <w:lang w:val="fr-CH"/>
        </w:rPr>
        <w:t>Mise en correspondance en</w:t>
      </w:r>
      <w:r w:rsidR="00CC0E69" w:rsidRPr="003A4A13">
        <w:rPr>
          <w:lang w:val="fr-CH"/>
        </w:rPr>
        <w:t>tre les Questions confiées aux C</w:t>
      </w:r>
      <w:r w:rsidR="007F4177" w:rsidRPr="003A4A13">
        <w:rPr>
          <w:lang w:val="fr-CH"/>
        </w:rPr>
        <w:t>ommissions d</w:t>
      </w:r>
      <w:r w:rsidR="00B47AFA" w:rsidRPr="003A4A13">
        <w:rPr>
          <w:lang w:val="fr-CH"/>
        </w:rPr>
        <w:t>'</w:t>
      </w:r>
      <w:r w:rsidR="007F4177" w:rsidRPr="003A4A13">
        <w:rPr>
          <w:lang w:val="fr-CH"/>
        </w:rPr>
        <w:t>études de</w:t>
      </w:r>
      <w:r w:rsidR="00CC0E69" w:rsidRPr="003A4A13">
        <w:rPr>
          <w:lang w:val="fr-CH"/>
        </w:rPr>
        <w:t> </w:t>
      </w:r>
      <w:r w:rsidR="007F4177" w:rsidRPr="003A4A13">
        <w:rPr>
          <w:lang w:val="fr-CH"/>
        </w:rPr>
        <w:t>l</w:t>
      </w:r>
      <w:r w:rsidR="00B47AFA" w:rsidRPr="003A4A13">
        <w:rPr>
          <w:lang w:val="fr-CH"/>
        </w:rPr>
        <w:t>'</w:t>
      </w:r>
      <w:r w:rsidR="007F4177" w:rsidRPr="003A4A13">
        <w:rPr>
          <w:lang w:val="fr-CH"/>
        </w:rPr>
        <w:t>UIT-D ainsi qu</w:t>
      </w:r>
      <w:r w:rsidR="00B47AFA" w:rsidRPr="003A4A13">
        <w:rPr>
          <w:lang w:val="fr-CH"/>
        </w:rPr>
        <w:t>'</w:t>
      </w:r>
      <w:r w:rsidR="007F4177" w:rsidRPr="003A4A13">
        <w:rPr>
          <w:lang w:val="fr-CH"/>
        </w:rPr>
        <w:t xml:space="preserve">entre les travaux </w:t>
      </w:r>
      <w:r w:rsidR="00CA785E" w:rsidRPr="003A4A13">
        <w:rPr>
          <w:lang w:val="fr-CH"/>
        </w:rPr>
        <w:t>des</w:t>
      </w:r>
      <w:r w:rsidR="007F4177" w:rsidRPr="003A4A13">
        <w:rPr>
          <w:lang w:val="fr-CH"/>
        </w:rPr>
        <w:t xml:space="preserve"> </w:t>
      </w:r>
      <w:r w:rsidR="00CA785E" w:rsidRPr="003A4A13">
        <w:rPr>
          <w:lang w:val="fr-CH"/>
        </w:rPr>
        <w:t>C</w:t>
      </w:r>
      <w:r w:rsidR="007F4177" w:rsidRPr="003A4A13">
        <w:rPr>
          <w:lang w:val="fr-CH"/>
        </w:rPr>
        <w:t>ommissions d</w:t>
      </w:r>
      <w:r w:rsidR="00B47AFA" w:rsidRPr="003A4A13">
        <w:rPr>
          <w:lang w:val="fr-CH"/>
        </w:rPr>
        <w:t>'</w:t>
      </w:r>
      <w:r w:rsidR="007F4177" w:rsidRPr="003A4A13">
        <w:rPr>
          <w:lang w:val="fr-CH"/>
        </w:rPr>
        <w:t>études de l</w:t>
      </w:r>
      <w:r w:rsidR="00B47AFA" w:rsidRPr="003A4A13">
        <w:rPr>
          <w:lang w:val="fr-CH"/>
        </w:rPr>
        <w:t>'</w:t>
      </w:r>
      <w:r w:rsidR="007F4177" w:rsidRPr="003A4A13">
        <w:rPr>
          <w:lang w:val="fr-CH"/>
        </w:rPr>
        <w:t>UIT-</w:t>
      </w:r>
      <w:r w:rsidR="00CA785E" w:rsidRPr="003A4A13">
        <w:rPr>
          <w:lang w:val="fr-CH"/>
        </w:rPr>
        <w:t>D</w:t>
      </w:r>
      <w:r w:rsidR="007F4177" w:rsidRPr="003A4A13">
        <w:rPr>
          <w:lang w:val="fr-CH"/>
        </w:rPr>
        <w:t xml:space="preserve"> et ceux </w:t>
      </w:r>
      <w:r w:rsidR="00453ED2" w:rsidRPr="003A4A13">
        <w:rPr>
          <w:lang w:val="fr-CH"/>
        </w:rPr>
        <w:t xml:space="preserve">des autres </w:t>
      </w:r>
      <w:r w:rsidR="007F4177" w:rsidRPr="003A4A13">
        <w:rPr>
          <w:lang w:val="fr-CH"/>
        </w:rPr>
        <w:t>Secteurs</w:t>
      </w:r>
    </w:p>
    <w:p w:rsidR="007F4177" w:rsidRPr="003A4A13" w:rsidRDefault="007F4177" w:rsidP="00453ED2">
      <w:pPr>
        <w:spacing w:after="120"/>
        <w:rPr>
          <w:rFonts w:eastAsia="Batang" w:cs="Calibri"/>
          <w:bCs/>
          <w:szCs w:val="24"/>
          <w:lang w:val="fr-CH"/>
        </w:rPr>
      </w:pPr>
      <w:r w:rsidRPr="003A4A13">
        <w:rPr>
          <w:rFonts w:eastAsia="Batang" w:cs="Calibri"/>
          <w:bCs/>
          <w:szCs w:val="24"/>
          <w:lang w:val="fr-CH"/>
        </w:rPr>
        <w:t>Afin de faciliter la coordination et de continuer de renforcer la collaboration entre les deux Commissions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UIT-D, ainsi qu</w:t>
      </w:r>
      <w:r w:rsidR="00B47AFA" w:rsidRPr="003A4A13">
        <w:rPr>
          <w:rFonts w:eastAsia="Batang" w:cs="Calibri"/>
          <w:bCs/>
          <w:szCs w:val="24"/>
          <w:lang w:val="fr-CH"/>
        </w:rPr>
        <w:t>'</w:t>
      </w:r>
      <w:r w:rsidRPr="003A4A13">
        <w:rPr>
          <w:rFonts w:eastAsia="Batang" w:cs="Calibri"/>
          <w:bCs/>
          <w:szCs w:val="24"/>
          <w:lang w:val="fr-CH"/>
        </w:rPr>
        <w:t>avec les commissions d</w:t>
      </w:r>
      <w:r w:rsidR="00B47AFA" w:rsidRPr="003A4A13">
        <w:rPr>
          <w:rFonts w:eastAsia="Batang" w:cs="Calibri"/>
          <w:bCs/>
          <w:szCs w:val="24"/>
          <w:lang w:val="fr-CH"/>
        </w:rPr>
        <w:t>'</w:t>
      </w:r>
      <w:r w:rsidRPr="003A4A13">
        <w:rPr>
          <w:rFonts w:eastAsia="Batang" w:cs="Calibri"/>
          <w:bCs/>
          <w:szCs w:val="24"/>
          <w:lang w:val="fr-CH"/>
        </w:rPr>
        <w:t>études des autres Secteurs, les participants ont travaillé en vue d</w:t>
      </w:r>
      <w:r w:rsidR="00B47AFA" w:rsidRPr="003A4A13">
        <w:rPr>
          <w:rFonts w:eastAsia="Batang" w:cs="Calibri"/>
          <w:bCs/>
          <w:szCs w:val="24"/>
          <w:lang w:val="fr-CH"/>
        </w:rPr>
        <w:t>'</w:t>
      </w:r>
      <w:r w:rsidRPr="003A4A13">
        <w:rPr>
          <w:rFonts w:eastAsia="Batang" w:cs="Calibri"/>
          <w:bCs/>
          <w:szCs w:val="24"/>
          <w:lang w:val="fr-CH"/>
        </w:rPr>
        <w:t>élaborer trois ensembles de tableaux de correspondance. Ces tableaux comprennent les éléments suivants:</w:t>
      </w:r>
      <w:r w:rsidR="00083258" w:rsidRPr="003A4A13">
        <w:rPr>
          <w:rFonts w:eastAsia="Batang" w:cs="Calibri"/>
          <w:bCs/>
          <w:szCs w:val="24"/>
          <w:lang w:val="fr-CH"/>
        </w:rPr>
        <w:t xml:space="preserve"> </w:t>
      </w:r>
      <w:r w:rsidR="00083258" w:rsidRPr="003A4A13">
        <w:rPr>
          <w:rFonts w:eastAsia="Batang" w:cs="Calibri"/>
          <w:b/>
          <w:szCs w:val="24"/>
          <w:lang w:val="fr-CH"/>
        </w:rPr>
        <w:t>1)</w:t>
      </w:r>
      <w:r w:rsidR="00083258" w:rsidRPr="003A4A13">
        <w:rPr>
          <w:rFonts w:eastAsia="Batang" w:cs="Calibri"/>
          <w:bCs/>
          <w:szCs w:val="24"/>
          <w:lang w:val="fr-CH"/>
        </w:rPr>
        <w:t xml:space="preserve"> </w:t>
      </w:r>
      <w:r w:rsidRPr="003A4A13">
        <w:rPr>
          <w:rFonts w:eastAsia="Batang" w:cs="Calibri"/>
          <w:bCs/>
          <w:szCs w:val="24"/>
          <w:lang w:val="fr-CH"/>
        </w:rPr>
        <w:t xml:space="preserve">une mise en correspondance actualisée des Questions confiées à la CE 1 et </w:t>
      </w:r>
      <w:r w:rsidR="00453ED2" w:rsidRPr="003A4A13">
        <w:rPr>
          <w:rFonts w:eastAsia="Batang" w:cs="Calibri"/>
          <w:bCs/>
          <w:szCs w:val="24"/>
          <w:lang w:val="fr-CH"/>
        </w:rPr>
        <w:t xml:space="preserve">des Questions confiées </w:t>
      </w:r>
      <w:r w:rsidRPr="003A4A13">
        <w:rPr>
          <w:rFonts w:eastAsia="Batang" w:cs="Calibri"/>
          <w:bCs/>
          <w:szCs w:val="24"/>
          <w:lang w:val="fr-CH"/>
        </w:rPr>
        <w:t>à la CE 2 de l</w:t>
      </w:r>
      <w:r w:rsidR="00B47AFA" w:rsidRPr="003A4A13">
        <w:rPr>
          <w:rFonts w:eastAsia="Batang" w:cs="Calibri"/>
          <w:bCs/>
          <w:szCs w:val="24"/>
          <w:lang w:val="fr-CH"/>
        </w:rPr>
        <w:t>'</w:t>
      </w:r>
      <w:r w:rsidR="00453ED2" w:rsidRPr="003A4A13">
        <w:rPr>
          <w:rFonts w:eastAsia="Batang" w:cs="Calibri"/>
          <w:bCs/>
          <w:szCs w:val="24"/>
          <w:lang w:val="fr-CH"/>
        </w:rPr>
        <w:t xml:space="preserve">UIT-D </w:t>
      </w:r>
      <w:r w:rsidRPr="003A4A13">
        <w:rPr>
          <w:rFonts w:eastAsia="Batang" w:cs="Calibri"/>
          <w:bCs/>
          <w:szCs w:val="24"/>
          <w:lang w:val="fr-CH"/>
        </w:rPr>
        <w:t>présentant un intérêt pour les Questions et les sujets d</w:t>
      </w:r>
      <w:r w:rsidR="00B47AFA" w:rsidRPr="003A4A13">
        <w:rPr>
          <w:rFonts w:eastAsia="Batang" w:cs="Calibri"/>
          <w:bCs/>
          <w:szCs w:val="24"/>
          <w:lang w:val="fr-CH"/>
        </w:rPr>
        <w:t>'</w:t>
      </w:r>
      <w:r w:rsidRPr="003A4A13">
        <w:rPr>
          <w:rFonts w:eastAsia="Batang" w:cs="Calibri"/>
          <w:bCs/>
          <w:szCs w:val="24"/>
          <w:lang w:val="fr-CH"/>
        </w:rPr>
        <w:t>étude des Commissions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 xml:space="preserve">UIT-T; </w:t>
      </w:r>
      <w:r w:rsidR="00083258" w:rsidRPr="003A4A13">
        <w:rPr>
          <w:rFonts w:eastAsia="Batang" w:cs="Calibri"/>
          <w:b/>
          <w:szCs w:val="24"/>
          <w:lang w:val="fr-CH"/>
        </w:rPr>
        <w:t>2)</w:t>
      </w:r>
      <w:r w:rsidR="00083258" w:rsidRPr="003A4A13">
        <w:rPr>
          <w:rFonts w:eastAsia="Batang" w:cs="Calibri"/>
          <w:bCs/>
          <w:szCs w:val="24"/>
          <w:lang w:val="fr-CH"/>
        </w:rPr>
        <w:t xml:space="preserve"> </w:t>
      </w:r>
      <w:r w:rsidRPr="003A4A13">
        <w:rPr>
          <w:rFonts w:eastAsia="Batang" w:cs="Calibri"/>
          <w:bCs/>
          <w:szCs w:val="24"/>
          <w:lang w:val="fr-CH"/>
        </w:rPr>
        <w:t>un tableau de mise en correspondance entre les Questions confiées à la CE 1 et à la CE 2 de l</w:t>
      </w:r>
      <w:r w:rsidR="00B47AFA" w:rsidRPr="003A4A13">
        <w:rPr>
          <w:rFonts w:eastAsia="Batang" w:cs="Calibri"/>
          <w:bCs/>
          <w:szCs w:val="24"/>
          <w:lang w:val="fr-CH"/>
        </w:rPr>
        <w:t>'</w:t>
      </w:r>
      <w:r w:rsidRPr="003A4A13">
        <w:rPr>
          <w:rFonts w:eastAsia="Batang" w:cs="Calibri"/>
          <w:bCs/>
          <w:szCs w:val="24"/>
          <w:lang w:val="fr-CH"/>
        </w:rPr>
        <w:t>UIT-D et les travaux des groupes de travail de l</w:t>
      </w:r>
      <w:r w:rsidR="00B47AFA" w:rsidRPr="003A4A13">
        <w:rPr>
          <w:rFonts w:eastAsia="Batang" w:cs="Calibri"/>
          <w:bCs/>
          <w:szCs w:val="24"/>
          <w:lang w:val="fr-CH"/>
        </w:rPr>
        <w:t>'</w:t>
      </w:r>
      <w:r w:rsidRPr="003A4A13">
        <w:rPr>
          <w:rFonts w:eastAsia="Batang" w:cs="Calibri"/>
          <w:bCs/>
          <w:szCs w:val="24"/>
          <w:lang w:val="fr-CH"/>
        </w:rPr>
        <w:t>UIT-R; et</w:t>
      </w:r>
      <w:r w:rsidRPr="003A4A13">
        <w:rPr>
          <w:rFonts w:eastAsia="Batang" w:cs="Calibri"/>
          <w:b/>
          <w:szCs w:val="24"/>
          <w:lang w:val="fr-CH"/>
        </w:rPr>
        <w:t xml:space="preserve"> 3)</w:t>
      </w:r>
      <w:r w:rsidRPr="003A4A13">
        <w:rPr>
          <w:rFonts w:eastAsia="Batang" w:cs="Calibri"/>
          <w:bCs/>
          <w:szCs w:val="24"/>
          <w:lang w:val="fr-CH"/>
        </w:rPr>
        <w:t xml:space="preserve"> un projet de tableau indiquant les liens et les relations entre les Questions étudiées par la CE 1 de l</w:t>
      </w:r>
      <w:r w:rsidR="00B47AFA" w:rsidRPr="003A4A13">
        <w:rPr>
          <w:rFonts w:eastAsia="Batang" w:cs="Calibri"/>
          <w:bCs/>
          <w:szCs w:val="24"/>
          <w:lang w:val="fr-CH"/>
        </w:rPr>
        <w:t>'</w:t>
      </w:r>
      <w:r w:rsidRPr="003A4A13">
        <w:rPr>
          <w:rFonts w:eastAsia="Batang" w:cs="Calibri"/>
          <w:bCs/>
          <w:szCs w:val="24"/>
          <w:lang w:val="fr-CH"/>
        </w:rPr>
        <w:t>UIT-D et celles étudiées par la CE 2 de l</w:t>
      </w:r>
      <w:r w:rsidR="00B47AFA" w:rsidRPr="003A4A13">
        <w:rPr>
          <w:rFonts w:eastAsia="Batang" w:cs="Calibri"/>
          <w:bCs/>
          <w:szCs w:val="24"/>
          <w:lang w:val="fr-CH"/>
        </w:rPr>
        <w:t>'</w:t>
      </w:r>
      <w:r w:rsidRPr="003A4A13">
        <w:rPr>
          <w:rFonts w:eastAsia="Batang" w:cs="Calibri"/>
          <w:bCs/>
          <w:szCs w:val="24"/>
          <w:lang w:val="fr-CH"/>
        </w:rPr>
        <w:t>UIT-D.</w:t>
      </w:r>
    </w:p>
    <w:p w:rsidR="002C79E8" w:rsidRPr="003A4A13" w:rsidRDefault="007F4177" w:rsidP="00CC0E69">
      <w:pPr>
        <w:spacing w:after="120"/>
        <w:rPr>
          <w:rFonts w:eastAsia="Batang" w:cs="Calibri"/>
          <w:bCs/>
          <w:szCs w:val="24"/>
          <w:lang w:val="fr-CH"/>
        </w:rPr>
      </w:pPr>
      <w:r w:rsidRPr="003A4A13">
        <w:rPr>
          <w:rFonts w:eastAsia="Batang" w:cs="Calibri"/>
          <w:bCs/>
          <w:szCs w:val="24"/>
          <w:lang w:val="fr-CH"/>
        </w:rPr>
        <w:t xml:space="preserve">Le travail de mise en correspondance entre les sujets </w:t>
      </w:r>
      <w:r w:rsidR="0086369B" w:rsidRPr="003A4A13">
        <w:rPr>
          <w:rFonts w:eastAsia="Batang" w:cs="Calibri"/>
          <w:bCs/>
          <w:szCs w:val="24"/>
          <w:lang w:val="fr-CH"/>
        </w:rPr>
        <w:t>à l</w:t>
      </w:r>
      <w:r w:rsidR="00B47AFA" w:rsidRPr="003A4A13">
        <w:rPr>
          <w:rFonts w:eastAsia="Batang" w:cs="Calibri"/>
          <w:bCs/>
          <w:szCs w:val="24"/>
          <w:lang w:val="fr-CH"/>
        </w:rPr>
        <w:t>'</w:t>
      </w:r>
      <w:r w:rsidR="0086369B" w:rsidRPr="003A4A13">
        <w:rPr>
          <w:rFonts w:eastAsia="Batang" w:cs="Calibri"/>
          <w:bCs/>
          <w:szCs w:val="24"/>
          <w:lang w:val="fr-CH"/>
        </w:rPr>
        <w:t>étude</w:t>
      </w:r>
      <w:r w:rsidRPr="003A4A13">
        <w:rPr>
          <w:rFonts w:eastAsia="Batang" w:cs="Calibri"/>
          <w:bCs/>
          <w:szCs w:val="24"/>
          <w:lang w:val="fr-CH"/>
        </w:rPr>
        <w:t xml:space="preserve"> dans le cadre des </w:t>
      </w:r>
      <w:r w:rsidR="00CC0E69" w:rsidRPr="003A4A13">
        <w:rPr>
          <w:rFonts w:eastAsia="Batang" w:cs="Calibri"/>
          <w:b/>
          <w:szCs w:val="24"/>
          <w:lang w:val="fr-CH"/>
        </w:rPr>
        <w:t>C</w:t>
      </w:r>
      <w:r w:rsidRPr="003A4A13">
        <w:rPr>
          <w:rFonts w:eastAsia="Batang" w:cs="Calibri"/>
          <w:b/>
          <w:szCs w:val="24"/>
          <w:lang w:val="fr-CH"/>
        </w:rPr>
        <w:t>ommissions d</w:t>
      </w:r>
      <w:r w:rsidR="00B47AFA" w:rsidRPr="003A4A13">
        <w:rPr>
          <w:rFonts w:eastAsia="Batang" w:cs="Calibri"/>
          <w:b/>
          <w:szCs w:val="24"/>
          <w:lang w:val="fr-CH"/>
        </w:rPr>
        <w:t>'</w:t>
      </w:r>
      <w:r w:rsidRPr="003A4A13">
        <w:rPr>
          <w:rFonts w:eastAsia="Batang" w:cs="Calibri"/>
          <w:b/>
          <w:szCs w:val="24"/>
          <w:lang w:val="fr-CH"/>
        </w:rPr>
        <w:t>études</w:t>
      </w:r>
      <w:r w:rsidRPr="003A4A13">
        <w:rPr>
          <w:rFonts w:eastAsia="Batang" w:cs="Calibri"/>
          <w:bCs/>
          <w:szCs w:val="24"/>
          <w:lang w:val="fr-CH"/>
        </w:rPr>
        <w:t xml:space="preserve">, des groupes de travail et </w:t>
      </w:r>
      <w:r w:rsidR="00453ED2" w:rsidRPr="003A4A13">
        <w:rPr>
          <w:rFonts w:eastAsia="Batang" w:cs="Calibri"/>
          <w:bCs/>
          <w:szCs w:val="24"/>
          <w:lang w:val="fr-CH"/>
        </w:rPr>
        <w:t xml:space="preserve">des </w:t>
      </w:r>
      <w:r w:rsidRPr="003A4A13">
        <w:rPr>
          <w:rFonts w:eastAsia="Batang" w:cs="Calibri"/>
          <w:bCs/>
          <w:szCs w:val="24"/>
          <w:lang w:val="fr-CH"/>
        </w:rPr>
        <w:t xml:space="preserve">autres groupe de </w:t>
      </w:r>
      <w:r w:rsidRPr="003A4A13">
        <w:rPr>
          <w:rFonts w:eastAsia="Batang" w:cs="Calibri"/>
          <w:b/>
          <w:szCs w:val="24"/>
          <w:lang w:val="fr-CH"/>
        </w:rPr>
        <w:t>l</w:t>
      </w:r>
      <w:r w:rsidR="00B47AFA" w:rsidRPr="003A4A13">
        <w:rPr>
          <w:rFonts w:eastAsia="Batang" w:cs="Calibri"/>
          <w:b/>
          <w:szCs w:val="24"/>
          <w:lang w:val="fr-CH"/>
        </w:rPr>
        <w:t>'</w:t>
      </w:r>
      <w:r w:rsidRPr="003A4A13">
        <w:rPr>
          <w:rFonts w:eastAsia="Batang" w:cs="Calibri"/>
          <w:b/>
          <w:szCs w:val="24"/>
          <w:lang w:val="fr-CH"/>
        </w:rPr>
        <w:t>UIT-T</w:t>
      </w:r>
      <w:r w:rsidRPr="003A4A13">
        <w:rPr>
          <w:rFonts w:eastAsia="Batang" w:cs="Calibri"/>
          <w:bCs/>
          <w:szCs w:val="24"/>
          <w:lang w:val="fr-CH"/>
        </w:rPr>
        <w:t xml:space="preserve"> et les Questions confiées aux </w:t>
      </w:r>
      <w:r w:rsidR="00453ED2" w:rsidRPr="003A4A13">
        <w:rPr>
          <w:rFonts w:eastAsia="Batang" w:cs="Calibri"/>
          <w:bCs/>
          <w:szCs w:val="24"/>
          <w:lang w:val="fr-CH"/>
        </w:rPr>
        <w:t>C</w:t>
      </w:r>
      <w:r w:rsidRPr="003A4A13">
        <w:rPr>
          <w:rFonts w:eastAsia="Batang" w:cs="Calibri"/>
          <w:bCs/>
          <w:szCs w:val="24"/>
          <w:lang w:val="fr-CH"/>
        </w:rPr>
        <w:t>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 xml:space="preserve">UIT-D a commencé </w:t>
      </w:r>
      <w:r w:rsidR="00453ED2" w:rsidRPr="003A4A13">
        <w:rPr>
          <w:rFonts w:eastAsia="Batang" w:cs="Calibri"/>
          <w:bCs/>
          <w:szCs w:val="24"/>
          <w:lang w:val="fr-CH"/>
        </w:rPr>
        <w:t>pendant</w:t>
      </w:r>
      <w:r w:rsidRPr="003A4A13">
        <w:rPr>
          <w:rFonts w:eastAsia="Batang" w:cs="Calibri"/>
          <w:bCs/>
          <w:szCs w:val="24"/>
          <w:lang w:val="fr-CH"/>
        </w:rPr>
        <w:t xml:space="preserve"> la période d</w:t>
      </w:r>
      <w:r w:rsidR="00B47AFA" w:rsidRPr="003A4A13">
        <w:rPr>
          <w:rFonts w:eastAsia="Batang" w:cs="Calibri"/>
          <w:bCs/>
          <w:szCs w:val="24"/>
          <w:lang w:val="fr-CH"/>
        </w:rPr>
        <w:t>'</w:t>
      </w:r>
      <w:r w:rsidRPr="003A4A13">
        <w:rPr>
          <w:rFonts w:eastAsia="Batang" w:cs="Calibri"/>
          <w:bCs/>
          <w:szCs w:val="24"/>
          <w:lang w:val="fr-CH"/>
        </w:rPr>
        <w:t>études 2014-2017. Une version actualisée de cette mise en correspondance, compte tenu de la nouvelle structure adoptée à la CMDT-17, a été envoyé</w:t>
      </w:r>
      <w:r w:rsidR="00453ED2" w:rsidRPr="003A4A13">
        <w:rPr>
          <w:rFonts w:eastAsia="Batang" w:cs="Calibri"/>
          <w:bCs/>
          <w:szCs w:val="24"/>
          <w:lang w:val="fr-CH"/>
        </w:rPr>
        <w:t>e</w:t>
      </w:r>
      <w:r w:rsidRPr="003A4A13">
        <w:rPr>
          <w:rFonts w:eastAsia="Batang" w:cs="Calibri"/>
          <w:bCs/>
          <w:szCs w:val="24"/>
          <w:lang w:val="fr-CH"/>
        </w:rPr>
        <w:t xml:space="preserve"> aux </w:t>
      </w:r>
      <w:r w:rsidR="00453ED2" w:rsidRPr="003A4A13">
        <w:rPr>
          <w:rFonts w:eastAsia="Batang" w:cs="Calibri"/>
          <w:bCs/>
          <w:szCs w:val="24"/>
          <w:lang w:val="fr-CH"/>
        </w:rPr>
        <w:t>C</w:t>
      </w:r>
      <w:r w:rsidRPr="003A4A13">
        <w:rPr>
          <w:rFonts w:eastAsia="Batang" w:cs="Calibri"/>
          <w:bCs/>
          <w:szCs w:val="24"/>
          <w:lang w:val="fr-CH"/>
        </w:rPr>
        <w:t>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UIT-T après la réunion de la</w:t>
      </w:r>
      <w:r w:rsidR="00CC0E69" w:rsidRPr="003A4A13">
        <w:rPr>
          <w:rFonts w:eastAsia="Batang" w:cs="Calibri"/>
          <w:bCs/>
          <w:szCs w:val="24"/>
          <w:lang w:val="fr-CH"/>
        </w:rPr>
        <w:t> </w:t>
      </w:r>
      <w:r w:rsidRPr="003A4A13">
        <w:rPr>
          <w:rFonts w:eastAsia="Batang" w:cs="Calibri"/>
          <w:bCs/>
          <w:szCs w:val="24"/>
          <w:lang w:val="fr-CH"/>
        </w:rPr>
        <w:t>CE 1 tenu</w:t>
      </w:r>
      <w:r w:rsidR="00CC0E69" w:rsidRPr="003A4A13">
        <w:rPr>
          <w:rFonts w:eastAsia="Batang" w:cs="Calibri"/>
          <w:bCs/>
          <w:szCs w:val="24"/>
          <w:lang w:val="fr-CH"/>
        </w:rPr>
        <w:t>e</w:t>
      </w:r>
      <w:r w:rsidRPr="003A4A13">
        <w:rPr>
          <w:rFonts w:eastAsia="Batang" w:cs="Calibri"/>
          <w:bCs/>
          <w:szCs w:val="24"/>
          <w:lang w:val="fr-CH"/>
        </w:rPr>
        <w:t xml:space="preserve"> en avril 2018. Par ailleurs, les</w:t>
      </w:r>
      <w:r w:rsidR="002C79E8" w:rsidRPr="003A4A13">
        <w:rPr>
          <w:rFonts w:eastAsia="Batang" w:cs="Calibri"/>
          <w:bCs/>
          <w:szCs w:val="24"/>
          <w:lang w:val="fr-CH"/>
        </w:rPr>
        <w:t xml:space="preserve"> Groupes du </w:t>
      </w:r>
      <w:r w:rsidR="00453ED2" w:rsidRPr="003A4A13">
        <w:rPr>
          <w:rFonts w:eastAsia="Batang" w:cs="Calibri"/>
          <w:bCs/>
          <w:szCs w:val="24"/>
          <w:lang w:val="fr-CH"/>
        </w:rPr>
        <w:t>Rapporteur ont été invités, à leurs</w:t>
      </w:r>
      <w:r w:rsidR="002C79E8" w:rsidRPr="003A4A13">
        <w:rPr>
          <w:rFonts w:eastAsia="Batang" w:cs="Calibri"/>
          <w:bCs/>
          <w:szCs w:val="24"/>
          <w:lang w:val="fr-CH"/>
        </w:rPr>
        <w:t xml:space="preserve"> réunion</w:t>
      </w:r>
      <w:r w:rsidR="00453ED2" w:rsidRPr="003A4A13">
        <w:rPr>
          <w:rFonts w:eastAsia="Batang" w:cs="Calibri"/>
          <w:bCs/>
          <w:szCs w:val="24"/>
          <w:lang w:val="fr-CH"/>
        </w:rPr>
        <w:t>s</w:t>
      </w:r>
      <w:r w:rsidR="002C79E8" w:rsidRPr="003A4A13">
        <w:rPr>
          <w:rFonts w:eastAsia="Batang" w:cs="Calibri"/>
          <w:bCs/>
          <w:szCs w:val="24"/>
          <w:lang w:val="fr-CH"/>
        </w:rPr>
        <w:t xml:space="preserve"> de 2018, à examiner et à mener à bien ce travail de mise en correspondance, dont les résultats pourraient ensuite être </w:t>
      </w:r>
      <w:r w:rsidR="00453ED2" w:rsidRPr="003A4A13">
        <w:rPr>
          <w:rFonts w:eastAsia="Batang" w:cs="Calibri"/>
          <w:bCs/>
          <w:szCs w:val="24"/>
          <w:lang w:val="fr-CH"/>
        </w:rPr>
        <w:t>communiqués</w:t>
      </w:r>
      <w:r w:rsidR="002C79E8" w:rsidRPr="003A4A13">
        <w:rPr>
          <w:rFonts w:eastAsia="Batang" w:cs="Calibri"/>
          <w:bCs/>
          <w:szCs w:val="24"/>
          <w:lang w:val="fr-CH"/>
        </w:rPr>
        <w:t xml:space="preserve"> aux </w:t>
      </w:r>
      <w:r w:rsidR="00453ED2" w:rsidRPr="003A4A13">
        <w:rPr>
          <w:rFonts w:eastAsia="Batang" w:cs="Calibri"/>
          <w:bCs/>
          <w:szCs w:val="24"/>
          <w:lang w:val="fr-CH"/>
        </w:rPr>
        <w:t>C</w:t>
      </w:r>
      <w:r w:rsidR="002C79E8" w:rsidRPr="003A4A13">
        <w:rPr>
          <w:rFonts w:eastAsia="Batang" w:cs="Calibri"/>
          <w:bCs/>
          <w:szCs w:val="24"/>
          <w:lang w:val="fr-CH"/>
        </w:rPr>
        <w:t>ommissions d</w:t>
      </w:r>
      <w:r w:rsidR="00B47AFA" w:rsidRPr="003A4A13">
        <w:rPr>
          <w:rFonts w:eastAsia="Batang" w:cs="Calibri"/>
          <w:bCs/>
          <w:szCs w:val="24"/>
          <w:lang w:val="fr-CH"/>
        </w:rPr>
        <w:t>'</w:t>
      </w:r>
      <w:r w:rsidR="002C79E8" w:rsidRPr="003A4A13">
        <w:rPr>
          <w:rFonts w:eastAsia="Batang" w:cs="Calibri"/>
          <w:bCs/>
          <w:szCs w:val="24"/>
          <w:lang w:val="fr-CH"/>
        </w:rPr>
        <w:t>études de l</w:t>
      </w:r>
      <w:r w:rsidR="00B47AFA" w:rsidRPr="003A4A13">
        <w:rPr>
          <w:rFonts w:eastAsia="Batang" w:cs="Calibri"/>
          <w:bCs/>
          <w:szCs w:val="24"/>
          <w:lang w:val="fr-CH"/>
        </w:rPr>
        <w:t>'</w:t>
      </w:r>
      <w:r w:rsidR="002C79E8" w:rsidRPr="003A4A13">
        <w:rPr>
          <w:rFonts w:eastAsia="Batang" w:cs="Calibri"/>
          <w:bCs/>
          <w:szCs w:val="24"/>
          <w:lang w:val="fr-CH"/>
        </w:rPr>
        <w:t xml:space="preserve">UIT-T et au GCDT. </w:t>
      </w:r>
      <w:r w:rsidR="002C79E8" w:rsidRPr="003A4A13">
        <w:rPr>
          <w:rFonts w:eastAsia="Batang" w:cs="Calibri"/>
          <w:bCs/>
          <w:szCs w:val="24"/>
          <w:lang w:val="fr-CH"/>
        </w:rPr>
        <w:lastRenderedPageBreak/>
        <w:t xml:space="preserve">Par la suite, </w:t>
      </w:r>
      <w:r w:rsidR="001D09FB" w:rsidRPr="003A4A13">
        <w:rPr>
          <w:rFonts w:eastAsia="Batang" w:cs="Calibri"/>
          <w:bCs/>
          <w:szCs w:val="24"/>
          <w:lang w:val="fr-CH"/>
        </w:rPr>
        <w:t xml:space="preserve">le </w:t>
      </w:r>
      <w:r w:rsidR="002C79E8" w:rsidRPr="003A4A13">
        <w:rPr>
          <w:rFonts w:eastAsia="Batang" w:cs="Calibri"/>
          <w:bCs/>
          <w:szCs w:val="24"/>
          <w:lang w:val="fr-CH"/>
        </w:rPr>
        <w:t xml:space="preserve">GCDT a transmis le tableau de mise en correspondance actualisé au GCNT pour information à sa réunion de décembre 2018. Il est à noter que ces tableaux de mise en correspondance sont des documents évolutifs </w:t>
      </w:r>
      <w:r w:rsidR="001D09FB" w:rsidRPr="003A4A13">
        <w:rPr>
          <w:rFonts w:eastAsia="Batang" w:cs="Calibri"/>
          <w:bCs/>
          <w:szCs w:val="24"/>
          <w:lang w:val="fr-CH"/>
        </w:rPr>
        <w:t>qui, pour rester utiles</w:t>
      </w:r>
      <w:r w:rsidR="002C79E8" w:rsidRPr="003A4A13">
        <w:rPr>
          <w:rFonts w:eastAsia="Batang" w:cs="Calibri"/>
          <w:bCs/>
          <w:szCs w:val="24"/>
          <w:lang w:val="fr-CH"/>
        </w:rPr>
        <w:t xml:space="preserve"> </w:t>
      </w:r>
      <w:r w:rsidR="001D09FB" w:rsidRPr="003A4A13">
        <w:rPr>
          <w:rFonts w:eastAsia="Batang" w:cs="Calibri"/>
          <w:bCs/>
          <w:szCs w:val="24"/>
          <w:lang w:val="fr-CH"/>
        </w:rPr>
        <w:t xml:space="preserve">et </w:t>
      </w:r>
      <w:r w:rsidR="002C79E8" w:rsidRPr="003A4A13">
        <w:rPr>
          <w:rFonts w:eastAsia="Batang" w:cs="Calibri"/>
          <w:bCs/>
          <w:szCs w:val="24"/>
          <w:lang w:val="fr-CH"/>
        </w:rPr>
        <w:t>rendre compte de la progression des travaux</w:t>
      </w:r>
      <w:r w:rsidR="001D09FB" w:rsidRPr="003A4A13">
        <w:rPr>
          <w:rFonts w:eastAsia="Batang" w:cs="Calibri"/>
          <w:bCs/>
          <w:szCs w:val="24"/>
          <w:lang w:val="fr-CH"/>
        </w:rPr>
        <w:t>, doivent être actualisés et mis à jour régulièrement</w:t>
      </w:r>
      <w:r w:rsidR="002C79E8" w:rsidRPr="003A4A13">
        <w:rPr>
          <w:rFonts w:eastAsia="Batang" w:cs="Calibri"/>
          <w:bCs/>
          <w:szCs w:val="24"/>
          <w:lang w:val="fr-CH"/>
        </w:rPr>
        <w:t>.</w:t>
      </w:r>
    </w:p>
    <w:p w:rsidR="0086369B" w:rsidRPr="003A4A13" w:rsidRDefault="0086369B" w:rsidP="003308EB">
      <w:pPr>
        <w:spacing w:after="120"/>
        <w:rPr>
          <w:rFonts w:eastAsia="Batang" w:cs="Calibri"/>
          <w:bCs/>
          <w:szCs w:val="24"/>
          <w:lang w:val="fr-CH"/>
        </w:rPr>
      </w:pPr>
      <w:r w:rsidRPr="003A4A13">
        <w:rPr>
          <w:rFonts w:eastAsia="Batang" w:cs="Calibri"/>
          <w:bCs/>
          <w:szCs w:val="24"/>
          <w:lang w:val="fr-CH"/>
        </w:rPr>
        <w:t>Les participants ont estimé qu</w:t>
      </w:r>
      <w:r w:rsidR="00B47AFA" w:rsidRPr="003A4A13">
        <w:rPr>
          <w:rFonts w:eastAsia="Batang" w:cs="Calibri"/>
          <w:bCs/>
          <w:szCs w:val="24"/>
          <w:lang w:val="fr-CH"/>
        </w:rPr>
        <w:t>'</w:t>
      </w:r>
      <w:r w:rsidRPr="003A4A13">
        <w:rPr>
          <w:rFonts w:eastAsia="Batang" w:cs="Calibri"/>
          <w:bCs/>
          <w:szCs w:val="24"/>
          <w:lang w:val="fr-CH"/>
        </w:rPr>
        <w:t>il était essentiel de procéder à une mise en correspondance analogue entre les sujets à l</w:t>
      </w:r>
      <w:r w:rsidR="00B47AFA" w:rsidRPr="003A4A13">
        <w:rPr>
          <w:rFonts w:eastAsia="Batang" w:cs="Calibri"/>
          <w:bCs/>
          <w:szCs w:val="24"/>
          <w:lang w:val="fr-CH"/>
        </w:rPr>
        <w:t>'</w:t>
      </w:r>
      <w:r w:rsidRPr="003A4A13">
        <w:rPr>
          <w:rFonts w:eastAsia="Batang" w:cs="Calibri"/>
          <w:bCs/>
          <w:szCs w:val="24"/>
          <w:lang w:val="fr-CH"/>
        </w:rPr>
        <w:t xml:space="preserve">étude dans le cadre des </w:t>
      </w:r>
      <w:r w:rsidR="00CC0E69" w:rsidRPr="003A4A13">
        <w:rPr>
          <w:rFonts w:eastAsia="Batang" w:cs="Calibri"/>
          <w:b/>
          <w:szCs w:val="24"/>
          <w:lang w:val="fr-CH"/>
        </w:rPr>
        <w:t>C</w:t>
      </w:r>
      <w:r w:rsidRPr="003A4A13">
        <w:rPr>
          <w:rFonts w:eastAsia="Batang" w:cs="Calibri"/>
          <w:b/>
          <w:szCs w:val="24"/>
          <w:lang w:val="fr-CH"/>
        </w:rPr>
        <w:t>ommissions d</w:t>
      </w:r>
      <w:r w:rsidR="00B47AFA" w:rsidRPr="003A4A13">
        <w:rPr>
          <w:rFonts w:eastAsia="Batang" w:cs="Calibri"/>
          <w:b/>
          <w:szCs w:val="24"/>
          <w:lang w:val="fr-CH"/>
        </w:rPr>
        <w:t>'</w:t>
      </w:r>
      <w:r w:rsidRPr="003A4A13">
        <w:rPr>
          <w:rFonts w:eastAsia="Batang" w:cs="Calibri"/>
          <w:b/>
          <w:szCs w:val="24"/>
          <w:lang w:val="fr-CH"/>
        </w:rPr>
        <w:t>études</w:t>
      </w:r>
      <w:r w:rsidRPr="003A4A13">
        <w:rPr>
          <w:rFonts w:eastAsia="Batang" w:cs="Calibri"/>
          <w:bCs/>
          <w:szCs w:val="24"/>
          <w:lang w:val="fr-CH"/>
        </w:rPr>
        <w:t xml:space="preserve">, des groupes de travail et </w:t>
      </w:r>
      <w:r w:rsidR="003308EB" w:rsidRPr="003A4A13">
        <w:rPr>
          <w:rFonts w:eastAsia="Batang" w:cs="Calibri"/>
          <w:bCs/>
          <w:szCs w:val="24"/>
          <w:lang w:val="fr-CH"/>
        </w:rPr>
        <w:t xml:space="preserve">des </w:t>
      </w:r>
      <w:r w:rsidRPr="003A4A13">
        <w:rPr>
          <w:rFonts w:eastAsia="Batang" w:cs="Calibri"/>
          <w:bCs/>
          <w:szCs w:val="24"/>
          <w:lang w:val="fr-CH"/>
        </w:rPr>
        <w:t xml:space="preserve">autres groupe de </w:t>
      </w:r>
      <w:r w:rsidRPr="003A4A13">
        <w:rPr>
          <w:rFonts w:eastAsia="Batang" w:cs="Calibri"/>
          <w:b/>
          <w:szCs w:val="24"/>
          <w:lang w:val="fr-CH"/>
        </w:rPr>
        <w:t>l</w:t>
      </w:r>
      <w:r w:rsidR="00B47AFA" w:rsidRPr="003A4A13">
        <w:rPr>
          <w:rFonts w:eastAsia="Batang" w:cs="Calibri"/>
          <w:b/>
          <w:szCs w:val="24"/>
          <w:lang w:val="fr-CH"/>
        </w:rPr>
        <w:t>'</w:t>
      </w:r>
      <w:r w:rsidRPr="003A4A13">
        <w:rPr>
          <w:rFonts w:eastAsia="Batang" w:cs="Calibri"/>
          <w:b/>
          <w:szCs w:val="24"/>
          <w:lang w:val="fr-CH"/>
        </w:rPr>
        <w:t>UIT-R</w:t>
      </w:r>
      <w:r w:rsidRPr="003A4A13">
        <w:rPr>
          <w:rFonts w:eastAsia="Batang" w:cs="Calibri"/>
          <w:bCs/>
          <w:szCs w:val="24"/>
          <w:lang w:val="fr-CH"/>
        </w:rPr>
        <w:t xml:space="preserve"> et les Questions confiées aux </w:t>
      </w:r>
      <w:r w:rsidR="00CC0E69" w:rsidRPr="003A4A13">
        <w:rPr>
          <w:rFonts w:eastAsia="Batang" w:cs="Calibri"/>
          <w:bCs/>
          <w:szCs w:val="24"/>
          <w:lang w:val="fr-CH"/>
        </w:rPr>
        <w:t>C</w:t>
      </w:r>
      <w:r w:rsidRPr="003A4A13">
        <w:rPr>
          <w:rFonts w:eastAsia="Batang" w:cs="Calibri"/>
          <w:bCs/>
          <w:szCs w:val="24"/>
          <w:lang w:val="fr-CH"/>
        </w:rPr>
        <w:t>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003308EB" w:rsidRPr="003A4A13">
        <w:rPr>
          <w:rFonts w:eastAsia="Batang" w:cs="Calibri"/>
          <w:bCs/>
          <w:szCs w:val="24"/>
          <w:lang w:val="fr-CH"/>
        </w:rPr>
        <w:t>UIT-D. A</w:t>
      </w:r>
      <w:r w:rsidRPr="003A4A13">
        <w:rPr>
          <w:rFonts w:eastAsia="Batang" w:cs="Calibri"/>
          <w:bCs/>
          <w:szCs w:val="24"/>
          <w:lang w:val="fr-CH"/>
        </w:rPr>
        <w:t xml:space="preserve"> cet égard, il a été procédé à une </w:t>
      </w:r>
      <w:r w:rsidR="003308EB" w:rsidRPr="003A4A13">
        <w:rPr>
          <w:rFonts w:eastAsia="Batang" w:cs="Calibri"/>
          <w:bCs/>
          <w:szCs w:val="24"/>
          <w:lang w:val="fr-CH"/>
        </w:rPr>
        <w:t xml:space="preserve">première </w:t>
      </w:r>
      <w:r w:rsidRPr="003A4A13">
        <w:rPr>
          <w:rFonts w:eastAsia="Batang" w:cs="Calibri"/>
          <w:bCs/>
          <w:szCs w:val="24"/>
          <w:lang w:val="fr-CH"/>
        </w:rPr>
        <w:t>mise en correspondance entre les travaux de l</w:t>
      </w:r>
      <w:r w:rsidR="00B47AFA" w:rsidRPr="003A4A13">
        <w:rPr>
          <w:rFonts w:eastAsia="Batang" w:cs="Calibri"/>
          <w:bCs/>
          <w:szCs w:val="24"/>
          <w:lang w:val="fr-CH"/>
        </w:rPr>
        <w:t>'</w:t>
      </w:r>
      <w:r w:rsidRPr="003A4A13">
        <w:rPr>
          <w:rFonts w:eastAsia="Batang" w:cs="Calibri"/>
          <w:bCs/>
          <w:szCs w:val="24"/>
          <w:lang w:val="fr-CH"/>
        </w:rPr>
        <w:t xml:space="preserve">UIT-R et </w:t>
      </w:r>
      <w:r w:rsidR="003308EB" w:rsidRPr="003A4A13">
        <w:rPr>
          <w:rFonts w:eastAsia="Batang" w:cs="Calibri"/>
          <w:bCs/>
          <w:szCs w:val="24"/>
          <w:lang w:val="fr-CH"/>
        </w:rPr>
        <w:t xml:space="preserve">ceux </w:t>
      </w:r>
      <w:r w:rsidRPr="003A4A13">
        <w:rPr>
          <w:rFonts w:eastAsia="Batang" w:cs="Calibri"/>
          <w:bCs/>
          <w:szCs w:val="24"/>
          <w:lang w:val="fr-CH"/>
        </w:rPr>
        <w:t>de l</w:t>
      </w:r>
      <w:r w:rsidR="00B47AFA" w:rsidRPr="003A4A13">
        <w:rPr>
          <w:rFonts w:eastAsia="Batang" w:cs="Calibri"/>
          <w:bCs/>
          <w:szCs w:val="24"/>
          <w:lang w:val="fr-CH"/>
        </w:rPr>
        <w:t>'</w:t>
      </w:r>
      <w:r w:rsidRPr="003A4A13">
        <w:rPr>
          <w:rFonts w:eastAsia="Batang" w:cs="Calibri"/>
          <w:bCs/>
          <w:szCs w:val="24"/>
          <w:lang w:val="fr-CH"/>
        </w:rPr>
        <w:t>UIT-D a</w:t>
      </w:r>
      <w:r w:rsidR="003308EB" w:rsidRPr="003A4A13">
        <w:rPr>
          <w:rFonts w:eastAsia="Batang" w:cs="Calibri"/>
          <w:bCs/>
          <w:szCs w:val="24"/>
          <w:lang w:val="fr-CH"/>
        </w:rPr>
        <w:t>u niveau des groupes de travail</w:t>
      </w:r>
      <w:r w:rsidRPr="003A4A13">
        <w:rPr>
          <w:rFonts w:eastAsia="Batang" w:cs="Calibri"/>
          <w:bCs/>
          <w:szCs w:val="24"/>
          <w:lang w:val="fr-CH"/>
        </w:rPr>
        <w:t xml:space="preserve"> de l</w:t>
      </w:r>
      <w:r w:rsidR="00B47AFA" w:rsidRPr="003A4A13">
        <w:rPr>
          <w:rFonts w:eastAsia="Batang" w:cs="Calibri"/>
          <w:bCs/>
          <w:szCs w:val="24"/>
          <w:lang w:val="fr-CH"/>
        </w:rPr>
        <w:t>'</w:t>
      </w:r>
      <w:r w:rsidRPr="003A4A13">
        <w:rPr>
          <w:rFonts w:eastAsia="Batang" w:cs="Calibri"/>
          <w:bCs/>
          <w:szCs w:val="24"/>
          <w:lang w:val="fr-CH"/>
        </w:rPr>
        <w:t>UIT-R uniquement. L</w:t>
      </w:r>
      <w:r w:rsidR="003308EB" w:rsidRPr="003A4A13">
        <w:rPr>
          <w:rFonts w:eastAsia="Batang" w:cs="Calibri"/>
          <w:bCs/>
          <w:szCs w:val="24"/>
          <w:lang w:val="fr-CH"/>
        </w:rPr>
        <w:t>es participants aux réunions de la</w:t>
      </w:r>
      <w:r w:rsidRPr="003A4A13">
        <w:rPr>
          <w:rFonts w:eastAsia="Batang" w:cs="Calibri"/>
          <w:bCs/>
          <w:szCs w:val="24"/>
          <w:lang w:val="fr-CH"/>
        </w:rPr>
        <w:t xml:space="preserve"> CE 1 et </w:t>
      </w:r>
      <w:r w:rsidR="003308EB" w:rsidRPr="003A4A13">
        <w:rPr>
          <w:rFonts w:eastAsia="Batang" w:cs="Calibri"/>
          <w:bCs/>
          <w:szCs w:val="24"/>
          <w:lang w:val="fr-CH"/>
        </w:rPr>
        <w:t xml:space="preserve">de la </w:t>
      </w:r>
      <w:r w:rsidRPr="003A4A13">
        <w:rPr>
          <w:rFonts w:eastAsia="Batang" w:cs="Calibri"/>
          <w:bCs/>
          <w:szCs w:val="24"/>
          <w:lang w:val="fr-CH"/>
        </w:rPr>
        <w:t xml:space="preserve">CE 2 sont convenus de </w:t>
      </w:r>
      <w:r w:rsidR="003308EB" w:rsidRPr="003A4A13">
        <w:rPr>
          <w:rFonts w:eastAsia="Batang" w:cs="Calibri"/>
          <w:bCs/>
          <w:szCs w:val="24"/>
          <w:lang w:val="fr-CH"/>
        </w:rPr>
        <w:t>transmettre</w:t>
      </w:r>
      <w:r w:rsidR="00D81608" w:rsidRPr="003A4A13">
        <w:rPr>
          <w:rFonts w:eastAsia="Batang" w:cs="Calibri"/>
          <w:bCs/>
          <w:szCs w:val="24"/>
          <w:lang w:val="fr-CH"/>
        </w:rPr>
        <w:t xml:space="preserve"> cette mise en correspondance, lors de leurs réunions de mars 2019, </w:t>
      </w:r>
      <w:r w:rsidRPr="003A4A13">
        <w:rPr>
          <w:rFonts w:eastAsia="Batang" w:cs="Calibri"/>
          <w:bCs/>
          <w:szCs w:val="24"/>
          <w:lang w:val="fr-CH"/>
        </w:rPr>
        <w:t xml:space="preserve">aux </w:t>
      </w:r>
      <w:r w:rsidR="00D81608" w:rsidRPr="003A4A13">
        <w:rPr>
          <w:rFonts w:eastAsia="Batang" w:cs="Calibri"/>
          <w:bCs/>
          <w:szCs w:val="24"/>
          <w:lang w:val="fr-CH"/>
        </w:rPr>
        <w:t>C</w:t>
      </w:r>
      <w:r w:rsidRPr="003A4A13">
        <w:rPr>
          <w:rFonts w:eastAsia="Batang" w:cs="Calibri"/>
          <w:bCs/>
          <w:szCs w:val="24"/>
          <w:lang w:val="fr-CH"/>
        </w:rPr>
        <w:t>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UIT-R afin qu</w:t>
      </w:r>
      <w:r w:rsidR="00B47AFA" w:rsidRPr="003A4A13">
        <w:rPr>
          <w:rFonts w:eastAsia="Batang" w:cs="Calibri"/>
          <w:bCs/>
          <w:szCs w:val="24"/>
          <w:lang w:val="fr-CH"/>
        </w:rPr>
        <w:t>'</w:t>
      </w:r>
      <w:r w:rsidRPr="003A4A13">
        <w:rPr>
          <w:rFonts w:eastAsia="Batang" w:cs="Calibri"/>
          <w:bCs/>
          <w:szCs w:val="24"/>
          <w:lang w:val="fr-CH"/>
        </w:rPr>
        <w:t>elles fassent part de leurs observations.</w:t>
      </w:r>
    </w:p>
    <w:p w:rsidR="00C72878" w:rsidRPr="003A4A13" w:rsidRDefault="0086369B" w:rsidP="00D81608">
      <w:pPr>
        <w:spacing w:after="120"/>
        <w:rPr>
          <w:rFonts w:eastAsia="Batang" w:cs="Calibri"/>
          <w:bCs/>
          <w:szCs w:val="24"/>
          <w:lang w:val="fr-CH"/>
        </w:rPr>
      </w:pPr>
      <w:r w:rsidRPr="003A4A13">
        <w:rPr>
          <w:rFonts w:eastAsia="Batang" w:cs="Calibri"/>
          <w:bCs/>
          <w:szCs w:val="24"/>
          <w:lang w:val="fr-CH"/>
        </w:rPr>
        <w:t xml:space="preserve">Les </w:t>
      </w:r>
      <w:r w:rsidR="00D81608" w:rsidRPr="003A4A13">
        <w:rPr>
          <w:rFonts w:eastAsia="Batang" w:cs="Calibri"/>
          <w:bCs/>
          <w:szCs w:val="24"/>
          <w:lang w:val="fr-CH"/>
        </w:rPr>
        <w:t>C</w:t>
      </w:r>
      <w:r w:rsidRPr="003A4A13">
        <w:rPr>
          <w:rFonts w:eastAsia="Batang" w:cs="Calibri"/>
          <w:bCs/>
          <w:szCs w:val="24"/>
          <w:lang w:val="fr-CH"/>
        </w:rPr>
        <w:t>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UIT-D et leurs équipes de direction ont examiné les objectifs et la justification de cet</w:t>
      </w:r>
      <w:r w:rsidR="00D81608" w:rsidRPr="003A4A13">
        <w:rPr>
          <w:rFonts w:eastAsia="Batang" w:cs="Calibri"/>
          <w:bCs/>
          <w:szCs w:val="24"/>
          <w:lang w:val="fr-CH"/>
        </w:rPr>
        <w:t>te</w:t>
      </w:r>
      <w:r w:rsidRPr="003A4A13">
        <w:rPr>
          <w:rFonts w:eastAsia="Batang" w:cs="Calibri"/>
          <w:bCs/>
          <w:szCs w:val="24"/>
          <w:lang w:val="fr-CH"/>
        </w:rPr>
        <w:t xml:space="preserve"> mise en correspondance et ont noté </w:t>
      </w:r>
      <w:r w:rsidR="00D81608" w:rsidRPr="003A4A13">
        <w:rPr>
          <w:rFonts w:eastAsia="Batang" w:cs="Calibri"/>
          <w:bCs/>
          <w:szCs w:val="24"/>
          <w:lang w:val="fr-CH"/>
        </w:rPr>
        <w:t>que son actualisation représentait un travail considérable</w:t>
      </w:r>
      <w:r w:rsidRPr="003A4A13">
        <w:rPr>
          <w:rFonts w:eastAsia="Batang" w:cs="Calibri"/>
          <w:bCs/>
          <w:szCs w:val="24"/>
          <w:lang w:val="fr-CH"/>
        </w:rPr>
        <w:t xml:space="preserve">. Il a été avancé </w:t>
      </w:r>
      <w:r w:rsidR="00D81608" w:rsidRPr="003A4A13">
        <w:rPr>
          <w:rFonts w:eastAsia="Batang" w:cs="Calibri"/>
          <w:bCs/>
          <w:szCs w:val="24"/>
          <w:lang w:val="fr-CH"/>
        </w:rPr>
        <w:t>qu'il s'agissait d'</w:t>
      </w:r>
      <w:r w:rsidRPr="003A4A13">
        <w:rPr>
          <w:rFonts w:eastAsia="Batang" w:cs="Calibri"/>
          <w:bCs/>
          <w:szCs w:val="24"/>
          <w:lang w:val="fr-CH"/>
        </w:rPr>
        <w:t>un outil utile pour les Groupes du Rapporteur en ce qu</w:t>
      </w:r>
      <w:r w:rsidR="00B47AFA" w:rsidRPr="003A4A13">
        <w:rPr>
          <w:rFonts w:eastAsia="Batang" w:cs="Calibri"/>
          <w:bCs/>
          <w:szCs w:val="24"/>
          <w:lang w:val="fr-CH"/>
        </w:rPr>
        <w:t>'</w:t>
      </w:r>
      <w:r w:rsidR="00D81608" w:rsidRPr="003A4A13">
        <w:rPr>
          <w:rFonts w:eastAsia="Batang" w:cs="Calibri"/>
          <w:bCs/>
          <w:szCs w:val="24"/>
          <w:lang w:val="fr-CH"/>
        </w:rPr>
        <w:t>il</w:t>
      </w:r>
      <w:r w:rsidRPr="003A4A13">
        <w:rPr>
          <w:rFonts w:eastAsia="Batang" w:cs="Calibri"/>
          <w:bCs/>
          <w:szCs w:val="24"/>
          <w:lang w:val="fr-CH"/>
        </w:rPr>
        <w:t xml:space="preserve"> permet d</w:t>
      </w:r>
      <w:r w:rsidR="00B47AFA" w:rsidRPr="003A4A13">
        <w:rPr>
          <w:rFonts w:eastAsia="Batang" w:cs="Calibri"/>
          <w:bCs/>
          <w:szCs w:val="24"/>
          <w:lang w:val="fr-CH"/>
        </w:rPr>
        <w:t>'</w:t>
      </w:r>
      <w:r w:rsidRPr="003A4A13">
        <w:rPr>
          <w:rFonts w:eastAsia="Batang" w:cs="Calibri"/>
          <w:bCs/>
          <w:szCs w:val="24"/>
          <w:lang w:val="fr-CH"/>
        </w:rPr>
        <w:t>établir un lien entre leurs activités et les travaux menés dans les autres Secteurs</w:t>
      </w:r>
      <w:r w:rsidR="00D81608" w:rsidRPr="003A4A13">
        <w:rPr>
          <w:rFonts w:eastAsia="Batang" w:cs="Calibri"/>
          <w:bCs/>
          <w:szCs w:val="24"/>
          <w:lang w:val="fr-CH"/>
        </w:rPr>
        <w:t>,</w:t>
      </w:r>
      <w:r w:rsidRPr="003A4A13">
        <w:rPr>
          <w:rFonts w:eastAsia="Batang" w:cs="Calibri"/>
          <w:bCs/>
          <w:szCs w:val="24"/>
          <w:lang w:val="fr-CH"/>
        </w:rPr>
        <w:t xml:space="preserve"> afin d</w:t>
      </w:r>
      <w:r w:rsidR="00B47AFA" w:rsidRPr="003A4A13">
        <w:rPr>
          <w:rFonts w:eastAsia="Batang" w:cs="Calibri"/>
          <w:bCs/>
          <w:szCs w:val="24"/>
          <w:lang w:val="fr-CH"/>
        </w:rPr>
        <w:t>'</w:t>
      </w:r>
      <w:r w:rsidR="00D81608" w:rsidRPr="003A4A13">
        <w:rPr>
          <w:rFonts w:eastAsia="Batang" w:cs="Calibri"/>
          <w:bCs/>
          <w:szCs w:val="24"/>
          <w:lang w:val="fr-CH"/>
        </w:rPr>
        <w:t>établir l</w:t>
      </w:r>
      <w:r w:rsidRPr="003A4A13">
        <w:rPr>
          <w:rFonts w:eastAsia="Batang" w:cs="Calibri"/>
          <w:bCs/>
          <w:szCs w:val="24"/>
          <w:lang w:val="fr-CH"/>
        </w:rPr>
        <w:t>es liens entre les recommandations existantes, d</w:t>
      </w:r>
      <w:r w:rsidR="00B47AFA" w:rsidRPr="003A4A13">
        <w:rPr>
          <w:rFonts w:eastAsia="Batang" w:cs="Calibri"/>
          <w:bCs/>
          <w:szCs w:val="24"/>
          <w:lang w:val="fr-CH"/>
        </w:rPr>
        <w:t>'</w:t>
      </w:r>
      <w:r w:rsidRPr="003A4A13">
        <w:rPr>
          <w:rFonts w:eastAsia="Batang" w:cs="Calibri"/>
          <w:bCs/>
          <w:szCs w:val="24"/>
          <w:lang w:val="fr-CH"/>
        </w:rPr>
        <w:t>envoyer les notes de liais</w:t>
      </w:r>
      <w:r w:rsidR="00D81608" w:rsidRPr="003A4A13">
        <w:rPr>
          <w:rFonts w:eastAsia="Batang" w:cs="Calibri"/>
          <w:bCs/>
          <w:szCs w:val="24"/>
          <w:lang w:val="fr-CH"/>
        </w:rPr>
        <w:t>on aux groupes concernés, etc. A</w:t>
      </w:r>
      <w:r w:rsidRPr="003A4A13">
        <w:rPr>
          <w:rFonts w:eastAsia="Batang" w:cs="Calibri"/>
          <w:bCs/>
          <w:szCs w:val="24"/>
          <w:lang w:val="fr-CH"/>
        </w:rPr>
        <w:t xml:space="preserve"> ce titre, cette mise en correspondance peut s</w:t>
      </w:r>
      <w:r w:rsidR="00D81608" w:rsidRPr="003A4A13">
        <w:rPr>
          <w:rFonts w:eastAsia="Batang" w:cs="Calibri"/>
          <w:bCs/>
          <w:szCs w:val="24"/>
          <w:lang w:val="fr-CH"/>
        </w:rPr>
        <w:t>ervir de cadre général d'</w:t>
      </w:r>
      <w:r w:rsidRPr="003A4A13">
        <w:rPr>
          <w:rFonts w:eastAsia="Batang" w:cs="Calibri"/>
          <w:bCs/>
          <w:szCs w:val="24"/>
          <w:lang w:val="fr-CH"/>
        </w:rPr>
        <w:t xml:space="preserve">interaction et </w:t>
      </w:r>
      <w:r w:rsidR="00D81608" w:rsidRPr="003A4A13">
        <w:rPr>
          <w:rFonts w:eastAsia="Batang" w:cs="Calibri"/>
          <w:bCs/>
          <w:szCs w:val="24"/>
          <w:lang w:val="fr-CH"/>
        </w:rPr>
        <w:t>de</w:t>
      </w:r>
      <w:r w:rsidRPr="003A4A13">
        <w:rPr>
          <w:rFonts w:eastAsia="Batang" w:cs="Calibri"/>
          <w:bCs/>
          <w:szCs w:val="24"/>
          <w:lang w:val="fr-CH"/>
        </w:rPr>
        <w:t xml:space="preserve"> collaboration entre les Secteurs. Elle peut permettre de connaître les spécialistes des différents thèmes</w:t>
      </w:r>
      <w:r w:rsidR="00D81608" w:rsidRPr="003A4A13">
        <w:rPr>
          <w:rFonts w:eastAsia="Batang" w:cs="Calibri"/>
          <w:bCs/>
          <w:szCs w:val="24"/>
          <w:lang w:val="fr-CH"/>
        </w:rPr>
        <w:t xml:space="preserve"> et de partager ainsi, par leur intermédiaire, des </w:t>
      </w:r>
      <w:r w:rsidR="00C72878" w:rsidRPr="003A4A13">
        <w:rPr>
          <w:rFonts w:eastAsia="Batang" w:cs="Calibri"/>
          <w:bCs/>
          <w:szCs w:val="24"/>
          <w:lang w:val="fr-CH"/>
        </w:rPr>
        <w:t xml:space="preserve">compétences spécialisées. Afin de </w:t>
      </w:r>
      <w:r w:rsidR="00D81608" w:rsidRPr="003A4A13">
        <w:rPr>
          <w:rFonts w:eastAsia="Batang" w:cs="Calibri"/>
          <w:bCs/>
          <w:szCs w:val="24"/>
          <w:lang w:val="fr-CH"/>
        </w:rPr>
        <w:t>garantir l'examen et le suivi de ce</w:t>
      </w:r>
      <w:r w:rsidR="00C72878" w:rsidRPr="003A4A13">
        <w:rPr>
          <w:rFonts w:eastAsia="Batang" w:cs="Calibri"/>
          <w:bCs/>
          <w:szCs w:val="24"/>
          <w:lang w:val="fr-CH"/>
        </w:rPr>
        <w:t xml:space="preserve"> travai</w:t>
      </w:r>
      <w:r w:rsidR="00D81608" w:rsidRPr="003A4A13">
        <w:rPr>
          <w:rFonts w:eastAsia="Batang" w:cs="Calibri"/>
          <w:bCs/>
          <w:szCs w:val="24"/>
          <w:lang w:val="fr-CH"/>
        </w:rPr>
        <w:t>l de mise en correspondance</w:t>
      </w:r>
      <w:r w:rsidR="00C72878" w:rsidRPr="003A4A13">
        <w:rPr>
          <w:rFonts w:eastAsia="Batang" w:cs="Calibri"/>
          <w:bCs/>
          <w:szCs w:val="24"/>
          <w:lang w:val="fr-CH"/>
        </w:rPr>
        <w:t>, il a été demandé à chaque Groupe du Rapporteur rattaché à la CE 1 d</w:t>
      </w:r>
      <w:r w:rsidR="00B47AFA" w:rsidRPr="003A4A13">
        <w:rPr>
          <w:rFonts w:eastAsia="Batang" w:cs="Calibri"/>
          <w:bCs/>
          <w:szCs w:val="24"/>
          <w:lang w:val="fr-CH"/>
        </w:rPr>
        <w:t>'</w:t>
      </w:r>
      <w:r w:rsidR="00C72878" w:rsidRPr="003A4A13">
        <w:rPr>
          <w:rFonts w:eastAsia="Batang" w:cs="Calibri"/>
          <w:bCs/>
          <w:szCs w:val="24"/>
          <w:lang w:val="fr-CH"/>
        </w:rPr>
        <w:t xml:space="preserve">identifier un représentant pour </w:t>
      </w:r>
      <w:r w:rsidR="00D81608" w:rsidRPr="003A4A13">
        <w:rPr>
          <w:rFonts w:eastAsia="Batang" w:cs="Calibri"/>
          <w:bCs/>
          <w:szCs w:val="24"/>
          <w:lang w:val="fr-CH"/>
        </w:rPr>
        <w:t>ce</w:t>
      </w:r>
      <w:r w:rsidR="00C72878" w:rsidRPr="003A4A13">
        <w:rPr>
          <w:rFonts w:eastAsia="Batang" w:cs="Calibri"/>
          <w:bCs/>
          <w:szCs w:val="24"/>
          <w:lang w:val="fr-CH"/>
        </w:rPr>
        <w:t xml:space="preserve"> trava</w:t>
      </w:r>
      <w:r w:rsidR="00D81608" w:rsidRPr="003A4A13">
        <w:rPr>
          <w:rFonts w:eastAsia="Batang" w:cs="Calibri"/>
          <w:bCs/>
          <w:szCs w:val="24"/>
          <w:lang w:val="fr-CH"/>
        </w:rPr>
        <w:t>il</w:t>
      </w:r>
      <w:r w:rsidR="00C72878" w:rsidRPr="003A4A13">
        <w:rPr>
          <w:rFonts w:eastAsia="Batang" w:cs="Calibri"/>
          <w:bCs/>
          <w:szCs w:val="24"/>
          <w:lang w:val="fr-CH"/>
        </w:rPr>
        <w:t>.</w:t>
      </w:r>
    </w:p>
    <w:p w:rsidR="007F4177" w:rsidRPr="003A4A13" w:rsidRDefault="00B54000" w:rsidP="00193AF0">
      <w:pPr>
        <w:spacing w:after="120"/>
        <w:rPr>
          <w:rFonts w:eastAsia="Batang" w:cs="Calibri"/>
          <w:bCs/>
          <w:szCs w:val="24"/>
          <w:lang w:val="fr-CH"/>
        </w:rPr>
      </w:pPr>
      <w:r w:rsidRPr="003A4A13">
        <w:rPr>
          <w:rFonts w:eastAsia="Batang" w:cs="Calibri"/>
          <w:bCs/>
          <w:szCs w:val="24"/>
          <w:lang w:val="fr-CH"/>
        </w:rPr>
        <w:t>Sur le modèle de la mise en correspondance intersectorielle, les commissions d</w:t>
      </w:r>
      <w:r w:rsidR="00B47AFA" w:rsidRPr="003A4A13">
        <w:rPr>
          <w:rFonts w:eastAsia="Batang" w:cs="Calibri"/>
          <w:bCs/>
          <w:szCs w:val="24"/>
          <w:lang w:val="fr-CH"/>
        </w:rPr>
        <w:t>'</w:t>
      </w:r>
      <w:r w:rsidRPr="003A4A13">
        <w:rPr>
          <w:rFonts w:eastAsia="Batang" w:cs="Calibri"/>
          <w:bCs/>
          <w:szCs w:val="24"/>
          <w:lang w:val="fr-CH"/>
        </w:rPr>
        <w:t>études de l</w:t>
      </w:r>
      <w:r w:rsidR="00B47AFA" w:rsidRPr="003A4A13">
        <w:rPr>
          <w:rFonts w:eastAsia="Batang" w:cs="Calibri"/>
          <w:bCs/>
          <w:szCs w:val="24"/>
          <w:lang w:val="fr-CH"/>
        </w:rPr>
        <w:t>'</w:t>
      </w:r>
      <w:r w:rsidRPr="003A4A13">
        <w:rPr>
          <w:rFonts w:eastAsia="Batang" w:cs="Calibri"/>
          <w:bCs/>
          <w:szCs w:val="24"/>
          <w:lang w:val="fr-CH"/>
        </w:rPr>
        <w:t xml:space="preserve">UIT-D ont également procédé à une </w:t>
      </w:r>
      <w:r w:rsidRPr="003A4A13">
        <w:rPr>
          <w:rFonts w:eastAsia="Batang" w:cs="Calibri"/>
          <w:b/>
          <w:szCs w:val="24"/>
          <w:lang w:val="fr-CH"/>
        </w:rPr>
        <w:t>mise en correspondance intrasectorielle entre les différentes Questions</w:t>
      </w:r>
      <w:r w:rsidRPr="003A4A13">
        <w:rPr>
          <w:rFonts w:eastAsia="Batang" w:cs="Calibri"/>
          <w:bCs/>
          <w:szCs w:val="24"/>
          <w:lang w:val="fr-CH"/>
        </w:rPr>
        <w:t>. Le projet de tableau de relation et d</w:t>
      </w:r>
      <w:r w:rsidR="00B47AFA" w:rsidRPr="003A4A13">
        <w:rPr>
          <w:rFonts w:eastAsia="Batang" w:cs="Calibri"/>
          <w:bCs/>
          <w:szCs w:val="24"/>
          <w:lang w:val="fr-CH"/>
        </w:rPr>
        <w:t>'</w:t>
      </w:r>
      <w:r w:rsidRPr="003A4A13">
        <w:rPr>
          <w:rFonts w:eastAsia="Batang" w:cs="Calibri"/>
          <w:bCs/>
          <w:szCs w:val="24"/>
          <w:lang w:val="fr-CH"/>
        </w:rPr>
        <w:t>interaction entre les Questions confiées à la CE 1 de l</w:t>
      </w:r>
      <w:r w:rsidR="00B47AFA" w:rsidRPr="003A4A13">
        <w:rPr>
          <w:rFonts w:eastAsia="Batang" w:cs="Calibri"/>
          <w:bCs/>
          <w:szCs w:val="24"/>
          <w:lang w:val="fr-CH"/>
        </w:rPr>
        <w:t>'</w:t>
      </w:r>
      <w:r w:rsidRPr="003A4A13">
        <w:rPr>
          <w:rFonts w:eastAsia="Batang" w:cs="Calibri"/>
          <w:bCs/>
          <w:szCs w:val="24"/>
          <w:lang w:val="fr-CH"/>
        </w:rPr>
        <w:t>UIT-D et celle</w:t>
      </w:r>
      <w:r w:rsidR="00193AF0" w:rsidRPr="003A4A13">
        <w:rPr>
          <w:rFonts w:eastAsia="Batang" w:cs="Calibri"/>
          <w:bCs/>
          <w:szCs w:val="24"/>
          <w:lang w:val="fr-CH"/>
        </w:rPr>
        <w:t>s confiées</w:t>
      </w:r>
      <w:r w:rsidRPr="003A4A13">
        <w:rPr>
          <w:rFonts w:eastAsia="Batang" w:cs="Calibri"/>
          <w:bCs/>
          <w:szCs w:val="24"/>
          <w:lang w:val="fr-CH"/>
        </w:rPr>
        <w:t xml:space="preserve"> à la CE 2 de l</w:t>
      </w:r>
      <w:r w:rsidR="00B47AFA" w:rsidRPr="003A4A13">
        <w:rPr>
          <w:rFonts w:eastAsia="Batang" w:cs="Calibri"/>
          <w:bCs/>
          <w:szCs w:val="24"/>
          <w:lang w:val="fr-CH"/>
        </w:rPr>
        <w:t>'</w:t>
      </w:r>
      <w:r w:rsidRPr="003A4A13">
        <w:rPr>
          <w:rFonts w:eastAsia="Batang" w:cs="Calibri"/>
          <w:bCs/>
          <w:szCs w:val="24"/>
          <w:lang w:val="fr-CH"/>
        </w:rPr>
        <w:t>UIT-D vise à mettre en évidence les possibles chevauchements et les domaines dans lesquels la collaboration pourrait être encore renforcée. Comme pour tous les tableaux de mise en correspondance, il s</w:t>
      </w:r>
      <w:r w:rsidR="00B47AFA" w:rsidRPr="003A4A13">
        <w:rPr>
          <w:rFonts w:eastAsia="Batang" w:cs="Calibri"/>
          <w:bCs/>
          <w:szCs w:val="24"/>
          <w:lang w:val="fr-CH"/>
        </w:rPr>
        <w:t>'</w:t>
      </w:r>
      <w:r w:rsidRPr="003A4A13">
        <w:rPr>
          <w:rFonts w:eastAsia="Batang" w:cs="Calibri"/>
          <w:bCs/>
          <w:szCs w:val="24"/>
          <w:lang w:val="fr-CH"/>
        </w:rPr>
        <w:t>agit de documents évolutifs qui seront modifiés tout au long de la période d</w:t>
      </w:r>
      <w:r w:rsidR="00B47AFA" w:rsidRPr="003A4A13">
        <w:rPr>
          <w:rFonts w:eastAsia="Batang" w:cs="Calibri"/>
          <w:bCs/>
          <w:szCs w:val="24"/>
          <w:lang w:val="fr-CH"/>
        </w:rPr>
        <w:t>'</w:t>
      </w:r>
      <w:r w:rsidRPr="003A4A13">
        <w:rPr>
          <w:rFonts w:eastAsia="Batang" w:cs="Calibri"/>
          <w:bCs/>
          <w:szCs w:val="24"/>
          <w:lang w:val="fr-CH"/>
        </w:rPr>
        <w:t>études à mesure que les travaux sur les différentes Questions progressent.</w:t>
      </w:r>
    </w:p>
    <w:p w:rsidR="00B54000" w:rsidRPr="003A4A13" w:rsidRDefault="00083258" w:rsidP="00193AF0">
      <w:pPr>
        <w:pStyle w:val="Heading2"/>
        <w:rPr>
          <w:lang w:val="fr-CH"/>
        </w:rPr>
      </w:pPr>
      <w:r w:rsidRPr="003A4A13">
        <w:rPr>
          <w:lang w:val="fr-CH"/>
        </w:rPr>
        <w:t>4.2</w:t>
      </w:r>
      <w:r w:rsidRPr="003A4A13">
        <w:rPr>
          <w:lang w:val="fr-CH"/>
        </w:rPr>
        <w:tab/>
      </w:r>
      <w:r w:rsidR="00B54000" w:rsidRPr="003A4A13">
        <w:rPr>
          <w:lang w:val="fr-CH"/>
        </w:rPr>
        <w:t>Par</w:t>
      </w:r>
      <w:r w:rsidR="00193AF0" w:rsidRPr="003A4A13">
        <w:rPr>
          <w:lang w:val="fr-CH"/>
        </w:rPr>
        <w:t>ticipation et contribution des C</w:t>
      </w:r>
      <w:r w:rsidR="00B54000" w:rsidRPr="003A4A13">
        <w:rPr>
          <w:lang w:val="fr-CH"/>
        </w:rPr>
        <w:t>ommissions d</w:t>
      </w:r>
      <w:r w:rsidR="00B47AFA" w:rsidRPr="003A4A13">
        <w:rPr>
          <w:lang w:val="fr-CH"/>
        </w:rPr>
        <w:t>'</w:t>
      </w:r>
      <w:r w:rsidR="00B54000" w:rsidRPr="003A4A13">
        <w:rPr>
          <w:lang w:val="fr-CH"/>
        </w:rPr>
        <w:t>études de l</w:t>
      </w:r>
      <w:r w:rsidR="00B47AFA" w:rsidRPr="003A4A13">
        <w:rPr>
          <w:lang w:val="fr-CH"/>
        </w:rPr>
        <w:t>'</w:t>
      </w:r>
      <w:r w:rsidR="00B54000" w:rsidRPr="003A4A13">
        <w:rPr>
          <w:lang w:val="fr-CH"/>
        </w:rPr>
        <w:t xml:space="preserve">UIT-D à la mise en </w:t>
      </w:r>
      <w:r w:rsidR="00193AF0" w:rsidRPr="003A4A13">
        <w:rPr>
          <w:lang w:val="fr-CH"/>
        </w:rPr>
        <w:t>oe</w:t>
      </w:r>
      <w:r w:rsidR="00B54000" w:rsidRPr="003A4A13">
        <w:rPr>
          <w:lang w:val="fr-CH"/>
        </w:rPr>
        <w:t>uvre de la Résolution 9 (Rév. Buenos Aires, 2017) de la CMDT</w:t>
      </w:r>
    </w:p>
    <w:p w:rsidR="00B54000" w:rsidRPr="003A4A13" w:rsidRDefault="00B54000" w:rsidP="00CC0E69">
      <w:pPr>
        <w:spacing w:after="120"/>
        <w:rPr>
          <w:szCs w:val="24"/>
          <w:lang w:val="fr-CH"/>
        </w:rPr>
      </w:pPr>
      <w:r w:rsidRPr="003A4A13">
        <w:rPr>
          <w:szCs w:val="24"/>
          <w:lang w:val="fr-CH"/>
        </w:rPr>
        <w:t>Lors des réunions, en particulier celle</w:t>
      </w:r>
      <w:r w:rsidR="00193AF0" w:rsidRPr="003A4A13">
        <w:rPr>
          <w:szCs w:val="24"/>
          <w:lang w:val="fr-CH"/>
        </w:rPr>
        <w:t>s</w:t>
      </w:r>
      <w:r w:rsidRPr="003A4A13">
        <w:rPr>
          <w:szCs w:val="24"/>
          <w:lang w:val="fr-CH"/>
        </w:rPr>
        <w:t xml:space="preserve"> des Groupes du Rapporteur tenu</w:t>
      </w:r>
      <w:r w:rsidR="00193AF0" w:rsidRPr="003A4A13">
        <w:rPr>
          <w:szCs w:val="24"/>
          <w:lang w:val="fr-CH"/>
        </w:rPr>
        <w:t>es</w:t>
      </w:r>
      <w:r w:rsidRPr="003A4A13">
        <w:rPr>
          <w:szCs w:val="24"/>
          <w:lang w:val="fr-CH"/>
        </w:rPr>
        <w:t xml:space="preserve"> en septembre 2018, </w:t>
      </w:r>
      <w:r w:rsidR="00193AF0" w:rsidRPr="003A4A13">
        <w:rPr>
          <w:szCs w:val="24"/>
          <w:lang w:val="fr-CH"/>
        </w:rPr>
        <w:t>l'état d'avancement</w:t>
      </w:r>
      <w:r w:rsidRPr="003A4A13">
        <w:rPr>
          <w:szCs w:val="24"/>
          <w:lang w:val="fr-CH"/>
        </w:rPr>
        <w:t xml:space="preserve"> de la mise en </w:t>
      </w:r>
      <w:r w:rsidR="00193AF0" w:rsidRPr="003A4A13">
        <w:rPr>
          <w:szCs w:val="24"/>
          <w:lang w:val="fr-CH"/>
        </w:rPr>
        <w:t>oe</w:t>
      </w:r>
      <w:r w:rsidRPr="003A4A13">
        <w:rPr>
          <w:szCs w:val="24"/>
          <w:lang w:val="fr-CH"/>
        </w:rPr>
        <w:t xml:space="preserve">uvre de la Résolution 9 (Rév. Buenos Aires, 2017) de la CMDT et le fait que la CMDT-17 </w:t>
      </w:r>
      <w:r w:rsidR="00193AF0" w:rsidRPr="003A4A13">
        <w:rPr>
          <w:szCs w:val="24"/>
          <w:lang w:val="fr-CH"/>
        </w:rPr>
        <w:t>ait</w:t>
      </w:r>
      <w:r w:rsidRPr="003A4A13">
        <w:rPr>
          <w:szCs w:val="24"/>
          <w:lang w:val="fr-CH"/>
        </w:rPr>
        <w:t xml:space="preserve"> supprim</w:t>
      </w:r>
      <w:r w:rsidR="00193AF0" w:rsidRPr="003A4A13">
        <w:rPr>
          <w:szCs w:val="24"/>
          <w:lang w:val="fr-CH"/>
        </w:rPr>
        <w:t>é</w:t>
      </w:r>
      <w:r w:rsidRPr="003A4A13">
        <w:rPr>
          <w:szCs w:val="24"/>
          <w:lang w:val="fr-CH"/>
        </w:rPr>
        <w:t xml:space="preserve"> cette question du programme de travail des </w:t>
      </w:r>
      <w:r w:rsidR="00193AF0" w:rsidRPr="003A4A13">
        <w:rPr>
          <w:szCs w:val="24"/>
          <w:lang w:val="fr-CH"/>
        </w:rPr>
        <w:t>C</w:t>
      </w:r>
      <w:r w:rsidRPr="003A4A13">
        <w:rPr>
          <w:szCs w:val="24"/>
          <w:lang w:val="fr-CH"/>
        </w:rPr>
        <w:t>ommissions d</w:t>
      </w:r>
      <w:r w:rsidR="00B47AFA" w:rsidRPr="003A4A13">
        <w:rPr>
          <w:szCs w:val="24"/>
          <w:lang w:val="fr-CH"/>
        </w:rPr>
        <w:t>'</w:t>
      </w:r>
      <w:r w:rsidRPr="003A4A13">
        <w:rPr>
          <w:szCs w:val="24"/>
          <w:lang w:val="fr-CH"/>
        </w:rPr>
        <w:t>études de l</w:t>
      </w:r>
      <w:r w:rsidR="00B47AFA" w:rsidRPr="003A4A13">
        <w:rPr>
          <w:szCs w:val="24"/>
          <w:lang w:val="fr-CH"/>
        </w:rPr>
        <w:t>'</w:t>
      </w:r>
      <w:r w:rsidR="00193AF0" w:rsidRPr="003A4A13">
        <w:rPr>
          <w:szCs w:val="24"/>
          <w:lang w:val="fr-CH"/>
        </w:rPr>
        <w:t>UIT-D ont</w:t>
      </w:r>
      <w:r w:rsidRPr="003A4A13">
        <w:rPr>
          <w:szCs w:val="24"/>
          <w:lang w:val="fr-CH"/>
        </w:rPr>
        <w:t xml:space="preserve"> suscité des inte</w:t>
      </w:r>
      <w:r w:rsidR="00193AF0" w:rsidRPr="003A4A13">
        <w:rPr>
          <w:szCs w:val="24"/>
          <w:lang w:val="fr-CH"/>
        </w:rPr>
        <w:t>rrogations et des inquiétudes. E</w:t>
      </w:r>
      <w:r w:rsidRPr="003A4A13">
        <w:rPr>
          <w:szCs w:val="24"/>
          <w:lang w:val="fr-CH"/>
        </w:rPr>
        <w:t xml:space="preserve">tant donné que plusieurs Questions confiées à la CE </w:t>
      </w:r>
      <w:r w:rsidR="00193AF0" w:rsidRPr="003A4A13">
        <w:rPr>
          <w:szCs w:val="24"/>
          <w:lang w:val="fr-CH"/>
        </w:rPr>
        <w:t xml:space="preserve">1 </w:t>
      </w:r>
      <w:r w:rsidRPr="003A4A13">
        <w:rPr>
          <w:szCs w:val="24"/>
          <w:lang w:val="fr-CH"/>
        </w:rPr>
        <w:t xml:space="preserve">ont un lien avec la gestion du spectre, des précisions ont été demandées sur les prochaines étapes de la mise en </w:t>
      </w:r>
      <w:r w:rsidR="00193AF0" w:rsidRPr="003A4A13">
        <w:rPr>
          <w:szCs w:val="24"/>
          <w:lang w:val="fr-CH"/>
        </w:rPr>
        <w:t>oe</w:t>
      </w:r>
      <w:r w:rsidRPr="003A4A13">
        <w:rPr>
          <w:szCs w:val="24"/>
          <w:lang w:val="fr-CH"/>
        </w:rPr>
        <w:t>uvre et sur la manière dont les commissions d</w:t>
      </w:r>
      <w:r w:rsidR="00B47AFA" w:rsidRPr="003A4A13">
        <w:rPr>
          <w:szCs w:val="24"/>
          <w:lang w:val="fr-CH"/>
        </w:rPr>
        <w:t>'</w:t>
      </w:r>
      <w:r w:rsidRPr="003A4A13">
        <w:rPr>
          <w:szCs w:val="24"/>
          <w:lang w:val="fr-CH"/>
        </w:rPr>
        <w:t>études pourraient procéder à cet égard. Des membres se sont inquiétés du fait qu</w:t>
      </w:r>
      <w:r w:rsidR="00B47AFA" w:rsidRPr="003A4A13">
        <w:rPr>
          <w:szCs w:val="24"/>
          <w:lang w:val="fr-CH"/>
        </w:rPr>
        <w:t>'</w:t>
      </w:r>
      <w:r w:rsidRPr="003A4A13">
        <w:rPr>
          <w:szCs w:val="24"/>
          <w:lang w:val="fr-CH"/>
        </w:rPr>
        <w:t>aucun progrès n</w:t>
      </w:r>
      <w:r w:rsidR="00B47AFA" w:rsidRPr="003A4A13">
        <w:rPr>
          <w:szCs w:val="24"/>
          <w:lang w:val="fr-CH"/>
        </w:rPr>
        <w:t>'</w:t>
      </w:r>
      <w:r w:rsidRPr="003A4A13">
        <w:rPr>
          <w:szCs w:val="24"/>
          <w:lang w:val="fr-CH"/>
        </w:rPr>
        <w:t xml:space="preserve">a été accompli après la CMDT-17. </w:t>
      </w:r>
      <w:r w:rsidR="00AA03B8" w:rsidRPr="003A4A13">
        <w:rPr>
          <w:szCs w:val="24"/>
          <w:lang w:val="fr-CH"/>
        </w:rPr>
        <w:t xml:space="preserve">Un rapport a été présenté aux participants concernant une proposition de méthode </w:t>
      </w:r>
      <w:r w:rsidR="00193AF0" w:rsidRPr="003A4A13">
        <w:rPr>
          <w:szCs w:val="24"/>
          <w:lang w:val="fr-CH"/>
        </w:rPr>
        <w:t>pour</w:t>
      </w:r>
      <w:r w:rsidR="00AA03B8" w:rsidRPr="003A4A13">
        <w:rPr>
          <w:szCs w:val="24"/>
          <w:lang w:val="fr-CH"/>
        </w:rPr>
        <w:t xml:space="preserve"> traiter les aspects complexes de la mise en </w:t>
      </w:r>
      <w:r w:rsidR="00193AF0" w:rsidRPr="003A4A13">
        <w:rPr>
          <w:szCs w:val="24"/>
          <w:lang w:val="fr-CH"/>
        </w:rPr>
        <w:t>oeuvre de la R</w:t>
      </w:r>
      <w:r w:rsidR="00AA03B8" w:rsidRPr="003A4A13">
        <w:rPr>
          <w:szCs w:val="24"/>
          <w:lang w:val="fr-CH"/>
        </w:rPr>
        <w:t xml:space="preserve">ésolution par le BDT, qui </w:t>
      </w:r>
      <w:r w:rsidR="00193AF0" w:rsidRPr="003A4A13">
        <w:rPr>
          <w:szCs w:val="24"/>
          <w:lang w:val="fr-CH"/>
        </w:rPr>
        <w:t>exige</w:t>
      </w:r>
      <w:r w:rsidR="00AA03B8" w:rsidRPr="003A4A13">
        <w:rPr>
          <w:szCs w:val="24"/>
          <w:lang w:val="fr-CH"/>
        </w:rPr>
        <w:t xml:space="preserve"> une </w:t>
      </w:r>
      <w:r w:rsidR="00193AF0" w:rsidRPr="003A4A13">
        <w:rPr>
          <w:szCs w:val="24"/>
          <w:lang w:val="fr-CH"/>
        </w:rPr>
        <w:t xml:space="preserve">collaboration </w:t>
      </w:r>
      <w:r w:rsidR="00AA03B8" w:rsidRPr="003A4A13">
        <w:rPr>
          <w:szCs w:val="24"/>
          <w:lang w:val="fr-CH"/>
        </w:rPr>
        <w:t>étroite avec le Bureau des radiocommunications (BR), et il a été noté que des informations seraient communiquées ultérieurement. En ce qui concern</w:t>
      </w:r>
      <w:r w:rsidR="00193AF0" w:rsidRPr="003A4A13">
        <w:rPr>
          <w:szCs w:val="24"/>
          <w:lang w:val="fr-CH"/>
        </w:rPr>
        <w:t>e la possible contribution des C</w:t>
      </w:r>
      <w:r w:rsidR="00AA03B8" w:rsidRPr="003A4A13">
        <w:rPr>
          <w:szCs w:val="24"/>
          <w:lang w:val="fr-CH"/>
        </w:rPr>
        <w:t>ommissions d</w:t>
      </w:r>
      <w:r w:rsidR="00B47AFA" w:rsidRPr="003A4A13">
        <w:rPr>
          <w:szCs w:val="24"/>
          <w:lang w:val="fr-CH"/>
        </w:rPr>
        <w:t>'</w:t>
      </w:r>
      <w:r w:rsidR="00AA03B8" w:rsidRPr="003A4A13">
        <w:rPr>
          <w:szCs w:val="24"/>
          <w:lang w:val="fr-CH"/>
        </w:rPr>
        <w:t>études de l</w:t>
      </w:r>
      <w:r w:rsidR="00B47AFA" w:rsidRPr="003A4A13">
        <w:rPr>
          <w:szCs w:val="24"/>
          <w:lang w:val="fr-CH"/>
        </w:rPr>
        <w:t>'</w:t>
      </w:r>
      <w:r w:rsidR="00AA03B8" w:rsidRPr="003A4A13">
        <w:rPr>
          <w:szCs w:val="24"/>
          <w:lang w:val="fr-CH"/>
        </w:rPr>
        <w:t xml:space="preserve">UIT-D aux travaux, il a été proposé que </w:t>
      </w:r>
      <w:r w:rsidR="00AA03B8" w:rsidRPr="003A4A13">
        <w:rPr>
          <w:szCs w:val="24"/>
          <w:lang w:val="fr-CH"/>
        </w:rPr>
        <w:lastRenderedPageBreak/>
        <w:t>chaque Rapporteur rassemble tous les éléments concernant les</w:t>
      </w:r>
      <w:r w:rsidR="00193AF0" w:rsidRPr="003A4A13">
        <w:rPr>
          <w:szCs w:val="24"/>
          <w:lang w:val="fr-CH"/>
        </w:rPr>
        <w:t xml:space="preserve"> aspects relatifs au spectre,</w:t>
      </w:r>
      <w:r w:rsidR="00AA03B8" w:rsidRPr="003A4A13">
        <w:rPr>
          <w:szCs w:val="24"/>
          <w:lang w:val="fr-CH"/>
        </w:rPr>
        <w:t xml:space="preserve"> en particulier les besoins exprimés, à l</w:t>
      </w:r>
      <w:r w:rsidR="00B47AFA" w:rsidRPr="003A4A13">
        <w:rPr>
          <w:szCs w:val="24"/>
          <w:lang w:val="fr-CH"/>
        </w:rPr>
        <w:t>'</w:t>
      </w:r>
      <w:r w:rsidR="00AA03B8" w:rsidRPr="003A4A13">
        <w:rPr>
          <w:szCs w:val="24"/>
          <w:lang w:val="fr-CH"/>
        </w:rPr>
        <w:t>issue de chaque réunion et les communique à intervalle régulier au Président de</w:t>
      </w:r>
      <w:r w:rsidR="00193AF0" w:rsidRPr="003A4A13">
        <w:rPr>
          <w:szCs w:val="24"/>
          <w:lang w:val="fr-CH"/>
        </w:rPr>
        <w:t xml:space="preserve"> la</w:t>
      </w:r>
      <w:r w:rsidR="00AA03B8" w:rsidRPr="003A4A13">
        <w:rPr>
          <w:szCs w:val="24"/>
          <w:lang w:val="fr-CH"/>
        </w:rPr>
        <w:t xml:space="preserve"> Commission d</w:t>
      </w:r>
      <w:r w:rsidR="00B47AFA" w:rsidRPr="003A4A13">
        <w:rPr>
          <w:szCs w:val="24"/>
          <w:lang w:val="fr-CH"/>
        </w:rPr>
        <w:t>'</w:t>
      </w:r>
      <w:r w:rsidR="00AA03B8" w:rsidRPr="003A4A13">
        <w:rPr>
          <w:szCs w:val="24"/>
          <w:lang w:val="fr-CH"/>
        </w:rPr>
        <w:t>études</w:t>
      </w:r>
      <w:r w:rsidR="00193AF0" w:rsidRPr="003A4A13">
        <w:rPr>
          <w:szCs w:val="24"/>
          <w:lang w:val="fr-CH"/>
        </w:rPr>
        <w:t xml:space="preserve"> dont il dépend</w:t>
      </w:r>
      <w:r w:rsidR="00AA03B8" w:rsidRPr="003A4A13">
        <w:rPr>
          <w:szCs w:val="24"/>
          <w:lang w:val="fr-CH"/>
        </w:rPr>
        <w:t>.</w:t>
      </w:r>
      <w:r w:rsidR="00560E11" w:rsidRPr="003A4A13">
        <w:rPr>
          <w:szCs w:val="24"/>
          <w:lang w:val="fr-CH"/>
        </w:rPr>
        <w:t xml:space="preserve"> Ce point doit encore être examiné plus avant.</w:t>
      </w:r>
    </w:p>
    <w:p w:rsidR="00560E11" w:rsidRPr="003A4A13" w:rsidRDefault="00083258" w:rsidP="00AE6B70">
      <w:pPr>
        <w:pStyle w:val="Heading1"/>
        <w:rPr>
          <w:lang w:val="fr-CH"/>
        </w:rPr>
      </w:pPr>
      <w:r w:rsidRPr="003A4A13">
        <w:rPr>
          <w:lang w:val="fr-CH"/>
        </w:rPr>
        <w:t>5</w:t>
      </w:r>
      <w:r w:rsidRPr="003A4A13">
        <w:rPr>
          <w:lang w:val="fr-CH"/>
        </w:rPr>
        <w:tab/>
      </w:r>
      <w:r w:rsidR="00560E11" w:rsidRPr="003A4A13">
        <w:rPr>
          <w:lang w:val="fr-CH"/>
        </w:rPr>
        <w:t>Travaux du Comité de coordination de l</w:t>
      </w:r>
      <w:r w:rsidR="00B47AFA" w:rsidRPr="003A4A13">
        <w:rPr>
          <w:lang w:val="fr-CH"/>
        </w:rPr>
        <w:t>'</w:t>
      </w:r>
      <w:r w:rsidR="00560E11" w:rsidRPr="003A4A13">
        <w:rPr>
          <w:lang w:val="fr-CH"/>
        </w:rPr>
        <w:t>UIT pour la terminologie (CCT</w:t>
      </w:r>
      <w:r w:rsidR="00B50EF8" w:rsidRPr="003A4A13">
        <w:rPr>
          <w:lang w:val="fr-CH"/>
        </w:rPr>
        <w:t xml:space="preserve"> de l'UIT</w:t>
      </w:r>
      <w:r w:rsidR="00560E11" w:rsidRPr="003A4A13">
        <w:rPr>
          <w:lang w:val="fr-CH"/>
        </w:rPr>
        <w:t>) intéressant l</w:t>
      </w:r>
      <w:r w:rsidR="00B47AFA" w:rsidRPr="003A4A13">
        <w:rPr>
          <w:lang w:val="fr-CH"/>
        </w:rPr>
        <w:t>'</w:t>
      </w:r>
      <w:r w:rsidR="00560E11" w:rsidRPr="003A4A13">
        <w:rPr>
          <w:lang w:val="fr-CH"/>
        </w:rPr>
        <w:t>UIT-D</w:t>
      </w:r>
    </w:p>
    <w:p w:rsidR="00BC0663" w:rsidRPr="003A4A13" w:rsidRDefault="00D3027B" w:rsidP="00B50EF8">
      <w:pPr>
        <w:spacing w:after="120"/>
        <w:rPr>
          <w:szCs w:val="24"/>
          <w:lang w:val="fr-CH"/>
        </w:rPr>
      </w:pPr>
      <w:r w:rsidRPr="003A4A13">
        <w:rPr>
          <w:rFonts w:eastAsia="Calibri" w:cs="Calibri"/>
          <w:szCs w:val="24"/>
          <w:lang w:val="fr-CH"/>
        </w:rPr>
        <w:t>Conformément à la Résolution 86 (Buenos Air</w:t>
      </w:r>
      <w:r w:rsidR="00B50EF8" w:rsidRPr="003A4A13">
        <w:rPr>
          <w:rFonts w:eastAsia="Calibri" w:cs="Calibri"/>
          <w:szCs w:val="24"/>
          <w:lang w:val="fr-CH"/>
        </w:rPr>
        <w:t>es, 2017) de la CMDT intitulée "</w:t>
      </w:r>
      <w:r w:rsidRPr="003A4A13">
        <w:rPr>
          <w:rFonts w:eastAsia="Calibri" w:cs="Calibri"/>
          <w:szCs w:val="24"/>
          <w:lang w:val="fr-CH"/>
        </w:rPr>
        <w:t>Utilisation au sein du Secteur du développement des télécommunications de l</w:t>
      </w:r>
      <w:r w:rsidR="00B47AFA" w:rsidRPr="003A4A13">
        <w:rPr>
          <w:rFonts w:eastAsia="Calibri" w:cs="Calibri"/>
          <w:szCs w:val="24"/>
          <w:lang w:val="fr-CH"/>
        </w:rPr>
        <w:t>'</w:t>
      </w:r>
      <w:r w:rsidRPr="003A4A13">
        <w:rPr>
          <w:rFonts w:eastAsia="Calibri" w:cs="Calibri"/>
          <w:szCs w:val="24"/>
          <w:lang w:val="fr-CH"/>
        </w:rPr>
        <w:t>UIT des langues de l</w:t>
      </w:r>
      <w:r w:rsidR="00B47AFA" w:rsidRPr="003A4A13">
        <w:rPr>
          <w:rFonts w:eastAsia="Calibri" w:cs="Calibri"/>
          <w:szCs w:val="24"/>
          <w:lang w:val="fr-CH"/>
        </w:rPr>
        <w:t>'</w:t>
      </w:r>
      <w:r w:rsidR="00B50EF8" w:rsidRPr="003A4A13">
        <w:rPr>
          <w:rFonts w:eastAsia="Calibri" w:cs="Calibri"/>
          <w:szCs w:val="24"/>
          <w:lang w:val="fr-CH"/>
        </w:rPr>
        <w:t xml:space="preserve">Union </w:t>
      </w:r>
      <w:r w:rsidRPr="003A4A13">
        <w:rPr>
          <w:rFonts w:eastAsia="Calibri" w:cs="Calibri"/>
          <w:szCs w:val="24"/>
          <w:lang w:val="fr-CH"/>
        </w:rPr>
        <w:t>sur un pied d</w:t>
      </w:r>
      <w:r w:rsidR="00B47AFA" w:rsidRPr="003A4A13">
        <w:rPr>
          <w:rFonts w:eastAsia="Calibri" w:cs="Calibri"/>
          <w:szCs w:val="24"/>
          <w:lang w:val="fr-CH"/>
        </w:rPr>
        <w:t>'</w:t>
      </w:r>
      <w:r w:rsidRPr="003A4A13">
        <w:rPr>
          <w:rFonts w:eastAsia="Calibri" w:cs="Calibri"/>
          <w:szCs w:val="24"/>
          <w:lang w:val="fr-CH"/>
        </w:rPr>
        <w:t>égalité</w:t>
      </w:r>
      <w:r w:rsidR="00B50EF8" w:rsidRPr="003A4A13">
        <w:rPr>
          <w:rFonts w:eastAsia="Calibri" w:cs="Calibri"/>
          <w:szCs w:val="24"/>
          <w:lang w:val="fr-CH"/>
        </w:rPr>
        <w:t>"</w:t>
      </w:r>
      <w:r w:rsidRPr="003A4A13">
        <w:rPr>
          <w:rFonts w:eastAsia="Calibri" w:cs="Calibri"/>
          <w:szCs w:val="24"/>
          <w:lang w:val="fr-CH"/>
        </w:rPr>
        <w:t xml:space="preserve">, </w:t>
      </w:r>
      <w:r w:rsidR="00B50EF8" w:rsidRPr="003A4A13">
        <w:rPr>
          <w:rFonts w:eastAsia="Calibri" w:cs="Calibri"/>
          <w:szCs w:val="24"/>
          <w:lang w:val="fr-CH"/>
        </w:rPr>
        <w:t>le GCDT a nommé en 2018 le Vice-</w:t>
      </w:r>
      <w:r w:rsidRPr="003A4A13">
        <w:rPr>
          <w:rFonts w:eastAsia="Calibri" w:cs="Calibri"/>
          <w:szCs w:val="24"/>
          <w:lang w:val="fr-CH"/>
        </w:rPr>
        <w:t>Président de la CE 1, M. Peter</w:t>
      </w:r>
      <w:r w:rsidRPr="003A4A13">
        <w:rPr>
          <w:szCs w:val="24"/>
          <w:lang w:val="fr-CH"/>
        </w:rPr>
        <w:t xml:space="preserve"> Mbengie</w:t>
      </w:r>
      <w:r w:rsidR="00B50EF8" w:rsidRPr="003A4A13">
        <w:rPr>
          <w:szCs w:val="24"/>
          <w:lang w:val="fr-CH"/>
        </w:rPr>
        <w:t xml:space="preserve"> (Cameroun), et la Vice-</w:t>
      </w:r>
      <w:r w:rsidRPr="003A4A13">
        <w:rPr>
          <w:szCs w:val="24"/>
          <w:lang w:val="fr-CH"/>
        </w:rPr>
        <w:t>Présidente de la CE 2, Mme Ke Wang (République populaire de Chine) représentant</w:t>
      </w:r>
      <w:r w:rsidR="00B50EF8" w:rsidRPr="003A4A13">
        <w:rPr>
          <w:szCs w:val="24"/>
          <w:lang w:val="fr-CH"/>
        </w:rPr>
        <w:t>s</w:t>
      </w:r>
      <w:r w:rsidRPr="003A4A13">
        <w:rPr>
          <w:szCs w:val="24"/>
          <w:lang w:val="fr-CH"/>
        </w:rPr>
        <w:t xml:space="preserve"> de l</w:t>
      </w:r>
      <w:r w:rsidR="00B47AFA" w:rsidRPr="003A4A13">
        <w:rPr>
          <w:szCs w:val="24"/>
          <w:lang w:val="fr-CH"/>
        </w:rPr>
        <w:t>'</w:t>
      </w:r>
      <w:r w:rsidRPr="003A4A13">
        <w:rPr>
          <w:szCs w:val="24"/>
          <w:lang w:val="fr-CH"/>
        </w:rPr>
        <w:t>UIT-D au sein du Comité de coordination de l</w:t>
      </w:r>
      <w:r w:rsidR="00B47AFA" w:rsidRPr="003A4A13">
        <w:rPr>
          <w:szCs w:val="24"/>
          <w:lang w:val="fr-CH"/>
        </w:rPr>
        <w:t>'</w:t>
      </w:r>
      <w:r w:rsidRPr="003A4A13">
        <w:rPr>
          <w:szCs w:val="24"/>
          <w:lang w:val="fr-CH"/>
        </w:rPr>
        <w:t>UIT pour la terminologie (CCT</w:t>
      </w:r>
      <w:r w:rsidR="00B50EF8" w:rsidRPr="003A4A13">
        <w:rPr>
          <w:szCs w:val="24"/>
          <w:lang w:val="fr-CH"/>
        </w:rPr>
        <w:t xml:space="preserve"> de l'UIT</w:t>
      </w:r>
      <w:r w:rsidRPr="003A4A13">
        <w:rPr>
          <w:szCs w:val="24"/>
          <w:lang w:val="fr-CH"/>
        </w:rPr>
        <w:t>).</w:t>
      </w:r>
      <w:r w:rsidR="00BC0663" w:rsidRPr="003A4A13">
        <w:rPr>
          <w:szCs w:val="24"/>
          <w:lang w:val="fr-CH"/>
        </w:rPr>
        <w:t xml:space="preserve"> Par sa Rés</w:t>
      </w:r>
      <w:r w:rsidR="00B50EF8" w:rsidRPr="003A4A13">
        <w:rPr>
          <w:szCs w:val="24"/>
          <w:lang w:val="fr-CH"/>
        </w:rPr>
        <w:t>olution 154 (Rév. Dubaï, 2018) "</w:t>
      </w:r>
      <w:r w:rsidR="00BC0663" w:rsidRPr="003A4A13">
        <w:rPr>
          <w:szCs w:val="24"/>
          <w:lang w:val="fr-CH"/>
        </w:rPr>
        <w:t>Utilisation des six langues officielles de l</w:t>
      </w:r>
      <w:r w:rsidR="00B47AFA" w:rsidRPr="003A4A13">
        <w:rPr>
          <w:szCs w:val="24"/>
          <w:lang w:val="fr-CH"/>
        </w:rPr>
        <w:t>'</w:t>
      </w:r>
      <w:r w:rsidR="00BC0663" w:rsidRPr="003A4A13">
        <w:rPr>
          <w:szCs w:val="24"/>
          <w:lang w:val="fr-CH"/>
        </w:rPr>
        <w:t>Union sur un pied d</w:t>
      </w:r>
      <w:r w:rsidR="00B47AFA" w:rsidRPr="003A4A13">
        <w:rPr>
          <w:szCs w:val="24"/>
          <w:lang w:val="fr-CH"/>
        </w:rPr>
        <w:t>'</w:t>
      </w:r>
      <w:r w:rsidR="00BC0663" w:rsidRPr="003A4A13">
        <w:rPr>
          <w:szCs w:val="24"/>
          <w:lang w:val="fr-CH"/>
        </w:rPr>
        <w:t>égalité</w:t>
      </w:r>
      <w:r w:rsidR="00B50EF8" w:rsidRPr="003A4A13">
        <w:rPr>
          <w:szCs w:val="24"/>
          <w:lang w:val="fr-CH"/>
        </w:rPr>
        <w:t>"</w:t>
      </w:r>
      <w:r w:rsidR="00BC0663" w:rsidRPr="003A4A13">
        <w:rPr>
          <w:szCs w:val="24"/>
          <w:lang w:val="fr-CH"/>
        </w:rPr>
        <w:t>, la Conférence de plénipotentiaires reconnaît désormais la création du CCT au titre de la Résolution 1386 adopté</w:t>
      </w:r>
      <w:r w:rsidR="00B50EF8" w:rsidRPr="003A4A13">
        <w:rPr>
          <w:szCs w:val="24"/>
          <w:lang w:val="fr-CH"/>
        </w:rPr>
        <w:t>e</w:t>
      </w:r>
      <w:r w:rsidR="00BC0663" w:rsidRPr="003A4A13">
        <w:rPr>
          <w:szCs w:val="24"/>
          <w:lang w:val="fr-CH"/>
        </w:rPr>
        <w:t xml:space="preserve"> par le Conseil à sa session de 2017.</w:t>
      </w:r>
    </w:p>
    <w:p w:rsidR="00D3027B" w:rsidRPr="003A4A13" w:rsidRDefault="00BC0663" w:rsidP="00EB73F0">
      <w:pPr>
        <w:spacing w:after="120"/>
        <w:rPr>
          <w:rFonts w:eastAsia="Calibri" w:cs="Calibri"/>
          <w:szCs w:val="24"/>
          <w:lang w:val="fr-CH"/>
        </w:rPr>
      </w:pPr>
      <w:r w:rsidRPr="003A4A13">
        <w:rPr>
          <w:szCs w:val="24"/>
          <w:lang w:val="fr-CH"/>
        </w:rPr>
        <w:t xml:space="preserve">En 2018, le CCT </w:t>
      </w:r>
      <w:r w:rsidR="00581A72" w:rsidRPr="003A4A13">
        <w:rPr>
          <w:szCs w:val="24"/>
          <w:lang w:val="fr-CH"/>
        </w:rPr>
        <w:t xml:space="preserve">de l'UIT </w:t>
      </w:r>
      <w:r w:rsidRPr="003A4A13">
        <w:rPr>
          <w:szCs w:val="24"/>
          <w:lang w:val="fr-CH"/>
        </w:rPr>
        <w:t>a tenu deux réunions par correspondance, l</w:t>
      </w:r>
      <w:r w:rsidR="00B47AFA" w:rsidRPr="003A4A13">
        <w:rPr>
          <w:szCs w:val="24"/>
          <w:lang w:val="fr-CH"/>
        </w:rPr>
        <w:t>'</w:t>
      </w:r>
      <w:r w:rsidRPr="003A4A13">
        <w:rPr>
          <w:szCs w:val="24"/>
          <w:lang w:val="fr-CH"/>
        </w:rPr>
        <w:t>une le 28 juin 2018 et l</w:t>
      </w:r>
      <w:r w:rsidR="00B47AFA" w:rsidRPr="003A4A13">
        <w:rPr>
          <w:szCs w:val="24"/>
          <w:lang w:val="fr-CH"/>
        </w:rPr>
        <w:t>'</w:t>
      </w:r>
      <w:r w:rsidR="00B50EF8" w:rsidRPr="003A4A13">
        <w:rPr>
          <w:szCs w:val="24"/>
          <w:lang w:val="fr-CH"/>
        </w:rPr>
        <w:t>autre le 22 novembre 2018. A</w:t>
      </w:r>
      <w:r w:rsidRPr="003A4A13">
        <w:rPr>
          <w:szCs w:val="24"/>
          <w:lang w:val="fr-CH"/>
        </w:rPr>
        <w:t xml:space="preserve"> chaque réunion, les participants examinent des notes de liaison et des contributions portant sur des questions de terminologie et prenne</w:t>
      </w:r>
      <w:r w:rsidR="00581A72" w:rsidRPr="003A4A13">
        <w:rPr>
          <w:szCs w:val="24"/>
          <w:lang w:val="fr-CH"/>
        </w:rPr>
        <w:t>nt</w:t>
      </w:r>
      <w:r w:rsidRPr="003A4A13">
        <w:rPr>
          <w:szCs w:val="24"/>
          <w:lang w:val="fr-CH"/>
        </w:rPr>
        <w:t xml:space="preserve"> des décisions concernant les nouveaux termes à insérer dans la base de donnée</w:t>
      </w:r>
      <w:r w:rsidR="00EB73F0" w:rsidRPr="003A4A13">
        <w:rPr>
          <w:szCs w:val="24"/>
          <w:lang w:val="fr-CH"/>
        </w:rPr>
        <w:t>s terminologique</w:t>
      </w:r>
      <w:r w:rsidRPr="003A4A13">
        <w:rPr>
          <w:szCs w:val="24"/>
          <w:lang w:val="fr-CH"/>
        </w:rPr>
        <w:t xml:space="preserve"> de l</w:t>
      </w:r>
      <w:r w:rsidR="00B47AFA" w:rsidRPr="003A4A13">
        <w:rPr>
          <w:szCs w:val="24"/>
          <w:lang w:val="fr-CH"/>
        </w:rPr>
        <w:t>'</w:t>
      </w:r>
      <w:r w:rsidRPr="003A4A13">
        <w:rPr>
          <w:szCs w:val="24"/>
          <w:lang w:val="fr-CH"/>
        </w:rPr>
        <w:t xml:space="preserve">UIT, en particulier dans </w:t>
      </w:r>
      <w:r w:rsidR="00EB73F0" w:rsidRPr="003A4A13">
        <w:rPr>
          <w:szCs w:val="24"/>
          <w:lang w:val="fr-CH"/>
        </w:rPr>
        <w:t>ce que l'on appelle la</w:t>
      </w:r>
      <w:r w:rsidRPr="003A4A13">
        <w:rPr>
          <w:szCs w:val="24"/>
          <w:lang w:val="fr-CH"/>
        </w:rPr>
        <w:t xml:space="preserve"> Partie 3 qui contient les termes, acronymes et définitions. Les questions présentant un intérêt pour les travaux de l</w:t>
      </w:r>
      <w:r w:rsidR="00B47AFA" w:rsidRPr="003A4A13">
        <w:rPr>
          <w:szCs w:val="24"/>
          <w:lang w:val="fr-CH"/>
        </w:rPr>
        <w:t>'</w:t>
      </w:r>
      <w:r w:rsidRPr="003A4A13">
        <w:rPr>
          <w:szCs w:val="24"/>
          <w:lang w:val="fr-CH"/>
        </w:rPr>
        <w:t>UIT-D sont les suivantes: une définition de l</w:t>
      </w:r>
      <w:r w:rsidR="00B47AFA" w:rsidRPr="003A4A13">
        <w:rPr>
          <w:szCs w:val="24"/>
          <w:lang w:val="fr-CH"/>
        </w:rPr>
        <w:t>'</w:t>
      </w:r>
      <w:r w:rsidR="00EB73F0" w:rsidRPr="003A4A13">
        <w:rPr>
          <w:szCs w:val="24"/>
          <w:lang w:val="fr-CH"/>
        </w:rPr>
        <w:t>expression "</w:t>
      </w:r>
      <w:r w:rsidRPr="003A4A13">
        <w:rPr>
          <w:szCs w:val="24"/>
          <w:lang w:val="fr-CH"/>
        </w:rPr>
        <w:t>accès large bande</w:t>
      </w:r>
      <w:r w:rsidR="00EB73F0" w:rsidRPr="003A4A13">
        <w:rPr>
          <w:szCs w:val="24"/>
          <w:lang w:val="fr-CH"/>
        </w:rPr>
        <w:t>"</w:t>
      </w:r>
      <w:r w:rsidRPr="003A4A13">
        <w:rPr>
          <w:szCs w:val="24"/>
          <w:lang w:val="fr-CH"/>
        </w:rPr>
        <w:t xml:space="preserve">, </w:t>
      </w:r>
      <w:r w:rsidR="00EB73F0" w:rsidRPr="003A4A13">
        <w:rPr>
          <w:szCs w:val="24"/>
          <w:lang w:val="fr-CH"/>
        </w:rPr>
        <w:t xml:space="preserve">selon laquelle </w:t>
      </w:r>
      <w:r w:rsidR="0097776F" w:rsidRPr="003A4A13">
        <w:rPr>
          <w:szCs w:val="24"/>
          <w:lang w:val="fr-CH"/>
        </w:rPr>
        <w:t xml:space="preserve">la limite inférieure </w:t>
      </w:r>
      <w:r w:rsidR="00EB73F0" w:rsidRPr="003A4A13">
        <w:rPr>
          <w:szCs w:val="24"/>
          <w:lang w:val="fr-CH"/>
        </w:rPr>
        <w:t xml:space="preserve">du débit </w:t>
      </w:r>
      <w:r w:rsidR="0097776F" w:rsidRPr="003A4A13">
        <w:rPr>
          <w:szCs w:val="24"/>
          <w:lang w:val="fr-CH"/>
        </w:rPr>
        <w:t xml:space="preserve">pour le large bande </w:t>
      </w:r>
      <w:r w:rsidR="00EB73F0" w:rsidRPr="003A4A13">
        <w:rPr>
          <w:szCs w:val="24"/>
          <w:lang w:val="fr-CH"/>
        </w:rPr>
        <w:t xml:space="preserve">est de 2 Mb/s </w:t>
      </w:r>
      <w:r w:rsidR="0097776F" w:rsidRPr="003A4A13">
        <w:rPr>
          <w:szCs w:val="24"/>
          <w:lang w:val="fr-CH"/>
        </w:rPr>
        <w:t xml:space="preserve">ou le </w:t>
      </w:r>
      <w:r w:rsidR="00EB73F0" w:rsidRPr="003A4A13">
        <w:rPr>
          <w:szCs w:val="24"/>
          <w:lang w:val="fr-CH"/>
        </w:rPr>
        <w:t>large bande est défini</w:t>
      </w:r>
      <w:r w:rsidR="0097776F" w:rsidRPr="003A4A13">
        <w:rPr>
          <w:szCs w:val="24"/>
          <w:lang w:val="fr-CH"/>
        </w:rPr>
        <w:t xml:space="preserve"> par rapport à l</w:t>
      </w:r>
      <w:r w:rsidR="00B47AFA" w:rsidRPr="003A4A13">
        <w:rPr>
          <w:szCs w:val="24"/>
          <w:lang w:val="fr-CH"/>
        </w:rPr>
        <w:t>'</w:t>
      </w:r>
      <w:r w:rsidR="0097776F" w:rsidRPr="003A4A13">
        <w:rPr>
          <w:szCs w:val="24"/>
          <w:lang w:val="fr-CH"/>
        </w:rPr>
        <w:t>accès à bande étroite sans préciser de débit minimum (</w:t>
      </w:r>
      <w:r w:rsidR="0097776F" w:rsidRPr="003A4A13">
        <w:rPr>
          <w:i/>
          <w:iCs/>
          <w:szCs w:val="24"/>
          <w:lang w:val="fr-CH"/>
        </w:rPr>
        <w:t>aucun accord n</w:t>
      </w:r>
      <w:r w:rsidR="00B47AFA" w:rsidRPr="003A4A13">
        <w:rPr>
          <w:i/>
          <w:iCs/>
          <w:szCs w:val="24"/>
          <w:lang w:val="fr-CH"/>
        </w:rPr>
        <w:t>'</w:t>
      </w:r>
      <w:r w:rsidR="0097776F" w:rsidRPr="003A4A13">
        <w:rPr>
          <w:i/>
          <w:iCs/>
          <w:szCs w:val="24"/>
          <w:lang w:val="fr-CH"/>
        </w:rPr>
        <w:t>a été trouvé, une décision devrait être prise à la réunion de mai 2019</w:t>
      </w:r>
      <w:r w:rsidR="0097776F" w:rsidRPr="003A4A13">
        <w:rPr>
          <w:szCs w:val="24"/>
          <w:lang w:val="fr-CH"/>
        </w:rPr>
        <w:t>)</w:t>
      </w:r>
      <w:r w:rsidR="00E705C4" w:rsidRPr="003A4A13">
        <w:rPr>
          <w:szCs w:val="24"/>
          <w:lang w:val="fr-CH"/>
        </w:rPr>
        <w:t>, une définition de l</w:t>
      </w:r>
      <w:r w:rsidR="00B47AFA" w:rsidRPr="003A4A13">
        <w:rPr>
          <w:szCs w:val="24"/>
          <w:lang w:val="fr-CH"/>
        </w:rPr>
        <w:t>'</w:t>
      </w:r>
      <w:r w:rsidR="00E705C4" w:rsidRPr="003A4A13">
        <w:rPr>
          <w:szCs w:val="24"/>
          <w:lang w:val="fr-CH"/>
        </w:rPr>
        <w:t>expression "</w:t>
      </w:r>
      <w:r w:rsidR="00E60A67" w:rsidRPr="003A4A13">
        <w:rPr>
          <w:szCs w:val="24"/>
          <w:lang w:val="fr-CH"/>
        </w:rPr>
        <w:t xml:space="preserve">maintenance intelligente des télécommunications" dans laquelle </w:t>
      </w:r>
      <w:r w:rsidR="00EB73F0" w:rsidRPr="003A4A13">
        <w:rPr>
          <w:szCs w:val="24"/>
          <w:lang w:val="fr-CH"/>
        </w:rPr>
        <w:t>le terme "te</w:t>
      </w:r>
      <w:r w:rsidR="00E60A67" w:rsidRPr="003A4A13">
        <w:rPr>
          <w:szCs w:val="24"/>
          <w:lang w:val="fr-CH"/>
        </w:rPr>
        <w:t>l</w:t>
      </w:r>
      <w:r w:rsidR="00EB73F0" w:rsidRPr="003A4A13">
        <w:rPr>
          <w:szCs w:val="24"/>
          <w:lang w:val="fr-CH"/>
        </w:rPr>
        <w:t>e</w:t>
      </w:r>
      <w:r w:rsidR="00E60A67" w:rsidRPr="003A4A13">
        <w:rPr>
          <w:szCs w:val="24"/>
          <w:lang w:val="fr-CH"/>
        </w:rPr>
        <w:t xml:space="preserve">communications" devrait être au singulier </w:t>
      </w:r>
      <w:r w:rsidR="00EB73F0" w:rsidRPr="003A4A13">
        <w:rPr>
          <w:szCs w:val="24"/>
          <w:lang w:val="fr-CH"/>
        </w:rPr>
        <w:t xml:space="preserve">dans la version anglaise </w:t>
      </w:r>
      <w:r w:rsidR="00E60A67" w:rsidRPr="003A4A13">
        <w:rPr>
          <w:szCs w:val="24"/>
          <w:lang w:val="fr-CH"/>
        </w:rPr>
        <w:t>et l</w:t>
      </w:r>
      <w:r w:rsidR="00B47AFA" w:rsidRPr="003A4A13">
        <w:rPr>
          <w:szCs w:val="24"/>
          <w:lang w:val="fr-CH"/>
        </w:rPr>
        <w:t>'</w:t>
      </w:r>
      <w:r w:rsidR="00E60A67" w:rsidRPr="003A4A13">
        <w:rPr>
          <w:szCs w:val="24"/>
          <w:lang w:val="fr-CH"/>
        </w:rPr>
        <w:t>utilisation répétée de l</w:t>
      </w:r>
      <w:r w:rsidR="00B47AFA" w:rsidRPr="003A4A13">
        <w:rPr>
          <w:szCs w:val="24"/>
          <w:lang w:val="fr-CH"/>
        </w:rPr>
        <w:t>'</w:t>
      </w:r>
      <w:r w:rsidR="00E60A67" w:rsidRPr="003A4A13">
        <w:rPr>
          <w:szCs w:val="24"/>
          <w:lang w:val="fr-CH"/>
        </w:rPr>
        <w:t>adjectif "intelligente" devrait être évitée. En outre, il conviendrait dans l</w:t>
      </w:r>
      <w:r w:rsidR="00B47AFA" w:rsidRPr="003A4A13">
        <w:rPr>
          <w:szCs w:val="24"/>
          <w:lang w:val="fr-CH"/>
        </w:rPr>
        <w:t>'</w:t>
      </w:r>
      <w:r w:rsidR="00E60A67" w:rsidRPr="003A4A13">
        <w:rPr>
          <w:szCs w:val="24"/>
          <w:lang w:val="fr-CH"/>
        </w:rPr>
        <w:t xml:space="preserve">avenir </w:t>
      </w:r>
      <w:r w:rsidR="00EB73F0" w:rsidRPr="003A4A13">
        <w:rPr>
          <w:szCs w:val="24"/>
          <w:lang w:val="fr-CH"/>
        </w:rPr>
        <w:t>d'envisager de tenir compte des</w:t>
      </w:r>
      <w:r w:rsidR="00E60A67" w:rsidRPr="003A4A13">
        <w:rPr>
          <w:szCs w:val="24"/>
          <w:lang w:val="fr-CH"/>
        </w:rPr>
        <w:t xml:space="preserve"> Recommandations de l</w:t>
      </w:r>
      <w:r w:rsidR="00B47AFA" w:rsidRPr="003A4A13">
        <w:rPr>
          <w:szCs w:val="24"/>
          <w:lang w:val="fr-CH"/>
        </w:rPr>
        <w:t>'</w:t>
      </w:r>
      <w:r w:rsidR="00E60A67" w:rsidRPr="003A4A13">
        <w:rPr>
          <w:szCs w:val="24"/>
          <w:lang w:val="fr-CH"/>
        </w:rPr>
        <w:t>UIT-D dans la base de données terminologique de l</w:t>
      </w:r>
      <w:r w:rsidR="00B47AFA" w:rsidRPr="003A4A13">
        <w:rPr>
          <w:szCs w:val="24"/>
          <w:lang w:val="fr-CH"/>
        </w:rPr>
        <w:t>'</w:t>
      </w:r>
      <w:r w:rsidR="00E60A67" w:rsidRPr="003A4A13">
        <w:rPr>
          <w:szCs w:val="24"/>
          <w:lang w:val="fr-CH"/>
        </w:rPr>
        <w:t>UIT. L</w:t>
      </w:r>
      <w:r w:rsidR="00B47AFA" w:rsidRPr="003A4A13">
        <w:rPr>
          <w:szCs w:val="24"/>
          <w:lang w:val="fr-CH"/>
        </w:rPr>
        <w:t>'</w:t>
      </w:r>
      <w:r w:rsidR="00E60A67" w:rsidRPr="003A4A13">
        <w:rPr>
          <w:szCs w:val="24"/>
          <w:lang w:val="fr-CH"/>
        </w:rPr>
        <w:t xml:space="preserve">UIT-D doit </w:t>
      </w:r>
      <w:r w:rsidR="00EB73F0" w:rsidRPr="003A4A13">
        <w:rPr>
          <w:szCs w:val="24"/>
          <w:lang w:val="fr-CH"/>
        </w:rPr>
        <w:t xml:space="preserve">pour sa part </w:t>
      </w:r>
      <w:r w:rsidR="00E60A67" w:rsidRPr="003A4A13">
        <w:rPr>
          <w:szCs w:val="24"/>
          <w:lang w:val="fr-CH"/>
        </w:rPr>
        <w:t xml:space="preserve">tenir compte de cette base de données et de son utilité </w:t>
      </w:r>
      <w:r w:rsidR="00EB73F0" w:rsidRPr="003A4A13">
        <w:rPr>
          <w:szCs w:val="24"/>
          <w:lang w:val="fr-CH"/>
        </w:rPr>
        <w:t>lors de l'élaboration</w:t>
      </w:r>
      <w:r w:rsidR="00E60A67" w:rsidRPr="003A4A13">
        <w:rPr>
          <w:szCs w:val="24"/>
          <w:lang w:val="fr-CH"/>
        </w:rPr>
        <w:t xml:space="preserve"> de rapports et d</w:t>
      </w:r>
      <w:r w:rsidR="00B47AFA" w:rsidRPr="003A4A13">
        <w:rPr>
          <w:szCs w:val="24"/>
          <w:lang w:val="fr-CH"/>
        </w:rPr>
        <w:t>'</w:t>
      </w:r>
      <w:r w:rsidR="00E60A67" w:rsidRPr="003A4A13">
        <w:rPr>
          <w:szCs w:val="24"/>
          <w:lang w:val="fr-CH"/>
        </w:rPr>
        <w:t xml:space="preserve">autres </w:t>
      </w:r>
      <w:r w:rsidR="00EB73F0" w:rsidRPr="003A4A13">
        <w:rPr>
          <w:szCs w:val="24"/>
          <w:lang w:val="fr-CH"/>
        </w:rPr>
        <w:t>produits</w:t>
      </w:r>
      <w:r w:rsidR="00E60A67" w:rsidRPr="003A4A13">
        <w:rPr>
          <w:szCs w:val="24"/>
          <w:lang w:val="fr-CH"/>
        </w:rPr>
        <w:t>. La prochaine réunion du CCT de l</w:t>
      </w:r>
      <w:r w:rsidR="00B47AFA" w:rsidRPr="003A4A13">
        <w:rPr>
          <w:szCs w:val="24"/>
          <w:lang w:val="fr-CH"/>
        </w:rPr>
        <w:t>'</w:t>
      </w:r>
      <w:r w:rsidR="00E60A67" w:rsidRPr="003A4A13">
        <w:rPr>
          <w:szCs w:val="24"/>
          <w:lang w:val="fr-CH"/>
        </w:rPr>
        <w:t>UIT aura lieu le 7 mai 2019.</w:t>
      </w:r>
    </w:p>
    <w:p w:rsidR="00083258" w:rsidRPr="003A4A13" w:rsidRDefault="00083258" w:rsidP="00AE6B70">
      <w:pPr>
        <w:pStyle w:val="Heading1"/>
        <w:rPr>
          <w:lang w:val="fr-CH"/>
        </w:rPr>
      </w:pPr>
      <w:r w:rsidRPr="003A4A13">
        <w:rPr>
          <w:lang w:val="fr-CH"/>
        </w:rPr>
        <w:t>6</w:t>
      </w:r>
      <w:r w:rsidRPr="003A4A13">
        <w:rPr>
          <w:lang w:val="fr-CH"/>
        </w:rPr>
        <w:tab/>
        <w:t xml:space="preserve">Participation </w:t>
      </w:r>
      <w:r w:rsidR="0004727E" w:rsidRPr="003A4A13">
        <w:rPr>
          <w:lang w:val="fr-CH"/>
        </w:rPr>
        <w:t xml:space="preserve">des PME aux travaux des </w:t>
      </w:r>
      <w:r w:rsidR="00EB73F0" w:rsidRPr="003A4A13">
        <w:rPr>
          <w:lang w:val="fr-CH"/>
        </w:rPr>
        <w:t>C</w:t>
      </w:r>
      <w:r w:rsidR="0004727E" w:rsidRPr="003A4A13">
        <w:rPr>
          <w:lang w:val="fr-CH"/>
        </w:rPr>
        <w:t>ommissions d</w:t>
      </w:r>
      <w:r w:rsidR="00B47AFA" w:rsidRPr="003A4A13">
        <w:rPr>
          <w:lang w:val="fr-CH"/>
        </w:rPr>
        <w:t>'</w:t>
      </w:r>
      <w:r w:rsidR="0004727E" w:rsidRPr="003A4A13">
        <w:rPr>
          <w:lang w:val="fr-CH"/>
        </w:rPr>
        <w:t>études de l</w:t>
      </w:r>
      <w:r w:rsidR="00B47AFA" w:rsidRPr="003A4A13">
        <w:rPr>
          <w:lang w:val="fr-CH"/>
        </w:rPr>
        <w:t>'</w:t>
      </w:r>
      <w:r w:rsidR="0004727E" w:rsidRPr="003A4A13">
        <w:rPr>
          <w:lang w:val="fr-CH"/>
        </w:rPr>
        <w:t>UIT-D</w:t>
      </w:r>
      <w:r w:rsidRPr="003A4A13">
        <w:rPr>
          <w:lang w:val="fr-CH"/>
        </w:rPr>
        <w:t xml:space="preserve"> </w:t>
      </w:r>
    </w:p>
    <w:p w:rsidR="00083258" w:rsidRPr="003A4A13" w:rsidRDefault="0004727E" w:rsidP="00AD43DF">
      <w:pPr>
        <w:rPr>
          <w:szCs w:val="24"/>
          <w:lang w:val="fr-CH"/>
        </w:rPr>
      </w:pPr>
      <w:r w:rsidRPr="003A4A13">
        <w:rPr>
          <w:rFonts w:eastAsia="Batang"/>
          <w:szCs w:val="24"/>
          <w:lang w:val="fr-CH"/>
        </w:rPr>
        <w:t xml:space="preserve">Les deux </w:t>
      </w:r>
      <w:r w:rsidR="005F7D5A" w:rsidRPr="003A4A13">
        <w:rPr>
          <w:rFonts w:eastAsia="Batang"/>
          <w:szCs w:val="24"/>
          <w:lang w:val="fr-CH"/>
        </w:rPr>
        <w:t>C</w:t>
      </w:r>
      <w:r w:rsidRPr="003A4A13">
        <w:rPr>
          <w:rFonts w:eastAsia="Batang"/>
          <w:szCs w:val="24"/>
          <w:lang w:val="fr-CH"/>
        </w:rPr>
        <w:t>ommissions d</w:t>
      </w:r>
      <w:r w:rsidR="00B47AFA" w:rsidRPr="003A4A13">
        <w:rPr>
          <w:rFonts w:eastAsia="Batang"/>
          <w:szCs w:val="24"/>
          <w:lang w:val="fr-CH"/>
        </w:rPr>
        <w:t>'</w:t>
      </w:r>
      <w:r w:rsidRPr="003A4A13">
        <w:rPr>
          <w:rFonts w:eastAsia="Batang"/>
          <w:szCs w:val="24"/>
          <w:lang w:val="fr-CH"/>
        </w:rPr>
        <w:t>études de l</w:t>
      </w:r>
      <w:r w:rsidR="00B47AFA" w:rsidRPr="003A4A13">
        <w:rPr>
          <w:rFonts w:eastAsia="Batang"/>
          <w:szCs w:val="24"/>
          <w:lang w:val="fr-CH"/>
        </w:rPr>
        <w:t>'</w:t>
      </w:r>
      <w:r w:rsidRPr="003A4A13">
        <w:rPr>
          <w:rFonts w:eastAsia="Batang"/>
          <w:szCs w:val="24"/>
          <w:lang w:val="fr-CH"/>
        </w:rPr>
        <w:t xml:space="preserve">UIT-D ont décidé de poursuivre la mise en oeuvre du projet pilote lancé par le Conseil à sa session de 2017 </w:t>
      </w:r>
      <w:r w:rsidR="005F7D5A" w:rsidRPr="003A4A13">
        <w:rPr>
          <w:rFonts w:eastAsia="Batang"/>
          <w:szCs w:val="24"/>
          <w:lang w:val="fr-CH"/>
        </w:rPr>
        <w:t>concernant</w:t>
      </w:r>
      <w:r w:rsidRPr="003A4A13">
        <w:rPr>
          <w:rFonts w:eastAsia="Batang"/>
          <w:szCs w:val="24"/>
          <w:lang w:val="fr-CH"/>
        </w:rPr>
        <w:t xml:space="preserve"> la participation des PME aux travaux des commissions d</w:t>
      </w:r>
      <w:r w:rsidR="00B47AFA" w:rsidRPr="003A4A13">
        <w:rPr>
          <w:rFonts w:eastAsia="Batang"/>
          <w:szCs w:val="24"/>
          <w:lang w:val="fr-CH"/>
        </w:rPr>
        <w:t>'</w:t>
      </w:r>
      <w:r w:rsidRPr="003A4A13">
        <w:rPr>
          <w:rFonts w:eastAsia="Batang"/>
          <w:szCs w:val="24"/>
          <w:lang w:val="fr-CH"/>
        </w:rPr>
        <w:t>études de l</w:t>
      </w:r>
      <w:r w:rsidR="00B47AFA" w:rsidRPr="003A4A13">
        <w:rPr>
          <w:rFonts w:eastAsia="Batang"/>
          <w:szCs w:val="24"/>
          <w:lang w:val="fr-CH"/>
        </w:rPr>
        <w:t>'</w:t>
      </w:r>
      <w:r w:rsidRPr="003A4A13">
        <w:rPr>
          <w:rFonts w:eastAsia="Batang"/>
          <w:szCs w:val="24"/>
          <w:lang w:val="fr-CH"/>
        </w:rPr>
        <w:t>UIT. En 2018, sept PME ont pris part aux activités et aux réunions des CE 1 et 2 de l</w:t>
      </w:r>
      <w:r w:rsidR="00B47AFA" w:rsidRPr="003A4A13">
        <w:rPr>
          <w:rFonts w:eastAsia="Batang"/>
          <w:szCs w:val="24"/>
          <w:lang w:val="fr-CH"/>
        </w:rPr>
        <w:t>'</w:t>
      </w:r>
      <w:r w:rsidRPr="003A4A13">
        <w:rPr>
          <w:rFonts w:eastAsia="Batang"/>
          <w:szCs w:val="24"/>
          <w:lang w:val="fr-CH"/>
        </w:rPr>
        <w:t>UIT-D dans ce cadre avec l</w:t>
      </w:r>
      <w:r w:rsidR="00B47AFA" w:rsidRPr="003A4A13">
        <w:rPr>
          <w:rFonts w:eastAsia="Batang"/>
          <w:szCs w:val="24"/>
          <w:lang w:val="fr-CH"/>
        </w:rPr>
        <w:t>'</w:t>
      </w:r>
      <w:r w:rsidRPr="003A4A13">
        <w:rPr>
          <w:rFonts w:eastAsia="Batang"/>
          <w:szCs w:val="24"/>
          <w:lang w:val="fr-CH"/>
        </w:rPr>
        <w:t xml:space="preserve">appui de leur administration. Nombre des participants au projet pilote ont </w:t>
      </w:r>
      <w:r w:rsidR="005F7D5A" w:rsidRPr="003A4A13">
        <w:rPr>
          <w:rFonts w:eastAsia="Batang"/>
          <w:szCs w:val="24"/>
          <w:lang w:val="fr-CH"/>
        </w:rPr>
        <w:t>également</w:t>
      </w:r>
      <w:r w:rsidRPr="003A4A13">
        <w:rPr>
          <w:rFonts w:eastAsia="Batang"/>
          <w:szCs w:val="24"/>
          <w:lang w:val="fr-CH"/>
        </w:rPr>
        <w:t xml:space="preserve"> soumis des contributions aux réunions. Ces PME s</w:t>
      </w:r>
      <w:r w:rsidR="00B47AFA" w:rsidRPr="003A4A13">
        <w:rPr>
          <w:rFonts w:eastAsia="Batang"/>
          <w:szCs w:val="24"/>
          <w:lang w:val="fr-CH"/>
        </w:rPr>
        <w:t>'</w:t>
      </w:r>
      <w:r w:rsidRPr="003A4A13">
        <w:rPr>
          <w:rFonts w:eastAsia="Batang"/>
          <w:szCs w:val="24"/>
          <w:lang w:val="fr-CH"/>
        </w:rPr>
        <w:t>intéressent en particulier à des domaines comme l</w:t>
      </w:r>
      <w:r w:rsidR="00B47AFA" w:rsidRPr="003A4A13">
        <w:rPr>
          <w:rFonts w:eastAsia="Batang"/>
          <w:szCs w:val="24"/>
          <w:lang w:val="fr-CH"/>
        </w:rPr>
        <w:t>'</w:t>
      </w:r>
      <w:r w:rsidRPr="003A4A13">
        <w:rPr>
          <w:rFonts w:eastAsia="Batang"/>
          <w:szCs w:val="24"/>
          <w:lang w:val="fr-CH"/>
        </w:rPr>
        <w:t>informati</w:t>
      </w:r>
      <w:r w:rsidR="005F7D5A" w:rsidRPr="003A4A13">
        <w:rPr>
          <w:rFonts w:eastAsia="Batang"/>
          <w:szCs w:val="24"/>
          <w:lang w:val="fr-CH"/>
        </w:rPr>
        <w:t>que</w:t>
      </w:r>
      <w:r w:rsidRPr="003A4A13">
        <w:rPr>
          <w:rFonts w:eastAsia="Batang"/>
          <w:szCs w:val="24"/>
          <w:lang w:val="fr-CH"/>
        </w:rPr>
        <w:t xml:space="preserve"> en nuage, l</w:t>
      </w:r>
      <w:r w:rsidR="00B47AFA" w:rsidRPr="003A4A13">
        <w:rPr>
          <w:rFonts w:eastAsia="Batang"/>
          <w:szCs w:val="24"/>
          <w:lang w:val="fr-CH"/>
        </w:rPr>
        <w:t>'</w:t>
      </w:r>
      <w:r w:rsidRPr="003A4A13">
        <w:rPr>
          <w:rFonts w:eastAsia="Batang"/>
          <w:szCs w:val="24"/>
          <w:lang w:val="fr-CH"/>
        </w:rPr>
        <w:t>accès en zone rurale, la cybersécurité et les applications TIC. Une évaluation de ce projet pilote a été menée à la Conférence de plénipotentiaires. Le Groupe de travail du Conseil sur les ressources financières et les ressources humaines (GTC-FHR), qui s</w:t>
      </w:r>
      <w:r w:rsidR="00B47AFA" w:rsidRPr="003A4A13">
        <w:rPr>
          <w:rFonts w:eastAsia="Batang"/>
          <w:szCs w:val="24"/>
          <w:lang w:val="fr-CH"/>
        </w:rPr>
        <w:t>'</w:t>
      </w:r>
      <w:r w:rsidRPr="003A4A13">
        <w:rPr>
          <w:rFonts w:eastAsia="Batang"/>
          <w:szCs w:val="24"/>
          <w:lang w:val="fr-CH"/>
        </w:rPr>
        <w:t xml:space="preserve">est réuni les 29 et 30 janvier 2019, recommande </w:t>
      </w:r>
      <w:r w:rsidR="005F7D5A" w:rsidRPr="003A4A13">
        <w:rPr>
          <w:rFonts w:eastAsia="Batang"/>
          <w:szCs w:val="24"/>
          <w:lang w:val="fr-CH"/>
        </w:rPr>
        <w:t>au</w:t>
      </w:r>
      <w:r w:rsidRPr="003A4A13">
        <w:rPr>
          <w:rFonts w:eastAsia="Batang"/>
          <w:szCs w:val="24"/>
          <w:lang w:val="fr-CH"/>
        </w:rPr>
        <w:t xml:space="preserve"> Conseil </w:t>
      </w:r>
      <w:r w:rsidR="005F7D5A" w:rsidRPr="003A4A13">
        <w:rPr>
          <w:rFonts w:eastAsia="Batang"/>
          <w:szCs w:val="24"/>
          <w:lang w:val="fr-CH"/>
        </w:rPr>
        <w:t>de reconduire</w:t>
      </w:r>
      <w:r w:rsidRPr="003A4A13">
        <w:rPr>
          <w:rFonts w:eastAsia="Batang"/>
          <w:szCs w:val="24"/>
          <w:lang w:val="fr-CH"/>
        </w:rPr>
        <w:t xml:space="preserve"> ce projet pilote jusqu</w:t>
      </w:r>
      <w:r w:rsidR="00B47AFA" w:rsidRPr="003A4A13">
        <w:rPr>
          <w:rFonts w:eastAsia="Batang"/>
          <w:szCs w:val="24"/>
          <w:lang w:val="fr-CH"/>
        </w:rPr>
        <w:t>'</w:t>
      </w:r>
      <w:r w:rsidRPr="003A4A13">
        <w:rPr>
          <w:rFonts w:eastAsia="Batang"/>
          <w:szCs w:val="24"/>
          <w:lang w:val="fr-CH"/>
        </w:rPr>
        <w:t xml:space="preserve">au 31 janvier 2020 afin de faciliter la transition en vue de la mise en oeuvre de la </w:t>
      </w:r>
      <w:r w:rsidR="005F7D5A" w:rsidRPr="003A4A13">
        <w:rPr>
          <w:rFonts w:eastAsia="Batang"/>
          <w:szCs w:val="24"/>
          <w:lang w:val="fr-CH"/>
        </w:rPr>
        <w:t xml:space="preserve">nouvelle </w:t>
      </w:r>
      <w:r w:rsidRPr="003A4A13">
        <w:rPr>
          <w:rFonts w:eastAsia="Batang"/>
          <w:szCs w:val="24"/>
          <w:lang w:val="fr-CH"/>
        </w:rPr>
        <w:t xml:space="preserve">Résolution </w:t>
      </w:r>
      <w:r w:rsidR="00083258" w:rsidRPr="003A4A13">
        <w:rPr>
          <w:szCs w:val="24"/>
          <w:lang w:val="fr-CH"/>
        </w:rPr>
        <w:t>209 (Duba</w:t>
      </w:r>
      <w:r w:rsidRPr="003A4A13">
        <w:rPr>
          <w:szCs w:val="24"/>
          <w:lang w:val="fr-CH"/>
        </w:rPr>
        <w:t>ï</w:t>
      </w:r>
      <w:r w:rsidR="00083258" w:rsidRPr="003A4A13">
        <w:rPr>
          <w:szCs w:val="24"/>
          <w:lang w:val="fr-CH"/>
        </w:rPr>
        <w:t xml:space="preserve">, 2018) </w:t>
      </w:r>
      <w:r w:rsidR="005F7D5A" w:rsidRPr="003A4A13">
        <w:rPr>
          <w:szCs w:val="24"/>
          <w:lang w:val="fr-CH"/>
        </w:rPr>
        <w:t>adoptée par</w:t>
      </w:r>
      <w:r w:rsidRPr="003A4A13">
        <w:rPr>
          <w:szCs w:val="24"/>
          <w:lang w:val="fr-CH"/>
        </w:rPr>
        <w:t xml:space="preserve"> la Conférence de plénipotentiaires intitulée </w:t>
      </w:r>
      <w:r w:rsidR="00083258" w:rsidRPr="003A4A13">
        <w:rPr>
          <w:szCs w:val="24"/>
          <w:lang w:val="fr-CH"/>
        </w:rPr>
        <w:t>"Encourager la participation des petites et moyennes entreprises aux travaux de l</w:t>
      </w:r>
      <w:r w:rsidR="00B47AFA" w:rsidRPr="003A4A13">
        <w:rPr>
          <w:szCs w:val="24"/>
          <w:lang w:val="fr-CH"/>
        </w:rPr>
        <w:t>'</w:t>
      </w:r>
      <w:r w:rsidR="00083258" w:rsidRPr="003A4A13">
        <w:rPr>
          <w:szCs w:val="24"/>
          <w:lang w:val="fr-CH"/>
        </w:rPr>
        <w:t>Union</w:t>
      </w:r>
      <w:r w:rsidR="0034595A" w:rsidRPr="003A4A13">
        <w:rPr>
          <w:szCs w:val="24"/>
          <w:lang w:val="fr-CH"/>
        </w:rPr>
        <w:t>"</w:t>
      </w:r>
      <w:r w:rsidR="00DF3A77" w:rsidRPr="003A4A13">
        <w:rPr>
          <w:szCs w:val="24"/>
          <w:lang w:val="fr-CH"/>
        </w:rPr>
        <w:t>.</w:t>
      </w:r>
    </w:p>
    <w:p w:rsidR="00083258" w:rsidRPr="003A4A13" w:rsidRDefault="00083258" w:rsidP="00AE6B70">
      <w:pPr>
        <w:pStyle w:val="Heading1"/>
        <w:rPr>
          <w:lang w:val="fr-CH"/>
        </w:rPr>
      </w:pPr>
      <w:r w:rsidRPr="003A4A13">
        <w:rPr>
          <w:lang w:val="fr-CH"/>
        </w:rPr>
        <w:lastRenderedPageBreak/>
        <w:t>7</w:t>
      </w:r>
      <w:r w:rsidRPr="003A4A13">
        <w:rPr>
          <w:lang w:val="fr-CH"/>
        </w:rPr>
        <w:tab/>
      </w:r>
      <w:r w:rsidR="008D0683" w:rsidRPr="003A4A13">
        <w:rPr>
          <w:lang w:val="fr-CH"/>
        </w:rPr>
        <w:t>Outils de collaboration</w:t>
      </w:r>
      <w:r w:rsidRPr="003A4A13">
        <w:rPr>
          <w:lang w:val="fr-CH"/>
        </w:rPr>
        <w:t xml:space="preserve"> </w:t>
      </w:r>
    </w:p>
    <w:p w:rsidR="00366EF0" w:rsidRPr="003A4A13" w:rsidRDefault="00BF114D" w:rsidP="00D53A3A">
      <w:pPr>
        <w:rPr>
          <w:lang w:val="fr-CH"/>
        </w:rPr>
      </w:pPr>
      <w:r w:rsidRPr="003A4A13">
        <w:rPr>
          <w:szCs w:val="24"/>
          <w:lang w:val="fr-CH"/>
        </w:rPr>
        <w:t>Conformément à ce qui a été décidé à la CMDT-17, l</w:t>
      </w:r>
      <w:r w:rsidR="00B47AFA" w:rsidRPr="003A4A13">
        <w:rPr>
          <w:szCs w:val="24"/>
          <w:lang w:val="fr-CH"/>
        </w:rPr>
        <w:t>'</w:t>
      </w:r>
      <w:r w:rsidRPr="003A4A13">
        <w:rPr>
          <w:szCs w:val="24"/>
          <w:lang w:val="fr-CH"/>
        </w:rPr>
        <w:t xml:space="preserve">amélioration des </w:t>
      </w:r>
      <w:hyperlink r:id="rId31" w:history="1">
        <w:r w:rsidRPr="003A4A13">
          <w:rPr>
            <w:rStyle w:val="Hyperlink"/>
            <w:szCs w:val="24"/>
            <w:lang w:val="fr-CH"/>
          </w:rPr>
          <w:t>outils de collaboration</w:t>
        </w:r>
      </w:hyperlink>
      <w:r w:rsidR="00083258" w:rsidRPr="003A4A13">
        <w:rPr>
          <w:szCs w:val="24"/>
          <w:lang w:val="fr-CH"/>
        </w:rPr>
        <w:t xml:space="preserve"> </w:t>
      </w:r>
      <w:r w:rsidRPr="003A4A13">
        <w:rPr>
          <w:szCs w:val="24"/>
          <w:lang w:val="fr-CH"/>
        </w:rPr>
        <w:t>et l</w:t>
      </w:r>
      <w:r w:rsidR="00B47AFA" w:rsidRPr="003A4A13">
        <w:rPr>
          <w:szCs w:val="24"/>
          <w:lang w:val="fr-CH"/>
        </w:rPr>
        <w:t>'</w:t>
      </w:r>
      <w:r w:rsidRPr="003A4A13">
        <w:rPr>
          <w:szCs w:val="24"/>
          <w:lang w:val="fr-CH"/>
        </w:rPr>
        <w:t xml:space="preserve">élaboration de nouveaux </w:t>
      </w:r>
      <w:r w:rsidR="00D53A3A" w:rsidRPr="003A4A13">
        <w:rPr>
          <w:szCs w:val="24"/>
          <w:lang w:val="fr-CH"/>
        </w:rPr>
        <w:t xml:space="preserve">outils </w:t>
      </w:r>
      <w:r w:rsidRPr="003A4A13">
        <w:rPr>
          <w:szCs w:val="24"/>
          <w:lang w:val="fr-CH"/>
        </w:rPr>
        <w:t xml:space="preserve">afin de faciliter la participation électronique aux travaux des </w:t>
      </w:r>
      <w:r w:rsidR="00CC0E69" w:rsidRPr="003A4A13">
        <w:rPr>
          <w:szCs w:val="24"/>
          <w:lang w:val="fr-CH"/>
        </w:rPr>
        <w:t>C</w:t>
      </w:r>
      <w:r w:rsidRPr="003A4A13">
        <w:rPr>
          <w:szCs w:val="24"/>
          <w:lang w:val="fr-CH"/>
        </w:rPr>
        <w:t>ommissions d</w:t>
      </w:r>
      <w:r w:rsidR="00B47AFA" w:rsidRPr="003A4A13">
        <w:rPr>
          <w:szCs w:val="24"/>
          <w:lang w:val="fr-CH"/>
        </w:rPr>
        <w:t>'</w:t>
      </w:r>
      <w:r w:rsidRPr="003A4A13">
        <w:rPr>
          <w:szCs w:val="24"/>
          <w:lang w:val="fr-CH"/>
        </w:rPr>
        <w:t>études de l</w:t>
      </w:r>
      <w:r w:rsidR="00B47AFA" w:rsidRPr="003A4A13">
        <w:rPr>
          <w:szCs w:val="24"/>
          <w:lang w:val="fr-CH"/>
        </w:rPr>
        <w:t>'</w:t>
      </w:r>
      <w:r w:rsidRPr="003A4A13">
        <w:rPr>
          <w:szCs w:val="24"/>
          <w:lang w:val="fr-CH"/>
        </w:rPr>
        <w:t>UIT-D se poursuivront.</w:t>
      </w:r>
      <w:r w:rsidR="00463825" w:rsidRPr="003A4A13">
        <w:rPr>
          <w:szCs w:val="24"/>
          <w:lang w:val="fr-CH"/>
        </w:rPr>
        <w:t xml:space="preserve"> </w:t>
      </w:r>
      <w:r w:rsidR="00083258" w:rsidRPr="003A4A13">
        <w:rPr>
          <w:lang w:val="fr-CH"/>
        </w:rPr>
        <w:t xml:space="preserve">En complément des services de participation interactive à distance et de la diffusion habituelle sur le web dans les langues </w:t>
      </w:r>
      <w:r w:rsidR="00D53A3A" w:rsidRPr="003A4A13">
        <w:rPr>
          <w:lang w:val="fr-CH"/>
        </w:rPr>
        <w:t>dans lesquelles se déroule</w:t>
      </w:r>
      <w:r w:rsidR="00083258" w:rsidRPr="003A4A13">
        <w:rPr>
          <w:lang w:val="fr-CH"/>
        </w:rPr>
        <w:t xml:space="preserve"> la réunion considérée, des listes de diffusion et des sites de collaboration SharePoint sont mis à la disposition des participants et des membres de l</w:t>
      </w:r>
      <w:r w:rsidR="00B47AFA" w:rsidRPr="003A4A13">
        <w:rPr>
          <w:lang w:val="fr-CH"/>
        </w:rPr>
        <w:t>'</w:t>
      </w:r>
      <w:r w:rsidR="00083258" w:rsidRPr="003A4A13">
        <w:rPr>
          <w:lang w:val="fr-CH"/>
        </w:rPr>
        <w:t>équipe de direction, tant au niveau de la commission d</w:t>
      </w:r>
      <w:r w:rsidR="00B47AFA" w:rsidRPr="003A4A13">
        <w:rPr>
          <w:lang w:val="fr-CH"/>
        </w:rPr>
        <w:t>'</w:t>
      </w:r>
      <w:r w:rsidR="00083258" w:rsidRPr="003A4A13">
        <w:rPr>
          <w:lang w:val="fr-CH"/>
        </w:rPr>
        <w:t>études qu</w:t>
      </w:r>
      <w:r w:rsidR="00B47AFA" w:rsidRPr="003A4A13">
        <w:rPr>
          <w:lang w:val="fr-CH"/>
        </w:rPr>
        <w:t>'</w:t>
      </w:r>
      <w:r w:rsidR="00083258" w:rsidRPr="003A4A13">
        <w:rPr>
          <w:lang w:val="fr-CH"/>
        </w:rPr>
        <w:t xml:space="preserve">au niveau des </w:t>
      </w:r>
      <w:r w:rsidR="00D53A3A" w:rsidRPr="003A4A13">
        <w:rPr>
          <w:lang w:val="fr-CH"/>
        </w:rPr>
        <w:t>Groupes du Rapporteur</w:t>
      </w:r>
      <w:r w:rsidR="00083258" w:rsidRPr="003A4A13">
        <w:rPr>
          <w:lang w:val="fr-CH"/>
        </w:rPr>
        <w:t xml:space="preserve">. Les </w:t>
      </w:r>
      <w:hyperlink r:id="rId32" w:history="1">
        <w:r w:rsidR="00083258" w:rsidRPr="003A4A13">
          <w:rPr>
            <w:rStyle w:val="Hyperlink"/>
            <w:lang w:val="fr-CH"/>
          </w:rPr>
          <w:t>listes de diffusion</w:t>
        </w:r>
      </w:hyperlink>
      <w:r w:rsidR="00083258" w:rsidRPr="003A4A13">
        <w:rPr>
          <w:lang w:val="fr-CH"/>
        </w:rPr>
        <w:t xml:space="preserve"> permettent l</w:t>
      </w:r>
      <w:r w:rsidR="00B47AFA" w:rsidRPr="003A4A13">
        <w:rPr>
          <w:lang w:val="fr-CH"/>
        </w:rPr>
        <w:t>'</w:t>
      </w:r>
      <w:r w:rsidR="00083258" w:rsidRPr="003A4A13">
        <w:rPr>
          <w:lang w:val="fr-CH"/>
        </w:rPr>
        <w:t>échange de courriers électroniques entre les experts s</w:t>
      </w:r>
      <w:r w:rsidR="00B47AFA" w:rsidRPr="003A4A13">
        <w:rPr>
          <w:lang w:val="fr-CH"/>
        </w:rPr>
        <w:t>'</w:t>
      </w:r>
      <w:r w:rsidR="00083258" w:rsidRPr="003A4A13">
        <w:rPr>
          <w:lang w:val="fr-CH"/>
        </w:rPr>
        <w:t>intéressant aux sujets à l</w:t>
      </w:r>
      <w:r w:rsidR="00B47AFA" w:rsidRPr="003A4A13">
        <w:rPr>
          <w:lang w:val="fr-CH"/>
        </w:rPr>
        <w:t>'</w:t>
      </w:r>
      <w:r w:rsidR="00083258" w:rsidRPr="003A4A13">
        <w:rPr>
          <w:lang w:val="fr-CH"/>
        </w:rPr>
        <w:t xml:space="preserve">étude, tandis que le </w:t>
      </w:r>
      <w:hyperlink r:id="rId33" w:history="1">
        <w:r w:rsidR="00083258" w:rsidRPr="003A4A13">
          <w:rPr>
            <w:rStyle w:val="Hyperlink"/>
            <w:lang w:val="fr-CH"/>
          </w:rPr>
          <w:t>site de collaboration SharePoint</w:t>
        </w:r>
      </w:hyperlink>
      <w:r w:rsidR="00083258" w:rsidRPr="003A4A13">
        <w:rPr>
          <w:lang w:val="fr-CH"/>
        </w:rPr>
        <w:t xml:space="preserve"> offre un lieu de rencontre virtuel où les participants peuvent </w:t>
      </w:r>
      <w:r w:rsidR="00D53A3A" w:rsidRPr="003A4A13">
        <w:rPr>
          <w:lang w:val="fr-CH"/>
        </w:rPr>
        <w:t>consulter le</w:t>
      </w:r>
      <w:r w:rsidR="00083258" w:rsidRPr="003A4A13">
        <w:rPr>
          <w:lang w:val="fr-CH"/>
        </w:rPr>
        <w:t xml:space="preserve"> calendrier des activités de la commission d</w:t>
      </w:r>
      <w:r w:rsidR="00B47AFA" w:rsidRPr="003A4A13">
        <w:rPr>
          <w:lang w:val="fr-CH"/>
        </w:rPr>
        <w:t>'</w:t>
      </w:r>
      <w:r w:rsidR="00D53A3A" w:rsidRPr="003A4A13">
        <w:rPr>
          <w:lang w:val="fr-CH"/>
        </w:rPr>
        <w:t>études et</w:t>
      </w:r>
      <w:r w:rsidR="00083258" w:rsidRPr="003A4A13">
        <w:rPr>
          <w:lang w:val="fr-CH"/>
        </w:rPr>
        <w:t xml:space="preserve"> des annonces et </w:t>
      </w:r>
      <w:r w:rsidR="00D53A3A" w:rsidRPr="003A4A13">
        <w:rPr>
          <w:lang w:val="fr-CH"/>
        </w:rPr>
        <w:t xml:space="preserve">accéder à </w:t>
      </w:r>
      <w:r w:rsidR="00083258" w:rsidRPr="003A4A13">
        <w:rPr>
          <w:lang w:val="fr-CH"/>
        </w:rPr>
        <w:t>une zone d</w:t>
      </w:r>
      <w:r w:rsidR="00B47AFA" w:rsidRPr="003A4A13">
        <w:rPr>
          <w:lang w:val="fr-CH"/>
        </w:rPr>
        <w:t>'</w:t>
      </w:r>
      <w:r w:rsidR="00083258" w:rsidRPr="003A4A13">
        <w:rPr>
          <w:lang w:val="fr-CH"/>
        </w:rPr>
        <w:t>échange de documents pour faciliter les travaux entre les réunions.</w:t>
      </w:r>
      <w:r w:rsidR="00463825" w:rsidRPr="003A4A13">
        <w:rPr>
          <w:lang w:val="fr-CH"/>
        </w:rPr>
        <w:t xml:space="preserve"> Des sous-sites consacrés à chaque Question ainsi qu</w:t>
      </w:r>
      <w:r w:rsidR="00B47AFA" w:rsidRPr="003A4A13">
        <w:rPr>
          <w:lang w:val="fr-CH"/>
        </w:rPr>
        <w:t>'</w:t>
      </w:r>
      <w:r w:rsidR="00463825" w:rsidRPr="003A4A13">
        <w:rPr>
          <w:lang w:val="fr-CH"/>
        </w:rPr>
        <w:t>un espace réservé aux équipes de direction des commissions d</w:t>
      </w:r>
      <w:r w:rsidR="00B47AFA" w:rsidRPr="003A4A13">
        <w:rPr>
          <w:lang w:val="fr-CH"/>
        </w:rPr>
        <w:t>'</w:t>
      </w:r>
      <w:r w:rsidR="00463825" w:rsidRPr="003A4A13">
        <w:rPr>
          <w:lang w:val="fr-CH"/>
        </w:rPr>
        <w:t xml:space="preserve">études sont également disponibles. </w:t>
      </w:r>
      <w:r w:rsidR="00366EF0" w:rsidRPr="003A4A13">
        <w:rPr>
          <w:lang w:val="fr-CH"/>
        </w:rPr>
        <w:t xml:space="preserve">Un compte </w:t>
      </w:r>
      <w:r w:rsidR="00463825" w:rsidRPr="003A4A13">
        <w:rPr>
          <w:lang w:val="fr-CH"/>
        </w:rPr>
        <w:t>d</w:t>
      </w:r>
      <w:r w:rsidR="00B47AFA" w:rsidRPr="003A4A13">
        <w:rPr>
          <w:lang w:val="fr-CH"/>
        </w:rPr>
        <w:t>'</w:t>
      </w:r>
      <w:r w:rsidR="00463825" w:rsidRPr="003A4A13">
        <w:rPr>
          <w:lang w:val="fr-CH"/>
        </w:rPr>
        <w:t xml:space="preserve">utilisateur </w:t>
      </w:r>
      <w:r w:rsidR="00366EF0" w:rsidRPr="003A4A13">
        <w:rPr>
          <w:lang w:val="fr-CH"/>
        </w:rPr>
        <w:t>TIES actif est nécessaire pour pouvoir accéder à tous ces services.</w:t>
      </w:r>
      <w:r w:rsidR="00463825" w:rsidRPr="003A4A13">
        <w:rPr>
          <w:lang w:val="fr-CH"/>
        </w:rPr>
        <w:t xml:space="preserve"> </w:t>
      </w:r>
      <w:r w:rsidR="00366EF0" w:rsidRPr="003A4A13">
        <w:rPr>
          <w:lang w:val="fr-CH"/>
        </w:rPr>
        <w:t>Les participants aux travaux des commissions d</w:t>
      </w:r>
      <w:r w:rsidR="00B47AFA" w:rsidRPr="003A4A13">
        <w:rPr>
          <w:lang w:val="fr-CH"/>
        </w:rPr>
        <w:t>'</w:t>
      </w:r>
      <w:r w:rsidR="00366EF0" w:rsidRPr="003A4A13">
        <w:rPr>
          <w:lang w:val="fr-CH"/>
        </w:rPr>
        <w:t xml:space="preserve">études sont encouragés à </w:t>
      </w:r>
      <w:r w:rsidR="00D53A3A" w:rsidRPr="003A4A13">
        <w:rPr>
          <w:lang w:val="fr-CH"/>
        </w:rPr>
        <w:t>essayer</w:t>
      </w:r>
      <w:r w:rsidR="00366EF0" w:rsidRPr="003A4A13">
        <w:rPr>
          <w:lang w:val="fr-CH"/>
        </w:rPr>
        <w:t xml:space="preserve"> ces outils et à transmettre leurs </w:t>
      </w:r>
      <w:r w:rsidR="00D53A3A" w:rsidRPr="003A4A13">
        <w:rPr>
          <w:lang w:val="fr-CH"/>
        </w:rPr>
        <w:t xml:space="preserve">éventuels </w:t>
      </w:r>
      <w:r w:rsidR="00366EF0" w:rsidRPr="003A4A13">
        <w:rPr>
          <w:lang w:val="fr-CH"/>
        </w:rPr>
        <w:t>commentaires au secrétariat, afin de contribuer à leur amélioration.</w:t>
      </w:r>
    </w:p>
    <w:p w:rsidR="00366EF0" w:rsidRPr="003A4A13" w:rsidRDefault="00366EF0" w:rsidP="00AE6B70">
      <w:pPr>
        <w:pStyle w:val="Heading1"/>
        <w:rPr>
          <w:lang w:val="fr-CH"/>
        </w:rPr>
      </w:pPr>
      <w:r w:rsidRPr="003A4A13">
        <w:rPr>
          <w:lang w:val="fr-CH"/>
        </w:rPr>
        <w:t>8</w:t>
      </w:r>
      <w:r w:rsidRPr="003A4A13">
        <w:rPr>
          <w:lang w:val="fr-CH"/>
        </w:rPr>
        <w:tab/>
        <w:t xml:space="preserve">Conclusion </w:t>
      </w:r>
      <w:r w:rsidR="00463825" w:rsidRPr="003A4A13">
        <w:rPr>
          <w:lang w:val="fr-CH"/>
        </w:rPr>
        <w:t>et perspectives</w:t>
      </w:r>
    </w:p>
    <w:p w:rsidR="00366EF0" w:rsidRPr="003A4A13" w:rsidRDefault="00463825" w:rsidP="00960D9E">
      <w:pPr>
        <w:rPr>
          <w:bCs/>
          <w:szCs w:val="24"/>
          <w:lang w:val="fr-CH"/>
        </w:rPr>
      </w:pPr>
      <w:r w:rsidRPr="003A4A13">
        <w:rPr>
          <w:bCs/>
          <w:szCs w:val="24"/>
          <w:lang w:val="fr-CH"/>
        </w:rPr>
        <w:t>La Commission d</w:t>
      </w:r>
      <w:r w:rsidR="00B47AFA" w:rsidRPr="003A4A13">
        <w:rPr>
          <w:bCs/>
          <w:szCs w:val="24"/>
          <w:lang w:val="fr-CH"/>
        </w:rPr>
        <w:t>'</w:t>
      </w:r>
      <w:r w:rsidRPr="003A4A13">
        <w:rPr>
          <w:bCs/>
          <w:szCs w:val="24"/>
          <w:lang w:val="fr-CH"/>
        </w:rPr>
        <w:t>études 1 poursuivra ses travaux à l</w:t>
      </w:r>
      <w:r w:rsidR="00B47AFA" w:rsidRPr="003A4A13">
        <w:rPr>
          <w:bCs/>
          <w:szCs w:val="24"/>
          <w:lang w:val="fr-CH"/>
        </w:rPr>
        <w:t>'</w:t>
      </w:r>
      <w:r w:rsidRPr="003A4A13">
        <w:rPr>
          <w:bCs/>
          <w:szCs w:val="24"/>
          <w:lang w:val="fr-CH"/>
        </w:rPr>
        <w:t xml:space="preserve">occasion de sa </w:t>
      </w:r>
      <w:r w:rsidR="00EB6EE5">
        <w:rPr>
          <w:bCs/>
          <w:szCs w:val="24"/>
          <w:lang w:val="fr-CH"/>
        </w:rPr>
        <w:t>réunion de 2019 qui aura lieu à </w:t>
      </w:r>
      <w:r w:rsidRPr="003A4A13">
        <w:rPr>
          <w:bCs/>
          <w:szCs w:val="24"/>
          <w:lang w:val="fr-CH"/>
        </w:rPr>
        <w:t>Genève, du 18 au 22 mars, tandis que les réunions des Groupe</w:t>
      </w:r>
      <w:r w:rsidR="00EB6EE5">
        <w:rPr>
          <w:bCs/>
          <w:szCs w:val="24"/>
          <w:lang w:val="fr-CH"/>
        </w:rPr>
        <w:t>s du Rapporteur se tiendront du </w:t>
      </w:r>
      <w:r w:rsidRPr="003A4A13">
        <w:rPr>
          <w:bCs/>
          <w:szCs w:val="24"/>
          <w:lang w:val="fr-CH"/>
        </w:rPr>
        <w:t>23</w:t>
      </w:r>
      <w:r w:rsidR="00960D9E" w:rsidRPr="003A4A13">
        <w:rPr>
          <w:bCs/>
          <w:szCs w:val="24"/>
          <w:lang w:val="fr-CH"/>
        </w:rPr>
        <w:t> </w:t>
      </w:r>
      <w:r w:rsidRPr="003A4A13">
        <w:rPr>
          <w:bCs/>
          <w:szCs w:val="24"/>
          <w:lang w:val="fr-CH"/>
        </w:rPr>
        <w:t>septembre au 18 octobre 2019</w:t>
      </w:r>
      <w:r w:rsidR="00366EF0" w:rsidRPr="003A4A13">
        <w:rPr>
          <w:bCs/>
          <w:szCs w:val="24"/>
          <w:lang w:val="fr-CH"/>
        </w:rPr>
        <w:t xml:space="preserve"> (</w:t>
      </w:r>
      <w:hyperlink r:id="rId34" w:history="1">
        <w:r w:rsidR="00D53A3A" w:rsidRPr="003A4A13">
          <w:rPr>
            <w:rStyle w:val="Hyperlink"/>
            <w:szCs w:val="24"/>
            <w:lang w:val="fr-CH"/>
          </w:rPr>
          <w:t>1/ADM/2(Ré</w:t>
        </w:r>
        <w:r w:rsidR="00366EF0" w:rsidRPr="003A4A13">
          <w:rPr>
            <w:rStyle w:val="Hyperlink"/>
            <w:szCs w:val="24"/>
            <w:lang w:val="fr-CH"/>
          </w:rPr>
          <w:t>v.2)</w:t>
        </w:r>
      </w:hyperlink>
      <w:r w:rsidR="00366EF0" w:rsidRPr="003A4A13">
        <w:rPr>
          <w:bCs/>
          <w:szCs w:val="24"/>
          <w:lang w:val="fr-CH"/>
        </w:rPr>
        <w:t>).</w:t>
      </w:r>
    </w:p>
    <w:p w:rsidR="00366EF0" w:rsidRPr="003A4A13" w:rsidRDefault="00463825" w:rsidP="00AE6B70">
      <w:pPr>
        <w:rPr>
          <w:lang w:val="fr-CH"/>
        </w:rPr>
      </w:pPr>
      <w:r w:rsidRPr="003A4A13">
        <w:rPr>
          <w:lang w:val="fr-CH"/>
        </w:rPr>
        <w:t>L</w:t>
      </w:r>
      <w:r w:rsidR="00366EF0" w:rsidRPr="003A4A13">
        <w:rPr>
          <w:lang w:val="fr-CH"/>
        </w:rPr>
        <w:t>es réunions des Groupes du Rapporteur ont été regroupées, afin de permettre aux Rapporteurs, aux Vice</w:t>
      </w:r>
      <w:r w:rsidR="00366EF0" w:rsidRPr="003A4A13">
        <w:rPr>
          <w:lang w:val="fr-CH"/>
        </w:rPr>
        <w:noBreakHyphen/>
        <w:t>Rapporteurs et aux participants d</w:t>
      </w:r>
      <w:r w:rsidR="00B47AFA" w:rsidRPr="003A4A13">
        <w:rPr>
          <w:lang w:val="fr-CH"/>
        </w:rPr>
        <w:t>'</w:t>
      </w:r>
      <w:r w:rsidR="00366EF0" w:rsidRPr="003A4A13">
        <w:rPr>
          <w:lang w:val="fr-CH"/>
        </w:rPr>
        <w:t>assister à plusieurs réunions, d</w:t>
      </w:r>
      <w:r w:rsidR="00B47AFA" w:rsidRPr="003A4A13">
        <w:rPr>
          <w:lang w:val="fr-CH"/>
        </w:rPr>
        <w:t>'</w:t>
      </w:r>
      <w:r w:rsidR="00366EF0" w:rsidRPr="003A4A13">
        <w:rPr>
          <w:lang w:val="fr-CH"/>
        </w:rPr>
        <w:t>échanger des vues sur des sujets connexes, de</w:t>
      </w:r>
      <w:r w:rsidR="00D53A3A" w:rsidRPr="003A4A13">
        <w:rPr>
          <w:lang w:val="fr-CH"/>
        </w:rPr>
        <w:t xml:space="preserve"> créer des groupes de rédaction</w:t>
      </w:r>
      <w:r w:rsidR="00366EF0" w:rsidRPr="003A4A13">
        <w:rPr>
          <w:lang w:val="fr-CH"/>
        </w:rPr>
        <w:t xml:space="preserve"> et de rencontrer les coordonnateurs, les fonctionnaires du BDT, ainsi que le Président et les Vice</w:t>
      </w:r>
      <w:r w:rsidR="00366EF0" w:rsidRPr="003A4A13">
        <w:rPr>
          <w:lang w:val="fr-CH"/>
        </w:rPr>
        <w:noBreakHyphen/>
        <w:t xml:space="preserve">Présidents de la </w:t>
      </w:r>
      <w:r w:rsidR="00D53A3A" w:rsidRPr="003A4A13">
        <w:rPr>
          <w:lang w:val="fr-CH"/>
        </w:rPr>
        <w:t>C</w:t>
      </w:r>
      <w:r w:rsidR="00366EF0" w:rsidRPr="003A4A13">
        <w:rPr>
          <w:lang w:val="fr-CH"/>
        </w:rPr>
        <w:t>ommission d</w:t>
      </w:r>
      <w:r w:rsidR="00B47AFA" w:rsidRPr="003A4A13">
        <w:rPr>
          <w:lang w:val="fr-CH"/>
        </w:rPr>
        <w:t>'</w:t>
      </w:r>
      <w:r w:rsidR="00366EF0" w:rsidRPr="003A4A13">
        <w:rPr>
          <w:lang w:val="fr-CH"/>
        </w:rPr>
        <w:t>études</w:t>
      </w:r>
      <w:r w:rsidR="00D53A3A" w:rsidRPr="003A4A13">
        <w:rPr>
          <w:lang w:val="fr-CH"/>
        </w:rPr>
        <w:t xml:space="preserve"> dont ils dépendent</w:t>
      </w:r>
      <w:r w:rsidR="00366EF0" w:rsidRPr="003A4A13">
        <w:rPr>
          <w:lang w:val="fr-CH"/>
        </w:rPr>
        <w:t>.</w:t>
      </w:r>
    </w:p>
    <w:p w:rsidR="00366EF0" w:rsidRPr="003A4A13" w:rsidRDefault="00463825" w:rsidP="00D53A3A">
      <w:pPr>
        <w:rPr>
          <w:bCs/>
          <w:szCs w:val="24"/>
          <w:lang w:val="fr-CH"/>
        </w:rPr>
      </w:pPr>
      <w:r w:rsidRPr="003A4A13">
        <w:rPr>
          <w:bCs/>
          <w:szCs w:val="24"/>
          <w:lang w:val="fr-CH"/>
        </w:rPr>
        <w:t>Les efforts se poursuivront afin de créer des synergies entre les thèmes examinés par les commissions d</w:t>
      </w:r>
      <w:r w:rsidR="00B47AFA" w:rsidRPr="003A4A13">
        <w:rPr>
          <w:bCs/>
          <w:szCs w:val="24"/>
          <w:lang w:val="fr-CH"/>
        </w:rPr>
        <w:t>'</w:t>
      </w:r>
      <w:r w:rsidRPr="003A4A13">
        <w:rPr>
          <w:bCs/>
          <w:szCs w:val="24"/>
          <w:lang w:val="fr-CH"/>
        </w:rPr>
        <w:t xml:space="preserve">études et les </w:t>
      </w:r>
      <w:r w:rsidR="00D53A3A" w:rsidRPr="003A4A13">
        <w:rPr>
          <w:bCs/>
          <w:szCs w:val="24"/>
          <w:lang w:val="fr-CH"/>
        </w:rPr>
        <w:t>ateliers et séminaires organisé</w:t>
      </w:r>
      <w:r w:rsidRPr="003A4A13">
        <w:rPr>
          <w:bCs/>
          <w:szCs w:val="24"/>
          <w:lang w:val="fr-CH"/>
        </w:rPr>
        <w:t>s dans les régions, comme en 2018. Les propositions d</w:t>
      </w:r>
      <w:r w:rsidR="00B47AFA" w:rsidRPr="003A4A13">
        <w:rPr>
          <w:bCs/>
          <w:szCs w:val="24"/>
          <w:lang w:val="fr-CH"/>
        </w:rPr>
        <w:t>'</w:t>
      </w:r>
      <w:r w:rsidRPr="003A4A13">
        <w:rPr>
          <w:bCs/>
          <w:szCs w:val="24"/>
          <w:lang w:val="fr-CH"/>
        </w:rPr>
        <w:t xml:space="preserve">activités en lien avec les </w:t>
      </w:r>
      <w:r w:rsidR="00D53A3A" w:rsidRPr="003A4A13">
        <w:rPr>
          <w:bCs/>
          <w:szCs w:val="24"/>
          <w:lang w:val="fr-CH"/>
        </w:rPr>
        <w:t>C</w:t>
      </w:r>
      <w:r w:rsidRPr="003A4A13">
        <w:rPr>
          <w:bCs/>
          <w:szCs w:val="24"/>
          <w:lang w:val="fr-CH"/>
        </w:rPr>
        <w:t>ommissions d</w:t>
      </w:r>
      <w:r w:rsidR="00B47AFA" w:rsidRPr="003A4A13">
        <w:rPr>
          <w:bCs/>
          <w:szCs w:val="24"/>
          <w:lang w:val="fr-CH"/>
        </w:rPr>
        <w:t>'</w:t>
      </w:r>
      <w:r w:rsidRPr="003A4A13">
        <w:rPr>
          <w:bCs/>
          <w:szCs w:val="24"/>
          <w:lang w:val="fr-CH"/>
        </w:rPr>
        <w:t>études de l</w:t>
      </w:r>
      <w:r w:rsidR="00B47AFA" w:rsidRPr="003A4A13">
        <w:rPr>
          <w:bCs/>
          <w:szCs w:val="24"/>
          <w:lang w:val="fr-CH"/>
        </w:rPr>
        <w:t>'</w:t>
      </w:r>
      <w:r w:rsidRPr="003A4A13">
        <w:rPr>
          <w:bCs/>
          <w:szCs w:val="24"/>
          <w:lang w:val="fr-CH"/>
        </w:rPr>
        <w:t>UIT-D sont encouragées et accueillies très favorablement.</w:t>
      </w:r>
    </w:p>
    <w:p w:rsidR="00D53A3A" w:rsidRPr="003A4A13" w:rsidRDefault="00D53A3A" w:rsidP="00D53A3A">
      <w:pPr>
        <w:rPr>
          <w:bCs/>
          <w:szCs w:val="24"/>
          <w:lang w:val="fr-CH"/>
        </w:rPr>
      </w:pPr>
    </w:p>
    <w:p w:rsidR="00366EF0" w:rsidRPr="003A4A13" w:rsidRDefault="00366EF0" w:rsidP="00AE6B70">
      <w:pPr>
        <w:rPr>
          <w:lang w:val="fr-CH"/>
        </w:rPr>
        <w:sectPr w:rsidR="00366EF0" w:rsidRPr="003A4A13" w:rsidSect="00473791">
          <w:headerReference w:type="even" r:id="rId35"/>
          <w:headerReference w:type="default" r:id="rId36"/>
          <w:footerReference w:type="even" r:id="rId37"/>
          <w:footerReference w:type="default" r:id="rId38"/>
          <w:headerReference w:type="first" r:id="rId39"/>
          <w:footerReference w:type="first" r:id="rId40"/>
          <w:pgSz w:w="11907" w:h="16834" w:code="9"/>
          <w:pgMar w:top="1418" w:right="1134" w:bottom="1418" w:left="1134" w:header="720" w:footer="720" w:gutter="0"/>
          <w:paperSrc w:first="7" w:other="7"/>
          <w:cols w:space="720"/>
          <w:titlePg/>
          <w:docGrid w:linePitch="326"/>
        </w:sectPr>
      </w:pPr>
    </w:p>
    <w:p w:rsidR="00366EF0" w:rsidRPr="00A50DBE" w:rsidRDefault="00366EF0" w:rsidP="00AE6B70">
      <w:pPr>
        <w:pStyle w:val="Annextitle"/>
        <w:spacing w:before="120" w:after="120"/>
        <w:rPr>
          <w:sz w:val="24"/>
          <w:szCs w:val="24"/>
          <w:lang w:val="en-US"/>
        </w:rPr>
      </w:pPr>
      <w:r w:rsidRPr="00A50DBE">
        <w:rPr>
          <w:sz w:val="24"/>
          <w:szCs w:val="24"/>
          <w:lang w:val="en-US"/>
        </w:rPr>
        <w:lastRenderedPageBreak/>
        <w:t xml:space="preserve">Annex 1: Appointed Chairman, Vice-Chairmen, Rapporteurs and Vice-Rapporteurs of ITU-D Study Group 1 </w:t>
      </w:r>
      <w:r w:rsidR="00960D9E" w:rsidRPr="00A50DBE">
        <w:rPr>
          <w:sz w:val="24"/>
          <w:szCs w:val="24"/>
          <w:lang w:val="en-US"/>
        </w:rPr>
        <w:br/>
      </w:r>
      <w:r w:rsidRPr="00A50DBE">
        <w:rPr>
          <w:sz w:val="24"/>
          <w:szCs w:val="24"/>
          <w:lang w:val="en-US"/>
        </w:rPr>
        <w:t>Questions for the 2018-2021 period</w:t>
      </w:r>
    </w:p>
    <w:p w:rsidR="00366EF0" w:rsidRPr="00A50DBE" w:rsidRDefault="00366EF0" w:rsidP="00AE6B70">
      <w:pPr>
        <w:rPr>
          <w:bCs/>
          <w:szCs w:val="24"/>
          <w:lang w:val="en-US"/>
        </w:rPr>
      </w:pPr>
      <w:r w:rsidRPr="00A50DBE">
        <w:rPr>
          <w:bCs/>
          <w:szCs w:val="24"/>
          <w:lang w:val="en-US"/>
        </w:rPr>
        <w:t xml:space="preserve">Chairman and vice-chairmen (also available at: </w:t>
      </w:r>
      <w:hyperlink r:id="rId41" w:history="1">
        <w:r w:rsidR="003A6B34" w:rsidRPr="00A50DBE">
          <w:rPr>
            <w:rStyle w:val="Hyperlink"/>
            <w:bCs/>
            <w:szCs w:val="24"/>
            <w:lang w:val="en-US"/>
          </w:rPr>
          <w:t>https://www.itu.int/net4/ITU-D/CDS/sg/chairmen.asp?lg=2&amp;sp=2018</w:t>
        </w:r>
      </w:hyperlink>
      <w:r w:rsidRPr="00A50DBE">
        <w:rPr>
          <w:bCs/>
          <w:szCs w:val="24"/>
          <w:lang w:val="en-US"/>
        </w:rPr>
        <w:t>)</w:t>
      </w:r>
    </w:p>
    <w:p w:rsidR="005B694A" w:rsidRPr="00A50DBE" w:rsidRDefault="005B694A" w:rsidP="00AE6B70">
      <w:pPr>
        <w:rPr>
          <w:bCs/>
          <w:szCs w:val="24"/>
          <w:lang w:val="en-US"/>
        </w:rPr>
      </w:pPr>
    </w:p>
    <w:tbl>
      <w:tblPr>
        <w:tblW w:w="7549" w:type="dxa"/>
        <w:jc w:val="center"/>
        <w:tblCellMar>
          <w:left w:w="0" w:type="dxa"/>
          <w:right w:w="0" w:type="dxa"/>
        </w:tblCellMar>
        <w:tblLook w:val="04A0" w:firstRow="1" w:lastRow="0" w:firstColumn="1" w:lastColumn="0" w:noHBand="0" w:noVBand="1"/>
      </w:tblPr>
      <w:tblGrid>
        <w:gridCol w:w="1199"/>
        <w:gridCol w:w="6350"/>
      </w:tblGrid>
      <w:tr w:rsidR="00366EF0" w:rsidRPr="003A4A13" w:rsidTr="005B694A">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
                <w:bCs/>
                <w:sz w:val="22"/>
                <w:szCs w:val="22"/>
                <w:lang w:val="fr-CH"/>
              </w:rPr>
              <w:t>ITU-D STUDY GROUP 1</w:t>
            </w:r>
          </w:p>
        </w:tc>
      </w:tr>
      <w:tr w:rsidR="00366EF0" w:rsidRPr="003A4A13" w:rsidTr="005B694A">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
                <w:bCs/>
                <w:sz w:val="22"/>
                <w:szCs w:val="22"/>
                <w:lang w:val="fr-CH"/>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3A4A13" w:rsidRDefault="00366EF0" w:rsidP="00AE6B70">
            <w:pPr>
              <w:spacing w:before="0"/>
              <w:rPr>
                <w:rFonts w:ascii="Calibri" w:hAnsi="Calibri" w:cs="Calibri"/>
                <w:b/>
                <w:bCs/>
                <w:color w:val="800000"/>
                <w:sz w:val="22"/>
                <w:szCs w:val="22"/>
                <w:lang w:val="fr-CH"/>
              </w:rPr>
            </w:pPr>
            <w:r w:rsidRPr="003A4A13">
              <w:rPr>
                <w:bCs/>
                <w:sz w:val="22"/>
                <w:szCs w:val="22"/>
                <w:lang w:val="fr-CH"/>
              </w:rPr>
              <w:t xml:space="preserve">Ms Regina Fleur </w:t>
            </w:r>
            <w:r w:rsidRPr="003A4A13">
              <w:rPr>
                <w:bCs/>
                <w:caps/>
                <w:sz w:val="22"/>
                <w:szCs w:val="22"/>
                <w:lang w:val="fr-CH"/>
              </w:rPr>
              <w:t>Assoumou BESSOU</w:t>
            </w:r>
            <w:r w:rsidRPr="003A4A13">
              <w:rPr>
                <w:bCs/>
                <w:sz w:val="22"/>
                <w:szCs w:val="22"/>
                <w:lang w:val="fr-CH"/>
              </w:rPr>
              <w:t xml:space="preserve"> (Côte d</w:t>
            </w:r>
            <w:r w:rsidR="00B47AFA" w:rsidRPr="003A4A13">
              <w:rPr>
                <w:bCs/>
                <w:sz w:val="22"/>
                <w:szCs w:val="22"/>
                <w:lang w:val="fr-CH"/>
              </w:rPr>
              <w:t>'</w:t>
            </w:r>
            <w:r w:rsidRPr="003A4A13">
              <w:rPr>
                <w:bCs/>
                <w:sz w:val="22"/>
                <w:szCs w:val="22"/>
                <w:lang w:val="fr-CH"/>
              </w:rPr>
              <w:t xml:space="preserve">Ivoire) </w:t>
            </w:r>
            <w:r w:rsidRPr="003A4A13">
              <w:rPr>
                <w:rFonts w:ascii="Calibri" w:hAnsi="Calibri" w:cs="Calibri"/>
                <w:b/>
                <w:bCs/>
                <w:color w:val="800000"/>
                <w:sz w:val="22"/>
                <w:szCs w:val="22"/>
                <w:lang w:val="fr-CH"/>
              </w:rPr>
              <w:t xml:space="preserve"> </w:t>
            </w:r>
          </w:p>
        </w:tc>
      </w:tr>
      <w:tr w:rsidR="00366EF0" w:rsidRPr="000B5ED2" w:rsidTr="005B694A">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
                <w:bCs/>
                <w:sz w:val="22"/>
                <w:szCs w:val="22"/>
                <w:lang w:val="fr-CH"/>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Mr Peter Ngwan MBENGIE (Cameroon)</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Mr Amah Vinyo CAPO (Togo)</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Mr Roberto Mitsuake HIRAYAMA (Brazil)</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s-ES"/>
              </w:rPr>
            </w:pPr>
            <w:r w:rsidRPr="00A50DBE">
              <w:rPr>
                <w:bCs/>
                <w:sz w:val="22"/>
                <w:szCs w:val="22"/>
                <w:lang w:val="es-ES"/>
              </w:rPr>
              <w:t>Mr Víctor Antonio MARTÍNEZ SÁNCHEZ (Paraguay)</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 xml:space="preserve">Mr Ahmed Abdel Aziz GAD (Egypt) </w:t>
            </w:r>
          </w:p>
        </w:tc>
      </w:tr>
      <w:tr w:rsidR="00366EF0" w:rsidRPr="003A4A13"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Cs/>
                <w:sz w:val="22"/>
                <w:szCs w:val="22"/>
                <w:lang w:val="fr-CH"/>
              </w:rPr>
              <w:t>Ms Sameera Belal Momen MOHAMMAD (Kuwait)</w:t>
            </w:r>
          </w:p>
        </w:tc>
      </w:tr>
      <w:tr w:rsidR="00366EF0" w:rsidRPr="003A4A13"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3A4A13" w:rsidRDefault="00366EF0" w:rsidP="00AE6B70">
            <w:pPr>
              <w:spacing w:before="0"/>
              <w:rPr>
                <w:bCs/>
                <w:sz w:val="22"/>
                <w:szCs w:val="22"/>
                <w:lang w:val="fr-CH"/>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Cs/>
                <w:sz w:val="22"/>
                <w:szCs w:val="22"/>
                <w:lang w:val="fr-CH"/>
              </w:rPr>
              <w:t>Mr Yasuhiko KAWASUMI (Japan)</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3A4A13" w:rsidRDefault="00366EF0" w:rsidP="00AE6B70">
            <w:pPr>
              <w:spacing w:before="0"/>
              <w:rPr>
                <w:bCs/>
                <w:sz w:val="22"/>
                <w:szCs w:val="22"/>
                <w:lang w:val="fr-CH"/>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Mr Sangwon KO (Republic of Korea)</w:t>
            </w:r>
          </w:p>
        </w:tc>
      </w:tr>
      <w:tr w:rsidR="00366EF0" w:rsidRPr="003A4A13"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Cs/>
                <w:sz w:val="22"/>
                <w:szCs w:val="22"/>
                <w:lang w:val="fr-CH"/>
              </w:rPr>
              <w:t>Mr Almaz TILENBAEV (Kyrgyzstan)</w:t>
            </w:r>
          </w:p>
        </w:tc>
      </w:tr>
      <w:tr w:rsidR="00366EF0" w:rsidRPr="003A4A13"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3A4A13" w:rsidRDefault="00366EF0" w:rsidP="00AE6B70">
            <w:pPr>
              <w:spacing w:before="0"/>
              <w:rPr>
                <w:bCs/>
                <w:sz w:val="22"/>
                <w:szCs w:val="22"/>
                <w:lang w:val="fr-CH"/>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3A4A13" w:rsidRDefault="00366EF0" w:rsidP="00AE6B70">
            <w:pPr>
              <w:spacing w:before="0"/>
              <w:rPr>
                <w:bCs/>
                <w:sz w:val="22"/>
                <w:szCs w:val="22"/>
                <w:lang w:val="fr-CH"/>
              </w:rPr>
            </w:pPr>
            <w:r w:rsidRPr="003A4A13">
              <w:rPr>
                <w:bCs/>
                <w:sz w:val="22"/>
                <w:szCs w:val="22"/>
                <w:lang w:val="fr-CH"/>
              </w:rPr>
              <w:t>Mr Vadym KAPTUR (Ukraine)</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3A4A13" w:rsidRDefault="00366EF0" w:rsidP="00AE6B70">
            <w:pPr>
              <w:spacing w:before="0"/>
              <w:rPr>
                <w:bCs/>
                <w:sz w:val="22"/>
                <w:szCs w:val="22"/>
                <w:lang w:val="fr-CH"/>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Ms Amela ODOBASIC (Bosnia and Herzegovina)</w:t>
            </w:r>
          </w:p>
        </w:tc>
      </w:tr>
      <w:tr w:rsidR="00366EF0" w:rsidRPr="000B5ED2" w:rsidTr="005B694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366EF0" w:rsidRPr="00A50DBE" w:rsidRDefault="00366EF0" w:rsidP="00AE6B70">
            <w:pPr>
              <w:spacing w:before="0"/>
              <w:rPr>
                <w:bCs/>
                <w:sz w:val="22"/>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66EF0" w:rsidRPr="00A50DBE" w:rsidRDefault="00366EF0" w:rsidP="00AE6B70">
            <w:pPr>
              <w:spacing w:before="0"/>
              <w:rPr>
                <w:bCs/>
                <w:sz w:val="22"/>
                <w:szCs w:val="22"/>
                <w:lang w:val="en-US"/>
              </w:rPr>
            </w:pPr>
            <w:r w:rsidRPr="00A50DBE">
              <w:rPr>
                <w:bCs/>
                <w:sz w:val="22"/>
                <w:szCs w:val="22"/>
                <w:lang w:val="en-US"/>
              </w:rPr>
              <w:t>Mr Krisztián STEFANICS (Hungary)</w:t>
            </w:r>
            <w:r w:rsidRPr="00A50DBE">
              <w:rPr>
                <w:bCs/>
                <w:i/>
                <w:iCs/>
                <w:sz w:val="22"/>
                <w:szCs w:val="22"/>
                <w:lang w:val="en-US"/>
              </w:rPr>
              <w:t>(Stepped down in October 2018)</w:t>
            </w:r>
          </w:p>
        </w:tc>
      </w:tr>
    </w:tbl>
    <w:p w:rsidR="003A6B34" w:rsidRPr="00A50DBE" w:rsidRDefault="003A6B34" w:rsidP="00AE6B70">
      <w:pPr>
        <w:rPr>
          <w:bCs/>
          <w:szCs w:val="24"/>
          <w:lang w:val="en-US"/>
        </w:rPr>
      </w:pPr>
    </w:p>
    <w:p w:rsidR="00366EF0" w:rsidRPr="00A50DBE" w:rsidRDefault="00366EF0" w:rsidP="00AE6B70">
      <w:pPr>
        <w:rPr>
          <w:bCs/>
          <w:szCs w:val="24"/>
          <w:lang w:val="en-US"/>
        </w:rPr>
      </w:pPr>
      <w:r w:rsidRPr="00A50DBE">
        <w:rPr>
          <w:bCs/>
          <w:szCs w:val="24"/>
          <w:lang w:val="en-US"/>
        </w:rPr>
        <w:t xml:space="preserve">List of (Co-)Rapporteurs and Vice-Rapporteurs (also available at: </w:t>
      </w:r>
      <w:hyperlink r:id="rId42" w:history="1">
        <w:r w:rsidR="003A6B34" w:rsidRPr="00A50DBE">
          <w:rPr>
            <w:rStyle w:val="Hyperlink"/>
            <w:bCs/>
            <w:szCs w:val="24"/>
            <w:lang w:val="en-US"/>
          </w:rPr>
          <w:t>https://www.itu.int/net4/ITU-D/CDS/sg/rapporteurs.asp?lg=2&amp;sp=2018</w:t>
        </w:r>
      </w:hyperlink>
      <w:r w:rsidRPr="00A50DBE">
        <w:rPr>
          <w:bCs/>
          <w:szCs w:val="24"/>
          <w:lang w:val="en-U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499"/>
        <w:gridCol w:w="1765"/>
        <w:gridCol w:w="546"/>
        <w:gridCol w:w="1771"/>
        <w:gridCol w:w="2314"/>
        <w:gridCol w:w="2481"/>
        <w:gridCol w:w="1743"/>
        <w:gridCol w:w="1869"/>
      </w:tblGrid>
      <w:tr w:rsidR="00366EF0" w:rsidRPr="003A4A13" w:rsidTr="005B694A">
        <w:trPr>
          <w:trHeight w:val="300"/>
          <w:tblHeader/>
        </w:trPr>
        <w:tc>
          <w:tcPr>
            <w:tcW w:w="536"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ITU-D Question</w:t>
            </w:r>
          </w:p>
        </w:tc>
        <w:tc>
          <w:tcPr>
            <w:tcW w:w="631" w:type="pct"/>
            <w:shd w:val="clear" w:color="000000" w:fill="C00000"/>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Role</w:t>
            </w:r>
          </w:p>
        </w:tc>
        <w:tc>
          <w:tcPr>
            <w:tcW w:w="195"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p>
        </w:tc>
        <w:tc>
          <w:tcPr>
            <w:tcW w:w="633"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Firstname</w:t>
            </w:r>
          </w:p>
        </w:tc>
        <w:tc>
          <w:tcPr>
            <w:tcW w:w="827"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Lastname</w:t>
            </w:r>
          </w:p>
        </w:tc>
        <w:tc>
          <w:tcPr>
            <w:tcW w:w="887"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Country</w:t>
            </w:r>
          </w:p>
        </w:tc>
        <w:tc>
          <w:tcPr>
            <w:tcW w:w="623"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Region</w:t>
            </w:r>
          </w:p>
        </w:tc>
        <w:tc>
          <w:tcPr>
            <w:tcW w:w="668" w:type="pct"/>
            <w:shd w:val="clear" w:color="5B9BD5" w:fill="5B9BD5"/>
            <w:noWrap/>
            <w:vAlign w:val="bottom"/>
            <w:hideMark/>
          </w:tcPr>
          <w:p w:rsidR="00366EF0" w:rsidRPr="003A4A13" w:rsidRDefault="00366EF0" w:rsidP="00AE6B70">
            <w:pPr>
              <w:overflowPunct/>
              <w:autoSpaceDE/>
              <w:autoSpaceDN/>
              <w:adjustRightInd/>
              <w:spacing w:before="0"/>
              <w:textAlignment w:val="auto"/>
              <w:rPr>
                <w:b/>
                <w:bCs/>
                <w:color w:val="FFFFFF"/>
                <w:sz w:val="22"/>
                <w:szCs w:val="22"/>
                <w:lang w:val="fr-CH" w:eastAsia="zh-CN"/>
              </w:rPr>
            </w:pPr>
            <w:r w:rsidRPr="003A4A13">
              <w:rPr>
                <w:b/>
                <w:bCs/>
                <w:color w:val="FFFFFF"/>
                <w:sz w:val="22"/>
                <w:szCs w:val="22"/>
                <w:lang w:val="fr-CH" w:eastAsia="zh-CN"/>
              </w:rPr>
              <w:t>Organization</w:t>
            </w:r>
          </w:p>
        </w:tc>
      </w:tr>
      <w:tr w:rsidR="00366EF0" w:rsidRPr="003A4A13" w:rsidTr="005B694A">
        <w:trPr>
          <w:trHeight w:val="300"/>
        </w:trPr>
        <w:tc>
          <w:tcPr>
            <w:tcW w:w="536" w:type="pct"/>
            <w:shd w:val="clear" w:color="DDEBF7" w:fill="DDEBF7"/>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1/1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Co-Rapporteur</w:t>
            </w:r>
          </w:p>
        </w:tc>
        <w:tc>
          <w:tcPr>
            <w:tcW w:w="195"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Fred </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Ongaro </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Kenya</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30"/>
        </w:trPr>
        <w:tc>
          <w:tcPr>
            <w:tcW w:w="536" w:type="pct"/>
            <w:shd w:val="clear" w:color="auto" w:fill="auto"/>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1/1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Co-Rapporteur</w:t>
            </w:r>
          </w:p>
        </w:tc>
        <w:tc>
          <w:tcPr>
            <w:tcW w:w="195"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Vadim </w:t>
            </w:r>
          </w:p>
        </w:tc>
        <w:tc>
          <w:tcPr>
            <w:tcW w:w="827"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Kaptur</w:t>
            </w:r>
          </w:p>
        </w:tc>
        <w:tc>
          <w:tcPr>
            <w:tcW w:w="887"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Ukraine</w:t>
            </w:r>
          </w:p>
        </w:tc>
        <w:tc>
          <w:tcPr>
            <w:tcW w:w="623"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CIS countries</w:t>
            </w:r>
          </w:p>
        </w:tc>
        <w:tc>
          <w:tcPr>
            <w:tcW w:w="668" w:type="pct"/>
            <w:shd w:val="clear" w:color="auto" w:fill="auto"/>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Issoufi K.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Maiga</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Luc Servais</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Missidimbazi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Congo</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285"/>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Charles Zoë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Banga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Central African Rep.</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Abdoulaye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Ouedraogo</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Burkina Faso</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Aminata Niang</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Diagne</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Senegal</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Jean Marie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Maignan</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Haiti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Turhan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Muluk</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States</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Intel Corporation</w:t>
            </w:r>
          </w:p>
        </w:tc>
      </w:tr>
      <w:tr w:rsidR="00366EF0" w:rsidRPr="003A4A13" w:rsidTr="005B694A">
        <w:trPr>
          <w:trHeight w:val="319"/>
        </w:trPr>
        <w:tc>
          <w:tcPr>
            <w:tcW w:w="536" w:type="pct"/>
            <w:shd w:val="clear" w:color="auto" w:fill="auto"/>
            <w:noWrap/>
            <w:vAlign w:val="bottom"/>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 xml:space="preserve">Mohamed Amine </w:t>
            </w:r>
          </w:p>
        </w:tc>
        <w:tc>
          <w:tcPr>
            <w:tcW w:w="827" w:type="pct"/>
            <w:shd w:val="clear" w:color="auto" w:fill="auto"/>
            <w:noWrap/>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Benziane</w:t>
            </w:r>
          </w:p>
        </w:tc>
        <w:tc>
          <w:tcPr>
            <w:tcW w:w="887" w:type="pct"/>
            <w:shd w:val="clear" w:color="auto" w:fill="auto"/>
            <w:noWrap/>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Algeria</w:t>
            </w:r>
          </w:p>
        </w:tc>
        <w:tc>
          <w:tcPr>
            <w:tcW w:w="623" w:type="pct"/>
            <w:shd w:val="clear" w:color="auto" w:fill="auto"/>
            <w:noWrap/>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auto" w:fill="auto"/>
            <w:vAlign w:val="bottom"/>
            <w:hideMark/>
          </w:tcPr>
          <w:p w:rsidR="00366EF0" w:rsidRPr="003A4A13" w:rsidRDefault="00366EF0" w:rsidP="00AE6B70">
            <w:pPr>
              <w:overflowPunct/>
              <w:autoSpaceDE/>
              <w:autoSpaceDN/>
              <w:adjustRightInd/>
              <w:spacing w:before="0"/>
              <w:jc w:val="both"/>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Karma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Jamyang</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Bhutan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Chunfei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Zhang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China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Ümit Nevruz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Özdemir</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Türk Telekom</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Jane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Coffin</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World/Multi-Regional</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Internet Society (ISOC)</w:t>
            </w:r>
          </w:p>
        </w:tc>
      </w:tr>
      <w:tr w:rsidR="00366EF0" w:rsidRPr="003A4A13" w:rsidTr="005B694A">
        <w:trPr>
          <w:trHeight w:val="330"/>
        </w:trPr>
        <w:tc>
          <w:tcPr>
            <w:tcW w:w="536" w:type="pct"/>
            <w:shd w:val="clear" w:color="DDEBF7" w:fill="DDEBF7"/>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2/1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Rapporteur</w:t>
            </w:r>
          </w:p>
        </w:tc>
        <w:tc>
          <w:tcPr>
            <w:tcW w:w="195"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Roberto Mitsuake </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Hirayama</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Brazil</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Siaka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Coulibaly</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Hassan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Issaka</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Chad</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Jean Marie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Maignan</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Haiti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Jinane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Karam</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Lebanon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Gang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Wu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China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Gülcihan</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Kurnaz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Türk Telekom</w:t>
            </w:r>
          </w:p>
        </w:tc>
      </w:tr>
      <w:tr w:rsidR="00366EF0" w:rsidRPr="003A4A13" w:rsidTr="005B694A">
        <w:trPr>
          <w:trHeight w:val="315"/>
        </w:trPr>
        <w:tc>
          <w:tcPr>
            <w:tcW w:w="536" w:type="pct"/>
            <w:shd w:val="clear" w:color="auto" w:fill="auto"/>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3/1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Rapporteur</w:t>
            </w:r>
          </w:p>
        </w:tc>
        <w:tc>
          <w:tcPr>
            <w:tcW w:w="195"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Nasser</w:t>
            </w:r>
          </w:p>
        </w:tc>
        <w:tc>
          <w:tcPr>
            <w:tcW w:w="827"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Kettani</w:t>
            </w:r>
          </w:p>
        </w:tc>
        <w:tc>
          <w:tcPr>
            <w:tcW w:w="887"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States</w:t>
            </w:r>
          </w:p>
        </w:tc>
        <w:tc>
          <w:tcPr>
            <w:tcW w:w="623"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Charles Zoë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Banga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Central African Rep.</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Franklin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Makokha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Kenya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Abdoulaye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Ouedraogo</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Burkina Faso</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Ahmadou Dit</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Adi Cisse</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Luc Servais</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Missidimbazi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Congo</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Serigne Abdou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Lahatt Sylla</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Senegal</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Christopher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Hemmerlein</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States</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Geraldo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Neto</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States</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TMG, Inc.</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Darshan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Thapa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Bhutan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Zhen</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Zhang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China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sz w:val="22"/>
                <w:szCs w:val="22"/>
                <w:lang w:val="fr-CH" w:eastAsia="zh-CN"/>
              </w:rPr>
            </w:pPr>
            <w:r w:rsidRPr="003A4A13">
              <w:rPr>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Arseny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Plossky</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Russian Federation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CIS countries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Ms </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Beyhan Aygün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Akyüz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Türk Telekom</w:t>
            </w:r>
          </w:p>
        </w:tc>
      </w:tr>
      <w:tr w:rsidR="00366EF0" w:rsidRPr="003A4A13" w:rsidTr="005B694A">
        <w:trPr>
          <w:trHeight w:val="345"/>
        </w:trPr>
        <w:tc>
          <w:tcPr>
            <w:tcW w:w="536" w:type="pct"/>
            <w:shd w:val="clear" w:color="DDEBF7" w:fill="DDEBF7"/>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4/1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Rapporteur</w:t>
            </w:r>
          </w:p>
        </w:tc>
        <w:tc>
          <w:tcPr>
            <w:tcW w:w="195"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center"/>
            <w:hideMark/>
          </w:tcPr>
          <w:p w:rsidR="00366EF0" w:rsidRPr="003A4A13" w:rsidRDefault="00366EF0" w:rsidP="00AE6B70">
            <w:pPr>
              <w:keepNext/>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Arseny </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Plossky</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Russian Federation</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CIS countries</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285"/>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Ibrahima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Kone</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Talent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Munyaradzi</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Zimbabwe</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Huguens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Previlon</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Haiti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Mohammed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AbdulKadhim Ali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Iraq</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Haider Abd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Al Hassan Yahia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Iraq</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Emanuele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Giovannetti</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Kingdom</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Anglia Ruskin University</w:t>
            </w:r>
          </w:p>
        </w:tc>
      </w:tr>
      <w:tr w:rsidR="00366EF0" w:rsidRPr="003A4A13" w:rsidTr="005B694A">
        <w:trPr>
          <w:trHeight w:val="345"/>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Rafael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Gonzalez-Galarreta</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Spain</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Axon Partners Group Consulting</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Ugur</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Kaydan</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27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Gevher Nesibe</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Tural Tok</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Türk Telekom</w:t>
            </w:r>
          </w:p>
        </w:tc>
      </w:tr>
      <w:tr w:rsidR="00366EF0" w:rsidRPr="003A4A13" w:rsidTr="005B694A">
        <w:trPr>
          <w:trHeight w:val="36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Wesam M.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Sedik</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Egypt</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90"/>
        </w:trPr>
        <w:tc>
          <w:tcPr>
            <w:tcW w:w="536" w:type="pct"/>
            <w:shd w:val="clear" w:color="auto" w:fill="auto"/>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5/1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Co-Rapporteur</w:t>
            </w:r>
          </w:p>
        </w:tc>
        <w:tc>
          <w:tcPr>
            <w:tcW w:w="195"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Caecilia </w:t>
            </w:r>
          </w:p>
        </w:tc>
        <w:tc>
          <w:tcPr>
            <w:tcW w:w="827"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Nyamutswa</w:t>
            </w:r>
          </w:p>
        </w:tc>
        <w:tc>
          <w:tcPr>
            <w:tcW w:w="887"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Zimbabwe</w:t>
            </w:r>
          </w:p>
        </w:tc>
        <w:tc>
          <w:tcPr>
            <w:tcW w:w="623" w:type="pct"/>
            <w:shd w:val="clear" w:color="auto" w:fill="auto"/>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30"/>
        </w:trPr>
        <w:tc>
          <w:tcPr>
            <w:tcW w:w="536" w:type="pct"/>
            <w:shd w:val="clear" w:color="DDEBF7" w:fill="DDEBF7"/>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5/1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Co-Rapporteur</w:t>
            </w:r>
          </w:p>
        </w:tc>
        <w:tc>
          <w:tcPr>
            <w:tcW w:w="195"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Khalil </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AlSobhi </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Saudi Arabia</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3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Cissé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Kane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African Civil Society </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Stella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Kipsaita</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Kenya</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Justina Tumaini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Mashiba</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Tanzania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Oumar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Sidi Aly</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Babou</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Sarr</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Senegal</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Edva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Altemar</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Haiti</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Turhan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Muluk</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States</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Intel Corporation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Yasuhiko</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Kawasumi</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Japan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Ja Heung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Koo</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Korea (Rep. of)</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Karma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Tenzin</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Bhutan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Li</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Zhang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China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Karma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Jamyang</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Bhutan</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15"/>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Hande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Bayrak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Türk Telekom</w:t>
            </w:r>
          </w:p>
        </w:tc>
      </w:tr>
      <w:tr w:rsidR="00366EF0" w:rsidRPr="003A4A13" w:rsidTr="005B694A">
        <w:trPr>
          <w:trHeight w:val="330"/>
        </w:trPr>
        <w:tc>
          <w:tcPr>
            <w:tcW w:w="536" w:type="pct"/>
            <w:shd w:val="clear" w:color="DDEBF7" w:fill="DDEBF7"/>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6/1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Rapporteur</w:t>
            </w:r>
          </w:p>
        </w:tc>
        <w:tc>
          <w:tcPr>
            <w:tcW w:w="195"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Jinqiao</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Chen </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China</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3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Issiaka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Alhabibou</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Caecilia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Nyamutswa</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Zimbabwe</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Issouf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Soulama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Burkina Faso</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Edva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Altemar</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Haiti</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Elisa Vieira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Leonel</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Brazil</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Anatel</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Laith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Draghmeh</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State of Palestine</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Arab States</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75"/>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Mehmet Alper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Tekin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Turkey</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30"/>
        </w:trPr>
        <w:tc>
          <w:tcPr>
            <w:tcW w:w="536" w:type="pct"/>
            <w:shd w:val="clear" w:color="DDEBF7" w:fill="DDEBF7"/>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Question 7/1</w:t>
            </w:r>
          </w:p>
        </w:tc>
        <w:tc>
          <w:tcPr>
            <w:tcW w:w="631" w:type="pct"/>
            <w:shd w:val="clear" w:color="000000" w:fill="FFF2CC"/>
            <w:noWrap/>
            <w:vAlign w:val="center"/>
            <w:hideMark/>
          </w:tcPr>
          <w:p w:rsidR="00366EF0" w:rsidRPr="003A4A13" w:rsidRDefault="00366EF0" w:rsidP="00AE6B70">
            <w:pPr>
              <w:overflowPunct/>
              <w:autoSpaceDE/>
              <w:autoSpaceDN/>
              <w:adjustRightInd/>
              <w:spacing w:before="0"/>
              <w:textAlignment w:val="auto"/>
              <w:rPr>
                <w:b/>
                <w:bCs/>
                <w:color w:val="000000"/>
                <w:sz w:val="22"/>
                <w:szCs w:val="22"/>
                <w:lang w:val="fr-CH" w:eastAsia="zh-CN"/>
              </w:rPr>
            </w:pPr>
            <w:r w:rsidRPr="003A4A13">
              <w:rPr>
                <w:b/>
                <w:bCs/>
                <w:color w:val="000000"/>
                <w:sz w:val="22"/>
                <w:szCs w:val="22"/>
                <w:lang w:val="fr-CH" w:eastAsia="zh-CN"/>
              </w:rPr>
              <w:t>Rapporteur</w:t>
            </w:r>
          </w:p>
        </w:tc>
        <w:tc>
          <w:tcPr>
            <w:tcW w:w="195"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Amela</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Odobašić</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Bosnia and Herzegovina</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45"/>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Abdoulaye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Dembele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Lamine Mahamadou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Diallo</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Mali</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Godfrey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Muhatia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Kenya</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Issouf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Soulama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Burkina Faso</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Africa</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Ileana Gama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Benítez</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Mexico</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Andrea</w:t>
            </w:r>
          </w:p>
        </w:tc>
        <w:tc>
          <w:tcPr>
            <w:tcW w:w="82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Saks</w:t>
            </w:r>
          </w:p>
        </w:tc>
        <w:tc>
          <w:tcPr>
            <w:tcW w:w="887"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United States</w:t>
            </w:r>
          </w:p>
        </w:tc>
        <w:tc>
          <w:tcPr>
            <w:tcW w:w="623" w:type="pct"/>
            <w:shd w:val="clear" w:color="DDEBF7" w:fill="DDEBF7"/>
            <w:noWrap/>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Americas</w:t>
            </w:r>
          </w:p>
        </w:tc>
        <w:tc>
          <w:tcPr>
            <w:tcW w:w="668" w:type="pct"/>
            <w:shd w:val="clear" w:color="DDEBF7" w:fill="DDEBF7"/>
            <w:vAlign w:val="center"/>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Mina Seonmin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Jun </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Korea (Rep. of)</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Maryam Tayefeh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Mahmoudi</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Iran (Islamic Republic of)</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auto" w:fill="auto"/>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Mr</w:t>
            </w:r>
          </w:p>
        </w:tc>
        <w:tc>
          <w:tcPr>
            <w:tcW w:w="63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Mitsuji </w:t>
            </w:r>
          </w:p>
        </w:tc>
        <w:tc>
          <w:tcPr>
            <w:tcW w:w="82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Matsumoto</w:t>
            </w:r>
          </w:p>
        </w:tc>
        <w:tc>
          <w:tcPr>
            <w:tcW w:w="887"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Japan</w:t>
            </w:r>
          </w:p>
        </w:tc>
        <w:tc>
          <w:tcPr>
            <w:tcW w:w="623" w:type="pct"/>
            <w:shd w:val="clear" w:color="auto" w:fill="auto"/>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auto" w:fill="auto"/>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3A4A13" w:rsidTr="005B694A">
        <w:trPr>
          <w:trHeight w:val="300"/>
        </w:trPr>
        <w:tc>
          <w:tcPr>
            <w:tcW w:w="536" w:type="pct"/>
            <w:shd w:val="clear" w:color="DDEBF7" w:fill="DDEBF7"/>
            <w:noWrap/>
            <w:vAlign w:val="bottom"/>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Ms</w:t>
            </w:r>
          </w:p>
        </w:tc>
        <w:tc>
          <w:tcPr>
            <w:tcW w:w="63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Yinghua </w:t>
            </w:r>
          </w:p>
        </w:tc>
        <w:tc>
          <w:tcPr>
            <w:tcW w:w="82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Wu </w:t>
            </w:r>
          </w:p>
        </w:tc>
        <w:tc>
          <w:tcPr>
            <w:tcW w:w="887"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China</w:t>
            </w:r>
          </w:p>
        </w:tc>
        <w:tc>
          <w:tcPr>
            <w:tcW w:w="623" w:type="pct"/>
            <w:shd w:val="clear" w:color="DDEBF7" w:fill="DDEBF7"/>
            <w:noWrap/>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Asia &amp; Pacific</w:t>
            </w:r>
          </w:p>
        </w:tc>
        <w:tc>
          <w:tcPr>
            <w:tcW w:w="668" w:type="pct"/>
            <w:shd w:val="clear" w:color="DDEBF7" w:fill="DDEBF7"/>
            <w:vAlign w:val="bottom"/>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Administration</w:t>
            </w:r>
          </w:p>
        </w:tc>
      </w:tr>
      <w:tr w:rsidR="00366EF0" w:rsidRPr="00A50DBE" w:rsidTr="005B694A">
        <w:trPr>
          <w:trHeight w:val="600"/>
        </w:trPr>
        <w:tc>
          <w:tcPr>
            <w:tcW w:w="536" w:type="pct"/>
            <w:shd w:val="clear" w:color="auto" w:fill="auto"/>
            <w:noWrap/>
          </w:tcPr>
          <w:p w:rsidR="00366EF0" w:rsidRPr="003A4A13" w:rsidRDefault="00366EF0" w:rsidP="00AE6B70">
            <w:pPr>
              <w:overflowPunct/>
              <w:autoSpaceDE/>
              <w:autoSpaceDN/>
              <w:adjustRightInd/>
              <w:spacing w:before="0"/>
              <w:textAlignment w:val="auto"/>
              <w:rPr>
                <w:color w:val="000000"/>
                <w:sz w:val="22"/>
                <w:szCs w:val="22"/>
                <w:lang w:val="fr-CH" w:eastAsia="zh-CN"/>
              </w:rPr>
            </w:pPr>
          </w:p>
        </w:tc>
        <w:tc>
          <w:tcPr>
            <w:tcW w:w="631" w:type="pct"/>
            <w:shd w:val="clear" w:color="auto" w:fill="auto"/>
            <w:noWrap/>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Vice-Rapporteur</w:t>
            </w:r>
          </w:p>
        </w:tc>
        <w:tc>
          <w:tcPr>
            <w:tcW w:w="195" w:type="pct"/>
            <w:shd w:val="clear" w:color="auto" w:fill="auto"/>
            <w:noWrap/>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 xml:space="preserve">Mr </w:t>
            </w:r>
          </w:p>
        </w:tc>
        <w:tc>
          <w:tcPr>
            <w:tcW w:w="633" w:type="pct"/>
            <w:shd w:val="clear" w:color="auto" w:fill="auto"/>
            <w:noWrap/>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George Anthony</w:t>
            </w:r>
          </w:p>
        </w:tc>
        <w:tc>
          <w:tcPr>
            <w:tcW w:w="827" w:type="pct"/>
            <w:shd w:val="clear" w:color="auto" w:fill="auto"/>
            <w:noWrap/>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Giannoumis</w:t>
            </w:r>
          </w:p>
        </w:tc>
        <w:tc>
          <w:tcPr>
            <w:tcW w:w="887" w:type="pct"/>
            <w:shd w:val="clear" w:color="auto" w:fill="auto"/>
            <w:noWrap/>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Norway</w:t>
            </w:r>
          </w:p>
        </w:tc>
        <w:tc>
          <w:tcPr>
            <w:tcW w:w="623" w:type="pct"/>
            <w:shd w:val="clear" w:color="auto" w:fill="auto"/>
            <w:noWrap/>
            <w:hideMark/>
          </w:tcPr>
          <w:p w:rsidR="00366EF0" w:rsidRPr="003A4A13" w:rsidRDefault="00366EF0" w:rsidP="00AE6B70">
            <w:pPr>
              <w:overflowPunct/>
              <w:autoSpaceDE/>
              <w:autoSpaceDN/>
              <w:adjustRightInd/>
              <w:spacing w:before="0"/>
              <w:textAlignment w:val="auto"/>
              <w:rPr>
                <w:color w:val="000000"/>
                <w:sz w:val="22"/>
                <w:szCs w:val="22"/>
                <w:lang w:val="fr-CH" w:eastAsia="zh-CN"/>
              </w:rPr>
            </w:pPr>
            <w:r w:rsidRPr="003A4A13">
              <w:rPr>
                <w:color w:val="000000"/>
                <w:sz w:val="22"/>
                <w:szCs w:val="22"/>
                <w:lang w:val="fr-CH" w:eastAsia="zh-CN"/>
              </w:rPr>
              <w:t>Europe</w:t>
            </w:r>
          </w:p>
        </w:tc>
        <w:tc>
          <w:tcPr>
            <w:tcW w:w="668" w:type="pct"/>
            <w:shd w:val="clear" w:color="auto" w:fill="auto"/>
            <w:hideMark/>
          </w:tcPr>
          <w:p w:rsidR="00366EF0" w:rsidRPr="00A50DBE" w:rsidRDefault="00366EF0" w:rsidP="00AE6B70">
            <w:pPr>
              <w:overflowPunct/>
              <w:autoSpaceDE/>
              <w:autoSpaceDN/>
              <w:adjustRightInd/>
              <w:spacing w:before="0"/>
              <w:textAlignment w:val="auto"/>
              <w:rPr>
                <w:color w:val="000000"/>
                <w:sz w:val="22"/>
                <w:szCs w:val="22"/>
                <w:lang w:val="en-US" w:eastAsia="zh-CN"/>
              </w:rPr>
            </w:pPr>
            <w:r w:rsidRPr="00A50DBE">
              <w:rPr>
                <w:color w:val="000000"/>
                <w:sz w:val="22"/>
                <w:szCs w:val="22"/>
                <w:lang w:val="en-US" w:eastAsia="zh-CN"/>
              </w:rPr>
              <w:t>Oslo and Akershus University College of Applied Sciences</w:t>
            </w:r>
          </w:p>
        </w:tc>
      </w:tr>
    </w:tbl>
    <w:p w:rsidR="00C21431" w:rsidRPr="00A50DBE" w:rsidRDefault="00C21431">
      <w:pPr>
        <w:tabs>
          <w:tab w:val="clear" w:pos="794"/>
          <w:tab w:val="clear" w:pos="1191"/>
          <w:tab w:val="clear" w:pos="1588"/>
          <w:tab w:val="clear" w:pos="1985"/>
        </w:tabs>
        <w:overflowPunct/>
        <w:autoSpaceDE/>
        <w:autoSpaceDN/>
        <w:adjustRightInd/>
        <w:spacing w:before="0"/>
        <w:textAlignment w:val="auto"/>
        <w:rPr>
          <w:b/>
          <w:sz w:val="28"/>
          <w:lang w:val="en-US"/>
        </w:rPr>
      </w:pPr>
    </w:p>
    <w:p w:rsidR="00C21431" w:rsidRPr="00A50DBE" w:rsidRDefault="00C21431">
      <w:pPr>
        <w:tabs>
          <w:tab w:val="clear" w:pos="794"/>
          <w:tab w:val="clear" w:pos="1191"/>
          <w:tab w:val="clear" w:pos="1588"/>
          <w:tab w:val="clear" w:pos="1985"/>
        </w:tabs>
        <w:overflowPunct/>
        <w:autoSpaceDE/>
        <w:autoSpaceDN/>
        <w:adjustRightInd/>
        <w:spacing w:before="0"/>
        <w:textAlignment w:val="auto"/>
        <w:rPr>
          <w:b/>
          <w:sz w:val="28"/>
          <w:lang w:val="en-US"/>
        </w:rPr>
      </w:pPr>
      <w:r w:rsidRPr="00A50DBE">
        <w:rPr>
          <w:lang w:val="en-US"/>
        </w:rPr>
        <w:br w:type="page"/>
      </w:r>
    </w:p>
    <w:p w:rsidR="00366EF0" w:rsidRPr="003A4A13" w:rsidRDefault="00366EF0" w:rsidP="00AE6B70">
      <w:pPr>
        <w:pStyle w:val="Annextitle"/>
        <w:rPr>
          <w:lang w:val="fr-CH"/>
        </w:rPr>
      </w:pPr>
      <w:r w:rsidRPr="003A4A13">
        <w:rPr>
          <w:lang w:val="fr-CH"/>
        </w:rPr>
        <w:lastRenderedPageBreak/>
        <w:t>Annexe 2:</w:t>
      </w:r>
      <w:r w:rsidR="00EB6EE5">
        <w:rPr>
          <w:lang w:val="fr-CH"/>
        </w:rPr>
        <w:t xml:space="preserve"> </w:t>
      </w:r>
      <w:r w:rsidRPr="003A4A13">
        <w:rPr>
          <w:lang w:val="fr-CH"/>
        </w:rPr>
        <w:t>Programme de travail de la Commission d</w:t>
      </w:r>
      <w:r w:rsidR="00B47AFA" w:rsidRPr="003A4A13">
        <w:rPr>
          <w:lang w:val="fr-CH"/>
        </w:rPr>
        <w:t>'</w:t>
      </w:r>
      <w:r w:rsidRPr="003A4A13">
        <w:rPr>
          <w:lang w:val="fr-CH"/>
        </w:rPr>
        <w:t>études 1 de l</w:t>
      </w:r>
      <w:r w:rsidR="00B47AFA" w:rsidRPr="003A4A13">
        <w:rPr>
          <w:lang w:val="fr-CH"/>
        </w:rPr>
        <w:t>'</w:t>
      </w:r>
      <w:r w:rsidRPr="003A4A13">
        <w:rPr>
          <w:lang w:val="fr-CH"/>
        </w:rPr>
        <w:t>UIT-D</w:t>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554"/>
        <w:gridCol w:w="2415"/>
      </w:tblGrid>
      <w:tr w:rsidR="00FF24FF" w:rsidRPr="003A4A13" w:rsidTr="00EB6EE5">
        <w:tc>
          <w:tcPr>
            <w:tcW w:w="1031" w:type="dxa"/>
            <w:tcBorders>
              <w:top w:val="nil"/>
              <w:left w:val="nil"/>
            </w:tcBorders>
          </w:tcPr>
          <w:p w:rsidR="00FF24FF" w:rsidRPr="003A4A13" w:rsidRDefault="00FF24FF" w:rsidP="00A50DBE">
            <w:pPr>
              <w:pStyle w:val="Tablehead"/>
              <w:rPr>
                <w:sz w:val="20"/>
                <w:szCs w:val="18"/>
                <w:lang w:val="fr-CH"/>
              </w:rPr>
            </w:pPr>
          </w:p>
        </w:tc>
        <w:tc>
          <w:tcPr>
            <w:tcW w:w="3642" w:type="dxa"/>
            <w:gridSpan w:val="2"/>
            <w:shd w:val="clear" w:color="auto" w:fill="A6A6A6" w:themeFill="background1" w:themeFillShade="A6"/>
          </w:tcPr>
          <w:p w:rsidR="00FF24FF" w:rsidRPr="003A4A13" w:rsidRDefault="00FF24FF" w:rsidP="00A50DBE">
            <w:pPr>
              <w:pStyle w:val="Tablehead"/>
              <w:jc w:val="left"/>
              <w:rPr>
                <w:sz w:val="20"/>
                <w:szCs w:val="18"/>
                <w:lang w:val="fr-CH"/>
              </w:rPr>
            </w:pPr>
            <w:r w:rsidRPr="003A4A13">
              <w:rPr>
                <w:sz w:val="20"/>
                <w:szCs w:val="18"/>
                <w:lang w:val="fr-CH"/>
              </w:rPr>
              <w:t>Rapport au GCDT</w:t>
            </w:r>
            <w:r w:rsidRPr="003A4A13">
              <w:rPr>
                <w:sz w:val="20"/>
                <w:szCs w:val="18"/>
                <w:lang w:val="fr-CH"/>
              </w:rPr>
              <w:tab/>
              <w:t>2018</w:t>
            </w:r>
          </w:p>
        </w:tc>
        <w:tc>
          <w:tcPr>
            <w:tcW w:w="4068" w:type="dxa"/>
            <w:gridSpan w:val="2"/>
            <w:shd w:val="clear" w:color="auto" w:fill="A6A6A6" w:themeFill="background1" w:themeFillShade="A6"/>
          </w:tcPr>
          <w:p w:rsidR="00FF24FF" w:rsidRPr="003A4A13" w:rsidRDefault="00FF24FF" w:rsidP="00A50DBE">
            <w:pPr>
              <w:pStyle w:val="Tablehead"/>
              <w:jc w:val="left"/>
              <w:rPr>
                <w:sz w:val="20"/>
                <w:szCs w:val="18"/>
                <w:lang w:val="fr-CH"/>
              </w:rPr>
            </w:pPr>
            <w:r w:rsidRPr="003A4A13">
              <w:rPr>
                <w:sz w:val="20"/>
                <w:szCs w:val="18"/>
                <w:lang w:val="fr-CH"/>
              </w:rPr>
              <w:t>Rapport au GCDT</w:t>
            </w:r>
            <w:r w:rsidRPr="003A4A13">
              <w:rPr>
                <w:sz w:val="20"/>
                <w:szCs w:val="18"/>
                <w:lang w:val="fr-CH"/>
              </w:rPr>
              <w:tab/>
              <w:t>2019</w:t>
            </w:r>
          </w:p>
        </w:tc>
        <w:tc>
          <w:tcPr>
            <w:tcW w:w="3728" w:type="dxa"/>
            <w:gridSpan w:val="2"/>
            <w:shd w:val="clear" w:color="auto" w:fill="A6A6A6" w:themeFill="background1" w:themeFillShade="A6"/>
          </w:tcPr>
          <w:p w:rsidR="00FF24FF" w:rsidRPr="003A4A13" w:rsidRDefault="00FF24FF" w:rsidP="00A50DBE">
            <w:pPr>
              <w:pStyle w:val="Tablehead"/>
              <w:tabs>
                <w:tab w:val="clear" w:pos="1985"/>
                <w:tab w:val="left" w:pos="1924"/>
              </w:tabs>
              <w:jc w:val="left"/>
              <w:rPr>
                <w:sz w:val="20"/>
                <w:szCs w:val="18"/>
                <w:lang w:val="fr-CH"/>
              </w:rPr>
            </w:pPr>
            <w:r w:rsidRPr="003A4A13">
              <w:rPr>
                <w:sz w:val="20"/>
                <w:szCs w:val="18"/>
                <w:lang w:val="fr-CH"/>
              </w:rPr>
              <w:t>Rapport au GCDT</w:t>
            </w:r>
            <w:r w:rsidRPr="003A4A13">
              <w:rPr>
                <w:sz w:val="20"/>
                <w:szCs w:val="18"/>
                <w:lang w:val="fr-CH"/>
              </w:rPr>
              <w:tab/>
            </w:r>
            <w:r w:rsidRPr="003A4A13">
              <w:rPr>
                <w:sz w:val="20"/>
                <w:szCs w:val="18"/>
                <w:lang w:val="fr-CH"/>
              </w:rPr>
              <w:tab/>
              <w:t>2020</w:t>
            </w:r>
          </w:p>
        </w:tc>
        <w:tc>
          <w:tcPr>
            <w:tcW w:w="2415" w:type="dxa"/>
            <w:shd w:val="clear" w:color="auto" w:fill="A6A6A6" w:themeFill="background1" w:themeFillShade="A6"/>
          </w:tcPr>
          <w:p w:rsidR="00FF24FF" w:rsidRPr="003A4A13" w:rsidRDefault="00FF24FF" w:rsidP="00A50DBE">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lang w:val="fr-CH"/>
              </w:rPr>
            </w:pPr>
            <w:r w:rsidRPr="003A4A13">
              <w:rPr>
                <w:sz w:val="20"/>
                <w:szCs w:val="18"/>
                <w:lang w:val="fr-CH"/>
              </w:rPr>
              <w:t>Rapport au GCDT/</w:t>
            </w:r>
            <w:r w:rsidRPr="003A4A13">
              <w:rPr>
                <w:sz w:val="20"/>
                <w:szCs w:val="18"/>
                <w:lang w:val="fr-CH"/>
              </w:rPr>
              <w:tab/>
              <w:t>2021</w:t>
            </w:r>
            <w:r w:rsidRPr="003A4A13">
              <w:rPr>
                <w:sz w:val="20"/>
                <w:szCs w:val="18"/>
                <w:lang w:val="fr-CH"/>
              </w:rPr>
              <w:br/>
              <w:t>à la CMDT</w:t>
            </w:r>
          </w:p>
        </w:tc>
      </w:tr>
      <w:tr w:rsidR="00FF24FF" w:rsidRPr="003A4A13" w:rsidTr="00EB6EE5">
        <w:tc>
          <w:tcPr>
            <w:tcW w:w="1031" w:type="dxa"/>
            <w:shd w:val="clear" w:color="auto" w:fill="595959" w:themeFill="text1" w:themeFillTint="A6"/>
            <w:vAlign w:val="center"/>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Question</w:t>
            </w:r>
          </w:p>
        </w:tc>
        <w:tc>
          <w:tcPr>
            <w:tcW w:w="1516"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1ère réunion annuelle de </w:t>
            </w:r>
            <w:r w:rsidRPr="003A4A13">
              <w:rPr>
                <w:color w:val="FFFFFF" w:themeColor="background1"/>
                <w:sz w:val="18"/>
                <w:szCs w:val="16"/>
                <w:lang w:val="fr-CH"/>
              </w:rPr>
              <w:br/>
              <w:t xml:space="preserve">la CE 1 </w:t>
            </w:r>
            <w:r w:rsidRPr="003A4A13">
              <w:rPr>
                <w:color w:val="FFFFFF" w:themeColor="background1"/>
                <w:sz w:val="18"/>
                <w:szCs w:val="16"/>
                <w:lang w:val="fr-CH"/>
              </w:rPr>
              <w:br/>
              <w:t xml:space="preserve">(30 avril – </w:t>
            </w:r>
            <w:r w:rsidRPr="003A4A13">
              <w:rPr>
                <w:color w:val="FFFFFF" w:themeColor="background1"/>
                <w:sz w:val="18"/>
                <w:szCs w:val="16"/>
                <w:lang w:val="fr-CH"/>
              </w:rPr>
              <w:br/>
              <w:t>4 mai 2018)*</w:t>
            </w:r>
          </w:p>
        </w:tc>
        <w:tc>
          <w:tcPr>
            <w:tcW w:w="2126"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w:t>
            </w:r>
            <w:r w:rsidRPr="003A4A13">
              <w:rPr>
                <w:color w:val="FFFFFF" w:themeColor="background1"/>
                <w:sz w:val="18"/>
                <w:szCs w:val="16"/>
                <w:lang w:val="fr-CH"/>
              </w:rPr>
              <w:br/>
              <w:t xml:space="preserve">la CE 1 </w:t>
            </w:r>
            <w:r w:rsidRPr="003A4A13">
              <w:rPr>
                <w:color w:val="FFFFFF" w:themeColor="background1"/>
                <w:sz w:val="18"/>
                <w:szCs w:val="16"/>
                <w:lang w:val="fr-CH"/>
              </w:rPr>
              <w:br/>
              <w:t>(17-28 septembre 2018)</w:t>
            </w:r>
          </w:p>
        </w:tc>
        <w:tc>
          <w:tcPr>
            <w:tcW w:w="1985"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2ème réunion annuelle de la CE 1 </w:t>
            </w:r>
            <w:r w:rsidRPr="003A4A13">
              <w:rPr>
                <w:color w:val="FFFFFF" w:themeColor="background1"/>
                <w:sz w:val="18"/>
                <w:szCs w:val="16"/>
                <w:lang w:val="fr-CH"/>
              </w:rPr>
              <w:br/>
              <w:t>(18-22 mars 2019)*</w:t>
            </w:r>
          </w:p>
        </w:tc>
        <w:tc>
          <w:tcPr>
            <w:tcW w:w="2083"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la CE 1 </w:t>
            </w:r>
            <w:r w:rsidRPr="003A4A13">
              <w:rPr>
                <w:color w:val="FFFFFF" w:themeColor="background1"/>
                <w:sz w:val="18"/>
                <w:szCs w:val="16"/>
                <w:lang w:val="fr-CH"/>
              </w:rPr>
              <w:br/>
              <w:t xml:space="preserve">(23 septembre – </w:t>
            </w:r>
            <w:r w:rsidRPr="003A4A13">
              <w:rPr>
                <w:color w:val="FFFFFF" w:themeColor="background1"/>
                <w:sz w:val="18"/>
                <w:szCs w:val="16"/>
                <w:lang w:val="fr-CH"/>
              </w:rPr>
              <w:br/>
              <w:t>4 octobre 2019)</w:t>
            </w:r>
          </w:p>
        </w:tc>
        <w:tc>
          <w:tcPr>
            <w:tcW w:w="2174"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3ème réunion annuelle </w:t>
            </w:r>
            <w:r w:rsidR="00D57068">
              <w:rPr>
                <w:color w:val="FFFFFF" w:themeColor="background1"/>
                <w:sz w:val="18"/>
                <w:szCs w:val="16"/>
                <w:lang w:val="fr-CH"/>
              </w:rPr>
              <w:br/>
            </w:r>
            <w:r w:rsidRPr="003A4A13">
              <w:rPr>
                <w:color w:val="FFFFFF" w:themeColor="background1"/>
                <w:sz w:val="18"/>
                <w:szCs w:val="16"/>
                <w:lang w:val="fr-CH"/>
              </w:rPr>
              <w:t xml:space="preserve">de la CE 1 </w:t>
            </w:r>
            <w:r w:rsidRPr="003A4A13">
              <w:rPr>
                <w:color w:val="FFFFFF" w:themeColor="background1"/>
                <w:sz w:val="18"/>
                <w:szCs w:val="16"/>
                <w:lang w:val="fr-CH"/>
              </w:rPr>
              <w:br/>
              <w:t>(17-21 février 2020)*</w:t>
            </w:r>
          </w:p>
        </w:tc>
        <w:tc>
          <w:tcPr>
            <w:tcW w:w="1554"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w:t>
            </w:r>
            <w:r w:rsidRPr="003A4A13">
              <w:rPr>
                <w:color w:val="FFFFFF" w:themeColor="background1"/>
                <w:sz w:val="18"/>
                <w:szCs w:val="16"/>
                <w:lang w:val="fr-CH"/>
              </w:rPr>
              <w:br/>
              <w:t xml:space="preserve">de la CE 1 </w:t>
            </w:r>
            <w:r w:rsidRPr="003A4A13">
              <w:rPr>
                <w:color w:val="FFFFFF" w:themeColor="background1"/>
                <w:sz w:val="18"/>
                <w:szCs w:val="16"/>
                <w:lang w:val="fr-CH"/>
              </w:rPr>
              <w:br/>
              <w:t xml:space="preserve">(21 septembre – </w:t>
            </w:r>
            <w:r w:rsidRPr="003A4A13">
              <w:rPr>
                <w:color w:val="FFFFFF" w:themeColor="background1"/>
                <w:sz w:val="18"/>
                <w:szCs w:val="16"/>
                <w:lang w:val="fr-CH"/>
              </w:rPr>
              <w:br/>
              <w:t>2 octobre 2020)</w:t>
            </w:r>
          </w:p>
        </w:tc>
        <w:tc>
          <w:tcPr>
            <w:tcW w:w="2415" w:type="dxa"/>
            <w:shd w:val="clear" w:color="auto" w:fill="595959" w:themeFill="text1" w:themeFillTint="A6"/>
          </w:tcPr>
          <w:p w:rsidR="00FF24FF" w:rsidRPr="003A4A13" w:rsidRDefault="00FF24FF" w:rsidP="00A50DBE">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4ème réunion annuelle </w:t>
            </w:r>
            <w:r w:rsidR="007E6CF8">
              <w:rPr>
                <w:color w:val="FFFFFF" w:themeColor="background1"/>
                <w:sz w:val="18"/>
                <w:szCs w:val="16"/>
                <w:lang w:val="fr-CH"/>
              </w:rPr>
              <w:br/>
            </w:r>
            <w:r w:rsidRPr="003A4A13">
              <w:rPr>
                <w:color w:val="FFFFFF" w:themeColor="background1"/>
                <w:sz w:val="18"/>
                <w:szCs w:val="16"/>
                <w:lang w:val="fr-CH"/>
              </w:rPr>
              <w:t xml:space="preserve">de la CE 1 </w:t>
            </w:r>
            <w:r w:rsidRPr="003A4A13">
              <w:rPr>
                <w:color w:val="FFFFFF" w:themeColor="background1"/>
                <w:sz w:val="18"/>
                <w:szCs w:val="16"/>
                <w:lang w:val="fr-CH"/>
              </w:rPr>
              <w:br/>
              <w:t>(15-19 mars 2021)*</w:t>
            </w:r>
          </w:p>
        </w:tc>
      </w:tr>
      <w:tr w:rsidR="00FF24FF" w:rsidRPr="003A4A13" w:rsidTr="00EB6EE5">
        <w:tc>
          <w:tcPr>
            <w:tcW w:w="14884" w:type="dxa"/>
            <w:gridSpan w:val="8"/>
            <w:shd w:val="clear" w:color="auto" w:fill="595959" w:themeFill="text1" w:themeFillTint="A6"/>
            <w:vAlign w:val="center"/>
          </w:tcPr>
          <w:p w:rsidR="00FF24FF" w:rsidRPr="003A4A13" w:rsidRDefault="00FF24FF" w:rsidP="00A50DBE">
            <w:pPr>
              <w:pStyle w:val="Tabletext10pt"/>
              <w:jc w:val="center"/>
              <w:rPr>
                <w:color w:val="FFFFFF" w:themeColor="background1"/>
              </w:rPr>
            </w:pPr>
            <w:r w:rsidRPr="003A4A13">
              <w:rPr>
                <w:color w:val="FFFFFF" w:themeColor="background1"/>
              </w:rPr>
              <w:t>Des ateliers thématiques, des cours et des séminaires doivent avoir lieu pendant toute la période d'études à Genève et dans les régions, en fonction des propositions reçues.</w:t>
            </w:r>
          </w:p>
        </w:tc>
      </w:tr>
      <w:tr w:rsidR="00FF24FF" w:rsidRPr="003A4A13" w:rsidTr="00EB6EE5">
        <w:tc>
          <w:tcPr>
            <w:tcW w:w="1031" w:type="dxa"/>
            <w:vMerge w:val="restart"/>
            <w:shd w:val="clear" w:color="auto" w:fill="B089FF"/>
            <w:vAlign w:val="center"/>
          </w:tcPr>
          <w:p w:rsidR="00FF24FF" w:rsidRPr="003A4A13" w:rsidRDefault="00FF24FF" w:rsidP="00A50DBE">
            <w:pPr>
              <w:pStyle w:val="Tabletext"/>
              <w:spacing w:before="0" w:after="0"/>
              <w:jc w:val="center"/>
              <w:rPr>
                <w:lang w:val="fr-CH"/>
              </w:rPr>
            </w:pPr>
            <w:r w:rsidRPr="003A4A13">
              <w:rPr>
                <w:lang w:val="fr-CH"/>
              </w:rPr>
              <w:t>Q 1/1</w:t>
            </w:r>
          </w:p>
        </w:tc>
        <w:tc>
          <w:tcPr>
            <w:tcW w:w="13853" w:type="dxa"/>
            <w:gridSpan w:val="7"/>
            <w:shd w:val="clear" w:color="auto" w:fill="B089FF"/>
            <w:vAlign w:val="center"/>
          </w:tcPr>
          <w:p w:rsidR="00FF24FF" w:rsidRPr="003A4A13" w:rsidRDefault="000E27FD" w:rsidP="008E48EE">
            <w:pPr>
              <w:pStyle w:val="Tabletext10pt"/>
              <w:spacing w:before="0" w:after="0"/>
              <w:jc w:val="center"/>
            </w:pPr>
            <w:r>
              <w:t>Accent mis</w:t>
            </w:r>
            <w:r w:rsidR="00FF24FF" w:rsidRPr="003A4A13">
              <w:t xml:space="preserve"> sur les rapports, les bonnes pratiques, les ateliers, les étude</w:t>
            </w:r>
            <w:r>
              <w:t>s de cas et les recommandations</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D3BDFF"/>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0E27FD">
            <w:pPr>
              <w:pStyle w:val="Tabletext10pt"/>
              <w:spacing w:before="0" w:after="0"/>
              <w:jc w:val="center"/>
            </w:pPr>
            <w:r>
              <w:t>Poursuite de la r</w:t>
            </w:r>
            <w:r w:rsidR="00FF24FF" w:rsidRPr="003A4A13">
              <w:t>édaction, études de cas, etc.</w:t>
            </w:r>
          </w:p>
        </w:tc>
        <w:tc>
          <w:tcPr>
            <w:tcW w:w="1985" w:type="dxa"/>
            <w:shd w:val="clear" w:color="auto" w:fill="D3BDFF"/>
          </w:tcPr>
          <w:p w:rsidR="00FF24FF" w:rsidRPr="003A4A13" w:rsidRDefault="00FF24FF" w:rsidP="00A50DBE">
            <w:pPr>
              <w:pStyle w:val="Tabletext10pt"/>
              <w:spacing w:before="0" w:after="0"/>
              <w:jc w:val="center"/>
            </w:pPr>
            <w:r w:rsidRPr="003A4A13">
              <w:t>Rapport d'activité annuel</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D3BDFF"/>
          </w:tcPr>
          <w:p w:rsidR="00FF24FF" w:rsidRPr="003A4A13" w:rsidRDefault="00FF24FF" w:rsidP="00A50DBE">
            <w:pPr>
              <w:pStyle w:val="Tabletext10pt"/>
              <w:spacing w:before="0" w:after="0"/>
              <w:jc w:val="center"/>
            </w:pPr>
            <w:r w:rsidRPr="003A4A13">
              <w:t>Rapport d'activité annuel, projet(s) de rapport(s)</w:t>
            </w:r>
          </w:p>
        </w:tc>
        <w:tc>
          <w:tcPr>
            <w:tcW w:w="1554" w:type="dxa"/>
            <w:shd w:val="clear" w:color="auto" w:fill="D9D9D9" w:themeFill="background1" w:themeFillShade="D9"/>
          </w:tcPr>
          <w:p w:rsidR="00FF24FF" w:rsidRPr="003A4A13" w:rsidRDefault="000E27FD" w:rsidP="000E27FD">
            <w:pPr>
              <w:pStyle w:val="Tabletext10pt"/>
              <w:spacing w:before="0" w:after="0"/>
              <w:jc w:val="center"/>
            </w:pPr>
            <w:r>
              <w:t>Poursuite de la r</w:t>
            </w:r>
            <w:r w:rsidR="00FF24FF" w:rsidRPr="003A4A13">
              <w:t>édaction, etc.</w:t>
            </w:r>
          </w:p>
        </w:tc>
        <w:tc>
          <w:tcPr>
            <w:tcW w:w="2415" w:type="dxa"/>
            <w:shd w:val="clear" w:color="auto" w:fill="D3BDFF"/>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vMerge w:val="restart"/>
            <w:shd w:val="clear" w:color="auto" w:fill="0081E2"/>
            <w:vAlign w:val="center"/>
          </w:tcPr>
          <w:p w:rsidR="00FF24FF" w:rsidRPr="003A4A13" w:rsidRDefault="00FF24FF" w:rsidP="00A50DBE">
            <w:pPr>
              <w:pStyle w:val="Tabletext"/>
              <w:spacing w:before="0" w:after="0"/>
              <w:jc w:val="center"/>
              <w:rPr>
                <w:lang w:val="fr-CH"/>
              </w:rPr>
            </w:pPr>
            <w:r w:rsidRPr="003A4A13">
              <w:rPr>
                <w:lang w:val="fr-CH"/>
              </w:rPr>
              <w:t>Q 2/1</w:t>
            </w:r>
          </w:p>
        </w:tc>
        <w:tc>
          <w:tcPr>
            <w:tcW w:w="13853" w:type="dxa"/>
            <w:gridSpan w:val="7"/>
            <w:shd w:val="clear" w:color="auto" w:fill="0081E2"/>
            <w:vAlign w:val="center"/>
          </w:tcPr>
          <w:p w:rsidR="00FF24FF" w:rsidRPr="003A4A13" w:rsidRDefault="000E27FD" w:rsidP="007E6CF8">
            <w:pPr>
              <w:pStyle w:val="Tabletext10pt"/>
              <w:spacing w:before="0" w:after="0"/>
              <w:jc w:val="center"/>
              <w:rPr>
                <w:sz w:val="24"/>
              </w:rPr>
            </w:pPr>
            <w:r>
              <w:t>Accent mis</w:t>
            </w:r>
            <w:r w:rsidRPr="003A4A13">
              <w:t xml:space="preserve"> </w:t>
            </w:r>
            <w:r w:rsidR="00FF24FF" w:rsidRPr="003A4A13">
              <w:t xml:space="preserve">sur </w:t>
            </w:r>
            <w:r w:rsidR="007E6CF8">
              <w:t xml:space="preserve">la diffusion régulière de l'expérience acquise par les pays concernant les stratégies et les aspects socio-économiques </w:t>
            </w:r>
            <w:r w:rsidR="007E6CF8">
              <w:br/>
              <w:t>de la mise en oeuvre de nouveaux services et nouvelles technologies et capacités de radiodiffusion</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2DA5FF"/>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2DA5FF"/>
          </w:tcPr>
          <w:p w:rsidR="00FF24FF" w:rsidRPr="003A4A13" w:rsidRDefault="00FF24FF" w:rsidP="00A50DBE">
            <w:pPr>
              <w:pStyle w:val="Tabletext10pt"/>
              <w:spacing w:before="0" w:after="0"/>
              <w:jc w:val="center"/>
            </w:pPr>
            <w:r w:rsidRPr="003A4A13">
              <w:t>Rapport d'activité annuel, produits annuels</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2DA5FF"/>
          </w:tcPr>
          <w:p w:rsidR="00FF24FF" w:rsidRPr="003A4A13" w:rsidRDefault="00FF24FF" w:rsidP="00A50DBE">
            <w:pPr>
              <w:pStyle w:val="Tabletext10pt"/>
              <w:spacing w:before="0" w:after="0"/>
              <w:jc w:val="center"/>
            </w:pPr>
            <w:r w:rsidRPr="003A4A13">
              <w:t>Rapport d'activité annuel, produits annuels</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2DA5FF"/>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vMerge w:val="restart"/>
            <w:shd w:val="clear" w:color="auto" w:fill="51BCF1"/>
            <w:vAlign w:val="center"/>
          </w:tcPr>
          <w:p w:rsidR="00FF24FF" w:rsidRPr="003A4A13" w:rsidRDefault="00FF24FF" w:rsidP="00A50DBE">
            <w:pPr>
              <w:pStyle w:val="Tabletext"/>
              <w:spacing w:before="0" w:after="0"/>
              <w:jc w:val="center"/>
              <w:rPr>
                <w:lang w:val="fr-CH"/>
              </w:rPr>
            </w:pPr>
            <w:r w:rsidRPr="003A4A13">
              <w:rPr>
                <w:lang w:val="fr-CH"/>
              </w:rPr>
              <w:t>Q 3/1</w:t>
            </w:r>
          </w:p>
        </w:tc>
        <w:tc>
          <w:tcPr>
            <w:tcW w:w="13853" w:type="dxa"/>
            <w:gridSpan w:val="7"/>
            <w:shd w:val="clear" w:color="auto" w:fill="51BCF1"/>
            <w:vAlign w:val="center"/>
          </w:tcPr>
          <w:p w:rsidR="00FF24FF" w:rsidRPr="003A4A13" w:rsidRDefault="000E27FD" w:rsidP="007E6CF8">
            <w:pPr>
              <w:pStyle w:val="Tabletext10pt"/>
              <w:spacing w:before="0" w:after="0"/>
              <w:jc w:val="center"/>
              <w:rPr>
                <w:sz w:val="24"/>
              </w:rPr>
            </w:pPr>
            <w:r>
              <w:t>Accent mis</w:t>
            </w:r>
            <w:r w:rsidRPr="003A4A13">
              <w:t xml:space="preserve"> </w:t>
            </w:r>
            <w:r w:rsidR="00FF24FF" w:rsidRPr="003A4A13">
              <w:t xml:space="preserve">sur les analyses, les séminaires de formation, les lignes directrices </w:t>
            </w:r>
            <w:r w:rsidR="007E6CF8">
              <w:t>visant à</w:t>
            </w:r>
            <w:r w:rsidR="00FF24FF" w:rsidRPr="003A4A13">
              <w:t xml:space="preserve"> faciliter le déploiement de l'infrastructure </w:t>
            </w:r>
            <w:r w:rsidR="007E6CF8">
              <w:t xml:space="preserve">et </w:t>
            </w:r>
            <w:r w:rsidR="00FF24FF" w:rsidRPr="003A4A13">
              <w:t xml:space="preserve">un </w:t>
            </w:r>
            <w:r w:rsidR="007E6CF8">
              <w:t>m</w:t>
            </w:r>
            <w:r w:rsidR="00FF24FF" w:rsidRPr="003A4A13">
              <w:t xml:space="preserve">anuel sur l'infrastructure </w:t>
            </w:r>
            <w:r w:rsidR="007E6CF8">
              <w:br/>
            </w:r>
            <w:r w:rsidR="00FF24FF" w:rsidRPr="003A4A13">
              <w:t xml:space="preserve">et les services </w:t>
            </w:r>
            <w:r w:rsidR="007E6CF8">
              <w:t>pour la prise en charge de</w:t>
            </w:r>
            <w:r w:rsidR="00FF24FF" w:rsidRPr="003A4A13">
              <w:t xml:space="preserve"> l'informatique en nuage dans les pays en développement</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89EDFB"/>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89EDFB"/>
          </w:tcPr>
          <w:p w:rsidR="00FF24FF" w:rsidRPr="003A4A13" w:rsidRDefault="00FF24FF" w:rsidP="00A50DBE">
            <w:pPr>
              <w:pStyle w:val="Tabletext10pt"/>
              <w:spacing w:before="0" w:after="0"/>
              <w:jc w:val="center"/>
            </w:pPr>
            <w:r w:rsidRPr="003A4A13">
              <w:t>Rapport d'activité annuel, produits annuels/rapport</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89EDFB"/>
          </w:tcPr>
          <w:p w:rsidR="00FF24FF" w:rsidRPr="003A4A13" w:rsidRDefault="00FF24FF" w:rsidP="00A50DBE">
            <w:pPr>
              <w:pStyle w:val="Tabletext10pt"/>
              <w:spacing w:before="0" w:after="0"/>
              <w:jc w:val="center"/>
            </w:pPr>
            <w:r w:rsidRPr="003A4A13">
              <w:t>Rapport d'activité annuel, produits annuels/rapport</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89EDFB"/>
          </w:tcPr>
          <w:p w:rsidR="00FF24FF" w:rsidRPr="003A4A13" w:rsidRDefault="00FF24FF" w:rsidP="00A50DBE">
            <w:pPr>
              <w:pStyle w:val="Tabletext10pt"/>
              <w:spacing w:before="0" w:after="0"/>
              <w:jc w:val="center"/>
            </w:pPr>
            <w:r w:rsidRPr="003A4A13">
              <w:t>Rapport(s) final(s), lignes directrices, manuel, projets de Recommandation</w:t>
            </w:r>
          </w:p>
        </w:tc>
      </w:tr>
      <w:tr w:rsidR="00FF24FF" w:rsidRPr="003A4A13" w:rsidTr="00EB6EE5">
        <w:tc>
          <w:tcPr>
            <w:tcW w:w="1031" w:type="dxa"/>
            <w:vMerge w:val="restart"/>
            <w:shd w:val="clear" w:color="auto" w:fill="53A757"/>
            <w:vAlign w:val="center"/>
          </w:tcPr>
          <w:p w:rsidR="00FF24FF" w:rsidRPr="003A4A13" w:rsidRDefault="00FF24FF" w:rsidP="00A50DBE">
            <w:pPr>
              <w:pStyle w:val="Tabletext"/>
              <w:spacing w:before="0" w:after="0"/>
              <w:jc w:val="center"/>
              <w:rPr>
                <w:lang w:val="fr-CH"/>
              </w:rPr>
            </w:pPr>
            <w:r w:rsidRPr="003A4A13">
              <w:rPr>
                <w:lang w:val="fr-CH"/>
              </w:rPr>
              <w:t>Q 4/1</w:t>
            </w:r>
          </w:p>
        </w:tc>
        <w:tc>
          <w:tcPr>
            <w:tcW w:w="13853" w:type="dxa"/>
            <w:gridSpan w:val="7"/>
            <w:shd w:val="clear" w:color="auto" w:fill="53A757"/>
            <w:vAlign w:val="center"/>
          </w:tcPr>
          <w:p w:rsidR="00FF24FF" w:rsidRPr="003A4A13" w:rsidRDefault="000E27FD" w:rsidP="007E6CF8">
            <w:pPr>
              <w:pStyle w:val="Tabletext10pt"/>
              <w:keepNext/>
              <w:keepLines/>
              <w:spacing w:before="0" w:after="0"/>
              <w:jc w:val="center"/>
              <w:rPr>
                <w:sz w:val="24"/>
              </w:rPr>
            </w:pPr>
            <w:r>
              <w:t>Accent mis</w:t>
            </w:r>
            <w:r w:rsidR="00FF24FF" w:rsidRPr="003A4A13">
              <w:t xml:space="preserve"> sur les bonnes pratiques pour promouvoir un partage </w:t>
            </w:r>
            <w:r w:rsidR="007E6CF8">
              <w:t>adéquat d'</w:t>
            </w:r>
            <w:r w:rsidR="00FF24FF" w:rsidRPr="003A4A13">
              <w:t xml:space="preserve">infrastructures, encourager la réduction des prix </w:t>
            </w:r>
            <w:r>
              <w:br/>
            </w:r>
            <w:r w:rsidR="00FF24FF" w:rsidRPr="003A4A13">
              <w:t>pour le</w:t>
            </w:r>
            <w:r w:rsidR="007E6CF8">
              <w:t>s</w:t>
            </w:r>
            <w:r w:rsidR="00FF24FF" w:rsidRPr="003A4A13">
              <w:t xml:space="preserve"> consommateur</w:t>
            </w:r>
            <w:r w:rsidR="007E6CF8">
              <w:t>s</w:t>
            </w:r>
            <w:r w:rsidR="00FF24FF" w:rsidRPr="003A4A13">
              <w:t xml:space="preserve"> et </w:t>
            </w:r>
            <w:r w:rsidR="007E6CF8">
              <w:t>stimuler l'accès aux services/</w:t>
            </w:r>
            <w:r w:rsidR="00FF24FF" w:rsidRPr="003A4A13">
              <w:t>leur utilisation</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8CC68F"/>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8CC68F"/>
          </w:tcPr>
          <w:p w:rsidR="00FF24FF" w:rsidRPr="003A4A13" w:rsidRDefault="00FF24FF" w:rsidP="00A50DBE">
            <w:pPr>
              <w:pStyle w:val="Tabletext10pt"/>
              <w:spacing w:before="0" w:after="0"/>
              <w:jc w:val="center"/>
            </w:pPr>
            <w:r w:rsidRPr="003A4A13">
              <w:t>Rapport d'activité annuel, rapport intérimaire</w:t>
            </w:r>
          </w:p>
        </w:tc>
        <w:tc>
          <w:tcPr>
            <w:tcW w:w="2083" w:type="dxa"/>
            <w:shd w:val="clear" w:color="auto" w:fill="D9D9D9" w:themeFill="background1" w:themeFillShade="D9"/>
          </w:tcPr>
          <w:p w:rsidR="00FF24FF" w:rsidRPr="003A4A13" w:rsidRDefault="000E27FD" w:rsidP="00A50DBE">
            <w:pPr>
              <w:pStyle w:val="Tabletext10pt"/>
              <w:keepNext/>
              <w:keepLines/>
              <w:spacing w:before="0" w:after="0"/>
              <w:jc w:val="center"/>
            </w:pPr>
            <w:r>
              <w:t>Poursuite de la r</w:t>
            </w:r>
            <w:r w:rsidRPr="003A4A13">
              <w:t>édaction, études de cas, etc.</w:t>
            </w:r>
          </w:p>
        </w:tc>
        <w:tc>
          <w:tcPr>
            <w:tcW w:w="2174" w:type="dxa"/>
            <w:shd w:val="clear" w:color="auto" w:fill="8CC68F"/>
          </w:tcPr>
          <w:p w:rsidR="00FF24FF" w:rsidRPr="003A4A13" w:rsidRDefault="00FF24FF" w:rsidP="00A50DBE">
            <w:pPr>
              <w:pStyle w:val="Tabletext10pt"/>
              <w:spacing w:before="0" w:after="0"/>
              <w:jc w:val="center"/>
            </w:pPr>
            <w:r w:rsidRPr="003A4A13">
              <w:t>Rapport d'activité annuel, produits annuels</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8CC68F"/>
          </w:tcPr>
          <w:p w:rsidR="00FF24FF" w:rsidRPr="003A4A13" w:rsidRDefault="00FF24FF" w:rsidP="00A50DBE">
            <w:pPr>
              <w:pStyle w:val="Tabletext10pt"/>
              <w:spacing w:before="0" w:after="0"/>
              <w:jc w:val="center"/>
            </w:pPr>
            <w:r w:rsidRPr="003A4A13">
              <w:t>Rapport(s) final(s), lignes directrices, projets de Recommandation</w:t>
            </w:r>
          </w:p>
        </w:tc>
      </w:tr>
    </w:tbl>
    <w:p w:rsidR="00EB6EE5" w:rsidRDefault="00EB6EE5">
      <w:r>
        <w:br w:type="page"/>
      </w:r>
    </w:p>
    <w:tbl>
      <w:tblPr>
        <w:tblStyle w:val="TableGrid"/>
        <w:tblW w:w="14884" w:type="dxa"/>
        <w:tblInd w:w="-567" w:type="dxa"/>
        <w:tblLook w:val="04A0" w:firstRow="1" w:lastRow="0" w:firstColumn="1" w:lastColumn="0" w:noHBand="0" w:noVBand="1"/>
      </w:tblPr>
      <w:tblGrid>
        <w:gridCol w:w="1031"/>
        <w:gridCol w:w="1516"/>
        <w:gridCol w:w="2126"/>
        <w:gridCol w:w="1985"/>
        <w:gridCol w:w="2083"/>
        <w:gridCol w:w="2174"/>
        <w:gridCol w:w="1554"/>
        <w:gridCol w:w="2415"/>
      </w:tblGrid>
      <w:tr w:rsidR="00EB6EE5" w:rsidRPr="003A4A13" w:rsidTr="00EB6EE5">
        <w:trPr>
          <w:tblHeader/>
        </w:trPr>
        <w:tc>
          <w:tcPr>
            <w:tcW w:w="1031" w:type="dxa"/>
            <w:tcBorders>
              <w:top w:val="nil"/>
              <w:left w:val="nil"/>
            </w:tcBorders>
          </w:tcPr>
          <w:p w:rsidR="00EB6EE5" w:rsidRPr="003A4A13" w:rsidRDefault="00EB6EE5" w:rsidP="005E0237">
            <w:pPr>
              <w:pStyle w:val="Tablehead"/>
              <w:rPr>
                <w:sz w:val="20"/>
                <w:szCs w:val="18"/>
                <w:lang w:val="fr-CH"/>
              </w:rPr>
            </w:pPr>
          </w:p>
        </w:tc>
        <w:tc>
          <w:tcPr>
            <w:tcW w:w="3642" w:type="dxa"/>
            <w:gridSpan w:val="2"/>
            <w:shd w:val="clear" w:color="auto" w:fill="A6A6A6" w:themeFill="background1" w:themeFillShade="A6"/>
          </w:tcPr>
          <w:p w:rsidR="00EB6EE5" w:rsidRPr="003A4A13" w:rsidRDefault="00EB6EE5" w:rsidP="005E0237">
            <w:pPr>
              <w:pStyle w:val="Tablehead"/>
              <w:jc w:val="left"/>
              <w:rPr>
                <w:sz w:val="20"/>
                <w:szCs w:val="18"/>
                <w:lang w:val="fr-CH"/>
              </w:rPr>
            </w:pPr>
            <w:r w:rsidRPr="003A4A13">
              <w:rPr>
                <w:sz w:val="20"/>
                <w:szCs w:val="18"/>
                <w:lang w:val="fr-CH"/>
              </w:rPr>
              <w:t>Rapport au GCDT</w:t>
            </w:r>
            <w:r w:rsidRPr="003A4A13">
              <w:rPr>
                <w:sz w:val="20"/>
                <w:szCs w:val="18"/>
                <w:lang w:val="fr-CH"/>
              </w:rPr>
              <w:tab/>
              <w:t>2018</w:t>
            </w:r>
          </w:p>
        </w:tc>
        <w:tc>
          <w:tcPr>
            <w:tcW w:w="4068" w:type="dxa"/>
            <w:gridSpan w:val="2"/>
            <w:shd w:val="clear" w:color="auto" w:fill="A6A6A6" w:themeFill="background1" w:themeFillShade="A6"/>
          </w:tcPr>
          <w:p w:rsidR="00EB6EE5" w:rsidRPr="003A4A13" w:rsidRDefault="00EB6EE5" w:rsidP="005E0237">
            <w:pPr>
              <w:pStyle w:val="Tablehead"/>
              <w:jc w:val="left"/>
              <w:rPr>
                <w:sz w:val="20"/>
                <w:szCs w:val="18"/>
                <w:lang w:val="fr-CH"/>
              </w:rPr>
            </w:pPr>
            <w:r w:rsidRPr="003A4A13">
              <w:rPr>
                <w:sz w:val="20"/>
                <w:szCs w:val="18"/>
                <w:lang w:val="fr-CH"/>
              </w:rPr>
              <w:t>Rapport au GCDT</w:t>
            </w:r>
            <w:r w:rsidRPr="003A4A13">
              <w:rPr>
                <w:sz w:val="20"/>
                <w:szCs w:val="18"/>
                <w:lang w:val="fr-CH"/>
              </w:rPr>
              <w:tab/>
              <w:t>2019</w:t>
            </w:r>
          </w:p>
        </w:tc>
        <w:tc>
          <w:tcPr>
            <w:tcW w:w="3728" w:type="dxa"/>
            <w:gridSpan w:val="2"/>
            <w:shd w:val="clear" w:color="auto" w:fill="A6A6A6" w:themeFill="background1" w:themeFillShade="A6"/>
          </w:tcPr>
          <w:p w:rsidR="00EB6EE5" w:rsidRPr="003A4A13" w:rsidRDefault="00EB6EE5" w:rsidP="005E0237">
            <w:pPr>
              <w:pStyle w:val="Tablehead"/>
              <w:tabs>
                <w:tab w:val="clear" w:pos="1985"/>
                <w:tab w:val="left" w:pos="1924"/>
              </w:tabs>
              <w:jc w:val="left"/>
              <w:rPr>
                <w:sz w:val="20"/>
                <w:szCs w:val="18"/>
                <w:lang w:val="fr-CH"/>
              </w:rPr>
            </w:pPr>
            <w:r w:rsidRPr="003A4A13">
              <w:rPr>
                <w:sz w:val="20"/>
                <w:szCs w:val="18"/>
                <w:lang w:val="fr-CH"/>
              </w:rPr>
              <w:t>Rapport au GCDT</w:t>
            </w:r>
            <w:r w:rsidRPr="003A4A13">
              <w:rPr>
                <w:sz w:val="20"/>
                <w:szCs w:val="18"/>
                <w:lang w:val="fr-CH"/>
              </w:rPr>
              <w:tab/>
            </w:r>
            <w:r w:rsidRPr="003A4A13">
              <w:rPr>
                <w:sz w:val="20"/>
                <w:szCs w:val="18"/>
                <w:lang w:val="fr-CH"/>
              </w:rPr>
              <w:tab/>
              <w:t>2020</w:t>
            </w:r>
          </w:p>
        </w:tc>
        <w:tc>
          <w:tcPr>
            <w:tcW w:w="2415" w:type="dxa"/>
            <w:shd w:val="clear" w:color="auto" w:fill="A6A6A6" w:themeFill="background1" w:themeFillShade="A6"/>
          </w:tcPr>
          <w:p w:rsidR="00EB6EE5" w:rsidRPr="003A4A13" w:rsidRDefault="00EB6EE5" w:rsidP="005E0237">
            <w:pPr>
              <w:pStyle w:val="Tablehead"/>
              <w:tabs>
                <w:tab w:val="clear" w:pos="284"/>
                <w:tab w:val="clear" w:pos="567"/>
                <w:tab w:val="clear" w:pos="851"/>
                <w:tab w:val="clear" w:pos="1134"/>
                <w:tab w:val="clear" w:pos="1418"/>
                <w:tab w:val="clear" w:pos="1701"/>
                <w:tab w:val="clear" w:pos="1985"/>
                <w:tab w:val="clear" w:pos="2268"/>
                <w:tab w:val="left" w:pos="1740"/>
              </w:tabs>
              <w:ind w:left="39"/>
              <w:jc w:val="left"/>
              <w:rPr>
                <w:sz w:val="20"/>
                <w:szCs w:val="18"/>
                <w:lang w:val="fr-CH"/>
              </w:rPr>
            </w:pPr>
            <w:r w:rsidRPr="003A4A13">
              <w:rPr>
                <w:sz w:val="20"/>
                <w:szCs w:val="18"/>
                <w:lang w:val="fr-CH"/>
              </w:rPr>
              <w:t>Rapport au GCDT/</w:t>
            </w:r>
            <w:r w:rsidRPr="003A4A13">
              <w:rPr>
                <w:sz w:val="20"/>
                <w:szCs w:val="18"/>
                <w:lang w:val="fr-CH"/>
              </w:rPr>
              <w:tab/>
              <w:t>2021</w:t>
            </w:r>
            <w:r w:rsidRPr="003A4A13">
              <w:rPr>
                <w:sz w:val="20"/>
                <w:szCs w:val="18"/>
                <w:lang w:val="fr-CH"/>
              </w:rPr>
              <w:br/>
              <w:t>à la CMDT</w:t>
            </w:r>
          </w:p>
        </w:tc>
      </w:tr>
      <w:tr w:rsidR="00EB6EE5" w:rsidRPr="003A4A13" w:rsidTr="00EB6EE5">
        <w:trPr>
          <w:tblHeader/>
        </w:trPr>
        <w:tc>
          <w:tcPr>
            <w:tcW w:w="1031" w:type="dxa"/>
            <w:shd w:val="clear" w:color="auto" w:fill="595959" w:themeFill="text1" w:themeFillTint="A6"/>
            <w:vAlign w:val="center"/>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Question</w:t>
            </w:r>
          </w:p>
        </w:tc>
        <w:tc>
          <w:tcPr>
            <w:tcW w:w="1516"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1ère réunion annuelle de </w:t>
            </w:r>
            <w:r w:rsidRPr="003A4A13">
              <w:rPr>
                <w:color w:val="FFFFFF" w:themeColor="background1"/>
                <w:sz w:val="18"/>
                <w:szCs w:val="16"/>
                <w:lang w:val="fr-CH"/>
              </w:rPr>
              <w:br/>
              <w:t xml:space="preserve">la CE 1 </w:t>
            </w:r>
            <w:r w:rsidRPr="003A4A13">
              <w:rPr>
                <w:color w:val="FFFFFF" w:themeColor="background1"/>
                <w:sz w:val="18"/>
                <w:szCs w:val="16"/>
                <w:lang w:val="fr-CH"/>
              </w:rPr>
              <w:br/>
              <w:t xml:space="preserve">(30 avril – </w:t>
            </w:r>
            <w:r w:rsidRPr="003A4A13">
              <w:rPr>
                <w:color w:val="FFFFFF" w:themeColor="background1"/>
                <w:sz w:val="18"/>
                <w:szCs w:val="16"/>
                <w:lang w:val="fr-CH"/>
              </w:rPr>
              <w:br/>
              <w:t>4 mai 2018)*</w:t>
            </w:r>
          </w:p>
        </w:tc>
        <w:tc>
          <w:tcPr>
            <w:tcW w:w="2126"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w:t>
            </w:r>
            <w:r w:rsidRPr="003A4A13">
              <w:rPr>
                <w:color w:val="FFFFFF" w:themeColor="background1"/>
                <w:sz w:val="18"/>
                <w:szCs w:val="16"/>
                <w:lang w:val="fr-CH"/>
              </w:rPr>
              <w:br/>
              <w:t xml:space="preserve">la CE 1 </w:t>
            </w:r>
            <w:r w:rsidRPr="003A4A13">
              <w:rPr>
                <w:color w:val="FFFFFF" w:themeColor="background1"/>
                <w:sz w:val="18"/>
                <w:szCs w:val="16"/>
                <w:lang w:val="fr-CH"/>
              </w:rPr>
              <w:br/>
              <w:t>(17-28 septembre 2018)</w:t>
            </w:r>
          </w:p>
        </w:tc>
        <w:tc>
          <w:tcPr>
            <w:tcW w:w="1985"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2ème réunion annuelle de la CE 1 </w:t>
            </w:r>
            <w:r w:rsidRPr="003A4A13">
              <w:rPr>
                <w:color w:val="FFFFFF" w:themeColor="background1"/>
                <w:sz w:val="18"/>
                <w:szCs w:val="16"/>
                <w:lang w:val="fr-CH"/>
              </w:rPr>
              <w:br/>
              <w:t>(18-22 mars 2019)*</w:t>
            </w:r>
          </w:p>
        </w:tc>
        <w:tc>
          <w:tcPr>
            <w:tcW w:w="2083"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de la CE 1 </w:t>
            </w:r>
            <w:r w:rsidRPr="003A4A13">
              <w:rPr>
                <w:color w:val="FFFFFF" w:themeColor="background1"/>
                <w:sz w:val="18"/>
                <w:szCs w:val="16"/>
                <w:lang w:val="fr-CH"/>
              </w:rPr>
              <w:br/>
              <w:t xml:space="preserve">(23 septembre – </w:t>
            </w:r>
            <w:r w:rsidRPr="003A4A13">
              <w:rPr>
                <w:color w:val="FFFFFF" w:themeColor="background1"/>
                <w:sz w:val="18"/>
                <w:szCs w:val="16"/>
                <w:lang w:val="fr-CH"/>
              </w:rPr>
              <w:br/>
              <w:t>4 octobre 2019)</w:t>
            </w:r>
          </w:p>
        </w:tc>
        <w:tc>
          <w:tcPr>
            <w:tcW w:w="2174"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3ème réunion annuelle de la CE 1 </w:t>
            </w:r>
            <w:r w:rsidRPr="003A4A13">
              <w:rPr>
                <w:color w:val="FFFFFF" w:themeColor="background1"/>
                <w:sz w:val="18"/>
                <w:szCs w:val="16"/>
                <w:lang w:val="fr-CH"/>
              </w:rPr>
              <w:br/>
              <w:t>(17-21 février 2020)*</w:t>
            </w:r>
          </w:p>
        </w:tc>
        <w:tc>
          <w:tcPr>
            <w:tcW w:w="1554"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Réunions du Groupe du Rapporteur </w:t>
            </w:r>
            <w:r w:rsidRPr="003A4A13">
              <w:rPr>
                <w:color w:val="FFFFFF" w:themeColor="background1"/>
                <w:sz w:val="18"/>
                <w:szCs w:val="16"/>
                <w:lang w:val="fr-CH"/>
              </w:rPr>
              <w:br/>
              <w:t xml:space="preserve">de la CE 1 </w:t>
            </w:r>
            <w:r w:rsidRPr="003A4A13">
              <w:rPr>
                <w:color w:val="FFFFFF" w:themeColor="background1"/>
                <w:sz w:val="18"/>
                <w:szCs w:val="16"/>
                <w:lang w:val="fr-CH"/>
              </w:rPr>
              <w:br/>
              <w:t xml:space="preserve">(21 septembre – </w:t>
            </w:r>
            <w:r w:rsidRPr="003A4A13">
              <w:rPr>
                <w:color w:val="FFFFFF" w:themeColor="background1"/>
                <w:sz w:val="18"/>
                <w:szCs w:val="16"/>
                <w:lang w:val="fr-CH"/>
              </w:rPr>
              <w:br/>
              <w:t>2 octobre 2020)</w:t>
            </w:r>
          </w:p>
        </w:tc>
        <w:tc>
          <w:tcPr>
            <w:tcW w:w="2415" w:type="dxa"/>
            <w:shd w:val="clear" w:color="auto" w:fill="595959" w:themeFill="text1" w:themeFillTint="A6"/>
          </w:tcPr>
          <w:p w:rsidR="00EB6EE5" w:rsidRPr="003A4A13" w:rsidRDefault="00EB6EE5" w:rsidP="005E0237">
            <w:pPr>
              <w:pStyle w:val="Tabletext"/>
              <w:spacing w:before="20" w:after="20"/>
              <w:jc w:val="center"/>
              <w:rPr>
                <w:color w:val="FFFFFF" w:themeColor="background1"/>
                <w:sz w:val="18"/>
                <w:szCs w:val="16"/>
                <w:lang w:val="fr-CH"/>
              </w:rPr>
            </w:pPr>
            <w:r w:rsidRPr="003A4A13">
              <w:rPr>
                <w:color w:val="FFFFFF" w:themeColor="background1"/>
                <w:sz w:val="18"/>
                <w:szCs w:val="16"/>
                <w:lang w:val="fr-CH"/>
              </w:rPr>
              <w:t xml:space="preserve">4ème réunion annuelle </w:t>
            </w:r>
            <w:r w:rsidR="000E27FD">
              <w:rPr>
                <w:color w:val="FFFFFF" w:themeColor="background1"/>
                <w:sz w:val="18"/>
                <w:szCs w:val="16"/>
                <w:lang w:val="fr-CH"/>
              </w:rPr>
              <w:br/>
            </w:r>
            <w:r w:rsidRPr="003A4A13">
              <w:rPr>
                <w:color w:val="FFFFFF" w:themeColor="background1"/>
                <w:sz w:val="18"/>
                <w:szCs w:val="16"/>
                <w:lang w:val="fr-CH"/>
              </w:rPr>
              <w:t xml:space="preserve">de la CE 1 </w:t>
            </w:r>
            <w:r w:rsidRPr="003A4A13">
              <w:rPr>
                <w:color w:val="FFFFFF" w:themeColor="background1"/>
                <w:sz w:val="18"/>
                <w:szCs w:val="16"/>
                <w:lang w:val="fr-CH"/>
              </w:rPr>
              <w:br/>
              <w:t>(15-19 mars 2021)*</w:t>
            </w:r>
          </w:p>
        </w:tc>
      </w:tr>
      <w:tr w:rsidR="00FF24FF" w:rsidRPr="003A4A13" w:rsidTr="00EB6EE5">
        <w:tc>
          <w:tcPr>
            <w:tcW w:w="1031" w:type="dxa"/>
            <w:vMerge w:val="restart"/>
            <w:shd w:val="clear" w:color="auto" w:fill="EDD62F"/>
            <w:vAlign w:val="center"/>
          </w:tcPr>
          <w:p w:rsidR="00FF24FF" w:rsidRPr="003A4A13" w:rsidRDefault="00FF24FF" w:rsidP="00A50DBE">
            <w:pPr>
              <w:pStyle w:val="Tabletext"/>
              <w:spacing w:before="0" w:after="0"/>
              <w:jc w:val="center"/>
              <w:rPr>
                <w:lang w:val="fr-CH"/>
              </w:rPr>
            </w:pPr>
            <w:r w:rsidRPr="003A4A13">
              <w:rPr>
                <w:lang w:val="fr-CH"/>
              </w:rPr>
              <w:t>Q 5/1</w:t>
            </w:r>
          </w:p>
        </w:tc>
        <w:tc>
          <w:tcPr>
            <w:tcW w:w="13853" w:type="dxa"/>
            <w:gridSpan w:val="7"/>
            <w:shd w:val="clear" w:color="auto" w:fill="EDD62F"/>
            <w:vAlign w:val="center"/>
          </w:tcPr>
          <w:p w:rsidR="00FF24FF" w:rsidRPr="003A4A13" w:rsidRDefault="000E27FD" w:rsidP="00D57068">
            <w:pPr>
              <w:pStyle w:val="Tabletext10pt"/>
              <w:spacing w:before="0" w:after="0"/>
              <w:jc w:val="center"/>
              <w:rPr>
                <w:sz w:val="24"/>
              </w:rPr>
            </w:pPr>
            <w:r>
              <w:t>Accent mis</w:t>
            </w:r>
            <w:r w:rsidRPr="003A4A13">
              <w:t xml:space="preserve"> </w:t>
            </w:r>
            <w:r w:rsidR="00FF24FF" w:rsidRPr="003A4A13">
              <w:t>sur les ateliers</w:t>
            </w:r>
            <w:r w:rsidR="00D57068">
              <w:t xml:space="preserve"> et séminaires pour l'échange de</w:t>
            </w:r>
            <w:r w:rsidR="00FF24FF" w:rsidRPr="003A4A13">
              <w:t xml:space="preserve"> bonnes pratiques </w:t>
            </w:r>
            <w:r w:rsidR="00D57068">
              <w:t>sur le</w:t>
            </w:r>
            <w:r w:rsidR="00FF24FF" w:rsidRPr="003A4A13">
              <w:t xml:space="preserve"> déploiement </w:t>
            </w:r>
            <w:r w:rsidR="00D57068">
              <w:t>de l'infrastructure</w:t>
            </w:r>
            <w:r w:rsidR="00FF24FF" w:rsidRPr="003A4A13">
              <w:t xml:space="preserve"> </w:t>
            </w:r>
            <w:r>
              <w:br/>
            </w:r>
            <w:r w:rsidR="00FF24FF" w:rsidRPr="003A4A13">
              <w:t>large bande dans les zones rurales et mal desservies</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F2E26A"/>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F2E26A"/>
          </w:tcPr>
          <w:p w:rsidR="00FF24FF" w:rsidRPr="003A4A13" w:rsidRDefault="00FF24FF" w:rsidP="00A50DBE">
            <w:pPr>
              <w:pStyle w:val="Tabletext10pt"/>
              <w:spacing w:before="0" w:after="0"/>
              <w:jc w:val="center"/>
            </w:pPr>
            <w:r w:rsidRPr="003A4A13">
              <w:t>Rapport d'activité annuel, produits annuels</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F2E26A"/>
          </w:tcPr>
          <w:p w:rsidR="00FF24FF" w:rsidRPr="003A4A13" w:rsidRDefault="00FF24FF" w:rsidP="00A50DBE">
            <w:pPr>
              <w:pStyle w:val="Tabletext10pt"/>
              <w:spacing w:before="0" w:after="0"/>
              <w:jc w:val="center"/>
            </w:pPr>
            <w:r w:rsidRPr="003A4A13">
              <w:t>Rapport d'activité annuel, produits annuels</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F2E26A"/>
          </w:tcPr>
          <w:p w:rsidR="00FF24FF" w:rsidRPr="003A4A13" w:rsidRDefault="00FF24FF" w:rsidP="00A50DBE">
            <w:pPr>
              <w:pStyle w:val="Tabletext10pt"/>
              <w:spacing w:before="0" w:after="0"/>
              <w:jc w:val="center"/>
            </w:pPr>
            <w:r w:rsidRPr="003A4A13">
              <w:t>Rapport(s) final(s), manuel, projets de Recommandation</w:t>
            </w:r>
          </w:p>
        </w:tc>
      </w:tr>
      <w:tr w:rsidR="00FF24FF" w:rsidRPr="003A4A13" w:rsidTr="00EB6EE5">
        <w:tc>
          <w:tcPr>
            <w:tcW w:w="1031" w:type="dxa"/>
            <w:vMerge w:val="restart"/>
            <w:shd w:val="clear" w:color="auto" w:fill="E9832F"/>
            <w:vAlign w:val="center"/>
          </w:tcPr>
          <w:p w:rsidR="00FF24FF" w:rsidRPr="003A4A13" w:rsidRDefault="00FF24FF" w:rsidP="00A50DBE">
            <w:pPr>
              <w:pStyle w:val="Tabletext"/>
              <w:spacing w:before="0" w:after="0"/>
              <w:jc w:val="center"/>
              <w:rPr>
                <w:lang w:val="fr-CH"/>
              </w:rPr>
            </w:pPr>
            <w:r w:rsidRPr="003A4A13">
              <w:rPr>
                <w:lang w:val="fr-CH"/>
              </w:rPr>
              <w:t>Q 6/1</w:t>
            </w:r>
          </w:p>
        </w:tc>
        <w:tc>
          <w:tcPr>
            <w:tcW w:w="13853" w:type="dxa"/>
            <w:gridSpan w:val="7"/>
            <w:shd w:val="clear" w:color="auto" w:fill="E9832F"/>
            <w:vAlign w:val="center"/>
          </w:tcPr>
          <w:p w:rsidR="00FF24FF" w:rsidRPr="003A4A13" w:rsidRDefault="000E27FD" w:rsidP="00A50DBE">
            <w:pPr>
              <w:pStyle w:val="Tabletext10pt"/>
              <w:spacing w:before="0" w:after="0"/>
              <w:jc w:val="center"/>
            </w:pPr>
            <w:r>
              <w:t>Accent mis</w:t>
            </w:r>
            <w:r w:rsidRPr="003A4A13">
              <w:t xml:space="preserve"> </w:t>
            </w:r>
            <w:r w:rsidR="00FF24FF" w:rsidRPr="003A4A13">
              <w:t>sur les lignes directrices, les bonnes pratiques, les outils et les séminaires régionaux sur la protection des consommateurs</w:t>
            </w:r>
          </w:p>
        </w:tc>
      </w:tr>
      <w:tr w:rsidR="00FF24FF" w:rsidRPr="003A4A13" w:rsidTr="00EB6EE5">
        <w:tc>
          <w:tcPr>
            <w:tcW w:w="1031" w:type="dxa"/>
            <w:vMerge/>
            <w:vAlign w:val="center"/>
          </w:tcPr>
          <w:p w:rsidR="00FF24FF" w:rsidRPr="003A4A13" w:rsidRDefault="00FF24FF" w:rsidP="00A50DBE">
            <w:pPr>
              <w:pStyle w:val="Tabletext"/>
              <w:spacing w:before="0" w:after="0"/>
              <w:jc w:val="center"/>
              <w:rPr>
                <w:lang w:val="fr-CH"/>
              </w:rPr>
            </w:pPr>
          </w:p>
        </w:tc>
        <w:tc>
          <w:tcPr>
            <w:tcW w:w="1516" w:type="dxa"/>
            <w:shd w:val="clear" w:color="auto" w:fill="F0AC74"/>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F0AC74"/>
          </w:tcPr>
          <w:p w:rsidR="00FF24FF" w:rsidRPr="003A4A13" w:rsidRDefault="00FF24FF" w:rsidP="00A50DBE">
            <w:pPr>
              <w:pStyle w:val="Tabletext10pt"/>
              <w:spacing w:before="0" w:after="0"/>
              <w:jc w:val="center"/>
            </w:pPr>
            <w:r w:rsidRPr="003A4A13">
              <w:t>Rapport d'activité annuel, rapport intérimaire</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F0AC74"/>
          </w:tcPr>
          <w:p w:rsidR="00FF24FF" w:rsidRPr="003A4A13" w:rsidRDefault="00FF24FF" w:rsidP="00A50DBE">
            <w:pPr>
              <w:pStyle w:val="Tabletext10pt"/>
              <w:spacing w:before="0" w:after="0"/>
              <w:jc w:val="center"/>
            </w:pPr>
            <w:r w:rsidRPr="003A4A13">
              <w:t>Rapport d'activité annuel, rapport intérimaire</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F0AC74"/>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vMerge w:val="restart"/>
            <w:shd w:val="clear" w:color="auto" w:fill="FB3919"/>
            <w:vAlign w:val="center"/>
          </w:tcPr>
          <w:p w:rsidR="00FF24FF" w:rsidRPr="003A4A13" w:rsidRDefault="00FF24FF" w:rsidP="00A50DBE">
            <w:pPr>
              <w:pStyle w:val="Tabletext"/>
              <w:spacing w:before="0" w:after="0"/>
              <w:jc w:val="center"/>
              <w:rPr>
                <w:lang w:val="fr-CH"/>
              </w:rPr>
            </w:pPr>
            <w:r w:rsidRPr="003A4A13">
              <w:rPr>
                <w:lang w:val="fr-CH"/>
              </w:rPr>
              <w:t>Q 7/1</w:t>
            </w:r>
          </w:p>
        </w:tc>
        <w:tc>
          <w:tcPr>
            <w:tcW w:w="13853" w:type="dxa"/>
            <w:gridSpan w:val="7"/>
            <w:shd w:val="clear" w:color="auto" w:fill="FB3919"/>
            <w:vAlign w:val="center"/>
          </w:tcPr>
          <w:p w:rsidR="00FF24FF" w:rsidRPr="003A4A13" w:rsidRDefault="000E27FD" w:rsidP="00D57068">
            <w:pPr>
              <w:pStyle w:val="Tabletext10pt"/>
              <w:spacing w:before="0" w:after="0"/>
              <w:jc w:val="center"/>
              <w:rPr>
                <w:sz w:val="24"/>
              </w:rPr>
            </w:pPr>
            <w:r>
              <w:t>Accent mis</w:t>
            </w:r>
            <w:r w:rsidRPr="003A4A13">
              <w:t xml:space="preserve"> </w:t>
            </w:r>
            <w:r w:rsidR="00FF24FF" w:rsidRPr="003A4A13">
              <w:t>sur les bonnes pratiques, les lignes dire</w:t>
            </w:r>
            <w:r w:rsidR="00D57068">
              <w:t>ctrices et les études de cas, les</w:t>
            </w:r>
            <w:r w:rsidR="00FF24FF" w:rsidRPr="003A4A13">
              <w:t xml:space="preserve"> formation</w:t>
            </w:r>
            <w:r w:rsidR="00D57068">
              <w:t xml:space="preserve">s, ateliers et </w:t>
            </w:r>
            <w:r w:rsidR="00FF24FF" w:rsidRPr="003A4A13">
              <w:t xml:space="preserve">séminaires sur l'accessibilité des TIC </w:t>
            </w:r>
            <w:r>
              <w:br/>
            </w:r>
            <w:r w:rsidR="00FF24FF" w:rsidRPr="003A4A13">
              <w:t xml:space="preserve">pour </w:t>
            </w:r>
            <w:r w:rsidR="00D57068">
              <w:t xml:space="preserve">faire part des </w:t>
            </w:r>
            <w:r w:rsidR="00FF24FF" w:rsidRPr="003A4A13">
              <w:t>expérience</w:t>
            </w:r>
            <w:r w:rsidR="00D57068">
              <w:t>s</w:t>
            </w:r>
            <w:r w:rsidR="00FF24FF" w:rsidRPr="003A4A13">
              <w:t xml:space="preserve"> et </w:t>
            </w:r>
            <w:r w:rsidR="00D57068">
              <w:t>assurer la sensibilisation</w:t>
            </w:r>
          </w:p>
        </w:tc>
      </w:tr>
      <w:tr w:rsidR="00FF24FF" w:rsidRPr="003A4A13" w:rsidTr="00EB6EE5">
        <w:tc>
          <w:tcPr>
            <w:tcW w:w="1031" w:type="dxa"/>
            <w:vMerge/>
            <w:tcBorders>
              <w:bottom w:val="single" w:sz="4" w:space="0" w:color="000000" w:themeColor="text1"/>
            </w:tcBorders>
            <w:vAlign w:val="center"/>
          </w:tcPr>
          <w:p w:rsidR="00FF24FF" w:rsidRPr="003A4A13" w:rsidRDefault="00FF24FF" w:rsidP="00A50DBE">
            <w:pPr>
              <w:pStyle w:val="Tabletext"/>
              <w:spacing w:before="0" w:after="0"/>
              <w:jc w:val="center"/>
              <w:rPr>
                <w:lang w:val="fr-CH"/>
              </w:rPr>
            </w:pPr>
          </w:p>
        </w:tc>
        <w:tc>
          <w:tcPr>
            <w:tcW w:w="1516" w:type="dxa"/>
            <w:shd w:val="clear" w:color="auto" w:fill="FC8470"/>
          </w:tcPr>
          <w:p w:rsidR="00FF24FF" w:rsidRPr="003A4A13" w:rsidRDefault="00FF24FF" w:rsidP="00A50DBE">
            <w:pPr>
              <w:pStyle w:val="Tabletext10pt"/>
              <w:spacing w:before="0" w:after="0"/>
              <w:jc w:val="center"/>
            </w:pPr>
            <w:r w:rsidRPr="003A4A13">
              <w:t>Programme de travail et projet de table des matières</w:t>
            </w:r>
          </w:p>
        </w:tc>
        <w:tc>
          <w:tcPr>
            <w:tcW w:w="2126"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1985" w:type="dxa"/>
            <w:shd w:val="clear" w:color="auto" w:fill="FC8470"/>
          </w:tcPr>
          <w:p w:rsidR="00FF24FF" w:rsidRPr="003A4A13" w:rsidRDefault="00FF24FF" w:rsidP="00A50DBE">
            <w:pPr>
              <w:pStyle w:val="Tabletext10pt"/>
              <w:spacing w:before="0" w:after="0"/>
              <w:jc w:val="center"/>
            </w:pPr>
            <w:r w:rsidRPr="003A4A13">
              <w:t>Rapport d'activité annuel, produits annuels/rapport</w:t>
            </w:r>
          </w:p>
        </w:tc>
        <w:tc>
          <w:tcPr>
            <w:tcW w:w="2083"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études de cas, etc.</w:t>
            </w:r>
          </w:p>
        </w:tc>
        <w:tc>
          <w:tcPr>
            <w:tcW w:w="2174" w:type="dxa"/>
            <w:shd w:val="clear" w:color="auto" w:fill="FC8470"/>
          </w:tcPr>
          <w:p w:rsidR="00FF24FF" w:rsidRPr="003A4A13" w:rsidRDefault="00FF24FF" w:rsidP="00A50DBE">
            <w:pPr>
              <w:pStyle w:val="Tabletext10pt"/>
              <w:spacing w:before="0" w:after="0"/>
              <w:jc w:val="center"/>
            </w:pPr>
            <w:r w:rsidRPr="003A4A13">
              <w:t>Rapport d'activité annuel, produits annuels/rapport</w:t>
            </w:r>
          </w:p>
        </w:tc>
        <w:tc>
          <w:tcPr>
            <w:tcW w:w="1554" w:type="dxa"/>
            <w:shd w:val="clear" w:color="auto" w:fill="D9D9D9" w:themeFill="background1" w:themeFillShade="D9"/>
          </w:tcPr>
          <w:p w:rsidR="00FF24FF" w:rsidRPr="003A4A13" w:rsidRDefault="000E27FD" w:rsidP="00A50DBE">
            <w:pPr>
              <w:pStyle w:val="Tabletext10pt"/>
              <w:spacing w:before="0" w:after="0"/>
              <w:jc w:val="center"/>
            </w:pPr>
            <w:r>
              <w:t>Poursuite de la r</w:t>
            </w:r>
            <w:r w:rsidRPr="003A4A13">
              <w:t>édaction, etc.</w:t>
            </w:r>
          </w:p>
        </w:tc>
        <w:tc>
          <w:tcPr>
            <w:tcW w:w="2415" w:type="dxa"/>
            <w:shd w:val="clear" w:color="auto" w:fill="FC8470"/>
          </w:tcPr>
          <w:p w:rsidR="00FF24FF" w:rsidRPr="003A4A13" w:rsidRDefault="00FF24FF" w:rsidP="00A50DBE">
            <w:pPr>
              <w:pStyle w:val="Tabletext10pt"/>
              <w:spacing w:before="0" w:after="0"/>
              <w:jc w:val="center"/>
            </w:pPr>
            <w:r w:rsidRPr="003A4A13">
              <w:t>Rapport(s) final(s), lignes directrices, projets de Recommandation</w:t>
            </w:r>
          </w:p>
        </w:tc>
      </w:tr>
      <w:tr w:rsidR="00FF24FF" w:rsidRPr="003A4A13" w:rsidTr="00EB6EE5">
        <w:tc>
          <w:tcPr>
            <w:tcW w:w="1031" w:type="dxa"/>
            <w:tcBorders>
              <w:left w:val="nil"/>
              <w:bottom w:val="nil"/>
            </w:tcBorders>
            <w:vAlign w:val="center"/>
          </w:tcPr>
          <w:p w:rsidR="00FF24FF" w:rsidRPr="003A4A13" w:rsidRDefault="00FF24FF" w:rsidP="00A50DBE">
            <w:pPr>
              <w:pStyle w:val="Tabletext"/>
              <w:spacing w:before="0" w:after="0"/>
              <w:jc w:val="center"/>
              <w:rPr>
                <w:color w:val="FFFFFF" w:themeColor="background1"/>
                <w:lang w:val="fr-CH"/>
              </w:rPr>
            </w:pPr>
          </w:p>
        </w:tc>
        <w:tc>
          <w:tcPr>
            <w:tcW w:w="1516"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Séance d'information sur les outils disponibles, les méthodes de travail, etc.</w:t>
            </w:r>
          </w:p>
        </w:tc>
        <w:tc>
          <w:tcPr>
            <w:tcW w:w="2126" w:type="dxa"/>
          </w:tcPr>
          <w:p w:rsidR="00FF24FF" w:rsidRPr="003A4A13" w:rsidRDefault="00FF24FF" w:rsidP="00A50DBE">
            <w:pPr>
              <w:pStyle w:val="Tabletext10pt"/>
              <w:spacing w:before="0" w:after="0"/>
              <w:jc w:val="center"/>
              <w:rPr>
                <w:color w:val="FFFFFF" w:themeColor="background1"/>
              </w:rPr>
            </w:pPr>
          </w:p>
        </w:tc>
        <w:tc>
          <w:tcPr>
            <w:tcW w:w="1985"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Enquêtes éventuelles à communiquer pour approbation à la réunion de la CE 1</w:t>
            </w:r>
          </w:p>
        </w:tc>
        <w:tc>
          <w:tcPr>
            <w:tcW w:w="2083" w:type="dxa"/>
          </w:tcPr>
          <w:p w:rsidR="00FF24FF" w:rsidRPr="003A4A13" w:rsidRDefault="00FF24FF" w:rsidP="00A50DBE">
            <w:pPr>
              <w:pStyle w:val="Tabletext10pt"/>
              <w:spacing w:before="0" w:after="0"/>
              <w:jc w:val="center"/>
              <w:rPr>
                <w:color w:val="FFFFFF" w:themeColor="background1"/>
              </w:rPr>
            </w:pPr>
          </w:p>
        </w:tc>
        <w:tc>
          <w:tcPr>
            <w:tcW w:w="2174"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 xml:space="preserve">Résultats de l'enquête à analyser et à intégrer. </w:t>
            </w:r>
            <w:r w:rsidRPr="003A4A13">
              <w:rPr>
                <w:color w:val="FFFFFF" w:themeColor="background1"/>
              </w:rPr>
              <w:br/>
              <w:t>Etudes de cas versées dans la bibliothèque.</w:t>
            </w:r>
            <w:r w:rsidRPr="003A4A13">
              <w:rPr>
                <w:color w:val="FFFFFF" w:themeColor="background1"/>
              </w:rPr>
              <w:br/>
              <w:t>Avenir des Questions</w:t>
            </w:r>
          </w:p>
        </w:tc>
        <w:tc>
          <w:tcPr>
            <w:tcW w:w="1554" w:type="dxa"/>
            <w:shd w:val="clear" w:color="auto" w:fill="000000" w:themeFill="text1"/>
          </w:tcPr>
          <w:p w:rsidR="00FF24FF" w:rsidRPr="003A4A13" w:rsidRDefault="00FF24FF" w:rsidP="00A50DBE">
            <w:pPr>
              <w:pStyle w:val="Tabletext10pt"/>
              <w:spacing w:before="0" w:after="0"/>
              <w:jc w:val="center"/>
              <w:rPr>
                <w:color w:val="FFFFFF" w:themeColor="background1"/>
              </w:rPr>
            </w:pPr>
            <w:r w:rsidRPr="003A4A13">
              <w:rPr>
                <w:color w:val="FFFFFF" w:themeColor="background1"/>
              </w:rPr>
              <w:t>Avenir des Questions</w:t>
            </w:r>
          </w:p>
        </w:tc>
        <w:tc>
          <w:tcPr>
            <w:tcW w:w="2415" w:type="dxa"/>
            <w:shd w:val="clear" w:color="auto" w:fill="000000" w:themeFill="text1"/>
          </w:tcPr>
          <w:p w:rsidR="00FF24FF" w:rsidRPr="003A4A13" w:rsidRDefault="00FF24FF" w:rsidP="00A50DBE">
            <w:pPr>
              <w:pStyle w:val="Tabletext10pt"/>
              <w:spacing w:before="0" w:after="0"/>
              <w:jc w:val="center"/>
              <w:rPr>
                <w:color w:val="FFFFFF" w:themeColor="background1"/>
                <w:sz w:val="24"/>
              </w:rPr>
            </w:pPr>
            <w:r w:rsidRPr="003A4A13">
              <w:rPr>
                <w:color w:val="FFFFFF" w:themeColor="background1"/>
              </w:rPr>
              <w:t>Accord concernant les produits attendus qui seront présentés à la CMDT-21, avenir des Questions et propositions d'amélioration</w:t>
            </w:r>
          </w:p>
        </w:tc>
      </w:tr>
    </w:tbl>
    <w:p w:rsidR="00FF24FF" w:rsidRPr="003A4A13" w:rsidRDefault="00FF24FF" w:rsidP="00FF24FF">
      <w:pPr>
        <w:tabs>
          <w:tab w:val="clear" w:pos="794"/>
          <w:tab w:val="left" w:pos="426"/>
        </w:tabs>
        <w:spacing w:before="240"/>
        <w:rPr>
          <w:lang w:val="fr-CH"/>
        </w:rPr>
      </w:pPr>
      <w:r w:rsidRPr="003A4A13">
        <w:rPr>
          <w:lang w:val="fr-CH"/>
        </w:rPr>
        <w:t>*</w:t>
      </w:r>
      <w:r w:rsidRPr="003A4A13">
        <w:rPr>
          <w:lang w:val="fr-CH"/>
        </w:rPr>
        <w:tab/>
        <w:t>Réunion de l'Equipe de direction de la CE 1.</w:t>
      </w:r>
    </w:p>
    <w:p w:rsidR="00366EF0" w:rsidRPr="003A4A13" w:rsidRDefault="00366EF0" w:rsidP="00AE6B70">
      <w:pPr>
        <w:pStyle w:val="Reasons"/>
        <w:rPr>
          <w:lang w:val="fr-CH"/>
        </w:rPr>
      </w:pPr>
    </w:p>
    <w:p w:rsidR="00366EF0" w:rsidRPr="003A4A13" w:rsidRDefault="00366EF0" w:rsidP="00AE6B70">
      <w:pPr>
        <w:jc w:val="center"/>
        <w:rPr>
          <w:lang w:val="fr-CH"/>
        </w:rPr>
      </w:pPr>
      <w:r w:rsidRPr="003A4A13">
        <w:rPr>
          <w:lang w:val="fr-CH"/>
        </w:rPr>
        <w:t>______________</w:t>
      </w:r>
    </w:p>
    <w:sectPr w:rsidR="00366EF0" w:rsidRPr="003A4A13" w:rsidSect="00366EF0">
      <w:headerReference w:type="default" r:id="rId43"/>
      <w:headerReference w:type="first" r:id="rId44"/>
      <w:footerReference w:type="first" r:id="rId45"/>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BE" w:rsidRDefault="00A50DBE">
      <w:r>
        <w:separator/>
      </w:r>
    </w:p>
  </w:endnote>
  <w:endnote w:type="continuationSeparator" w:id="0">
    <w:p w:rsidR="00A50DBE" w:rsidRDefault="00A5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D2" w:rsidRDefault="000B5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E" w:rsidRPr="00C666C2" w:rsidRDefault="00A50DBE" w:rsidP="00366EF0">
    <w:pPr>
      <w:pStyle w:val="Footer"/>
      <w:rPr>
        <w:szCs w:val="16"/>
        <w:lang w:val="es-ES"/>
      </w:rPr>
    </w:pPr>
    <w:r w:rsidRPr="00366EF0">
      <w:rPr>
        <w:szCs w:val="16"/>
      </w:rPr>
      <w:fldChar w:fldCharType="begin"/>
    </w:r>
    <w:r w:rsidRPr="00C666C2">
      <w:rPr>
        <w:szCs w:val="16"/>
        <w:lang w:val="es-ES"/>
      </w:rPr>
      <w:instrText xml:space="preserve"> FILENAME \p  \* MERGEFORMAT </w:instrText>
    </w:r>
    <w:r w:rsidRPr="00366EF0">
      <w:rPr>
        <w:szCs w:val="16"/>
      </w:rPr>
      <w:fldChar w:fldCharType="separate"/>
    </w:r>
    <w:r>
      <w:rPr>
        <w:szCs w:val="16"/>
        <w:lang w:val="es-ES"/>
      </w:rPr>
      <w:t>P:\FRA\ITU-D\CONF-D\TDAG19\000\012F.docx</w:t>
    </w:r>
    <w:r w:rsidRPr="00366EF0">
      <w:rPr>
        <w:szCs w:val="16"/>
      </w:rPr>
      <w:fldChar w:fldCharType="end"/>
    </w:r>
    <w:r w:rsidRPr="00C666C2">
      <w:rPr>
        <w:szCs w:val="16"/>
        <w:lang w:val="es-ES"/>
      </w:rPr>
      <w:t xml:space="preserve"> (449214)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50DBE" w:rsidRPr="00815087" w:rsidTr="00FC3C76">
      <w:tc>
        <w:tcPr>
          <w:tcW w:w="1526" w:type="dxa"/>
          <w:tcBorders>
            <w:top w:val="single" w:sz="4" w:space="0" w:color="000000"/>
          </w:tcBorders>
          <w:shd w:val="clear" w:color="auto" w:fill="auto"/>
        </w:tcPr>
        <w:p w:rsidR="00A50DBE" w:rsidRPr="00815087" w:rsidRDefault="00A50DBE" w:rsidP="003A6B34">
          <w:pPr>
            <w:pStyle w:val="FirstFooter"/>
            <w:tabs>
              <w:tab w:val="left" w:pos="1559"/>
              <w:tab w:val="left" w:pos="3828"/>
            </w:tabs>
            <w:rPr>
              <w:sz w:val="18"/>
              <w:szCs w:val="18"/>
            </w:rPr>
          </w:pPr>
          <w:r w:rsidRPr="00815087">
            <w:rPr>
              <w:sz w:val="18"/>
              <w:szCs w:val="18"/>
            </w:rPr>
            <w:t>Contact:</w:t>
          </w:r>
        </w:p>
      </w:tc>
      <w:tc>
        <w:tcPr>
          <w:tcW w:w="2410" w:type="dxa"/>
          <w:tcBorders>
            <w:top w:val="single" w:sz="4" w:space="0" w:color="000000"/>
          </w:tcBorders>
          <w:shd w:val="clear" w:color="auto" w:fill="auto"/>
        </w:tcPr>
        <w:p w:rsidR="00A50DBE" w:rsidRPr="00815087" w:rsidRDefault="00A50DBE" w:rsidP="00815087">
          <w:pPr>
            <w:pStyle w:val="FirstFooter"/>
            <w:tabs>
              <w:tab w:val="left" w:pos="2302"/>
            </w:tabs>
            <w:ind w:left="2302" w:hanging="2302"/>
            <w:rPr>
              <w:sz w:val="18"/>
              <w:szCs w:val="18"/>
            </w:rPr>
          </w:pPr>
          <w:r w:rsidRPr="00815087">
            <w:rPr>
              <w:sz w:val="18"/>
              <w:szCs w:val="18"/>
            </w:rPr>
            <w:t>Nom/Organisation/Entité:</w:t>
          </w:r>
        </w:p>
      </w:tc>
      <w:tc>
        <w:tcPr>
          <w:tcW w:w="5987" w:type="dxa"/>
          <w:tcBorders>
            <w:top w:val="single" w:sz="4" w:space="0" w:color="000000"/>
          </w:tcBorders>
        </w:tcPr>
        <w:p w:rsidR="00A50DBE" w:rsidRPr="00815087" w:rsidRDefault="00A50DBE" w:rsidP="00AE6B70">
          <w:pPr>
            <w:pStyle w:val="FirstFooter"/>
            <w:tabs>
              <w:tab w:val="left" w:pos="2302"/>
            </w:tabs>
            <w:rPr>
              <w:sz w:val="18"/>
              <w:szCs w:val="18"/>
              <w:highlight w:val="yellow"/>
            </w:rPr>
          </w:pPr>
          <w:r w:rsidRPr="00815087">
            <w:rPr>
              <w:sz w:val="18"/>
              <w:szCs w:val="18"/>
            </w:rPr>
            <w:t>Mme Fleur Regina Assoumou Bessou, Présidente, Commission d'études 1 de l'UIT-D</w:t>
          </w:r>
        </w:p>
      </w:tc>
    </w:tr>
    <w:tr w:rsidR="00A50DBE" w:rsidRPr="00815087" w:rsidTr="00FC3C76">
      <w:tc>
        <w:tcPr>
          <w:tcW w:w="1526" w:type="dxa"/>
          <w:shd w:val="clear" w:color="auto" w:fill="auto"/>
        </w:tcPr>
        <w:p w:rsidR="00A50DBE" w:rsidRPr="00815087" w:rsidRDefault="00A50DBE" w:rsidP="003A6B34">
          <w:pPr>
            <w:pStyle w:val="FirstFooter"/>
            <w:tabs>
              <w:tab w:val="left" w:pos="1559"/>
              <w:tab w:val="left" w:pos="3828"/>
            </w:tabs>
            <w:rPr>
              <w:sz w:val="20"/>
            </w:rPr>
          </w:pPr>
        </w:p>
      </w:tc>
      <w:tc>
        <w:tcPr>
          <w:tcW w:w="2410" w:type="dxa"/>
          <w:shd w:val="clear" w:color="auto" w:fill="auto"/>
        </w:tcPr>
        <w:p w:rsidR="00A50DBE" w:rsidRPr="00815087" w:rsidRDefault="00A50DBE" w:rsidP="003A6B34">
          <w:pPr>
            <w:pStyle w:val="FirstFooter"/>
            <w:tabs>
              <w:tab w:val="left" w:pos="2302"/>
            </w:tabs>
            <w:rPr>
              <w:sz w:val="18"/>
              <w:szCs w:val="18"/>
            </w:rPr>
          </w:pPr>
          <w:r>
            <w:rPr>
              <w:sz w:val="18"/>
              <w:szCs w:val="18"/>
            </w:rPr>
            <w:t>Téléphone</w:t>
          </w:r>
          <w:r w:rsidRPr="00815087">
            <w:rPr>
              <w:sz w:val="18"/>
              <w:szCs w:val="18"/>
            </w:rPr>
            <w:t>:</w:t>
          </w:r>
        </w:p>
      </w:tc>
      <w:tc>
        <w:tcPr>
          <w:tcW w:w="5987" w:type="dxa"/>
        </w:tcPr>
        <w:p w:rsidR="00A50DBE" w:rsidRPr="00815087" w:rsidRDefault="00A50DBE" w:rsidP="003A6B34">
          <w:pPr>
            <w:pStyle w:val="FirstFooter"/>
            <w:tabs>
              <w:tab w:val="left" w:pos="2302"/>
            </w:tabs>
            <w:rPr>
              <w:sz w:val="18"/>
              <w:szCs w:val="18"/>
              <w:highlight w:val="yellow"/>
            </w:rPr>
          </w:pPr>
          <w:r w:rsidRPr="00815087">
            <w:rPr>
              <w:sz w:val="18"/>
              <w:szCs w:val="18"/>
            </w:rPr>
            <w:t>+225 20 3458 80</w:t>
          </w:r>
        </w:p>
      </w:tc>
    </w:tr>
    <w:tr w:rsidR="00A50DBE" w:rsidRPr="00815087" w:rsidTr="00FC3C76">
      <w:tc>
        <w:tcPr>
          <w:tcW w:w="1526" w:type="dxa"/>
          <w:shd w:val="clear" w:color="auto" w:fill="auto"/>
        </w:tcPr>
        <w:p w:rsidR="00A50DBE" w:rsidRPr="00815087" w:rsidRDefault="00A50DBE" w:rsidP="003A6B34">
          <w:pPr>
            <w:pStyle w:val="FirstFooter"/>
            <w:tabs>
              <w:tab w:val="left" w:pos="1559"/>
              <w:tab w:val="left" w:pos="3828"/>
            </w:tabs>
            <w:rPr>
              <w:sz w:val="20"/>
            </w:rPr>
          </w:pPr>
        </w:p>
      </w:tc>
      <w:tc>
        <w:tcPr>
          <w:tcW w:w="2410" w:type="dxa"/>
          <w:shd w:val="clear" w:color="auto" w:fill="auto"/>
        </w:tcPr>
        <w:p w:rsidR="00A50DBE" w:rsidRPr="00815087" w:rsidRDefault="00A50DBE" w:rsidP="003A6B34">
          <w:pPr>
            <w:pStyle w:val="FirstFooter"/>
            <w:tabs>
              <w:tab w:val="left" w:pos="2302"/>
            </w:tabs>
            <w:rPr>
              <w:sz w:val="18"/>
              <w:szCs w:val="18"/>
            </w:rPr>
          </w:pPr>
          <w:r w:rsidRPr="00815087">
            <w:rPr>
              <w:sz w:val="18"/>
              <w:szCs w:val="18"/>
            </w:rPr>
            <w:t>E-mail:</w:t>
          </w:r>
        </w:p>
      </w:tc>
      <w:tc>
        <w:tcPr>
          <w:tcW w:w="5987" w:type="dxa"/>
        </w:tcPr>
        <w:p w:rsidR="00A50DBE" w:rsidRPr="00815087" w:rsidRDefault="000B5ED2" w:rsidP="003A6B34">
          <w:pPr>
            <w:pStyle w:val="FirstFooter"/>
            <w:tabs>
              <w:tab w:val="left" w:pos="2302"/>
            </w:tabs>
            <w:rPr>
              <w:sz w:val="18"/>
              <w:szCs w:val="18"/>
              <w:highlight w:val="yellow"/>
            </w:rPr>
          </w:pPr>
          <w:hyperlink r:id="rId1" w:history="1">
            <w:r w:rsidR="00A50DBE" w:rsidRPr="00815087">
              <w:rPr>
                <w:rStyle w:val="Hyperlink"/>
                <w:sz w:val="18"/>
                <w:szCs w:val="18"/>
              </w:rPr>
              <w:t>bessou.regina@artci.ci</w:t>
            </w:r>
          </w:hyperlink>
        </w:p>
      </w:tc>
    </w:tr>
  </w:tbl>
  <w:p w:rsidR="00A50DBE" w:rsidRPr="00815087" w:rsidRDefault="000B5ED2" w:rsidP="00AE6B70">
    <w:pPr>
      <w:pStyle w:val="Footer"/>
      <w:spacing w:before="120"/>
      <w:jc w:val="center"/>
    </w:pPr>
    <w:hyperlink r:id="rId2" w:history="1">
      <w:r w:rsidR="00A50DBE" w:rsidRPr="00815087">
        <w:rPr>
          <w:rStyle w:val="Hyperlink"/>
          <w:caps w:val="0"/>
          <w:noProof w:val="0"/>
          <w:sz w:val="18"/>
          <w:szCs w:val="18"/>
        </w:rPr>
        <w:t>GCDT</w:t>
      </w:r>
    </w:hyperlink>
    <w:hyperlink r:id="rId3" w:history="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E" w:rsidRPr="00AB511D" w:rsidRDefault="00A50DBE" w:rsidP="003E0B64">
    <w:pPr>
      <w:pStyle w:val="Footer"/>
      <w:rPr>
        <w:lang w:val="es-ES"/>
      </w:rPr>
    </w:pPr>
    <w:r w:rsidRPr="00366EF0">
      <w:rPr>
        <w:szCs w:val="16"/>
      </w:rPr>
      <w:fldChar w:fldCharType="begin"/>
    </w:r>
    <w:r w:rsidRPr="00AB511D">
      <w:rPr>
        <w:szCs w:val="16"/>
        <w:lang w:val="es-ES"/>
      </w:rPr>
      <w:instrText xml:space="preserve"> FILENAME \p  \* MERGEFORMAT </w:instrText>
    </w:r>
    <w:r w:rsidRPr="00366EF0">
      <w:rPr>
        <w:szCs w:val="16"/>
      </w:rPr>
      <w:fldChar w:fldCharType="separate"/>
    </w:r>
    <w:r>
      <w:rPr>
        <w:szCs w:val="16"/>
        <w:lang w:val="es-ES"/>
      </w:rPr>
      <w:t>P:\FRA\ITU-D\CONF-D\TDAG19\000\012F.docx</w:t>
    </w:r>
    <w:r w:rsidRPr="00366EF0">
      <w:rPr>
        <w:szCs w:val="16"/>
      </w:rPr>
      <w:fldChar w:fldCharType="end"/>
    </w:r>
    <w:r w:rsidRPr="00AB511D">
      <w:rPr>
        <w:szCs w:val="16"/>
        <w:lang w:val="es-ES"/>
      </w:rPr>
      <w:t xml:space="preserve"> (449214)</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BE" w:rsidRDefault="00A50DBE">
      <w:r>
        <w:t>____________________</w:t>
      </w:r>
    </w:p>
  </w:footnote>
  <w:footnote w:type="continuationSeparator" w:id="0">
    <w:p w:rsidR="00A50DBE" w:rsidRDefault="00A50DBE">
      <w:r>
        <w:continuationSeparator/>
      </w:r>
    </w:p>
  </w:footnote>
  <w:footnote w:id="1">
    <w:p w:rsidR="00A50DBE" w:rsidRPr="00A50DBE" w:rsidRDefault="00A50DBE" w:rsidP="00032EC4">
      <w:pPr>
        <w:pStyle w:val="FootnoteText"/>
        <w:spacing w:before="0"/>
        <w:rPr>
          <w:sz w:val="22"/>
          <w:szCs w:val="22"/>
        </w:rPr>
      </w:pPr>
      <w:r w:rsidRPr="00927867">
        <w:rPr>
          <w:rStyle w:val="FootnoteReference"/>
          <w:szCs w:val="18"/>
        </w:rPr>
        <w:footnoteRef/>
      </w:r>
      <w:r w:rsidRPr="00927867">
        <w:rPr>
          <w:sz w:val="18"/>
          <w:szCs w:val="18"/>
        </w:rPr>
        <w:tab/>
      </w:r>
      <w:r w:rsidRPr="00A50DBE">
        <w:rPr>
          <w:sz w:val="22"/>
          <w:szCs w:val="22"/>
        </w:rPr>
        <w:t xml:space="preserve">Les photos de 2018 de la CE 1 sont disponibles à l'adresse suivante: </w:t>
      </w:r>
      <w:hyperlink r:id="rId1" w:history="1">
        <w:r w:rsidRPr="00A50DBE">
          <w:rPr>
            <w:rStyle w:val="Hyperlink"/>
            <w:sz w:val="22"/>
            <w:szCs w:val="22"/>
          </w:rPr>
          <w:t>https://www.flickr.com/photos/itupictures/albums/72157696268484525</w:t>
        </w:r>
      </w:hyperlink>
      <w:r w:rsidRPr="00A50DBE">
        <w:rPr>
          <w:sz w:val="22"/>
          <w:szCs w:val="22"/>
        </w:rPr>
        <w:t>.</w:t>
      </w:r>
    </w:p>
  </w:footnote>
  <w:footnote w:id="2">
    <w:p w:rsidR="00A50DBE" w:rsidRPr="00A50DBE" w:rsidRDefault="00A50DBE" w:rsidP="00927867">
      <w:pPr>
        <w:pStyle w:val="FootnoteText"/>
        <w:rPr>
          <w:sz w:val="22"/>
          <w:szCs w:val="22"/>
        </w:rPr>
      </w:pPr>
      <w:r w:rsidRPr="00927867">
        <w:rPr>
          <w:rStyle w:val="FootnoteReference"/>
        </w:rPr>
        <w:footnoteRef/>
      </w:r>
      <w:r>
        <w:tab/>
      </w:r>
      <w:r w:rsidRPr="00A50DBE">
        <w:rPr>
          <w:sz w:val="22"/>
          <w:szCs w:val="22"/>
        </w:rPr>
        <w:t xml:space="preserve">L'allocution du Directeur du BDT est disponible à l'adresse suivante: </w:t>
      </w:r>
      <w:r w:rsidRPr="00A50DBE">
        <w:rPr>
          <w:sz w:val="22"/>
          <w:szCs w:val="22"/>
        </w:rPr>
        <w:br/>
      </w:r>
      <w:hyperlink r:id="rId2" w:history="1">
        <w:r w:rsidRPr="00A50DBE">
          <w:rPr>
            <w:rStyle w:val="Hyperlink"/>
            <w:sz w:val="22"/>
            <w:szCs w:val="22"/>
          </w:rPr>
          <w:t>https://www.itu.int/en/ITU-D/bdt-director/Pages/Speeches.aspx?ItemID=181</w:t>
        </w:r>
      </w:hyperlink>
      <w:r w:rsidRPr="00A50DBE">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D2" w:rsidRDefault="000B5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E" w:rsidRDefault="00A50DBE" w:rsidP="00AD43DF">
    <w:pPr>
      <w:pStyle w:val="Header"/>
      <w:tabs>
        <w:tab w:val="center" w:pos="4820"/>
        <w:tab w:val="right" w:pos="13998"/>
      </w:tabs>
      <w:rPr>
        <w:sz w:val="22"/>
        <w:szCs w:val="22"/>
      </w:rPr>
    </w:pPr>
    <w:bookmarkStart w:id="7" w:name="_GoBack"/>
    <w:bookmarkEnd w:id="7"/>
    <w:r>
      <w:rPr>
        <w:sz w:val="22"/>
        <w:szCs w:val="22"/>
        <w:lang w:val="de-CH"/>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w:t>
    </w:r>
    <w:r w:rsidR="00AD43DF">
      <w:rPr>
        <w:sz w:val="22"/>
        <w:szCs w:val="22"/>
        <w:lang w:val="de-CH"/>
      </w:rPr>
      <w:t>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B5ED2">
      <w:rPr>
        <w:noProof/>
        <w:sz w:val="22"/>
        <w:szCs w:val="22"/>
        <w:lang w:val="de-CH"/>
      </w:rPr>
      <w:t>8</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ED2" w:rsidRDefault="000B5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E" w:rsidRDefault="00A50DBE" w:rsidP="000B5ED2">
    <w:pPr>
      <w:pStyle w:val="Header"/>
      <w:tabs>
        <w:tab w:val="center" w:pos="7088"/>
        <w:tab w:val="right" w:pos="13998"/>
      </w:tabs>
    </w:pPr>
    <w:r>
      <w:rPr>
        <w:sz w:val="22"/>
        <w:szCs w:val="22"/>
        <w:lang w:val="de-CH"/>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w:t>
    </w:r>
    <w:r w:rsidR="00AD43DF">
      <w:rPr>
        <w:sz w:val="22"/>
        <w:szCs w:val="22"/>
        <w:lang w:val="de-CH"/>
      </w:rPr>
      <w:t>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B5ED2">
      <w:rPr>
        <w:noProof/>
        <w:sz w:val="22"/>
        <w:szCs w:val="22"/>
        <w:lang w:val="de-CH"/>
      </w:rPr>
      <w:t>14</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BE" w:rsidRDefault="00A50DBE" w:rsidP="00AD43DF">
    <w:pPr>
      <w:pStyle w:val="Header"/>
      <w:tabs>
        <w:tab w:val="center" w:pos="7088"/>
        <w:tab w:val="right" w:pos="13998"/>
      </w:tabs>
    </w:pPr>
    <w:r>
      <w:rPr>
        <w:sz w:val="22"/>
        <w:szCs w:val="22"/>
        <w:lang w:val="de-CH"/>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w:t>
    </w:r>
    <w:r w:rsidR="00AD43DF">
      <w:rPr>
        <w:sz w:val="22"/>
        <w:szCs w:val="22"/>
        <w:lang w:val="de-CH"/>
      </w:rPr>
      <w:t>2</w:t>
    </w:r>
    <w:r w:rsidRPr="006D271A">
      <w:rPr>
        <w:sz w:val="22"/>
        <w:szCs w:val="22"/>
        <w:lang w:val="de-CH"/>
      </w:rPr>
      <w:t>-</w:t>
    </w:r>
    <w:r>
      <w:rPr>
        <w:sz w:val="22"/>
        <w:szCs w:val="22"/>
        <w:lang w:val="de-CH"/>
      </w:rPr>
      <w:t>F</w:t>
    </w:r>
    <w:r>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B5ED2">
      <w:rPr>
        <w:noProof/>
        <w:sz w:val="22"/>
        <w:szCs w:val="22"/>
        <w:lang w:val="de-CH"/>
      </w:rPr>
      <w:t>9</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13"/>
    <w:rsid w:val="00002716"/>
    <w:rsid w:val="00005791"/>
    <w:rsid w:val="00010827"/>
    <w:rsid w:val="00015089"/>
    <w:rsid w:val="0002520B"/>
    <w:rsid w:val="00032EC4"/>
    <w:rsid w:val="00037A9E"/>
    <w:rsid w:val="00037F91"/>
    <w:rsid w:val="00044FB3"/>
    <w:rsid w:val="0004727E"/>
    <w:rsid w:val="0005359E"/>
    <w:rsid w:val="000539F1"/>
    <w:rsid w:val="00054747"/>
    <w:rsid w:val="00055A2A"/>
    <w:rsid w:val="000615C1"/>
    <w:rsid w:val="00061675"/>
    <w:rsid w:val="000743AA"/>
    <w:rsid w:val="00083258"/>
    <w:rsid w:val="0009225C"/>
    <w:rsid w:val="000A17C4"/>
    <w:rsid w:val="000A36A4"/>
    <w:rsid w:val="000B1EE1"/>
    <w:rsid w:val="000B2352"/>
    <w:rsid w:val="000B5ED2"/>
    <w:rsid w:val="000C0F13"/>
    <w:rsid w:val="000C61E9"/>
    <w:rsid w:val="000C7B84"/>
    <w:rsid w:val="000D261B"/>
    <w:rsid w:val="000D58A3"/>
    <w:rsid w:val="000E27FD"/>
    <w:rsid w:val="000E3ED4"/>
    <w:rsid w:val="000E3F9C"/>
    <w:rsid w:val="000F1550"/>
    <w:rsid w:val="000F251B"/>
    <w:rsid w:val="000F5FE8"/>
    <w:rsid w:val="000F6644"/>
    <w:rsid w:val="00100833"/>
    <w:rsid w:val="00102F72"/>
    <w:rsid w:val="00107E85"/>
    <w:rsid w:val="001137AC"/>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AF0"/>
    <w:rsid w:val="001942A7"/>
    <w:rsid w:val="0019587B"/>
    <w:rsid w:val="001A163D"/>
    <w:rsid w:val="001A441E"/>
    <w:rsid w:val="001A6733"/>
    <w:rsid w:val="001B357F"/>
    <w:rsid w:val="001C3444"/>
    <w:rsid w:val="001C3702"/>
    <w:rsid w:val="001C4656"/>
    <w:rsid w:val="001C46BC"/>
    <w:rsid w:val="001D09FB"/>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1362"/>
    <w:rsid w:val="00261645"/>
    <w:rsid w:val="00262908"/>
    <w:rsid w:val="002650F4"/>
    <w:rsid w:val="002715FD"/>
    <w:rsid w:val="002770B1"/>
    <w:rsid w:val="00285B33"/>
    <w:rsid w:val="00287A3C"/>
    <w:rsid w:val="002A2FC6"/>
    <w:rsid w:val="002B6D36"/>
    <w:rsid w:val="002C1EC7"/>
    <w:rsid w:val="002C4342"/>
    <w:rsid w:val="002C79E8"/>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5420"/>
    <w:rsid w:val="00327247"/>
    <w:rsid w:val="00327A9D"/>
    <w:rsid w:val="003308EB"/>
    <w:rsid w:val="0033130E"/>
    <w:rsid w:val="0033269C"/>
    <w:rsid w:val="0034595A"/>
    <w:rsid w:val="0035516C"/>
    <w:rsid w:val="00355A4C"/>
    <w:rsid w:val="003604FB"/>
    <w:rsid w:val="00360B73"/>
    <w:rsid w:val="00366EF0"/>
    <w:rsid w:val="00377190"/>
    <w:rsid w:val="00380B71"/>
    <w:rsid w:val="0038365A"/>
    <w:rsid w:val="00386A89"/>
    <w:rsid w:val="00393C63"/>
    <w:rsid w:val="0039648E"/>
    <w:rsid w:val="003A4A13"/>
    <w:rsid w:val="003A5AFE"/>
    <w:rsid w:val="003A5D5F"/>
    <w:rsid w:val="003A6B34"/>
    <w:rsid w:val="003A7FFE"/>
    <w:rsid w:val="003B0A63"/>
    <w:rsid w:val="003B50E1"/>
    <w:rsid w:val="003C1746"/>
    <w:rsid w:val="003C2AA9"/>
    <w:rsid w:val="003C58BF"/>
    <w:rsid w:val="003D451D"/>
    <w:rsid w:val="003E0B64"/>
    <w:rsid w:val="003F2DD8"/>
    <w:rsid w:val="003F3F2D"/>
    <w:rsid w:val="003F50B2"/>
    <w:rsid w:val="00400CCF"/>
    <w:rsid w:val="00401BFF"/>
    <w:rsid w:val="00404424"/>
    <w:rsid w:val="0041156B"/>
    <w:rsid w:val="004122C5"/>
    <w:rsid w:val="00413B78"/>
    <w:rsid w:val="00416DDE"/>
    <w:rsid w:val="004206C6"/>
    <w:rsid w:val="00432DFC"/>
    <w:rsid w:val="0044411E"/>
    <w:rsid w:val="00453435"/>
    <w:rsid w:val="00453ED2"/>
    <w:rsid w:val="00454E8F"/>
    <w:rsid w:val="00463825"/>
    <w:rsid w:val="00466398"/>
    <w:rsid w:val="0047306D"/>
    <w:rsid w:val="00473791"/>
    <w:rsid w:val="00476E48"/>
    <w:rsid w:val="00481DE9"/>
    <w:rsid w:val="004870F3"/>
    <w:rsid w:val="0049128B"/>
    <w:rsid w:val="004926EA"/>
    <w:rsid w:val="00493B49"/>
    <w:rsid w:val="00495501"/>
    <w:rsid w:val="004A070A"/>
    <w:rsid w:val="004A320E"/>
    <w:rsid w:val="004A4E9C"/>
    <w:rsid w:val="004B0278"/>
    <w:rsid w:val="004B1A3C"/>
    <w:rsid w:val="004D2CC3"/>
    <w:rsid w:val="004D35CB"/>
    <w:rsid w:val="004E20E5"/>
    <w:rsid w:val="004E624A"/>
    <w:rsid w:val="004E64EA"/>
    <w:rsid w:val="004E7828"/>
    <w:rsid w:val="004F46AA"/>
    <w:rsid w:val="004F6A70"/>
    <w:rsid w:val="00500AD7"/>
    <w:rsid w:val="00502ABF"/>
    <w:rsid w:val="00504DB0"/>
    <w:rsid w:val="00507C35"/>
    <w:rsid w:val="00510735"/>
    <w:rsid w:val="00514D2F"/>
    <w:rsid w:val="005403C1"/>
    <w:rsid w:val="0054420E"/>
    <w:rsid w:val="00544D1B"/>
    <w:rsid w:val="00545DC0"/>
    <w:rsid w:val="00545F6C"/>
    <w:rsid w:val="005477D9"/>
    <w:rsid w:val="0055720C"/>
    <w:rsid w:val="00560E11"/>
    <w:rsid w:val="005632DD"/>
    <w:rsid w:val="0056423B"/>
    <w:rsid w:val="00573424"/>
    <w:rsid w:val="0057402F"/>
    <w:rsid w:val="00577FB2"/>
    <w:rsid w:val="00581A72"/>
    <w:rsid w:val="005849D6"/>
    <w:rsid w:val="00585367"/>
    <w:rsid w:val="005871A1"/>
    <w:rsid w:val="0058737E"/>
    <w:rsid w:val="00592518"/>
    <w:rsid w:val="00592E87"/>
    <w:rsid w:val="00594C4D"/>
    <w:rsid w:val="005A33B0"/>
    <w:rsid w:val="005B694A"/>
    <w:rsid w:val="005C2DC2"/>
    <w:rsid w:val="005C304A"/>
    <w:rsid w:val="005C3D69"/>
    <w:rsid w:val="005C7C98"/>
    <w:rsid w:val="005D01B6"/>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D5A"/>
    <w:rsid w:val="00600C11"/>
    <w:rsid w:val="00606B89"/>
    <w:rsid w:val="00611EAF"/>
    <w:rsid w:val="00623F30"/>
    <w:rsid w:val="00625FB8"/>
    <w:rsid w:val="006261BD"/>
    <w:rsid w:val="00634483"/>
    <w:rsid w:val="00635EDB"/>
    <w:rsid w:val="0064734E"/>
    <w:rsid w:val="00647785"/>
    <w:rsid w:val="00650137"/>
    <w:rsid w:val="006509D7"/>
    <w:rsid w:val="00651CE8"/>
    <w:rsid w:val="0065521B"/>
    <w:rsid w:val="00671EF6"/>
    <w:rsid w:val="0067205B"/>
    <w:rsid w:val="006748F8"/>
    <w:rsid w:val="00680489"/>
    <w:rsid w:val="00683C32"/>
    <w:rsid w:val="00690BB2"/>
    <w:rsid w:val="0069285B"/>
    <w:rsid w:val="00693D09"/>
    <w:rsid w:val="006A35CA"/>
    <w:rsid w:val="006A6549"/>
    <w:rsid w:val="006A7710"/>
    <w:rsid w:val="006A7A61"/>
    <w:rsid w:val="006B1E59"/>
    <w:rsid w:val="006B2FFB"/>
    <w:rsid w:val="006C10A2"/>
    <w:rsid w:val="006C1F18"/>
    <w:rsid w:val="006D40D5"/>
    <w:rsid w:val="006D431E"/>
    <w:rsid w:val="006D525C"/>
    <w:rsid w:val="006E6B2B"/>
    <w:rsid w:val="006F009A"/>
    <w:rsid w:val="006F3D93"/>
    <w:rsid w:val="007019B1"/>
    <w:rsid w:val="00721657"/>
    <w:rsid w:val="007279A8"/>
    <w:rsid w:val="00727B1A"/>
    <w:rsid w:val="00735DD1"/>
    <w:rsid w:val="00741337"/>
    <w:rsid w:val="00752258"/>
    <w:rsid w:val="007529E1"/>
    <w:rsid w:val="007574F1"/>
    <w:rsid w:val="00762880"/>
    <w:rsid w:val="00762AD6"/>
    <w:rsid w:val="00762E02"/>
    <w:rsid w:val="00772290"/>
    <w:rsid w:val="00777265"/>
    <w:rsid w:val="007805E7"/>
    <w:rsid w:val="0078222A"/>
    <w:rsid w:val="00787D48"/>
    <w:rsid w:val="0079169C"/>
    <w:rsid w:val="00795294"/>
    <w:rsid w:val="007A4E50"/>
    <w:rsid w:val="007B18A7"/>
    <w:rsid w:val="007B250E"/>
    <w:rsid w:val="007C27FC"/>
    <w:rsid w:val="007C51FF"/>
    <w:rsid w:val="007D50E4"/>
    <w:rsid w:val="007E5DB1"/>
    <w:rsid w:val="007E6CF8"/>
    <w:rsid w:val="007F1CC7"/>
    <w:rsid w:val="007F4177"/>
    <w:rsid w:val="008027AC"/>
    <w:rsid w:val="008028CE"/>
    <w:rsid w:val="0080332E"/>
    <w:rsid w:val="00810634"/>
    <w:rsid w:val="008141E0"/>
    <w:rsid w:val="00815087"/>
    <w:rsid w:val="00816EE1"/>
    <w:rsid w:val="00816F88"/>
    <w:rsid w:val="00822323"/>
    <w:rsid w:val="00827BC6"/>
    <w:rsid w:val="008300AD"/>
    <w:rsid w:val="00833024"/>
    <w:rsid w:val="00836BDB"/>
    <w:rsid w:val="008419B1"/>
    <w:rsid w:val="00844A56"/>
    <w:rsid w:val="00845B11"/>
    <w:rsid w:val="00846B9A"/>
    <w:rsid w:val="00851060"/>
    <w:rsid w:val="00852081"/>
    <w:rsid w:val="0086369B"/>
    <w:rsid w:val="00872B6E"/>
    <w:rsid w:val="00874DFD"/>
    <w:rsid w:val="008802F9"/>
    <w:rsid w:val="00883086"/>
    <w:rsid w:val="00887866"/>
    <w:rsid w:val="008879FD"/>
    <w:rsid w:val="0089287A"/>
    <w:rsid w:val="00894C37"/>
    <w:rsid w:val="008A00EA"/>
    <w:rsid w:val="008A3F93"/>
    <w:rsid w:val="008A6236"/>
    <w:rsid w:val="008A6E1C"/>
    <w:rsid w:val="008A72FD"/>
    <w:rsid w:val="008B2EDF"/>
    <w:rsid w:val="008B54CB"/>
    <w:rsid w:val="008B5A3D"/>
    <w:rsid w:val="008C4010"/>
    <w:rsid w:val="008C4FDF"/>
    <w:rsid w:val="008C6B1F"/>
    <w:rsid w:val="008D0683"/>
    <w:rsid w:val="008D5E4F"/>
    <w:rsid w:val="008E48EE"/>
    <w:rsid w:val="008F14F5"/>
    <w:rsid w:val="008F20EB"/>
    <w:rsid w:val="008F71C1"/>
    <w:rsid w:val="00901946"/>
    <w:rsid w:val="00902D41"/>
    <w:rsid w:val="00902F49"/>
    <w:rsid w:val="009030FB"/>
    <w:rsid w:val="00914004"/>
    <w:rsid w:val="00920682"/>
    <w:rsid w:val="0092088B"/>
    <w:rsid w:val="00922EC1"/>
    <w:rsid w:val="00927867"/>
    <w:rsid w:val="009301F1"/>
    <w:rsid w:val="009307DF"/>
    <w:rsid w:val="009359B8"/>
    <w:rsid w:val="00935FF0"/>
    <w:rsid w:val="009431F8"/>
    <w:rsid w:val="00947A35"/>
    <w:rsid w:val="009572A0"/>
    <w:rsid w:val="00960D9E"/>
    <w:rsid w:val="00962081"/>
    <w:rsid w:val="00966CB5"/>
    <w:rsid w:val="00975786"/>
    <w:rsid w:val="0097776F"/>
    <w:rsid w:val="00981CB7"/>
    <w:rsid w:val="00983E1F"/>
    <w:rsid w:val="00984929"/>
    <w:rsid w:val="009939FD"/>
    <w:rsid w:val="00993F46"/>
    <w:rsid w:val="009968DF"/>
    <w:rsid w:val="00997358"/>
    <w:rsid w:val="009A1306"/>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40D"/>
    <w:rsid w:val="00A32DF3"/>
    <w:rsid w:val="00A33E32"/>
    <w:rsid w:val="00A35E20"/>
    <w:rsid w:val="00A36F6D"/>
    <w:rsid w:val="00A454E1"/>
    <w:rsid w:val="00A50CA0"/>
    <w:rsid w:val="00A50DBE"/>
    <w:rsid w:val="00A525CC"/>
    <w:rsid w:val="00A53E7C"/>
    <w:rsid w:val="00A60087"/>
    <w:rsid w:val="00A705E8"/>
    <w:rsid w:val="00A721F4"/>
    <w:rsid w:val="00A85BAD"/>
    <w:rsid w:val="00A9392C"/>
    <w:rsid w:val="00A9462B"/>
    <w:rsid w:val="00A97D59"/>
    <w:rsid w:val="00AA03B8"/>
    <w:rsid w:val="00AA3E09"/>
    <w:rsid w:val="00AA4BEF"/>
    <w:rsid w:val="00AB1659"/>
    <w:rsid w:val="00AB4962"/>
    <w:rsid w:val="00AB511D"/>
    <w:rsid w:val="00AB734E"/>
    <w:rsid w:val="00AB73DE"/>
    <w:rsid w:val="00AB740F"/>
    <w:rsid w:val="00AC6F14"/>
    <w:rsid w:val="00AC7221"/>
    <w:rsid w:val="00AD43DF"/>
    <w:rsid w:val="00AE1E38"/>
    <w:rsid w:val="00AE3095"/>
    <w:rsid w:val="00AE5961"/>
    <w:rsid w:val="00AE6B70"/>
    <w:rsid w:val="00AF0745"/>
    <w:rsid w:val="00AF4971"/>
    <w:rsid w:val="00AF5276"/>
    <w:rsid w:val="00AF7C86"/>
    <w:rsid w:val="00B01046"/>
    <w:rsid w:val="00B104A8"/>
    <w:rsid w:val="00B310F9"/>
    <w:rsid w:val="00B37866"/>
    <w:rsid w:val="00B412FB"/>
    <w:rsid w:val="00B4576B"/>
    <w:rsid w:val="00B46350"/>
    <w:rsid w:val="00B46DF3"/>
    <w:rsid w:val="00B47AFA"/>
    <w:rsid w:val="00B50EF8"/>
    <w:rsid w:val="00B51858"/>
    <w:rsid w:val="00B533E9"/>
    <w:rsid w:val="00B54000"/>
    <w:rsid w:val="00B66E8F"/>
    <w:rsid w:val="00B80157"/>
    <w:rsid w:val="00B83D5E"/>
    <w:rsid w:val="00B8460A"/>
    <w:rsid w:val="00B8650D"/>
    <w:rsid w:val="00B879B4"/>
    <w:rsid w:val="00B90F07"/>
    <w:rsid w:val="00B97BB9"/>
    <w:rsid w:val="00BA0009"/>
    <w:rsid w:val="00BB1863"/>
    <w:rsid w:val="00BB25EE"/>
    <w:rsid w:val="00BB363A"/>
    <w:rsid w:val="00BC0663"/>
    <w:rsid w:val="00BC10A0"/>
    <w:rsid w:val="00BC7BA2"/>
    <w:rsid w:val="00BD426B"/>
    <w:rsid w:val="00BD79F0"/>
    <w:rsid w:val="00BE2B4D"/>
    <w:rsid w:val="00BF114D"/>
    <w:rsid w:val="00C015F8"/>
    <w:rsid w:val="00C06290"/>
    <w:rsid w:val="00C07E26"/>
    <w:rsid w:val="00C1011C"/>
    <w:rsid w:val="00C12F94"/>
    <w:rsid w:val="00C177C5"/>
    <w:rsid w:val="00C21431"/>
    <w:rsid w:val="00C34EC3"/>
    <w:rsid w:val="00C4038C"/>
    <w:rsid w:val="00C42BA2"/>
    <w:rsid w:val="00C44066"/>
    <w:rsid w:val="00C44E13"/>
    <w:rsid w:val="00C46A07"/>
    <w:rsid w:val="00C5361D"/>
    <w:rsid w:val="00C60A41"/>
    <w:rsid w:val="00C62DE8"/>
    <w:rsid w:val="00C62DFB"/>
    <w:rsid w:val="00C630E6"/>
    <w:rsid w:val="00C63812"/>
    <w:rsid w:val="00C64AF3"/>
    <w:rsid w:val="00C666C2"/>
    <w:rsid w:val="00C66F4D"/>
    <w:rsid w:val="00C67BB5"/>
    <w:rsid w:val="00C72713"/>
    <w:rsid w:val="00C72878"/>
    <w:rsid w:val="00C848EF"/>
    <w:rsid w:val="00C86600"/>
    <w:rsid w:val="00C87BCA"/>
    <w:rsid w:val="00C87EED"/>
    <w:rsid w:val="00C94506"/>
    <w:rsid w:val="00C954BC"/>
    <w:rsid w:val="00CA1F0B"/>
    <w:rsid w:val="00CA785E"/>
    <w:rsid w:val="00CB110F"/>
    <w:rsid w:val="00CB2A2E"/>
    <w:rsid w:val="00CB338A"/>
    <w:rsid w:val="00CB79C5"/>
    <w:rsid w:val="00CC0E69"/>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027B"/>
    <w:rsid w:val="00D35BDD"/>
    <w:rsid w:val="00D53A3A"/>
    <w:rsid w:val="00D5468D"/>
    <w:rsid w:val="00D57068"/>
    <w:rsid w:val="00D63006"/>
    <w:rsid w:val="00D72301"/>
    <w:rsid w:val="00D762D1"/>
    <w:rsid w:val="00D81608"/>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28DE"/>
    <w:rsid w:val="00DF2AB3"/>
    <w:rsid w:val="00DF3A77"/>
    <w:rsid w:val="00DF7250"/>
    <w:rsid w:val="00E00CAA"/>
    <w:rsid w:val="00E03EBF"/>
    <w:rsid w:val="00E05209"/>
    <w:rsid w:val="00E11BCF"/>
    <w:rsid w:val="00E12785"/>
    <w:rsid w:val="00E2258E"/>
    <w:rsid w:val="00E260C2"/>
    <w:rsid w:val="00E32596"/>
    <w:rsid w:val="00E368F7"/>
    <w:rsid w:val="00E36EB8"/>
    <w:rsid w:val="00E37FB8"/>
    <w:rsid w:val="00E40B07"/>
    <w:rsid w:val="00E42326"/>
    <w:rsid w:val="00E43544"/>
    <w:rsid w:val="00E44D89"/>
    <w:rsid w:val="00E477EA"/>
    <w:rsid w:val="00E55807"/>
    <w:rsid w:val="00E5733F"/>
    <w:rsid w:val="00E60A67"/>
    <w:rsid w:val="00E621EB"/>
    <w:rsid w:val="00E63B14"/>
    <w:rsid w:val="00E65CA0"/>
    <w:rsid w:val="00E705C4"/>
    <w:rsid w:val="00E70D9F"/>
    <w:rsid w:val="00E83810"/>
    <w:rsid w:val="00E86933"/>
    <w:rsid w:val="00E9605B"/>
    <w:rsid w:val="00E97298"/>
    <w:rsid w:val="00E97753"/>
    <w:rsid w:val="00EA7DE7"/>
    <w:rsid w:val="00EB6EE5"/>
    <w:rsid w:val="00EB7196"/>
    <w:rsid w:val="00EB73F0"/>
    <w:rsid w:val="00EB7A8A"/>
    <w:rsid w:val="00EE3A64"/>
    <w:rsid w:val="00EE50E5"/>
    <w:rsid w:val="00EF01CF"/>
    <w:rsid w:val="00EF65E3"/>
    <w:rsid w:val="00F03590"/>
    <w:rsid w:val="00F03622"/>
    <w:rsid w:val="00F077FD"/>
    <w:rsid w:val="00F1485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6FB2"/>
    <w:rsid w:val="00F9211C"/>
    <w:rsid w:val="00FA095D"/>
    <w:rsid w:val="00FA6C8B"/>
    <w:rsid w:val="00FA7C89"/>
    <w:rsid w:val="00FB3E99"/>
    <w:rsid w:val="00FB4139"/>
    <w:rsid w:val="00FB476E"/>
    <w:rsid w:val="00FC0D90"/>
    <w:rsid w:val="00FC3C76"/>
    <w:rsid w:val="00FC7D8C"/>
    <w:rsid w:val="00FD3980"/>
    <w:rsid w:val="00FD431E"/>
    <w:rsid w:val="00FD5A2C"/>
    <w:rsid w:val="00FE0D47"/>
    <w:rsid w:val="00FE1D5C"/>
    <w:rsid w:val="00FE2F8B"/>
    <w:rsid w:val="00FE3669"/>
    <w:rsid w:val="00FE3947"/>
    <w:rsid w:val="00FE5204"/>
    <w:rsid w:val="00FF0180"/>
    <w:rsid w:val="00FF24FF"/>
    <w:rsid w:val="00FF287F"/>
    <w:rsid w:val="00FF65C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438A304-6544-46CD-8F9D-9136A15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F52741"/>
    <w:rPr>
      <w:rFonts w:asciiTheme="minorHAnsi" w:hAnsiTheme="minorHAnsi"/>
      <w:position w:val="6"/>
      <w:sz w:val="18"/>
    </w:rPr>
  </w:style>
  <w:style w:type="paragraph" w:styleId="FootnoteText">
    <w:name w:val="footnote text"/>
    <w:aliases w:val="ACMA Footnote Text,ALTS FOOTNOTE,Footnote Text Char Char1,Footnote Text Char Char1 Char1 Char Char,Footnote Text Char1,Footnote Text Char1 Char1 Char1 Char,Footnote Text Char1 Char1 Char1 Char Char Char1,Footnote Text Char4 Char Char,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超级链接"/>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enumlev1Char">
    <w:name w:val="enumlev1 Char"/>
    <w:link w:val="enumlev1"/>
    <w:locked/>
    <w:rsid w:val="004206C6"/>
    <w:rPr>
      <w:rFonts w:asciiTheme="minorHAnsi" w:hAnsiTheme="minorHAnsi"/>
      <w:sz w:val="24"/>
      <w:lang w:val="fr-CH" w:eastAsia="en-US"/>
    </w:rPr>
  </w:style>
  <w:style w:type="character" w:customStyle="1" w:styleId="ListParagraphChar">
    <w:name w:val="List Paragraph Char"/>
    <w:aliases w:val="List Paragraph1 Char,Recommendation Char,List Paragraph11 Char"/>
    <w:link w:val="ListParagraph"/>
    <w:uiPriority w:val="34"/>
    <w:rsid w:val="00032EC4"/>
    <w:rPr>
      <w:rFonts w:asciiTheme="minorHAnsi" w:hAnsiTheme="minorHAnsi"/>
      <w:sz w:val="24"/>
      <w:lang w:val="fr-CH" w:eastAsia="en-US"/>
    </w:rPr>
  </w:style>
  <w:style w:type="paragraph" w:styleId="PlainText">
    <w:name w:val="Plain Text"/>
    <w:basedOn w:val="Normal"/>
    <w:link w:val="PlainTextChar"/>
    <w:uiPriority w:val="99"/>
    <w:unhideWhenUsed/>
    <w:rsid w:val="00032EC4"/>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32EC4"/>
    <w:rPr>
      <w:rFonts w:ascii="Calibri" w:eastAsiaTheme="minorEastAsia" w:hAnsi="Calibri" w:cstheme="minorBidi"/>
      <w:sz w:val="22"/>
      <w:szCs w:val="21"/>
    </w:rPr>
  </w:style>
  <w:style w:type="character" w:customStyle="1" w:styleId="FootnoteTextChar">
    <w:name w:val="Footnote Text Char"/>
    <w:aliases w:val="ACMA Footnote Text Char,ALTS FOOTNOTE Char,Footnote Text Char Char1 Char,Footnote Text Char Char1 Char1 Char Char Char,Footnote Text Char1 Char,Footnote Text Char1 Char1 Char1 Char Char,Footnote Text Char4 Char Char Char,DNV- Char"/>
    <w:basedOn w:val="DefaultParagraphFont"/>
    <w:link w:val="FootnoteText"/>
    <w:uiPriority w:val="99"/>
    <w:rsid w:val="00032EC4"/>
    <w:rPr>
      <w:rFonts w:asciiTheme="minorHAnsi" w:hAnsiTheme="minorHAnsi"/>
      <w:sz w:val="24"/>
      <w:lang w:val="fr-CH" w:eastAsia="en-US"/>
    </w:rPr>
  </w:style>
  <w:style w:type="paragraph" w:customStyle="1" w:styleId="CEOcontributionStart">
    <w:name w:val="CEO_contributionStart"/>
    <w:basedOn w:val="Normal"/>
    <w:rsid w:val="006D525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FollowedHyperlink">
    <w:name w:val="FollowedHyperlink"/>
    <w:basedOn w:val="DefaultParagraphFont"/>
    <w:semiHidden/>
    <w:unhideWhenUsed/>
    <w:rsid w:val="006D525C"/>
    <w:rPr>
      <w:color w:val="800080" w:themeColor="followedHyperlink"/>
      <w:u w:val="single"/>
    </w:rPr>
  </w:style>
  <w:style w:type="paragraph" w:customStyle="1" w:styleId="Tabletext10pt">
    <w:name w:val="Table_text + 10 pt"/>
    <w:basedOn w:val="Tabletext"/>
    <w:rsid w:val="00FF24FF"/>
    <w:rPr>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udy-Groups/2018-2021/Pages/meetings/session-Q1-1-sept18.aspx" TargetMode="External"/><Relationship Id="rId18" Type="http://schemas.openxmlformats.org/officeDocument/2006/relationships/hyperlink" Target="https://www.itu.int/md/D18-SG01-R-0002" TargetMode="External"/><Relationship Id="rId26" Type="http://schemas.openxmlformats.org/officeDocument/2006/relationships/hyperlink" Target="https://www.itu.int/md/D18-SG01-R-0006"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md/D18-SG01.rgq-R-0003" TargetMode="External"/><Relationship Id="rId34" Type="http://schemas.openxmlformats.org/officeDocument/2006/relationships/hyperlink" Target="https://www.itu.int/md/D18-SG01-ADM-0002/en" TargetMode="External"/><Relationship Id="rId42" Type="http://schemas.openxmlformats.org/officeDocument/2006/relationships/hyperlink" Target="https://www.itu.int/net4/ITU-D/CDS/sg/rapporteurs.asp?lg=2&amp;sp=201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D/bdt-director/Pages/Speeches.aspx?ItemID=181" TargetMode="External"/><Relationship Id="rId17" Type="http://schemas.openxmlformats.org/officeDocument/2006/relationships/hyperlink" Target="https://www.itu.int/md/D18-SG01.rgq-R-0001" TargetMode="External"/><Relationship Id="rId25" Type="http://schemas.openxmlformats.org/officeDocument/2006/relationships/hyperlink" Target="https://www.itu.int/md/D18-SG01.rgq-R-0005" TargetMode="External"/><Relationship Id="rId33" Type="http://schemas.openxmlformats.org/officeDocument/2006/relationships/hyperlink" Target="https://extranet.itu.int/itu-d/studygroups/SitePages/Home.aspx"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SG01-R-0001" TargetMode="External"/><Relationship Id="rId20" Type="http://schemas.openxmlformats.org/officeDocument/2006/relationships/hyperlink" Target="https://www.itu.int/md/D18-SG01-R-0003" TargetMode="External"/><Relationship Id="rId29" Type="http://schemas.openxmlformats.org/officeDocument/2006/relationships/hyperlink" Target="https://www.itu.int/md/D18-SG01.rgq-R-0007" TargetMode="External"/><Relationship Id="rId41" Type="http://schemas.openxmlformats.org/officeDocument/2006/relationships/hyperlink" Target="https://www.itu.int/net4/ITU-D/CDS/sg/chairmen.asp?lg=2&amp;sp=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blkmeetings.asp?lg=2&amp;sp=2018&amp;blk=20348" TargetMode="External"/><Relationship Id="rId24" Type="http://schemas.openxmlformats.org/officeDocument/2006/relationships/hyperlink" Target="https://www.itu.int/md/D18-SG01-R-0005" TargetMode="External"/><Relationship Id="rId32" Type="http://schemas.openxmlformats.org/officeDocument/2006/relationships/hyperlink" Target="https://www.itu.int/en/ITU-D/Study-Groups/2018-2021/Pages/collaborative-tools.aspx"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en/ITU-D/Study-Groups/2018-2021/Pages/meetings/session-Q7-1-sept18.aspx" TargetMode="External"/><Relationship Id="rId23" Type="http://schemas.openxmlformats.org/officeDocument/2006/relationships/hyperlink" Target="https://www.itu.int/md/D18-SG01.rgq-R-0004" TargetMode="External"/><Relationship Id="rId28" Type="http://schemas.openxmlformats.org/officeDocument/2006/relationships/hyperlink" Target="https://www.itu.int/md/D18-SG01-R-0007" TargetMode="External"/><Relationship Id="rId36" Type="http://schemas.openxmlformats.org/officeDocument/2006/relationships/header" Target="header2.xml"/><Relationship Id="rId10" Type="http://schemas.openxmlformats.org/officeDocument/2006/relationships/hyperlink" Target="https://www.itu.int/md/D18-SG01-ADM-0003/fr" TargetMode="External"/><Relationship Id="rId19" Type="http://schemas.openxmlformats.org/officeDocument/2006/relationships/hyperlink" Target="https://www.itu.int/md/D18-SG01.rgq-R-0002" TargetMode="External"/><Relationship Id="rId31" Type="http://schemas.openxmlformats.org/officeDocument/2006/relationships/hyperlink" Target="https://www.itu.int/en/ITU-D/Study-Groups/2018-2021/Pages/collaborative-tools.aspx"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itu.int/md/D18-SG01-C-0089/fr" TargetMode="External"/><Relationship Id="rId14" Type="http://schemas.openxmlformats.org/officeDocument/2006/relationships/hyperlink" Target="https://www.itu.int/en/ITU-D/Study-Groups/2018-2021/Pages/meetings/session-Q4-1-sept18.aspx" TargetMode="External"/><Relationship Id="rId22" Type="http://schemas.openxmlformats.org/officeDocument/2006/relationships/hyperlink" Target="https://www.itu.int/md/D18-SG01-R-0004" TargetMode="External"/><Relationship Id="rId27" Type="http://schemas.openxmlformats.org/officeDocument/2006/relationships/hyperlink" Target="https://www.itu.int/md/D18-SG01.rgq-R-0006" TargetMode="External"/><Relationship Id="rId30" Type="http://schemas.openxmlformats.org/officeDocument/2006/relationships/hyperlink" Target="https://www.itu.int/md/D18-TDAG23-C-0012/" TargetMode="External"/><Relationship Id="rId35" Type="http://schemas.openxmlformats.org/officeDocument/2006/relationships/header" Target="header1.xml"/><Relationship Id="rId43"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in\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735D-0CF2-4611-AD23-8A0596AE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1247</TotalTime>
  <Pages>14</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Lugrin, Valerie</dc:creator>
  <cp:lastModifiedBy>BDT</cp:lastModifiedBy>
  <cp:revision>32</cp:revision>
  <cp:lastPrinted>2019-03-06T14:25:00Z</cp:lastPrinted>
  <dcterms:created xsi:type="dcterms:W3CDTF">2019-03-05T14:13:00Z</dcterms:created>
  <dcterms:modified xsi:type="dcterms:W3CDTF">2019-03-07T15:13:00Z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