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CF2F04" w:rsidTr="003C4E3D">
        <w:trPr>
          <w:cantSplit/>
          <w:trHeight w:val="1134"/>
        </w:trPr>
        <w:tc>
          <w:tcPr>
            <w:tcW w:w="6663" w:type="dxa"/>
            <w:tcBorders>
              <w:bottom w:val="single" w:sz="12" w:space="0" w:color="auto"/>
            </w:tcBorders>
          </w:tcPr>
          <w:p w:rsidR="00D372A5" w:rsidRPr="00CF2F04" w:rsidRDefault="00D372A5" w:rsidP="00184D13">
            <w:pPr>
              <w:rPr>
                <w:b/>
                <w:bCs/>
                <w:sz w:val="32"/>
                <w:szCs w:val="32"/>
                <w:lang w:val="es-ES_tradnl"/>
              </w:rPr>
            </w:pPr>
            <w:r w:rsidRPr="00CF2F04">
              <w:rPr>
                <w:rFonts w:cstheme="minorHAnsi"/>
                <w:b/>
                <w:bCs/>
                <w:sz w:val="32"/>
                <w:szCs w:val="32"/>
                <w:lang w:val="es-ES_tradnl"/>
              </w:rPr>
              <w:t>Grupo Asesor de Desarrollo de las Telecomunicaciones (GADT</w:t>
            </w:r>
            <w:r w:rsidRPr="00CF2F04">
              <w:rPr>
                <w:b/>
                <w:bCs/>
                <w:sz w:val="32"/>
                <w:szCs w:val="32"/>
                <w:lang w:val="es-ES_tradnl"/>
              </w:rPr>
              <w:t>)</w:t>
            </w:r>
          </w:p>
          <w:p w:rsidR="00D372A5" w:rsidRPr="00CF2F04" w:rsidRDefault="004E7861" w:rsidP="00184D13">
            <w:pPr>
              <w:spacing w:before="100" w:after="120"/>
              <w:rPr>
                <w:rFonts w:ascii="Verdana" w:hAnsi="Verdana"/>
                <w:sz w:val="28"/>
                <w:szCs w:val="28"/>
                <w:lang w:val="es-ES_tradnl"/>
              </w:rPr>
            </w:pPr>
            <w:r w:rsidRPr="00CF2F04">
              <w:rPr>
                <w:b/>
                <w:bCs/>
                <w:sz w:val="26"/>
                <w:szCs w:val="26"/>
                <w:lang w:val="es-ES_tradnl"/>
              </w:rPr>
              <w:t>24ª reunión, Ginebra, 3-5 de abril de 2019</w:t>
            </w:r>
          </w:p>
        </w:tc>
        <w:tc>
          <w:tcPr>
            <w:tcW w:w="3225" w:type="dxa"/>
            <w:tcBorders>
              <w:bottom w:val="single" w:sz="12" w:space="0" w:color="auto"/>
            </w:tcBorders>
          </w:tcPr>
          <w:p w:rsidR="00D372A5" w:rsidRPr="00CF2F04" w:rsidRDefault="004E7861" w:rsidP="00184D13">
            <w:pPr>
              <w:spacing w:before="40" w:after="80"/>
              <w:ind w:right="142"/>
              <w:jc w:val="right"/>
              <w:rPr>
                <w:lang w:val="es-ES_tradnl"/>
              </w:rPr>
            </w:pPr>
            <w:r w:rsidRPr="00CF2F04">
              <w:rPr>
                <w:noProof/>
                <w:color w:val="3399FF"/>
                <w:lang w:val="en-GB" w:eastAsia="zh-CN"/>
              </w:rPr>
              <w:drawing>
                <wp:inline distT="0" distB="0" distL="0" distR="0" wp14:anchorId="3180C089" wp14:editId="3367253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CF2F04" w:rsidTr="004B7893">
        <w:trPr>
          <w:cantSplit/>
        </w:trPr>
        <w:tc>
          <w:tcPr>
            <w:tcW w:w="6663" w:type="dxa"/>
            <w:tcBorders>
              <w:top w:val="single" w:sz="12" w:space="0" w:color="auto"/>
            </w:tcBorders>
          </w:tcPr>
          <w:p w:rsidR="004B7893" w:rsidRPr="00CF2F04" w:rsidRDefault="004B7893" w:rsidP="00184D13">
            <w:pPr>
              <w:spacing w:before="0"/>
              <w:rPr>
                <w:rFonts w:cs="Arial"/>
                <w:b/>
                <w:bCs/>
                <w:sz w:val="20"/>
                <w:lang w:val="es-ES_tradnl"/>
              </w:rPr>
            </w:pPr>
          </w:p>
        </w:tc>
        <w:tc>
          <w:tcPr>
            <w:tcW w:w="3225" w:type="dxa"/>
            <w:tcBorders>
              <w:top w:val="single" w:sz="12" w:space="0" w:color="auto"/>
            </w:tcBorders>
          </w:tcPr>
          <w:p w:rsidR="004B7893" w:rsidRPr="00CF2F04" w:rsidRDefault="004B7893" w:rsidP="00184D13">
            <w:pPr>
              <w:spacing w:before="0"/>
              <w:rPr>
                <w:b/>
                <w:bCs/>
                <w:sz w:val="20"/>
                <w:lang w:val="es-ES_tradnl"/>
              </w:rPr>
            </w:pPr>
          </w:p>
        </w:tc>
      </w:tr>
      <w:tr w:rsidR="004B7893" w:rsidRPr="00CF2F04" w:rsidTr="004B7893">
        <w:trPr>
          <w:cantSplit/>
        </w:trPr>
        <w:tc>
          <w:tcPr>
            <w:tcW w:w="6663" w:type="dxa"/>
          </w:tcPr>
          <w:p w:rsidR="004B7893" w:rsidRPr="00CF2F04" w:rsidRDefault="004B7893" w:rsidP="00184D13">
            <w:pPr>
              <w:pStyle w:val="Committee"/>
              <w:spacing w:before="0"/>
              <w:rPr>
                <w:b w:val="0"/>
                <w:lang w:val="es-ES_tradnl"/>
              </w:rPr>
            </w:pPr>
          </w:p>
        </w:tc>
        <w:tc>
          <w:tcPr>
            <w:tcW w:w="3225" w:type="dxa"/>
          </w:tcPr>
          <w:p w:rsidR="004B7893" w:rsidRPr="00CF2F04" w:rsidRDefault="005637B9" w:rsidP="00184D13">
            <w:pPr>
              <w:spacing w:before="0"/>
              <w:rPr>
                <w:bCs/>
                <w:lang w:val="es-ES_tradnl"/>
              </w:rPr>
            </w:pPr>
            <w:r w:rsidRPr="00CF2F04">
              <w:rPr>
                <w:b/>
                <w:bCs/>
                <w:lang w:val="es-ES_tradnl"/>
              </w:rPr>
              <w:t xml:space="preserve">Documento </w:t>
            </w:r>
            <w:bookmarkStart w:id="0" w:name="DocRef1"/>
            <w:bookmarkEnd w:id="0"/>
            <w:r w:rsidRPr="00CF2F04">
              <w:rPr>
                <w:b/>
                <w:bCs/>
                <w:lang w:val="es-ES_tradnl"/>
              </w:rPr>
              <w:t>TDAG</w:t>
            </w:r>
            <w:r w:rsidR="00602B27" w:rsidRPr="00CF2F04">
              <w:rPr>
                <w:b/>
                <w:bCs/>
                <w:lang w:val="es-ES_tradnl"/>
              </w:rPr>
              <w:t>-</w:t>
            </w:r>
            <w:r w:rsidRPr="00CF2F04">
              <w:rPr>
                <w:b/>
                <w:bCs/>
                <w:lang w:val="es-ES_tradnl"/>
              </w:rPr>
              <w:t>1</w:t>
            </w:r>
            <w:r w:rsidR="004E7861" w:rsidRPr="00CF2F04">
              <w:rPr>
                <w:b/>
                <w:bCs/>
                <w:lang w:val="es-ES_tradnl"/>
              </w:rPr>
              <w:t>9</w:t>
            </w:r>
            <w:r w:rsidRPr="00CF2F04">
              <w:rPr>
                <w:b/>
                <w:bCs/>
                <w:lang w:val="es-ES_tradnl"/>
              </w:rPr>
              <w:t>/</w:t>
            </w:r>
            <w:bookmarkStart w:id="1" w:name="DocNo1"/>
            <w:bookmarkEnd w:id="1"/>
            <w:r w:rsidR="003B4465" w:rsidRPr="00CF2F04">
              <w:rPr>
                <w:b/>
                <w:bCs/>
                <w:lang w:val="es-ES_tradnl"/>
              </w:rPr>
              <w:t>12</w:t>
            </w:r>
            <w:r w:rsidRPr="00CF2F04">
              <w:rPr>
                <w:b/>
                <w:bCs/>
                <w:lang w:val="es-ES_tradnl"/>
              </w:rPr>
              <w:t>-S</w:t>
            </w:r>
          </w:p>
        </w:tc>
      </w:tr>
      <w:tr w:rsidR="004B7893" w:rsidRPr="00CF2F04" w:rsidTr="004B7893">
        <w:trPr>
          <w:cantSplit/>
        </w:trPr>
        <w:tc>
          <w:tcPr>
            <w:tcW w:w="6663" w:type="dxa"/>
          </w:tcPr>
          <w:p w:rsidR="004B7893" w:rsidRPr="00CF2F04" w:rsidRDefault="004B7893" w:rsidP="00184D13">
            <w:pPr>
              <w:spacing w:before="0"/>
              <w:rPr>
                <w:b/>
                <w:bCs/>
                <w:smallCaps/>
                <w:lang w:val="es-ES_tradnl"/>
              </w:rPr>
            </w:pPr>
          </w:p>
        </w:tc>
        <w:tc>
          <w:tcPr>
            <w:tcW w:w="3225" w:type="dxa"/>
          </w:tcPr>
          <w:p w:rsidR="004B7893" w:rsidRPr="00CF2F04" w:rsidRDefault="003B4465" w:rsidP="00184D13">
            <w:pPr>
              <w:spacing w:before="0"/>
              <w:rPr>
                <w:b/>
                <w:lang w:val="es-ES_tradnl"/>
              </w:rPr>
            </w:pPr>
            <w:bookmarkStart w:id="2" w:name="CreationDate"/>
            <w:bookmarkEnd w:id="2"/>
            <w:r w:rsidRPr="00CF2F04">
              <w:rPr>
                <w:b/>
                <w:bCs/>
                <w:szCs w:val="28"/>
                <w:lang w:val="es-ES_tradnl"/>
              </w:rPr>
              <w:t>6 de febrero de</w:t>
            </w:r>
            <w:r w:rsidR="00BC7208" w:rsidRPr="00CF2F04">
              <w:rPr>
                <w:b/>
                <w:bCs/>
                <w:szCs w:val="28"/>
                <w:lang w:val="es-ES_tradnl"/>
              </w:rPr>
              <w:t xml:space="preserve"> 201</w:t>
            </w:r>
            <w:r w:rsidR="004E7861" w:rsidRPr="00CF2F04">
              <w:rPr>
                <w:b/>
                <w:bCs/>
                <w:szCs w:val="28"/>
                <w:lang w:val="es-ES_tradnl"/>
              </w:rPr>
              <w:t>9</w:t>
            </w:r>
          </w:p>
        </w:tc>
      </w:tr>
      <w:tr w:rsidR="004B7893" w:rsidRPr="00CF2F04" w:rsidTr="004B7893">
        <w:trPr>
          <w:cantSplit/>
        </w:trPr>
        <w:tc>
          <w:tcPr>
            <w:tcW w:w="6663" w:type="dxa"/>
          </w:tcPr>
          <w:p w:rsidR="004B7893" w:rsidRPr="00CF2F04" w:rsidRDefault="004B7893" w:rsidP="00184D13">
            <w:pPr>
              <w:spacing w:before="0"/>
              <w:rPr>
                <w:b/>
                <w:bCs/>
                <w:smallCaps/>
                <w:lang w:val="es-ES_tradnl"/>
              </w:rPr>
            </w:pPr>
          </w:p>
        </w:tc>
        <w:tc>
          <w:tcPr>
            <w:tcW w:w="3225" w:type="dxa"/>
          </w:tcPr>
          <w:p w:rsidR="004B7893" w:rsidRPr="00CF2F04" w:rsidRDefault="005637B9" w:rsidP="00184D13">
            <w:pPr>
              <w:spacing w:before="0"/>
              <w:rPr>
                <w:szCs w:val="24"/>
                <w:lang w:val="es-ES_tradnl"/>
              </w:rPr>
            </w:pPr>
            <w:r w:rsidRPr="00CF2F04">
              <w:rPr>
                <w:b/>
                <w:lang w:val="es-ES_tradnl"/>
              </w:rPr>
              <w:t>Original:</w:t>
            </w:r>
            <w:bookmarkStart w:id="3" w:name="Original"/>
            <w:bookmarkEnd w:id="3"/>
            <w:r w:rsidRPr="00CF2F04">
              <w:rPr>
                <w:b/>
                <w:lang w:val="es-ES_tradnl"/>
              </w:rPr>
              <w:t xml:space="preserve"> </w:t>
            </w:r>
            <w:r w:rsidR="003B4465" w:rsidRPr="00CF2F04">
              <w:rPr>
                <w:b/>
                <w:lang w:val="es-ES_tradnl"/>
              </w:rPr>
              <w:t>inglés</w:t>
            </w:r>
          </w:p>
        </w:tc>
      </w:tr>
      <w:tr w:rsidR="004B7893" w:rsidRPr="004D42A2" w:rsidTr="004B7893">
        <w:trPr>
          <w:cantSplit/>
          <w:trHeight w:val="852"/>
        </w:trPr>
        <w:tc>
          <w:tcPr>
            <w:tcW w:w="9888" w:type="dxa"/>
            <w:gridSpan w:val="2"/>
          </w:tcPr>
          <w:p w:rsidR="004B7893" w:rsidRPr="00CF2F04" w:rsidRDefault="005A1FAB" w:rsidP="00184D13">
            <w:pPr>
              <w:pStyle w:val="Source"/>
              <w:rPr>
                <w:szCs w:val="28"/>
                <w:lang w:val="es-ES_tradnl"/>
              </w:rPr>
            </w:pPr>
            <w:bookmarkStart w:id="4" w:name="Source"/>
            <w:bookmarkStart w:id="5" w:name="lt_pId007"/>
            <w:bookmarkEnd w:id="4"/>
            <w:r w:rsidRPr="00CF2F04">
              <w:rPr>
                <w:bCs/>
                <w:szCs w:val="28"/>
                <w:lang w:val="es-ES_tradnl"/>
              </w:rPr>
              <w:t>Presidenta de la Comisión de Estudio 1 del UIT-D</w:t>
            </w:r>
            <w:bookmarkEnd w:id="5"/>
          </w:p>
        </w:tc>
      </w:tr>
      <w:tr w:rsidR="004B7893" w:rsidRPr="004D42A2" w:rsidTr="004B7893">
        <w:trPr>
          <w:cantSplit/>
        </w:trPr>
        <w:tc>
          <w:tcPr>
            <w:tcW w:w="9888" w:type="dxa"/>
            <w:gridSpan w:val="2"/>
          </w:tcPr>
          <w:p w:rsidR="004B7893" w:rsidRPr="00CF2F04" w:rsidRDefault="005A1FAB" w:rsidP="00184D13">
            <w:pPr>
              <w:pStyle w:val="Title1"/>
              <w:rPr>
                <w:bCs/>
                <w:szCs w:val="28"/>
                <w:lang w:val="es-ES_tradnl"/>
              </w:rPr>
            </w:pPr>
            <w:bookmarkStart w:id="6" w:name="Title"/>
            <w:bookmarkStart w:id="7" w:name="lt_pId008"/>
            <w:bookmarkEnd w:id="6"/>
            <w:r w:rsidRPr="00CF2F04">
              <w:rPr>
                <w:szCs w:val="28"/>
                <w:lang w:val="es-ES_tradnl"/>
              </w:rPr>
              <w:t>COMISIÓN DE ESTUDIO 1 DEL UIT-D – ACTIVIDADES Y AVANCES</w:t>
            </w:r>
            <w:bookmarkEnd w:id="7"/>
          </w:p>
        </w:tc>
      </w:tr>
      <w:tr w:rsidR="004B7893" w:rsidRPr="004D42A2" w:rsidTr="004B7893">
        <w:trPr>
          <w:cantSplit/>
        </w:trPr>
        <w:tc>
          <w:tcPr>
            <w:tcW w:w="9888" w:type="dxa"/>
            <w:gridSpan w:val="2"/>
            <w:tcBorders>
              <w:bottom w:val="single" w:sz="4" w:space="0" w:color="auto"/>
            </w:tcBorders>
          </w:tcPr>
          <w:p w:rsidR="004B7893" w:rsidRPr="00CF2F04" w:rsidRDefault="004B7893" w:rsidP="00184D13">
            <w:pPr>
              <w:rPr>
                <w:lang w:val="es-ES_tradnl"/>
              </w:rPr>
            </w:pPr>
          </w:p>
        </w:tc>
      </w:tr>
      <w:tr w:rsidR="004B7893" w:rsidRPr="004D42A2"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CF2F04" w:rsidRDefault="004B7893" w:rsidP="00184D13">
            <w:pPr>
              <w:spacing w:before="240"/>
              <w:rPr>
                <w:b/>
                <w:bCs/>
                <w:lang w:val="es-ES_tradnl"/>
              </w:rPr>
            </w:pPr>
            <w:r w:rsidRPr="00CF2F04">
              <w:rPr>
                <w:b/>
                <w:bCs/>
                <w:lang w:val="es-ES_tradnl"/>
              </w:rPr>
              <w:t>Resumen:</w:t>
            </w:r>
          </w:p>
          <w:p w:rsidR="003C4E3D" w:rsidRPr="00CF2F04" w:rsidRDefault="005A1FAB" w:rsidP="00201748">
            <w:pPr>
              <w:rPr>
                <w:lang w:val="es-ES_tradnl"/>
              </w:rPr>
            </w:pPr>
            <w:bookmarkStart w:id="8" w:name="lt_pId011"/>
            <w:r w:rsidRPr="00CF2F04">
              <w:rPr>
                <w:lang w:val="es-ES_tradnl"/>
              </w:rPr>
              <w:t xml:space="preserve">En </w:t>
            </w:r>
            <w:r w:rsidR="00201748" w:rsidRPr="00CF2F04">
              <w:rPr>
                <w:lang w:val="es-ES_tradnl"/>
              </w:rPr>
              <w:t>el presente</w:t>
            </w:r>
            <w:r w:rsidRPr="00CF2F04">
              <w:rPr>
                <w:lang w:val="es-ES_tradnl"/>
              </w:rPr>
              <w:t xml:space="preserve"> informe se presenta al GADT la situación actual de l</w:t>
            </w:r>
            <w:r w:rsidR="00390989">
              <w:rPr>
                <w:lang w:val="es-ES_tradnl"/>
              </w:rPr>
              <w:t>a Comisión de Estudio 1 del </w:t>
            </w:r>
            <w:r w:rsidR="004D42A2">
              <w:rPr>
                <w:lang w:val="es-ES_tradnl"/>
              </w:rPr>
              <w:t>UIT</w:t>
            </w:r>
            <w:r w:rsidR="004D42A2">
              <w:rPr>
                <w:lang w:val="es-ES_tradnl"/>
              </w:rPr>
              <w:noBreakHyphen/>
            </w:r>
            <w:r w:rsidRPr="00CF2F04">
              <w:rPr>
                <w:lang w:val="es-ES_tradnl"/>
              </w:rPr>
              <w:t xml:space="preserve">D. Contiene varios elementos destacados de la </w:t>
            </w:r>
            <w:r w:rsidR="000B7BEC" w:rsidRPr="00CF2F04">
              <w:rPr>
                <w:lang w:val="es-ES_tradnl"/>
              </w:rPr>
              <w:t>primera</w:t>
            </w:r>
            <w:r w:rsidRPr="00CF2F04">
              <w:rPr>
                <w:lang w:val="es-ES_tradnl"/>
              </w:rPr>
              <w:t xml:space="preserve"> reunión de la CE </w:t>
            </w:r>
            <w:r w:rsidR="00CF2F04">
              <w:rPr>
                <w:lang w:val="es-ES_tradnl"/>
              </w:rPr>
              <w:t>1 para el peri</w:t>
            </w:r>
            <w:r w:rsidRPr="00CF2F04">
              <w:rPr>
                <w:lang w:val="es-ES_tradnl"/>
              </w:rPr>
              <w:t>odo de estudios 201</w:t>
            </w:r>
            <w:r w:rsidR="003C4E3D" w:rsidRPr="00CF2F04">
              <w:rPr>
                <w:lang w:val="es-ES_tradnl"/>
              </w:rPr>
              <w:t>8</w:t>
            </w:r>
            <w:r w:rsidRPr="00CF2F04">
              <w:rPr>
                <w:lang w:val="es-ES_tradnl"/>
              </w:rPr>
              <w:t>-20</w:t>
            </w:r>
            <w:r w:rsidR="003C4E3D" w:rsidRPr="00CF2F04">
              <w:rPr>
                <w:lang w:val="es-ES_tradnl"/>
              </w:rPr>
              <w:t>21</w:t>
            </w:r>
            <w:r w:rsidRPr="00CF2F04">
              <w:rPr>
                <w:lang w:val="es-ES_tradnl"/>
              </w:rPr>
              <w:t xml:space="preserve"> que </w:t>
            </w:r>
            <w:r w:rsidR="003C4E3D" w:rsidRPr="00CF2F04">
              <w:rPr>
                <w:lang w:val="es-ES_tradnl"/>
              </w:rPr>
              <w:t xml:space="preserve">se celebró del 30 de abril al 4 de mayo de </w:t>
            </w:r>
            <w:r w:rsidRPr="00CF2F04">
              <w:rPr>
                <w:lang w:val="es-ES_tradnl"/>
              </w:rPr>
              <w:t>201</w:t>
            </w:r>
            <w:r w:rsidR="003C4E3D" w:rsidRPr="00CF2F04">
              <w:rPr>
                <w:lang w:val="es-ES_tradnl"/>
              </w:rPr>
              <w:t>8 y de las reuniones del Grupo de Relator celebradas del 17 al 28 de septiembre</w:t>
            </w:r>
            <w:r w:rsidRPr="00CF2F04">
              <w:rPr>
                <w:lang w:val="es-ES_tradnl"/>
              </w:rPr>
              <w:t>, y</w:t>
            </w:r>
            <w:r w:rsidR="00390989">
              <w:rPr>
                <w:lang w:val="es-ES_tradnl"/>
              </w:rPr>
              <w:t xml:space="preserve"> un examen del plan de trabajo.</w:t>
            </w:r>
          </w:p>
          <w:p w:rsidR="004B7893" w:rsidRPr="00CF2F04" w:rsidRDefault="005A1FAB" w:rsidP="00184D13">
            <w:pPr>
              <w:rPr>
                <w:b/>
                <w:bCs/>
                <w:lang w:val="es-ES_tradnl"/>
              </w:rPr>
            </w:pPr>
            <w:r w:rsidRPr="00CF2F04">
              <w:rPr>
                <w:lang w:val="es-ES_tradnl"/>
              </w:rPr>
              <w:t xml:space="preserve">Cabe señalar que los Grupos de Relator para las </w:t>
            </w:r>
            <w:r w:rsidR="003C4E3D" w:rsidRPr="00CF2F04">
              <w:rPr>
                <w:lang w:val="es-ES_tradnl"/>
              </w:rPr>
              <w:t>siete</w:t>
            </w:r>
            <w:r w:rsidRPr="00CF2F04">
              <w:rPr>
                <w:lang w:val="es-ES_tradnl"/>
              </w:rPr>
              <w:t xml:space="preserve"> cuestiones de la CE 1 están progresando bien conforme a los resultados previstos de la CMDT</w:t>
            </w:r>
            <w:bookmarkStart w:id="9" w:name="lt_pId013"/>
            <w:bookmarkEnd w:id="8"/>
            <w:r w:rsidRPr="00CF2F04">
              <w:rPr>
                <w:bCs/>
                <w:szCs w:val="24"/>
                <w:lang w:val="es-ES_tradnl"/>
              </w:rPr>
              <w:t>.</w:t>
            </w:r>
            <w:bookmarkEnd w:id="9"/>
          </w:p>
          <w:p w:rsidR="004B7893" w:rsidRPr="00CF2F04" w:rsidRDefault="00390989" w:rsidP="00184D13">
            <w:pPr>
              <w:rPr>
                <w:b/>
                <w:bCs/>
                <w:lang w:val="es-ES_tradnl"/>
              </w:rPr>
            </w:pPr>
            <w:r>
              <w:rPr>
                <w:b/>
                <w:bCs/>
                <w:lang w:val="es-ES_tradnl"/>
              </w:rPr>
              <w:t>Acción solicitada:</w:t>
            </w:r>
          </w:p>
          <w:p w:rsidR="004B7893" w:rsidRPr="00CF2F04" w:rsidRDefault="005A1FAB" w:rsidP="00184D13">
            <w:pPr>
              <w:rPr>
                <w:b/>
                <w:bCs/>
                <w:lang w:val="es-ES_tradnl"/>
              </w:rPr>
            </w:pPr>
            <w:bookmarkStart w:id="10" w:name="lt_pId015"/>
            <w:r w:rsidRPr="00CF2F04">
              <w:rPr>
                <w:lang w:val="es-ES_tradnl"/>
              </w:rPr>
              <w:t xml:space="preserve">Se invita al GADT a tomar nota del presente </w:t>
            </w:r>
            <w:r w:rsidR="003C4E3D" w:rsidRPr="00CF2F04">
              <w:rPr>
                <w:lang w:val="es-ES_tradnl"/>
              </w:rPr>
              <w:t>documento</w:t>
            </w:r>
            <w:r w:rsidRPr="00CF2F04">
              <w:rPr>
                <w:lang w:val="es-ES_tradnl"/>
              </w:rPr>
              <w:t xml:space="preserve"> y a dar las indicaciones que considere apropiadas.</w:t>
            </w:r>
            <w:bookmarkEnd w:id="10"/>
          </w:p>
          <w:p w:rsidR="004B7893" w:rsidRPr="00CF2F04" w:rsidRDefault="004B7893" w:rsidP="00184D13">
            <w:pPr>
              <w:rPr>
                <w:b/>
                <w:bCs/>
                <w:lang w:val="es-ES_tradnl"/>
              </w:rPr>
            </w:pPr>
            <w:r w:rsidRPr="00CF2F04">
              <w:rPr>
                <w:b/>
                <w:bCs/>
                <w:lang w:val="es-ES_tradnl"/>
              </w:rPr>
              <w:t>Referencias:</w:t>
            </w:r>
          </w:p>
          <w:p w:rsidR="004B7893" w:rsidRPr="00CF2F04" w:rsidRDefault="003C4E3D" w:rsidP="00184D13">
            <w:pPr>
              <w:rPr>
                <w:b/>
                <w:bCs/>
                <w:lang w:val="es-ES_tradnl"/>
              </w:rPr>
            </w:pPr>
            <w:r w:rsidRPr="00CF2F04">
              <w:rPr>
                <w:lang w:val="es-ES_tradnl"/>
              </w:rPr>
              <w:t>Resolución 2 de la CMDT (</w:t>
            </w:r>
            <w:r w:rsidR="005A1FAB" w:rsidRPr="00CF2F04">
              <w:rPr>
                <w:lang w:val="es-ES_tradnl"/>
              </w:rPr>
              <w:t xml:space="preserve">Rev. Buenos Aires, 2017), </w:t>
            </w:r>
            <w:r w:rsidRPr="00CF2F04">
              <w:rPr>
                <w:lang w:val="es-ES_tradnl"/>
              </w:rPr>
              <w:t>Resolución</w:t>
            </w:r>
            <w:r w:rsidR="005A1FAB" w:rsidRPr="00CF2F04">
              <w:rPr>
                <w:lang w:val="es-ES_tradnl"/>
              </w:rPr>
              <w:t xml:space="preserve"> 1</w:t>
            </w:r>
            <w:r w:rsidR="00E71C65" w:rsidRPr="00CF2F04">
              <w:rPr>
                <w:lang w:val="es-ES_tradnl"/>
              </w:rPr>
              <w:t xml:space="preserve"> de la CMDT </w:t>
            </w:r>
            <w:r w:rsidR="005A1FAB" w:rsidRPr="00CF2F04">
              <w:rPr>
                <w:lang w:val="es-ES_tradnl"/>
              </w:rPr>
              <w:t>(Rev. Buenos Aires, 2017)</w:t>
            </w:r>
          </w:p>
        </w:tc>
      </w:tr>
    </w:tbl>
    <w:p w:rsidR="00835A77" w:rsidRPr="00CF2F04" w:rsidRDefault="00835A77" w:rsidP="00184D13">
      <w:pPr>
        <w:rPr>
          <w:lang w:val="es-ES_tradnl"/>
        </w:rPr>
      </w:pPr>
    </w:p>
    <w:p w:rsidR="005A1FAB" w:rsidRPr="00CF2F04" w:rsidRDefault="005A1FAB" w:rsidP="00184D13">
      <w:pPr>
        <w:tabs>
          <w:tab w:val="clear" w:pos="794"/>
          <w:tab w:val="clear" w:pos="1191"/>
          <w:tab w:val="clear" w:pos="1588"/>
          <w:tab w:val="clear" w:pos="1985"/>
        </w:tabs>
        <w:overflowPunct/>
        <w:autoSpaceDE/>
        <w:autoSpaceDN/>
        <w:adjustRightInd/>
        <w:spacing w:before="0" w:after="200"/>
        <w:textAlignment w:val="auto"/>
        <w:rPr>
          <w:lang w:val="es-ES_tradnl"/>
        </w:rPr>
      </w:pPr>
      <w:r w:rsidRPr="00CF2F04">
        <w:rPr>
          <w:lang w:val="es-ES_tradnl"/>
        </w:rPr>
        <w:br w:type="page"/>
      </w:r>
    </w:p>
    <w:p w:rsidR="00C50167" w:rsidRPr="00CF2F04" w:rsidRDefault="00762478" w:rsidP="00184D13">
      <w:pPr>
        <w:pStyle w:val="Heading1"/>
        <w:rPr>
          <w:lang w:val="es-ES_tradnl"/>
        </w:rPr>
      </w:pPr>
      <w:r w:rsidRPr="00CF2F04">
        <w:rPr>
          <w:lang w:val="es-ES_tradnl"/>
        </w:rPr>
        <w:lastRenderedPageBreak/>
        <w:t>1</w:t>
      </w:r>
      <w:r w:rsidRPr="00CF2F04">
        <w:rPr>
          <w:lang w:val="es-ES_tradnl"/>
        </w:rPr>
        <w:tab/>
      </w:r>
      <w:r w:rsidR="00E71C65" w:rsidRPr="00CF2F04">
        <w:rPr>
          <w:lang w:val="es-ES_tradnl"/>
        </w:rPr>
        <w:t>Elementos destacados</w:t>
      </w:r>
    </w:p>
    <w:p w:rsidR="00C50167" w:rsidRPr="00CF2F04" w:rsidRDefault="00762478" w:rsidP="00184D13">
      <w:pPr>
        <w:spacing w:after="120"/>
        <w:rPr>
          <w:lang w:val="es-ES_tradnl"/>
        </w:rPr>
      </w:pPr>
      <w:r w:rsidRPr="00CF2F04">
        <w:rPr>
          <w:rFonts w:cstheme="minorHAnsi"/>
          <w:szCs w:val="24"/>
          <w:lang w:val="es-ES_tradnl"/>
        </w:rPr>
        <w:t xml:space="preserve">La Comisión de Estudio 1 (CE 1) </w:t>
      </w:r>
      <w:r w:rsidR="00E71C65" w:rsidRPr="00CF2F04">
        <w:rPr>
          <w:rFonts w:cstheme="minorHAnsi"/>
          <w:szCs w:val="24"/>
          <w:lang w:val="es-ES_tradnl"/>
        </w:rPr>
        <w:t>examina los asuntos relativos al entorno propicio para el desarrollo de las telecomunicaciones/TIC</w:t>
      </w:r>
      <w:r w:rsidRPr="00CF2F04">
        <w:rPr>
          <w:rFonts w:cstheme="minorHAnsi"/>
          <w:szCs w:val="24"/>
          <w:lang w:val="es-ES_tradnl"/>
        </w:rPr>
        <w:t>. A tal efecto, la CE 1 abarca siete temas sustantivos, en particular políticas, reglamentos, técnicas y estrategias nacionales de telecomunicaciones/TIC, que permiten a los países aprovechar de la mejor manera posible las ventajas de las telecomunicaciones/TIC y el acceso a telecomunicaciones/TIC en zonas rurales y alejadas, así como las políticas económicas y los métodos para determinar los costos de los servicios asociados a las telecomunicaciones/TIC a nivel nacional. La CE 1 también aborda diversos aspectos de la migración a la radiodifusión digital y la adopción de la misma, la implantación de nuevos servicios, la protección del consumidor y el acceso de las personas con discapacidad o necesidades específicas a los servicios de telecomunicaciones/TIC</w:t>
      </w:r>
      <w:r w:rsidRPr="00CF2F04">
        <w:rPr>
          <w:lang w:val="es-ES_tradnl"/>
        </w:rPr>
        <w:t>.</w:t>
      </w:r>
    </w:p>
    <w:p w:rsidR="000C2704" w:rsidRPr="00CF2F04" w:rsidRDefault="00A43E7B" w:rsidP="00184D13">
      <w:pPr>
        <w:spacing w:after="120"/>
        <w:rPr>
          <w:rFonts w:cstheme="minorHAnsi"/>
          <w:szCs w:val="24"/>
          <w:lang w:val="es-ES_tradnl"/>
        </w:rPr>
      </w:pPr>
      <w:r w:rsidRPr="00CF2F04">
        <w:rPr>
          <w:rFonts w:cstheme="minorHAnsi"/>
          <w:szCs w:val="24"/>
          <w:lang w:val="es-ES_tradnl"/>
        </w:rPr>
        <w:t xml:space="preserve">A continuación se enumeran los puntos destacados </w:t>
      </w:r>
      <w:r w:rsidR="000C2704" w:rsidRPr="00CF2F04">
        <w:rPr>
          <w:rFonts w:cstheme="minorHAnsi"/>
          <w:szCs w:val="24"/>
          <w:lang w:val="es-ES_tradnl"/>
        </w:rPr>
        <w:t>de la pri</w:t>
      </w:r>
      <w:r w:rsidRPr="00CF2F04">
        <w:rPr>
          <w:rFonts w:cstheme="minorHAnsi"/>
          <w:szCs w:val="24"/>
          <w:lang w:val="es-ES_tradnl"/>
        </w:rPr>
        <w:t>mera reuni</w:t>
      </w:r>
      <w:r w:rsidR="00CF2F04">
        <w:rPr>
          <w:rFonts w:cstheme="minorHAnsi"/>
          <w:szCs w:val="24"/>
          <w:lang w:val="es-ES_tradnl"/>
        </w:rPr>
        <w:t>ón de la CE 1 del peri</w:t>
      </w:r>
      <w:r w:rsidR="000C2704" w:rsidRPr="00CF2F04">
        <w:rPr>
          <w:rFonts w:cstheme="minorHAnsi"/>
          <w:szCs w:val="24"/>
          <w:lang w:val="es-ES_tradnl"/>
        </w:rPr>
        <w:t>odo de estudios 2018-2021:</w:t>
      </w:r>
    </w:p>
    <w:p w:rsidR="000C2704" w:rsidRPr="00CF2F04" w:rsidRDefault="000C2704" w:rsidP="00184D13">
      <w:pPr>
        <w:pStyle w:val="enumlev1"/>
        <w:rPr>
          <w:lang w:val="es-ES_tradnl"/>
        </w:rPr>
      </w:pPr>
      <w:r w:rsidRPr="00CF2F04">
        <w:rPr>
          <w:lang w:val="es-ES_tradnl"/>
        </w:rPr>
        <w:t>–</w:t>
      </w:r>
      <w:r w:rsidRPr="00CF2F04">
        <w:rPr>
          <w:lang w:val="es-ES_tradnl"/>
        </w:rPr>
        <w:tab/>
      </w:r>
      <w:r w:rsidR="00A43E7B" w:rsidRPr="00CF2F04">
        <w:rPr>
          <w:lang w:val="es-ES_tradnl"/>
        </w:rPr>
        <w:t>Se contó con l</w:t>
      </w:r>
      <w:r w:rsidRPr="00CF2F04">
        <w:rPr>
          <w:lang w:val="es-ES_tradnl"/>
        </w:rPr>
        <w:t>a colaboración de 131 parti</w:t>
      </w:r>
      <w:r w:rsidR="00A43E7B" w:rsidRPr="00CF2F04">
        <w:rPr>
          <w:lang w:val="es-ES_tradnl"/>
        </w:rPr>
        <w:t>cipantes de 57 Estados Miembros.</w:t>
      </w:r>
    </w:p>
    <w:p w:rsidR="000C2704" w:rsidRPr="00CF2F04" w:rsidRDefault="000C2704" w:rsidP="00184D13">
      <w:pPr>
        <w:pStyle w:val="enumlev1"/>
        <w:rPr>
          <w:lang w:val="es-ES_tradnl"/>
        </w:rPr>
      </w:pPr>
      <w:r w:rsidRPr="00CF2F04">
        <w:rPr>
          <w:lang w:val="es-ES_tradnl"/>
        </w:rPr>
        <w:t>–</w:t>
      </w:r>
      <w:r w:rsidRPr="00CF2F04">
        <w:rPr>
          <w:lang w:val="es-ES_tradnl"/>
        </w:rPr>
        <w:tab/>
      </w:r>
      <w:r w:rsidR="00A43E7B" w:rsidRPr="00CF2F04">
        <w:rPr>
          <w:lang w:val="es-ES_tradnl"/>
        </w:rPr>
        <w:t>Se nombró a</w:t>
      </w:r>
      <w:r w:rsidRPr="00CF2F04">
        <w:rPr>
          <w:lang w:val="es-ES_tradnl"/>
        </w:rPr>
        <w:t xml:space="preserve"> 9 Relatores/</w:t>
      </w:r>
      <w:proofErr w:type="spellStart"/>
      <w:r w:rsidRPr="00CF2F04">
        <w:rPr>
          <w:lang w:val="es-ES_tradnl"/>
        </w:rPr>
        <w:t>Correlatores</w:t>
      </w:r>
      <w:proofErr w:type="spellEnd"/>
      <w:r w:rsidRPr="00CF2F04">
        <w:rPr>
          <w:lang w:val="es-ES_tradnl"/>
        </w:rPr>
        <w:t xml:space="preserve"> y 71 Vicepresidentes para dirigir l</w:t>
      </w:r>
      <w:r w:rsidR="00A43E7B" w:rsidRPr="00CF2F04">
        <w:rPr>
          <w:lang w:val="es-ES_tradnl"/>
        </w:rPr>
        <w:t>as Cuestiones objeto de estudio.</w:t>
      </w:r>
    </w:p>
    <w:p w:rsidR="000C2704" w:rsidRPr="00CF2F04" w:rsidRDefault="000C2704" w:rsidP="00184D13">
      <w:pPr>
        <w:pStyle w:val="enumlev1"/>
        <w:rPr>
          <w:lang w:val="es-ES_tradnl"/>
        </w:rPr>
      </w:pPr>
      <w:r w:rsidRPr="00CF2F04">
        <w:rPr>
          <w:lang w:val="es-ES_tradnl"/>
        </w:rPr>
        <w:t>–</w:t>
      </w:r>
      <w:r w:rsidRPr="00CF2F04">
        <w:rPr>
          <w:lang w:val="es-ES_tradnl"/>
        </w:rPr>
        <w:tab/>
      </w:r>
      <w:r w:rsidR="00A43E7B" w:rsidRPr="00CF2F04">
        <w:rPr>
          <w:lang w:val="es-ES_tradnl"/>
        </w:rPr>
        <w:t>Se recibieron</w:t>
      </w:r>
      <w:r w:rsidRPr="00CF2F04">
        <w:rPr>
          <w:lang w:val="es-ES_tradnl"/>
        </w:rPr>
        <w:t xml:space="preserve"> 93 contribuciones para iniciar los trabajos de</w:t>
      </w:r>
      <w:r w:rsidR="00CF2F04">
        <w:rPr>
          <w:lang w:val="es-ES_tradnl"/>
        </w:rPr>
        <w:t>l peri</w:t>
      </w:r>
      <w:r w:rsidR="00A43E7B" w:rsidRPr="00CF2F04">
        <w:rPr>
          <w:lang w:val="es-ES_tradnl"/>
        </w:rPr>
        <w:t>odo de estudios 2018</w:t>
      </w:r>
      <w:r w:rsidR="00A43E7B" w:rsidRPr="00CF2F04">
        <w:rPr>
          <w:lang w:val="es-ES_tradnl"/>
        </w:rPr>
        <w:noBreakHyphen/>
        <w:t>2021.</w:t>
      </w:r>
    </w:p>
    <w:p w:rsidR="000C2704" w:rsidRPr="00CF2F04" w:rsidRDefault="000C2704" w:rsidP="00184D13">
      <w:pPr>
        <w:pStyle w:val="enumlev1"/>
        <w:rPr>
          <w:lang w:val="es-ES_tradnl"/>
        </w:rPr>
      </w:pPr>
      <w:r w:rsidRPr="00CF2F04">
        <w:rPr>
          <w:lang w:val="es-ES_tradnl"/>
        </w:rPr>
        <w:t>–</w:t>
      </w:r>
      <w:r w:rsidRPr="00CF2F04">
        <w:rPr>
          <w:lang w:val="es-ES_tradnl"/>
        </w:rPr>
        <w:tab/>
      </w:r>
      <w:r w:rsidR="00A43E7B" w:rsidRPr="00CF2F04">
        <w:rPr>
          <w:lang w:val="es-ES_tradnl"/>
        </w:rPr>
        <w:t>Se recibieron</w:t>
      </w:r>
      <w:r w:rsidRPr="00CF2F04">
        <w:rPr>
          <w:lang w:val="es-ES_tradnl"/>
        </w:rPr>
        <w:t xml:space="preserve"> 29 declaraciones de coordinación y </w:t>
      </w:r>
      <w:r w:rsidR="00A43E7B" w:rsidRPr="00CF2F04">
        <w:rPr>
          <w:lang w:val="es-ES_tradnl"/>
        </w:rPr>
        <w:t xml:space="preserve">se acordaron y </w:t>
      </w:r>
      <w:r w:rsidR="008E7E16" w:rsidRPr="00CF2F04">
        <w:rPr>
          <w:lang w:val="es-ES_tradnl"/>
        </w:rPr>
        <w:t>enviaron</w:t>
      </w:r>
      <w:r w:rsidR="00A43E7B" w:rsidRPr="00CF2F04">
        <w:rPr>
          <w:lang w:val="es-ES_tradnl"/>
        </w:rPr>
        <w:t xml:space="preserve"> otras 13.</w:t>
      </w:r>
    </w:p>
    <w:p w:rsidR="000C2704" w:rsidRPr="00CF2F04" w:rsidRDefault="000C2704" w:rsidP="00184D13">
      <w:pPr>
        <w:pStyle w:val="enumlev1"/>
        <w:rPr>
          <w:bCs/>
          <w:szCs w:val="24"/>
          <w:lang w:val="es-ES_tradnl"/>
        </w:rPr>
      </w:pPr>
      <w:r w:rsidRPr="00CF2F04">
        <w:rPr>
          <w:lang w:val="es-ES_tradnl"/>
        </w:rPr>
        <w:t>–</w:t>
      </w:r>
      <w:r w:rsidRPr="00CF2F04">
        <w:rPr>
          <w:lang w:val="es-ES_tradnl"/>
        </w:rPr>
        <w:tab/>
      </w:r>
      <w:r w:rsidR="00A43E7B" w:rsidRPr="00CF2F04">
        <w:rPr>
          <w:lang w:val="es-ES_tradnl"/>
        </w:rPr>
        <w:t xml:space="preserve">Se aprobaron los proyectos de planes de trabajo. Se prepararon los proyectos de </w:t>
      </w:r>
      <w:r w:rsidR="00A43E7B" w:rsidRPr="00CF2F04">
        <w:rPr>
          <w:color w:val="000000"/>
          <w:lang w:val="es-ES_tradnl"/>
        </w:rPr>
        <w:t>esquemas iniciales/índices de los productos previstos de todas las Cuestiones</w:t>
      </w:r>
      <w:r w:rsidR="00A43E7B" w:rsidRPr="00CF2F04">
        <w:rPr>
          <w:lang w:val="es-ES_tradnl"/>
        </w:rPr>
        <w:t xml:space="preserve"> y </w:t>
      </w:r>
      <w:r w:rsidR="00A43E7B" w:rsidRPr="00CF2F04">
        <w:rPr>
          <w:color w:val="000000"/>
          <w:lang w:val="es-ES_tradnl"/>
        </w:rPr>
        <w:t>listas detalladas de responsabilidades.</w:t>
      </w:r>
    </w:p>
    <w:p w:rsidR="00C50167" w:rsidRPr="00CF2F04" w:rsidRDefault="000C2704" w:rsidP="00184D13">
      <w:pPr>
        <w:pStyle w:val="enumlev1"/>
        <w:rPr>
          <w:lang w:val="es-ES_tradnl"/>
        </w:rPr>
      </w:pPr>
      <w:r w:rsidRPr="00CF2F04">
        <w:rPr>
          <w:lang w:val="es-ES_tradnl"/>
        </w:rPr>
        <w:t>–</w:t>
      </w:r>
      <w:r w:rsidRPr="00CF2F04">
        <w:rPr>
          <w:lang w:val="es-ES_tradnl"/>
        </w:rPr>
        <w:tab/>
      </w:r>
      <w:r w:rsidR="006B4C43" w:rsidRPr="00CF2F04">
        <w:rPr>
          <w:lang w:val="es-ES_tradnl"/>
        </w:rPr>
        <w:t xml:space="preserve">Se acordó la propuesta de Hungría </w:t>
      </w:r>
      <w:r w:rsidR="00013BD7" w:rsidRPr="00CF2F04">
        <w:rPr>
          <w:lang w:val="es-ES_tradnl"/>
        </w:rPr>
        <w:t xml:space="preserve">de actividades </w:t>
      </w:r>
      <w:r w:rsidR="00BF5B1B" w:rsidRPr="00CF2F04">
        <w:rPr>
          <w:lang w:val="es-ES_tradnl"/>
        </w:rPr>
        <w:t>conexas de las Comisiones de Estudio del UIT-D en forma de intercambio de conocimientos de expertos en el seminario regional para Europa y la CEI en Budapest (Hungría) en julio de 2018.</w:t>
      </w:r>
    </w:p>
    <w:p w:rsidR="00511EDD" w:rsidRPr="00CF2F04" w:rsidRDefault="00BF5B1B" w:rsidP="00184D13">
      <w:pPr>
        <w:spacing w:after="120"/>
        <w:textAlignment w:val="auto"/>
        <w:rPr>
          <w:bCs/>
          <w:szCs w:val="24"/>
          <w:lang w:val="es-ES_tradnl"/>
        </w:rPr>
      </w:pPr>
      <w:r w:rsidRPr="00CF2F04">
        <w:rPr>
          <w:rFonts w:cstheme="minorHAnsi"/>
          <w:szCs w:val="24"/>
          <w:lang w:val="es-ES_tradnl"/>
        </w:rPr>
        <w:t>Entre los puntos destacados del primer bloque de reuniones del Grupo de Relator de la CE 1 cabe citar los siguientes:</w:t>
      </w:r>
      <w:r w:rsidR="00C50167" w:rsidRPr="00CF2F04">
        <w:rPr>
          <w:bCs/>
          <w:szCs w:val="24"/>
          <w:lang w:val="es-ES_tradnl"/>
        </w:rPr>
        <w:t xml:space="preserve"> </w:t>
      </w:r>
    </w:p>
    <w:p w:rsidR="00C50167" w:rsidRPr="00CF2F04" w:rsidRDefault="00511EDD" w:rsidP="00184D13">
      <w:pPr>
        <w:pStyle w:val="enumlev1"/>
        <w:rPr>
          <w:lang w:val="es-ES_tradnl"/>
        </w:rPr>
      </w:pPr>
      <w:r w:rsidRPr="00CF2F04">
        <w:rPr>
          <w:lang w:val="es-ES_tradnl"/>
        </w:rPr>
        <w:t>–</w:t>
      </w:r>
      <w:r w:rsidRPr="00CF2F04">
        <w:rPr>
          <w:lang w:val="es-ES_tradnl"/>
        </w:rPr>
        <w:tab/>
      </w:r>
      <w:r w:rsidR="001B6914" w:rsidRPr="00CF2F04">
        <w:rPr>
          <w:lang w:val="es-ES_tradnl"/>
        </w:rPr>
        <w:t xml:space="preserve">Se contó con la colaboración de </w:t>
      </w:r>
      <w:r w:rsidR="003A1494" w:rsidRPr="00CF2F04">
        <w:rPr>
          <w:lang w:val="es-ES_tradnl"/>
        </w:rPr>
        <w:t>112</w:t>
      </w:r>
      <w:r w:rsidR="001B6914" w:rsidRPr="00CF2F04">
        <w:rPr>
          <w:lang w:val="es-ES_tradnl"/>
        </w:rPr>
        <w:t xml:space="preserve"> participantes de </w:t>
      </w:r>
      <w:r w:rsidR="003A1494" w:rsidRPr="00CF2F04">
        <w:rPr>
          <w:lang w:val="es-ES_tradnl"/>
        </w:rPr>
        <w:t>48</w:t>
      </w:r>
      <w:r w:rsidR="001B6914" w:rsidRPr="00CF2F04">
        <w:rPr>
          <w:lang w:val="es-ES_tradnl"/>
        </w:rPr>
        <w:t xml:space="preserve"> Estados Miembros</w:t>
      </w:r>
      <w:r w:rsidR="003A1494" w:rsidRPr="00CF2F04">
        <w:rPr>
          <w:lang w:val="es-ES_tradnl"/>
        </w:rPr>
        <w:t xml:space="preserve"> en las </w:t>
      </w:r>
      <w:r w:rsidR="003A1494" w:rsidRPr="00CF2F04">
        <w:rPr>
          <w:rFonts w:cstheme="minorHAnsi"/>
          <w:szCs w:val="24"/>
          <w:lang w:val="es-ES_tradnl"/>
        </w:rPr>
        <w:t>reuniones del Grupo de Relator y en las sesiones temáticas/talleres afines durante las dos semanas de reuniones</w:t>
      </w:r>
      <w:r w:rsidR="001B6914" w:rsidRPr="00CF2F04">
        <w:rPr>
          <w:lang w:val="es-ES_tradnl"/>
        </w:rPr>
        <w:t>.</w:t>
      </w:r>
    </w:p>
    <w:p w:rsidR="00C50167" w:rsidRPr="00CF2F04" w:rsidRDefault="00511EDD" w:rsidP="00184D13">
      <w:pPr>
        <w:pStyle w:val="enumlev1"/>
        <w:rPr>
          <w:lang w:val="es-ES_tradnl"/>
        </w:rPr>
      </w:pPr>
      <w:r w:rsidRPr="00CF2F04">
        <w:rPr>
          <w:lang w:val="es-ES_tradnl"/>
        </w:rPr>
        <w:t>–</w:t>
      </w:r>
      <w:r w:rsidRPr="00CF2F04">
        <w:rPr>
          <w:lang w:val="es-ES_tradnl"/>
        </w:rPr>
        <w:tab/>
      </w:r>
      <w:r w:rsidR="008E7E16" w:rsidRPr="00CF2F04">
        <w:rPr>
          <w:lang w:val="es-ES_tradnl"/>
        </w:rPr>
        <w:t xml:space="preserve">Se presentaron </w:t>
      </w:r>
      <w:r w:rsidR="00C50167" w:rsidRPr="00CF2F04">
        <w:rPr>
          <w:lang w:val="es-ES_tradnl"/>
        </w:rPr>
        <w:t xml:space="preserve">104 </w:t>
      </w:r>
      <w:r w:rsidR="008E7E16" w:rsidRPr="00CF2F04">
        <w:rPr>
          <w:lang w:val="es-ES_tradnl"/>
        </w:rPr>
        <w:t>contribuciones para avanzar en las labores y en</w:t>
      </w:r>
      <w:r w:rsidR="008E7E16" w:rsidRPr="00CF2F04">
        <w:rPr>
          <w:color w:val="000000"/>
          <w:lang w:val="es-ES_tradnl"/>
        </w:rPr>
        <w:t xml:space="preserve"> la redacción de los textos de los productos</w:t>
      </w:r>
      <w:r w:rsidR="008E7E16" w:rsidRPr="00CF2F04">
        <w:rPr>
          <w:lang w:val="es-ES_tradnl"/>
        </w:rPr>
        <w:t>.</w:t>
      </w:r>
    </w:p>
    <w:p w:rsidR="00C50167" w:rsidRPr="00CF2F04" w:rsidRDefault="00511EDD" w:rsidP="00184D13">
      <w:pPr>
        <w:pStyle w:val="enumlev1"/>
        <w:rPr>
          <w:lang w:val="es-ES_tradnl"/>
        </w:rPr>
      </w:pPr>
      <w:r w:rsidRPr="00CF2F04">
        <w:rPr>
          <w:lang w:val="es-ES_tradnl"/>
        </w:rPr>
        <w:t>–</w:t>
      </w:r>
      <w:r w:rsidRPr="00CF2F04">
        <w:rPr>
          <w:lang w:val="es-ES_tradnl"/>
        </w:rPr>
        <w:tab/>
      </w:r>
      <w:r w:rsidR="008E7E16" w:rsidRPr="00CF2F04">
        <w:rPr>
          <w:lang w:val="es-ES_tradnl"/>
        </w:rPr>
        <w:t xml:space="preserve">Se recibieron </w:t>
      </w:r>
      <w:r w:rsidR="00C50167" w:rsidRPr="00CF2F04">
        <w:rPr>
          <w:lang w:val="es-ES_tradnl"/>
        </w:rPr>
        <w:t xml:space="preserve">15 </w:t>
      </w:r>
      <w:r w:rsidR="008E7E16" w:rsidRPr="00CF2F04">
        <w:rPr>
          <w:lang w:val="es-ES_tradnl"/>
        </w:rPr>
        <w:t>declaraciones de coordinación y se remitieron otras 21 después de las reuniones.</w:t>
      </w:r>
    </w:p>
    <w:p w:rsidR="00C50167" w:rsidRPr="00CF2F04" w:rsidRDefault="00511EDD" w:rsidP="00184D13">
      <w:pPr>
        <w:pStyle w:val="enumlev1"/>
        <w:rPr>
          <w:lang w:val="es-ES_tradnl"/>
        </w:rPr>
      </w:pPr>
      <w:r w:rsidRPr="00CF2F04">
        <w:rPr>
          <w:lang w:val="es-ES_tradnl"/>
        </w:rPr>
        <w:t>–</w:t>
      </w:r>
      <w:r w:rsidRPr="00CF2F04">
        <w:rPr>
          <w:lang w:val="es-ES_tradnl"/>
        </w:rPr>
        <w:tab/>
      </w:r>
      <w:r w:rsidR="001F7755" w:rsidRPr="00CF2F04">
        <w:rPr>
          <w:lang w:val="es-ES_tradnl"/>
        </w:rPr>
        <w:t>Se detallaron los esquemas de los resultados previstos de la Cuestión de la CE 1 y se prosiguió con la redacción y el intercambio de capítulos de los informes, directrices y estudios de casos.</w:t>
      </w:r>
    </w:p>
    <w:p w:rsidR="00C50167" w:rsidRPr="00CF2F04" w:rsidRDefault="00511EDD" w:rsidP="00184D13">
      <w:pPr>
        <w:pStyle w:val="enumlev1"/>
        <w:rPr>
          <w:lang w:val="es-ES_tradnl"/>
        </w:rPr>
      </w:pPr>
      <w:r w:rsidRPr="00CF2F04">
        <w:rPr>
          <w:lang w:val="es-ES_tradnl"/>
        </w:rPr>
        <w:t>–</w:t>
      </w:r>
      <w:r w:rsidRPr="00CF2F04">
        <w:rPr>
          <w:lang w:val="es-ES_tradnl"/>
        </w:rPr>
        <w:tab/>
      </w:r>
      <w:r w:rsidR="006928B3" w:rsidRPr="00CF2F04">
        <w:rPr>
          <w:lang w:val="es-ES_tradnl"/>
        </w:rPr>
        <w:t>Se celebraron 3 sesiones/talleres temáticos y de capacitación sobre temas relacionados con las Cuestiones 1/1, 4/1 y 7/1 de la CE 1.</w:t>
      </w:r>
    </w:p>
    <w:p w:rsidR="00C50167" w:rsidRPr="00CF2F04" w:rsidRDefault="00511EDD" w:rsidP="004D42A2">
      <w:pPr>
        <w:pStyle w:val="enumlev1"/>
        <w:keepLines/>
        <w:rPr>
          <w:lang w:val="es-ES_tradnl"/>
        </w:rPr>
      </w:pPr>
      <w:r w:rsidRPr="00CF2F04">
        <w:rPr>
          <w:lang w:val="es-ES_tradnl"/>
        </w:rPr>
        <w:lastRenderedPageBreak/>
        <w:t>–</w:t>
      </w:r>
      <w:r w:rsidRPr="00CF2F04">
        <w:rPr>
          <w:lang w:val="es-ES_tradnl"/>
        </w:rPr>
        <w:tab/>
      </w:r>
      <w:r w:rsidR="006928B3" w:rsidRPr="00CF2F04">
        <w:rPr>
          <w:lang w:val="es-ES_tradnl"/>
        </w:rPr>
        <w:t>En paralelo a las reuniones del Grupo de Relator tuvo lugar una exposición con presentaciones patrocinadas. Los expositores, que eran principalmente PYMES apoyadas por sus administraciones, compartieron información y ofrecieron demostraciones prácticas de soluciones y procesos innovadores que se han implementado en sus respectivos países.</w:t>
      </w:r>
      <w:r w:rsidR="00C50167" w:rsidRPr="00CF2F04">
        <w:rPr>
          <w:lang w:val="es-ES_tradnl"/>
        </w:rPr>
        <w:t xml:space="preserve"> </w:t>
      </w:r>
    </w:p>
    <w:p w:rsidR="00C50167" w:rsidRPr="00CF2F04" w:rsidRDefault="007B0B0A" w:rsidP="00184D13">
      <w:pPr>
        <w:spacing w:after="120"/>
        <w:textAlignment w:val="auto"/>
        <w:rPr>
          <w:bCs/>
          <w:szCs w:val="24"/>
          <w:lang w:val="es-ES_tradnl"/>
        </w:rPr>
      </w:pPr>
      <w:r w:rsidRPr="00CF2F04">
        <w:rPr>
          <w:rFonts w:eastAsia="Batang" w:cs="Calibri"/>
          <w:bCs/>
          <w:szCs w:val="24"/>
          <w:lang w:val="es-ES_tradnl"/>
        </w:rPr>
        <w:t>Para facilitar la coordinación y seguir reforzando la colaboración entre las dos Comisiones de Estudio del UIT-D y con las Comisiones de Estudio de los otros Sectores, se avanzó en el trabajo sobre los tres cuadros de correspondencia durante las reuniones.</w:t>
      </w:r>
    </w:p>
    <w:p w:rsidR="00C50167" w:rsidRPr="00CF2F04" w:rsidRDefault="007C0905" w:rsidP="00184D13">
      <w:pPr>
        <w:pStyle w:val="Heading1"/>
        <w:rPr>
          <w:lang w:val="es-ES_tradnl"/>
        </w:rPr>
      </w:pPr>
      <w:r w:rsidRPr="00CF2F04">
        <w:rPr>
          <w:lang w:val="es-ES_tradnl"/>
        </w:rPr>
        <w:t>2</w:t>
      </w:r>
      <w:r w:rsidRPr="00CF2F04">
        <w:rPr>
          <w:lang w:val="es-ES_tradnl"/>
        </w:rPr>
        <w:tab/>
      </w:r>
      <w:r w:rsidR="000E25B2" w:rsidRPr="00CF2F04">
        <w:rPr>
          <w:lang w:val="es-ES_tradnl"/>
        </w:rPr>
        <w:t xml:space="preserve">Sumario de los trabajos de la Comisión de Estudio 1 del UIT-D </w:t>
      </w:r>
    </w:p>
    <w:p w:rsidR="00C50167" w:rsidRPr="00CF2F04" w:rsidRDefault="007C0905" w:rsidP="00184D13">
      <w:pPr>
        <w:pStyle w:val="Heading2"/>
        <w:rPr>
          <w:lang w:val="es-ES_tradnl"/>
        </w:rPr>
      </w:pPr>
      <w:r w:rsidRPr="00CF2F04">
        <w:rPr>
          <w:lang w:val="es-ES_tradnl"/>
        </w:rPr>
        <w:t>2.1</w:t>
      </w:r>
      <w:r w:rsidRPr="00CF2F04">
        <w:rPr>
          <w:lang w:val="es-ES_tradnl"/>
        </w:rPr>
        <w:tab/>
      </w:r>
      <w:bookmarkStart w:id="11" w:name="s"/>
      <w:bookmarkEnd w:id="11"/>
      <w:r w:rsidR="00164A1D" w:rsidRPr="00CF2F04">
        <w:rPr>
          <w:lang w:val="es-ES_tradnl"/>
        </w:rPr>
        <w:t>Primera reunión de la Comisión de Estudio 1</w:t>
      </w:r>
      <w:r w:rsidR="00CF2F04">
        <w:rPr>
          <w:lang w:val="es-ES_tradnl"/>
        </w:rPr>
        <w:t xml:space="preserve"> para este peri</w:t>
      </w:r>
      <w:r w:rsidR="00164A1D" w:rsidRPr="00CF2F04">
        <w:rPr>
          <w:lang w:val="es-ES_tradnl"/>
        </w:rPr>
        <w:t xml:space="preserve">odo de estudios </w:t>
      </w:r>
      <w:r w:rsidR="00C50167" w:rsidRPr="00CF2F04">
        <w:rPr>
          <w:lang w:val="es-ES_tradnl"/>
        </w:rPr>
        <w:t xml:space="preserve">(30 </w:t>
      </w:r>
      <w:r w:rsidR="00164A1D" w:rsidRPr="00CF2F04">
        <w:rPr>
          <w:lang w:val="es-ES_tradnl"/>
        </w:rPr>
        <w:t xml:space="preserve">de abril a </w:t>
      </w:r>
      <w:r w:rsidR="00C50167" w:rsidRPr="00CF2F04">
        <w:rPr>
          <w:lang w:val="es-ES_tradnl"/>
        </w:rPr>
        <w:t xml:space="preserve">4 </w:t>
      </w:r>
      <w:r w:rsidR="00164A1D" w:rsidRPr="00CF2F04">
        <w:rPr>
          <w:lang w:val="es-ES_tradnl"/>
        </w:rPr>
        <w:t>de mayo de</w:t>
      </w:r>
      <w:r w:rsidR="00C50167" w:rsidRPr="00CF2F04">
        <w:rPr>
          <w:lang w:val="es-ES_tradnl"/>
        </w:rPr>
        <w:t xml:space="preserve"> 2018)</w:t>
      </w:r>
    </w:p>
    <w:p w:rsidR="00C50167" w:rsidRPr="00CF2F04" w:rsidRDefault="00E1318F" w:rsidP="00184D13">
      <w:pPr>
        <w:spacing w:after="120"/>
        <w:rPr>
          <w:highlight w:val="cyan"/>
          <w:lang w:val="es-ES_tradnl"/>
        </w:rPr>
      </w:pPr>
      <w:r w:rsidRPr="00CF2F04">
        <w:rPr>
          <w:lang w:val="es-ES_tradnl"/>
        </w:rPr>
        <w:t>La primera reunión de la Comisión de Estudio 1 después de la Conferencia Mundial de Desarrollo de las Telecomunicaciones de 2017 (CMDT-17) tuvo lugar del 30 de abril al 4 de mayo de 2018 y contó con la participación de 131 delegados de 57 países</w:t>
      </w:r>
      <w:r w:rsidRPr="00F05AB3">
        <w:rPr>
          <w:rStyle w:val="FootnoteReference"/>
          <w:bCs/>
          <w:sz w:val="22"/>
          <w:szCs w:val="22"/>
          <w:vertAlign w:val="superscript"/>
          <w:lang w:val="es-ES_tradnl"/>
        </w:rPr>
        <w:footnoteReference w:id="1"/>
      </w:r>
      <w:r w:rsidRPr="00CF2F04">
        <w:rPr>
          <w:lang w:val="es-ES_tradnl"/>
        </w:rPr>
        <w:t xml:space="preserve">, de los cuales 100 eran representantes de Estados Miembros, 27 de Miembros de Sector, 4 de Asociados e Instituciones Académicas y 7 de organizaciones internacionales y regionales </w:t>
      </w:r>
      <w:r w:rsidRPr="00CF2F04">
        <w:rPr>
          <w:bCs/>
          <w:szCs w:val="24"/>
          <w:lang w:val="es-ES_tradnl"/>
        </w:rPr>
        <w:t>(</w:t>
      </w:r>
      <w:hyperlink r:id="rId9" w:history="1">
        <w:r w:rsidRPr="00CF2F04">
          <w:rPr>
            <w:rStyle w:val="Hyperlink"/>
            <w:bCs/>
            <w:szCs w:val="24"/>
            <w:lang w:val="es-ES_tradnl"/>
          </w:rPr>
          <w:t>1/89</w:t>
        </w:r>
      </w:hyperlink>
      <w:r w:rsidRPr="00CF2F04">
        <w:rPr>
          <w:bCs/>
          <w:szCs w:val="24"/>
          <w:lang w:val="es-ES_tradnl"/>
        </w:rPr>
        <w:t xml:space="preserve">). </w:t>
      </w:r>
      <w:r w:rsidRPr="00CF2F04">
        <w:rPr>
          <w:lang w:val="es-ES_tradnl"/>
        </w:rPr>
        <w:t xml:space="preserve">Las estadísticas de participación desglosadas por región, la información relativa a las contribuciones por Cuestión y otros datos conexos figuran en el documento </w:t>
      </w:r>
      <w:hyperlink r:id="rId10" w:history="1">
        <w:r w:rsidRPr="00CF2F04">
          <w:rPr>
            <w:rStyle w:val="Hyperlink"/>
            <w:rFonts w:eastAsiaTheme="majorEastAsia"/>
            <w:szCs w:val="24"/>
            <w:lang w:val="es-ES_tradnl"/>
          </w:rPr>
          <w:t>1/ADM/3 + Anex</w:t>
        </w:r>
      </w:hyperlink>
      <w:r w:rsidRPr="00CF2F04">
        <w:rPr>
          <w:rStyle w:val="Hyperlink"/>
          <w:rFonts w:eastAsiaTheme="majorEastAsia"/>
          <w:szCs w:val="24"/>
          <w:lang w:val="es-ES_tradnl"/>
        </w:rPr>
        <w:t>o</w:t>
      </w:r>
      <w:r w:rsidR="00C50167" w:rsidRPr="00CF2F04">
        <w:rPr>
          <w:rFonts w:eastAsiaTheme="majorEastAsia" w:cs="Simplified Arabic"/>
          <w:szCs w:val="24"/>
          <w:lang w:val="es-ES_tradnl"/>
        </w:rPr>
        <w:t xml:space="preserve">. </w:t>
      </w:r>
      <w:r w:rsidRPr="00CF2F04">
        <w:rPr>
          <w:color w:val="000000"/>
          <w:lang w:val="es-ES_tradnl"/>
        </w:rPr>
        <w:t xml:space="preserve">Se prestaron servicios de distribución por la </w:t>
      </w:r>
      <w:r w:rsidR="00184D13" w:rsidRPr="00CF2F04">
        <w:rPr>
          <w:color w:val="000000"/>
          <w:lang w:val="es-ES_tradnl"/>
        </w:rPr>
        <w:t>w</w:t>
      </w:r>
      <w:r w:rsidRPr="00CF2F04">
        <w:rPr>
          <w:color w:val="000000"/>
          <w:lang w:val="es-ES_tradnl"/>
        </w:rPr>
        <w:t xml:space="preserve">eb con participación multilingüe e interactiva a distancia. </w:t>
      </w:r>
      <w:r w:rsidRPr="00CF2F04">
        <w:rPr>
          <w:lang w:val="es-ES_tradnl"/>
        </w:rPr>
        <w:t xml:space="preserve">Los archivos íntegros de las reuniones están disponibles </w:t>
      </w:r>
      <w:hyperlink r:id="rId11" w:history="1">
        <w:r w:rsidRPr="00CF2F04">
          <w:rPr>
            <w:rStyle w:val="Hyperlink"/>
            <w:bCs/>
            <w:szCs w:val="24"/>
            <w:lang w:val="es-ES_tradnl"/>
          </w:rPr>
          <w:t>en este enlace.</w:t>
        </w:r>
      </w:hyperlink>
      <w:r w:rsidRPr="00CF2F04">
        <w:rPr>
          <w:lang w:val="es-ES_tradnl"/>
        </w:rPr>
        <w:t xml:space="preserve"> </w:t>
      </w:r>
      <w:r w:rsidR="000B7BEC" w:rsidRPr="00CF2F04">
        <w:rPr>
          <w:lang w:val="es-ES_tradnl"/>
        </w:rPr>
        <w:t xml:space="preserve">Todos los documentos de la reunión pueden descargarse desde su </w:t>
      </w:r>
      <w:hyperlink r:id="rId12" w:history="1">
        <w:r w:rsidR="0019456B" w:rsidRPr="00CF2F04">
          <w:rPr>
            <w:rStyle w:val="Hyperlink"/>
            <w:bCs/>
            <w:szCs w:val="24"/>
            <w:lang w:val="es-ES_tradnl"/>
          </w:rPr>
          <w:t>sitio web</w:t>
        </w:r>
      </w:hyperlink>
      <w:r w:rsidR="000B7BEC" w:rsidRPr="00CF2F04">
        <w:rPr>
          <w:lang w:val="es-ES_tradnl"/>
        </w:rPr>
        <w:t xml:space="preserve"> (se requiere una cuenta TIES).</w:t>
      </w:r>
    </w:p>
    <w:p w:rsidR="00C50167" w:rsidRPr="00CF2F04" w:rsidRDefault="00184D13" w:rsidP="00184D13">
      <w:pPr>
        <w:spacing w:after="120"/>
        <w:rPr>
          <w:bCs/>
          <w:color w:val="000000" w:themeColor="text1"/>
          <w:szCs w:val="24"/>
          <w:lang w:val="es-ES_tradnl"/>
        </w:rPr>
      </w:pPr>
      <w:r w:rsidRPr="00CF2F04">
        <w:rPr>
          <w:rFonts w:cstheme="minorHAnsi"/>
          <w:szCs w:val="24"/>
          <w:lang w:val="es-ES_tradnl"/>
        </w:rPr>
        <w:t>El</w:t>
      </w:r>
      <w:r w:rsidR="00C50167" w:rsidRPr="00CF2F04">
        <w:rPr>
          <w:rFonts w:cstheme="minorHAnsi"/>
          <w:szCs w:val="24"/>
          <w:lang w:val="es-ES_tradnl"/>
        </w:rPr>
        <w:t xml:space="preserve"> </w:t>
      </w:r>
      <w:hyperlink r:id="rId13" w:history="1">
        <w:r w:rsidR="00C50167" w:rsidRPr="00CF2F04">
          <w:rPr>
            <w:rStyle w:val="Hyperlink"/>
            <w:rFonts w:cstheme="minorHAnsi"/>
            <w:szCs w:val="24"/>
            <w:lang w:val="es-ES_tradnl"/>
          </w:rPr>
          <w:t>Directo</w:t>
        </w:r>
        <w:r w:rsidRPr="00CF2F04">
          <w:rPr>
            <w:rStyle w:val="Hyperlink"/>
            <w:rFonts w:cstheme="minorHAnsi"/>
            <w:szCs w:val="24"/>
            <w:lang w:val="es-ES_tradnl"/>
          </w:rPr>
          <w:t>r de la BDT</w:t>
        </w:r>
      </w:hyperlink>
      <w:r w:rsidR="00C50167" w:rsidRPr="00CF2F04">
        <w:rPr>
          <w:rFonts w:cstheme="minorHAnsi"/>
          <w:szCs w:val="24"/>
          <w:lang w:val="es-ES_tradnl"/>
        </w:rPr>
        <w:t xml:space="preserve">, </w:t>
      </w:r>
      <w:r w:rsidRPr="00CF2F04">
        <w:rPr>
          <w:rFonts w:cstheme="minorHAnsi"/>
          <w:szCs w:val="24"/>
          <w:lang w:val="es-ES_tradnl"/>
        </w:rPr>
        <w:t>S</w:t>
      </w:r>
      <w:r w:rsidR="00C50167" w:rsidRPr="00CF2F04">
        <w:rPr>
          <w:rFonts w:cstheme="minorHAnsi"/>
          <w:szCs w:val="24"/>
          <w:lang w:val="es-ES_tradnl"/>
        </w:rPr>
        <w:t>r</w:t>
      </w:r>
      <w:r w:rsidRPr="00CF2F04">
        <w:rPr>
          <w:rFonts w:cstheme="minorHAnsi"/>
          <w:szCs w:val="24"/>
          <w:lang w:val="es-ES_tradnl"/>
        </w:rPr>
        <w:t>.</w:t>
      </w:r>
      <w:r w:rsidR="00C50167" w:rsidRPr="00CF2F04">
        <w:rPr>
          <w:rFonts w:cstheme="minorHAnsi"/>
          <w:szCs w:val="24"/>
          <w:lang w:val="es-ES_tradnl"/>
        </w:rPr>
        <w:t xml:space="preserve"> </w:t>
      </w:r>
      <w:proofErr w:type="spellStart"/>
      <w:r w:rsidR="00C50167" w:rsidRPr="00CF2F04">
        <w:rPr>
          <w:rFonts w:cstheme="minorHAnsi"/>
          <w:szCs w:val="24"/>
          <w:lang w:val="es-ES_tradnl"/>
        </w:rPr>
        <w:t>Brahima</w:t>
      </w:r>
      <w:proofErr w:type="spellEnd"/>
      <w:r w:rsidR="00C50167" w:rsidRPr="00CF2F04">
        <w:rPr>
          <w:rFonts w:cstheme="minorHAnsi"/>
          <w:szCs w:val="24"/>
          <w:lang w:val="es-ES_tradnl"/>
        </w:rPr>
        <w:t xml:space="preserve"> </w:t>
      </w:r>
      <w:proofErr w:type="spellStart"/>
      <w:r w:rsidR="00C50167" w:rsidRPr="00CF2F04">
        <w:rPr>
          <w:rFonts w:cstheme="minorHAnsi"/>
          <w:szCs w:val="24"/>
          <w:lang w:val="es-ES_tradnl"/>
        </w:rPr>
        <w:t>Sanou</w:t>
      </w:r>
      <w:proofErr w:type="spellEnd"/>
      <w:r w:rsidR="00C50167" w:rsidRPr="00F05AB3">
        <w:rPr>
          <w:rStyle w:val="FootnoteReference"/>
          <w:rFonts w:cstheme="minorHAnsi"/>
          <w:sz w:val="22"/>
          <w:szCs w:val="22"/>
          <w:vertAlign w:val="superscript"/>
          <w:lang w:val="es-ES_tradnl"/>
        </w:rPr>
        <w:footnoteReference w:id="2"/>
      </w:r>
      <w:r w:rsidR="00C50167" w:rsidRPr="00CF2F04">
        <w:rPr>
          <w:rFonts w:cstheme="minorHAnsi"/>
          <w:szCs w:val="24"/>
          <w:lang w:val="es-ES_tradnl"/>
        </w:rPr>
        <w:t xml:space="preserve">, </w:t>
      </w:r>
      <w:r w:rsidRPr="00CF2F04">
        <w:rPr>
          <w:rFonts w:cstheme="minorHAnsi"/>
          <w:szCs w:val="24"/>
          <w:lang w:val="es-ES_tradnl"/>
        </w:rPr>
        <w:t xml:space="preserve">y el Presidente de la Comisión de Estudio </w:t>
      </w:r>
      <w:r w:rsidR="00C50167" w:rsidRPr="00CF2F04">
        <w:rPr>
          <w:rFonts w:cstheme="minorHAnsi"/>
          <w:szCs w:val="24"/>
          <w:lang w:val="es-ES_tradnl"/>
        </w:rPr>
        <w:t xml:space="preserve">1, </w:t>
      </w:r>
      <w:r w:rsidRPr="00CF2F04">
        <w:rPr>
          <w:bCs/>
          <w:szCs w:val="24"/>
          <w:lang w:val="es-ES_tradnl"/>
        </w:rPr>
        <w:t xml:space="preserve">Sra. </w:t>
      </w:r>
      <w:proofErr w:type="spellStart"/>
      <w:r w:rsidR="00C50167" w:rsidRPr="00CF2F04">
        <w:rPr>
          <w:bCs/>
          <w:szCs w:val="24"/>
          <w:lang w:val="es-ES_tradnl"/>
        </w:rPr>
        <w:t>Fleur</w:t>
      </w:r>
      <w:proofErr w:type="spellEnd"/>
      <w:r w:rsidR="00C50167" w:rsidRPr="00CF2F04">
        <w:rPr>
          <w:bCs/>
          <w:szCs w:val="24"/>
          <w:lang w:val="es-ES_tradnl"/>
        </w:rPr>
        <w:t xml:space="preserve"> Regina </w:t>
      </w:r>
      <w:proofErr w:type="spellStart"/>
      <w:r w:rsidR="00C50167" w:rsidRPr="00CF2F04">
        <w:rPr>
          <w:bCs/>
          <w:szCs w:val="24"/>
          <w:lang w:val="es-ES_tradnl"/>
        </w:rPr>
        <w:t>Assoumou</w:t>
      </w:r>
      <w:proofErr w:type="spellEnd"/>
      <w:r w:rsidR="00C50167" w:rsidRPr="00CF2F04">
        <w:rPr>
          <w:bCs/>
          <w:szCs w:val="24"/>
          <w:lang w:val="es-ES_tradnl"/>
        </w:rPr>
        <w:t xml:space="preserve"> </w:t>
      </w:r>
      <w:proofErr w:type="spellStart"/>
      <w:r w:rsidR="00C50167" w:rsidRPr="00CF2F04">
        <w:rPr>
          <w:bCs/>
          <w:szCs w:val="24"/>
          <w:lang w:val="es-ES_tradnl"/>
        </w:rPr>
        <w:t>Bessou</w:t>
      </w:r>
      <w:proofErr w:type="spellEnd"/>
      <w:r w:rsidR="00C50167" w:rsidRPr="00CF2F04">
        <w:rPr>
          <w:bCs/>
          <w:szCs w:val="24"/>
          <w:lang w:val="es-ES_tradnl"/>
        </w:rPr>
        <w:t xml:space="preserve"> (</w:t>
      </w:r>
      <w:r w:rsidRPr="00CF2F04">
        <w:rPr>
          <w:bCs/>
          <w:szCs w:val="24"/>
          <w:lang w:val="es-ES_tradnl"/>
        </w:rPr>
        <w:t xml:space="preserve">República de </w:t>
      </w:r>
      <w:proofErr w:type="spellStart"/>
      <w:r w:rsidR="00C50167" w:rsidRPr="00CF2F04">
        <w:rPr>
          <w:bCs/>
          <w:szCs w:val="24"/>
          <w:lang w:val="es-ES_tradnl"/>
        </w:rPr>
        <w:t>Côte</w:t>
      </w:r>
      <w:proofErr w:type="spellEnd"/>
      <w:r w:rsidR="00C50167" w:rsidRPr="00CF2F04">
        <w:rPr>
          <w:bCs/>
          <w:szCs w:val="24"/>
          <w:lang w:val="es-ES_tradnl"/>
        </w:rPr>
        <w:t xml:space="preserve"> </w:t>
      </w:r>
      <w:proofErr w:type="spellStart"/>
      <w:r w:rsidR="00C50167" w:rsidRPr="00CF2F04">
        <w:rPr>
          <w:bCs/>
          <w:szCs w:val="24"/>
          <w:lang w:val="es-ES_tradnl"/>
        </w:rPr>
        <w:t>d’Ivoire</w:t>
      </w:r>
      <w:proofErr w:type="spellEnd"/>
      <w:r w:rsidR="00C50167" w:rsidRPr="00CF2F04">
        <w:rPr>
          <w:bCs/>
          <w:szCs w:val="24"/>
          <w:lang w:val="es-ES_tradnl"/>
        </w:rPr>
        <w:t>)</w:t>
      </w:r>
      <w:r w:rsidR="00C50167" w:rsidRPr="00CF2F04">
        <w:rPr>
          <w:rFonts w:cstheme="minorHAnsi"/>
          <w:bCs/>
          <w:szCs w:val="24"/>
          <w:lang w:val="es-ES_tradnl"/>
        </w:rPr>
        <w:t xml:space="preserve"> </w:t>
      </w:r>
      <w:r w:rsidRPr="00CF2F04">
        <w:rPr>
          <w:rFonts w:cstheme="minorHAnsi"/>
          <w:bCs/>
          <w:szCs w:val="24"/>
          <w:lang w:val="es-ES_tradnl"/>
        </w:rPr>
        <w:t>se reunieron con los 12 Vicepresidentes de la CE</w:t>
      </w:r>
      <w:r w:rsidR="009B6037">
        <w:rPr>
          <w:rFonts w:cstheme="minorHAnsi"/>
          <w:bCs/>
          <w:szCs w:val="24"/>
          <w:lang w:val="es-ES_tradnl"/>
        </w:rPr>
        <w:t xml:space="preserve"> </w:t>
      </w:r>
      <w:r w:rsidRPr="00CF2F04">
        <w:rPr>
          <w:rFonts w:cstheme="minorHAnsi"/>
          <w:bCs/>
          <w:szCs w:val="24"/>
          <w:lang w:val="es-ES_tradnl"/>
        </w:rPr>
        <w:t>1</w:t>
      </w:r>
      <w:r w:rsidR="00C50167" w:rsidRPr="00CF2F04">
        <w:rPr>
          <w:rFonts w:cstheme="minorHAnsi"/>
          <w:bCs/>
          <w:szCs w:val="24"/>
          <w:lang w:val="es-ES_tradnl"/>
        </w:rPr>
        <w:t>:</w:t>
      </w:r>
      <w:r w:rsidR="00C50167" w:rsidRPr="00CF2F04">
        <w:rPr>
          <w:rFonts w:cstheme="minorHAnsi"/>
          <w:bCs/>
          <w:color w:val="000000" w:themeColor="text1"/>
          <w:szCs w:val="24"/>
          <w:lang w:val="es-ES_tradnl"/>
        </w:rPr>
        <w:t xml:space="preserve"> </w:t>
      </w:r>
      <w:r w:rsidR="00E1318F" w:rsidRPr="00CF2F04">
        <w:rPr>
          <w:rFonts w:cstheme="minorHAnsi"/>
          <w:color w:val="000000" w:themeColor="text1"/>
          <w:szCs w:val="24"/>
          <w:lang w:val="es-ES_tradnl"/>
        </w:rPr>
        <w:t xml:space="preserve">Sr. Peter </w:t>
      </w:r>
      <w:proofErr w:type="spellStart"/>
      <w:r w:rsidR="00E1318F" w:rsidRPr="00CF2F04">
        <w:rPr>
          <w:rFonts w:cstheme="minorHAnsi"/>
          <w:color w:val="000000" w:themeColor="text1"/>
          <w:szCs w:val="24"/>
          <w:lang w:val="es-ES_tradnl"/>
        </w:rPr>
        <w:t>Ngwan</w:t>
      </w:r>
      <w:proofErr w:type="spellEnd"/>
      <w:r w:rsidR="00E1318F" w:rsidRPr="00CF2F04">
        <w:rPr>
          <w:rFonts w:cstheme="minorHAnsi"/>
          <w:color w:val="000000" w:themeColor="text1"/>
          <w:szCs w:val="24"/>
          <w:lang w:val="es-ES_tradnl"/>
        </w:rPr>
        <w:t xml:space="preserve"> </w:t>
      </w:r>
      <w:proofErr w:type="spellStart"/>
      <w:r w:rsidR="00E1318F" w:rsidRPr="00CF2F04">
        <w:rPr>
          <w:rFonts w:cstheme="minorHAnsi"/>
          <w:color w:val="000000" w:themeColor="text1"/>
          <w:szCs w:val="24"/>
          <w:lang w:val="es-ES_tradnl"/>
        </w:rPr>
        <w:t>Mbengie</w:t>
      </w:r>
      <w:proofErr w:type="spellEnd"/>
      <w:r w:rsidR="00E1318F" w:rsidRPr="00CF2F04">
        <w:rPr>
          <w:rFonts w:cstheme="minorHAnsi"/>
          <w:color w:val="000000" w:themeColor="text1"/>
          <w:szCs w:val="24"/>
          <w:lang w:val="es-ES_tradnl"/>
        </w:rPr>
        <w:t xml:space="preserve"> (</w:t>
      </w:r>
      <w:r w:rsidR="00E1318F" w:rsidRPr="009B6037">
        <w:rPr>
          <w:rFonts w:cstheme="minorHAnsi"/>
          <w:szCs w:val="24"/>
          <w:lang w:val="es-ES_tradnl"/>
        </w:rPr>
        <w:t>Camerún</w:t>
      </w:r>
      <w:r w:rsidR="00E1318F" w:rsidRPr="009B6037">
        <w:rPr>
          <w:rFonts w:cstheme="minorHAnsi"/>
          <w:color w:val="000000" w:themeColor="text1"/>
          <w:szCs w:val="24"/>
          <w:lang w:val="es-ES_tradnl"/>
        </w:rPr>
        <w:t xml:space="preserve">), Sr. </w:t>
      </w:r>
      <w:proofErr w:type="spellStart"/>
      <w:r w:rsidR="00E1318F" w:rsidRPr="009B6037">
        <w:rPr>
          <w:rFonts w:cstheme="minorHAnsi"/>
          <w:color w:val="000000" w:themeColor="text1"/>
          <w:szCs w:val="24"/>
          <w:lang w:val="es-ES_tradnl"/>
        </w:rPr>
        <w:t>Amah</w:t>
      </w:r>
      <w:proofErr w:type="spellEnd"/>
      <w:r w:rsidR="00E1318F" w:rsidRPr="009B6037">
        <w:rPr>
          <w:rFonts w:cstheme="minorHAnsi"/>
          <w:color w:val="000000" w:themeColor="text1"/>
          <w:szCs w:val="24"/>
          <w:lang w:val="es-ES_tradnl"/>
        </w:rPr>
        <w:t xml:space="preserve"> </w:t>
      </w:r>
      <w:proofErr w:type="spellStart"/>
      <w:r w:rsidR="00E1318F" w:rsidRPr="009B6037">
        <w:rPr>
          <w:rFonts w:cstheme="minorHAnsi"/>
          <w:color w:val="000000" w:themeColor="text1"/>
          <w:szCs w:val="24"/>
          <w:lang w:val="es-ES_tradnl"/>
        </w:rPr>
        <w:t>Vinyo</w:t>
      </w:r>
      <w:proofErr w:type="spellEnd"/>
      <w:r w:rsidR="00E1318F" w:rsidRPr="009B6037">
        <w:rPr>
          <w:rFonts w:cstheme="minorHAnsi"/>
          <w:color w:val="000000" w:themeColor="text1"/>
          <w:szCs w:val="24"/>
          <w:lang w:val="es-ES_tradnl"/>
        </w:rPr>
        <w:t xml:space="preserve"> Capo (Togo), Sr. Roberto </w:t>
      </w:r>
      <w:proofErr w:type="spellStart"/>
      <w:r w:rsidR="00E1318F" w:rsidRPr="009B6037">
        <w:rPr>
          <w:rFonts w:cstheme="minorHAnsi"/>
          <w:color w:val="000000" w:themeColor="text1"/>
          <w:szCs w:val="24"/>
          <w:lang w:val="es-ES_tradnl"/>
        </w:rPr>
        <w:t>Mitsuake</w:t>
      </w:r>
      <w:proofErr w:type="spellEnd"/>
      <w:r w:rsidR="00E1318F" w:rsidRPr="009B6037">
        <w:rPr>
          <w:rFonts w:cstheme="minorHAnsi"/>
          <w:color w:val="000000" w:themeColor="text1"/>
          <w:szCs w:val="24"/>
          <w:lang w:val="es-ES_tradnl"/>
        </w:rPr>
        <w:t xml:space="preserve"> </w:t>
      </w:r>
      <w:proofErr w:type="spellStart"/>
      <w:r w:rsidR="00E1318F" w:rsidRPr="009B6037">
        <w:rPr>
          <w:rFonts w:cstheme="minorHAnsi"/>
          <w:color w:val="000000" w:themeColor="text1"/>
          <w:szCs w:val="24"/>
          <w:lang w:val="es-ES_tradnl"/>
        </w:rPr>
        <w:t>Hirayama</w:t>
      </w:r>
      <w:proofErr w:type="spellEnd"/>
      <w:r w:rsidR="00E1318F" w:rsidRPr="009B6037">
        <w:rPr>
          <w:rFonts w:cstheme="minorHAnsi"/>
          <w:color w:val="000000" w:themeColor="text1"/>
          <w:szCs w:val="24"/>
          <w:lang w:val="es-ES_tradnl"/>
        </w:rPr>
        <w:t xml:space="preserve"> (Brasil), Sr. Víctor Antonio Martínez Sánchez (Paraguay), Sr. Ahmed </w:t>
      </w:r>
      <w:proofErr w:type="spellStart"/>
      <w:r w:rsidR="00E1318F" w:rsidRPr="009B6037">
        <w:rPr>
          <w:rFonts w:cstheme="minorHAnsi"/>
          <w:color w:val="000000" w:themeColor="text1"/>
          <w:szCs w:val="24"/>
          <w:lang w:val="es-ES_tradnl"/>
        </w:rPr>
        <w:t>Abdel</w:t>
      </w:r>
      <w:proofErr w:type="spellEnd"/>
      <w:r w:rsidR="00E1318F" w:rsidRPr="009B6037">
        <w:rPr>
          <w:rFonts w:cstheme="minorHAnsi"/>
          <w:color w:val="000000" w:themeColor="text1"/>
          <w:szCs w:val="24"/>
          <w:lang w:val="es-ES_tradnl"/>
        </w:rPr>
        <w:t xml:space="preserve"> </w:t>
      </w:r>
      <w:proofErr w:type="spellStart"/>
      <w:r w:rsidR="00E1318F" w:rsidRPr="009B6037">
        <w:rPr>
          <w:rFonts w:cstheme="minorHAnsi"/>
          <w:color w:val="000000" w:themeColor="text1"/>
          <w:szCs w:val="24"/>
          <w:lang w:val="es-ES_tradnl"/>
        </w:rPr>
        <w:t>Aziz</w:t>
      </w:r>
      <w:proofErr w:type="spellEnd"/>
      <w:r w:rsidR="00E1318F" w:rsidRPr="009B6037">
        <w:rPr>
          <w:rFonts w:cstheme="minorHAnsi"/>
          <w:color w:val="000000" w:themeColor="text1"/>
          <w:szCs w:val="24"/>
          <w:lang w:val="es-ES_tradnl"/>
        </w:rPr>
        <w:t xml:space="preserve"> </w:t>
      </w:r>
      <w:proofErr w:type="spellStart"/>
      <w:r w:rsidR="00E1318F" w:rsidRPr="009B6037">
        <w:rPr>
          <w:rFonts w:cstheme="minorHAnsi"/>
          <w:color w:val="000000" w:themeColor="text1"/>
          <w:szCs w:val="24"/>
          <w:lang w:val="es-ES_tradnl"/>
        </w:rPr>
        <w:t>Gad</w:t>
      </w:r>
      <w:proofErr w:type="spellEnd"/>
      <w:r w:rsidR="00E1318F" w:rsidRPr="009B6037">
        <w:rPr>
          <w:rFonts w:cstheme="minorHAnsi"/>
          <w:color w:val="000000" w:themeColor="text1"/>
          <w:szCs w:val="24"/>
          <w:lang w:val="es-ES_tradnl"/>
        </w:rPr>
        <w:t xml:space="preserve"> (Egipto), Sra. </w:t>
      </w:r>
      <w:proofErr w:type="spellStart"/>
      <w:r w:rsidR="00E1318F" w:rsidRPr="009B6037">
        <w:rPr>
          <w:rFonts w:cstheme="minorHAnsi"/>
          <w:color w:val="000000" w:themeColor="text1"/>
          <w:szCs w:val="24"/>
          <w:lang w:val="es-ES_tradnl"/>
        </w:rPr>
        <w:t>Sameera</w:t>
      </w:r>
      <w:proofErr w:type="spellEnd"/>
      <w:r w:rsidR="00E1318F" w:rsidRPr="009B6037">
        <w:rPr>
          <w:rFonts w:cstheme="minorHAnsi"/>
          <w:color w:val="000000" w:themeColor="text1"/>
          <w:szCs w:val="24"/>
          <w:lang w:val="es-ES_tradnl"/>
        </w:rPr>
        <w:t xml:space="preserve"> </w:t>
      </w:r>
      <w:proofErr w:type="spellStart"/>
      <w:r w:rsidR="00E1318F" w:rsidRPr="009B6037">
        <w:rPr>
          <w:rFonts w:cstheme="minorHAnsi"/>
          <w:color w:val="000000" w:themeColor="text1"/>
          <w:szCs w:val="24"/>
          <w:lang w:val="es-ES_tradnl"/>
        </w:rPr>
        <w:t>Belal</w:t>
      </w:r>
      <w:proofErr w:type="spellEnd"/>
      <w:r w:rsidR="00E1318F" w:rsidRPr="009B6037">
        <w:rPr>
          <w:rFonts w:cstheme="minorHAnsi"/>
          <w:color w:val="000000" w:themeColor="text1"/>
          <w:szCs w:val="24"/>
          <w:lang w:val="es-ES_tradnl"/>
        </w:rPr>
        <w:t xml:space="preserve"> </w:t>
      </w:r>
      <w:proofErr w:type="spellStart"/>
      <w:r w:rsidR="00E1318F" w:rsidRPr="009B6037">
        <w:rPr>
          <w:rFonts w:cstheme="minorHAnsi"/>
          <w:color w:val="000000" w:themeColor="text1"/>
          <w:szCs w:val="24"/>
          <w:lang w:val="es-ES_tradnl"/>
        </w:rPr>
        <w:t>Momen</w:t>
      </w:r>
      <w:proofErr w:type="spellEnd"/>
      <w:r w:rsidR="00E1318F" w:rsidRPr="009B6037">
        <w:rPr>
          <w:rFonts w:cstheme="minorHAnsi"/>
          <w:color w:val="000000" w:themeColor="text1"/>
          <w:szCs w:val="24"/>
          <w:lang w:val="es-ES_tradnl"/>
        </w:rPr>
        <w:t xml:space="preserve"> </w:t>
      </w:r>
      <w:proofErr w:type="spellStart"/>
      <w:r w:rsidR="00E1318F" w:rsidRPr="009B6037">
        <w:rPr>
          <w:rFonts w:cstheme="minorHAnsi"/>
          <w:color w:val="000000" w:themeColor="text1"/>
          <w:szCs w:val="24"/>
          <w:lang w:val="es-ES_tradnl"/>
        </w:rPr>
        <w:t>Mohammad</w:t>
      </w:r>
      <w:proofErr w:type="spellEnd"/>
      <w:r w:rsidR="00E1318F" w:rsidRPr="009B6037">
        <w:rPr>
          <w:rFonts w:cstheme="minorHAnsi"/>
          <w:color w:val="000000" w:themeColor="text1"/>
          <w:szCs w:val="24"/>
          <w:lang w:val="es-ES_tradnl"/>
        </w:rPr>
        <w:t xml:space="preserve"> (Kuwait), Sr. </w:t>
      </w:r>
      <w:proofErr w:type="spellStart"/>
      <w:r w:rsidR="00E1318F" w:rsidRPr="009B6037">
        <w:rPr>
          <w:rFonts w:cstheme="minorHAnsi"/>
          <w:color w:val="000000" w:themeColor="text1"/>
          <w:szCs w:val="24"/>
          <w:lang w:val="es-ES_tradnl"/>
        </w:rPr>
        <w:t>Yasuhiko</w:t>
      </w:r>
      <w:proofErr w:type="spellEnd"/>
      <w:r w:rsidR="00E1318F" w:rsidRPr="009B6037">
        <w:rPr>
          <w:rFonts w:cstheme="minorHAnsi"/>
          <w:color w:val="000000" w:themeColor="text1"/>
          <w:szCs w:val="24"/>
          <w:lang w:val="es-ES_tradnl"/>
        </w:rPr>
        <w:t xml:space="preserve"> </w:t>
      </w:r>
      <w:proofErr w:type="spellStart"/>
      <w:r w:rsidR="00E1318F" w:rsidRPr="009B6037">
        <w:rPr>
          <w:rFonts w:cstheme="minorHAnsi"/>
          <w:color w:val="000000" w:themeColor="text1"/>
          <w:szCs w:val="24"/>
          <w:lang w:val="es-ES_tradnl"/>
        </w:rPr>
        <w:t>Kawasumi</w:t>
      </w:r>
      <w:proofErr w:type="spellEnd"/>
      <w:r w:rsidR="00E1318F" w:rsidRPr="009B6037">
        <w:rPr>
          <w:rFonts w:cstheme="minorHAnsi"/>
          <w:color w:val="000000" w:themeColor="text1"/>
          <w:szCs w:val="24"/>
          <w:lang w:val="es-ES_tradnl"/>
        </w:rPr>
        <w:t xml:space="preserve"> (Japón), Sr. </w:t>
      </w:r>
      <w:proofErr w:type="spellStart"/>
      <w:r w:rsidR="00E1318F" w:rsidRPr="009B6037">
        <w:rPr>
          <w:rFonts w:cstheme="minorHAnsi"/>
          <w:color w:val="000000" w:themeColor="text1"/>
          <w:szCs w:val="24"/>
          <w:lang w:val="es-ES_tradnl"/>
        </w:rPr>
        <w:t>Sangwon</w:t>
      </w:r>
      <w:proofErr w:type="spellEnd"/>
      <w:r w:rsidR="00E1318F" w:rsidRPr="009B6037">
        <w:rPr>
          <w:rFonts w:cstheme="minorHAnsi"/>
          <w:color w:val="000000" w:themeColor="text1"/>
          <w:szCs w:val="24"/>
          <w:lang w:val="es-ES_tradnl"/>
        </w:rPr>
        <w:t xml:space="preserve"> </w:t>
      </w:r>
      <w:proofErr w:type="spellStart"/>
      <w:r w:rsidR="00E1318F" w:rsidRPr="009B6037">
        <w:rPr>
          <w:rFonts w:cstheme="minorHAnsi"/>
          <w:color w:val="000000" w:themeColor="text1"/>
          <w:szCs w:val="24"/>
          <w:lang w:val="es-ES_tradnl"/>
        </w:rPr>
        <w:t>Ko</w:t>
      </w:r>
      <w:proofErr w:type="spellEnd"/>
      <w:r w:rsidR="00E1318F" w:rsidRPr="009B6037">
        <w:rPr>
          <w:rFonts w:cstheme="minorHAnsi"/>
          <w:color w:val="000000" w:themeColor="text1"/>
          <w:szCs w:val="24"/>
          <w:lang w:val="es-ES_tradnl"/>
        </w:rPr>
        <w:t xml:space="preserve"> (República de Corea), Sr. </w:t>
      </w:r>
      <w:proofErr w:type="spellStart"/>
      <w:r w:rsidR="00E1318F" w:rsidRPr="009B6037">
        <w:rPr>
          <w:rFonts w:cstheme="minorHAnsi"/>
          <w:color w:val="000000" w:themeColor="text1"/>
          <w:szCs w:val="24"/>
          <w:lang w:val="es-ES_tradnl"/>
        </w:rPr>
        <w:t>Almaz</w:t>
      </w:r>
      <w:proofErr w:type="spellEnd"/>
      <w:r w:rsidR="00E1318F" w:rsidRPr="009B6037">
        <w:rPr>
          <w:rFonts w:cstheme="minorHAnsi"/>
          <w:color w:val="000000" w:themeColor="text1"/>
          <w:szCs w:val="24"/>
          <w:lang w:val="es-ES_tradnl"/>
        </w:rPr>
        <w:t xml:space="preserve"> </w:t>
      </w:r>
      <w:proofErr w:type="spellStart"/>
      <w:r w:rsidR="00E1318F" w:rsidRPr="009B6037">
        <w:rPr>
          <w:rFonts w:cstheme="minorHAnsi"/>
          <w:color w:val="000000" w:themeColor="text1"/>
          <w:szCs w:val="24"/>
          <w:lang w:val="es-ES_tradnl"/>
        </w:rPr>
        <w:t>Tilenbaev</w:t>
      </w:r>
      <w:proofErr w:type="spellEnd"/>
      <w:r w:rsidR="00E1318F" w:rsidRPr="009B6037">
        <w:rPr>
          <w:rFonts w:cstheme="minorHAnsi"/>
          <w:color w:val="000000" w:themeColor="text1"/>
          <w:szCs w:val="24"/>
          <w:lang w:val="es-ES_tradnl"/>
        </w:rPr>
        <w:t xml:space="preserve"> (Kirguistán), Sr. </w:t>
      </w:r>
      <w:proofErr w:type="spellStart"/>
      <w:r w:rsidR="00E1318F" w:rsidRPr="009B6037">
        <w:rPr>
          <w:rFonts w:cstheme="minorHAnsi"/>
          <w:color w:val="000000" w:themeColor="text1"/>
          <w:szCs w:val="24"/>
          <w:lang w:val="es-ES_tradnl"/>
        </w:rPr>
        <w:t>Vadym</w:t>
      </w:r>
      <w:proofErr w:type="spellEnd"/>
      <w:r w:rsidR="00E1318F" w:rsidRPr="009B6037">
        <w:rPr>
          <w:rFonts w:cstheme="minorHAnsi"/>
          <w:color w:val="000000" w:themeColor="text1"/>
          <w:szCs w:val="24"/>
          <w:lang w:val="es-ES_tradnl"/>
        </w:rPr>
        <w:t xml:space="preserve"> </w:t>
      </w:r>
      <w:proofErr w:type="spellStart"/>
      <w:r w:rsidR="00E1318F" w:rsidRPr="009B6037">
        <w:rPr>
          <w:rFonts w:cstheme="minorHAnsi"/>
          <w:color w:val="000000" w:themeColor="text1"/>
          <w:szCs w:val="24"/>
          <w:lang w:val="es-ES_tradnl"/>
        </w:rPr>
        <w:t>Kaptur</w:t>
      </w:r>
      <w:proofErr w:type="spellEnd"/>
      <w:r w:rsidR="00E1318F" w:rsidRPr="009B6037">
        <w:rPr>
          <w:rFonts w:cstheme="minorHAnsi"/>
          <w:color w:val="000000" w:themeColor="text1"/>
          <w:szCs w:val="24"/>
          <w:lang w:val="es-ES_tradnl"/>
        </w:rPr>
        <w:t xml:space="preserve"> (Ucrania), Sra. </w:t>
      </w:r>
      <w:proofErr w:type="spellStart"/>
      <w:r w:rsidR="00E1318F" w:rsidRPr="009B6037">
        <w:rPr>
          <w:rFonts w:cstheme="minorHAnsi"/>
          <w:color w:val="000000" w:themeColor="text1"/>
          <w:szCs w:val="24"/>
          <w:lang w:val="es-ES_tradnl"/>
        </w:rPr>
        <w:t>Amela</w:t>
      </w:r>
      <w:proofErr w:type="spellEnd"/>
      <w:r w:rsidR="00E1318F" w:rsidRPr="009B6037">
        <w:rPr>
          <w:rFonts w:cstheme="minorHAnsi"/>
          <w:color w:val="000000" w:themeColor="text1"/>
          <w:szCs w:val="24"/>
          <w:lang w:val="es-ES_tradnl"/>
        </w:rPr>
        <w:t xml:space="preserve"> </w:t>
      </w:r>
      <w:proofErr w:type="spellStart"/>
      <w:r w:rsidR="00E1318F" w:rsidRPr="009B6037">
        <w:rPr>
          <w:rFonts w:cstheme="minorHAnsi"/>
          <w:color w:val="000000" w:themeColor="text1"/>
          <w:szCs w:val="24"/>
          <w:lang w:val="es-ES_tradnl"/>
        </w:rPr>
        <w:t>Odobasic</w:t>
      </w:r>
      <w:proofErr w:type="spellEnd"/>
      <w:r w:rsidR="00E1318F" w:rsidRPr="009B6037">
        <w:rPr>
          <w:rFonts w:cstheme="minorHAnsi"/>
          <w:color w:val="000000" w:themeColor="text1"/>
          <w:szCs w:val="24"/>
          <w:lang w:val="es-ES_tradnl"/>
        </w:rPr>
        <w:t xml:space="preserve"> (Bosnia y Herzegovina) y Sr. </w:t>
      </w:r>
      <w:proofErr w:type="spellStart"/>
      <w:r w:rsidR="00E1318F" w:rsidRPr="009B6037">
        <w:rPr>
          <w:rFonts w:cstheme="minorHAnsi"/>
          <w:color w:val="000000" w:themeColor="text1"/>
          <w:szCs w:val="24"/>
          <w:lang w:val="es-ES_tradnl"/>
        </w:rPr>
        <w:t>Krisztián</w:t>
      </w:r>
      <w:proofErr w:type="spellEnd"/>
      <w:r w:rsidR="00E1318F" w:rsidRPr="009B6037">
        <w:rPr>
          <w:rFonts w:cstheme="minorHAnsi"/>
          <w:color w:val="000000" w:themeColor="text1"/>
          <w:szCs w:val="24"/>
          <w:lang w:val="es-ES_tradnl"/>
        </w:rPr>
        <w:t xml:space="preserve"> </w:t>
      </w:r>
      <w:proofErr w:type="spellStart"/>
      <w:r w:rsidR="00E1318F" w:rsidRPr="009B6037">
        <w:rPr>
          <w:rFonts w:cstheme="minorHAnsi"/>
          <w:color w:val="000000" w:themeColor="text1"/>
          <w:szCs w:val="24"/>
          <w:lang w:val="es-ES_tradnl"/>
        </w:rPr>
        <w:t>Stefanics</w:t>
      </w:r>
      <w:proofErr w:type="spellEnd"/>
      <w:r w:rsidR="00E1318F" w:rsidRPr="009B6037">
        <w:rPr>
          <w:rFonts w:cstheme="minorHAnsi"/>
          <w:color w:val="000000" w:themeColor="text1"/>
          <w:szCs w:val="24"/>
          <w:lang w:val="es-ES_tradnl"/>
        </w:rPr>
        <w:t xml:space="preserve"> (Hungría).</w:t>
      </w:r>
      <w:r w:rsidR="00E1318F" w:rsidRPr="00CF2F04">
        <w:rPr>
          <w:rFonts w:cstheme="minorHAnsi"/>
          <w:color w:val="000000" w:themeColor="text1"/>
          <w:szCs w:val="24"/>
          <w:lang w:val="es-ES_tradnl"/>
        </w:rPr>
        <w:t xml:space="preserve"> El equipó presentó las 93 </w:t>
      </w:r>
      <w:r w:rsidR="00E1318F" w:rsidRPr="00CF2F04">
        <w:rPr>
          <w:bCs/>
          <w:color w:val="000000" w:themeColor="text1"/>
          <w:szCs w:val="24"/>
          <w:lang w:val="es-ES_tradnl"/>
        </w:rPr>
        <w:t xml:space="preserve">contribuciones sometidas a la CE 1 para impulsar sus trabajos, incluidas 29 declaraciones de coordinación de los otros dos sectores de la UIT. </w:t>
      </w:r>
      <w:r w:rsidRPr="00CF2F04">
        <w:rPr>
          <w:bCs/>
          <w:color w:val="000000" w:themeColor="text1"/>
          <w:szCs w:val="24"/>
          <w:lang w:val="es-ES_tradnl"/>
        </w:rPr>
        <w:t>T</w:t>
      </w:r>
      <w:r w:rsidRPr="00CF2F04">
        <w:rPr>
          <w:bCs/>
          <w:szCs w:val="24"/>
          <w:lang w:val="es-ES_tradnl"/>
        </w:rPr>
        <w:t>ras las reuniones</w:t>
      </w:r>
      <w:r w:rsidRPr="00CF2F04">
        <w:rPr>
          <w:bCs/>
          <w:color w:val="000000" w:themeColor="text1"/>
          <w:szCs w:val="24"/>
          <w:lang w:val="es-ES_tradnl"/>
        </w:rPr>
        <w:t xml:space="preserve"> se aprobaron y enviaron </w:t>
      </w:r>
      <w:r w:rsidR="00C50167" w:rsidRPr="00CF2F04">
        <w:rPr>
          <w:bCs/>
          <w:szCs w:val="24"/>
          <w:lang w:val="es-ES_tradnl"/>
        </w:rPr>
        <w:t xml:space="preserve">13 </w:t>
      </w:r>
      <w:r w:rsidR="00C5354E" w:rsidRPr="00CF2F04">
        <w:rPr>
          <w:bCs/>
          <w:szCs w:val="24"/>
          <w:lang w:val="es-ES_tradnl"/>
        </w:rPr>
        <w:t>declaraciones</w:t>
      </w:r>
      <w:r w:rsidRPr="00CF2F04">
        <w:rPr>
          <w:bCs/>
          <w:szCs w:val="24"/>
          <w:lang w:val="es-ES_tradnl"/>
        </w:rPr>
        <w:t xml:space="preserve"> de coordinación</w:t>
      </w:r>
      <w:r w:rsidR="00C50167" w:rsidRPr="00CF2F04">
        <w:rPr>
          <w:bCs/>
          <w:szCs w:val="24"/>
          <w:lang w:val="es-ES_tradnl"/>
        </w:rPr>
        <w:t>.</w:t>
      </w:r>
      <w:bookmarkStart w:id="12" w:name="_GoBack"/>
      <w:bookmarkEnd w:id="12"/>
    </w:p>
    <w:p w:rsidR="00C50167" w:rsidRPr="00CF2F04" w:rsidRDefault="00D8237B" w:rsidP="004A6126">
      <w:pPr>
        <w:spacing w:after="120"/>
        <w:rPr>
          <w:bCs/>
          <w:szCs w:val="24"/>
          <w:lang w:val="es-ES_tradnl"/>
        </w:rPr>
      </w:pPr>
      <w:r w:rsidRPr="00CF2F04">
        <w:rPr>
          <w:bCs/>
          <w:szCs w:val="24"/>
          <w:lang w:val="es-ES_tradnl"/>
        </w:rPr>
        <w:t>En las primeras reuniones se examinar</w:t>
      </w:r>
      <w:r w:rsidR="00184D13" w:rsidRPr="00CF2F04">
        <w:rPr>
          <w:bCs/>
          <w:szCs w:val="24"/>
          <w:lang w:val="es-ES_tradnl"/>
        </w:rPr>
        <w:t>o</w:t>
      </w:r>
      <w:r w:rsidRPr="00CF2F04">
        <w:rPr>
          <w:bCs/>
          <w:szCs w:val="24"/>
          <w:lang w:val="es-ES_tradnl"/>
        </w:rPr>
        <w:t xml:space="preserve">n los resultados esperados que aprobaron los Miembros en la CMDT-17, se identificarán métodos para llevar a cabo su labor y se aprobarán planes de trabajo detallados para cada Cuestión de Estudio. </w:t>
      </w:r>
      <w:r w:rsidR="00C5354E" w:rsidRPr="00CF2F04">
        <w:rPr>
          <w:bCs/>
          <w:szCs w:val="24"/>
          <w:lang w:val="es-ES_tradnl"/>
        </w:rPr>
        <w:t>También se prepararon el proyecto de esquema/índice inicial de los resultados esperados para todas las Cuestiones y listas de responsabilidades detalladas</w:t>
      </w:r>
      <w:r w:rsidR="00C50167" w:rsidRPr="00CF2F04">
        <w:rPr>
          <w:bCs/>
          <w:szCs w:val="24"/>
          <w:lang w:val="es-ES_tradnl"/>
        </w:rPr>
        <w:t>.</w:t>
      </w:r>
      <w:r w:rsidR="00C50167" w:rsidRPr="00CF2F04">
        <w:rPr>
          <w:lang w:val="es-ES_tradnl"/>
        </w:rPr>
        <w:t xml:space="preserve"> </w:t>
      </w:r>
      <w:r w:rsidR="00C5354E" w:rsidRPr="00CF2F04">
        <w:rPr>
          <w:lang w:val="es-ES_tradnl"/>
        </w:rPr>
        <w:t xml:space="preserve">De las </w:t>
      </w:r>
      <w:r w:rsidR="00C50167" w:rsidRPr="00CF2F04">
        <w:rPr>
          <w:lang w:val="es-ES_tradnl"/>
        </w:rPr>
        <w:t>84 candidatur</w:t>
      </w:r>
      <w:r w:rsidR="00C5354E" w:rsidRPr="00CF2F04">
        <w:rPr>
          <w:lang w:val="es-ES_tradnl"/>
        </w:rPr>
        <w:t>a</w:t>
      </w:r>
      <w:r w:rsidR="00C50167" w:rsidRPr="00CF2F04">
        <w:rPr>
          <w:lang w:val="es-ES_tradnl"/>
        </w:rPr>
        <w:t xml:space="preserve">s </w:t>
      </w:r>
      <w:r w:rsidR="00C5354E" w:rsidRPr="00CF2F04">
        <w:rPr>
          <w:lang w:val="es-ES_tradnl"/>
        </w:rPr>
        <w:t>recibidas para los puestos del CE</w:t>
      </w:r>
      <w:r w:rsidR="004A6126">
        <w:rPr>
          <w:lang w:val="es-ES_tradnl"/>
        </w:rPr>
        <w:t> </w:t>
      </w:r>
      <w:r w:rsidR="00C5354E" w:rsidRPr="00CF2F04">
        <w:rPr>
          <w:lang w:val="es-ES_tradnl"/>
        </w:rPr>
        <w:t>1 del UIT</w:t>
      </w:r>
      <w:r w:rsidR="00C50167" w:rsidRPr="00CF2F04">
        <w:rPr>
          <w:lang w:val="es-ES_tradnl"/>
        </w:rPr>
        <w:t xml:space="preserve">-D, </w:t>
      </w:r>
      <w:r w:rsidR="00C5354E" w:rsidRPr="00CF2F04">
        <w:rPr>
          <w:lang w:val="es-ES_tradnl"/>
        </w:rPr>
        <w:t xml:space="preserve">la reunión nombró </w:t>
      </w:r>
      <w:r w:rsidR="00C50167" w:rsidRPr="00CF2F04">
        <w:rPr>
          <w:lang w:val="es-ES_tradnl"/>
        </w:rPr>
        <w:t xml:space="preserve">9 </w:t>
      </w:r>
      <w:r w:rsidR="00C5354E" w:rsidRPr="00CF2F04">
        <w:rPr>
          <w:lang w:val="es-ES_tradnl"/>
        </w:rPr>
        <w:t>relatores/</w:t>
      </w:r>
      <w:proofErr w:type="spellStart"/>
      <w:r w:rsidR="00C5354E" w:rsidRPr="00CF2F04">
        <w:rPr>
          <w:lang w:val="es-ES_tradnl"/>
        </w:rPr>
        <w:t>c</w:t>
      </w:r>
      <w:r w:rsidR="00C50167" w:rsidRPr="00CF2F04">
        <w:rPr>
          <w:lang w:val="es-ES_tradnl"/>
        </w:rPr>
        <w:t>o</w:t>
      </w:r>
      <w:r w:rsidR="00C5354E" w:rsidRPr="00CF2F04">
        <w:rPr>
          <w:lang w:val="es-ES_tradnl"/>
        </w:rPr>
        <w:t>rrelatores</w:t>
      </w:r>
      <w:proofErr w:type="spellEnd"/>
      <w:r w:rsidR="00C50167" w:rsidRPr="00CF2F04">
        <w:rPr>
          <w:lang w:val="es-ES_tradnl"/>
        </w:rPr>
        <w:t xml:space="preserve"> </w:t>
      </w:r>
      <w:r w:rsidR="00C5354E" w:rsidRPr="00CF2F04">
        <w:rPr>
          <w:lang w:val="es-ES_tradnl"/>
        </w:rPr>
        <w:t xml:space="preserve">y </w:t>
      </w:r>
      <w:r w:rsidR="00C50167" w:rsidRPr="00CF2F04">
        <w:rPr>
          <w:lang w:val="es-ES_tradnl"/>
        </w:rPr>
        <w:t xml:space="preserve">71 </w:t>
      </w:r>
      <w:proofErr w:type="spellStart"/>
      <w:r w:rsidR="00C5354E" w:rsidRPr="00CF2F04">
        <w:rPr>
          <w:lang w:val="es-ES_tradnl"/>
        </w:rPr>
        <w:t>v</w:t>
      </w:r>
      <w:r w:rsidR="00C50167" w:rsidRPr="00CF2F04">
        <w:rPr>
          <w:lang w:val="es-ES_tradnl"/>
        </w:rPr>
        <w:t>ice</w:t>
      </w:r>
      <w:r w:rsidR="00C5354E" w:rsidRPr="00CF2F04">
        <w:rPr>
          <w:lang w:val="es-ES_tradnl"/>
        </w:rPr>
        <w:t>rrelatores</w:t>
      </w:r>
      <w:proofErr w:type="spellEnd"/>
      <w:r w:rsidR="00C5354E" w:rsidRPr="00CF2F04">
        <w:rPr>
          <w:lang w:val="es-ES_tradnl"/>
        </w:rPr>
        <w:t xml:space="preserve"> para dirigir las Cuestiones en estudio</w:t>
      </w:r>
      <w:r w:rsidR="00C50167" w:rsidRPr="00CF2F04">
        <w:rPr>
          <w:lang w:val="es-ES_tradnl"/>
        </w:rPr>
        <w:t xml:space="preserve">. </w:t>
      </w:r>
      <w:r w:rsidR="00C5354E" w:rsidRPr="00CF2F04">
        <w:rPr>
          <w:lang w:val="es-ES_tradnl"/>
        </w:rPr>
        <w:t xml:space="preserve">El </w:t>
      </w:r>
      <w:r w:rsidR="00C50167" w:rsidRPr="00CF2F04">
        <w:rPr>
          <w:b/>
          <w:szCs w:val="24"/>
          <w:lang w:val="es-ES_tradnl"/>
        </w:rPr>
        <w:t>Anex</w:t>
      </w:r>
      <w:r w:rsidR="00C5354E" w:rsidRPr="00CF2F04">
        <w:rPr>
          <w:b/>
          <w:szCs w:val="24"/>
          <w:lang w:val="es-ES_tradnl"/>
        </w:rPr>
        <w:t>o</w:t>
      </w:r>
      <w:r w:rsidR="00C50167" w:rsidRPr="00CF2F04">
        <w:rPr>
          <w:b/>
          <w:szCs w:val="24"/>
          <w:lang w:val="es-ES_tradnl"/>
        </w:rPr>
        <w:t xml:space="preserve"> 1</w:t>
      </w:r>
      <w:r w:rsidR="00C50167" w:rsidRPr="00CF2F04">
        <w:rPr>
          <w:bCs/>
          <w:szCs w:val="24"/>
          <w:lang w:val="es-ES_tradnl"/>
        </w:rPr>
        <w:t xml:space="preserve"> </w:t>
      </w:r>
      <w:r w:rsidR="00C5354E" w:rsidRPr="00CF2F04">
        <w:rPr>
          <w:bCs/>
          <w:szCs w:val="24"/>
          <w:lang w:val="es-ES_tradnl"/>
        </w:rPr>
        <w:t>a este informe describe el equipo directivo de la CE</w:t>
      </w:r>
      <w:r w:rsidR="004A6126">
        <w:rPr>
          <w:bCs/>
          <w:szCs w:val="24"/>
          <w:lang w:val="es-ES_tradnl"/>
        </w:rPr>
        <w:t> </w:t>
      </w:r>
      <w:r w:rsidR="00C50167" w:rsidRPr="00CF2F04">
        <w:rPr>
          <w:bCs/>
          <w:szCs w:val="24"/>
          <w:lang w:val="es-ES_tradnl"/>
        </w:rPr>
        <w:t>1.</w:t>
      </w:r>
    </w:p>
    <w:p w:rsidR="00C50167" w:rsidRPr="00CF2F04" w:rsidRDefault="007C0905" w:rsidP="00C5354E">
      <w:pPr>
        <w:pStyle w:val="Heading2"/>
        <w:rPr>
          <w:lang w:val="es-ES_tradnl"/>
        </w:rPr>
      </w:pPr>
      <w:r w:rsidRPr="00CF2F04">
        <w:rPr>
          <w:lang w:val="es-ES_tradnl"/>
        </w:rPr>
        <w:lastRenderedPageBreak/>
        <w:t>2.2.</w:t>
      </w:r>
      <w:r w:rsidRPr="00CF2F04">
        <w:rPr>
          <w:lang w:val="es-ES_tradnl"/>
        </w:rPr>
        <w:tab/>
      </w:r>
      <w:r w:rsidR="00C5354E" w:rsidRPr="00CF2F04">
        <w:rPr>
          <w:lang w:val="es-ES_tradnl"/>
        </w:rPr>
        <w:t xml:space="preserve">Reuniones del Grupo de Relator de la Comisión de Estudio 1 del </w:t>
      </w:r>
      <w:r w:rsidR="00C50167" w:rsidRPr="00CF2F04">
        <w:rPr>
          <w:lang w:val="es-ES_tradnl"/>
        </w:rPr>
        <w:t xml:space="preserve">2018 </w:t>
      </w:r>
      <w:r w:rsidR="004A6126">
        <w:rPr>
          <w:lang w:val="es-ES_tradnl"/>
        </w:rPr>
        <w:br/>
      </w:r>
      <w:r w:rsidR="00C50167" w:rsidRPr="00CF2F04">
        <w:rPr>
          <w:lang w:val="es-ES_tradnl"/>
        </w:rPr>
        <w:t xml:space="preserve">(17-29 </w:t>
      </w:r>
      <w:r w:rsidR="00C5354E" w:rsidRPr="00CF2F04">
        <w:rPr>
          <w:lang w:val="es-ES_tradnl"/>
        </w:rPr>
        <w:t xml:space="preserve">de septiembre de </w:t>
      </w:r>
      <w:r w:rsidR="00C50167" w:rsidRPr="00CF2F04">
        <w:rPr>
          <w:lang w:val="es-ES_tradnl"/>
        </w:rPr>
        <w:t>2018)</w:t>
      </w:r>
    </w:p>
    <w:p w:rsidR="00C50167" w:rsidRPr="00CF2F04" w:rsidRDefault="00C5354E" w:rsidP="00250CFE">
      <w:pPr>
        <w:spacing w:after="120"/>
        <w:rPr>
          <w:bCs/>
          <w:szCs w:val="24"/>
          <w:lang w:val="es-ES_tradnl"/>
        </w:rPr>
      </w:pPr>
      <w:r w:rsidRPr="00CF2F04">
        <w:rPr>
          <w:bCs/>
          <w:szCs w:val="24"/>
          <w:lang w:val="es-ES_tradnl"/>
        </w:rPr>
        <w:t xml:space="preserve">En la reuniones de 2018 del Grupo de Relator de la Comisión de Estudio 1 se ajustó el plan de trabajo y </w:t>
      </w:r>
      <w:r w:rsidR="00250CFE" w:rsidRPr="00CF2F04">
        <w:rPr>
          <w:bCs/>
          <w:szCs w:val="24"/>
          <w:lang w:val="es-ES_tradnl"/>
        </w:rPr>
        <w:t>el esquema de los productos de la Cuestión CE</w:t>
      </w:r>
      <w:r w:rsidR="0030621C">
        <w:rPr>
          <w:bCs/>
          <w:szCs w:val="24"/>
          <w:lang w:val="es-ES_tradnl"/>
        </w:rPr>
        <w:t> </w:t>
      </w:r>
      <w:r w:rsidR="00250CFE" w:rsidRPr="00CF2F04">
        <w:rPr>
          <w:bCs/>
          <w:szCs w:val="24"/>
          <w:lang w:val="es-ES_tradnl"/>
        </w:rPr>
        <w:t>1 y siguió redactando e intercambiando información sobre capítulos de los informes</w:t>
      </w:r>
      <w:r w:rsidR="00C50167" w:rsidRPr="00CF2F04">
        <w:rPr>
          <w:bCs/>
          <w:szCs w:val="24"/>
          <w:lang w:val="es-ES_tradnl"/>
        </w:rPr>
        <w:t xml:space="preserve">, </w:t>
      </w:r>
      <w:r w:rsidR="00250CFE" w:rsidRPr="00CF2F04">
        <w:rPr>
          <w:bCs/>
          <w:szCs w:val="24"/>
          <w:lang w:val="es-ES_tradnl"/>
        </w:rPr>
        <w:t>la directrices y estudios de caso</w:t>
      </w:r>
      <w:r w:rsidR="00C50167" w:rsidRPr="00CF2F04">
        <w:rPr>
          <w:bCs/>
          <w:szCs w:val="24"/>
          <w:lang w:val="es-ES_tradnl"/>
        </w:rPr>
        <w:t xml:space="preserve">. </w:t>
      </w:r>
      <w:r w:rsidR="00250CFE" w:rsidRPr="00CF2F04">
        <w:rPr>
          <w:bCs/>
          <w:szCs w:val="24"/>
          <w:lang w:val="es-ES_tradnl"/>
        </w:rPr>
        <w:t xml:space="preserve">Se recibieron en las reuniones </w:t>
      </w:r>
      <w:r w:rsidR="00C50167" w:rsidRPr="00CF2F04">
        <w:rPr>
          <w:bCs/>
          <w:szCs w:val="24"/>
          <w:lang w:val="es-ES_tradnl"/>
        </w:rPr>
        <w:t xml:space="preserve">104 </w:t>
      </w:r>
      <w:r w:rsidR="00250CFE" w:rsidRPr="00CF2F04">
        <w:rPr>
          <w:bCs/>
          <w:szCs w:val="24"/>
          <w:lang w:val="es-ES_tradnl"/>
        </w:rPr>
        <w:t xml:space="preserve">contribuciones para avanzar los trabajos y la redacción de los productos, que comprendía </w:t>
      </w:r>
      <w:r w:rsidR="00C50167" w:rsidRPr="00CF2F04">
        <w:rPr>
          <w:bCs/>
          <w:szCs w:val="24"/>
          <w:lang w:val="es-ES_tradnl"/>
        </w:rPr>
        <w:t xml:space="preserve">15 </w:t>
      </w:r>
      <w:r w:rsidR="00250CFE" w:rsidRPr="00CF2F04">
        <w:rPr>
          <w:bCs/>
          <w:szCs w:val="24"/>
          <w:lang w:val="es-ES_tradnl"/>
        </w:rPr>
        <w:t>declaraciones de coordinación recibidas</w:t>
      </w:r>
      <w:r w:rsidR="00C50167" w:rsidRPr="00CF2F04">
        <w:rPr>
          <w:bCs/>
          <w:szCs w:val="24"/>
          <w:lang w:val="es-ES_tradnl"/>
        </w:rPr>
        <w:t xml:space="preserve">. </w:t>
      </w:r>
      <w:r w:rsidR="00250CFE" w:rsidRPr="00CF2F04">
        <w:rPr>
          <w:bCs/>
          <w:szCs w:val="24"/>
          <w:lang w:val="es-ES_tradnl"/>
        </w:rPr>
        <w:t xml:space="preserve">Tras las reuniones, se enviaron </w:t>
      </w:r>
      <w:r w:rsidR="00C50167" w:rsidRPr="00CF2F04">
        <w:rPr>
          <w:bCs/>
          <w:szCs w:val="24"/>
          <w:lang w:val="es-ES_tradnl"/>
        </w:rPr>
        <w:t xml:space="preserve">21 </w:t>
      </w:r>
      <w:r w:rsidR="00250CFE" w:rsidRPr="00CF2F04">
        <w:rPr>
          <w:bCs/>
          <w:szCs w:val="24"/>
          <w:lang w:val="es-ES_tradnl"/>
        </w:rPr>
        <w:t>declaraciones de coordinación</w:t>
      </w:r>
      <w:r w:rsidR="0030621C">
        <w:rPr>
          <w:bCs/>
          <w:szCs w:val="24"/>
          <w:lang w:val="es-ES_tradnl"/>
        </w:rPr>
        <w:t>.</w:t>
      </w:r>
    </w:p>
    <w:p w:rsidR="00C50167" w:rsidRPr="00CF2F04" w:rsidRDefault="00250CFE" w:rsidP="0055752A">
      <w:pPr>
        <w:spacing w:after="120"/>
        <w:rPr>
          <w:bCs/>
          <w:szCs w:val="24"/>
          <w:lang w:val="es-ES_tradnl"/>
        </w:rPr>
      </w:pPr>
      <w:r w:rsidRPr="00CF2F04">
        <w:rPr>
          <w:bCs/>
          <w:szCs w:val="24"/>
          <w:lang w:val="es-ES_tradnl"/>
        </w:rPr>
        <w:t>En el conjunto de las reuniones</w:t>
      </w:r>
      <w:r w:rsidR="00C50167" w:rsidRPr="00CF2F04">
        <w:rPr>
          <w:bCs/>
          <w:szCs w:val="24"/>
          <w:lang w:val="es-ES_tradnl"/>
        </w:rPr>
        <w:t xml:space="preserve">, </w:t>
      </w:r>
      <w:r w:rsidR="00213380" w:rsidRPr="00CF2F04">
        <w:rPr>
          <w:bCs/>
          <w:szCs w:val="24"/>
          <w:lang w:val="es-ES_tradnl"/>
        </w:rPr>
        <w:t>se celebraron tres reuniones temáticas/talleres y sesiones de formación sobre temas relacionados con las Cuestiones</w:t>
      </w:r>
      <w:r w:rsidR="00C50167" w:rsidRPr="00CF2F04">
        <w:rPr>
          <w:bCs/>
          <w:szCs w:val="24"/>
          <w:lang w:val="es-ES_tradnl"/>
        </w:rPr>
        <w:t xml:space="preserve">. </w:t>
      </w:r>
      <w:r w:rsidR="00213380" w:rsidRPr="00CF2F04">
        <w:rPr>
          <w:szCs w:val="24"/>
          <w:lang w:val="es-ES_tradnl"/>
        </w:rPr>
        <w:t xml:space="preserve">Tuvo lugar una </w:t>
      </w:r>
      <w:hyperlink r:id="rId14" w:history="1">
        <w:r w:rsidR="00213380" w:rsidRPr="00CF2F04">
          <w:rPr>
            <w:rStyle w:val="Hyperlink"/>
            <w:szCs w:val="24"/>
            <w:lang w:val="es-ES_tradnl"/>
          </w:rPr>
          <w:t>reunió</w:t>
        </w:r>
        <w:r w:rsidR="00C50167" w:rsidRPr="00CF2F04">
          <w:rPr>
            <w:rStyle w:val="Hyperlink"/>
            <w:szCs w:val="24"/>
            <w:lang w:val="es-ES_tradnl"/>
          </w:rPr>
          <w:t xml:space="preserve">n </w:t>
        </w:r>
        <w:r w:rsidR="00213380" w:rsidRPr="00CF2F04">
          <w:rPr>
            <w:rStyle w:val="Hyperlink"/>
            <w:szCs w:val="24"/>
            <w:lang w:val="es-ES_tradnl"/>
          </w:rPr>
          <w:t>sobre políticas y métodos reglamentarios para el despliegue de la banda ancha y tecnologías de acceso de banda ancha</w:t>
        </w:r>
      </w:hyperlink>
      <w:r w:rsidR="00C50167" w:rsidRPr="00CF2F04">
        <w:rPr>
          <w:szCs w:val="24"/>
          <w:lang w:val="es-ES_tradnl"/>
        </w:rPr>
        <w:t xml:space="preserve"> </w:t>
      </w:r>
      <w:r w:rsidR="00213380" w:rsidRPr="00CF2F04">
        <w:rPr>
          <w:szCs w:val="24"/>
          <w:lang w:val="es-ES_tradnl"/>
        </w:rPr>
        <w:t xml:space="preserve">con ocasión de la reunión de la Cuestión </w:t>
      </w:r>
      <w:r w:rsidR="00C50167" w:rsidRPr="00CF2F04">
        <w:rPr>
          <w:szCs w:val="24"/>
          <w:lang w:val="es-ES_tradnl"/>
        </w:rPr>
        <w:t xml:space="preserve">1/1, </w:t>
      </w:r>
      <w:r w:rsidR="00CF2F04">
        <w:rPr>
          <w:szCs w:val="24"/>
          <w:lang w:val="es-ES_tradnl"/>
        </w:rPr>
        <w:t>una</w:t>
      </w:r>
      <w:r w:rsidR="00C50167" w:rsidRPr="00CF2F04">
        <w:rPr>
          <w:szCs w:val="24"/>
          <w:lang w:val="es-ES_tradnl"/>
        </w:rPr>
        <w:t xml:space="preserve"> </w:t>
      </w:r>
      <w:hyperlink r:id="rId15" w:history="1">
        <w:r w:rsidR="00213380" w:rsidRPr="00CF2F04">
          <w:rPr>
            <w:rStyle w:val="Hyperlink"/>
            <w:lang w:val="es-ES_tradnl"/>
          </w:rPr>
          <w:t>reunión sobre c</w:t>
        </w:r>
        <w:r w:rsidR="00414EC1" w:rsidRPr="00CF2F04">
          <w:rPr>
            <w:rStyle w:val="Hyperlink"/>
            <w:lang w:val="es-ES_tradnl"/>
          </w:rPr>
          <w:t>uestiones económicas en los mercados de las telecomunicaciones/TIC modernas</w:t>
        </w:r>
      </w:hyperlink>
      <w:r w:rsidR="006D4828" w:rsidRPr="00CF2F04">
        <w:rPr>
          <w:szCs w:val="24"/>
          <w:lang w:val="es-ES_tradnl"/>
        </w:rPr>
        <w:t xml:space="preserve"> </w:t>
      </w:r>
      <w:r w:rsidR="00213380" w:rsidRPr="00CF2F04">
        <w:rPr>
          <w:szCs w:val="24"/>
          <w:lang w:val="es-ES_tradnl"/>
        </w:rPr>
        <w:t>con ocasión de la reunión de la Cuestión</w:t>
      </w:r>
      <w:r w:rsidR="00C50167" w:rsidRPr="00CF2F04">
        <w:rPr>
          <w:szCs w:val="24"/>
          <w:lang w:val="es-ES_tradnl"/>
        </w:rPr>
        <w:t xml:space="preserve"> /1 </w:t>
      </w:r>
      <w:r w:rsidR="0055752A" w:rsidRPr="00CF2F04">
        <w:rPr>
          <w:szCs w:val="24"/>
          <w:lang w:val="es-ES_tradnl"/>
        </w:rPr>
        <w:t>y una sesión de</w:t>
      </w:r>
      <w:r w:rsidR="00C50167" w:rsidRPr="00CF2F04">
        <w:rPr>
          <w:szCs w:val="24"/>
          <w:lang w:val="es-ES_tradnl"/>
        </w:rPr>
        <w:t xml:space="preserve"> </w:t>
      </w:r>
      <w:hyperlink r:id="rId16" w:history="1">
        <w:r w:rsidR="00FE7E6D" w:rsidRPr="00CF2F04">
          <w:rPr>
            <w:rStyle w:val="Hyperlink"/>
            <w:lang w:val="es-ES_tradnl"/>
          </w:rPr>
          <w:t>capacitación en materia de accesibilidad a las TIC</w:t>
        </w:r>
      </w:hyperlink>
      <w:r w:rsidR="00FE7E6D" w:rsidRPr="00CF2F04">
        <w:rPr>
          <w:szCs w:val="24"/>
          <w:lang w:val="es-ES_tradnl"/>
        </w:rPr>
        <w:t xml:space="preserve"> </w:t>
      </w:r>
      <w:r w:rsidR="0055752A" w:rsidRPr="00CF2F04">
        <w:rPr>
          <w:szCs w:val="24"/>
          <w:lang w:val="es-ES_tradnl"/>
        </w:rPr>
        <w:t xml:space="preserve">con ocasión de la Cuestión </w:t>
      </w:r>
      <w:r w:rsidR="00C50167" w:rsidRPr="00CF2F04">
        <w:rPr>
          <w:szCs w:val="24"/>
          <w:lang w:val="es-ES_tradnl"/>
        </w:rPr>
        <w:t xml:space="preserve">7/1. </w:t>
      </w:r>
      <w:r w:rsidR="0055752A" w:rsidRPr="00CF2F04">
        <w:rPr>
          <w:szCs w:val="24"/>
          <w:lang w:val="es-ES_tradnl"/>
        </w:rPr>
        <w:t xml:space="preserve">La información reveladora y útil </w:t>
      </w:r>
      <w:r w:rsidR="00A42396" w:rsidRPr="00CF2F04">
        <w:rPr>
          <w:szCs w:val="24"/>
          <w:lang w:val="es-ES_tradnl"/>
        </w:rPr>
        <w:t>recabada</w:t>
      </w:r>
      <w:r w:rsidR="0055752A" w:rsidRPr="00CF2F04">
        <w:rPr>
          <w:szCs w:val="24"/>
          <w:lang w:val="es-ES_tradnl"/>
        </w:rPr>
        <w:t xml:space="preserve"> durante las reuniones contribuirá al desarrollo de productos anuales</w:t>
      </w:r>
      <w:r w:rsidR="00C50167" w:rsidRPr="00CF2F04">
        <w:rPr>
          <w:bCs/>
          <w:szCs w:val="24"/>
          <w:lang w:val="es-ES_tradnl"/>
        </w:rPr>
        <w:t xml:space="preserve">, </w:t>
      </w:r>
      <w:r w:rsidR="0055752A" w:rsidRPr="00CF2F04">
        <w:rPr>
          <w:bCs/>
          <w:szCs w:val="24"/>
          <w:lang w:val="es-ES_tradnl"/>
        </w:rPr>
        <w:t>las primeras para la reunión de la CE</w:t>
      </w:r>
      <w:r w:rsidR="00A42396">
        <w:rPr>
          <w:bCs/>
          <w:szCs w:val="24"/>
          <w:lang w:val="es-ES_tradnl"/>
        </w:rPr>
        <w:t> </w:t>
      </w:r>
      <w:r w:rsidR="0055752A" w:rsidRPr="00CF2F04">
        <w:rPr>
          <w:bCs/>
          <w:szCs w:val="24"/>
          <w:lang w:val="es-ES_tradnl"/>
        </w:rPr>
        <w:t xml:space="preserve">1 de marzo de </w:t>
      </w:r>
      <w:r w:rsidR="00A42396">
        <w:rPr>
          <w:bCs/>
          <w:szCs w:val="24"/>
          <w:lang w:val="es-ES_tradnl"/>
        </w:rPr>
        <w:t>2019.</w:t>
      </w:r>
    </w:p>
    <w:p w:rsidR="00C50167" w:rsidRPr="00CF2F04" w:rsidRDefault="007C0905" w:rsidP="0055752A">
      <w:pPr>
        <w:pStyle w:val="Heading2"/>
        <w:rPr>
          <w:lang w:val="es-ES_tradnl"/>
        </w:rPr>
      </w:pPr>
      <w:r w:rsidRPr="00CF2F04">
        <w:rPr>
          <w:lang w:val="es-ES_tradnl"/>
        </w:rPr>
        <w:t>2.3</w:t>
      </w:r>
      <w:r w:rsidRPr="00CF2F04">
        <w:rPr>
          <w:lang w:val="es-ES_tradnl"/>
        </w:rPr>
        <w:tab/>
      </w:r>
      <w:r w:rsidR="0055752A" w:rsidRPr="00CF2F04">
        <w:rPr>
          <w:lang w:val="es-ES_tradnl"/>
        </w:rPr>
        <w:t>Informes de las reuniones del Grupo de Relator</w:t>
      </w:r>
    </w:p>
    <w:p w:rsidR="00C50167" w:rsidRPr="00CF2F04" w:rsidRDefault="0055752A" w:rsidP="0055752A">
      <w:pPr>
        <w:spacing w:after="120"/>
        <w:rPr>
          <w:bCs/>
          <w:szCs w:val="24"/>
          <w:lang w:val="es-ES_tradnl"/>
        </w:rPr>
      </w:pPr>
      <w:r w:rsidRPr="00CF2F04">
        <w:rPr>
          <w:bCs/>
          <w:szCs w:val="24"/>
          <w:lang w:val="es-ES_tradnl"/>
        </w:rPr>
        <w:t xml:space="preserve">En los siguientes enlaces pueden consultarse los informes de cada reunión de los Grupos de Relator celebradas en </w:t>
      </w:r>
      <w:r w:rsidR="00C50167" w:rsidRPr="00CF2F04">
        <w:rPr>
          <w:bCs/>
          <w:szCs w:val="24"/>
          <w:lang w:val="es-ES_tradnl"/>
        </w:rPr>
        <w:t xml:space="preserve">2018 </w:t>
      </w:r>
      <w:r w:rsidRPr="00CF2F04">
        <w:rPr>
          <w:bCs/>
          <w:szCs w:val="24"/>
          <w:lang w:val="es-ES_tradnl"/>
        </w:rPr>
        <w:t>desde la última reunión del GADT</w:t>
      </w:r>
      <w:r w:rsidR="00C50167" w:rsidRPr="00CF2F04">
        <w:rPr>
          <w:bCs/>
          <w:szCs w:val="24"/>
          <w:lang w:val="es-ES_tradnl"/>
        </w:rPr>
        <w:t xml:space="preserve">: </w:t>
      </w:r>
    </w:p>
    <w:p w:rsidR="00C50167" w:rsidRPr="00CF2F04" w:rsidRDefault="00D13B22" w:rsidP="00C56BC9">
      <w:pPr>
        <w:pStyle w:val="enumlev1"/>
        <w:rPr>
          <w:lang w:val="es-ES_tradnl"/>
        </w:rPr>
      </w:pPr>
      <w:r w:rsidRPr="00CF2F04">
        <w:rPr>
          <w:lang w:val="es-ES_tradnl"/>
        </w:rPr>
        <w:t>–</w:t>
      </w:r>
      <w:r w:rsidRPr="00CF2F04">
        <w:rPr>
          <w:lang w:val="es-ES_tradnl"/>
        </w:rPr>
        <w:tab/>
      </w:r>
      <w:r w:rsidR="0055752A" w:rsidRPr="00CF2F04">
        <w:rPr>
          <w:lang w:val="es-ES_tradnl"/>
        </w:rPr>
        <w:t xml:space="preserve">Cuestión </w:t>
      </w:r>
      <w:r w:rsidR="00C50167" w:rsidRPr="00CF2F04">
        <w:rPr>
          <w:lang w:val="es-ES_tradnl"/>
        </w:rPr>
        <w:t xml:space="preserve">1/1 </w:t>
      </w:r>
      <w:r w:rsidR="0055752A" w:rsidRPr="00CF2F04">
        <w:rPr>
          <w:lang w:val="es-ES_tradnl"/>
        </w:rPr>
        <w:t>disponible en:</w:t>
      </w:r>
      <w:r w:rsidR="00C50167" w:rsidRPr="00CF2F04">
        <w:rPr>
          <w:lang w:val="es-ES_tradnl"/>
        </w:rPr>
        <w:t xml:space="preserve"> (</w:t>
      </w:r>
      <w:hyperlink r:id="rId17" w:history="1">
        <w:r w:rsidR="00C56BC9">
          <w:rPr>
            <w:rStyle w:val="Hyperlink"/>
            <w:bCs/>
            <w:szCs w:val="24"/>
            <w:lang w:val="es-ES_tradnl"/>
          </w:rPr>
          <w:t>I</w:t>
        </w:r>
        <w:r w:rsidR="0055752A" w:rsidRPr="00CF2F04">
          <w:rPr>
            <w:rStyle w:val="Hyperlink"/>
            <w:bCs/>
            <w:szCs w:val="24"/>
            <w:lang w:val="es-ES_tradnl"/>
          </w:rPr>
          <w:t>nforme reunió</w:t>
        </w:r>
        <w:r w:rsidR="0055752A" w:rsidRPr="00CF2F04">
          <w:rPr>
            <w:rStyle w:val="Hyperlink"/>
            <w:bCs/>
            <w:szCs w:val="24"/>
            <w:lang w:val="es-ES_tradnl"/>
          </w:rPr>
          <w:t>n</w:t>
        </w:r>
        <w:r w:rsidR="0055752A" w:rsidRPr="00CF2F04">
          <w:rPr>
            <w:rStyle w:val="Hyperlink"/>
            <w:bCs/>
            <w:szCs w:val="24"/>
            <w:lang w:val="es-ES_tradnl"/>
          </w:rPr>
          <w:t xml:space="preserve"> d</w:t>
        </w:r>
        <w:r w:rsidR="0055752A" w:rsidRPr="00CF2F04">
          <w:rPr>
            <w:rStyle w:val="Hyperlink"/>
            <w:bCs/>
            <w:szCs w:val="24"/>
            <w:lang w:val="es-ES_tradnl"/>
          </w:rPr>
          <w:t>e</w:t>
        </w:r>
        <w:r w:rsidR="00A42396">
          <w:rPr>
            <w:rStyle w:val="Hyperlink"/>
            <w:bCs/>
            <w:szCs w:val="24"/>
            <w:lang w:val="es-ES_tradnl"/>
          </w:rPr>
          <w:t xml:space="preserve"> ma</w:t>
        </w:r>
        <w:r w:rsidR="00A42396">
          <w:rPr>
            <w:rStyle w:val="Hyperlink"/>
            <w:bCs/>
            <w:szCs w:val="24"/>
            <w:lang w:val="es-ES_tradnl"/>
          </w:rPr>
          <w:t>y</w:t>
        </w:r>
        <w:r w:rsidR="00A42396">
          <w:rPr>
            <w:rStyle w:val="Hyperlink"/>
            <w:bCs/>
            <w:szCs w:val="24"/>
            <w:lang w:val="es-ES_tradnl"/>
          </w:rPr>
          <w:t>o de</w:t>
        </w:r>
        <w:r w:rsidR="0055752A" w:rsidRPr="00CF2F04">
          <w:rPr>
            <w:rStyle w:val="Hyperlink"/>
            <w:bCs/>
            <w:szCs w:val="24"/>
            <w:lang w:val="es-ES_tradnl"/>
          </w:rPr>
          <w:t xml:space="preserve"> </w:t>
        </w:r>
        <w:r w:rsidR="00C50167" w:rsidRPr="00CF2F04">
          <w:rPr>
            <w:rStyle w:val="Hyperlink"/>
            <w:bCs/>
            <w:szCs w:val="24"/>
            <w:lang w:val="es-ES_tradnl"/>
          </w:rPr>
          <w:t>2018</w:t>
        </w:r>
      </w:hyperlink>
      <w:proofErr w:type="gramStart"/>
      <w:r w:rsidR="00C50167" w:rsidRPr="00CF2F04">
        <w:rPr>
          <w:lang w:val="es-ES_tradnl"/>
        </w:rPr>
        <w:t>)(</w:t>
      </w:r>
      <w:proofErr w:type="gramEnd"/>
      <w:r w:rsidR="00354B45">
        <w:rPr>
          <w:rStyle w:val="Hyperlink"/>
          <w:bCs/>
          <w:szCs w:val="24"/>
          <w:lang w:val="es-ES_tradnl"/>
        </w:rPr>
        <w:fldChar w:fldCharType="begin"/>
      </w:r>
      <w:r w:rsidR="00354B45">
        <w:rPr>
          <w:rStyle w:val="Hyperlink"/>
          <w:bCs/>
          <w:szCs w:val="24"/>
          <w:lang w:val="es-ES_tradnl"/>
        </w:rPr>
        <w:instrText xml:space="preserve"> HYPERLINK "https://www.itu.int/md/D18-SG01.rgq-R-0001" </w:instrText>
      </w:r>
      <w:r w:rsidR="00354B45">
        <w:rPr>
          <w:rStyle w:val="Hyperlink"/>
          <w:bCs/>
          <w:szCs w:val="24"/>
          <w:lang w:val="es-ES_tradnl"/>
        </w:rPr>
        <w:fldChar w:fldCharType="separate"/>
      </w:r>
      <w:r w:rsidR="0055752A" w:rsidRPr="00CF2F04">
        <w:rPr>
          <w:rStyle w:val="Hyperlink"/>
          <w:bCs/>
          <w:szCs w:val="24"/>
          <w:lang w:val="es-ES_tradnl"/>
        </w:rPr>
        <w:t>sep</w:t>
      </w:r>
      <w:r w:rsidR="0055752A" w:rsidRPr="00CF2F04">
        <w:rPr>
          <w:rStyle w:val="Hyperlink"/>
          <w:bCs/>
          <w:szCs w:val="24"/>
          <w:lang w:val="es-ES_tradnl"/>
        </w:rPr>
        <w:t>t</w:t>
      </w:r>
      <w:r w:rsidR="0055752A" w:rsidRPr="00CF2F04">
        <w:rPr>
          <w:rStyle w:val="Hyperlink"/>
          <w:bCs/>
          <w:szCs w:val="24"/>
          <w:lang w:val="es-ES_tradnl"/>
        </w:rPr>
        <w:t xml:space="preserve">iembre de </w:t>
      </w:r>
      <w:r w:rsidR="00C50167" w:rsidRPr="00CF2F04">
        <w:rPr>
          <w:rStyle w:val="Hyperlink"/>
          <w:bCs/>
          <w:szCs w:val="24"/>
          <w:lang w:val="es-ES_tradnl"/>
        </w:rPr>
        <w:t>2018</w:t>
      </w:r>
      <w:r w:rsidR="00354B45">
        <w:rPr>
          <w:rStyle w:val="Hyperlink"/>
          <w:bCs/>
          <w:szCs w:val="24"/>
          <w:lang w:val="es-ES_tradnl"/>
        </w:rPr>
        <w:fldChar w:fldCharType="end"/>
      </w:r>
      <w:r w:rsidR="00C50167" w:rsidRPr="00CF2F04">
        <w:rPr>
          <w:lang w:val="es-ES_tradnl"/>
        </w:rPr>
        <w:t>)</w:t>
      </w:r>
    </w:p>
    <w:p w:rsidR="00C50167" w:rsidRPr="00CF2F04" w:rsidRDefault="00D13B22" w:rsidP="0055752A">
      <w:pPr>
        <w:pStyle w:val="enumlev1"/>
        <w:rPr>
          <w:lang w:val="es-ES_tradnl"/>
        </w:rPr>
      </w:pPr>
      <w:r w:rsidRPr="00CF2F04">
        <w:rPr>
          <w:lang w:val="es-ES_tradnl"/>
        </w:rPr>
        <w:t>–</w:t>
      </w:r>
      <w:r w:rsidRPr="00CF2F04">
        <w:rPr>
          <w:lang w:val="es-ES_tradnl"/>
        </w:rPr>
        <w:tab/>
      </w:r>
      <w:r w:rsidR="0055752A" w:rsidRPr="00CF2F04">
        <w:rPr>
          <w:lang w:val="es-ES_tradnl"/>
        </w:rPr>
        <w:t xml:space="preserve">Cuestión </w:t>
      </w:r>
      <w:r w:rsidR="00C50167" w:rsidRPr="00CF2F04">
        <w:rPr>
          <w:lang w:val="es-ES_tradnl"/>
        </w:rPr>
        <w:t xml:space="preserve">2/1 </w:t>
      </w:r>
      <w:r w:rsidR="0055752A" w:rsidRPr="00CF2F04">
        <w:rPr>
          <w:lang w:val="es-ES_tradnl"/>
        </w:rPr>
        <w:t>disponible en</w:t>
      </w:r>
      <w:r w:rsidR="00C50167" w:rsidRPr="00CF2F04">
        <w:rPr>
          <w:lang w:val="es-ES_tradnl"/>
        </w:rPr>
        <w:t>: (</w:t>
      </w:r>
      <w:hyperlink r:id="rId18" w:history="1">
        <w:r w:rsidR="00C56BC9">
          <w:rPr>
            <w:rStyle w:val="Hyperlink"/>
            <w:bCs/>
            <w:szCs w:val="24"/>
            <w:lang w:val="es-ES_tradnl"/>
          </w:rPr>
          <w:t>I</w:t>
        </w:r>
        <w:r w:rsidR="0055752A" w:rsidRPr="00CF2F04">
          <w:rPr>
            <w:rStyle w:val="Hyperlink"/>
            <w:bCs/>
            <w:szCs w:val="24"/>
            <w:lang w:val="es-ES_tradnl"/>
          </w:rPr>
          <w:t>nforme reunión de m</w:t>
        </w:r>
        <w:r w:rsidR="0055752A" w:rsidRPr="00CF2F04">
          <w:rPr>
            <w:rStyle w:val="Hyperlink"/>
            <w:bCs/>
            <w:szCs w:val="24"/>
            <w:lang w:val="es-ES_tradnl"/>
          </w:rPr>
          <w:t>a</w:t>
        </w:r>
        <w:r w:rsidR="0055752A" w:rsidRPr="00CF2F04">
          <w:rPr>
            <w:rStyle w:val="Hyperlink"/>
            <w:bCs/>
            <w:szCs w:val="24"/>
            <w:lang w:val="es-ES_tradnl"/>
          </w:rPr>
          <w:t>yo de</w:t>
        </w:r>
        <w:r w:rsidR="00C50167" w:rsidRPr="00CF2F04">
          <w:rPr>
            <w:rStyle w:val="Hyperlink"/>
            <w:bCs/>
            <w:szCs w:val="24"/>
            <w:lang w:val="es-ES_tradnl"/>
          </w:rPr>
          <w:t xml:space="preserve"> 2018</w:t>
        </w:r>
      </w:hyperlink>
      <w:proofErr w:type="gramStart"/>
      <w:r w:rsidR="00C50167" w:rsidRPr="00CF2F04">
        <w:rPr>
          <w:lang w:val="es-ES_tradnl"/>
        </w:rPr>
        <w:t>)(</w:t>
      </w:r>
      <w:proofErr w:type="gramEnd"/>
      <w:r w:rsidR="00354B45">
        <w:rPr>
          <w:rStyle w:val="Hyperlink"/>
          <w:bCs/>
          <w:szCs w:val="24"/>
          <w:lang w:val="es-ES_tradnl"/>
        </w:rPr>
        <w:fldChar w:fldCharType="begin"/>
      </w:r>
      <w:r w:rsidR="00354B45">
        <w:rPr>
          <w:rStyle w:val="Hyperlink"/>
          <w:bCs/>
          <w:szCs w:val="24"/>
          <w:lang w:val="es-ES_tradnl"/>
        </w:rPr>
        <w:instrText xml:space="preserve"> HYPERLINK "https://www.itu.int/md/D18-SG01.rgq-R-0002" </w:instrText>
      </w:r>
      <w:r w:rsidR="00354B45">
        <w:rPr>
          <w:rStyle w:val="Hyperlink"/>
          <w:bCs/>
          <w:szCs w:val="24"/>
          <w:lang w:val="es-ES_tradnl"/>
        </w:rPr>
        <w:fldChar w:fldCharType="separate"/>
      </w:r>
      <w:r w:rsidR="0055752A" w:rsidRPr="00CF2F04">
        <w:rPr>
          <w:rStyle w:val="Hyperlink"/>
          <w:bCs/>
          <w:szCs w:val="24"/>
          <w:lang w:val="es-ES_tradnl"/>
        </w:rPr>
        <w:t>septie</w:t>
      </w:r>
      <w:r w:rsidR="0055752A" w:rsidRPr="00CF2F04">
        <w:rPr>
          <w:rStyle w:val="Hyperlink"/>
          <w:bCs/>
          <w:szCs w:val="24"/>
          <w:lang w:val="es-ES_tradnl"/>
        </w:rPr>
        <w:t>m</w:t>
      </w:r>
      <w:r w:rsidR="0055752A" w:rsidRPr="00CF2F04">
        <w:rPr>
          <w:rStyle w:val="Hyperlink"/>
          <w:bCs/>
          <w:szCs w:val="24"/>
          <w:lang w:val="es-ES_tradnl"/>
        </w:rPr>
        <w:t xml:space="preserve">bre de </w:t>
      </w:r>
      <w:r w:rsidR="00C50167" w:rsidRPr="00CF2F04">
        <w:rPr>
          <w:rStyle w:val="Hyperlink"/>
          <w:bCs/>
          <w:szCs w:val="24"/>
          <w:lang w:val="es-ES_tradnl"/>
        </w:rPr>
        <w:t>2018</w:t>
      </w:r>
      <w:r w:rsidR="00354B45">
        <w:rPr>
          <w:rStyle w:val="Hyperlink"/>
          <w:bCs/>
          <w:szCs w:val="24"/>
          <w:lang w:val="es-ES_tradnl"/>
        </w:rPr>
        <w:fldChar w:fldCharType="end"/>
      </w:r>
      <w:r w:rsidR="00C50167" w:rsidRPr="00CF2F04">
        <w:rPr>
          <w:lang w:val="es-ES_tradnl"/>
        </w:rPr>
        <w:t>)</w:t>
      </w:r>
    </w:p>
    <w:p w:rsidR="00C50167" w:rsidRPr="00CF2F04" w:rsidRDefault="00D13B22" w:rsidP="00C56BC9">
      <w:pPr>
        <w:pStyle w:val="enumlev1"/>
        <w:rPr>
          <w:lang w:val="es-ES_tradnl"/>
        </w:rPr>
      </w:pPr>
      <w:r w:rsidRPr="00CF2F04">
        <w:rPr>
          <w:lang w:val="es-ES_tradnl"/>
        </w:rPr>
        <w:t>–</w:t>
      </w:r>
      <w:r w:rsidRPr="00CF2F04">
        <w:rPr>
          <w:lang w:val="es-ES_tradnl"/>
        </w:rPr>
        <w:tab/>
      </w:r>
      <w:r w:rsidR="0055752A" w:rsidRPr="00CF2F04">
        <w:rPr>
          <w:lang w:val="es-ES_tradnl"/>
        </w:rPr>
        <w:t xml:space="preserve">Cuestión </w:t>
      </w:r>
      <w:r w:rsidR="00C50167" w:rsidRPr="00CF2F04">
        <w:rPr>
          <w:lang w:val="es-ES_tradnl"/>
        </w:rPr>
        <w:t xml:space="preserve">3/1 </w:t>
      </w:r>
      <w:r w:rsidR="0055752A" w:rsidRPr="00CF2F04">
        <w:rPr>
          <w:lang w:val="es-ES_tradnl"/>
        </w:rPr>
        <w:t>disponible en</w:t>
      </w:r>
      <w:r w:rsidR="00C50167" w:rsidRPr="00CF2F04">
        <w:rPr>
          <w:lang w:val="es-ES_tradnl"/>
        </w:rPr>
        <w:t>: (</w:t>
      </w:r>
      <w:hyperlink r:id="rId19" w:history="1">
        <w:r w:rsidR="00C56BC9" w:rsidRPr="00C56BC9">
          <w:rPr>
            <w:rStyle w:val="Hyperlink"/>
            <w:lang w:val="es-ES_tradnl"/>
          </w:rPr>
          <w:t>Informe r</w:t>
        </w:r>
        <w:r w:rsidR="00C56BC9" w:rsidRPr="00C56BC9">
          <w:rPr>
            <w:rStyle w:val="Hyperlink"/>
            <w:lang w:val="es-ES_tradnl"/>
          </w:rPr>
          <w:t>e</w:t>
        </w:r>
        <w:r w:rsidR="00C56BC9" w:rsidRPr="00C56BC9">
          <w:rPr>
            <w:rStyle w:val="Hyperlink"/>
            <w:lang w:val="es-ES_tradnl"/>
          </w:rPr>
          <w:t>unión de mayo de 2018</w:t>
        </w:r>
      </w:hyperlink>
      <w:proofErr w:type="gramStart"/>
      <w:r w:rsidR="00C50167" w:rsidRPr="00CF2F04">
        <w:rPr>
          <w:lang w:val="es-ES_tradnl"/>
        </w:rPr>
        <w:t>)(</w:t>
      </w:r>
      <w:proofErr w:type="gramEnd"/>
      <w:r w:rsidR="00354B45">
        <w:rPr>
          <w:rStyle w:val="Hyperlink"/>
          <w:bCs/>
          <w:szCs w:val="24"/>
          <w:lang w:val="es-ES_tradnl"/>
        </w:rPr>
        <w:fldChar w:fldCharType="begin"/>
      </w:r>
      <w:r w:rsidR="00354B45">
        <w:rPr>
          <w:rStyle w:val="Hyperlink"/>
          <w:bCs/>
          <w:szCs w:val="24"/>
          <w:lang w:val="es-ES_tradnl"/>
        </w:rPr>
        <w:instrText xml:space="preserve"> HYPERLINK "https://www.itu.int/md/D18-SG01.rgq-R-0003" </w:instrText>
      </w:r>
      <w:r w:rsidR="00354B45">
        <w:rPr>
          <w:rStyle w:val="Hyperlink"/>
          <w:bCs/>
          <w:szCs w:val="24"/>
          <w:lang w:val="es-ES_tradnl"/>
        </w:rPr>
        <w:fldChar w:fldCharType="separate"/>
      </w:r>
      <w:r w:rsidR="0055752A" w:rsidRPr="00CF2F04">
        <w:rPr>
          <w:rStyle w:val="Hyperlink"/>
          <w:bCs/>
          <w:szCs w:val="24"/>
          <w:lang w:val="es-ES_tradnl"/>
        </w:rPr>
        <w:t>septiembr</w:t>
      </w:r>
      <w:r w:rsidR="0055752A" w:rsidRPr="00CF2F04">
        <w:rPr>
          <w:rStyle w:val="Hyperlink"/>
          <w:bCs/>
          <w:szCs w:val="24"/>
          <w:lang w:val="es-ES_tradnl"/>
        </w:rPr>
        <w:t>e</w:t>
      </w:r>
      <w:r w:rsidR="0055752A" w:rsidRPr="00CF2F04">
        <w:rPr>
          <w:rStyle w:val="Hyperlink"/>
          <w:bCs/>
          <w:szCs w:val="24"/>
          <w:lang w:val="es-ES_tradnl"/>
        </w:rPr>
        <w:t xml:space="preserve"> de </w:t>
      </w:r>
      <w:r w:rsidR="00C50167" w:rsidRPr="00CF2F04">
        <w:rPr>
          <w:rStyle w:val="Hyperlink"/>
          <w:bCs/>
          <w:szCs w:val="24"/>
          <w:lang w:val="es-ES_tradnl"/>
        </w:rPr>
        <w:t>2018</w:t>
      </w:r>
      <w:r w:rsidR="00354B45">
        <w:rPr>
          <w:rStyle w:val="Hyperlink"/>
          <w:bCs/>
          <w:szCs w:val="24"/>
          <w:lang w:val="es-ES_tradnl"/>
        </w:rPr>
        <w:fldChar w:fldCharType="end"/>
      </w:r>
      <w:r w:rsidR="00C50167" w:rsidRPr="00CF2F04">
        <w:rPr>
          <w:lang w:val="es-ES_tradnl"/>
        </w:rPr>
        <w:t>)</w:t>
      </w:r>
    </w:p>
    <w:p w:rsidR="00C50167" w:rsidRPr="00CF2F04" w:rsidRDefault="00D13B22" w:rsidP="0055752A">
      <w:pPr>
        <w:pStyle w:val="enumlev1"/>
        <w:rPr>
          <w:lang w:val="es-ES_tradnl"/>
        </w:rPr>
      </w:pPr>
      <w:r w:rsidRPr="00CF2F04">
        <w:rPr>
          <w:lang w:val="es-ES_tradnl"/>
        </w:rPr>
        <w:t>–</w:t>
      </w:r>
      <w:r w:rsidRPr="00CF2F04">
        <w:rPr>
          <w:lang w:val="es-ES_tradnl"/>
        </w:rPr>
        <w:tab/>
      </w:r>
      <w:r w:rsidR="0055752A" w:rsidRPr="00CF2F04">
        <w:rPr>
          <w:lang w:val="es-ES_tradnl"/>
        </w:rPr>
        <w:t xml:space="preserve">Cuestión </w:t>
      </w:r>
      <w:r w:rsidR="00C50167" w:rsidRPr="00CF2F04">
        <w:rPr>
          <w:lang w:val="es-ES_tradnl"/>
        </w:rPr>
        <w:t xml:space="preserve">4/1 </w:t>
      </w:r>
      <w:r w:rsidR="0055752A" w:rsidRPr="00CF2F04">
        <w:rPr>
          <w:lang w:val="es-ES_tradnl"/>
        </w:rPr>
        <w:t>disponible en</w:t>
      </w:r>
      <w:r w:rsidR="00C50167" w:rsidRPr="00CF2F04">
        <w:rPr>
          <w:lang w:val="es-ES_tradnl"/>
        </w:rPr>
        <w:t>: (</w:t>
      </w:r>
      <w:hyperlink r:id="rId20" w:history="1">
        <w:r w:rsidR="00C56BC9">
          <w:rPr>
            <w:rStyle w:val="Hyperlink"/>
            <w:bCs/>
            <w:szCs w:val="24"/>
            <w:lang w:val="es-ES_tradnl"/>
          </w:rPr>
          <w:t>I</w:t>
        </w:r>
        <w:r w:rsidR="0055752A" w:rsidRPr="00CF2F04">
          <w:rPr>
            <w:rStyle w:val="Hyperlink"/>
            <w:bCs/>
            <w:szCs w:val="24"/>
            <w:lang w:val="es-ES_tradnl"/>
          </w:rPr>
          <w:t>nforme re</w:t>
        </w:r>
        <w:r w:rsidR="0055752A" w:rsidRPr="00CF2F04">
          <w:rPr>
            <w:rStyle w:val="Hyperlink"/>
            <w:bCs/>
            <w:szCs w:val="24"/>
            <w:lang w:val="es-ES_tradnl"/>
          </w:rPr>
          <w:t>u</w:t>
        </w:r>
        <w:r w:rsidR="0055752A" w:rsidRPr="00CF2F04">
          <w:rPr>
            <w:rStyle w:val="Hyperlink"/>
            <w:bCs/>
            <w:szCs w:val="24"/>
            <w:lang w:val="es-ES_tradnl"/>
          </w:rPr>
          <w:t>n</w:t>
        </w:r>
        <w:r w:rsidR="0055752A" w:rsidRPr="00CF2F04">
          <w:rPr>
            <w:rStyle w:val="Hyperlink"/>
            <w:bCs/>
            <w:szCs w:val="24"/>
            <w:lang w:val="es-ES_tradnl"/>
          </w:rPr>
          <w:t>i</w:t>
        </w:r>
        <w:r w:rsidR="0055752A" w:rsidRPr="00CF2F04">
          <w:rPr>
            <w:rStyle w:val="Hyperlink"/>
            <w:bCs/>
            <w:szCs w:val="24"/>
            <w:lang w:val="es-ES_tradnl"/>
          </w:rPr>
          <w:t xml:space="preserve">ón de mayo de </w:t>
        </w:r>
        <w:r w:rsidR="00C50167" w:rsidRPr="00CF2F04">
          <w:rPr>
            <w:rStyle w:val="Hyperlink"/>
            <w:bCs/>
            <w:szCs w:val="24"/>
            <w:lang w:val="es-ES_tradnl"/>
          </w:rPr>
          <w:t>2018</w:t>
        </w:r>
      </w:hyperlink>
      <w:proofErr w:type="gramStart"/>
      <w:r w:rsidR="00C50167" w:rsidRPr="00CF2F04">
        <w:rPr>
          <w:lang w:val="es-ES_tradnl"/>
        </w:rPr>
        <w:t>)(</w:t>
      </w:r>
      <w:proofErr w:type="gramEnd"/>
      <w:r w:rsidR="00354B45">
        <w:rPr>
          <w:rStyle w:val="Hyperlink"/>
          <w:bCs/>
          <w:szCs w:val="24"/>
          <w:lang w:val="es-ES_tradnl"/>
        </w:rPr>
        <w:fldChar w:fldCharType="begin"/>
      </w:r>
      <w:r w:rsidR="00354B45">
        <w:rPr>
          <w:rStyle w:val="Hyperlink"/>
          <w:bCs/>
          <w:szCs w:val="24"/>
          <w:lang w:val="es-ES_tradnl"/>
        </w:rPr>
        <w:instrText xml:space="preserve"> HYPERLINK "https://www.itu.int/md/D18-SG01.rgq-R-0004" </w:instrText>
      </w:r>
      <w:r w:rsidR="00354B45">
        <w:rPr>
          <w:rStyle w:val="Hyperlink"/>
          <w:bCs/>
          <w:szCs w:val="24"/>
          <w:lang w:val="es-ES_tradnl"/>
        </w:rPr>
        <w:fldChar w:fldCharType="separate"/>
      </w:r>
      <w:r w:rsidR="0055752A" w:rsidRPr="00CF2F04">
        <w:rPr>
          <w:rStyle w:val="Hyperlink"/>
          <w:bCs/>
          <w:szCs w:val="24"/>
          <w:lang w:val="es-ES_tradnl"/>
        </w:rPr>
        <w:t>septiemb</w:t>
      </w:r>
      <w:r w:rsidR="0055752A" w:rsidRPr="00CF2F04">
        <w:rPr>
          <w:rStyle w:val="Hyperlink"/>
          <w:bCs/>
          <w:szCs w:val="24"/>
          <w:lang w:val="es-ES_tradnl"/>
        </w:rPr>
        <w:t>r</w:t>
      </w:r>
      <w:r w:rsidR="0055752A" w:rsidRPr="00CF2F04">
        <w:rPr>
          <w:rStyle w:val="Hyperlink"/>
          <w:bCs/>
          <w:szCs w:val="24"/>
          <w:lang w:val="es-ES_tradnl"/>
        </w:rPr>
        <w:t xml:space="preserve">e de </w:t>
      </w:r>
      <w:r w:rsidR="00C50167" w:rsidRPr="00CF2F04">
        <w:rPr>
          <w:rStyle w:val="Hyperlink"/>
          <w:bCs/>
          <w:szCs w:val="24"/>
          <w:lang w:val="es-ES_tradnl"/>
        </w:rPr>
        <w:t>2018</w:t>
      </w:r>
      <w:r w:rsidR="00354B45">
        <w:rPr>
          <w:rStyle w:val="Hyperlink"/>
          <w:bCs/>
          <w:szCs w:val="24"/>
          <w:lang w:val="es-ES_tradnl"/>
        </w:rPr>
        <w:fldChar w:fldCharType="end"/>
      </w:r>
      <w:r w:rsidR="00C50167" w:rsidRPr="00CF2F04">
        <w:rPr>
          <w:lang w:val="es-ES_tradnl"/>
        </w:rPr>
        <w:t>)</w:t>
      </w:r>
    </w:p>
    <w:p w:rsidR="00C50167" w:rsidRPr="00CF2F04" w:rsidRDefault="00D13B22" w:rsidP="0055752A">
      <w:pPr>
        <w:pStyle w:val="enumlev1"/>
        <w:rPr>
          <w:lang w:val="es-ES_tradnl"/>
        </w:rPr>
      </w:pPr>
      <w:r w:rsidRPr="00CF2F04">
        <w:rPr>
          <w:lang w:val="es-ES_tradnl"/>
        </w:rPr>
        <w:t>–</w:t>
      </w:r>
      <w:r w:rsidRPr="00CF2F04">
        <w:rPr>
          <w:lang w:val="es-ES_tradnl"/>
        </w:rPr>
        <w:tab/>
      </w:r>
      <w:r w:rsidR="0055752A" w:rsidRPr="00CF2F04">
        <w:rPr>
          <w:lang w:val="es-ES_tradnl"/>
        </w:rPr>
        <w:t xml:space="preserve">Cuestión </w:t>
      </w:r>
      <w:r w:rsidR="00C50167" w:rsidRPr="00CF2F04">
        <w:rPr>
          <w:lang w:val="es-ES_tradnl"/>
        </w:rPr>
        <w:t xml:space="preserve">5/1 </w:t>
      </w:r>
      <w:r w:rsidR="0055752A" w:rsidRPr="00CF2F04">
        <w:rPr>
          <w:lang w:val="es-ES_tradnl"/>
        </w:rPr>
        <w:t>disponible en</w:t>
      </w:r>
      <w:r w:rsidR="00C50167" w:rsidRPr="00CF2F04">
        <w:rPr>
          <w:lang w:val="es-ES_tradnl"/>
        </w:rPr>
        <w:t>: (</w:t>
      </w:r>
      <w:hyperlink r:id="rId21" w:history="1">
        <w:r w:rsidR="00C56BC9">
          <w:rPr>
            <w:rStyle w:val="Hyperlink"/>
            <w:bCs/>
            <w:szCs w:val="24"/>
            <w:lang w:val="es-ES_tradnl"/>
          </w:rPr>
          <w:t>I</w:t>
        </w:r>
        <w:r w:rsidR="0055752A" w:rsidRPr="00CF2F04">
          <w:rPr>
            <w:rStyle w:val="Hyperlink"/>
            <w:bCs/>
            <w:szCs w:val="24"/>
            <w:lang w:val="es-ES_tradnl"/>
          </w:rPr>
          <w:t>nfor</w:t>
        </w:r>
        <w:r w:rsidR="0055752A" w:rsidRPr="00CF2F04">
          <w:rPr>
            <w:rStyle w:val="Hyperlink"/>
            <w:bCs/>
            <w:szCs w:val="24"/>
            <w:lang w:val="es-ES_tradnl"/>
          </w:rPr>
          <w:t>m</w:t>
        </w:r>
        <w:r w:rsidR="0055752A" w:rsidRPr="00CF2F04">
          <w:rPr>
            <w:rStyle w:val="Hyperlink"/>
            <w:bCs/>
            <w:szCs w:val="24"/>
            <w:lang w:val="es-ES_tradnl"/>
          </w:rPr>
          <w:t>e reu</w:t>
        </w:r>
        <w:r w:rsidR="0055752A" w:rsidRPr="00CF2F04">
          <w:rPr>
            <w:rStyle w:val="Hyperlink"/>
            <w:bCs/>
            <w:szCs w:val="24"/>
            <w:lang w:val="es-ES_tradnl"/>
          </w:rPr>
          <w:t>n</w:t>
        </w:r>
        <w:r w:rsidR="0055752A" w:rsidRPr="00CF2F04">
          <w:rPr>
            <w:rStyle w:val="Hyperlink"/>
            <w:bCs/>
            <w:szCs w:val="24"/>
            <w:lang w:val="es-ES_tradnl"/>
          </w:rPr>
          <w:t xml:space="preserve">ión de mayo de </w:t>
        </w:r>
        <w:r w:rsidR="00C50167" w:rsidRPr="00CF2F04">
          <w:rPr>
            <w:rStyle w:val="Hyperlink"/>
            <w:bCs/>
            <w:szCs w:val="24"/>
            <w:lang w:val="es-ES_tradnl"/>
          </w:rPr>
          <w:t>2018</w:t>
        </w:r>
      </w:hyperlink>
      <w:proofErr w:type="gramStart"/>
      <w:r w:rsidR="00C50167" w:rsidRPr="00CF2F04">
        <w:rPr>
          <w:lang w:val="es-ES_tradnl"/>
        </w:rPr>
        <w:t>)(</w:t>
      </w:r>
      <w:proofErr w:type="gramEnd"/>
      <w:r w:rsidR="00354B45">
        <w:rPr>
          <w:rStyle w:val="Hyperlink"/>
          <w:bCs/>
          <w:szCs w:val="24"/>
          <w:lang w:val="es-ES_tradnl"/>
        </w:rPr>
        <w:fldChar w:fldCharType="begin"/>
      </w:r>
      <w:r w:rsidR="00354B45">
        <w:rPr>
          <w:rStyle w:val="Hyperlink"/>
          <w:bCs/>
          <w:szCs w:val="24"/>
          <w:lang w:val="es-ES_tradnl"/>
        </w:rPr>
        <w:instrText xml:space="preserve"> HYPERLINK "https://www.itu.int/md/D18-SG01.rgq-R-0005" </w:instrText>
      </w:r>
      <w:r w:rsidR="00354B45">
        <w:rPr>
          <w:rStyle w:val="Hyperlink"/>
          <w:bCs/>
          <w:szCs w:val="24"/>
          <w:lang w:val="es-ES_tradnl"/>
        </w:rPr>
        <w:fldChar w:fldCharType="separate"/>
      </w:r>
      <w:r w:rsidR="0055752A" w:rsidRPr="00CF2F04">
        <w:rPr>
          <w:rStyle w:val="Hyperlink"/>
          <w:bCs/>
          <w:szCs w:val="24"/>
          <w:lang w:val="es-ES_tradnl"/>
        </w:rPr>
        <w:t xml:space="preserve">septiembre de </w:t>
      </w:r>
      <w:r w:rsidR="00C50167" w:rsidRPr="00CF2F04">
        <w:rPr>
          <w:rStyle w:val="Hyperlink"/>
          <w:bCs/>
          <w:szCs w:val="24"/>
          <w:lang w:val="es-ES_tradnl"/>
        </w:rPr>
        <w:t>2</w:t>
      </w:r>
      <w:r w:rsidR="00C50167" w:rsidRPr="00CF2F04">
        <w:rPr>
          <w:rStyle w:val="Hyperlink"/>
          <w:bCs/>
          <w:szCs w:val="24"/>
          <w:lang w:val="es-ES_tradnl"/>
        </w:rPr>
        <w:t>018</w:t>
      </w:r>
      <w:r w:rsidR="00354B45">
        <w:rPr>
          <w:rStyle w:val="Hyperlink"/>
          <w:bCs/>
          <w:szCs w:val="24"/>
          <w:lang w:val="es-ES_tradnl"/>
        </w:rPr>
        <w:fldChar w:fldCharType="end"/>
      </w:r>
      <w:r w:rsidR="00C50167" w:rsidRPr="00CF2F04">
        <w:rPr>
          <w:lang w:val="es-ES_tradnl"/>
        </w:rPr>
        <w:t>)</w:t>
      </w:r>
    </w:p>
    <w:p w:rsidR="00C50167" w:rsidRPr="00CF2F04" w:rsidRDefault="00D13B22" w:rsidP="0055752A">
      <w:pPr>
        <w:pStyle w:val="enumlev1"/>
        <w:rPr>
          <w:lang w:val="es-ES_tradnl"/>
        </w:rPr>
      </w:pPr>
      <w:r w:rsidRPr="00CF2F04">
        <w:rPr>
          <w:lang w:val="es-ES_tradnl"/>
        </w:rPr>
        <w:t>–</w:t>
      </w:r>
      <w:r w:rsidRPr="00CF2F04">
        <w:rPr>
          <w:lang w:val="es-ES_tradnl"/>
        </w:rPr>
        <w:tab/>
      </w:r>
      <w:r w:rsidR="0055752A" w:rsidRPr="00CF2F04">
        <w:rPr>
          <w:lang w:val="es-ES_tradnl"/>
        </w:rPr>
        <w:t xml:space="preserve">Cuestión </w:t>
      </w:r>
      <w:r w:rsidR="00C50167" w:rsidRPr="00CF2F04">
        <w:rPr>
          <w:lang w:val="es-ES_tradnl"/>
        </w:rPr>
        <w:t xml:space="preserve">6/1 </w:t>
      </w:r>
      <w:r w:rsidR="0055752A" w:rsidRPr="00CF2F04">
        <w:rPr>
          <w:lang w:val="es-ES_tradnl"/>
        </w:rPr>
        <w:t>disponible en</w:t>
      </w:r>
      <w:r w:rsidR="00C50167" w:rsidRPr="00CF2F04">
        <w:rPr>
          <w:lang w:val="es-ES_tradnl"/>
        </w:rPr>
        <w:t>: (</w:t>
      </w:r>
      <w:hyperlink r:id="rId22" w:history="1">
        <w:r w:rsidR="00C56BC9">
          <w:rPr>
            <w:rStyle w:val="Hyperlink"/>
            <w:bCs/>
            <w:szCs w:val="24"/>
            <w:lang w:val="es-ES_tradnl"/>
          </w:rPr>
          <w:t>I</w:t>
        </w:r>
        <w:r w:rsidR="0055752A" w:rsidRPr="00CF2F04">
          <w:rPr>
            <w:rStyle w:val="Hyperlink"/>
            <w:bCs/>
            <w:szCs w:val="24"/>
            <w:lang w:val="es-ES_tradnl"/>
          </w:rPr>
          <w:t>nforme reu</w:t>
        </w:r>
        <w:r w:rsidR="0055752A" w:rsidRPr="00CF2F04">
          <w:rPr>
            <w:rStyle w:val="Hyperlink"/>
            <w:bCs/>
            <w:szCs w:val="24"/>
            <w:lang w:val="es-ES_tradnl"/>
          </w:rPr>
          <w:t>n</w:t>
        </w:r>
        <w:r w:rsidR="0055752A" w:rsidRPr="00CF2F04">
          <w:rPr>
            <w:rStyle w:val="Hyperlink"/>
            <w:bCs/>
            <w:szCs w:val="24"/>
            <w:lang w:val="es-ES_tradnl"/>
          </w:rPr>
          <w:t xml:space="preserve">ión de mayo </w:t>
        </w:r>
        <w:r w:rsidR="0055752A" w:rsidRPr="00CF2F04">
          <w:rPr>
            <w:rStyle w:val="Hyperlink"/>
            <w:bCs/>
            <w:szCs w:val="24"/>
            <w:lang w:val="es-ES_tradnl"/>
          </w:rPr>
          <w:t>d</w:t>
        </w:r>
        <w:r w:rsidR="0055752A" w:rsidRPr="00CF2F04">
          <w:rPr>
            <w:rStyle w:val="Hyperlink"/>
            <w:bCs/>
            <w:szCs w:val="24"/>
            <w:lang w:val="es-ES_tradnl"/>
          </w:rPr>
          <w:t xml:space="preserve">e </w:t>
        </w:r>
        <w:r w:rsidR="00C50167" w:rsidRPr="00CF2F04">
          <w:rPr>
            <w:rStyle w:val="Hyperlink"/>
            <w:bCs/>
            <w:szCs w:val="24"/>
            <w:lang w:val="es-ES_tradnl"/>
          </w:rPr>
          <w:t>2018</w:t>
        </w:r>
      </w:hyperlink>
      <w:proofErr w:type="gramStart"/>
      <w:r w:rsidR="00C50167" w:rsidRPr="00CF2F04">
        <w:rPr>
          <w:lang w:val="es-ES_tradnl"/>
        </w:rPr>
        <w:t>)(</w:t>
      </w:r>
      <w:proofErr w:type="gramEnd"/>
      <w:r w:rsidR="00354B45">
        <w:rPr>
          <w:rStyle w:val="Hyperlink"/>
          <w:bCs/>
          <w:szCs w:val="24"/>
          <w:lang w:val="es-ES_tradnl"/>
        </w:rPr>
        <w:fldChar w:fldCharType="begin"/>
      </w:r>
      <w:r w:rsidR="00354B45">
        <w:rPr>
          <w:rStyle w:val="Hyperlink"/>
          <w:bCs/>
          <w:szCs w:val="24"/>
          <w:lang w:val="es-ES_tradnl"/>
        </w:rPr>
        <w:instrText xml:space="preserve"> HYPERLINK "https://www.itu.int/md/D18-SG01.rgq-R-0006" </w:instrText>
      </w:r>
      <w:r w:rsidR="00354B45">
        <w:rPr>
          <w:rStyle w:val="Hyperlink"/>
          <w:bCs/>
          <w:szCs w:val="24"/>
          <w:lang w:val="es-ES_tradnl"/>
        </w:rPr>
        <w:fldChar w:fldCharType="separate"/>
      </w:r>
      <w:r w:rsidR="0055752A" w:rsidRPr="00CF2F04">
        <w:rPr>
          <w:rStyle w:val="Hyperlink"/>
          <w:bCs/>
          <w:szCs w:val="24"/>
          <w:lang w:val="es-ES_tradnl"/>
        </w:rPr>
        <w:t>septiem</w:t>
      </w:r>
      <w:r w:rsidR="0055752A" w:rsidRPr="00CF2F04">
        <w:rPr>
          <w:rStyle w:val="Hyperlink"/>
          <w:bCs/>
          <w:szCs w:val="24"/>
          <w:lang w:val="es-ES_tradnl"/>
        </w:rPr>
        <w:t>b</w:t>
      </w:r>
      <w:r w:rsidR="0055752A" w:rsidRPr="00CF2F04">
        <w:rPr>
          <w:rStyle w:val="Hyperlink"/>
          <w:bCs/>
          <w:szCs w:val="24"/>
          <w:lang w:val="es-ES_tradnl"/>
        </w:rPr>
        <w:t>re de</w:t>
      </w:r>
      <w:r w:rsidR="00C50167" w:rsidRPr="00CF2F04">
        <w:rPr>
          <w:rStyle w:val="Hyperlink"/>
          <w:bCs/>
          <w:szCs w:val="24"/>
          <w:lang w:val="es-ES_tradnl"/>
        </w:rPr>
        <w:t xml:space="preserve"> 2018</w:t>
      </w:r>
      <w:r w:rsidR="00354B45">
        <w:rPr>
          <w:rStyle w:val="Hyperlink"/>
          <w:bCs/>
          <w:szCs w:val="24"/>
          <w:lang w:val="es-ES_tradnl"/>
        </w:rPr>
        <w:fldChar w:fldCharType="end"/>
      </w:r>
      <w:r w:rsidR="00C50167" w:rsidRPr="00CF2F04">
        <w:rPr>
          <w:lang w:val="es-ES_tradnl"/>
        </w:rPr>
        <w:t>)</w:t>
      </w:r>
    </w:p>
    <w:p w:rsidR="00C50167" w:rsidRPr="00CF2F04" w:rsidRDefault="00D13B22" w:rsidP="0055752A">
      <w:pPr>
        <w:pStyle w:val="enumlev1"/>
        <w:rPr>
          <w:lang w:val="es-ES_tradnl"/>
        </w:rPr>
      </w:pPr>
      <w:r w:rsidRPr="00CF2F04">
        <w:rPr>
          <w:lang w:val="es-ES_tradnl"/>
        </w:rPr>
        <w:t>–</w:t>
      </w:r>
      <w:r w:rsidRPr="00CF2F04">
        <w:rPr>
          <w:lang w:val="es-ES_tradnl"/>
        </w:rPr>
        <w:tab/>
      </w:r>
      <w:r w:rsidR="0055752A" w:rsidRPr="00CF2F04">
        <w:rPr>
          <w:lang w:val="es-ES_tradnl"/>
        </w:rPr>
        <w:t xml:space="preserve">Cuestión </w:t>
      </w:r>
      <w:r w:rsidR="00C50167" w:rsidRPr="00CF2F04">
        <w:rPr>
          <w:lang w:val="es-ES_tradnl"/>
        </w:rPr>
        <w:t xml:space="preserve">7/1 </w:t>
      </w:r>
      <w:r w:rsidR="0055752A" w:rsidRPr="00CF2F04">
        <w:rPr>
          <w:lang w:val="es-ES_tradnl"/>
        </w:rPr>
        <w:t>disponible en</w:t>
      </w:r>
      <w:r w:rsidR="00C50167" w:rsidRPr="00CF2F04">
        <w:rPr>
          <w:lang w:val="es-ES_tradnl"/>
        </w:rPr>
        <w:t>: (</w:t>
      </w:r>
      <w:hyperlink r:id="rId23" w:history="1">
        <w:r w:rsidR="00C56BC9">
          <w:rPr>
            <w:rStyle w:val="Hyperlink"/>
            <w:bCs/>
            <w:szCs w:val="24"/>
            <w:lang w:val="es-ES_tradnl"/>
          </w:rPr>
          <w:t>I</w:t>
        </w:r>
        <w:r w:rsidR="0055752A" w:rsidRPr="00CF2F04">
          <w:rPr>
            <w:rStyle w:val="Hyperlink"/>
            <w:bCs/>
            <w:szCs w:val="24"/>
            <w:lang w:val="es-ES_tradnl"/>
          </w:rPr>
          <w:t>nfor</w:t>
        </w:r>
        <w:r w:rsidR="0055752A" w:rsidRPr="00CF2F04">
          <w:rPr>
            <w:rStyle w:val="Hyperlink"/>
            <w:bCs/>
            <w:szCs w:val="24"/>
            <w:lang w:val="es-ES_tradnl"/>
          </w:rPr>
          <w:t>m</w:t>
        </w:r>
        <w:r w:rsidR="0055752A" w:rsidRPr="00CF2F04">
          <w:rPr>
            <w:rStyle w:val="Hyperlink"/>
            <w:bCs/>
            <w:szCs w:val="24"/>
            <w:lang w:val="es-ES_tradnl"/>
          </w:rPr>
          <w:t xml:space="preserve">e reunión de mayo </w:t>
        </w:r>
        <w:r w:rsidR="0055752A" w:rsidRPr="00CF2F04">
          <w:rPr>
            <w:rStyle w:val="Hyperlink"/>
            <w:bCs/>
            <w:szCs w:val="24"/>
            <w:lang w:val="es-ES_tradnl"/>
          </w:rPr>
          <w:t>d</w:t>
        </w:r>
        <w:r w:rsidR="0055752A" w:rsidRPr="00CF2F04">
          <w:rPr>
            <w:rStyle w:val="Hyperlink"/>
            <w:bCs/>
            <w:szCs w:val="24"/>
            <w:lang w:val="es-ES_tradnl"/>
          </w:rPr>
          <w:t xml:space="preserve">e </w:t>
        </w:r>
        <w:r w:rsidR="00C50167" w:rsidRPr="00CF2F04">
          <w:rPr>
            <w:rStyle w:val="Hyperlink"/>
            <w:bCs/>
            <w:szCs w:val="24"/>
            <w:lang w:val="es-ES_tradnl"/>
          </w:rPr>
          <w:t>2018</w:t>
        </w:r>
      </w:hyperlink>
      <w:proofErr w:type="gramStart"/>
      <w:r w:rsidR="00C50167" w:rsidRPr="00CF2F04">
        <w:rPr>
          <w:lang w:val="es-ES_tradnl"/>
        </w:rPr>
        <w:t>)(</w:t>
      </w:r>
      <w:proofErr w:type="gramEnd"/>
      <w:r w:rsidR="00354B45">
        <w:rPr>
          <w:rStyle w:val="Hyperlink"/>
          <w:bCs/>
          <w:szCs w:val="24"/>
          <w:lang w:val="es-ES_tradnl"/>
        </w:rPr>
        <w:fldChar w:fldCharType="begin"/>
      </w:r>
      <w:r w:rsidR="00354B45">
        <w:rPr>
          <w:rStyle w:val="Hyperlink"/>
          <w:bCs/>
          <w:szCs w:val="24"/>
          <w:lang w:val="es-ES_tradnl"/>
        </w:rPr>
        <w:instrText xml:space="preserve"> HYPERLINK "https://www.itu.int/md/D18-SG01.rgq-R-0007" </w:instrText>
      </w:r>
      <w:r w:rsidR="00354B45">
        <w:rPr>
          <w:rStyle w:val="Hyperlink"/>
          <w:bCs/>
          <w:szCs w:val="24"/>
          <w:lang w:val="es-ES_tradnl"/>
        </w:rPr>
        <w:fldChar w:fldCharType="separate"/>
      </w:r>
      <w:r w:rsidR="0055752A" w:rsidRPr="00CF2F04">
        <w:rPr>
          <w:rStyle w:val="Hyperlink"/>
          <w:bCs/>
          <w:szCs w:val="24"/>
          <w:lang w:val="es-ES_tradnl"/>
        </w:rPr>
        <w:t>septiem</w:t>
      </w:r>
      <w:r w:rsidR="0055752A" w:rsidRPr="00CF2F04">
        <w:rPr>
          <w:rStyle w:val="Hyperlink"/>
          <w:bCs/>
          <w:szCs w:val="24"/>
          <w:lang w:val="es-ES_tradnl"/>
        </w:rPr>
        <w:t>b</w:t>
      </w:r>
      <w:r w:rsidR="0055752A" w:rsidRPr="00CF2F04">
        <w:rPr>
          <w:rStyle w:val="Hyperlink"/>
          <w:bCs/>
          <w:szCs w:val="24"/>
          <w:lang w:val="es-ES_tradnl"/>
        </w:rPr>
        <w:t xml:space="preserve">re de </w:t>
      </w:r>
      <w:r w:rsidR="00C50167" w:rsidRPr="00CF2F04">
        <w:rPr>
          <w:rStyle w:val="Hyperlink"/>
          <w:bCs/>
          <w:szCs w:val="24"/>
          <w:lang w:val="es-ES_tradnl"/>
        </w:rPr>
        <w:t>2018</w:t>
      </w:r>
      <w:r w:rsidR="00354B45">
        <w:rPr>
          <w:rStyle w:val="Hyperlink"/>
          <w:bCs/>
          <w:szCs w:val="24"/>
          <w:lang w:val="es-ES_tradnl"/>
        </w:rPr>
        <w:fldChar w:fldCharType="end"/>
      </w:r>
      <w:r w:rsidR="00C50167" w:rsidRPr="00CF2F04">
        <w:rPr>
          <w:lang w:val="es-ES_tradnl"/>
        </w:rPr>
        <w:t>)</w:t>
      </w:r>
    </w:p>
    <w:p w:rsidR="00C50167" w:rsidRPr="00CF2F04" w:rsidRDefault="00CD2818" w:rsidP="0055752A">
      <w:pPr>
        <w:pStyle w:val="Heading1"/>
        <w:rPr>
          <w:lang w:val="es-ES_tradnl"/>
        </w:rPr>
      </w:pPr>
      <w:r w:rsidRPr="00CF2F04">
        <w:rPr>
          <w:lang w:val="es-ES_tradnl"/>
        </w:rPr>
        <w:t>3</w:t>
      </w:r>
      <w:r w:rsidRPr="00CF2F04">
        <w:rPr>
          <w:lang w:val="es-ES_tradnl"/>
        </w:rPr>
        <w:tab/>
      </w:r>
      <w:r w:rsidR="0055752A" w:rsidRPr="00CF2F04">
        <w:rPr>
          <w:lang w:val="es-ES_tradnl"/>
        </w:rPr>
        <w:t xml:space="preserve">Estrategia y plan de trabajo de la Comisión de Estudio </w:t>
      </w:r>
      <w:r w:rsidR="00C50167" w:rsidRPr="00CF2F04">
        <w:rPr>
          <w:lang w:val="es-ES_tradnl"/>
        </w:rPr>
        <w:t>1</w:t>
      </w:r>
    </w:p>
    <w:p w:rsidR="00C50167" w:rsidRPr="00CF2F04" w:rsidRDefault="0055752A" w:rsidP="002865C1">
      <w:pPr>
        <w:spacing w:after="120"/>
        <w:rPr>
          <w:highlight w:val="cyan"/>
          <w:lang w:val="es-ES_tradnl"/>
        </w:rPr>
      </w:pPr>
      <w:r w:rsidRPr="00CF2F04">
        <w:rPr>
          <w:lang w:val="es-ES_tradnl"/>
        </w:rPr>
        <w:t xml:space="preserve">A fin </w:t>
      </w:r>
      <w:r w:rsidR="00CD2818" w:rsidRPr="00CF2F04">
        <w:rPr>
          <w:lang w:val="es-ES_tradnl"/>
        </w:rPr>
        <w:t xml:space="preserve">de </w:t>
      </w:r>
      <w:r w:rsidR="00AE49F8" w:rsidRPr="00CF2F04">
        <w:rPr>
          <w:lang w:val="es-ES_tradnl"/>
        </w:rPr>
        <w:t>poder</w:t>
      </w:r>
      <w:r w:rsidR="00CD2818" w:rsidRPr="00CF2F04">
        <w:rPr>
          <w:lang w:val="es-ES_tradnl"/>
        </w:rPr>
        <w:t xml:space="preserve"> lograr los r</w:t>
      </w:r>
      <w:r w:rsidR="00CF2F04">
        <w:rPr>
          <w:lang w:val="es-ES_tradnl"/>
        </w:rPr>
        <w:t>esultados esperados para el peri</w:t>
      </w:r>
      <w:r w:rsidR="00CD2818" w:rsidRPr="00CF2F04">
        <w:rPr>
          <w:lang w:val="es-ES_tradnl"/>
        </w:rPr>
        <w:t xml:space="preserve">odo de estudios 2018-2021, </w:t>
      </w:r>
      <w:r w:rsidR="00AE49F8" w:rsidRPr="00CF2F04">
        <w:rPr>
          <w:lang w:val="es-ES_tradnl"/>
        </w:rPr>
        <w:t xml:space="preserve">la Comisión de Estudio 1 lleva a cabo su labor </w:t>
      </w:r>
      <w:r w:rsidR="00CD2818" w:rsidRPr="00CF2F04">
        <w:rPr>
          <w:lang w:val="es-ES_tradnl"/>
        </w:rPr>
        <w:t xml:space="preserve">de conformidad con el alcance de </w:t>
      </w:r>
      <w:r w:rsidR="00AE49F8" w:rsidRPr="00CF2F04">
        <w:rPr>
          <w:lang w:val="es-ES_tradnl"/>
        </w:rPr>
        <w:t>los trabajos</w:t>
      </w:r>
      <w:r w:rsidR="00CD2818" w:rsidRPr="00CF2F04">
        <w:rPr>
          <w:lang w:val="es-ES_tradnl"/>
        </w:rPr>
        <w:t xml:space="preserve"> que figura en la Resolución 2 (Rev. Buenos Aires, 2017) "Establecimiento de Comisiones de Estudio", cabe considerar y examinar diversos elementos clave iniciales. </w:t>
      </w:r>
      <w:r w:rsidR="00AE49F8" w:rsidRPr="00CF2F04">
        <w:rPr>
          <w:szCs w:val="24"/>
          <w:lang w:val="es-ES_tradnl"/>
        </w:rPr>
        <w:t xml:space="preserve">La primera reunión de </w:t>
      </w:r>
      <w:r w:rsidR="00C50167" w:rsidRPr="00CF2F04">
        <w:rPr>
          <w:szCs w:val="24"/>
          <w:lang w:val="es-ES_tradnl"/>
        </w:rPr>
        <w:t xml:space="preserve">2018 </w:t>
      </w:r>
      <w:r w:rsidR="00AE49F8" w:rsidRPr="00CF2F04">
        <w:rPr>
          <w:szCs w:val="24"/>
          <w:lang w:val="es-ES_tradnl"/>
        </w:rPr>
        <w:t>refrendó el plan de trabajo cuadrienal de la CE</w:t>
      </w:r>
      <w:r w:rsidR="002865C1">
        <w:rPr>
          <w:szCs w:val="24"/>
          <w:lang w:val="es-ES_tradnl"/>
        </w:rPr>
        <w:t> </w:t>
      </w:r>
      <w:r w:rsidR="00C50167" w:rsidRPr="00CF2F04">
        <w:rPr>
          <w:szCs w:val="24"/>
          <w:lang w:val="es-ES_tradnl"/>
        </w:rPr>
        <w:t xml:space="preserve">1, </w:t>
      </w:r>
      <w:r w:rsidR="00AE49F8" w:rsidRPr="00CF2F04">
        <w:rPr>
          <w:szCs w:val="24"/>
          <w:lang w:val="es-ES_tradnl"/>
        </w:rPr>
        <w:t xml:space="preserve">que se adjunta en el </w:t>
      </w:r>
      <w:r w:rsidR="00C50167" w:rsidRPr="00CF2F04">
        <w:rPr>
          <w:b/>
          <w:szCs w:val="24"/>
          <w:lang w:val="es-ES_tradnl"/>
        </w:rPr>
        <w:t>Anex</w:t>
      </w:r>
      <w:r w:rsidR="00AE49F8" w:rsidRPr="00CF2F04">
        <w:rPr>
          <w:b/>
          <w:szCs w:val="24"/>
          <w:lang w:val="es-ES_tradnl"/>
        </w:rPr>
        <w:t>o</w:t>
      </w:r>
      <w:r w:rsidR="00C50167" w:rsidRPr="00CF2F04">
        <w:rPr>
          <w:b/>
          <w:szCs w:val="24"/>
          <w:lang w:val="es-ES_tradnl"/>
        </w:rPr>
        <w:t xml:space="preserve"> 2</w:t>
      </w:r>
      <w:r w:rsidR="00C50167" w:rsidRPr="00CF2F04">
        <w:rPr>
          <w:szCs w:val="24"/>
          <w:lang w:val="es-ES_tradnl"/>
        </w:rPr>
        <w:t xml:space="preserve"> </w:t>
      </w:r>
      <w:r w:rsidR="00AE49F8" w:rsidRPr="00CF2F04">
        <w:rPr>
          <w:szCs w:val="24"/>
          <w:lang w:val="es-ES_tradnl"/>
        </w:rPr>
        <w:t>al presente informe</w:t>
      </w:r>
      <w:r w:rsidR="00C50167" w:rsidRPr="00CF2F04">
        <w:rPr>
          <w:szCs w:val="24"/>
          <w:lang w:val="es-ES_tradnl"/>
        </w:rPr>
        <w:t xml:space="preserve">. </w:t>
      </w:r>
      <w:r w:rsidR="00CD2818" w:rsidRPr="00CF2F04">
        <w:rPr>
          <w:bCs/>
          <w:szCs w:val="24"/>
          <w:lang w:val="es-ES_tradnl"/>
        </w:rPr>
        <w:t>Dado que el Grupo Asesor de Desarrollo de las Telecomunicaciones (GADT) se reunió del 9 al 11 de abril, antes de la primera reunión de la CE 1, se puntualizó que el plan de trabajo había sido sometido con antelación al GADT</w:t>
      </w:r>
      <w:r w:rsidR="002865C1">
        <w:rPr>
          <w:bCs/>
          <w:szCs w:val="24"/>
          <w:lang w:val="es-ES_tradnl"/>
        </w:rPr>
        <w:t xml:space="preserve"> </w:t>
      </w:r>
      <w:r w:rsidR="002865C1" w:rsidRPr="002865C1">
        <w:rPr>
          <w:lang w:val="es-ES"/>
        </w:rPr>
        <w:t xml:space="preserve">(Documento </w:t>
      </w:r>
      <w:hyperlink r:id="rId24" w:history="1">
        <w:r w:rsidR="002865C1" w:rsidRPr="002865C1">
          <w:rPr>
            <w:rStyle w:val="Hyperlink"/>
            <w:lang w:val="es-ES"/>
          </w:rPr>
          <w:t>TDA</w:t>
        </w:r>
        <w:r w:rsidR="002865C1" w:rsidRPr="002865C1">
          <w:rPr>
            <w:rStyle w:val="Hyperlink"/>
            <w:lang w:val="es-ES"/>
          </w:rPr>
          <w:t>G</w:t>
        </w:r>
        <w:r w:rsidR="002865C1" w:rsidRPr="002865C1">
          <w:rPr>
            <w:rStyle w:val="Hyperlink"/>
            <w:lang w:val="es-ES"/>
          </w:rPr>
          <w:t>-18/12</w:t>
        </w:r>
      </w:hyperlink>
      <w:r w:rsidR="002865C1" w:rsidRPr="002865C1">
        <w:rPr>
          <w:lang w:val="es-ES"/>
        </w:rPr>
        <w:t>)</w:t>
      </w:r>
      <w:r w:rsidR="00CD2818" w:rsidRPr="00CF2F04">
        <w:rPr>
          <w:bCs/>
          <w:szCs w:val="24"/>
          <w:lang w:val="es-ES_tradnl"/>
        </w:rPr>
        <w:t>, que tomó debida nota del mismo.</w:t>
      </w:r>
    </w:p>
    <w:p w:rsidR="00C50167" w:rsidRPr="00CF2F04" w:rsidRDefault="0054060D" w:rsidP="0054060D">
      <w:pPr>
        <w:rPr>
          <w:bCs/>
          <w:szCs w:val="24"/>
          <w:lang w:val="es-ES_tradnl"/>
        </w:rPr>
      </w:pPr>
      <w:r w:rsidRPr="00CF2F04">
        <w:rPr>
          <w:bCs/>
          <w:szCs w:val="24"/>
          <w:lang w:val="es-ES_tradnl"/>
        </w:rPr>
        <w:t>La Presidente de la CE</w:t>
      </w:r>
      <w:r w:rsidR="002865C1">
        <w:rPr>
          <w:bCs/>
          <w:szCs w:val="24"/>
          <w:lang w:val="es-ES_tradnl"/>
        </w:rPr>
        <w:t> </w:t>
      </w:r>
      <w:r w:rsidRPr="00CF2F04">
        <w:rPr>
          <w:bCs/>
          <w:szCs w:val="24"/>
          <w:lang w:val="es-ES_tradnl"/>
        </w:rPr>
        <w:t xml:space="preserve">1 expresó la necesidad de que las Cuestiones planificasen la elaboración de productos anuales sobre subtemas específicos del mandato de la Cuestión y se invitó a los relatores a trabajar en el marco del mandato de cada Cuestión para garantizar que se proporcionasen dichos productos. Al detallar el calendario de las futuras reuniones de la Comisión de Estudio 1 y de las Comisiones de Relator, el Presidente pidió además a los Grupos de Relator que determinaran los temas apropiados para iniciar los seminarios y talleres que consideraran útiles, y que los presentaran como propuestas a la Comisión de Estudio. </w:t>
      </w:r>
      <w:r w:rsidR="00A25ED8" w:rsidRPr="00CF2F04">
        <w:rPr>
          <w:bCs/>
          <w:szCs w:val="24"/>
          <w:lang w:val="es-ES_tradnl"/>
        </w:rPr>
        <w:t xml:space="preserve">La Presidenta invitó a </w:t>
      </w:r>
      <w:r w:rsidR="00A25ED8" w:rsidRPr="00CF2F04">
        <w:rPr>
          <w:bCs/>
          <w:szCs w:val="24"/>
          <w:lang w:val="es-ES_tradnl"/>
        </w:rPr>
        <w:lastRenderedPageBreak/>
        <w:t xml:space="preserve">todos los relatores, </w:t>
      </w:r>
      <w:proofErr w:type="spellStart"/>
      <w:r w:rsidR="00A25ED8" w:rsidRPr="00CF2F04">
        <w:rPr>
          <w:bCs/>
          <w:szCs w:val="24"/>
          <w:lang w:val="es-ES_tradnl"/>
        </w:rPr>
        <w:t>correlatores</w:t>
      </w:r>
      <w:proofErr w:type="spellEnd"/>
      <w:r w:rsidR="00A25ED8" w:rsidRPr="00CF2F04">
        <w:rPr>
          <w:bCs/>
          <w:szCs w:val="24"/>
          <w:lang w:val="es-ES_tradnl"/>
        </w:rPr>
        <w:t xml:space="preserve"> y </w:t>
      </w:r>
      <w:proofErr w:type="spellStart"/>
      <w:r w:rsidR="00A25ED8" w:rsidRPr="00CF2F04">
        <w:rPr>
          <w:bCs/>
          <w:szCs w:val="24"/>
          <w:lang w:val="es-ES_tradnl"/>
        </w:rPr>
        <w:t>vicerrelatores</w:t>
      </w:r>
      <w:proofErr w:type="spellEnd"/>
      <w:r w:rsidR="00A25ED8" w:rsidRPr="00CF2F04">
        <w:rPr>
          <w:bCs/>
          <w:szCs w:val="24"/>
          <w:lang w:val="es-ES_tradnl"/>
        </w:rPr>
        <w:t xml:space="preserve"> a esforzarse en definir una hoja de ruta clara, que pudiera sentar una base sólida para futuras reuniones. También se destacó la importancia de la coordinación intersectorial, según lo aconsejado por el GADT. La Presidenta alentó a los miembros a redoblar esfuerzos con objeto de reforzar la colaboración entre los sectores y, de esta forma, ampliar aún más los conocimientos técnicos disponibles y el número de puntos que puede abordarse dentro de un mismo marco temático.</w:t>
      </w:r>
    </w:p>
    <w:p w:rsidR="00C50167" w:rsidRPr="00CF2F04" w:rsidRDefault="00A25ED8" w:rsidP="0054060D">
      <w:pPr>
        <w:rPr>
          <w:lang w:val="es-ES_tradnl"/>
        </w:rPr>
      </w:pPr>
      <w:r w:rsidRPr="00CF2F04">
        <w:rPr>
          <w:lang w:val="es-ES_tradnl"/>
        </w:rPr>
        <w:t xml:space="preserve">La Presidenta compartió su visión sobre las actividades y metas de la </w:t>
      </w:r>
      <w:r w:rsidR="0054060D" w:rsidRPr="00CF2F04">
        <w:rPr>
          <w:lang w:val="es-ES_tradnl"/>
        </w:rPr>
        <w:t>CE</w:t>
      </w:r>
      <w:r w:rsidRPr="00CF2F04">
        <w:rPr>
          <w:lang w:val="es-ES_tradnl"/>
        </w:rPr>
        <w:t xml:space="preserve"> 1, denominada "Visión 3I", que incluía:</w:t>
      </w:r>
      <w:r w:rsidR="0054060D" w:rsidRPr="00CF2F04">
        <w:rPr>
          <w:lang w:val="es-ES_tradnl"/>
        </w:rPr>
        <w:t xml:space="preserve"> </w:t>
      </w:r>
      <w:r w:rsidRPr="00CF2F04">
        <w:rPr>
          <w:lang w:val="es-ES_tradnl"/>
        </w:rPr>
        <w:t>1)</w:t>
      </w:r>
      <w:r w:rsidR="0054060D" w:rsidRPr="00CF2F04">
        <w:rPr>
          <w:lang w:val="es-ES_tradnl"/>
        </w:rPr>
        <w:t xml:space="preserve"> </w:t>
      </w:r>
      <w:r w:rsidRPr="00CF2F04">
        <w:rPr>
          <w:lang w:val="es-ES_tradnl"/>
        </w:rPr>
        <w:t xml:space="preserve">una mayor </w:t>
      </w:r>
      <w:r w:rsidRPr="00CF2F04">
        <w:rPr>
          <w:b/>
          <w:bCs/>
          <w:lang w:val="es-ES_tradnl"/>
        </w:rPr>
        <w:t>Interacción</w:t>
      </w:r>
      <w:r w:rsidRPr="00CF2F04">
        <w:rPr>
          <w:lang w:val="es-ES_tradnl"/>
        </w:rPr>
        <w:t xml:space="preserve"> entre las partes interesadas en los trabajos (contribuciones, intercambio de experiencias, etc.); 2)</w:t>
      </w:r>
      <w:r w:rsidR="0054060D" w:rsidRPr="00CF2F04">
        <w:rPr>
          <w:lang w:val="es-ES_tradnl"/>
        </w:rPr>
        <w:t xml:space="preserve"> </w:t>
      </w:r>
      <w:r w:rsidRPr="00CF2F04">
        <w:rPr>
          <w:lang w:val="es-ES_tradnl"/>
        </w:rPr>
        <w:t xml:space="preserve">una mayor </w:t>
      </w:r>
      <w:r w:rsidRPr="00CF2F04">
        <w:rPr>
          <w:b/>
          <w:bCs/>
          <w:lang w:val="es-ES_tradnl"/>
        </w:rPr>
        <w:t>Innovación</w:t>
      </w:r>
      <w:r w:rsidRPr="00CF2F04">
        <w:rPr>
          <w:lang w:val="es-ES_tradnl"/>
        </w:rPr>
        <w:t xml:space="preserve"> en los métodos de trabajo; y</w:t>
      </w:r>
      <w:r w:rsidR="0054060D" w:rsidRPr="00CF2F04">
        <w:rPr>
          <w:lang w:val="es-ES_tradnl"/>
        </w:rPr>
        <w:t xml:space="preserve"> </w:t>
      </w:r>
      <w:r w:rsidRPr="00CF2F04">
        <w:rPr>
          <w:lang w:val="es-ES_tradnl"/>
        </w:rPr>
        <w:t>3)</w:t>
      </w:r>
      <w:r w:rsidR="0054060D" w:rsidRPr="00CF2F04">
        <w:rPr>
          <w:lang w:val="es-ES_tradnl"/>
        </w:rPr>
        <w:t xml:space="preserve"> </w:t>
      </w:r>
      <w:r w:rsidRPr="00CF2F04">
        <w:rPr>
          <w:lang w:val="es-ES_tradnl"/>
        </w:rPr>
        <w:t xml:space="preserve">una mayor </w:t>
      </w:r>
      <w:r w:rsidRPr="00CF2F04">
        <w:rPr>
          <w:b/>
          <w:bCs/>
          <w:lang w:val="es-ES_tradnl"/>
        </w:rPr>
        <w:t>Implementación</w:t>
      </w:r>
      <w:r w:rsidRPr="00CF2F04">
        <w:rPr>
          <w:lang w:val="es-ES_tradnl"/>
        </w:rPr>
        <w:t xml:space="preserve"> de los resultados de las Comisiones de Estudio del UIT-D por parte de los Estados Miembros. La Presidenta </w:t>
      </w:r>
      <w:r w:rsidRPr="00CF2F04">
        <w:rPr>
          <w:bCs/>
          <w:szCs w:val="24"/>
          <w:lang w:val="es-ES_tradnl"/>
        </w:rPr>
        <w:t>alentó a los presentes a apoyar esta visión y agregó que, si aplicaban un enfoque conjunto e integrado a la implementación y la adquisición de compromisos, la Comisión de Estudio</w:t>
      </w:r>
      <w:r w:rsidR="00354B45">
        <w:rPr>
          <w:bCs/>
          <w:szCs w:val="24"/>
          <w:lang w:val="es-ES_tradnl"/>
        </w:rPr>
        <w:t xml:space="preserve"> 1</w:t>
      </w:r>
      <w:r w:rsidRPr="00CF2F04">
        <w:rPr>
          <w:bCs/>
          <w:szCs w:val="24"/>
          <w:lang w:val="es-ES_tradnl"/>
        </w:rPr>
        <w:t xml:space="preserve"> lograría las metas y resultados que se había propuesto.</w:t>
      </w:r>
    </w:p>
    <w:p w:rsidR="00C50167" w:rsidRPr="00CF2F04" w:rsidRDefault="00A25ED8" w:rsidP="0054060D">
      <w:pPr>
        <w:pStyle w:val="Heading1"/>
        <w:rPr>
          <w:lang w:val="es-ES_tradnl"/>
        </w:rPr>
      </w:pPr>
      <w:r w:rsidRPr="00CF2F04">
        <w:rPr>
          <w:lang w:val="es-ES_tradnl"/>
        </w:rPr>
        <w:t>4</w:t>
      </w:r>
      <w:r w:rsidRPr="00CF2F04">
        <w:rPr>
          <w:lang w:val="es-ES_tradnl"/>
        </w:rPr>
        <w:tab/>
      </w:r>
      <w:r w:rsidR="008B6505" w:rsidRPr="00CF2F04">
        <w:rPr>
          <w:szCs w:val="24"/>
          <w:lang w:val="es-ES_tradnl"/>
        </w:rPr>
        <w:t>C</w:t>
      </w:r>
      <w:r w:rsidR="0054060D" w:rsidRPr="00CF2F04">
        <w:rPr>
          <w:szCs w:val="24"/>
          <w:lang w:val="es-ES_tradnl"/>
        </w:rPr>
        <w:t>olaboración y c</w:t>
      </w:r>
      <w:r w:rsidR="008B6505" w:rsidRPr="00CF2F04">
        <w:rPr>
          <w:szCs w:val="24"/>
          <w:lang w:val="es-ES_tradnl"/>
        </w:rPr>
        <w:t>oordinación con la Comisión de Estudio 2 del UIT-D</w:t>
      </w:r>
      <w:r w:rsidR="0054060D" w:rsidRPr="00CF2F04">
        <w:rPr>
          <w:szCs w:val="24"/>
          <w:lang w:val="es-ES_tradnl"/>
        </w:rPr>
        <w:t xml:space="preserve"> </w:t>
      </w:r>
      <w:r w:rsidR="008B6505" w:rsidRPr="00CF2F04">
        <w:rPr>
          <w:szCs w:val="24"/>
          <w:lang w:val="es-ES_tradnl"/>
        </w:rPr>
        <w:t>y los demás Sectores sobre cuestiones de interés común</w:t>
      </w:r>
    </w:p>
    <w:p w:rsidR="00C50167" w:rsidRPr="00CF2F04" w:rsidRDefault="008B6505" w:rsidP="0054060D">
      <w:pPr>
        <w:pStyle w:val="Heading2"/>
        <w:rPr>
          <w:lang w:val="es-ES_tradnl"/>
        </w:rPr>
      </w:pPr>
      <w:r w:rsidRPr="00CF2F04">
        <w:rPr>
          <w:lang w:val="es-ES_tradnl"/>
        </w:rPr>
        <w:t>4.1</w:t>
      </w:r>
      <w:r w:rsidRPr="00CF2F04">
        <w:rPr>
          <w:lang w:val="es-ES_tradnl"/>
        </w:rPr>
        <w:tab/>
      </w:r>
      <w:r w:rsidR="0054060D" w:rsidRPr="00CF2F04">
        <w:rPr>
          <w:lang w:val="es-ES_tradnl"/>
        </w:rPr>
        <w:t>Relación entre las Cuestiones de las Comisiones de Estudio del U</w:t>
      </w:r>
      <w:r w:rsidR="00C50167" w:rsidRPr="00CF2F04">
        <w:rPr>
          <w:lang w:val="es-ES_tradnl"/>
        </w:rPr>
        <w:t xml:space="preserve">IT-D </w:t>
      </w:r>
      <w:r w:rsidR="0054060D" w:rsidRPr="00CF2F04">
        <w:rPr>
          <w:lang w:val="es-ES_tradnl"/>
        </w:rPr>
        <w:t>y entre los trabajos de las Comisiones de Estudio del U</w:t>
      </w:r>
      <w:r w:rsidR="00C50167" w:rsidRPr="00CF2F04">
        <w:rPr>
          <w:lang w:val="es-ES_tradnl"/>
        </w:rPr>
        <w:t xml:space="preserve">IT-D </w:t>
      </w:r>
      <w:r w:rsidR="0054060D" w:rsidRPr="00CF2F04">
        <w:rPr>
          <w:lang w:val="es-ES_tradnl"/>
        </w:rPr>
        <w:t xml:space="preserve">y los de otros Sectores </w:t>
      </w:r>
    </w:p>
    <w:p w:rsidR="0054060D" w:rsidRPr="00CF2F04" w:rsidRDefault="0054060D" w:rsidP="00AA3A65">
      <w:pPr>
        <w:spacing w:after="120"/>
        <w:rPr>
          <w:rFonts w:eastAsia="Batang" w:cs="Calibri"/>
          <w:bCs/>
          <w:szCs w:val="24"/>
          <w:lang w:val="es-ES_tradnl"/>
        </w:rPr>
      </w:pPr>
      <w:r w:rsidRPr="00CF2F04">
        <w:rPr>
          <w:rFonts w:eastAsia="Batang" w:cs="Calibri"/>
          <w:bCs/>
          <w:szCs w:val="24"/>
          <w:lang w:val="es-ES_tradnl"/>
        </w:rPr>
        <w:t xml:space="preserve">A fin de facilitar la coordinación y fortalecer aún más la colaboración entre las dos Comisiones de Estudio del UIT-D, así como con las Comisiones de Estudio de los demás Sectores, durante las reuniones se elaboraron tres conjuntos de cuadros de </w:t>
      </w:r>
      <w:r w:rsidR="00AA3A65" w:rsidRPr="00CF2F04">
        <w:rPr>
          <w:rFonts w:eastAsia="Batang" w:cs="Calibri"/>
          <w:bCs/>
          <w:szCs w:val="24"/>
          <w:lang w:val="es-ES_tradnl"/>
        </w:rPr>
        <w:t>co</w:t>
      </w:r>
      <w:r w:rsidRPr="00CF2F04">
        <w:rPr>
          <w:rFonts w:eastAsia="Batang" w:cs="Calibri"/>
          <w:bCs/>
          <w:szCs w:val="24"/>
          <w:lang w:val="es-ES_tradnl"/>
        </w:rPr>
        <w:t>r</w:t>
      </w:r>
      <w:r w:rsidR="00AA3A65" w:rsidRPr="00CF2F04">
        <w:rPr>
          <w:rFonts w:eastAsia="Batang" w:cs="Calibri"/>
          <w:bCs/>
          <w:szCs w:val="24"/>
          <w:lang w:val="es-ES_tradnl"/>
        </w:rPr>
        <w:t>r</w:t>
      </w:r>
      <w:r w:rsidRPr="00CF2F04">
        <w:rPr>
          <w:rFonts w:eastAsia="Batang" w:cs="Calibri"/>
          <w:bCs/>
          <w:szCs w:val="24"/>
          <w:lang w:val="es-ES_tradnl"/>
        </w:rPr>
        <w:t>elaci</w:t>
      </w:r>
      <w:r w:rsidR="00AA3A65" w:rsidRPr="00CF2F04">
        <w:rPr>
          <w:rFonts w:eastAsia="Batang" w:cs="Calibri"/>
          <w:bCs/>
          <w:szCs w:val="24"/>
          <w:lang w:val="es-ES_tradnl"/>
        </w:rPr>
        <w:t>ón</w:t>
      </w:r>
      <w:r w:rsidRPr="00CF2F04">
        <w:rPr>
          <w:rFonts w:eastAsia="Batang" w:cs="Calibri"/>
          <w:bCs/>
          <w:szCs w:val="24"/>
          <w:lang w:val="es-ES_tradnl"/>
        </w:rPr>
        <w:t xml:space="preserve">. Los cuadros comprenden lo siguiente: </w:t>
      </w:r>
      <w:r w:rsidRPr="00CF2F04">
        <w:rPr>
          <w:rFonts w:eastAsia="Batang" w:cs="Calibri"/>
          <w:b/>
          <w:szCs w:val="24"/>
          <w:lang w:val="es-ES_tradnl"/>
        </w:rPr>
        <w:t>1)</w:t>
      </w:r>
      <w:r w:rsidRPr="00CF2F04">
        <w:rPr>
          <w:rFonts w:eastAsia="Batang" w:cs="Calibri"/>
          <w:bCs/>
          <w:szCs w:val="24"/>
          <w:lang w:val="es-ES_tradnl"/>
        </w:rPr>
        <w:t xml:space="preserve"> una relación revisada de las Cuestiones de las CE 1 y CE 2 del UIT-D de interés para los temas de trabajo y las Cuestiones de las Comisiones de Estudio del UIT-T; </w:t>
      </w:r>
      <w:r w:rsidRPr="00CF2F04">
        <w:rPr>
          <w:rFonts w:eastAsia="Batang" w:cs="Calibri"/>
          <w:b/>
          <w:szCs w:val="24"/>
          <w:lang w:val="es-ES_tradnl"/>
        </w:rPr>
        <w:t>2)</w:t>
      </w:r>
      <w:r w:rsidRPr="00CF2F04">
        <w:rPr>
          <w:rFonts w:eastAsia="Batang" w:cs="Calibri"/>
          <w:bCs/>
          <w:szCs w:val="24"/>
          <w:lang w:val="es-ES_tradnl"/>
        </w:rPr>
        <w:t xml:space="preserve"> una matriz de las relaciones entre las Cuestiones de las CE 1 y CE 2 del UIT-D y los Grupos de Trabajo del UIT-R; y </w:t>
      </w:r>
      <w:r w:rsidRPr="00CF2F04">
        <w:rPr>
          <w:rFonts w:eastAsia="Batang" w:cs="Calibri"/>
          <w:b/>
          <w:szCs w:val="24"/>
          <w:lang w:val="es-ES_tradnl"/>
        </w:rPr>
        <w:t>3) </w:t>
      </w:r>
      <w:r w:rsidRPr="00CF2F04">
        <w:rPr>
          <w:rFonts w:eastAsia="Batang" w:cs="Calibri"/>
          <w:bCs/>
          <w:szCs w:val="24"/>
          <w:lang w:val="es-ES_tradnl"/>
        </w:rPr>
        <w:t>un proyecto de matriz de relaciones e interacciones entre las Cuestiones de Estudio de las CE 1 y CE 2 del UIT-D.</w:t>
      </w:r>
    </w:p>
    <w:p w:rsidR="0054060D" w:rsidRPr="00CF2F04" w:rsidRDefault="0054060D" w:rsidP="00AA3A65">
      <w:pPr>
        <w:spacing w:after="120"/>
        <w:rPr>
          <w:rFonts w:eastAsia="Batang" w:cs="Calibri"/>
          <w:bCs/>
          <w:szCs w:val="24"/>
          <w:lang w:val="es-ES_tradnl"/>
        </w:rPr>
      </w:pPr>
      <w:r w:rsidRPr="00CF2F04">
        <w:rPr>
          <w:rFonts w:eastAsia="Batang" w:cs="Calibri"/>
          <w:bCs/>
          <w:szCs w:val="24"/>
          <w:lang w:val="es-ES_tradnl"/>
        </w:rPr>
        <w:t xml:space="preserve">La relación entre las </w:t>
      </w:r>
      <w:r w:rsidRPr="00CF2F04">
        <w:rPr>
          <w:rFonts w:eastAsia="Batang" w:cs="Calibri"/>
          <w:b/>
          <w:szCs w:val="24"/>
          <w:lang w:val="es-ES_tradnl"/>
        </w:rPr>
        <w:t>Comisiones de Estudio del UIT-T</w:t>
      </w:r>
      <w:r w:rsidRPr="00CF2F04">
        <w:rPr>
          <w:rFonts w:eastAsia="Batang" w:cs="Calibri"/>
          <w:bCs/>
          <w:szCs w:val="24"/>
          <w:lang w:val="es-ES_tradnl"/>
        </w:rPr>
        <w:t xml:space="preserve">, los Grupos de Trabajo (GT) y los temas de trabajo, y las Cuestiones de Estudio del UIT-D comenzó en el periodo de estudio 2014-2017. Tras la reunión de abril de 2018 de la CE 1, se envió a las Comisiones de Estudio del UIT-T una </w:t>
      </w:r>
      <w:r w:rsidR="00AA3A65" w:rsidRPr="00CF2F04">
        <w:rPr>
          <w:rFonts w:eastAsia="Batang" w:cs="Calibri"/>
          <w:bCs/>
          <w:szCs w:val="24"/>
          <w:lang w:val="es-ES_tradnl"/>
        </w:rPr>
        <w:t>correlación</w:t>
      </w:r>
      <w:r w:rsidRPr="00CF2F04">
        <w:rPr>
          <w:rFonts w:eastAsia="Batang" w:cs="Calibri"/>
          <w:bCs/>
          <w:szCs w:val="24"/>
          <w:lang w:val="es-ES_tradnl"/>
        </w:rPr>
        <w:t xml:space="preserve"> actualizada que </w:t>
      </w:r>
      <w:r w:rsidR="00AA3A65" w:rsidRPr="00CF2F04">
        <w:rPr>
          <w:rFonts w:eastAsia="Batang" w:cs="Calibri"/>
          <w:bCs/>
          <w:szCs w:val="24"/>
          <w:lang w:val="es-ES_tradnl"/>
        </w:rPr>
        <w:t xml:space="preserve">respondía a </w:t>
      </w:r>
      <w:r w:rsidRPr="00CF2F04">
        <w:rPr>
          <w:rFonts w:eastAsia="Batang" w:cs="Calibri"/>
          <w:bCs/>
          <w:szCs w:val="24"/>
          <w:lang w:val="es-ES_tradnl"/>
        </w:rPr>
        <w:t xml:space="preserve">la nueva estructura resultante de la CMDT-17. Se invitó además a las reuniones del Grupo de Relator de 2018 a que examinaran y completaran la </w:t>
      </w:r>
      <w:r w:rsidR="00AA3A65" w:rsidRPr="00CF2F04">
        <w:rPr>
          <w:rFonts w:eastAsia="Batang" w:cs="Calibri"/>
          <w:bCs/>
          <w:szCs w:val="24"/>
          <w:lang w:val="es-ES_tradnl"/>
        </w:rPr>
        <w:t>correlación</w:t>
      </w:r>
      <w:r w:rsidRPr="00CF2F04">
        <w:rPr>
          <w:rFonts w:eastAsia="Batang" w:cs="Calibri"/>
          <w:bCs/>
          <w:szCs w:val="24"/>
          <w:lang w:val="es-ES_tradnl"/>
        </w:rPr>
        <w:t>, tras lo cual ésta podría compartirse con las Comisiones de Estudio del UIT-</w:t>
      </w:r>
      <w:r w:rsidR="00354B45">
        <w:rPr>
          <w:rFonts w:eastAsia="Batang" w:cs="Calibri"/>
          <w:bCs/>
          <w:szCs w:val="24"/>
          <w:lang w:val="es-ES_tradnl"/>
        </w:rPr>
        <w:t>T y el GADT. Posteriormente, el </w:t>
      </w:r>
      <w:r w:rsidRPr="00CF2F04">
        <w:rPr>
          <w:rFonts w:eastAsia="Batang" w:cs="Calibri"/>
          <w:bCs/>
          <w:szCs w:val="24"/>
          <w:lang w:val="es-ES_tradnl"/>
        </w:rPr>
        <w:t xml:space="preserve">GADT compartió la </w:t>
      </w:r>
      <w:r w:rsidR="00AA3A65" w:rsidRPr="00CF2F04">
        <w:rPr>
          <w:rFonts w:eastAsia="Batang" w:cs="Calibri"/>
          <w:bCs/>
          <w:szCs w:val="24"/>
          <w:lang w:val="es-ES_tradnl"/>
        </w:rPr>
        <w:t>correlación</w:t>
      </w:r>
      <w:r w:rsidRPr="00CF2F04">
        <w:rPr>
          <w:rFonts w:eastAsia="Batang" w:cs="Calibri"/>
          <w:bCs/>
          <w:szCs w:val="24"/>
          <w:lang w:val="es-ES_tradnl"/>
        </w:rPr>
        <w:t xml:space="preserve"> actualizada con el GANT </w:t>
      </w:r>
      <w:r w:rsidR="00AA3A65" w:rsidRPr="00CF2F04">
        <w:rPr>
          <w:rFonts w:eastAsia="Batang" w:cs="Calibri"/>
          <w:bCs/>
          <w:szCs w:val="24"/>
          <w:lang w:val="es-ES_tradnl"/>
        </w:rPr>
        <w:t>a título informativo</w:t>
      </w:r>
      <w:r w:rsidRPr="00CF2F04">
        <w:rPr>
          <w:rFonts w:eastAsia="Batang" w:cs="Calibri"/>
          <w:bCs/>
          <w:szCs w:val="24"/>
          <w:lang w:val="es-ES_tradnl"/>
        </w:rPr>
        <w:t xml:space="preserve"> en su reunión de diciembre de 2018. Cabe señalar que los cuadros </w:t>
      </w:r>
      <w:r w:rsidR="00AA3A65" w:rsidRPr="00CF2F04">
        <w:rPr>
          <w:rFonts w:eastAsia="Batang" w:cs="Calibri"/>
          <w:bCs/>
          <w:szCs w:val="24"/>
          <w:lang w:val="es-ES_tradnl"/>
        </w:rPr>
        <w:t xml:space="preserve">de correlación </w:t>
      </w:r>
      <w:r w:rsidRPr="00CF2F04">
        <w:rPr>
          <w:rFonts w:eastAsia="Batang" w:cs="Calibri"/>
          <w:bCs/>
          <w:szCs w:val="24"/>
          <w:lang w:val="es-ES_tradnl"/>
        </w:rPr>
        <w:t xml:space="preserve">son documentos </w:t>
      </w:r>
      <w:r w:rsidR="00AA3A65" w:rsidRPr="00CF2F04">
        <w:rPr>
          <w:rFonts w:eastAsia="Batang" w:cs="Calibri"/>
          <w:bCs/>
          <w:szCs w:val="24"/>
          <w:lang w:val="es-ES_tradnl"/>
        </w:rPr>
        <w:t>dinámicos</w:t>
      </w:r>
      <w:r w:rsidRPr="00CF2F04">
        <w:rPr>
          <w:rFonts w:eastAsia="Batang" w:cs="Calibri"/>
          <w:bCs/>
          <w:szCs w:val="24"/>
          <w:lang w:val="es-ES_tradnl"/>
        </w:rPr>
        <w:t xml:space="preserve"> que requieren un mantenimiento y una actualización periódicos para seguir siendo pertinentes y </w:t>
      </w:r>
      <w:r w:rsidR="00AA3A65" w:rsidRPr="00CF2F04">
        <w:rPr>
          <w:rFonts w:eastAsia="Batang" w:cs="Calibri"/>
          <w:bCs/>
          <w:szCs w:val="24"/>
          <w:lang w:val="es-ES_tradnl"/>
        </w:rPr>
        <w:t>responder a</w:t>
      </w:r>
      <w:r w:rsidRPr="00CF2F04">
        <w:rPr>
          <w:rFonts w:eastAsia="Batang" w:cs="Calibri"/>
          <w:bCs/>
          <w:szCs w:val="24"/>
          <w:lang w:val="es-ES_tradnl"/>
        </w:rPr>
        <w:t xml:space="preserve"> la evolución de </w:t>
      </w:r>
      <w:r w:rsidR="00AA3A65" w:rsidRPr="00CF2F04">
        <w:rPr>
          <w:rFonts w:eastAsia="Batang" w:cs="Calibri"/>
          <w:bCs/>
          <w:szCs w:val="24"/>
          <w:lang w:val="es-ES_tradnl"/>
        </w:rPr>
        <w:t>los trabajos</w:t>
      </w:r>
      <w:r w:rsidR="00354B45">
        <w:rPr>
          <w:rFonts w:eastAsia="Batang" w:cs="Calibri"/>
          <w:bCs/>
          <w:szCs w:val="24"/>
          <w:lang w:val="es-ES_tradnl"/>
        </w:rPr>
        <w:t>.</w:t>
      </w:r>
    </w:p>
    <w:p w:rsidR="00AA3A65" w:rsidRPr="00CF2F04" w:rsidRDefault="00AA3A65" w:rsidP="00354B45">
      <w:pPr>
        <w:spacing w:after="120"/>
        <w:rPr>
          <w:rFonts w:eastAsia="Batang" w:cs="Calibri"/>
          <w:bCs/>
          <w:szCs w:val="24"/>
          <w:lang w:val="es-ES_tradnl"/>
        </w:rPr>
      </w:pPr>
      <w:r w:rsidRPr="00CF2F04">
        <w:rPr>
          <w:rFonts w:eastAsia="Batang" w:cs="Calibri"/>
          <w:bCs/>
          <w:szCs w:val="24"/>
          <w:lang w:val="es-ES_tradnl"/>
        </w:rPr>
        <w:t xml:space="preserve">Se consideró esencial la necesidad de una correlación similar entre las </w:t>
      </w:r>
      <w:r w:rsidRPr="00354B45">
        <w:rPr>
          <w:rFonts w:eastAsia="Batang" w:cs="Calibri"/>
          <w:b/>
          <w:szCs w:val="24"/>
          <w:lang w:val="es-ES_tradnl"/>
        </w:rPr>
        <w:t>Comisiones de Estudio</w:t>
      </w:r>
      <w:r w:rsidRPr="00CF2F04">
        <w:rPr>
          <w:rFonts w:eastAsia="Batang" w:cs="Calibri"/>
          <w:bCs/>
          <w:szCs w:val="24"/>
          <w:lang w:val="es-ES_tradnl"/>
        </w:rPr>
        <w:t xml:space="preserve">, los Grupos de Trabajo y los temas de trabajo del </w:t>
      </w:r>
      <w:r w:rsidRPr="00354B45">
        <w:rPr>
          <w:rFonts w:eastAsia="Batang" w:cs="Calibri"/>
          <w:b/>
          <w:szCs w:val="24"/>
          <w:lang w:val="es-ES_tradnl"/>
        </w:rPr>
        <w:t>UIT-R</w:t>
      </w:r>
      <w:r w:rsidRPr="00CF2F04">
        <w:rPr>
          <w:rFonts w:eastAsia="Batang" w:cs="Calibri"/>
          <w:bCs/>
          <w:szCs w:val="24"/>
          <w:lang w:val="es-ES_tradnl"/>
        </w:rPr>
        <w:t>, y las Cuestiones de Estudio del UIT-D. A este respecto, se preparó una correlación inicial de los trabajos del UIT-R y del UIT-D centrada únicamente en la correlación a nivel de los Grupos de Trabajo del U</w:t>
      </w:r>
      <w:r w:rsidR="00354B45">
        <w:rPr>
          <w:rFonts w:eastAsia="Batang" w:cs="Calibri"/>
          <w:bCs/>
          <w:szCs w:val="24"/>
          <w:lang w:val="es-ES_tradnl"/>
        </w:rPr>
        <w:t>IT-R. En las reuniones de la CE </w:t>
      </w:r>
      <w:r w:rsidRPr="00CF2F04">
        <w:rPr>
          <w:rFonts w:eastAsia="Batang" w:cs="Calibri"/>
          <w:bCs/>
          <w:szCs w:val="24"/>
          <w:lang w:val="es-ES_tradnl"/>
        </w:rPr>
        <w:t>1 y la CE</w:t>
      </w:r>
      <w:r w:rsidR="00354B45">
        <w:rPr>
          <w:rFonts w:eastAsia="Batang" w:cs="Calibri"/>
          <w:bCs/>
          <w:szCs w:val="24"/>
          <w:lang w:val="es-ES_tradnl"/>
        </w:rPr>
        <w:t> </w:t>
      </w:r>
      <w:r w:rsidRPr="00CF2F04">
        <w:rPr>
          <w:rFonts w:eastAsia="Batang" w:cs="Calibri"/>
          <w:bCs/>
          <w:szCs w:val="24"/>
          <w:lang w:val="es-ES_tradnl"/>
        </w:rPr>
        <w:t>2 de marzo de 2019 se acordó compartir la correlación con las Comisiones de Estudio del UIT-R para recabar su opinión.</w:t>
      </w:r>
    </w:p>
    <w:p w:rsidR="00AA3A65" w:rsidRPr="00CF2F04" w:rsidRDefault="00AA3A65" w:rsidP="00E923EB">
      <w:pPr>
        <w:spacing w:after="120"/>
        <w:rPr>
          <w:rFonts w:eastAsia="Batang" w:cs="Calibri"/>
          <w:bCs/>
          <w:szCs w:val="24"/>
          <w:lang w:val="es-ES_tradnl"/>
        </w:rPr>
      </w:pPr>
      <w:r w:rsidRPr="00CF2F04">
        <w:rPr>
          <w:rFonts w:eastAsia="Batang" w:cs="Calibri"/>
          <w:bCs/>
          <w:szCs w:val="24"/>
          <w:lang w:val="es-ES_tradnl"/>
        </w:rPr>
        <w:t xml:space="preserve">Las Comisiones de Estudio del UIT-D y sus equipos de gestión han examinado el propósito y la justificación del ejercicio de </w:t>
      </w:r>
      <w:r w:rsidR="00E923EB" w:rsidRPr="00CF2F04">
        <w:rPr>
          <w:rFonts w:eastAsia="Batang" w:cs="Calibri"/>
          <w:bCs/>
          <w:szCs w:val="24"/>
          <w:lang w:val="es-ES_tradnl"/>
        </w:rPr>
        <w:t>correlación</w:t>
      </w:r>
      <w:r w:rsidRPr="00CF2F04">
        <w:rPr>
          <w:rFonts w:eastAsia="Batang" w:cs="Calibri"/>
          <w:bCs/>
          <w:szCs w:val="24"/>
          <w:lang w:val="es-ES_tradnl"/>
        </w:rPr>
        <w:t xml:space="preserve"> y han observado que mantener </w:t>
      </w:r>
      <w:r w:rsidR="00E923EB" w:rsidRPr="00CF2F04">
        <w:rPr>
          <w:rFonts w:eastAsia="Batang" w:cs="Calibri"/>
          <w:bCs/>
          <w:szCs w:val="24"/>
          <w:lang w:val="es-ES_tradnl"/>
        </w:rPr>
        <w:t xml:space="preserve">actualizada la correlación </w:t>
      </w:r>
      <w:r w:rsidRPr="00CF2F04">
        <w:rPr>
          <w:rFonts w:eastAsia="Batang" w:cs="Calibri"/>
          <w:bCs/>
          <w:szCs w:val="24"/>
          <w:lang w:val="es-ES_tradnl"/>
        </w:rPr>
        <w:t xml:space="preserve">será </w:t>
      </w:r>
      <w:r w:rsidR="00E923EB" w:rsidRPr="00CF2F04">
        <w:rPr>
          <w:rFonts w:eastAsia="Batang" w:cs="Calibri"/>
          <w:bCs/>
          <w:szCs w:val="24"/>
          <w:lang w:val="es-ES_tradnl"/>
        </w:rPr>
        <w:t xml:space="preserve">una labor </w:t>
      </w:r>
      <w:r w:rsidRPr="00CF2F04">
        <w:rPr>
          <w:rFonts w:eastAsia="Batang" w:cs="Calibri"/>
          <w:bCs/>
          <w:szCs w:val="24"/>
          <w:lang w:val="es-ES_tradnl"/>
        </w:rPr>
        <w:t>tedios</w:t>
      </w:r>
      <w:r w:rsidR="00E923EB" w:rsidRPr="00CF2F04">
        <w:rPr>
          <w:rFonts w:eastAsia="Batang" w:cs="Calibri"/>
          <w:bCs/>
          <w:szCs w:val="24"/>
          <w:lang w:val="es-ES_tradnl"/>
        </w:rPr>
        <w:t>a</w:t>
      </w:r>
      <w:r w:rsidRPr="00CF2F04">
        <w:rPr>
          <w:rFonts w:eastAsia="Batang" w:cs="Calibri"/>
          <w:bCs/>
          <w:szCs w:val="24"/>
          <w:lang w:val="es-ES_tradnl"/>
        </w:rPr>
        <w:t xml:space="preserve">. Se </w:t>
      </w:r>
      <w:r w:rsidR="00E923EB" w:rsidRPr="00CF2F04">
        <w:rPr>
          <w:rFonts w:eastAsia="Batang" w:cs="Calibri"/>
          <w:bCs/>
          <w:szCs w:val="24"/>
          <w:lang w:val="es-ES_tradnl"/>
        </w:rPr>
        <w:t xml:space="preserve">manifestó </w:t>
      </w:r>
      <w:r w:rsidRPr="00CF2F04">
        <w:rPr>
          <w:rFonts w:eastAsia="Batang" w:cs="Calibri"/>
          <w:bCs/>
          <w:szCs w:val="24"/>
          <w:lang w:val="es-ES_tradnl"/>
        </w:rPr>
        <w:t xml:space="preserve">la utilidad de esa </w:t>
      </w:r>
      <w:r w:rsidR="00E923EB" w:rsidRPr="00CF2F04">
        <w:rPr>
          <w:rFonts w:eastAsia="Batang" w:cs="Calibri"/>
          <w:bCs/>
          <w:szCs w:val="24"/>
          <w:lang w:val="es-ES_tradnl"/>
        </w:rPr>
        <w:t xml:space="preserve">correlación en cuanto </w:t>
      </w:r>
      <w:r w:rsidRPr="00CF2F04">
        <w:rPr>
          <w:rFonts w:eastAsia="Batang" w:cs="Calibri"/>
          <w:bCs/>
          <w:szCs w:val="24"/>
          <w:lang w:val="es-ES_tradnl"/>
        </w:rPr>
        <w:t xml:space="preserve">instrumento para los </w:t>
      </w:r>
      <w:r w:rsidR="00E923EB" w:rsidRPr="00CF2F04">
        <w:rPr>
          <w:rFonts w:eastAsia="Batang" w:cs="Calibri"/>
          <w:bCs/>
          <w:szCs w:val="24"/>
          <w:lang w:val="es-ES_tradnl"/>
        </w:rPr>
        <w:lastRenderedPageBreak/>
        <w:t xml:space="preserve">Grupos </w:t>
      </w:r>
      <w:r w:rsidRPr="00CF2F04">
        <w:rPr>
          <w:rFonts w:eastAsia="Batang" w:cs="Calibri"/>
          <w:bCs/>
          <w:szCs w:val="24"/>
          <w:lang w:val="es-ES_tradnl"/>
        </w:rPr>
        <w:t xml:space="preserve">de </w:t>
      </w:r>
      <w:r w:rsidR="00E923EB" w:rsidRPr="00CF2F04">
        <w:rPr>
          <w:rFonts w:eastAsia="Batang" w:cs="Calibri"/>
          <w:bCs/>
          <w:szCs w:val="24"/>
          <w:lang w:val="es-ES_tradnl"/>
        </w:rPr>
        <w:t xml:space="preserve">Relator </w:t>
      </w:r>
      <w:r w:rsidRPr="00CF2F04">
        <w:rPr>
          <w:rFonts w:eastAsia="Batang" w:cs="Calibri"/>
          <w:bCs/>
          <w:szCs w:val="24"/>
          <w:lang w:val="es-ES_tradnl"/>
        </w:rPr>
        <w:t xml:space="preserve">en la medida en que relacionan sus actividades con la labor realizada en los demás Sectores en lo que respecta a las referencias de las recomendaciones existentes, </w:t>
      </w:r>
      <w:r w:rsidR="00E923EB" w:rsidRPr="00CF2F04">
        <w:rPr>
          <w:rFonts w:eastAsia="Batang" w:cs="Calibri"/>
          <w:bCs/>
          <w:szCs w:val="24"/>
          <w:lang w:val="es-ES_tradnl"/>
        </w:rPr>
        <w:t xml:space="preserve">el envío </w:t>
      </w:r>
      <w:r w:rsidRPr="00CF2F04">
        <w:rPr>
          <w:rFonts w:eastAsia="Batang" w:cs="Calibri"/>
          <w:bCs/>
          <w:szCs w:val="24"/>
          <w:lang w:val="es-ES_tradnl"/>
        </w:rPr>
        <w:t xml:space="preserve">de las declaraciones de </w:t>
      </w:r>
      <w:r w:rsidR="00E923EB" w:rsidRPr="00CF2F04">
        <w:rPr>
          <w:rFonts w:eastAsia="Batang" w:cs="Calibri"/>
          <w:bCs/>
          <w:szCs w:val="24"/>
          <w:lang w:val="es-ES_tradnl"/>
        </w:rPr>
        <w:t xml:space="preserve">coordinación </w:t>
      </w:r>
      <w:r w:rsidRPr="00CF2F04">
        <w:rPr>
          <w:rFonts w:eastAsia="Batang" w:cs="Calibri"/>
          <w:bCs/>
          <w:szCs w:val="24"/>
          <w:lang w:val="es-ES_tradnl"/>
        </w:rPr>
        <w:t xml:space="preserve">a los grupos adecuados, etc. </w:t>
      </w:r>
      <w:r w:rsidR="00E923EB" w:rsidRPr="00CF2F04">
        <w:rPr>
          <w:rFonts w:eastAsia="Batang" w:cs="Calibri"/>
          <w:bCs/>
          <w:szCs w:val="24"/>
          <w:lang w:val="es-ES_tradnl"/>
        </w:rPr>
        <w:t>Así</w:t>
      </w:r>
      <w:r w:rsidRPr="00CF2F04">
        <w:rPr>
          <w:rFonts w:eastAsia="Batang" w:cs="Calibri"/>
          <w:bCs/>
          <w:szCs w:val="24"/>
          <w:lang w:val="es-ES_tradnl"/>
        </w:rPr>
        <w:t xml:space="preserve">, </w:t>
      </w:r>
      <w:r w:rsidR="00E923EB" w:rsidRPr="00CF2F04">
        <w:rPr>
          <w:rFonts w:eastAsia="Batang" w:cs="Calibri"/>
          <w:bCs/>
          <w:szCs w:val="24"/>
          <w:lang w:val="es-ES_tradnl"/>
        </w:rPr>
        <w:t xml:space="preserve">la correlación </w:t>
      </w:r>
      <w:r w:rsidRPr="00CF2F04">
        <w:rPr>
          <w:rFonts w:eastAsia="Batang" w:cs="Calibri"/>
          <w:bCs/>
          <w:szCs w:val="24"/>
          <w:lang w:val="es-ES_tradnl"/>
        </w:rPr>
        <w:t xml:space="preserve">puede servir de guía para la interacción y colaboración entre los Sectores. </w:t>
      </w:r>
      <w:r w:rsidR="00E923EB" w:rsidRPr="00CF2F04">
        <w:rPr>
          <w:rFonts w:eastAsia="Batang" w:cs="Calibri"/>
          <w:bCs/>
          <w:szCs w:val="24"/>
          <w:lang w:val="es-ES_tradnl"/>
        </w:rPr>
        <w:t>A partir de esa correlación</w:t>
      </w:r>
      <w:r w:rsidRPr="00CF2F04">
        <w:rPr>
          <w:rFonts w:eastAsia="Batang" w:cs="Calibri"/>
          <w:bCs/>
          <w:szCs w:val="24"/>
          <w:lang w:val="es-ES_tradnl"/>
        </w:rPr>
        <w:t xml:space="preserve">, también se pueden encontrar expertos en diferentes temas y </w:t>
      </w:r>
      <w:r w:rsidR="00E923EB" w:rsidRPr="00CF2F04">
        <w:rPr>
          <w:rFonts w:eastAsia="Batang" w:cs="Calibri"/>
          <w:bCs/>
          <w:szCs w:val="24"/>
          <w:lang w:val="es-ES_tradnl"/>
        </w:rPr>
        <w:t xml:space="preserve">que podrían encargarse de </w:t>
      </w:r>
      <w:r w:rsidRPr="00CF2F04">
        <w:rPr>
          <w:rFonts w:eastAsia="Batang" w:cs="Calibri"/>
          <w:bCs/>
          <w:szCs w:val="24"/>
          <w:lang w:val="es-ES_tradnl"/>
        </w:rPr>
        <w:t xml:space="preserve">compartir </w:t>
      </w:r>
      <w:r w:rsidR="00E923EB" w:rsidRPr="00CF2F04">
        <w:rPr>
          <w:rFonts w:eastAsia="Batang" w:cs="Calibri"/>
          <w:bCs/>
          <w:szCs w:val="24"/>
          <w:lang w:val="es-ES_tradnl"/>
        </w:rPr>
        <w:t xml:space="preserve">sus </w:t>
      </w:r>
      <w:r w:rsidRPr="00CF2F04">
        <w:rPr>
          <w:rFonts w:eastAsia="Batang" w:cs="Calibri"/>
          <w:bCs/>
          <w:szCs w:val="24"/>
          <w:lang w:val="es-ES_tradnl"/>
        </w:rPr>
        <w:t>experiencia</w:t>
      </w:r>
      <w:r w:rsidR="00E923EB" w:rsidRPr="00CF2F04">
        <w:rPr>
          <w:rFonts w:eastAsia="Batang" w:cs="Calibri"/>
          <w:bCs/>
          <w:szCs w:val="24"/>
          <w:lang w:val="es-ES_tradnl"/>
        </w:rPr>
        <w:t>s</w:t>
      </w:r>
      <w:r w:rsidRPr="00CF2F04">
        <w:rPr>
          <w:rFonts w:eastAsia="Batang" w:cs="Calibri"/>
          <w:bCs/>
          <w:szCs w:val="24"/>
          <w:lang w:val="es-ES_tradnl"/>
        </w:rPr>
        <w:t xml:space="preserve">. En la CE 1, </w:t>
      </w:r>
      <w:r w:rsidR="00E923EB" w:rsidRPr="00CF2F04">
        <w:rPr>
          <w:rFonts w:eastAsia="Batang" w:cs="Calibri"/>
          <w:bCs/>
          <w:szCs w:val="24"/>
          <w:lang w:val="es-ES_tradnl"/>
        </w:rPr>
        <w:t>a fin de garantizar que se revisara y diera seguimiento a la correlación</w:t>
      </w:r>
      <w:r w:rsidRPr="00CF2F04">
        <w:rPr>
          <w:rFonts w:eastAsia="Batang" w:cs="Calibri"/>
          <w:bCs/>
          <w:szCs w:val="24"/>
          <w:lang w:val="es-ES_tradnl"/>
        </w:rPr>
        <w:t xml:space="preserve">, se pidió a cada </w:t>
      </w:r>
      <w:r w:rsidR="00E923EB" w:rsidRPr="00CF2F04">
        <w:rPr>
          <w:rFonts w:eastAsia="Batang" w:cs="Calibri"/>
          <w:bCs/>
          <w:szCs w:val="24"/>
          <w:lang w:val="es-ES_tradnl"/>
        </w:rPr>
        <w:t xml:space="preserve">Grupo </w:t>
      </w:r>
      <w:r w:rsidRPr="00CF2F04">
        <w:rPr>
          <w:rFonts w:eastAsia="Batang" w:cs="Calibri"/>
          <w:bCs/>
          <w:szCs w:val="24"/>
          <w:lang w:val="es-ES_tradnl"/>
        </w:rPr>
        <w:t xml:space="preserve">de </w:t>
      </w:r>
      <w:r w:rsidR="00E923EB" w:rsidRPr="00CF2F04">
        <w:rPr>
          <w:rFonts w:eastAsia="Batang" w:cs="Calibri"/>
          <w:bCs/>
          <w:szCs w:val="24"/>
          <w:lang w:val="es-ES_tradnl"/>
        </w:rPr>
        <w:t xml:space="preserve">Relator </w:t>
      </w:r>
      <w:r w:rsidRPr="00CF2F04">
        <w:rPr>
          <w:rFonts w:eastAsia="Batang" w:cs="Calibri"/>
          <w:bCs/>
          <w:szCs w:val="24"/>
          <w:lang w:val="es-ES_tradnl"/>
        </w:rPr>
        <w:t>que identificara a los representantes para este trabajo.</w:t>
      </w:r>
    </w:p>
    <w:p w:rsidR="00C50167" w:rsidRPr="00CF2F04" w:rsidRDefault="00E923EB" w:rsidP="00E923EB">
      <w:pPr>
        <w:spacing w:after="120"/>
        <w:rPr>
          <w:rFonts w:eastAsia="Batang" w:cs="Calibri"/>
          <w:bCs/>
          <w:szCs w:val="24"/>
          <w:lang w:val="es-ES_tradnl"/>
        </w:rPr>
      </w:pPr>
      <w:r w:rsidRPr="00CF2F04">
        <w:rPr>
          <w:rFonts w:eastAsia="Batang" w:cs="Calibri"/>
          <w:bCs/>
          <w:szCs w:val="24"/>
          <w:lang w:val="es-ES_tradnl"/>
        </w:rPr>
        <w:t xml:space="preserve">Inspiradas en la correlación intersectorial, las Comisiones de Estudio del UIT-D también llevaron a cabo una </w:t>
      </w:r>
      <w:r w:rsidRPr="00CF2F04">
        <w:rPr>
          <w:rFonts w:eastAsia="Batang" w:cs="Calibri"/>
          <w:b/>
          <w:szCs w:val="24"/>
          <w:lang w:val="es-ES_tradnl"/>
        </w:rPr>
        <w:t xml:space="preserve">correlación </w:t>
      </w:r>
      <w:proofErr w:type="spellStart"/>
      <w:r w:rsidRPr="00CF2F04">
        <w:rPr>
          <w:rFonts w:eastAsia="Batang" w:cs="Calibri"/>
          <w:b/>
          <w:szCs w:val="24"/>
          <w:lang w:val="es-ES_tradnl"/>
        </w:rPr>
        <w:t>intrasectorial</w:t>
      </w:r>
      <w:proofErr w:type="spellEnd"/>
      <w:r w:rsidRPr="00CF2F04">
        <w:rPr>
          <w:rFonts w:eastAsia="Batang" w:cs="Calibri"/>
          <w:b/>
          <w:szCs w:val="24"/>
          <w:lang w:val="es-ES_tradnl"/>
        </w:rPr>
        <w:t xml:space="preserve"> entre las Cuestiones</w:t>
      </w:r>
      <w:r w:rsidRPr="00CF2F04">
        <w:rPr>
          <w:rFonts w:eastAsia="Batang" w:cs="Calibri"/>
          <w:bCs/>
          <w:szCs w:val="24"/>
          <w:lang w:val="es-ES_tradnl"/>
        </w:rPr>
        <w:t>. El proyecto de matriz de relaciones e interacciones entre las Cuestiones de estudio de la CE 1 y la CE 2 del UIT-D tiene por objeto determinar las esferas en las que puede haber solapamiento y oportunidades para reforzar aún más la colaboración. Al igual que todas las tablas de correlación, se trata de documentos dinámicos que evolucionarán a lo largo del periodo de estudio a medida que avance los trabajos de las Cuestiones de estudio</w:t>
      </w:r>
      <w:r w:rsidR="00C50167" w:rsidRPr="00CF2F04">
        <w:rPr>
          <w:rFonts w:eastAsia="Batang" w:cs="Calibri"/>
          <w:bCs/>
          <w:szCs w:val="24"/>
          <w:lang w:val="es-ES_tradnl"/>
        </w:rPr>
        <w:t>.</w:t>
      </w:r>
    </w:p>
    <w:p w:rsidR="00C50167" w:rsidRPr="00CF2F04" w:rsidRDefault="008B6505" w:rsidP="00CF2F04">
      <w:pPr>
        <w:pStyle w:val="Heading2"/>
        <w:rPr>
          <w:lang w:val="es-ES_tradnl"/>
        </w:rPr>
      </w:pPr>
      <w:r w:rsidRPr="00CF2F04">
        <w:rPr>
          <w:lang w:val="es-ES_tradnl"/>
        </w:rPr>
        <w:t>4.2</w:t>
      </w:r>
      <w:r w:rsidRPr="00CF2F04">
        <w:rPr>
          <w:lang w:val="es-ES_tradnl"/>
        </w:rPr>
        <w:tab/>
      </w:r>
      <w:r w:rsidR="00E923EB" w:rsidRPr="00CF2F04">
        <w:rPr>
          <w:lang w:val="es-ES_tradnl"/>
        </w:rPr>
        <w:t xml:space="preserve">Implicación y contribución de las Comisiones de Estudio para la aplicación de la Resolución </w:t>
      </w:r>
      <w:r w:rsidR="00C50167" w:rsidRPr="00CF2F04">
        <w:rPr>
          <w:lang w:val="es-ES_tradnl"/>
        </w:rPr>
        <w:t>9 (Rev. Buenos Aires, 2017)</w:t>
      </w:r>
      <w:r w:rsidR="00E923EB" w:rsidRPr="00CF2F04">
        <w:rPr>
          <w:lang w:val="es-ES_tradnl"/>
        </w:rPr>
        <w:t xml:space="preserve"> de la CMDT</w:t>
      </w:r>
    </w:p>
    <w:p w:rsidR="00C50167" w:rsidRPr="00CF2F04" w:rsidRDefault="00E923EB" w:rsidP="00F07B98">
      <w:pPr>
        <w:spacing w:after="120"/>
        <w:rPr>
          <w:rFonts w:eastAsia="Batang" w:cs="Calibri"/>
          <w:bCs/>
          <w:szCs w:val="24"/>
          <w:lang w:val="es-ES_tradnl"/>
        </w:rPr>
      </w:pPr>
      <w:r w:rsidRPr="00CF2F04">
        <w:rPr>
          <w:szCs w:val="24"/>
          <w:lang w:val="es-ES_tradnl"/>
        </w:rPr>
        <w:t xml:space="preserve">Durante las reuniones, especialmente las reuniones del Grupo de Relator de septiembre de 2018, </w:t>
      </w:r>
      <w:r w:rsidR="00F07B98" w:rsidRPr="00CF2F04">
        <w:rPr>
          <w:szCs w:val="24"/>
          <w:lang w:val="es-ES_tradnl"/>
        </w:rPr>
        <w:t>se plantearon cuestiones y preocupaciones acerca d</w:t>
      </w:r>
      <w:r w:rsidRPr="00CF2F04">
        <w:rPr>
          <w:szCs w:val="24"/>
          <w:lang w:val="es-ES_tradnl"/>
        </w:rPr>
        <w:t>el estado de apli</w:t>
      </w:r>
      <w:r w:rsidR="00C14CB8">
        <w:rPr>
          <w:szCs w:val="24"/>
          <w:lang w:val="es-ES_tradnl"/>
        </w:rPr>
        <w:t>cación de la Resolución 9 de la </w:t>
      </w:r>
      <w:r w:rsidRPr="00CF2F04">
        <w:rPr>
          <w:szCs w:val="24"/>
          <w:lang w:val="es-ES_tradnl"/>
        </w:rPr>
        <w:t>CMDT (Rev. Buenos Aires, 2017) y su supresión de las Comisio</w:t>
      </w:r>
      <w:r w:rsidR="00C14CB8">
        <w:rPr>
          <w:szCs w:val="24"/>
          <w:lang w:val="es-ES_tradnl"/>
        </w:rPr>
        <w:t>nes de Estudio del UIT-D por la </w:t>
      </w:r>
      <w:r w:rsidRPr="00CF2F04">
        <w:rPr>
          <w:szCs w:val="24"/>
          <w:lang w:val="es-ES_tradnl"/>
        </w:rPr>
        <w:t xml:space="preserve">CMDT-17. Como ciertos aspectos de la gestión del espectro guardan relación con diversas Cuestiones de estudio de la CE 1, se pidió que se aclararan las próximas etapas de la aplicación y la forma en que la Comisión de Estudio podría abordar esta cuestión. Los Miembros manifestaron su preocupación por el hecho de que no se hubieran realizado progresos tras la CMDT-17. Se informó a la reunión sobre un planteamiento propuesto para abordar los aspectos complejos de la aplicación </w:t>
      </w:r>
      <w:r w:rsidR="00F07B98" w:rsidRPr="00CF2F04">
        <w:rPr>
          <w:szCs w:val="24"/>
          <w:lang w:val="es-ES_tradnl"/>
        </w:rPr>
        <w:t xml:space="preserve">por la BDT </w:t>
      </w:r>
      <w:r w:rsidRPr="00CF2F04">
        <w:rPr>
          <w:szCs w:val="24"/>
          <w:lang w:val="es-ES_tradnl"/>
        </w:rPr>
        <w:t xml:space="preserve">de la Resolución, que requiere una estrecha colaboración con la Oficina de Radiocomunicaciones (BR), y se señaló que se compartiría la información ulteriormente. En cuanto a una posible contribución a los trabajos de las Comisiones de Estudio del UIT-D, se propuso que cada Relator reuniera todos los aspectos relacionados con el espectro, y especialmente las necesidades expresadas, después de cada reunión, y que </w:t>
      </w:r>
      <w:r w:rsidR="00F07B98" w:rsidRPr="00CF2F04">
        <w:rPr>
          <w:szCs w:val="24"/>
          <w:lang w:val="es-ES_tradnl"/>
        </w:rPr>
        <w:t>informara</w:t>
      </w:r>
      <w:r w:rsidRPr="00CF2F04">
        <w:rPr>
          <w:szCs w:val="24"/>
          <w:lang w:val="es-ES_tradnl"/>
        </w:rPr>
        <w:t xml:space="preserve"> periódicamente </w:t>
      </w:r>
      <w:r w:rsidR="00F07B98" w:rsidRPr="00CF2F04">
        <w:rPr>
          <w:szCs w:val="24"/>
          <w:lang w:val="es-ES_tradnl"/>
        </w:rPr>
        <w:t>a</w:t>
      </w:r>
      <w:r w:rsidRPr="00CF2F04">
        <w:rPr>
          <w:szCs w:val="24"/>
          <w:lang w:val="es-ES_tradnl"/>
        </w:rPr>
        <w:t>l Presidente respectivo. Esta cuestión aún no se ha debatido</w:t>
      </w:r>
      <w:r w:rsidR="00C50167" w:rsidRPr="00CF2F04">
        <w:rPr>
          <w:szCs w:val="24"/>
          <w:lang w:val="es-ES_tradnl"/>
        </w:rPr>
        <w:t>.</w:t>
      </w:r>
    </w:p>
    <w:p w:rsidR="00C50167" w:rsidRPr="00CF2F04" w:rsidRDefault="008B6505" w:rsidP="00F07B98">
      <w:pPr>
        <w:pStyle w:val="Heading1"/>
        <w:rPr>
          <w:lang w:val="es-ES_tradnl"/>
        </w:rPr>
      </w:pPr>
      <w:r w:rsidRPr="00CF2F04">
        <w:rPr>
          <w:lang w:val="es-ES_tradnl"/>
        </w:rPr>
        <w:t>5</w:t>
      </w:r>
      <w:r w:rsidRPr="00CF2F04">
        <w:rPr>
          <w:lang w:val="es-ES_tradnl"/>
        </w:rPr>
        <w:tab/>
      </w:r>
      <w:r w:rsidR="00F07B98" w:rsidRPr="00CF2F04">
        <w:rPr>
          <w:lang w:val="es-ES_tradnl"/>
        </w:rPr>
        <w:t>Trabajos del</w:t>
      </w:r>
      <w:r w:rsidR="00C50167" w:rsidRPr="00CF2F04">
        <w:rPr>
          <w:lang w:val="es-ES_tradnl"/>
        </w:rPr>
        <w:t xml:space="preserve"> </w:t>
      </w:r>
      <w:r w:rsidR="00F07B98" w:rsidRPr="00CF2F04">
        <w:rPr>
          <w:lang w:val="es-ES_tradnl"/>
        </w:rPr>
        <w:t xml:space="preserve">Comité de Coordinación de la Terminología de la UIT </w:t>
      </w:r>
      <w:r w:rsidR="00C50167" w:rsidRPr="00CF2F04">
        <w:rPr>
          <w:lang w:val="es-ES_tradnl"/>
        </w:rPr>
        <w:t>(CCT</w:t>
      </w:r>
      <w:r w:rsidR="00F07B98" w:rsidRPr="00CF2F04">
        <w:rPr>
          <w:lang w:val="es-ES_tradnl"/>
        </w:rPr>
        <w:t xml:space="preserve"> UIT</w:t>
      </w:r>
      <w:r w:rsidR="00C50167" w:rsidRPr="00CF2F04">
        <w:rPr>
          <w:lang w:val="es-ES_tradnl"/>
        </w:rPr>
        <w:t xml:space="preserve">) </w:t>
      </w:r>
      <w:r w:rsidR="00F07B98" w:rsidRPr="00CF2F04">
        <w:rPr>
          <w:lang w:val="es-ES_tradnl"/>
        </w:rPr>
        <w:t>que revisten interés para el U</w:t>
      </w:r>
      <w:r w:rsidR="00C50167" w:rsidRPr="00CF2F04">
        <w:rPr>
          <w:lang w:val="es-ES_tradnl"/>
        </w:rPr>
        <w:t>IT-D</w:t>
      </w:r>
    </w:p>
    <w:p w:rsidR="00C50167" w:rsidRPr="00CF2F04" w:rsidRDefault="00F07B98" w:rsidP="00F07B98">
      <w:pPr>
        <w:spacing w:after="120"/>
        <w:rPr>
          <w:rFonts w:eastAsia="Calibri" w:cs="Calibri"/>
          <w:szCs w:val="24"/>
          <w:lang w:val="es-ES_tradnl"/>
        </w:rPr>
      </w:pPr>
      <w:r w:rsidRPr="00CF2F04">
        <w:rPr>
          <w:rFonts w:eastAsia="Calibri" w:cs="Calibri"/>
          <w:szCs w:val="24"/>
          <w:lang w:val="es-ES_tradnl"/>
        </w:rPr>
        <w:t xml:space="preserve">De conformidad con la Resolución 86 (Buenos Aires, 2017) de la CMDT sobre la "Utilización en el Sector de Desarrollo de las Telecomunicaciones de la UIT de los idiomas de la Unión en pie de igualdad", el GADT en 2018 designó al Vicepresidente de la CE 1, Sr. Peter </w:t>
      </w:r>
      <w:proofErr w:type="spellStart"/>
      <w:r w:rsidRPr="00CF2F04">
        <w:rPr>
          <w:rFonts w:eastAsia="Calibri" w:cs="Calibri"/>
          <w:szCs w:val="24"/>
          <w:lang w:val="es-ES_tradnl"/>
        </w:rPr>
        <w:t>Mbengie</w:t>
      </w:r>
      <w:proofErr w:type="spellEnd"/>
      <w:r w:rsidRPr="00CF2F04">
        <w:rPr>
          <w:rFonts w:eastAsia="Calibri" w:cs="Calibri"/>
          <w:szCs w:val="24"/>
          <w:lang w:val="es-ES_tradnl"/>
        </w:rPr>
        <w:t xml:space="preserve"> (Camerún), y a la Vicepresidenta de la CE 2, Sra. </w:t>
      </w:r>
      <w:proofErr w:type="spellStart"/>
      <w:r w:rsidRPr="00CF2F04">
        <w:rPr>
          <w:rFonts w:eastAsia="Calibri" w:cs="Calibri"/>
          <w:szCs w:val="24"/>
          <w:lang w:val="es-ES_tradnl"/>
        </w:rPr>
        <w:t>Ke</w:t>
      </w:r>
      <w:proofErr w:type="spellEnd"/>
      <w:r w:rsidRPr="00CF2F04">
        <w:rPr>
          <w:rFonts w:eastAsia="Calibri" w:cs="Calibri"/>
          <w:szCs w:val="24"/>
          <w:lang w:val="es-ES_tradnl"/>
        </w:rPr>
        <w:t xml:space="preserve"> Wang (República Popular China), para que fueran los representantes del UIT-D en el Comité de Coordinación de Terminología de la UIT (CCT). La Resolución Plenipotenciaria 154 (Rev. </w:t>
      </w:r>
      <w:proofErr w:type="spellStart"/>
      <w:r w:rsidRPr="00CF2F04">
        <w:rPr>
          <w:rFonts w:eastAsia="Calibri" w:cs="Calibri"/>
          <w:szCs w:val="24"/>
          <w:lang w:val="es-ES_tradnl"/>
        </w:rPr>
        <w:t>Dubai</w:t>
      </w:r>
      <w:proofErr w:type="spellEnd"/>
      <w:r w:rsidRPr="00CF2F04">
        <w:rPr>
          <w:rFonts w:eastAsia="Calibri" w:cs="Calibri"/>
          <w:szCs w:val="24"/>
          <w:lang w:val="es-ES_tradnl"/>
        </w:rPr>
        <w:t>, 2018) "Uso de los seis idiomas oficiales de la Unión en pie de igualdad" incluye ahora un texto que reconoce la creación del CCT UIT mediante la Resolución 1386, que fue adoptada por el Consejo en su sesión de 2017.</w:t>
      </w:r>
    </w:p>
    <w:p w:rsidR="00FD4B0B" w:rsidRPr="00CF2F04" w:rsidRDefault="00FD4B0B" w:rsidP="00A571C2">
      <w:pPr>
        <w:spacing w:after="120"/>
        <w:rPr>
          <w:bCs/>
          <w:iCs/>
          <w:szCs w:val="24"/>
          <w:lang w:val="es-ES_tradnl" w:bidi="en-US"/>
        </w:rPr>
      </w:pPr>
      <w:r w:rsidRPr="00CF2F04">
        <w:rPr>
          <w:bCs/>
          <w:iCs/>
          <w:szCs w:val="24"/>
          <w:lang w:val="es-ES_tradnl" w:bidi="en-US"/>
        </w:rPr>
        <w:t>En 2018, el CCT de la UIT se ha reunido en dos ocasiones por correspondencia, el 28 de junio de 2018 y el 22 de noviembre de 2018. En cada reunión se examinan las declaraciones de coordinaci</w:t>
      </w:r>
      <w:r w:rsidR="00201748" w:rsidRPr="00CF2F04">
        <w:rPr>
          <w:bCs/>
          <w:iCs/>
          <w:szCs w:val="24"/>
          <w:lang w:val="es-ES_tradnl" w:bidi="en-US"/>
        </w:rPr>
        <w:t>ó</w:t>
      </w:r>
      <w:r w:rsidRPr="00CF2F04">
        <w:rPr>
          <w:bCs/>
          <w:iCs/>
          <w:szCs w:val="24"/>
          <w:lang w:val="es-ES_tradnl" w:bidi="en-US"/>
        </w:rPr>
        <w:t>n y las contribuciones sobre cuestiones de terminología y se acuerdan las actualizaciones de la base de datos de terminología de la UIT, es</w:t>
      </w:r>
      <w:r w:rsidR="00C14CB8">
        <w:rPr>
          <w:bCs/>
          <w:iCs/>
          <w:szCs w:val="24"/>
          <w:lang w:val="es-ES_tradnl" w:bidi="en-US"/>
        </w:rPr>
        <w:t>pecialmente la denominada Parte </w:t>
      </w:r>
      <w:r w:rsidRPr="00CF2F04">
        <w:rPr>
          <w:bCs/>
          <w:iCs/>
          <w:szCs w:val="24"/>
          <w:lang w:val="es-ES_tradnl" w:bidi="en-US"/>
        </w:rPr>
        <w:t xml:space="preserve">3 con los términos, acrónimos y definiciones. Entre los asuntos de interés para el trabajo </w:t>
      </w:r>
      <w:r w:rsidRPr="00CF2F04">
        <w:rPr>
          <w:bCs/>
          <w:iCs/>
          <w:szCs w:val="24"/>
          <w:lang w:val="es-ES_tradnl" w:bidi="en-US"/>
        </w:rPr>
        <w:lastRenderedPageBreak/>
        <w:t>del</w:t>
      </w:r>
      <w:r w:rsidR="00C14CB8">
        <w:rPr>
          <w:bCs/>
          <w:iCs/>
          <w:szCs w:val="24"/>
          <w:lang w:val="es-ES_tradnl" w:bidi="en-US"/>
        </w:rPr>
        <w:t> </w:t>
      </w:r>
      <w:r w:rsidRPr="00CF2F04">
        <w:rPr>
          <w:bCs/>
          <w:iCs/>
          <w:szCs w:val="24"/>
          <w:lang w:val="es-ES_tradnl" w:bidi="en-US"/>
        </w:rPr>
        <w:t xml:space="preserve">UIT-D figuran los siguientes: una definición de "acceso de </w:t>
      </w:r>
      <w:r w:rsidR="00A571C2">
        <w:rPr>
          <w:bCs/>
          <w:iCs/>
          <w:szCs w:val="24"/>
          <w:lang w:val="es-ES_tradnl" w:bidi="en-US"/>
        </w:rPr>
        <w:t>banda ancha", que especifique 2 </w:t>
      </w:r>
      <w:r w:rsidRPr="00CF2F04">
        <w:rPr>
          <w:bCs/>
          <w:iCs/>
          <w:szCs w:val="24"/>
          <w:lang w:val="es-ES_tradnl" w:bidi="en-US"/>
        </w:rPr>
        <w:t>Mbit/s como límite inferior para la banda ancha o en relación con el acceso de banda estrecha sin especificar ningún límite inferior (</w:t>
      </w:r>
      <w:r w:rsidRPr="00CF2F04">
        <w:rPr>
          <w:bCs/>
          <w:i/>
          <w:szCs w:val="24"/>
          <w:lang w:val="es-ES_tradnl" w:bidi="en-US"/>
        </w:rPr>
        <w:t>no se ha llegado a un acuerdo, se espera adoptar una decisión en la reunión de mayo de 2019</w:t>
      </w:r>
      <w:r w:rsidRPr="00CF2F04">
        <w:rPr>
          <w:bCs/>
          <w:iCs/>
          <w:szCs w:val="24"/>
          <w:lang w:val="es-ES_tradnl" w:bidi="en-US"/>
        </w:rPr>
        <w:t>), una definición de "mantenimiento inteligente de las telecomunicaciones", en la que el adjetivo "telecomunicaciones" debe figurar en singular, y la utilización cíclica de la palabra "inteligente" debe ser evitada. Además, en el futuro debería considerarse la posibilidad de incluir las Recomendaciones UIT-D en la base de datos terminológica de la UIT. En su labor, el UIT-D debe conocer la base de datos terminológica de la UIT y su utilidad a la hora de preparar los informes y otros productos. La próxima reunión del CCT UIT tendrá lugar el 7 de mayo de 2019.</w:t>
      </w:r>
    </w:p>
    <w:p w:rsidR="00C50167" w:rsidRPr="00CF2F04" w:rsidRDefault="008B6505" w:rsidP="00FD4B0B">
      <w:pPr>
        <w:pStyle w:val="Heading1"/>
        <w:rPr>
          <w:lang w:val="es-ES_tradnl"/>
        </w:rPr>
      </w:pPr>
      <w:r w:rsidRPr="00CF2F04">
        <w:rPr>
          <w:lang w:val="es-ES_tradnl"/>
        </w:rPr>
        <w:t>6</w:t>
      </w:r>
      <w:r w:rsidRPr="00CF2F04">
        <w:rPr>
          <w:lang w:val="es-ES_tradnl"/>
        </w:rPr>
        <w:tab/>
      </w:r>
      <w:r w:rsidR="00FD4B0B" w:rsidRPr="00CF2F04">
        <w:rPr>
          <w:lang w:val="es-ES_tradnl"/>
        </w:rPr>
        <w:t>Participación de las PYME en los trabajos d</w:t>
      </w:r>
      <w:r w:rsidR="0014705B">
        <w:rPr>
          <w:lang w:val="es-ES_tradnl"/>
        </w:rPr>
        <w:t>e las Comisiones de Estudio del </w:t>
      </w:r>
      <w:r w:rsidR="00FD4B0B" w:rsidRPr="00CF2F04">
        <w:rPr>
          <w:lang w:val="es-ES_tradnl"/>
        </w:rPr>
        <w:t>U</w:t>
      </w:r>
      <w:r w:rsidR="0014705B">
        <w:rPr>
          <w:lang w:val="es-ES_tradnl"/>
        </w:rPr>
        <w:t>IT-D</w:t>
      </w:r>
    </w:p>
    <w:p w:rsidR="00C50167" w:rsidRPr="00CF2F04" w:rsidRDefault="00FD4B0B" w:rsidP="00CF2F04">
      <w:pPr>
        <w:spacing w:after="120"/>
        <w:rPr>
          <w:rFonts w:eastAsia="Batang"/>
          <w:lang w:val="es-ES_tradnl"/>
        </w:rPr>
      </w:pPr>
      <w:r w:rsidRPr="00CF2F04">
        <w:rPr>
          <w:rFonts w:eastAsia="Batang"/>
          <w:szCs w:val="24"/>
          <w:lang w:val="es-ES_tradnl"/>
        </w:rPr>
        <w:t xml:space="preserve">Las dos Comisiones de Estudio del UIT-D acordaron seguir adelante con la ejecución del proyecto piloto iniciado por el Consejo en 2017 para la participación de las PYME en las Comisiones de Estudio de la UIT. En 2018, siete PYME han participado en las actividades y reuniones de las CE 1 y CE 2 del UIT-D mediante el proyecto piloto con el apoyo de sus administraciones. Muchos de estos participantes en el proyecto piloto para PYME también han presentado contribuciones a las reuniones. Aspectos tales como la computación en la nube, el acceso rural, la </w:t>
      </w:r>
      <w:proofErr w:type="spellStart"/>
      <w:r w:rsidRPr="00CF2F04">
        <w:rPr>
          <w:rFonts w:eastAsia="Batang"/>
          <w:szCs w:val="24"/>
          <w:lang w:val="es-ES_tradnl"/>
        </w:rPr>
        <w:t>ciberseguridad</w:t>
      </w:r>
      <w:proofErr w:type="spellEnd"/>
      <w:r w:rsidRPr="00CF2F04">
        <w:rPr>
          <w:rFonts w:eastAsia="Batang"/>
          <w:szCs w:val="24"/>
          <w:lang w:val="es-ES_tradnl"/>
        </w:rPr>
        <w:t xml:space="preserve"> y las aplicaciones de las TIC han sido de especial interés para estas PYME. En la Conferencia de Plenipotenciarios se llevó a cabo una evaluación del proyecto piloto. El Grupo de Trabajo del Consejo sobre Recursos Humanos y Financieros (GTC-RHF), que se reunió los días 29 y 30 de enero de 2019, recomienda que el Consejo prorrogue el actual proyecto piloto para las PYME hasta el 31 de enero de 2020 para facilitar la transición hacia la aplicación de la nueva Resolución 209 (Dubái,</w:t>
      </w:r>
      <w:r w:rsidR="0014705B">
        <w:rPr>
          <w:rFonts w:eastAsia="Batang"/>
          <w:szCs w:val="24"/>
          <w:lang w:val="es-ES_tradnl"/>
        </w:rPr>
        <w:t> </w:t>
      </w:r>
      <w:r w:rsidRPr="00CF2F04">
        <w:rPr>
          <w:rFonts w:eastAsia="Batang"/>
          <w:szCs w:val="24"/>
          <w:lang w:val="es-ES_tradnl"/>
        </w:rPr>
        <w:t xml:space="preserve">2018) de la Conferencia de Plenipotenciarias sobre el </w:t>
      </w:r>
      <w:r w:rsidR="00CF2F04">
        <w:rPr>
          <w:szCs w:val="24"/>
          <w:lang w:val="es-ES_tradnl"/>
        </w:rPr>
        <w:t>"</w:t>
      </w:r>
      <w:r w:rsidR="008B6505" w:rsidRPr="00CF2F04">
        <w:rPr>
          <w:szCs w:val="24"/>
          <w:lang w:val="es-ES_tradnl"/>
        </w:rPr>
        <w:t>Fomento de la participación de pequeñas y medianas empresas en los trabajos de la Unión</w:t>
      </w:r>
      <w:r w:rsidR="00C50167" w:rsidRPr="00CF2F04">
        <w:rPr>
          <w:szCs w:val="24"/>
          <w:lang w:val="es-ES_tradnl"/>
        </w:rPr>
        <w:t>.</w:t>
      </w:r>
      <w:r w:rsidR="00CF2F04">
        <w:rPr>
          <w:szCs w:val="24"/>
          <w:lang w:val="es-ES_tradnl"/>
        </w:rPr>
        <w:t>"</w:t>
      </w:r>
    </w:p>
    <w:p w:rsidR="00C50167" w:rsidRPr="00CF2F04" w:rsidRDefault="008B6505" w:rsidP="00FD4B0B">
      <w:pPr>
        <w:pStyle w:val="Heading1"/>
        <w:rPr>
          <w:lang w:val="es-ES_tradnl"/>
        </w:rPr>
      </w:pPr>
      <w:r w:rsidRPr="00CF2F04">
        <w:rPr>
          <w:lang w:val="es-ES_tradnl"/>
        </w:rPr>
        <w:t>7</w:t>
      </w:r>
      <w:r w:rsidRPr="00CF2F04">
        <w:rPr>
          <w:lang w:val="es-ES_tradnl"/>
        </w:rPr>
        <w:tab/>
      </w:r>
      <w:r w:rsidR="00FD4B0B" w:rsidRPr="00CF2F04">
        <w:rPr>
          <w:lang w:val="es-ES_tradnl"/>
        </w:rPr>
        <w:t>Herramientas de colaboración</w:t>
      </w:r>
    </w:p>
    <w:p w:rsidR="00C50167" w:rsidRPr="00CF2F04" w:rsidRDefault="00FD4B0B" w:rsidP="00201748">
      <w:pPr>
        <w:spacing w:after="120"/>
        <w:rPr>
          <w:szCs w:val="24"/>
          <w:lang w:val="es-ES_tradnl"/>
        </w:rPr>
      </w:pPr>
      <w:r w:rsidRPr="00CF2F04">
        <w:rPr>
          <w:szCs w:val="24"/>
          <w:lang w:val="es-ES_tradnl"/>
        </w:rPr>
        <w:t>De conformidad con el planteamiento expresado por la CMDT</w:t>
      </w:r>
      <w:r w:rsidR="00C50167" w:rsidRPr="00CF2F04">
        <w:rPr>
          <w:szCs w:val="24"/>
          <w:lang w:val="es-ES_tradnl"/>
        </w:rPr>
        <w:t xml:space="preserve">-17, </w:t>
      </w:r>
      <w:r w:rsidRPr="00CF2F04">
        <w:rPr>
          <w:szCs w:val="24"/>
          <w:lang w:val="es-ES_tradnl"/>
        </w:rPr>
        <w:t xml:space="preserve">se continuará mejorando y desarrollando las </w:t>
      </w:r>
      <w:hyperlink r:id="rId25" w:history="1">
        <w:r w:rsidRPr="00CF2F04">
          <w:rPr>
            <w:rStyle w:val="Hyperlink"/>
            <w:szCs w:val="24"/>
            <w:lang w:val="es-ES_tradnl"/>
          </w:rPr>
          <w:t>herramientas de colaboración</w:t>
        </w:r>
      </w:hyperlink>
      <w:r w:rsidR="00C50167" w:rsidRPr="00CF2F04">
        <w:rPr>
          <w:szCs w:val="24"/>
          <w:lang w:val="es-ES_tradnl"/>
        </w:rPr>
        <w:t xml:space="preserve"> </w:t>
      </w:r>
      <w:r w:rsidRPr="00CF2F04">
        <w:rPr>
          <w:szCs w:val="24"/>
          <w:lang w:val="es-ES_tradnl"/>
        </w:rPr>
        <w:t>para facilitar la participación electrónica entre colaboradores en el trabajo de las Comisiones de Estudio del U</w:t>
      </w:r>
      <w:r w:rsidR="00C50167" w:rsidRPr="00CF2F04">
        <w:rPr>
          <w:szCs w:val="24"/>
          <w:lang w:val="es-ES_tradnl"/>
        </w:rPr>
        <w:t xml:space="preserve">IT-D. </w:t>
      </w:r>
      <w:r w:rsidR="008B6505" w:rsidRPr="00CF2F04">
        <w:rPr>
          <w:lang w:val="es-ES_tradnl"/>
        </w:rPr>
        <w:t xml:space="preserve">Además de los servicios interactivos de participación a distancia y la transmisión en directo por Internet en los idiomas de cada reunión, los participantes y los miembros del equipo directivo disponen de listas de correo y sitios colaborativos SharePoint relativos a cada Comisión y Cuestión de Estudio. Las </w:t>
      </w:r>
      <w:hyperlink r:id="rId26" w:history="1">
        <w:r w:rsidR="008B6505" w:rsidRPr="00CF2F04">
          <w:rPr>
            <w:rStyle w:val="Hyperlink"/>
            <w:lang w:val="es-ES_tradnl"/>
          </w:rPr>
          <w:t>listas de correo</w:t>
        </w:r>
      </w:hyperlink>
      <w:r w:rsidR="008B6505" w:rsidRPr="00CF2F04">
        <w:rPr>
          <w:lang w:val="es-ES_tradnl"/>
        </w:rPr>
        <w:t xml:space="preserve"> permiten el intercambio de correos electrónicos entre expertos interesados en los temas objeto de estudio, al tiempo que los </w:t>
      </w:r>
      <w:hyperlink r:id="rId27" w:history="1">
        <w:r w:rsidR="008B6505" w:rsidRPr="00CF2F04">
          <w:rPr>
            <w:rStyle w:val="Hyperlink"/>
            <w:lang w:val="es-ES_tradnl"/>
          </w:rPr>
          <w:t>sitios colaborativos SharePoint</w:t>
        </w:r>
      </w:hyperlink>
      <w:r w:rsidR="008B6505" w:rsidRPr="00CF2F04">
        <w:rPr>
          <w:lang w:val="es-ES_tradnl"/>
        </w:rPr>
        <w:t xml:space="preserve"> proporcionan a los participantes un lugar de reunión virtual, con inclusión de un programa de actividades para las Comisiones de Estudio, anuncios y una zona de intercambio de documentos para facilitar los trabajos entre reuniones. </w:t>
      </w:r>
      <w:r w:rsidR="00201748" w:rsidRPr="00CF2F04">
        <w:rPr>
          <w:lang w:val="es-ES_tradnl"/>
        </w:rPr>
        <w:t xml:space="preserve">También existen sitios dedicados para cada Cuestión </w:t>
      </w:r>
      <w:r w:rsidR="00201748" w:rsidRPr="00CF2F04">
        <w:rPr>
          <w:szCs w:val="24"/>
          <w:lang w:val="es-ES_tradnl"/>
        </w:rPr>
        <w:t>así como una parte dedicada exclusivamente para los equipos directivos de las Comisiones de Estudio</w:t>
      </w:r>
      <w:r w:rsidR="00C50167" w:rsidRPr="00CF2F04">
        <w:rPr>
          <w:szCs w:val="24"/>
          <w:lang w:val="es-ES_tradnl"/>
        </w:rPr>
        <w:t xml:space="preserve">. </w:t>
      </w:r>
      <w:r w:rsidR="008B6505" w:rsidRPr="00CF2F04">
        <w:rPr>
          <w:lang w:val="es-ES_tradnl"/>
        </w:rPr>
        <w:t>Es necesario poseer una cuenta TIES activa para utilizar estos servicios. Se alienta a los participantes en las Comisiones de Estudio a examinar esos instrumentos y a formular las observaciones que estimen pertinentes a la secretaría con miras a contribuir a mejorar su labor.</w:t>
      </w:r>
    </w:p>
    <w:p w:rsidR="00C50167" w:rsidRPr="00CF2F04" w:rsidRDefault="005D1533" w:rsidP="00201748">
      <w:pPr>
        <w:pStyle w:val="Heading1"/>
        <w:rPr>
          <w:lang w:val="es-ES_tradnl"/>
        </w:rPr>
      </w:pPr>
      <w:r w:rsidRPr="00CF2F04">
        <w:rPr>
          <w:lang w:val="es-ES_tradnl"/>
        </w:rPr>
        <w:lastRenderedPageBreak/>
        <w:t>8</w:t>
      </w:r>
      <w:r w:rsidRPr="00CF2F04">
        <w:rPr>
          <w:lang w:val="es-ES_tradnl"/>
        </w:rPr>
        <w:tab/>
      </w:r>
      <w:r w:rsidR="00201748" w:rsidRPr="00CF2F04">
        <w:rPr>
          <w:lang w:val="es-ES_tradnl"/>
        </w:rPr>
        <w:t>Conclusión</w:t>
      </w:r>
      <w:r w:rsidR="00C50167" w:rsidRPr="00CF2F04">
        <w:rPr>
          <w:lang w:val="es-ES_tradnl"/>
        </w:rPr>
        <w:t xml:space="preserve"> </w:t>
      </w:r>
      <w:r w:rsidR="00201748" w:rsidRPr="00CF2F04">
        <w:rPr>
          <w:lang w:val="es-ES_tradnl"/>
        </w:rPr>
        <w:t>y próximas etapas</w:t>
      </w:r>
    </w:p>
    <w:p w:rsidR="00C50167" w:rsidRPr="00CF2F04" w:rsidRDefault="00201748" w:rsidP="00201748">
      <w:pPr>
        <w:spacing w:after="120"/>
        <w:rPr>
          <w:lang w:val="es-ES_tradnl"/>
        </w:rPr>
      </w:pPr>
      <w:r w:rsidRPr="00CF2F04">
        <w:rPr>
          <w:bCs/>
          <w:szCs w:val="24"/>
          <w:lang w:val="es-ES_tradnl"/>
        </w:rPr>
        <w:t>A fin de proseguir sus trabajos</w:t>
      </w:r>
      <w:r w:rsidR="00C50167" w:rsidRPr="00CF2F04">
        <w:rPr>
          <w:bCs/>
          <w:szCs w:val="24"/>
          <w:lang w:val="es-ES_tradnl"/>
        </w:rPr>
        <w:t xml:space="preserve">, </w:t>
      </w:r>
      <w:r w:rsidRPr="00CF2F04">
        <w:rPr>
          <w:bCs/>
          <w:szCs w:val="24"/>
          <w:lang w:val="es-ES_tradnl"/>
        </w:rPr>
        <w:t xml:space="preserve">la reunión de la Comisión de Estudio 1 de </w:t>
      </w:r>
      <w:r w:rsidR="00C50167" w:rsidRPr="00CF2F04">
        <w:rPr>
          <w:bCs/>
          <w:szCs w:val="24"/>
          <w:lang w:val="es-ES_tradnl"/>
        </w:rPr>
        <w:t xml:space="preserve">2019 </w:t>
      </w:r>
      <w:r w:rsidRPr="00CF2F04">
        <w:rPr>
          <w:bCs/>
          <w:szCs w:val="24"/>
          <w:lang w:val="es-ES_tradnl"/>
        </w:rPr>
        <w:t xml:space="preserve">tendrá lugar en Ginebra del </w:t>
      </w:r>
      <w:r w:rsidR="00C50167" w:rsidRPr="00CF2F04">
        <w:rPr>
          <w:bCs/>
          <w:szCs w:val="24"/>
          <w:lang w:val="es-ES_tradnl"/>
        </w:rPr>
        <w:t xml:space="preserve">18-22 </w:t>
      </w:r>
      <w:r w:rsidRPr="00CF2F04">
        <w:rPr>
          <w:bCs/>
          <w:szCs w:val="24"/>
          <w:lang w:val="es-ES_tradnl"/>
        </w:rPr>
        <w:t>de marzo y las reuniones de los Grupos de Relator</w:t>
      </w:r>
      <w:r w:rsidR="00C50167" w:rsidRPr="00CF2F04">
        <w:rPr>
          <w:bCs/>
          <w:szCs w:val="24"/>
          <w:lang w:val="es-ES_tradnl"/>
        </w:rPr>
        <w:t xml:space="preserve">, </w:t>
      </w:r>
      <w:r w:rsidRPr="00CF2F04">
        <w:rPr>
          <w:bCs/>
          <w:szCs w:val="24"/>
          <w:lang w:val="es-ES_tradnl"/>
        </w:rPr>
        <w:t xml:space="preserve">del </w:t>
      </w:r>
      <w:r w:rsidR="00C50167" w:rsidRPr="00CF2F04">
        <w:rPr>
          <w:bCs/>
          <w:szCs w:val="24"/>
          <w:lang w:val="es-ES_tradnl"/>
        </w:rPr>
        <w:t xml:space="preserve">23 </w:t>
      </w:r>
      <w:r w:rsidRPr="00CF2F04">
        <w:rPr>
          <w:bCs/>
          <w:szCs w:val="24"/>
          <w:lang w:val="es-ES_tradnl"/>
        </w:rPr>
        <w:t xml:space="preserve">de septiembre al </w:t>
      </w:r>
      <w:r w:rsidR="00C50167" w:rsidRPr="00CF2F04">
        <w:rPr>
          <w:bCs/>
          <w:szCs w:val="24"/>
          <w:lang w:val="es-ES_tradnl"/>
        </w:rPr>
        <w:t xml:space="preserve">18 </w:t>
      </w:r>
      <w:r w:rsidRPr="00CF2F04">
        <w:rPr>
          <w:bCs/>
          <w:szCs w:val="24"/>
          <w:lang w:val="es-ES_tradnl"/>
        </w:rPr>
        <w:t xml:space="preserve">de octubre de </w:t>
      </w:r>
      <w:r w:rsidR="00C50167" w:rsidRPr="00CF2F04">
        <w:rPr>
          <w:bCs/>
          <w:szCs w:val="24"/>
          <w:lang w:val="es-ES_tradnl"/>
        </w:rPr>
        <w:t>2019 (</w:t>
      </w:r>
      <w:hyperlink r:id="rId28" w:history="1">
        <w:r w:rsidR="00C50167" w:rsidRPr="00CF2F04">
          <w:rPr>
            <w:rStyle w:val="Hyperlink"/>
            <w:szCs w:val="24"/>
            <w:lang w:val="es-ES_tradnl"/>
          </w:rPr>
          <w:t>1/ADM/2(Rev.2)</w:t>
        </w:r>
      </w:hyperlink>
      <w:r w:rsidR="00C50167" w:rsidRPr="00CF2F04">
        <w:rPr>
          <w:bCs/>
          <w:szCs w:val="24"/>
          <w:lang w:val="es-ES_tradnl"/>
        </w:rPr>
        <w:t xml:space="preserve">). </w:t>
      </w:r>
      <w:r w:rsidR="005D1533" w:rsidRPr="00CF2F04">
        <w:rPr>
          <w:bCs/>
          <w:szCs w:val="24"/>
          <w:lang w:val="es-ES_tradnl"/>
        </w:rPr>
        <w:t xml:space="preserve">Al igual que durante el último periodo de estudio, las reuniones de los Grupos de Relator se han agrupado para que los Relatores, </w:t>
      </w:r>
      <w:proofErr w:type="spellStart"/>
      <w:r w:rsidR="005D1533" w:rsidRPr="00CF2F04">
        <w:rPr>
          <w:bCs/>
          <w:szCs w:val="24"/>
          <w:lang w:val="es-ES_tradnl"/>
        </w:rPr>
        <w:t>Vicerrelatores</w:t>
      </w:r>
      <w:proofErr w:type="spellEnd"/>
      <w:r w:rsidR="005D1533" w:rsidRPr="00CF2F04">
        <w:rPr>
          <w:bCs/>
          <w:szCs w:val="24"/>
          <w:lang w:val="es-ES_tradnl"/>
        </w:rPr>
        <w:t xml:space="preserve"> y participantes activos puedan asistir a más de una reunión, intercambiar ideas sobre distintos temas conexos, crear grupos de redacción y reunirse con sus Coordinadores, el personal de la BDT, y el Presidente y los Vicepresidentes de la Comisión de Estudio presentes.</w:t>
      </w:r>
    </w:p>
    <w:p w:rsidR="00C50167" w:rsidRPr="00CF2F04" w:rsidRDefault="00201748" w:rsidP="00201748">
      <w:pPr>
        <w:spacing w:after="120"/>
        <w:rPr>
          <w:bCs/>
          <w:szCs w:val="24"/>
          <w:lang w:val="es-ES_tradnl"/>
        </w:rPr>
      </w:pPr>
      <w:r w:rsidRPr="00CF2F04">
        <w:rPr>
          <w:bCs/>
          <w:szCs w:val="24"/>
          <w:lang w:val="es-ES_tradnl"/>
        </w:rPr>
        <w:t>Se seguirá procurando crear sinergias entre los temas de las Comisiones de Estudio y los talleres y seminarios celebrados en las regiones, como se estudió en 2018. Se invita a presentar propuestas para acoger actividades relacionadas con las Comisiones de Estudio del UIT-D, que se acogen con sumo agrado</w:t>
      </w:r>
      <w:r w:rsidR="00C50167" w:rsidRPr="00CF2F04">
        <w:rPr>
          <w:bCs/>
          <w:szCs w:val="24"/>
          <w:lang w:val="es-ES_tradnl"/>
        </w:rPr>
        <w:t>.</w:t>
      </w:r>
    </w:p>
    <w:p w:rsidR="005D1533" w:rsidRPr="00CF2F04" w:rsidRDefault="005D1533" w:rsidP="00184D13">
      <w:pPr>
        <w:overflowPunct/>
        <w:autoSpaceDE/>
        <w:autoSpaceDN/>
        <w:adjustRightInd/>
        <w:spacing w:before="0"/>
        <w:textAlignment w:val="auto"/>
        <w:rPr>
          <w:b/>
          <w:sz w:val="28"/>
          <w:lang w:val="es-ES_tradnl"/>
        </w:rPr>
      </w:pPr>
    </w:p>
    <w:p w:rsidR="005D1533" w:rsidRPr="00CF2F04" w:rsidRDefault="005D1533" w:rsidP="00184D13">
      <w:pPr>
        <w:pStyle w:val="Annextitle"/>
        <w:spacing w:before="120" w:after="0"/>
        <w:rPr>
          <w:lang w:val="es-ES_tradnl"/>
        </w:rPr>
        <w:sectPr w:rsidR="005D1533" w:rsidRPr="00CF2F04" w:rsidSect="003C4E3D">
          <w:headerReference w:type="default" r:id="rId29"/>
          <w:footerReference w:type="even" r:id="rId30"/>
          <w:footerReference w:type="default" r:id="rId31"/>
          <w:footerReference w:type="first" r:id="rId32"/>
          <w:pgSz w:w="11907" w:h="16840" w:code="9"/>
          <w:pgMar w:top="1440" w:right="1134" w:bottom="1134" w:left="1134" w:header="720" w:footer="720" w:gutter="0"/>
          <w:paperSrc w:first="7" w:other="7"/>
          <w:pgNumType w:start="1"/>
          <w:cols w:space="720"/>
          <w:titlePg/>
          <w:docGrid w:linePitch="326"/>
        </w:sectPr>
      </w:pPr>
    </w:p>
    <w:p w:rsidR="005D1533" w:rsidRPr="001704D7" w:rsidRDefault="005D1533" w:rsidP="00184D13">
      <w:pPr>
        <w:pStyle w:val="Annextitle"/>
        <w:spacing w:before="120" w:after="120"/>
        <w:rPr>
          <w:sz w:val="24"/>
          <w:szCs w:val="24"/>
          <w:lang w:val="en-GB"/>
        </w:rPr>
      </w:pPr>
      <w:r w:rsidRPr="001704D7">
        <w:rPr>
          <w:sz w:val="24"/>
          <w:szCs w:val="24"/>
          <w:lang w:val="en-GB"/>
        </w:rPr>
        <w:lastRenderedPageBreak/>
        <w:t>Annex 1: Appointed Chairman, Vice-Chairmen, Rapporteurs and Vice-Rapporteurs of ITU-D Study Group 1 Questions for the 2018-2021 period</w:t>
      </w:r>
    </w:p>
    <w:p w:rsidR="005D1533" w:rsidRPr="001704D7" w:rsidRDefault="005D1533" w:rsidP="00184D13">
      <w:pPr>
        <w:spacing w:after="120"/>
        <w:rPr>
          <w:bCs/>
          <w:szCs w:val="24"/>
          <w:lang w:val="en-GB"/>
        </w:rPr>
      </w:pPr>
      <w:r w:rsidRPr="001704D7">
        <w:rPr>
          <w:bCs/>
          <w:szCs w:val="24"/>
          <w:lang w:val="en-GB"/>
        </w:rPr>
        <w:t xml:space="preserve">Chairman and vice-chairmen (also available at: </w:t>
      </w:r>
      <w:hyperlink r:id="rId33" w:history="1">
        <w:r w:rsidRPr="001704D7">
          <w:rPr>
            <w:rStyle w:val="Hyperlink"/>
            <w:bCs/>
            <w:szCs w:val="24"/>
            <w:lang w:val="en-GB"/>
          </w:rPr>
          <w:t>https://www.itu.int/net4/ITU-D/CDS/sg/chairmen.asp?lg=1&amp;sp=2018</w:t>
        </w:r>
      </w:hyperlink>
      <w:r w:rsidRPr="001704D7">
        <w:rPr>
          <w:bCs/>
          <w:szCs w:val="24"/>
          <w:lang w:val="en-GB"/>
        </w:rPr>
        <w:t>)</w:t>
      </w:r>
    </w:p>
    <w:tbl>
      <w:tblPr>
        <w:tblW w:w="7549" w:type="dxa"/>
        <w:jc w:val="center"/>
        <w:tblCellMar>
          <w:left w:w="0" w:type="dxa"/>
          <w:right w:w="0" w:type="dxa"/>
        </w:tblCellMar>
        <w:tblLook w:val="04A0" w:firstRow="1" w:lastRow="0" w:firstColumn="1" w:lastColumn="0" w:noHBand="0" w:noVBand="1"/>
      </w:tblPr>
      <w:tblGrid>
        <w:gridCol w:w="1199"/>
        <w:gridCol w:w="6350"/>
      </w:tblGrid>
      <w:tr w:rsidR="005D1533" w:rsidRPr="00CF2F04" w:rsidTr="003C4E3D">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5D1533" w:rsidRPr="001704D7" w:rsidRDefault="005D1533" w:rsidP="00184D13">
            <w:pPr>
              <w:spacing w:before="0"/>
              <w:rPr>
                <w:bCs/>
                <w:sz w:val="22"/>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5D1533" w:rsidRPr="00CF2F04" w:rsidRDefault="005D1533" w:rsidP="00184D13">
            <w:pPr>
              <w:spacing w:before="0"/>
              <w:rPr>
                <w:bCs/>
                <w:sz w:val="22"/>
                <w:szCs w:val="22"/>
                <w:lang w:val="es-ES_tradnl"/>
              </w:rPr>
            </w:pPr>
            <w:r w:rsidRPr="00CF2F04">
              <w:rPr>
                <w:b/>
                <w:bCs/>
                <w:sz w:val="22"/>
                <w:szCs w:val="22"/>
                <w:lang w:val="es-ES_tradnl"/>
              </w:rPr>
              <w:t>ITU-D STUDY GROUP 1</w:t>
            </w:r>
          </w:p>
        </w:tc>
      </w:tr>
      <w:tr w:rsidR="005D1533" w:rsidRPr="00CF2F04" w:rsidTr="003C4E3D">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5D1533" w:rsidRPr="00CF2F04" w:rsidRDefault="005D1533" w:rsidP="00184D13">
            <w:pPr>
              <w:spacing w:before="0"/>
              <w:rPr>
                <w:bCs/>
                <w:sz w:val="22"/>
                <w:szCs w:val="22"/>
                <w:lang w:val="es-ES_tradnl"/>
              </w:rPr>
            </w:pPr>
            <w:proofErr w:type="spellStart"/>
            <w:r w:rsidRPr="00CF2F04">
              <w:rPr>
                <w:b/>
                <w:bCs/>
                <w:sz w:val="22"/>
                <w:szCs w:val="22"/>
                <w:lang w:val="es-ES_tradnl"/>
              </w:rPr>
              <w:t>Chairman</w:t>
            </w:r>
            <w:proofErr w:type="spellEnd"/>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D1533" w:rsidRPr="001704D7" w:rsidRDefault="005D1533" w:rsidP="00184D13">
            <w:pPr>
              <w:spacing w:before="0"/>
              <w:rPr>
                <w:bCs/>
                <w:sz w:val="22"/>
                <w:szCs w:val="22"/>
              </w:rPr>
            </w:pPr>
            <w:r w:rsidRPr="001704D7">
              <w:rPr>
                <w:bCs/>
                <w:sz w:val="22"/>
                <w:szCs w:val="22"/>
              </w:rPr>
              <w:t xml:space="preserve">Ms Regina Fleur </w:t>
            </w:r>
            <w:r w:rsidRPr="001704D7">
              <w:rPr>
                <w:bCs/>
                <w:caps/>
                <w:sz w:val="22"/>
                <w:szCs w:val="22"/>
              </w:rPr>
              <w:t>Assoumou BESSOU</w:t>
            </w:r>
            <w:r w:rsidRPr="001704D7">
              <w:rPr>
                <w:bCs/>
                <w:sz w:val="22"/>
                <w:szCs w:val="22"/>
              </w:rPr>
              <w:t xml:space="preserve"> (Côte d’Ivoire) </w:t>
            </w:r>
          </w:p>
        </w:tc>
      </w:tr>
      <w:tr w:rsidR="005D1533" w:rsidRPr="004D42A2" w:rsidTr="003C4E3D">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rsidR="005D1533" w:rsidRPr="00CF2F04" w:rsidRDefault="005D1533" w:rsidP="00184D13">
            <w:pPr>
              <w:spacing w:before="0"/>
              <w:rPr>
                <w:bCs/>
                <w:sz w:val="22"/>
                <w:szCs w:val="22"/>
                <w:lang w:val="es-ES_tradnl"/>
              </w:rPr>
            </w:pPr>
            <w:r w:rsidRPr="00CF2F04">
              <w:rPr>
                <w:b/>
                <w:bCs/>
                <w:sz w:val="22"/>
                <w:szCs w:val="22"/>
                <w:lang w:val="es-ES_tradnl"/>
              </w:rPr>
              <w:t>Vice-</w:t>
            </w:r>
            <w:proofErr w:type="spellStart"/>
            <w:r w:rsidRPr="00CF2F04">
              <w:rPr>
                <w:b/>
                <w:bCs/>
                <w:sz w:val="22"/>
                <w:szCs w:val="22"/>
                <w:lang w:val="es-ES_tradnl"/>
              </w:rPr>
              <w:t>Chairmen</w:t>
            </w:r>
            <w:proofErr w:type="spellEnd"/>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D1533" w:rsidRPr="001704D7" w:rsidRDefault="005D1533" w:rsidP="00184D13">
            <w:pPr>
              <w:spacing w:before="0"/>
              <w:rPr>
                <w:bCs/>
                <w:sz w:val="22"/>
                <w:szCs w:val="22"/>
                <w:lang w:val="en-GB"/>
              </w:rPr>
            </w:pPr>
            <w:r w:rsidRPr="001704D7">
              <w:rPr>
                <w:bCs/>
                <w:sz w:val="22"/>
                <w:szCs w:val="22"/>
                <w:lang w:val="en-GB"/>
              </w:rPr>
              <w:t xml:space="preserve">Mr Peter </w:t>
            </w:r>
            <w:proofErr w:type="spellStart"/>
            <w:r w:rsidRPr="001704D7">
              <w:rPr>
                <w:bCs/>
                <w:sz w:val="22"/>
                <w:szCs w:val="22"/>
                <w:lang w:val="en-GB"/>
              </w:rPr>
              <w:t>Ngwan</w:t>
            </w:r>
            <w:proofErr w:type="spellEnd"/>
            <w:r w:rsidRPr="001704D7">
              <w:rPr>
                <w:bCs/>
                <w:sz w:val="22"/>
                <w:szCs w:val="22"/>
                <w:lang w:val="en-GB"/>
              </w:rPr>
              <w:t xml:space="preserve"> MBENGIE (Cameroon)</w:t>
            </w:r>
          </w:p>
        </w:tc>
      </w:tr>
      <w:tr w:rsidR="005D1533" w:rsidRPr="004D42A2" w:rsidTr="003C4E3D">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5D1533" w:rsidRPr="001704D7" w:rsidRDefault="005D1533" w:rsidP="00184D13">
            <w:pPr>
              <w:spacing w:before="0"/>
              <w:rPr>
                <w:bCs/>
                <w:sz w:val="22"/>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D1533" w:rsidRPr="001704D7" w:rsidRDefault="005D1533" w:rsidP="00184D13">
            <w:pPr>
              <w:spacing w:before="0"/>
              <w:rPr>
                <w:bCs/>
                <w:sz w:val="22"/>
                <w:szCs w:val="22"/>
                <w:lang w:val="en-GB"/>
              </w:rPr>
            </w:pPr>
            <w:r w:rsidRPr="001704D7">
              <w:rPr>
                <w:bCs/>
                <w:sz w:val="22"/>
                <w:szCs w:val="22"/>
                <w:lang w:val="en-GB"/>
              </w:rPr>
              <w:t xml:space="preserve">Mr Amah </w:t>
            </w:r>
            <w:proofErr w:type="spellStart"/>
            <w:r w:rsidRPr="001704D7">
              <w:rPr>
                <w:bCs/>
                <w:sz w:val="22"/>
                <w:szCs w:val="22"/>
                <w:lang w:val="en-GB"/>
              </w:rPr>
              <w:t>Vinyo</w:t>
            </w:r>
            <w:proofErr w:type="spellEnd"/>
            <w:r w:rsidRPr="001704D7">
              <w:rPr>
                <w:bCs/>
                <w:sz w:val="22"/>
                <w:szCs w:val="22"/>
                <w:lang w:val="en-GB"/>
              </w:rPr>
              <w:t xml:space="preserve"> CAPO (Togo)</w:t>
            </w:r>
          </w:p>
        </w:tc>
      </w:tr>
      <w:tr w:rsidR="005D1533" w:rsidRPr="004D42A2" w:rsidTr="003C4E3D">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5D1533" w:rsidRPr="001704D7" w:rsidRDefault="005D1533" w:rsidP="00184D13">
            <w:pPr>
              <w:spacing w:before="0"/>
              <w:rPr>
                <w:bCs/>
                <w:sz w:val="22"/>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D1533" w:rsidRPr="001704D7" w:rsidRDefault="005D1533" w:rsidP="00184D13">
            <w:pPr>
              <w:spacing w:before="0"/>
              <w:rPr>
                <w:bCs/>
                <w:sz w:val="22"/>
                <w:szCs w:val="22"/>
                <w:lang w:val="en-GB"/>
              </w:rPr>
            </w:pPr>
            <w:r w:rsidRPr="001704D7">
              <w:rPr>
                <w:bCs/>
                <w:sz w:val="22"/>
                <w:szCs w:val="22"/>
                <w:lang w:val="en-GB"/>
              </w:rPr>
              <w:t xml:space="preserve">Mr Roberto </w:t>
            </w:r>
            <w:proofErr w:type="spellStart"/>
            <w:r w:rsidRPr="001704D7">
              <w:rPr>
                <w:bCs/>
                <w:sz w:val="22"/>
                <w:szCs w:val="22"/>
                <w:lang w:val="en-GB"/>
              </w:rPr>
              <w:t>Mitsuake</w:t>
            </w:r>
            <w:proofErr w:type="spellEnd"/>
            <w:r w:rsidRPr="001704D7">
              <w:rPr>
                <w:bCs/>
                <w:sz w:val="22"/>
                <w:szCs w:val="22"/>
                <w:lang w:val="en-GB"/>
              </w:rPr>
              <w:t xml:space="preserve"> HIRAYAMA (Brazil)</w:t>
            </w:r>
          </w:p>
        </w:tc>
      </w:tr>
      <w:tr w:rsidR="005D1533" w:rsidRPr="004D42A2" w:rsidTr="003C4E3D">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5D1533" w:rsidRPr="001704D7" w:rsidRDefault="005D1533" w:rsidP="00184D13">
            <w:pPr>
              <w:spacing w:before="0"/>
              <w:rPr>
                <w:bCs/>
                <w:sz w:val="22"/>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D1533" w:rsidRPr="00CF2F04" w:rsidRDefault="005D1533" w:rsidP="00184D13">
            <w:pPr>
              <w:spacing w:before="0"/>
              <w:rPr>
                <w:bCs/>
                <w:sz w:val="22"/>
                <w:szCs w:val="22"/>
                <w:lang w:val="es-ES_tradnl"/>
              </w:rPr>
            </w:pPr>
            <w:proofErr w:type="spellStart"/>
            <w:r w:rsidRPr="00CF2F04">
              <w:rPr>
                <w:bCs/>
                <w:sz w:val="22"/>
                <w:szCs w:val="22"/>
                <w:lang w:val="es-ES_tradnl"/>
              </w:rPr>
              <w:t>Mr</w:t>
            </w:r>
            <w:proofErr w:type="spellEnd"/>
            <w:r w:rsidRPr="00CF2F04">
              <w:rPr>
                <w:bCs/>
                <w:sz w:val="22"/>
                <w:szCs w:val="22"/>
                <w:lang w:val="es-ES_tradnl"/>
              </w:rPr>
              <w:t xml:space="preserve"> Víctor Antonio MARTÍNEZ SÁNCHEZ (Paraguay)</w:t>
            </w:r>
          </w:p>
        </w:tc>
      </w:tr>
      <w:tr w:rsidR="005D1533" w:rsidRPr="004D42A2" w:rsidTr="003C4E3D">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5D1533" w:rsidRPr="00CF2F04" w:rsidRDefault="005D1533" w:rsidP="00184D13">
            <w:pPr>
              <w:spacing w:before="0"/>
              <w:rPr>
                <w:bCs/>
                <w:sz w:val="22"/>
                <w:szCs w:val="22"/>
                <w:lang w:val="es-ES_tradnl"/>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D1533" w:rsidRPr="001704D7" w:rsidRDefault="005D1533" w:rsidP="00184D13">
            <w:pPr>
              <w:spacing w:before="0"/>
              <w:rPr>
                <w:bCs/>
                <w:sz w:val="22"/>
                <w:szCs w:val="22"/>
                <w:lang w:val="en-GB"/>
              </w:rPr>
            </w:pPr>
            <w:r w:rsidRPr="001704D7">
              <w:rPr>
                <w:bCs/>
                <w:sz w:val="22"/>
                <w:szCs w:val="22"/>
                <w:lang w:val="en-GB"/>
              </w:rPr>
              <w:t xml:space="preserve">Mr Ahmed Abdel Aziz GAD (Egypt) </w:t>
            </w:r>
          </w:p>
        </w:tc>
      </w:tr>
      <w:tr w:rsidR="005D1533" w:rsidRPr="004D42A2" w:rsidTr="003C4E3D">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5D1533" w:rsidRPr="001704D7" w:rsidRDefault="005D1533" w:rsidP="00184D13">
            <w:pPr>
              <w:spacing w:before="0"/>
              <w:rPr>
                <w:bCs/>
                <w:sz w:val="22"/>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D1533" w:rsidRPr="001704D7" w:rsidRDefault="005D1533" w:rsidP="00184D13">
            <w:pPr>
              <w:spacing w:before="0"/>
              <w:rPr>
                <w:bCs/>
                <w:sz w:val="22"/>
                <w:szCs w:val="22"/>
                <w:lang w:val="sv-SE"/>
              </w:rPr>
            </w:pPr>
            <w:r w:rsidRPr="001704D7">
              <w:rPr>
                <w:bCs/>
                <w:sz w:val="22"/>
                <w:szCs w:val="22"/>
                <w:lang w:val="sv-SE"/>
              </w:rPr>
              <w:t>Ms Sameera Belal Momen MOHAMMAD (Kuwait)</w:t>
            </w:r>
          </w:p>
        </w:tc>
      </w:tr>
      <w:tr w:rsidR="005D1533" w:rsidRPr="00CF2F04" w:rsidTr="003C4E3D">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5D1533" w:rsidRPr="001704D7" w:rsidRDefault="005D1533" w:rsidP="00184D13">
            <w:pPr>
              <w:spacing w:before="0"/>
              <w:rPr>
                <w:bCs/>
                <w:sz w:val="22"/>
                <w:szCs w:val="22"/>
                <w:lang w:val="sv-SE"/>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D1533" w:rsidRPr="00CF2F04" w:rsidRDefault="005D1533" w:rsidP="00184D13">
            <w:pPr>
              <w:spacing w:before="0"/>
              <w:rPr>
                <w:bCs/>
                <w:sz w:val="22"/>
                <w:szCs w:val="22"/>
                <w:lang w:val="es-ES_tradnl"/>
              </w:rPr>
            </w:pPr>
            <w:proofErr w:type="spellStart"/>
            <w:r w:rsidRPr="00CF2F04">
              <w:rPr>
                <w:bCs/>
                <w:sz w:val="22"/>
                <w:szCs w:val="22"/>
                <w:lang w:val="es-ES_tradnl"/>
              </w:rPr>
              <w:t>Mr</w:t>
            </w:r>
            <w:proofErr w:type="spellEnd"/>
            <w:r w:rsidRPr="00CF2F04">
              <w:rPr>
                <w:bCs/>
                <w:sz w:val="22"/>
                <w:szCs w:val="22"/>
                <w:lang w:val="es-ES_tradnl"/>
              </w:rPr>
              <w:t xml:space="preserve"> </w:t>
            </w:r>
            <w:proofErr w:type="spellStart"/>
            <w:r w:rsidRPr="00CF2F04">
              <w:rPr>
                <w:bCs/>
                <w:sz w:val="22"/>
                <w:szCs w:val="22"/>
                <w:lang w:val="es-ES_tradnl"/>
              </w:rPr>
              <w:t>Yasuhiko</w:t>
            </w:r>
            <w:proofErr w:type="spellEnd"/>
            <w:r w:rsidRPr="00CF2F04">
              <w:rPr>
                <w:bCs/>
                <w:sz w:val="22"/>
                <w:szCs w:val="22"/>
                <w:lang w:val="es-ES_tradnl"/>
              </w:rPr>
              <w:t xml:space="preserve"> KAWASUMI (</w:t>
            </w:r>
            <w:proofErr w:type="spellStart"/>
            <w:r w:rsidRPr="00CF2F04">
              <w:rPr>
                <w:bCs/>
                <w:sz w:val="22"/>
                <w:szCs w:val="22"/>
                <w:lang w:val="es-ES_tradnl"/>
              </w:rPr>
              <w:t>Japan</w:t>
            </w:r>
            <w:proofErr w:type="spellEnd"/>
            <w:r w:rsidRPr="00CF2F04">
              <w:rPr>
                <w:bCs/>
                <w:sz w:val="22"/>
                <w:szCs w:val="22"/>
                <w:lang w:val="es-ES_tradnl"/>
              </w:rPr>
              <w:t>)</w:t>
            </w:r>
          </w:p>
        </w:tc>
      </w:tr>
      <w:tr w:rsidR="005D1533" w:rsidRPr="004D42A2" w:rsidTr="003C4E3D">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5D1533" w:rsidRPr="00CF2F04" w:rsidRDefault="005D1533" w:rsidP="00184D13">
            <w:pPr>
              <w:spacing w:before="0"/>
              <w:rPr>
                <w:bCs/>
                <w:sz w:val="22"/>
                <w:szCs w:val="22"/>
                <w:lang w:val="es-ES_tradnl"/>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D1533" w:rsidRPr="001704D7" w:rsidRDefault="005D1533" w:rsidP="00184D13">
            <w:pPr>
              <w:spacing w:before="0"/>
              <w:rPr>
                <w:bCs/>
                <w:sz w:val="22"/>
                <w:szCs w:val="22"/>
                <w:lang w:val="en-GB"/>
              </w:rPr>
            </w:pPr>
            <w:r w:rsidRPr="001704D7">
              <w:rPr>
                <w:bCs/>
                <w:sz w:val="22"/>
                <w:szCs w:val="22"/>
                <w:lang w:val="en-GB"/>
              </w:rPr>
              <w:t xml:space="preserve">Mr </w:t>
            </w:r>
            <w:proofErr w:type="spellStart"/>
            <w:r w:rsidRPr="001704D7">
              <w:rPr>
                <w:bCs/>
                <w:sz w:val="22"/>
                <w:szCs w:val="22"/>
                <w:lang w:val="en-GB"/>
              </w:rPr>
              <w:t>Sangwon</w:t>
            </w:r>
            <w:proofErr w:type="spellEnd"/>
            <w:r w:rsidRPr="001704D7">
              <w:rPr>
                <w:bCs/>
                <w:sz w:val="22"/>
                <w:szCs w:val="22"/>
                <w:lang w:val="en-GB"/>
              </w:rPr>
              <w:t xml:space="preserve"> KO (Republic of Korea)</w:t>
            </w:r>
          </w:p>
        </w:tc>
      </w:tr>
      <w:tr w:rsidR="005D1533" w:rsidRPr="00CF2F04" w:rsidTr="003C4E3D">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5D1533" w:rsidRPr="001704D7" w:rsidRDefault="005D1533" w:rsidP="00184D13">
            <w:pPr>
              <w:spacing w:before="0"/>
              <w:rPr>
                <w:bCs/>
                <w:sz w:val="22"/>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D1533" w:rsidRPr="00CF2F04" w:rsidRDefault="005D1533" w:rsidP="00184D13">
            <w:pPr>
              <w:spacing w:before="0"/>
              <w:rPr>
                <w:bCs/>
                <w:sz w:val="22"/>
                <w:szCs w:val="22"/>
                <w:lang w:val="es-ES_tradnl"/>
              </w:rPr>
            </w:pPr>
            <w:proofErr w:type="spellStart"/>
            <w:r w:rsidRPr="00CF2F04">
              <w:rPr>
                <w:bCs/>
                <w:sz w:val="22"/>
                <w:szCs w:val="22"/>
                <w:lang w:val="es-ES_tradnl"/>
              </w:rPr>
              <w:t>Mr</w:t>
            </w:r>
            <w:proofErr w:type="spellEnd"/>
            <w:r w:rsidRPr="00CF2F04">
              <w:rPr>
                <w:bCs/>
                <w:sz w:val="22"/>
                <w:szCs w:val="22"/>
                <w:lang w:val="es-ES_tradnl"/>
              </w:rPr>
              <w:t xml:space="preserve"> </w:t>
            </w:r>
            <w:proofErr w:type="spellStart"/>
            <w:r w:rsidRPr="00CF2F04">
              <w:rPr>
                <w:bCs/>
                <w:sz w:val="22"/>
                <w:szCs w:val="22"/>
                <w:lang w:val="es-ES_tradnl"/>
              </w:rPr>
              <w:t>Almaz</w:t>
            </w:r>
            <w:proofErr w:type="spellEnd"/>
            <w:r w:rsidRPr="00CF2F04">
              <w:rPr>
                <w:bCs/>
                <w:sz w:val="22"/>
                <w:szCs w:val="22"/>
                <w:lang w:val="es-ES_tradnl"/>
              </w:rPr>
              <w:t xml:space="preserve"> TILENBAEV (</w:t>
            </w:r>
            <w:proofErr w:type="spellStart"/>
            <w:r w:rsidRPr="00CF2F04">
              <w:rPr>
                <w:bCs/>
                <w:sz w:val="22"/>
                <w:szCs w:val="22"/>
                <w:lang w:val="es-ES_tradnl"/>
              </w:rPr>
              <w:t>Kyrgyzstan</w:t>
            </w:r>
            <w:proofErr w:type="spellEnd"/>
            <w:r w:rsidRPr="00CF2F04">
              <w:rPr>
                <w:bCs/>
                <w:sz w:val="22"/>
                <w:szCs w:val="22"/>
                <w:lang w:val="es-ES_tradnl"/>
              </w:rPr>
              <w:t>)</w:t>
            </w:r>
          </w:p>
        </w:tc>
      </w:tr>
      <w:tr w:rsidR="005D1533" w:rsidRPr="00CF2F04" w:rsidTr="003C4E3D">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5D1533" w:rsidRPr="00CF2F04" w:rsidRDefault="005D1533" w:rsidP="00184D13">
            <w:pPr>
              <w:spacing w:before="0"/>
              <w:rPr>
                <w:bCs/>
                <w:sz w:val="22"/>
                <w:szCs w:val="22"/>
                <w:lang w:val="es-ES_tradnl"/>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D1533" w:rsidRPr="00CF2F04" w:rsidRDefault="005D1533" w:rsidP="00184D13">
            <w:pPr>
              <w:spacing w:before="0"/>
              <w:rPr>
                <w:bCs/>
                <w:sz w:val="22"/>
                <w:szCs w:val="22"/>
                <w:lang w:val="es-ES_tradnl"/>
              </w:rPr>
            </w:pPr>
            <w:proofErr w:type="spellStart"/>
            <w:r w:rsidRPr="00CF2F04">
              <w:rPr>
                <w:bCs/>
                <w:sz w:val="22"/>
                <w:szCs w:val="22"/>
                <w:lang w:val="es-ES_tradnl"/>
              </w:rPr>
              <w:t>Mr</w:t>
            </w:r>
            <w:proofErr w:type="spellEnd"/>
            <w:r w:rsidRPr="00CF2F04">
              <w:rPr>
                <w:bCs/>
                <w:sz w:val="22"/>
                <w:szCs w:val="22"/>
                <w:lang w:val="es-ES_tradnl"/>
              </w:rPr>
              <w:t xml:space="preserve"> </w:t>
            </w:r>
            <w:proofErr w:type="spellStart"/>
            <w:r w:rsidRPr="00CF2F04">
              <w:rPr>
                <w:bCs/>
                <w:sz w:val="22"/>
                <w:szCs w:val="22"/>
                <w:lang w:val="es-ES_tradnl"/>
              </w:rPr>
              <w:t>Vadym</w:t>
            </w:r>
            <w:proofErr w:type="spellEnd"/>
            <w:r w:rsidRPr="00CF2F04">
              <w:rPr>
                <w:bCs/>
                <w:sz w:val="22"/>
                <w:szCs w:val="22"/>
                <w:lang w:val="es-ES_tradnl"/>
              </w:rPr>
              <w:t xml:space="preserve"> KAPTUR (</w:t>
            </w:r>
            <w:proofErr w:type="spellStart"/>
            <w:r w:rsidRPr="00CF2F04">
              <w:rPr>
                <w:bCs/>
                <w:sz w:val="22"/>
                <w:szCs w:val="22"/>
                <w:lang w:val="es-ES_tradnl"/>
              </w:rPr>
              <w:t>Ukraine</w:t>
            </w:r>
            <w:proofErr w:type="spellEnd"/>
            <w:r w:rsidRPr="00CF2F04">
              <w:rPr>
                <w:bCs/>
                <w:sz w:val="22"/>
                <w:szCs w:val="22"/>
                <w:lang w:val="es-ES_tradnl"/>
              </w:rPr>
              <w:t>)</w:t>
            </w:r>
          </w:p>
        </w:tc>
      </w:tr>
      <w:tr w:rsidR="005D1533" w:rsidRPr="004D42A2" w:rsidTr="003C4E3D">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5D1533" w:rsidRPr="00CF2F04" w:rsidRDefault="005D1533" w:rsidP="00184D13">
            <w:pPr>
              <w:spacing w:before="0"/>
              <w:rPr>
                <w:bCs/>
                <w:sz w:val="22"/>
                <w:szCs w:val="22"/>
                <w:lang w:val="es-ES_tradnl"/>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D1533" w:rsidRPr="001704D7" w:rsidRDefault="005D1533" w:rsidP="00184D13">
            <w:pPr>
              <w:spacing w:before="0"/>
              <w:rPr>
                <w:bCs/>
                <w:sz w:val="22"/>
                <w:szCs w:val="22"/>
                <w:lang w:val="en-GB"/>
              </w:rPr>
            </w:pPr>
            <w:r w:rsidRPr="001704D7">
              <w:rPr>
                <w:bCs/>
                <w:sz w:val="22"/>
                <w:szCs w:val="22"/>
                <w:lang w:val="en-GB"/>
              </w:rPr>
              <w:t xml:space="preserve">Ms </w:t>
            </w:r>
            <w:proofErr w:type="spellStart"/>
            <w:r w:rsidRPr="001704D7">
              <w:rPr>
                <w:bCs/>
                <w:sz w:val="22"/>
                <w:szCs w:val="22"/>
                <w:lang w:val="en-GB"/>
              </w:rPr>
              <w:t>Amela</w:t>
            </w:r>
            <w:proofErr w:type="spellEnd"/>
            <w:r w:rsidRPr="001704D7">
              <w:rPr>
                <w:bCs/>
                <w:sz w:val="22"/>
                <w:szCs w:val="22"/>
                <w:lang w:val="en-GB"/>
              </w:rPr>
              <w:t xml:space="preserve"> ODOBASIC (Bosnia and Herzegovina)</w:t>
            </w:r>
          </w:p>
        </w:tc>
      </w:tr>
      <w:tr w:rsidR="005D1533" w:rsidRPr="004D42A2" w:rsidTr="003C4E3D">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5D1533" w:rsidRPr="001704D7" w:rsidRDefault="005D1533" w:rsidP="00184D13">
            <w:pPr>
              <w:spacing w:before="0"/>
              <w:rPr>
                <w:bCs/>
                <w:sz w:val="22"/>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D1533" w:rsidRPr="001704D7" w:rsidRDefault="005D1533" w:rsidP="00184D13">
            <w:pPr>
              <w:spacing w:before="0"/>
              <w:rPr>
                <w:bCs/>
                <w:sz w:val="22"/>
                <w:szCs w:val="22"/>
                <w:lang w:val="en-GB"/>
              </w:rPr>
            </w:pPr>
            <w:r w:rsidRPr="001704D7">
              <w:rPr>
                <w:bCs/>
                <w:sz w:val="22"/>
                <w:szCs w:val="22"/>
                <w:lang w:val="en-GB"/>
              </w:rPr>
              <w:t xml:space="preserve">Mr </w:t>
            </w:r>
            <w:proofErr w:type="spellStart"/>
            <w:r w:rsidRPr="001704D7">
              <w:rPr>
                <w:bCs/>
                <w:sz w:val="22"/>
                <w:szCs w:val="22"/>
                <w:lang w:val="en-GB"/>
              </w:rPr>
              <w:t>Krisztián</w:t>
            </w:r>
            <w:proofErr w:type="spellEnd"/>
            <w:r w:rsidRPr="001704D7">
              <w:rPr>
                <w:bCs/>
                <w:sz w:val="22"/>
                <w:szCs w:val="22"/>
                <w:lang w:val="en-GB"/>
              </w:rPr>
              <w:t xml:space="preserve"> STEFANICS (Hungary)</w:t>
            </w:r>
            <w:r w:rsidRPr="001704D7">
              <w:rPr>
                <w:bCs/>
                <w:i/>
                <w:iCs/>
                <w:sz w:val="22"/>
                <w:szCs w:val="22"/>
                <w:lang w:val="en-GB"/>
              </w:rPr>
              <w:t>(Stepped down in October 2018)</w:t>
            </w:r>
          </w:p>
        </w:tc>
      </w:tr>
    </w:tbl>
    <w:p w:rsidR="005D1533" w:rsidRPr="001704D7" w:rsidRDefault="005D1533" w:rsidP="00184D13">
      <w:pPr>
        <w:spacing w:after="120"/>
        <w:rPr>
          <w:bCs/>
          <w:szCs w:val="24"/>
          <w:lang w:val="en-GB"/>
        </w:rPr>
      </w:pPr>
    </w:p>
    <w:p w:rsidR="005D1533" w:rsidRPr="001704D7" w:rsidRDefault="005D1533" w:rsidP="00184D13">
      <w:pPr>
        <w:spacing w:after="120"/>
        <w:rPr>
          <w:bCs/>
          <w:szCs w:val="24"/>
          <w:lang w:val="en-GB"/>
        </w:rPr>
      </w:pPr>
      <w:r w:rsidRPr="001704D7">
        <w:rPr>
          <w:bCs/>
          <w:szCs w:val="24"/>
          <w:lang w:val="en-GB"/>
        </w:rPr>
        <w:t>List of (Co-</w:t>
      </w:r>
      <w:proofErr w:type="gramStart"/>
      <w:r w:rsidRPr="001704D7">
        <w:rPr>
          <w:bCs/>
          <w:szCs w:val="24"/>
          <w:lang w:val="en-GB"/>
        </w:rPr>
        <w:t>)Rapporteurs</w:t>
      </w:r>
      <w:proofErr w:type="gramEnd"/>
      <w:r w:rsidRPr="001704D7">
        <w:rPr>
          <w:bCs/>
          <w:szCs w:val="24"/>
          <w:lang w:val="en-GB"/>
        </w:rPr>
        <w:t xml:space="preserve"> and Vice-Rapporteurs (also available at: </w:t>
      </w:r>
      <w:hyperlink r:id="rId34" w:history="1">
        <w:r w:rsidRPr="001704D7">
          <w:rPr>
            <w:rStyle w:val="Hyperlink"/>
            <w:bCs/>
            <w:szCs w:val="24"/>
            <w:lang w:val="en-GB"/>
          </w:rPr>
          <w:t>https://www.itu.int/net4/ITU-D/CDS/sg/rapporteurs.asp?lg=1&amp;sp=2018</w:t>
        </w:r>
      </w:hyperlink>
      <w:r w:rsidRPr="001704D7">
        <w:rPr>
          <w:bCs/>
          <w:szCs w:val="24"/>
          <w:lang w:val="en-GB"/>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559"/>
        <w:gridCol w:w="1837"/>
        <w:gridCol w:w="568"/>
        <w:gridCol w:w="1843"/>
        <w:gridCol w:w="2407"/>
        <w:gridCol w:w="2582"/>
        <w:gridCol w:w="1814"/>
        <w:gridCol w:w="1945"/>
      </w:tblGrid>
      <w:tr w:rsidR="005D1533" w:rsidRPr="00CF2F04" w:rsidTr="003C4E3D">
        <w:trPr>
          <w:trHeight w:val="300"/>
          <w:tblHeader/>
        </w:trPr>
        <w:tc>
          <w:tcPr>
            <w:tcW w:w="536" w:type="pct"/>
            <w:shd w:val="clear" w:color="5B9BD5" w:fill="5B9BD5"/>
            <w:noWrap/>
            <w:vAlign w:val="bottom"/>
            <w:hideMark/>
          </w:tcPr>
          <w:p w:rsidR="005D1533" w:rsidRPr="00CF2F04" w:rsidRDefault="005D1533" w:rsidP="00184D13">
            <w:pPr>
              <w:overflowPunct/>
              <w:autoSpaceDE/>
              <w:autoSpaceDN/>
              <w:adjustRightInd/>
              <w:spacing w:before="0"/>
              <w:textAlignment w:val="auto"/>
              <w:rPr>
                <w:b/>
                <w:bCs/>
                <w:color w:val="FFFFFF"/>
                <w:sz w:val="22"/>
                <w:szCs w:val="22"/>
                <w:lang w:val="es-ES_tradnl" w:eastAsia="zh-CN"/>
              </w:rPr>
            </w:pPr>
            <w:r w:rsidRPr="00CF2F04">
              <w:rPr>
                <w:b/>
                <w:bCs/>
                <w:color w:val="FFFFFF"/>
                <w:sz w:val="22"/>
                <w:szCs w:val="22"/>
                <w:lang w:val="es-ES_tradnl" w:eastAsia="zh-CN"/>
              </w:rPr>
              <w:t xml:space="preserve">ITU-D </w:t>
            </w:r>
            <w:proofErr w:type="spellStart"/>
            <w:r w:rsidRPr="00CF2F04">
              <w:rPr>
                <w:b/>
                <w:bCs/>
                <w:color w:val="FFFFFF"/>
                <w:sz w:val="22"/>
                <w:szCs w:val="22"/>
                <w:lang w:val="es-ES_tradnl" w:eastAsia="zh-CN"/>
              </w:rPr>
              <w:t>Question</w:t>
            </w:r>
            <w:proofErr w:type="spellEnd"/>
          </w:p>
        </w:tc>
        <w:tc>
          <w:tcPr>
            <w:tcW w:w="631" w:type="pct"/>
            <w:shd w:val="clear" w:color="000000" w:fill="C00000"/>
            <w:noWrap/>
            <w:vAlign w:val="bottom"/>
            <w:hideMark/>
          </w:tcPr>
          <w:p w:rsidR="005D1533" w:rsidRPr="00CF2F04" w:rsidRDefault="005D1533" w:rsidP="00184D13">
            <w:pPr>
              <w:overflowPunct/>
              <w:autoSpaceDE/>
              <w:autoSpaceDN/>
              <w:adjustRightInd/>
              <w:spacing w:before="0"/>
              <w:textAlignment w:val="auto"/>
              <w:rPr>
                <w:b/>
                <w:bCs/>
                <w:color w:val="FFFFFF"/>
                <w:sz w:val="22"/>
                <w:szCs w:val="22"/>
                <w:lang w:val="es-ES_tradnl" w:eastAsia="zh-CN"/>
              </w:rPr>
            </w:pPr>
            <w:r w:rsidRPr="00CF2F04">
              <w:rPr>
                <w:b/>
                <w:bCs/>
                <w:color w:val="FFFFFF"/>
                <w:sz w:val="22"/>
                <w:szCs w:val="22"/>
                <w:lang w:val="es-ES_tradnl" w:eastAsia="zh-CN"/>
              </w:rPr>
              <w:t>Role</w:t>
            </w:r>
          </w:p>
        </w:tc>
        <w:tc>
          <w:tcPr>
            <w:tcW w:w="195" w:type="pct"/>
            <w:shd w:val="clear" w:color="5B9BD5" w:fill="5B9BD5"/>
            <w:noWrap/>
            <w:vAlign w:val="bottom"/>
            <w:hideMark/>
          </w:tcPr>
          <w:p w:rsidR="005D1533" w:rsidRPr="00CF2F04" w:rsidRDefault="005D1533" w:rsidP="00184D13">
            <w:pPr>
              <w:overflowPunct/>
              <w:autoSpaceDE/>
              <w:autoSpaceDN/>
              <w:adjustRightInd/>
              <w:spacing w:before="0"/>
              <w:textAlignment w:val="auto"/>
              <w:rPr>
                <w:b/>
                <w:bCs/>
                <w:color w:val="FFFFFF"/>
                <w:sz w:val="22"/>
                <w:szCs w:val="22"/>
                <w:lang w:val="es-ES_tradnl" w:eastAsia="zh-CN"/>
              </w:rPr>
            </w:pPr>
          </w:p>
        </w:tc>
        <w:tc>
          <w:tcPr>
            <w:tcW w:w="633" w:type="pct"/>
            <w:shd w:val="clear" w:color="5B9BD5" w:fill="5B9BD5"/>
            <w:noWrap/>
            <w:vAlign w:val="bottom"/>
            <w:hideMark/>
          </w:tcPr>
          <w:p w:rsidR="005D1533" w:rsidRPr="00CF2F04" w:rsidRDefault="005D1533" w:rsidP="00184D13">
            <w:pPr>
              <w:overflowPunct/>
              <w:autoSpaceDE/>
              <w:autoSpaceDN/>
              <w:adjustRightInd/>
              <w:spacing w:before="0"/>
              <w:textAlignment w:val="auto"/>
              <w:rPr>
                <w:b/>
                <w:bCs/>
                <w:color w:val="FFFFFF"/>
                <w:sz w:val="22"/>
                <w:szCs w:val="22"/>
                <w:lang w:val="es-ES_tradnl" w:eastAsia="zh-CN"/>
              </w:rPr>
            </w:pPr>
            <w:proofErr w:type="spellStart"/>
            <w:r w:rsidRPr="00CF2F04">
              <w:rPr>
                <w:b/>
                <w:bCs/>
                <w:color w:val="FFFFFF"/>
                <w:sz w:val="22"/>
                <w:szCs w:val="22"/>
                <w:lang w:val="es-ES_tradnl" w:eastAsia="zh-CN"/>
              </w:rPr>
              <w:t>Firstname</w:t>
            </w:r>
            <w:proofErr w:type="spellEnd"/>
          </w:p>
        </w:tc>
        <w:tc>
          <w:tcPr>
            <w:tcW w:w="827" w:type="pct"/>
            <w:shd w:val="clear" w:color="5B9BD5" w:fill="5B9BD5"/>
            <w:noWrap/>
            <w:vAlign w:val="bottom"/>
            <w:hideMark/>
          </w:tcPr>
          <w:p w:rsidR="005D1533" w:rsidRPr="00CF2F04" w:rsidRDefault="005D1533" w:rsidP="00184D13">
            <w:pPr>
              <w:overflowPunct/>
              <w:autoSpaceDE/>
              <w:autoSpaceDN/>
              <w:adjustRightInd/>
              <w:spacing w:before="0"/>
              <w:textAlignment w:val="auto"/>
              <w:rPr>
                <w:b/>
                <w:bCs/>
                <w:color w:val="FFFFFF"/>
                <w:sz w:val="22"/>
                <w:szCs w:val="22"/>
                <w:lang w:val="es-ES_tradnl" w:eastAsia="zh-CN"/>
              </w:rPr>
            </w:pPr>
            <w:proofErr w:type="spellStart"/>
            <w:r w:rsidRPr="00CF2F04">
              <w:rPr>
                <w:b/>
                <w:bCs/>
                <w:color w:val="FFFFFF"/>
                <w:sz w:val="22"/>
                <w:szCs w:val="22"/>
                <w:lang w:val="es-ES_tradnl" w:eastAsia="zh-CN"/>
              </w:rPr>
              <w:t>Lastname</w:t>
            </w:r>
            <w:proofErr w:type="spellEnd"/>
          </w:p>
        </w:tc>
        <w:tc>
          <w:tcPr>
            <w:tcW w:w="887" w:type="pct"/>
            <w:shd w:val="clear" w:color="5B9BD5" w:fill="5B9BD5"/>
            <w:noWrap/>
            <w:vAlign w:val="bottom"/>
            <w:hideMark/>
          </w:tcPr>
          <w:p w:rsidR="005D1533" w:rsidRPr="00CF2F04" w:rsidRDefault="005D1533" w:rsidP="00184D13">
            <w:pPr>
              <w:overflowPunct/>
              <w:autoSpaceDE/>
              <w:autoSpaceDN/>
              <w:adjustRightInd/>
              <w:spacing w:before="0"/>
              <w:textAlignment w:val="auto"/>
              <w:rPr>
                <w:b/>
                <w:bCs/>
                <w:color w:val="FFFFFF"/>
                <w:sz w:val="22"/>
                <w:szCs w:val="22"/>
                <w:lang w:val="es-ES_tradnl" w:eastAsia="zh-CN"/>
              </w:rPr>
            </w:pPr>
            <w:r w:rsidRPr="00CF2F04">
              <w:rPr>
                <w:b/>
                <w:bCs/>
                <w:color w:val="FFFFFF"/>
                <w:sz w:val="22"/>
                <w:szCs w:val="22"/>
                <w:lang w:val="es-ES_tradnl" w:eastAsia="zh-CN"/>
              </w:rPr>
              <w:t>Country</w:t>
            </w:r>
          </w:p>
        </w:tc>
        <w:tc>
          <w:tcPr>
            <w:tcW w:w="623" w:type="pct"/>
            <w:shd w:val="clear" w:color="5B9BD5" w:fill="5B9BD5"/>
            <w:noWrap/>
            <w:vAlign w:val="bottom"/>
            <w:hideMark/>
          </w:tcPr>
          <w:p w:rsidR="005D1533" w:rsidRPr="00CF2F04" w:rsidRDefault="005D1533" w:rsidP="00184D13">
            <w:pPr>
              <w:overflowPunct/>
              <w:autoSpaceDE/>
              <w:autoSpaceDN/>
              <w:adjustRightInd/>
              <w:spacing w:before="0"/>
              <w:textAlignment w:val="auto"/>
              <w:rPr>
                <w:b/>
                <w:bCs/>
                <w:color w:val="FFFFFF"/>
                <w:sz w:val="22"/>
                <w:szCs w:val="22"/>
                <w:lang w:val="es-ES_tradnl" w:eastAsia="zh-CN"/>
              </w:rPr>
            </w:pPr>
            <w:proofErr w:type="spellStart"/>
            <w:r w:rsidRPr="00CF2F04">
              <w:rPr>
                <w:b/>
                <w:bCs/>
                <w:color w:val="FFFFFF"/>
                <w:sz w:val="22"/>
                <w:szCs w:val="22"/>
                <w:lang w:val="es-ES_tradnl" w:eastAsia="zh-CN"/>
              </w:rPr>
              <w:t>Region</w:t>
            </w:r>
            <w:proofErr w:type="spellEnd"/>
          </w:p>
        </w:tc>
        <w:tc>
          <w:tcPr>
            <w:tcW w:w="668" w:type="pct"/>
            <w:shd w:val="clear" w:color="5B9BD5" w:fill="5B9BD5"/>
            <w:noWrap/>
            <w:vAlign w:val="bottom"/>
            <w:hideMark/>
          </w:tcPr>
          <w:p w:rsidR="005D1533" w:rsidRPr="00CF2F04" w:rsidRDefault="005D1533" w:rsidP="00184D13">
            <w:pPr>
              <w:overflowPunct/>
              <w:autoSpaceDE/>
              <w:autoSpaceDN/>
              <w:adjustRightInd/>
              <w:spacing w:before="0"/>
              <w:textAlignment w:val="auto"/>
              <w:rPr>
                <w:b/>
                <w:bCs/>
                <w:color w:val="FFFFFF"/>
                <w:sz w:val="22"/>
                <w:szCs w:val="22"/>
                <w:lang w:val="es-ES_tradnl" w:eastAsia="zh-CN"/>
              </w:rPr>
            </w:pPr>
            <w:proofErr w:type="spellStart"/>
            <w:r w:rsidRPr="00CF2F04">
              <w:rPr>
                <w:b/>
                <w:bCs/>
                <w:color w:val="FFFFFF"/>
                <w:sz w:val="22"/>
                <w:szCs w:val="22"/>
                <w:lang w:val="es-ES_tradnl" w:eastAsia="zh-CN"/>
              </w:rPr>
              <w:t>Organization</w:t>
            </w:r>
            <w:proofErr w:type="spellEnd"/>
          </w:p>
        </w:tc>
      </w:tr>
      <w:tr w:rsidR="005D1533" w:rsidRPr="00CF2F04" w:rsidTr="003C4E3D">
        <w:trPr>
          <w:trHeight w:val="300"/>
        </w:trPr>
        <w:tc>
          <w:tcPr>
            <w:tcW w:w="536" w:type="pct"/>
            <w:shd w:val="clear" w:color="DDEBF7" w:fill="DDEBF7"/>
            <w:noWrap/>
            <w:vAlign w:val="center"/>
            <w:hideMark/>
          </w:tcPr>
          <w:p w:rsidR="005D1533" w:rsidRPr="00CF2F04" w:rsidRDefault="005D1533" w:rsidP="00184D13">
            <w:pPr>
              <w:overflowPunct/>
              <w:autoSpaceDE/>
              <w:autoSpaceDN/>
              <w:adjustRightInd/>
              <w:spacing w:before="0"/>
              <w:textAlignment w:val="auto"/>
              <w:rPr>
                <w:b/>
                <w:bCs/>
                <w:color w:val="000000"/>
                <w:sz w:val="22"/>
                <w:szCs w:val="22"/>
                <w:lang w:val="es-ES_tradnl" w:eastAsia="zh-CN"/>
              </w:rPr>
            </w:pPr>
            <w:proofErr w:type="spellStart"/>
            <w:r w:rsidRPr="00CF2F04">
              <w:rPr>
                <w:b/>
                <w:bCs/>
                <w:color w:val="000000"/>
                <w:sz w:val="22"/>
                <w:szCs w:val="22"/>
                <w:lang w:val="es-ES_tradnl" w:eastAsia="zh-CN"/>
              </w:rPr>
              <w:t>Question</w:t>
            </w:r>
            <w:proofErr w:type="spellEnd"/>
            <w:r w:rsidRPr="00CF2F04">
              <w:rPr>
                <w:b/>
                <w:bCs/>
                <w:color w:val="000000"/>
                <w:sz w:val="22"/>
                <w:szCs w:val="22"/>
                <w:lang w:val="es-ES_tradnl" w:eastAsia="zh-CN"/>
              </w:rPr>
              <w:t xml:space="preserve"> 1/1</w:t>
            </w:r>
          </w:p>
        </w:tc>
        <w:tc>
          <w:tcPr>
            <w:tcW w:w="631" w:type="pct"/>
            <w:shd w:val="clear" w:color="000000" w:fill="FFF2CC"/>
            <w:noWrap/>
            <w:vAlign w:val="center"/>
            <w:hideMark/>
          </w:tcPr>
          <w:p w:rsidR="005D1533" w:rsidRPr="00CF2F04" w:rsidRDefault="005D1533" w:rsidP="00184D13">
            <w:pPr>
              <w:overflowPunct/>
              <w:autoSpaceDE/>
              <w:autoSpaceDN/>
              <w:adjustRightInd/>
              <w:spacing w:before="0"/>
              <w:textAlignment w:val="auto"/>
              <w:rPr>
                <w:b/>
                <w:bCs/>
                <w:color w:val="000000"/>
                <w:sz w:val="22"/>
                <w:szCs w:val="22"/>
                <w:lang w:val="es-ES_tradnl" w:eastAsia="zh-CN"/>
              </w:rPr>
            </w:pPr>
            <w:r w:rsidRPr="00CF2F04">
              <w:rPr>
                <w:b/>
                <w:bCs/>
                <w:color w:val="000000"/>
                <w:sz w:val="22"/>
                <w:szCs w:val="22"/>
                <w:lang w:val="es-ES_tradnl" w:eastAsia="zh-CN"/>
              </w:rPr>
              <w:t>Co-</w:t>
            </w:r>
            <w:proofErr w:type="spellStart"/>
            <w:r w:rsidRPr="00CF2F04">
              <w:rPr>
                <w:b/>
                <w:bCs/>
                <w:color w:val="000000"/>
                <w:sz w:val="22"/>
                <w:szCs w:val="22"/>
                <w:lang w:val="es-ES_tradnl" w:eastAsia="zh-CN"/>
              </w:rPr>
              <w:t>Rapporteur</w:t>
            </w:r>
            <w:proofErr w:type="spellEnd"/>
          </w:p>
        </w:tc>
        <w:tc>
          <w:tcPr>
            <w:tcW w:w="195"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r w:rsidRPr="00CF2F04">
              <w:rPr>
                <w:color w:val="000000"/>
                <w:sz w:val="22"/>
                <w:szCs w:val="22"/>
                <w:lang w:val="es-ES_tradnl" w:eastAsia="zh-CN"/>
              </w:rPr>
              <w:t xml:space="preserve"> </w:t>
            </w:r>
          </w:p>
        </w:tc>
        <w:tc>
          <w:tcPr>
            <w:tcW w:w="633"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Fred </w:t>
            </w:r>
          </w:p>
        </w:tc>
        <w:tc>
          <w:tcPr>
            <w:tcW w:w="827"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Ongaro</w:t>
            </w:r>
            <w:proofErr w:type="spellEnd"/>
            <w:r w:rsidRPr="00CF2F04">
              <w:rPr>
                <w:color w:val="000000"/>
                <w:sz w:val="22"/>
                <w:szCs w:val="22"/>
                <w:lang w:val="es-ES_tradnl" w:eastAsia="zh-CN"/>
              </w:rPr>
              <w:t xml:space="preserve"> </w:t>
            </w:r>
          </w:p>
        </w:tc>
        <w:tc>
          <w:tcPr>
            <w:tcW w:w="887"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Kenya</w:t>
            </w:r>
            <w:proofErr w:type="spellEnd"/>
          </w:p>
        </w:tc>
        <w:tc>
          <w:tcPr>
            <w:tcW w:w="623"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DDEBF7" w:fill="DDEBF7"/>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30"/>
        </w:trPr>
        <w:tc>
          <w:tcPr>
            <w:tcW w:w="536" w:type="pct"/>
            <w:shd w:val="clear" w:color="auto" w:fill="auto"/>
            <w:noWrap/>
            <w:vAlign w:val="center"/>
            <w:hideMark/>
          </w:tcPr>
          <w:p w:rsidR="005D1533" w:rsidRPr="00CF2F04" w:rsidRDefault="005D1533" w:rsidP="00184D13">
            <w:pPr>
              <w:overflowPunct/>
              <w:autoSpaceDE/>
              <w:autoSpaceDN/>
              <w:adjustRightInd/>
              <w:spacing w:before="0"/>
              <w:textAlignment w:val="auto"/>
              <w:rPr>
                <w:b/>
                <w:bCs/>
                <w:color w:val="000000"/>
                <w:sz w:val="22"/>
                <w:szCs w:val="22"/>
                <w:lang w:val="es-ES_tradnl" w:eastAsia="zh-CN"/>
              </w:rPr>
            </w:pPr>
            <w:proofErr w:type="spellStart"/>
            <w:r w:rsidRPr="00CF2F04">
              <w:rPr>
                <w:b/>
                <w:bCs/>
                <w:color w:val="000000"/>
                <w:sz w:val="22"/>
                <w:szCs w:val="22"/>
                <w:lang w:val="es-ES_tradnl" w:eastAsia="zh-CN"/>
              </w:rPr>
              <w:t>Question</w:t>
            </w:r>
            <w:proofErr w:type="spellEnd"/>
            <w:r w:rsidRPr="00CF2F04">
              <w:rPr>
                <w:b/>
                <w:bCs/>
                <w:color w:val="000000"/>
                <w:sz w:val="22"/>
                <w:szCs w:val="22"/>
                <w:lang w:val="es-ES_tradnl" w:eastAsia="zh-CN"/>
              </w:rPr>
              <w:t xml:space="preserve"> 1/1</w:t>
            </w:r>
          </w:p>
        </w:tc>
        <w:tc>
          <w:tcPr>
            <w:tcW w:w="631" w:type="pct"/>
            <w:shd w:val="clear" w:color="000000" w:fill="FFF2CC"/>
            <w:noWrap/>
            <w:vAlign w:val="center"/>
            <w:hideMark/>
          </w:tcPr>
          <w:p w:rsidR="005D1533" w:rsidRPr="00CF2F04" w:rsidRDefault="005D1533" w:rsidP="00184D13">
            <w:pPr>
              <w:overflowPunct/>
              <w:autoSpaceDE/>
              <w:autoSpaceDN/>
              <w:adjustRightInd/>
              <w:spacing w:before="0"/>
              <w:textAlignment w:val="auto"/>
              <w:rPr>
                <w:b/>
                <w:bCs/>
                <w:color w:val="000000"/>
                <w:sz w:val="22"/>
                <w:szCs w:val="22"/>
                <w:lang w:val="es-ES_tradnl" w:eastAsia="zh-CN"/>
              </w:rPr>
            </w:pPr>
            <w:r w:rsidRPr="00CF2F04">
              <w:rPr>
                <w:b/>
                <w:bCs/>
                <w:color w:val="000000"/>
                <w:sz w:val="22"/>
                <w:szCs w:val="22"/>
                <w:lang w:val="es-ES_tradnl" w:eastAsia="zh-CN"/>
              </w:rPr>
              <w:t>Co-</w:t>
            </w:r>
            <w:proofErr w:type="spellStart"/>
            <w:r w:rsidRPr="00CF2F04">
              <w:rPr>
                <w:b/>
                <w:bCs/>
                <w:color w:val="000000"/>
                <w:sz w:val="22"/>
                <w:szCs w:val="22"/>
                <w:lang w:val="es-ES_tradnl" w:eastAsia="zh-CN"/>
              </w:rPr>
              <w:t>Rapporteur</w:t>
            </w:r>
            <w:proofErr w:type="spellEnd"/>
          </w:p>
        </w:tc>
        <w:tc>
          <w:tcPr>
            <w:tcW w:w="195" w:type="pct"/>
            <w:shd w:val="clear" w:color="auto" w:fill="auto"/>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r w:rsidRPr="00CF2F04">
              <w:rPr>
                <w:color w:val="000000"/>
                <w:sz w:val="22"/>
                <w:szCs w:val="22"/>
                <w:lang w:val="es-ES_tradnl" w:eastAsia="zh-CN"/>
              </w:rPr>
              <w:t xml:space="preserve"> </w:t>
            </w:r>
          </w:p>
        </w:tc>
        <w:tc>
          <w:tcPr>
            <w:tcW w:w="633" w:type="pct"/>
            <w:shd w:val="clear" w:color="auto" w:fill="auto"/>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Vadim</w:t>
            </w:r>
            <w:proofErr w:type="spellEnd"/>
            <w:r w:rsidRPr="00CF2F04">
              <w:rPr>
                <w:color w:val="000000"/>
                <w:sz w:val="22"/>
                <w:szCs w:val="22"/>
                <w:lang w:val="es-ES_tradnl" w:eastAsia="zh-CN"/>
              </w:rPr>
              <w:t xml:space="preserve"> </w:t>
            </w:r>
          </w:p>
        </w:tc>
        <w:tc>
          <w:tcPr>
            <w:tcW w:w="827" w:type="pct"/>
            <w:shd w:val="clear" w:color="auto" w:fill="auto"/>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Kaptur</w:t>
            </w:r>
            <w:proofErr w:type="spellEnd"/>
          </w:p>
        </w:tc>
        <w:tc>
          <w:tcPr>
            <w:tcW w:w="887" w:type="pct"/>
            <w:shd w:val="clear" w:color="auto" w:fill="auto"/>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Ukraine</w:t>
            </w:r>
            <w:proofErr w:type="spellEnd"/>
          </w:p>
        </w:tc>
        <w:tc>
          <w:tcPr>
            <w:tcW w:w="623" w:type="pct"/>
            <w:shd w:val="clear" w:color="auto" w:fill="auto"/>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CIS </w:t>
            </w:r>
            <w:proofErr w:type="spellStart"/>
            <w:r w:rsidRPr="00CF2F04">
              <w:rPr>
                <w:color w:val="000000"/>
                <w:sz w:val="22"/>
                <w:szCs w:val="22"/>
                <w:lang w:val="es-ES_tradnl" w:eastAsia="zh-CN"/>
              </w:rPr>
              <w:t>countries</w:t>
            </w:r>
            <w:proofErr w:type="spellEnd"/>
          </w:p>
        </w:tc>
        <w:tc>
          <w:tcPr>
            <w:tcW w:w="668" w:type="pct"/>
            <w:shd w:val="clear" w:color="auto" w:fill="auto"/>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Issoufi</w:t>
            </w:r>
            <w:proofErr w:type="spellEnd"/>
            <w:r w:rsidRPr="00CF2F04">
              <w:rPr>
                <w:color w:val="000000"/>
                <w:sz w:val="22"/>
                <w:szCs w:val="22"/>
                <w:lang w:val="es-ES_tradnl" w:eastAsia="zh-CN"/>
              </w:rPr>
              <w:t xml:space="preserve"> K.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Maiga</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Mali</w:t>
            </w:r>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Luc</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Servais</w:t>
            </w:r>
            <w:proofErr w:type="spellEnd"/>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Missidimbazi</w:t>
            </w:r>
            <w:proofErr w:type="spellEnd"/>
            <w:r w:rsidRPr="00CF2F04">
              <w:rPr>
                <w:color w:val="000000"/>
                <w:sz w:val="22"/>
                <w:szCs w:val="22"/>
                <w:lang w:val="es-ES_tradnl" w:eastAsia="zh-CN"/>
              </w:rPr>
              <w:t xml:space="preserve"> </w:t>
            </w:r>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Congo</w:t>
            </w:r>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285"/>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Charles </w:t>
            </w:r>
            <w:proofErr w:type="spellStart"/>
            <w:r w:rsidRPr="00CF2F04">
              <w:rPr>
                <w:color w:val="000000"/>
                <w:sz w:val="22"/>
                <w:szCs w:val="22"/>
                <w:lang w:val="es-ES_tradnl" w:eastAsia="zh-CN"/>
              </w:rPr>
              <w:t>Zoë</w:t>
            </w:r>
            <w:proofErr w:type="spellEnd"/>
            <w:r w:rsidRPr="00CF2F04">
              <w:rPr>
                <w:color w:val="000000"/>
                <w:sz w:val="22"/>
                <w:szCs w:val="22"/>
                <w:lang w:val="es-ES_tradnl" w:eastAsia="zh-CN"/>
              </w:rPr>
              <w:t xml:space="preserve">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Banga</w:t>
            </w:r>
            <w:proofErr w:type="spellEnd"/>
            <w:r w:rsidRPr="00CF2F04">
              <w:rPr>
                <w:color w:val="000000"/>
                <w:sz w:val="22"/>
                <w:szCs w:val="22"/>
                <w:lang w:val="es-ES_tradnl" w:eastAsia="zh-CN"/>
              </w:rPr>
              <w:t xml:space="preserve"> </w:t>
            </w:r>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Central </w:t>
            </w:r>
            <w:proofErr w:type="spellStart"/>
            <w:r w:rsidRPr="00CF2F04">
              <w:rPr>
                <w:color w:val="000000"/>
                <w:sz w:val="22"/>
                <w:szCs w:val="22"/>
                <w:lang w:val="es-ES_tradnl" w:eastAsia="zh-CN"/>
              </w:rPr>
              <w:t>African</w:t>
            </w:r>
            <w:proofErr w:type="spellEnd"/>
            <w:r w:rsidRPr="00CF2F04">
              <w:rPr>
                <w:color w:val="000000"/>
                <w:sz w:val="22"/>
                <w:szCs w:val="22"/>
                <w:lang w:val="es-ES_tradnl" w:eastAsia="zh-CN"/>
              </w:rPr>
              <w:t xml:space="preserve"> Rep.</w:t>
            </w:r>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Abdoulaye</w:t>
            </w:r>
            <w:proofErr w:type="spellEnd"/>
            <w:r w:rsidRPr="00CF2F04">
              <w:rPr>
                <w:color w:val="000000"/>
                <w:sz w:val="22"/>
                <w:szCs w:val="22"/>
                <w:lang w:val="es-ES_tradnl" w:eastAsia="zh-CN"/>
              </w:rPr>
              <w:t xml:space="preserve">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Ouedraogo</w:t>
            </w:r>
            <w:proofErr w:type="spellEnd"/>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Burkina Faso</w:t>
            </w:r>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Ms</w:t>
            </w:r>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Aminata</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Niang</w:t>
            </w:r>
            <w:proofErr w:type="spellEnd"/>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Diagne</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Senegal</w:t>
            </w:r>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r w:rsidRPr="00CF2F04">
              <w:rPr>
                <w:color w:val="000000"/>
                <w:sz w:val="22"/>
                <w:szCs w:val="22"/>
                <w:lang w:val="es-ES_tradnl" w:eastAsia="zh-CN"/>
              </w:rPr>
              <w:t xml:space="preserve"> </w:t>
            </w:r>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Jean Marie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Maignan</w:t>
            </w:r>
            <w:proofErr w:type="spellEnd"/>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Haiti</w:t>
            </w:r>
            <w:proofErr w:type="spellEnd"/>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Americas</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r w:rsidRPr="00CF2F04">
              <w:rPr>
                <w:color w:val="000000"/>
                <w:sz w:val="22"/>
                <w:szCs w:val="22"/>
                <w:lang w:val="es-ES_tradnl" w:eastAsia="zh-CN"/>
              </w:rPr>
              <w:t xml:space="preserve"> </w:t>
            </w:r>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Turhan</w:t>
            </w:r>
            <w:proofErr w:type="spellEnd"/>
            <w:r w:rsidRPr="00CF2F04">
              <w:rPr>
                <w:color w:val="000000"/>
                <w:sz w:val="22"/>
                <w:szCs w:val="22"/>
                <w:lang w:val="es-ES_tradnl" w:eastAsia="zh-CN"/>
              </w:rPr>
              <w:t xml:space="preserve">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Muluk</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United</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States</w:t>
            </w:r>
            <w:proofErr w:type="spellEnd"/>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Americas</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Intel </w:t>
            </w:r>
            <w:proofErr w:type="spellStart"/>
            <w:r w:rsidRPr="00CF2F04">
              <w:rPr>
                <w:color w:val="000000"/>
                <w:sz w:val="22"/>
                <w:szCs w:val="22"/>
                <w:lang w:val="es-ES_tradnl" w:eastAsia="zh-CN"/>
              </w:rPr>
              <w:t>Corporation</w:t>
            </w:r>
            <w:proofErr w:type="spellEnd"/>
          </w:p>
        </w:tc>
      </w:tr>
      <w:tr w:rsidR="005D1533" w:rsidRPr="00CF2F04" w:rsidTr="003C4E3D">
        <w:trPr>
          <w:trHeight w:val="319"/>
        </w:trPr>
        <w:tc>
          <w:tcPr>
            <w:tcW w:w="536" w:type="pct"/>
            <w:shd w:val="clear" w:color="auto" w:fill="auto"/>
            <w:noWrap/>
            <w:vAlign w:val="bottom"/>
          </w:tcPr>
          <w:p w:rsidR="005D1533" w:rsidRPr="00CF2F04" w:rsidRDefault="005D1533" w:rsidP="00184D13">
            <w:pPr>
              <w:overflowPunct/>
              <w:autoSpaceDE/>
              <w:autoSpaceDN/>
              <w:adjustRightInd/>
              <w:spacing w:before="0"/>
              <w:jc w:val="both"/>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jc w:val="both"/>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jc w:val="both"/>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auto" w:fill="auto"/>
            <w:noWrap/>
            <w:vAlign w:val="bottom"/>
            <w:hideMark/>
          </w:tcPr>
          <w:p w:rsidR="005D1533" w:rsidRPr="00CF2F04" w:rsidRDefault="005D1533" w:rsidP="00184D13">
            <w:pPr>
              <w:overflowPunct/>
              <w:autoSpaceDE/>
              <w:autoSpaceDN/>
              <w:adjustRightInd/>
              <w:spacing w:before="0"/>
              <w:jc w:val="both"/>
              <w:textAlignment w:val="auto"/>
              <w:rPr>
                <w:color w:val="000000"/>
                <w:sz w:val="22"/>
                <w:szCs w:val="22"/>
                <w:lang w:val="es-ES_tradnl" w:eastAsia="zh-CN"/>
              </w:rPr>
            </w:pPr>
            <w:r w:rsidRPr="00CF2F04">
              <w:rPr>
                <w:color w:val="000000"/>
                <w:sz w:val="22"/>
                <w:szCs w:val="22"/>
                <w:lang w:val="es-ES_tradnl" w:eastAsia="zh-CN"/>
              </w:rPr>
              <w:t xml:space="preserve">Mohamed Amine </w:t>
            </w:r>
          </w:p>
        </w:tc>
        <w:tc>
          <w:tcPr>
            <w:tcW w:w="827" w:type="pct"/>
            <w:shd w:val="clear" w:color="auto" w:fill="auto"/>
            <w:noWrap/>
            <w:vAlign w:val="bottom"/>
            <w:hideMark/>
          </w:tcPr>
          <w:p w:rsidR="005D1533" w:rsidRPr="00CF2F04" w:rsidRDefault="005D1533" w:rsidP="00184D13">
            <w:pPr>
              <w:overflowPunct/>
              <w:autoSpaceDE/>
              <w:autoSpaceDN/>
              <w:adjustRightInd/>
              <w:spacing w:before="0"/>
              <w:jc w:val="both"/>
              <w:textAlignment w:val="auto"/>
              <w:rPr>
                <w:color w:val="000000"/>
                <w:sz w:val="22"/>
                <w:szCs w:val="22"/>
                <w:lang w:val="es-ES_tradnl" w:eastAsia="zh-CN"/>
              </w:rPr>
            </w:pPr>
            <w:proofErr w:type="spellStart"/>
            <w:r w:rsidRPr="00CF2F04">
              <w:rPr>
                <w:color w:val="000000"/>
                <w:sz w:val="22"/>
                <w:szCs w:val="22"/>
                <w:lang w:val="es-ES_tradnl" w:eastAsia="zh-CN"/>
              </w:rPr>
              <w:t>Benziane</w:t>
            </w:r>
            <w:proofErr w:type="spellEnd"/>
          </w:p>
        </w:tc>
        <w:tc>
          <w:tcPr>
            <w:tcW w:w="887" w:type="pct"/>
            <w:shd w:val="clear" w:color="auto" w:fill="auto"/>
            <w:noWrap/>
            <w:vAlign w:val="bottom"/>
            <w:hideMark/>
          </w:tcPr>
          <w:p w:rsidR="005D1533" w:rsidRPr="00CF2F04" w:rsidRDefault="005D1533" w:rsidP="00184D13">
            <w:pPr>
              <w:overflowPunct/>
              <w:autoSpaceDE/>
              <w:autoSpaceDN/>
              <w:adjustRightInd/>
              <w:spacing w:before="0"/>
              <w:jc w:val="both"/>
              <w:textAlignment w:val="auto"/>
              <w:rPr>
                <w:color w:val="000000"/>
                <w:sz w:val="22"/>
                <w:szCs w:val="22"/>
                <w:lang w:val="es-ES_tradnl" w:eastAsia="zh-CN"/>
              </w:rPr>
            </w:pPr>
            <w:proofErr w:type="spellStart"/>
            <w:r w:rsidRPr="00CF2F04">
              <w:rPr>
                <w:color w:val="000000"/>
                <w:sz w:val="22"/>
                <w:szCs w:val="22"/>
                <w:lang w:val="es-ES_tradnl" w:eastAsia="zh-CN"/>
              </w:rPr>
              <w:t>Algeria</w:t>
            </w:r>
            <w:proofErr w:type="spellEnd"/>
          </w:p>
        </w:tc>
        <w:tc>
          <w:tcPr>
            <w:tcW w:w="623" w:type="pct"/>
            <w:shd w:val="clear" w:color="auto" w:fill="auto"/>
            <w:noWrap/>
            <w:vAlign w:val="bottom"/>
            <w:hideMark/>
          </w:tcPr>
          <w:p w:rsidR="005D1533" w:rsidRPr="00CF2F04" w:rsidRDefault="005D1533" w:rsidP="00184D13">
            <w:pPr>
              <w:overflowPunct/>
              <w:autoSpaceDE/>
              <w:autoSpaceDN/>
              <w:adjustRightInd/>
              <w:spacing w:before="0"/>
              <w:jc w:val="both"/>
              <w:textAlignment w:val="auto"/>
              <w:rPr>
                <w:color w:val="000000"/>
                <w:sz w:val="22"/>
                <w:szCs w:val="22"/>
                <w:lang w:val="es-ES_tradnl" w:eastAsia="zh-CN"/>
              </w:rPr>
            </w:pPr>
            <w:proofErr w:type="spellStart"/>
            <w:r w:rsidRPr="00CF2F04">
              <w:rPr>
                <w:color w:val="000000"/>
                <w:sz w:val="22"/>
                <w:szCs w:val="22"/>
                <w:lang w:val="es-ES_tradnl" w:eastAsia="zh-CN"/>
              </w:rPr>
              <w:t>Arab</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States</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jc w:val="both"/>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Karma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Jamyang</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Bhutan</w:t>
            </w:r>
            <w:proofErr w:type="spellEnd"/>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Asia &amp; </w:t>
            </w:r>
            <w:proofErr w:type="spellStart"/>
            <w:r w:rsidRPr="00CF2F04">
              <w:rPr>
                <w:color w:val="000000"/>
                <w:sz w:val="22"/>
                <w:szCs w:val="22"/>
                <w:lang w:val="es-ES_tradnl" w:eastAsia="zh-CN"/>
              </w:rPr>
              <w:t>Pacific</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Chunfei</w:t>
            </w:r>
            <w:proofErr w:type="spellEnd"/>
            <w:r w:rsidRPr="00CF2F04">
              <w:rPr>
                <w:color w:val="000000"/>
                <w:sz w:val="22"/>
                <w:szCs w:val="22"/>
                <w:lang w:val="es-ES_tradnl" w:eastAsia="zh-CN"/>
              </w:rPr>
              <w:t xml:space="preserve">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Zhang </w:t>
            </w:r>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China</w:t>
            </w:r>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Asia &amp; </w:t>
            </w:r>
            <w:proofErr w:type="spellStart"/>
            <w:r w:rsidRPr="00CF2F04">
              <w:rPr>
                <w:color w:val="000000"/>
                <w:sz w:val="22"/>
                <w:szCs w:val="22"/>
                <w:lang w:val="es-ES_tradnl" w:eastAsia="zh-CN"/>
              </w:rPr>
              <w:t>Pacific</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r w:rsidRPr="00CF2F04">
              <w:rPr>
                <w:color w:val="000000"/>
                <w:sz w:val="22"/>
                <w:szCs w:val="22"/>
                <w:lang w:val="es-ES_tradnl" w:eastAsia="zh-CN"/>
              </w:rPr>
              <w:t xml:space="preserve"> </w:t>
            </w:r>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Ümit</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Nevruz</w:t>
            </w:r>
            <w:proofErr w:type="spellEnd"/>
            <w:r w:rsidRPr="00CF2F04">
              <w:rPr>
                <w:color w:val="000000"/>
                <w:sz w:val="22"/>
                <w:szCs w:val="22"/>
                <w:lang w:val="es-ES_tradnl" w:eastAsia="zh-CN"/>
              </w:rPr>
              <w:t xml:space="preserve">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Özdemir</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Turkey</w:t>
            </w:r>
            <w:proofErr w:type="spellEnd"/>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Europe</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Türk</w:t>
            </w:r>
            <w:proofErr w:type="spellEnd"/>
            <w:r w:rsidRPr="00CF2F04">
              <w:rPr>
                <w:color w:val="000000"/>
                <w:sz w:val="22"/>
                <w:szCs w:val="22"/>
                <w:lang w:val="es-ES_tradnl" w:eastAsia="zh-CN"/>
              </w:rPr>
              <w:t xml:space="preserve"> Telekom</w:t>
            </w:r>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Ms</w:t>
            </w:r>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Jane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Coffin</w:t>
            </w:r>
            <w:proofErr w:type="spellEnd"/>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World</w:t>
            </w:r>
            <w:proofErr w:type="spellEnd"/>
            <w:r w:rsidRPr="00CF2F04">
              <w:rPr>
                <w:color w:val="000000"/>
                <w:sz w:val="22"/>
                <w:szCs w:val="22"/>
                <w:lang w:val="es-ES_tradnl" w:eastAsia="zh-CN"/>
              </w:rPr>
              <w:t>/</w:t>
            </w:r>
            <w:proofErr w:type="spellStart"/>
            <w:r w:rsidRPr="00CF2F04">
              <w:rPr>
                <w:color w:val="000000"/>
                <w:sz w:val="22"/>
                <w:szCs w:val="22"/>
                <w:lang w:val="es-ES_tradnl" w:eastAsia="zh-CN"/>
              </w:rPr>
              <w:t>Multi</w:t>
            </w:r>
            <w:proofErr w:type="spellEnd"/>
            <w:r w:rsidRPr="00CF2F04">
              <w:rPr>
                <w:color w:val="000000"/>
                <w:sz w:val="22"/>
                <w:szCs w:val="22"/>
                <w:lang w:val="es-ES_tradnl" w:eastAsia="zh-CN"/>
              </w:rPr>
              <w:t>-Regional</w:t>
            </w:r>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Internet </w:t>
            </w:r>
            <w:proofErr w:type="spellStart"/>
            <w:r w:rsidRPr="00CF2F04">
              <w:rPr>
                <w:color w:val="000000"/>
                <w:sz w:val="22"/>
                <w:szCs w:val="22"/>
                <w:lang w:val="es-ES_tradnl" w:eastAsia="zh-CN"/>
              </w:rPr>
              <w:t>Society</w:t>
            </w:r>
            <w:proofErr w:type="spellEnd"/>
            <w:r w:rsidRPr="00CF2F04">
              <w:rPr>
                <w:color w:val="000000"/>
                <w:sz w:val="22"/>
                <w:szCs w:val="22"/>
                <w:lang w:val="es-ES_tradnl" w:eastAsia="zh-CN"/>
              </w:rPr>
              <w:t xml:space="preserve"> (ISOC)</w:t>
            </w:r>
          </w:p>
        </w:tc>
      </w:tr>
      <w:tr w:rsidR="005D1533" w:rsidRPr="00CF2F04" w:rsidTr="003C4E3D">
        <w:trPr>
          <w:trHeight w:val="330"/>
        </w:trPr>
        <w:tc>
          <w:tcPr>
            <w:tcW w:w="536" w:type="pct"/>
            <w:shd w:val="clear" w:color="DDEBF7" w:fill="DDEBF7"/>
            <w:noWrap/>
            <w:vAlign w:val="center"/>
            <w:hideMark/>
          </w:tcPr>
          <w:p w:rsidR="005D1533" w:rsidRPr="00CF2F04" w:rsidRDefault="005D1533" w:rsidP="00184D13">
            <w:pPr>
              <w:overflowPunct/>
              <w:autoSpaceDE/>
              <w:autoSpaceDN/>
              <w:adjustRightInd/>
              <w:spacing w:before="0"/>
              <w:textAlignment w:val="auto"/>
              <w:rPr>
                <w:b/>
                <w:bCs/>
                <w:color w:val="000000"/>
                <w:sz w:val="22"/>
                <w:szCs w:val="22"/>
                <w:lang w:val="es-ES_tradnl" w:eastAsia="zh-CN"/>
              </w:rPr>
            </w:pPr>
            <w:proofErr w:type="spellStart"/>
            <w:r w:rsidRPr="00CF2F04">
              <w:rPr>
                <w:b/>
                <w:bCs/>
                <w:color w:val="000000"/>
                <w:sz w:val="22"/>
                <w:szCs w:val="22"/>
                <w:lang w:val="es-ES_tradnl" w:eastAsia="zh-CN"/>
              </w:rPr>
              <w:t>Question</w:t>
            </w:r>
            <w:proofErr w:type="spellEnd"/>
            <w:r w:rsidRPr="00CF2F04">
              <w:rPr>
                <w:b/>
                <w:bCs/>
                <w:color w:val="000000"/>
                <w:sz w:val="22"/>
                <w:szCs w:val="22"/>
                <w:lang w:val="es-ES_tradnl" w:eastAsia="zh-CN"/>
              </w:rPr>
              <w:t xml:space="preserve"> 2/1</w:t>
            </w:r>
          </w:p>
        </w:tc>
        <w:tc>
          <w:tcPr>
            <w:tcW w:w="631" w:type="pct"/>
            <w:shd w:val="clear" w:color="000000" w:fill="FFF2CC"/>
            <w:noWrap/>
            <w:vAlign w:val="center"/>
            <w:hideMark/>
          </w:tcPr>
          <w:p w:rsidR="005D1533" w:rsidRPr="00CF2F04" w:rsidRDefault="005D1533" w:rsidP="00184D13">
            <w:pPr>
              <w:overflowPunct/>
              <w:autoSpaceDE/>
              <w:autoSpaceDN/>
              <w:adjustRightInd/>
              <w:spacing w:before="0"/>
              <w:textAlignment w:val="auto"/>
              <w:rPr>
                <w:b/>
                <w:bCs/>
                <w:color w:val="000000"/>
                <w:sz w:val="22"/>
                <w:szCs w:val="22"/>
                <w:lang w:val="es-ES_tradnl" w:eastAsia="zh-CN"/>
              </w:rPr>
            </w:pPr>
            <w:proofErr w:type="spellStart"/>
            <w:r w:rsidRPr="00CF2F04">
              <w:rPr>
                <w:b/>
                <w:bCs/>
                <w:color w:val="000000"/>
                <w:sz w:val="22"/>
                <w:szCs w:val="22"/>
                <w:lang w:val="es-ES_tradnl" w:eastAsia="zh-CN"/>
              </w:rPr>
              <w:t>Rapporteur</w:t>
            </w:r>
            <w:proofErr w:type="spellEnd"/>
          </w:p>
        </w:tc>
        <w:tc>
          <w:tcPr>
            <w:tcW w:w="195"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Roberto </w:t>
            </w:r>
            <w:proofErr w:type="spellStart"/>
            <w:r w:rsidRPr="00CF2F04">
              <w:rPr>
                <w:color w:val="000000"/>
                <w:sz w:val="22"/>
                <w:szCs w:val="22"/>
                <w:lang w:val="es-ES_tradnl" w:eastAsia="zh-CN"/>
              </w:rPr>
              <w:t>Mitsuake</w:t>
            </w:r>
            <w:proofErr w:type="spellEnd"/>
            <w:r w:rsidRPr="00CF2F04">
              <w:rPr>
                <w:color w:val="000000"/>
                <w:sz w:val="22"/>
                <w:szCs w:val="22"/>
                <w:lang w:val="es-ES_tradnl" w:eastAsia="zh-CN"/>
              </w:rPr>
              <w:t xml:space="preserve"> </w:t>
            </w:r>
          </w:p>
        </w:tc>
        <w:tc>
          <w:tcPr>
            <w:tcW w:w="827"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Hirayama</w:t>
            </w:r>
            <w:proofErr w:type="spellEnd"/>
          </w:p>
        </w:tc>
        <w:tc>
          <w:tcPr>
            <w:tcW w:w="887"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Brazil</w:t>
            </w:r>
            <w:proofErr w:type="spellEnd"/>
          </w:p>
        </w:tc>
        <w:tc>
          <w:tcPr>
            <w:tcW w:w="623"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Americas</w:t>
            </w:r>
            <w:proofErr w:type="spellEnd"/>
          </w:p>
        </w:tc>
        <w:tc>
          <w:tcPr>
            <w:tcW w:w="668" w:type="pct"/>
            <w:shd w:val="clear" w:color="DDEBF7" w:fill="DDEBF7"/>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Siaka</w:t>
            </w:r>
            <w:proofErr w:type="spellEnd"/>
            <w:r w:rsidRPr="00CF2F04">
              <w:rPr>
                <w:color w:val="000000"/>
                <w:sz w:val="22"/>
                <w:szCs w:val="22"/>
                <w:lang w:val="es-ES_tradnl" w:eastAsia="zh-CN"/>
              </w:rPr>
              <w:t xml:space="preserve">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Coulibaly</w:t>
            </w:r>
            <w:proofErr w:type="spellEnd"/>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Mali</w:t>
            </w:r>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CF2F04" w:rsidP="00184D13">
            <w:pPr>
              <w:overflowPunct/>
              <w:autoSpaceDE/>
              <w:autoSpaceDN/>
              <w:adjustRightInd/>
              <w:spacing w:before="0"/>
              <w:textAlignment w:val="auto"/>
              <w:rPr>
                <w:color w:val="000000"/>
                <w:sz w:val="22"/>
                <w:szCs w:val="22"/>
                <w:lang w:val="es-ES_tradnl" w:eastAsia="zh-CN"/>
              </w:rPr>
            </w:pPr>
            <w:r>
              <w:rPr>
                <w:color w:val="000000"/>
                <w:sz w:val="22"/>
                <w:szCs w:val="22"/>
                <w:lang w:val="es-ES_tradnl" w:eastAsia="zh-CN"/>
              </w:rPr>
              <w:t>Hassan</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Issaka</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Chad</w:t>
            </w:r>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r w:rsidRPr="00CF2F04">
              <w:rPr>
                <w:color w:val="000000"/>
                <w:sz w:val="22"/>
                <w:szCs w:val="22"/>
                <w:lang w:val="es-ES_tradnl" w:eastAsia="zh-CN"/>
              </w:rPr>
              <w:t xml:space="preserve"> </w:t>
            </w:r>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Jean Marie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Maignan</w:t>
            </w:r>
            <w:proofErr w:type="spellEnd"/>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Haiti</w:t>
            </w:r>
            <w:proofErr w:type="spellEnd"/>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Americas</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Ms</w:t>
            </w:r>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Jinane</w:t>
            </w:r>
            <w:proofErr w:type="spellEnd"/>
            <w:r w:rsidRPr="00CF2F04">
              <w:rPr>
                <w:color w:val="000000"/>
                <w:sz w:val="22"/>
                <w:szCs w:val="22"/>
                <w:lang w:val="es-ES_tradnl" w:eastAsia="zh-CN"/>
              </w:rPr>
              <w:t xml:space="preserve">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Karam</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Lebanon</w:t>
            </w:r>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Arab</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States</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Gang</w:t>
            </w:r>
            <w:proofErr w:type="spellEnd"/>
            <w:r w:rsidRPr="00CF2F04">
              <w:rPr>
                <w:color w:val="000000"/>
                <w:sz w:val="22"/>
                <w:szCs w:val="22"/>
                <w:lang w:val="es-ES_tradnl" w:eastAsia="zh-CN"/>
              </w:rPr>
              <w:t xml:space="preserve">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Wu</w:t>
            </w:r>
            <w:proofErr w:type="spellEnd"/>
            <w:r w:rsidRPr="00CF2F04">
              <w:rPr>
                <w:color w:val="000000"/>
                <w:sz w:val="22"/>
                <w:szCs w:val="22"/>
                <w:lang w:val="es-ES_tradnl" w:eastAsia="zh-CN"/>
              </w:rPr>
              <w:t xml:space="preserve"> </w:t>
            </w:r>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China</w:t>
            </w:r>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Asia &amp; </w:t>
            </w:r>
            <w:proofErr w:type="spellStart"/>
            <w:r w:rsidRPr="00CF2F04">
              <w:rPr>
                <w:color w:val="000000"/>
                <w:sz w:val="22"/>
                <w:szCs w:val="22"/>
                <w:lang w:val="es-ES_tradnl" w:eastAsia="zh-CN"/>
              </w:rPr>
              <w:t>Pacific</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Gülcihan</w:t>
            </w:r>
            <w:proofErr w:type="spellEnd"/>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Kurnaz</w:t>
            </w:r>
            <w:proofErr w:type="spellEnd"/>
            <w:r w:rsidRPr="00CF2F04">
              <w:rPr>
                <w:color w:val="000000"/>
                <w:sz w:val="22"/>
                <w:szCs w:val="22"/>
                <w:lang w:val="es-ES_tradnl" w:eastAsia="zh-CN"/>
              </w:rPr>
              <w:t xml:space="preserve"> </w:t>
            </w:r>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Turkey</w:t>
            </w:r>
            <w:proofErr w:type="spellEnd"/>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Europe</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Türk</w:t>
            </w:r>
            <w:proofErr w:type="spellEnd"/>
            <w:r w:rsidRPr="00CF2F04">
              <w:rPr>
                <w:color w:val="000000"/>
                <w:sz w:val="22"/>
                <w:szCs w:val="22"/>
                <w:lang w:val="es-ES_tradnl" w:eastAsia="zh-CN"/>
              </w:rPr>
              <w:t xml:space="preserve"> Telekom</w:t>
            </w:r>
          </w:p>
        </w:tc>
      </w:tr>
      <w:tr w:rsidR="005D1533" w:rsidRPr="00CF2F04" w:rsidTr="003C4E3D">
        <w:trPr>
          <w:trHeight w:val="315"/>
        </w:trPr>
        <w:tc>
          <w:tcPr>
            <w:tcW w:w="536" w:type="pct"/>
            <w:shd w:val="clear" w:color="auto" w:fill="auto"/>
            <w:noWrap/>
            <w:vAlign w:val="center"/>
            <w:hideMark/>
          </w:tcPr>
          <w:p w:rsidR="005D1533" w:rsidRPr="00CF2F04" w:rsidRDefault="005D1533" w:rsidP="00184D13">
            <w:pPr>
              <w:overflowPunct/>
              <w:autoSpaceDE/>
              <w:autoSpaceDN/>
              <w:adjustRightInd/>
              <w:spacing w:before="0"/>
              <w:textAlignment w:val="auto"/>
              <w:rPr>
                <w:b/>
                <w:bCs/>
                <w:color w:val="000000"/>
                <w:sz w:val="22"/>
                <w:szCs w:val="22"/>
                <w:lang w:val="es-ES_tradnl" w:eastAsia="zh-CN"/>
              </w:rPr>
            </w:pPr>
            <w:proofErr w:type="spellStart"/>
            <w:r w:rsidRPr="00CF2F04">
              <w:rPr>
                <w:b/>
                <w:bCs/>
                <w:color w:val="000000"/>
                <w:sz w:val="22"/>
                <w:szCs w:val="22"/>
                <w:lang w:val="es-ES_tradnl" w:eastAsia="zh-CN"/>
              </w:rPr>
              <w:t>Question</w:t>
            </w:r>
            <w:proofErr w:type="spellEnd"/>
            <w:r w:rsidRPr="00CF2F04">
              <w:rPr>
                <w:b/>
                <w:bCs/>
                <w:color w:val="000000"/>
                <w:sz w:val="22"/>
                <w:szCs w:val="22"/>
                <w:lang w:val="es-ES_tradnl" w:eastAsia="zh-CN"/>
              </w:rPr>
              <w:t xml:space="preserve"> 3/1</w:t>
            </w:r>
          </w:p>
        </w:tc>
        <w:tc>
          <w:tcPr>
            <w:tcW w:w="631" w:type="pct"/>
            <w:shd w:val="clear" w:color="000000" w:fill="FFF2CC"/>
            <w:noWrap/>
            <w:vAlign w:val="center"/>
            <w:hideMark/>
          </w:tcPr>
          <w:p w:rsidR="005D1533" w:rsidRPr="00CF2F04" w:rsidRDefault="005D1533" w:rsidP="00184D13">
            <w:pPr>
              <w:overflowPunct/>
              <w:autoSpaceDE/>
              <w:autoSpaceDN/>
              <w:adjustRightInd/>
              <w:spacing w:before="0"/>
              <w:textAlignment w:val="auto"/>
              <w:rPr>
                <w:b/>
                <w:bCs/>
                <w:color w:val="000000"/>
                <w:sz w:val="22"/>
                <w:szCs w:val="22"/>
                <w:lang w:val="es-ES_tradnl" w:eastAsia="zh-CN"/>
              </w:rPr>
            </w:pPr>
            <w:proofErr w:type="spellStart"/>
            <w:r w:rsidRPr="00CF2F04">
              <w:rPr>
                <w:b/>
                <w:bCs/>
                <w:color w:val="000000"/>
                <w:sz w:val="22"/>
                <w:szCs w:val="22"/>
                <w:lang w:val="es-ES_tradnl" w:eastAsia="zh-CN"/>
              </w:rPr>
              <w:t>Rapporteur</w:t>
            </w:r>
            <w:proofErr w:type="spellEnd"/>
          </w:p>
        </w:tc>
        <w:tc>
          <w:tcPr>
            <w:tcW w:w="195" w:type="pct"/>
            <w:shd w:val="clear" w:color="auto" w:fill="auto"/>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auto" w:fill="auto"/>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Nasser</w:t>
            </w:r>
            <w:proofErr w:type="spellEnd"/>
          </w:p>
        </w:tc>
        <w:tc>
          <w:tcPr>
            <w:tcW w:w="827" w:type="pct"/>
            <w:shd w:val="clear" w:color="auto" w:fill="auto"/>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Kettani</w:t>
            </w:r>
            <w:proofErr w:type="spellEnd"/>
          </w:p>
        </w:tc>
        <w:tc>
          <w:tcPr>
            <w:tcW w:w="887" w:type="pct"/>
            <w:shd w:val="clear" w:color="auto" w:fill="auto"/>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United</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States</w:t>
            </w:r>
            <w:proofErr w:type="spellEnd"/>
          </w:p>
        </w:tc>
        <w:tc>
          <w:tcPr>
            <w:tcW w:w="623" w:type="pct"/>
            <w:shd w:val="clear" w:color="auto" w:fill="auto"/>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Americas</w:t>
            </w:r>
            <w:proofErr w:type="spellEnd"/>
          </w:p>
        </w:tc>
        <w:tc>
          <w:tcPr>
            <w:tcW w:w="668" w:type="pct"/>
            <w:shd w:val="clear" w:color="auto" w:fill="auto"/>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Charles </w:t>
            </w:r>
            <w:proofErr w:type="spellStart"/>
            <w:r w:rsidRPr="00CF2F04">
              <w:rPr>
                <w:color w:val="000000"/>
                <w:sz w:val="22"/>
                <w:szCs w:val="22"/>
                <w:lang w:val="es-ES_tradnl" w:eastAsia="zh-CN"/>
              </w:rPr>
              <w:t>Zoë</w:t>
            </w:r>
            <w:proofErr w:type="spellEnd"/>
            <w:r w:rsidRPr="00CF2F04">
              <w:rPr>
                <w:color w:val="000000"/>
                <w:sz w:val="22"/>
                <w:szCs w:val="22"/>
                <w:lang w:val="es-ES_tradnl" w:eastAsia="zh-CN"/>
              </w:rPr>
              <w:t xml:space="preserve">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Banga</w:t>
            </w:r>
            <w:proofErr w:type="spellEnd"/>
            <w:r w:rsidRPr="00CF2F04">
              <w:rPr>
                <w:color w:val="000000"/>
                <w:sz w:val="22"/>
                <w:szCs w:val="22"/>
                <w:lang w:val="es-ES_tradnl" w:eastAsia="zh-CN"/>
              </w:rPr>
              <w:t xml:space="preserve"> </w:t>
            </w:r>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Central </w:t>
            </w:r>
            <w:proofErr w:type="spellStart"/>
            <w:r w:rsidRPr="00CF2F04">
              <w:rPr>
                <w:color w:val="000000"/>
                <w:sz w:val="22"/>
                <w:szCs w:val="22"/>
                <w:lang w:val="es-ES_tradnl" w:eastAsia="zh-CN"/>
              </w:rPr>
              <w:t>African</w:t>
            </w:r>
            <w:proofErr w:type="spellEnd"/>
            <w:r w:rsidRPr="00CF2F04">
              <w:rPr>
                <w:color w:val="000000"/>
                <w:sz w:val="22"/>
                <w:szCs w:val="22"/>
                <w:lang w:val="es-ES_tradnl" w:eastAsia="zh-CN"/>
              </w:rPr>
              <w:t xml:space="preserve"> Rep.</w:t>
            </w:r>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Franklin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Makokha</w:t>
            </w:r>
            <w:proofErr w:type="spellEnd"/>
            <w:r w:rsidRPr="00CF2F04">
              <w:rPr>
                <w:color w:val="000000"/>
                <w:sz w:val="22"/>
                <w:szCs w:val="22"/>
                <w:lang w:val="es-ES_tradnl" w:eastAsia="zh-CN"/>
              </w:rPr>
              <w:t xml:space="preserve"> </w:t>
            </w:r>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Kenya</w:t>
            </w:r>
            <w:proofErr w:type="spellEnd"/>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Abdoulaye</w:t>
            </w:r>
            <w:proofErr w:type="spellEnd"/>
            <w:r w:rsidRPr="00CF2F04">
              <w:rPr>
                <w:color w:val="000000"/>
                <w:sz w:val="22"/>
                <w:szCs w:val="22"/>
                <w:lang w:val="es-ES_tradnl" w:eastAsia="zh-CN"/>
              </w:rPr>
              <w:t xml:space="preserve">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Ouedraogo</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Burkina Faso</w:t>
            </w:r>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Ahmadou</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Dit</w:t>
            </w:r>
            <w:proofErr w:type="spellEnd"/>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Adi</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Cisse</w:t>
            </w:r>
            <w:proofErr w:type="spellEnd"/>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Mali</w:t>
            </w:r>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Luc</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Servais</w:t>
            </w:r>
            <w:proofErr w:type="spellEnd"/>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Missidimbazi</w:t>
            </w:r>
            <w:proofErr w:type="spellEnd"/>
            <w:r w:rsidRPr="00CF2F04">
              <w:rPr>
                <w:color w:val="000000"/>
                <w:sz w:val="22"/>
                <w:szCs w:val="22"/>
                <w:lang w:val="es-ES_tradnl" w:eastAsia="zh-CN"/>
              </w:rPr>
              <w:t xml:space="preserve"> </w:t>
            </w:r>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Congo</w:t>
            </w:r>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Serigne</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Abdou</w:t>
            </w:r>
            <w:proofErr w:type="spellEnd"/>
            <w:r w:rsidRPr="00CF2F04">
              <w:rPr>
                <w:color w:val="000000"/>
                <w:sz w:val="22"/>
                <w:szCs w:val="22"/>
                <w:lang w:val="es-ES_tradnl" w:eastAsia="zh-CN"/>
              </w:rPr>
              <w:t xml:space="preserve">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Lahatt</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Sylla</w:t>
            </w:r>
            <w:proofErr w:type="spellEnd"/>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Senegal</w:t>
            </w:r>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Christopher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Hemmerlein</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United</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States</w:t>
            </w:r>
            <w:proofErr w:type="spellEnd"/>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Americas</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Geraldo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Neto</w:t>
            </w:r>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United</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States</w:t>
            </w:r>
            <w:proofErr w:type="spellEnd"/>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Americas</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TMG, Inc.</w:t>
            </w:r>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Darshan</w:t>
            </w:r>
            <w:proofErr w:type="spellEnd"/>
            <w:r w:rsidRPr="00CF2F04">
              <w:rPr>
                <w:color w:val="000000"/>
                <w:sz w:val="22"/>
                <w:szCs w:val="22"/>
                <w:lang w:val="es-ES_tradnl" w:eastAsia="zh-CN"/>
              </w:rPr>
              <w:t xml:space="preserve">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Thapa</w:t>
            </w:r>
            <w:proofErr w:type="spellEnd"/>
            <w:r w:rsidRPr="00CF2F04">
              <w:rPr>
                <w:color w:val="000000"/>
                <w:sz w:val="22"/>
                <w:szCs w:val="22"/>
                <w:lang w:val="es-ES_tradnl" w:eastAsia="zh-CN"/>
              </w:rPr>
              <w:t xml:space="preserve"> </w:t>
            </w:r>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Bhutan</w:t>
            </w:r>
            <w:proofErr w:type="spellEnd"/>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Asia &amp; </w:t>
            </w:r>
            <w:proofErr w:type="spellStart"/>
            <w:r w:rsidRPr="00CF2F04">
              <w:rPr>
                <w:color w:val="000000"/>
                <w:sz w:val="22"/>
                <w:szCs w:val="22"/>
                <w:lang w:val="es-ES_tradnl" w:eastAsia="zh-CN"/>
              </w:rPr>
              <w:t>Pacific</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Zhen</w:t>
            </w:r>
            <w:proofErr w:type="spellEnd"/>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Zhang </w:t>
            </w:r>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China</w:t>
            </w:r>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Asia &amp; </w:t>
            </w:r>
            <w:proofErr w:type="spellStart"/>
            <w:r w:rsidRPr="00CF2F04">
              <w:rPr>
                <w:color w:val="000000"/>
                <w:sz w:val="22"/>
                <w:szCs w:val="22"/>
                <w:lang w:val="es-ES_tradnl" w:eastAsia="zh-CN"/>
              </w:rPr>
              <w:t>Pacific</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sz w:val="22"/>
                <w:szCs w:val="22"/>
                <w:lang w:val="es-ES_tradnl" w:eastAsia="zh-CN"/>
              </w:rPr>
            </w:pPr>
            <w:r w:rsidRPr="00CF2F04">
              <w:rPr>
                <w:sz w:val="22"/>
                <w:szCs w:val="22"/>
                <w:lang w:val="es-ES_tradnl" w:eastAsia="zh-CN"/>
              </w:rPr>
              <w:t>Vice-</w:t>
            </w:r>
            <w:proofErr w:type="spellStart"/>
            <w:r w:rsidRPr="00CF2F04">
              <w:rPr>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Arseny</w:t>
            </w:r>
            <w:proofErr w:type="spellEnd"/>
            <w:r w:rsidRPr="00CF2F04">
              <w:rPr>
                <w:color w:val="000000"/>
                <w:sz w:val="22"/>
                <w:szCs w:val="22"/>
                <w:lang w:val="es-ES_tradnl" w:eastAsia="zh-CN"/>
              </w:rPr>
              <w:t xml:space="preserve">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Plossky</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Russian</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Federation</w:t>
            </w:r>
            <w:proofErr w:type="spellEnd"/>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CIS </w:t>
            </w:r>
            <w:proofErr w:type="spellStart"/>
            <w:r w:rsidRPr="00CF2F04">
              <w:rPr>
                <w:color w:val="000000"/>
                <w:sz w:val="22"/>
                <w:szCs w:val="22"/>
                <w:lang w:val="es-ES_tradnl" w:eastAsia="zh-CN"/>
              </w:rPr>
              <w:t>countries</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Ms </w:t>
            </w:r>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Beyhan</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Aygün</w:t>
            </w:r>
            <w:proofErr w:type="spellEnd"/>
            <w:r w:rsidRPr="00CF2F04">
              <w:rPr>
                <w:color w:val="000000"/>
                <w:sz w:val="22"/>
                <w:szCs w:val="22"/>
                <w:lang w:val="es-ES_tradnl" w:eastAsia="zh-CN"/>
              </w:rPr>
              <w:t xml:space="preserve">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Akyüz</w:t>
            </w:r>
            <w:proofErr w:type="spellEnd"/>
            <w:r w:rsidRPr="00CF2F04">
              <w:rPr>
                <w:color w:val="000000"/>
                <w:sz w:val="22"/>
                <w:szCs w:val="22"/>
                <w:lang w:val="es-ES_tradnl" w:eastAsia="zh-CN"/>
              </w:rPr>
              <w:t xml:space="preserve"> </w:t>
            </w:r>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Turkey</w:t>
            </w:r>
            <w:proofErr w:type="spellEnd"/>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Europe</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Türk</w:t>
            </w:r>
            <w:proofErr w:type="spellEnd"/>
            <w:r w:rsidRPr="00CF2F04">
              <w:rPr>
                <w:color w:val="000000"/>
                <w:sz w:val="22"/>
                <w:szCs w:val="22"/>
                <w:lang w:val="es-ES_tradnl" w:eastAsia="zh-CN"/>
              </w:rPr>
              <w:t xml:space="preserve"> Telekom</w:t>
            </w:r>
          </w:p>
        </w:tc>
      </w:tr>
      <w:tr w:rsidR="005D1533" w:rsidRPr="00CF2F04" w:rsidTr="003C4E3D">
        <w:trPr>
          <w:trHeight w:val="345"/>
        </w:trPr>
        <w:tc>
          <w:tcPr>
            <w:tcW w:w="536" w:type="pct"/>
            <w:shd w:val="clear" w:color="DDEBF7" w:fill="DDEBF7"/>
            <w:noWrap/>
            <w:vAlign w:val="center"/>
            <w:hideMark/>
          </w:tcPr>
          <w:p w:rsidR="005D1533" w:rsidRPr="00CF2F04" w:rsidRDefault="005D1533" w:rsidP="00184D13">
            <w:pPr>
              <w:overflowPunct/>
              <w:autoSpaceDE/>
              <w:autoSpaceDN/>
              <w:adjustRightInd/>
              <w:spacing w:before="0"/>
              <w:textAlignment w:val="auto"/>
              <w:rPr>
                <w:b/>
                <w:bCs/>
                <w:color w:val="000000"/>
                <w:sz w:val="22"/>
                <w:szCs w:val="22"/>
                <w:lang w:val="es-ES_tradnl" w:eastAsia="zh-CN"/>
              </w:rPr>
            </w:pPr>
            <w:proofErr w:type="spellStart"/>
            <w:r w:rsidRPr="00CF2F04">
              <w:rPr>
                <w:b/>
                <w:bCs/>
                <w:color w:val="000000"/>
                <w:sz w:val="22"/>
                <w:szCs w:val="22"/>
                <w:lang w:val="es-ES_tradnl" w:eastAsia="zh-CN"/>
              </w:rPr>
              <w:lastRenderedPageBreak/>
              <w:t>Question</w:t>
            </w:r>
            <w:proofErr w:type="spellEnd"/>
            <w:r w:rsidRPr="00CF2F04">
              <w:rPr>
                <w:b/>
                <w:bCs/>
                <w:color w:val="000000"/>
                <w:sz w:val="22"/>
                <w:szCs w:val="22"/>
                <w:lang w:val="es-ES_tradnl" w:eastAsia="zh-CN"/>
              </w:rPr>
              <w:t xml:space="preserve"> 4/1</w:t>
            </w:r>
          </w:p>
        </w:tc>
        <w:tc>
          <w:tcPr>
            <w:tcW w:w="631" w:type="pct"/>
            <w:shd w:val="clear" w:color="000000" w:fill="FFF2CC"/>
            <w:noWrap/>
            <w:vAlign w:val="center"/>
            <w:hideMark/>
          </w:tcPr>
          <w:p w:rsidR="005D1533" w:rsidRPr="00CF2F04" w:rsidRDefault="005D1533" w:rsidP="00184D13">
            <w:pPr>
              <w:overflowPunct/>
              <w:autoSpaceDE/>
              <w:autoSpaceDN/>
              <w:adjustRightInd/>
              <w:spacing w:before="0"/>
              <w:textAlignment w:val="auto"/>
              <w:rPr>
                <w:b/>
                <w:bCs/>
                <w:color w:val="000000"/>
                <w:sz w:val="22"/>
                <w:szCs w:val="22"/>
                <w:lang w:val="es-ES_tradnl" w:eastAsia="zh-CN"/>
              </w:rPr>
            </w:pPr>
            <w:proofErr w:type="spellStart"/>
            <w:r w:rsidRPr="00CF2F04">
              <w:rPr>
                <w:b/>
                <w:bCs/>
                <w:color w:val="000000"/>
                <w:sz w:val="22"/>
                <w:szCs w:val="22"/>
                <w:lang w:val="es-ES_tradnl" w:eastAsia="zh-CN"/>
              </w:rPr>
              <w:t>Rapporteur</w:t>
            </w:r>
            <w:proofErr w:type="spellEnd"/>
          </w:p>
        </w:tc>
        <w:tc>
          <w:tcPr>
            <w:tcW w:w="195"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center"/>
            <w:hideMark/>
          </w:tcPr>
          <w:p w:rsidR="005D1533" w:rsidRPr="00CF2F04" w:rsidRDefault="005D1533" w:rsidP="00184D13">
            <w:pPr>
              <w:keepNext/>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Arseny</w:t>
            </w:r>
            <w:proofErr w:type="spellEnd"/>
            <w:r w:rsidRPr="00CF2F04">
              <w:rPr>
                <w:color w:val="000000"/>
                <w:sz w:val="22"/>
                <w:szCs w:val="22"/>
                <w:lang w:val="es-ES_tradnl" w:eastAsia="zh-CN"/>
              </w:rPr>
              <w:t xml:space="preserve"> </w:t>
            </w:r>
          </w:p>
        </w:tc>
        <w:tc>
          <w:tcPr>
            <w:tcW w:w="827"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Plossky</w:t>
            </w:r>
            <w:proofErr w:type="spellEnd"/>
          </w:p>
        </w:tc>
        <w:tc>
          <w:tcPr>
            <w:tcW w:w="887"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Russian</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Federation</w:t>
            </w:r>
            <w:proofErr w:type="spellEnd"/>
          </w:p>
        </w:tc>
        <w:tc>
          <w:tcPr>
            <w:tcW w:w="623"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CIS </w:t>
            </w:r>
            <w:proofErr w:type="spellStart"/>
            <w:r w:rsidRPr="00CF2F04">
              <w:rPr>
                <w:color w:val="000000"/>
                <w:sz w:val="22"/>
                <w:szCs w:val="22"/>
                <w:lang w:val="es-ES_tradnl" w:eastAsia="zh-CN"/>
              </w:rPr>
              <w:t>countries</w:t>
            </w:r>
            <w:proofErr w:type="spellEnd"/>
          </w:p>
        </w:tc>
        <w:tc>
          <w:tcPr>
            <w:tcW w:w="668" w:type="pct"/>
            <w:shd w:val="clear" w:color="DDEBF7" w:fill="DDEBF7"/>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285"/>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Ibrahima</w:t>
            </w:r>
            <w:proofErr w:type="spellEnd"/>
            <w:r w:rsidRPr="00CF2F04">
              <w:rPr>
                <w:color w:val="000000"/>
                <w:sz w:val="22"/>
                <w:szCs w:val="22"/>
                <w:lang w:val="es-ES_tradnl" w:eastAsia="zh-CN"/>
              </w:rPr>
              <w:t xml:space="preserve">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Kone</w:t>
            </w:r>
            <w:proofErr w:type="spellEnd"/>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Mali</w:t>
            </w:r>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Talent</w:t>
            </w:r>
            <w:proofErr w:type="spellEnd"/>
            <w:r w:rsidRPr="00CF2F04">
              <w:rPr>
                <w:color w:val="000000"/>
                <w:sz w:val="22"/>
                <w:szCs w:val="22"/>
                <w:lang w:val="es-ES_tradnl" w:eastAsia="zh-CN"/>
              </w:rPr>
              <w:t xml:space="preserve">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Munyaradzi</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Zimbabwe</w:t>
            </w:r>
            <w:proofErr w:type="spellEnd"/>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r w:rsidRPr="00CF2F04">
              <w:rPr>
                <w:color w:val="000000"/>
                <w:sz w:val="22"/>
                <w:szCs w:val="22"/>
                <w:lang w:val="es-ES_tradnl" w:eastAsia="zh-CN"/>
              </w:rPr>
              <w:t xml:space="preserve"> </w:t>
            </w:r>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Huguens</w:t>
            </w:r>
            <w:proofErr w:type="spellEnd"/>
            <w:r w:rsidRPr="00CF2F04">
              <w:rPr>
                <w:color w:val="000000"/>
                <w:sz w:val="22"/>
                <w:szCs w:val="22"/>
                <w:lang w:val="es-ES_tradnl" w:eastAsia="zh-CN"/>
              </w:rPr>
              <w:t xml:space="preserve">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Previlon</w:t>
            </w:r>
            <w:proofErr w:type="spellEnd"/>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Haiti</w:t>
            </w:r>
            <w:proofErr w:type="spellEnd"/>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Americas</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Mohammed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AbdulKadhim</w:t>
            </w:r>
            <w:proofErr w:type="spellEnd"/>
            <w:r w:rsidRPr="00CF2F04">
              <w:rPr>
                <w:color w:val="000000"/>
                <w:sz w:val="22"/>
                <w:szCs w:val="22"/>
                <w:lang w:val="es-ES_tradnl" w:eastAsia="zh-CN"/>
              </w:rPr>
              <w:t xml:space="preserve"> Ali </w:t>
            </w:r>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Iraq</w:t>
            </w:r>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Arab</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States</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Haider</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Abd</w:t>
            </w:r>
            <w:proofErr w:type="spellEnd"/>
            <w:r w:rsidRPr="00CF2F04">
              <w:rPr>
                <w:color w:val="000000"/>
                <w:sz w:val="22"/>
                <w:szCs w:val="22"/>
                <w:lang w:val="es-ES_tradnl" w:eastAsia="zh-CN"/>
              </w:rPr>
              <w:t xml:space="preserve">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Al Hassan </w:t>
            </w:r>
            <w:proofErr w:type="spellStart"/>
            <w:r w:rsidRPr="00CF2F04">
              <w:rPr>
                <w:color w:val="000000"/>
                <w:sz w:val="22"/>
                <w:szCs w:val="22"/>
                <w:lang w:val="es-ES_tradnl" w:eastAsia="zh-CN"/>
              </w:rPr>
              <w:t>Yahia</w:t>
            </w:r>
            <w:proofErr w:type="spellEnd"/>
            <w:r w:rsidRPr="00CF2F04">
              <w:rPr>
                <w:color w:val="000000"/>
                <w:sz w:val="22"/>
                <w:szCs w:val="22"/>
                <w:lang w:val="es-ES_tradnl" w:eastAsia="zh-CN"/>
              </w:rPr>
              <w:t xml:space="preserve"> </w:t>
            </w:r>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Iraq</w:t>
            </w:r>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Arab</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States</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Emanuele</w:t>
            </w:r>
            <w:proofErr w:type="spellEnd"/>
            <w:r w:rsidRPr="00CF2F04">
              <w:rPr>
                <w:color w:val="000000"/>
                <w:sz w:val="22"/>
                <w:szCs w:val="22"/>
                <w:lang w:val="es-ES_tradnl" w:eastAsia="zh-CN"/>
              </w:rPr>
              <w:t xml:space="preserve">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Giovannetti</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United</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Kingdom</w:t>
            </w:r>
            <w:proofErr w:type="spellEnd"/>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Europe</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Anglia</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Ruskin</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University</w:t>
            </w:r>
            <w:proofErr w:type="spellEnd"/>
          </w:p>
        </w:tc>
      </w:tr>
      <w:tr w:rsidR="005D1533" w:rsidRPr="00CF2F04" w:rsidTr="003C4E3D">
        <w:trPr>
          <w:trHeight w:val="345"/>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Rafael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Gonzalez-Galarreta</w:t>
            </w:r>
            <w:proofErr w:type="spellEnd"/>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Spain</w:t>
            </w:r>
            <w:proofErr w:type="spellEnd"/>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Europe</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Axon</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Partners</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Group</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Consulting</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Ugur</w:t>
            </w:r>
            <w:proofErr w:type="spellEnd"/>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Kaydan</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Turkey</w:t>
            </w:r>
            <w:proofErr w:type="spellEnd"/>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Europe</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27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Ms</w:t>
            </w:r>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Gevher</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Nesibe</w:t>
            </w:r>
            <w:proofErr w:type="spellEnd"/>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Tural</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Tok</w:t>
            </w:r>
            <w:proofErr w:type="spellEnd"/>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Turkey</w:t>
            </w:r>
            <w:proofErr w:type="spellEnd"/>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Europe</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Türk</w:t>
            </w:r>
            <w:proofErr w:type="spellEnd"/>
            <w:r w:rsidRPr="00CF2F04">
              <w:rPr>
                <w:color w:val="000000"/>
                <w:sz w:val="22"/>
                <w:szCs w:val="22"/>
                <w:lang w:val="es-ES_tradnl" w:eastAsia="zh-CN"/>
              </w:rPr>
              <w:t xml:space="preserve"> Telekom</w:t>
            </w:r>
          </w:p>
        </w:tc>
      </w:tr>
      <w:tr w:rsidR="005D1533" w:rsidRPr="00CF2F04" w:rsidTr="003C4E3D">
        <w:trPr>
          <w:trHeight w:val="36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Wesam</w:t>
            </w:r>
            <w:proofErr w:type="spellEnd"/>
            <w:r w:rsidRPr="00CF2F04">
              <w:rPr>
                <w:color w:val="000000"/>
                <w:sz w:val="22"/>
                <w:szCs w:val="22"/>
                <w:lang w:val="es-ES_tradnl" w:eastAsia="zh-CN"/>
              </w:rPr>
              <w:t xml:space="preserve"> M.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Sedik</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Egypt</w:t>
            </w:r>
            <w:proofErr w:type="spellEnd"/>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Arab</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States</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90"/>
        </w:trPr>
        <w:tc>
          <w:tcPr>
            <w:tcW w:w="536" w:type="pct"/>
            <w:shd w:val="clear" w:color="auto" w:fill="auto"/>
            <w:noWrap/>
            <w:vAlign w:val="center"/>
            <w:hideMark/>
          </w:tcPr>
          <w:p w:rsidR="005D1533" w:rsidRPr="00CF2F04" w:rsidRDefault="005D1533" w:rsidP="00184D13">
            <w:pPr>
              <w:overflowPunct/>
              <w:autoSpaceDE/>
              <w:autoSpaceDN/>
              <w:adjustRightInd/>
              <w:spacing w:before="0"/>
              <w:textAlignment w:val="auto"/>
              <w:rPr>
                <w:b/>
                <w:bCs/>
                <w:color w:val="000000"/>
                <w:sz w:val="22"/>
                <w:szCs w:val="22"/>
                <w:lang w:val="es-ES_tradnl" w:eastAsia="zh-CN"/>
              </w:rPr>
            </w:pPr>
            <w:proofErr w:type="spellStart"/>
            <w:r w:rsidRPr="00CF2F04">
              <w:rPr>
                <w:b/>
                <w:bCs/>
                <w:color w:val="000000"/>
                <w:sz w:val="22"/>
                <w:szCs w:val="22"/>
                <w:lang w:val="es-ES_tradnl" w:eastAsia="zh-CN"/>
              </w:rPr>
              <w:t>Question</w:t>
            </w:r>
            <w:proofErr w:type="spellEnd"/>
            <w:r w:rsidRPr="00CF2F04">
              <w:rPr>
                <w:b/>
                <w:bCs/>
                <w:color w:val="000000"/>
                <w:sz w:val="22"/>
                <w:szCs w:val="22"/>
                <w:lang w:val="es-ES_tradnl" w:eastAsia="zh-CN"/>
              </w:rPr>
              <w:t xml:space="preserve"> 5/1</w:t>
            </w:r>
          </w:p>
        </w:tc>
        <w:tc>
          <w:tcPr>
            <w:tcW w:w="631" w:type="pct"/>
            <w:shd w:val="clear" w:color="000000" w:fill="FFF2CC"/>
            <w:noWrap/>
            <w:vAlign w:val="center"/>
            <w:hideMark/>
          </w:tcPr>
          <w:p w:rsidR="005D1533" w:rsidRPr="00CF2F04" w:rsidRDefault="005D1533" w:rsidP="00184D13">
            <w:pPr>
              <w:overflowPunct/>
              <w:autoSpaceDE/>
              <w:autoSpaceDN/>
              <w:adjustRightInd/>
              <w:spacing w:before="0"/>
              <w:textAlignment w:val="auto"/>
              <w:rPr>
                <w:b/>
                <w:bCs/>
                <w:color w:val="000000"/>
                <w:sz w:val="22"/>
                <w:szCs w:val="22"/>
                <w:lang w:val="es-ES_tradnl" w:eastAsia="zh-CN"/>
              </w:rPr>
            </w:pPr>
            <w:r w:rsidRPr="00CF2F04">
              <w:rPr>
                <w:b/>
                <w:bCs/>
                <w:color w:val="000000"/>
                <w:sz w:val="22"/>
                <w:szCs w:val="22"/>
                <w:lang w:val="es-ES_tradnl" w:eastAsia="zh-CN"/>
              </w:rPr>
              <w:t>Co-</w:t>
            </w:r>
            <w:proofErr w:type="spellStart"/>
            <w:r w:rsidRPr="00CF2F04">
              <w:rPr>
                <w:b/>
                <w:bCs/>
                <w:color w:val="000000"/>
                <w:sz w:val="22"/>
                <w:szCs w:val="22"/>
                <w:lang w:val="es-ES_tradnl" w:eastAsia="zh-CN"/>
              </w:rPr>
              <w:t>Rapporteur</w:t>
            </w:r>
            <w:proofErr w:type="spellEnd"/>
          </w:p>
        </w:tc>
        <w:tc>
          <w:tcPr>
            <w:tcW w:w="195" w:type="pct"/>
            <w:shd w:val="clear" w:color="auto" w:fill="auto"/>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Ms</w:t>
            </w:r>
          </w:p>
        </w:tc>
        <w:tc>
          <w:tcPr>
            <w:tcW w:w="633" w:type="pct"/>
            <w:shd w:val="clear" w:color="auto" w:fill="auto"/>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Caecilia</w:t>
            </w:r>
            <w:proofErr w:type="spellEnd"/>
            <w:r w:rsidRPr="00CF2F04">
              <w:rPr>
                <w:color w:val="000000"/>
                <w:sz w:val="22"/>
                <w:szCs w:val="22"/>
                <w:lang w:val="es-ES_tradnl" w:eastAsia="zh-CN"/>
              </w:rPr>
              <w:t xml:space="preserve"> </w:t>
            </w:r>
          </w:p>
        </w:tc>
        <w:tc>
          <w:tcPr>
            <w:tcW w:w="827" w:type="pct"/>
            <w:shd w:val="clear" w:color="auto" w:fill="auto"/>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Nyamutswa</w:t>
            </w:r>
            <w:proofErr w:type="spellEnd"/>
          </w:p>
        </w:tc>
        <w:tc>
          <w:tcPr>
            <w:tcW w:w="887" w:type="pct"/>
            <w:shd w:val="clear" w:color="auto" w:fill="auto"/>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Zimbabwe</w:t>
            </w:r>
            <w:proofErr w:type="spellEnd"/>
          </w:p>
        </w:tc>
        <w:tc>
          <w:tcPr>
            <w:tcW w:w="623" w:type="pct"/>
            <w:shd w:val="clear" w:color="auto" w:fill="auto"/>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auto" w:fill="auto"/>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30"/>
        </w:trPr>
        <w:tc>
          <w:tcPr>
            <w:tcW w:w="536" w:type="pct"/>
            <w:shd w:val="clear" w:color="DDEBF7" w:fill="DDEBF7"/>
            <w:noWrap/>
            <w:vAlign w:val="center"/>
            <w:hideMark/>
          </w:tcPr>
          <w:p w:rsidR="005D1533" w:rsidRPr="00CF2F04" w:rsidRDefault="005D1533" w:rsidP="00184D13">
            <w:pPr>
              <w:overflowPunct/>
              <w:autoSpaceDE/>
              <w:autoSpaceDN/>
              <w:adjustRightInd/>
              <w:spacing w:before="0"/>
              <w:textAlignment w:val="auto"/>
              <w:rPr>
                <w:b/>
                <w:bCs/>
                <w:color w:val="000000"/>
                <w:sz w:val="22"/>
                <w:szCs w:val="22"/>
                <w:lang w:val="es-ES_tradnl" w:eastAsia="zh-CN"/>
              </w:rPr>
            </w:pPr>
            <w:proofErr w:type="spellStart"/>
            <w:r w:rsidRPr="00CF2F04">
              <w:rPr>
                <w:b/>
                <w:bCs/>
                <w:color w:val="000000"/>
                <w:sz w:val="22"/>
                <w:szCs w:val="22"/>
                <w:lang w:val="es-ES_tradnl" w:eastAsia="zh-CN"/>
              </w:rPr>
              <w:t>Question</w:t>
            </w:r>
            <w:proofErr w:type="spellEnd"/>
            <w:r w:rsidRPr="00CF2F04">
              <w:rPr>
                <w:b/>
                <w:bCs/>
                <w:color w:val="000000"/>
                <w:sz w:val="22"/>
                <w:szCs w:val="22"/>
                <w:lang w:val="es-ES_tradnl" w:eastAsia="zh-CN"/>
              </w:rPr>
              <w:t xml:space="preserve"> 5/1</w:t>
            </w:r>
          </w:p>
        </w:tc>
        <w:tc>
          <w:tcPr>
            <w:tcW w:w="631" w:type="pct"/>
            <w:shd w:val="clear" w:color="000000" w:fill="FFF2CC"/>
            <w:noWrap/>
            <w:vAlign w:val="center"/>
            <w:hideMark/>
          </w:tcPr>
          <w:p w:rsidR="005D1533" w:rsidRPr="00CF2F04" w:rsidRDefault="005D1533" w:rsidP="00184D13">
            <w:pPr>
              <w:overflowPunct/>
              <w:autoSpaceDE/>
              <w:autoSpaceDN/>
              <w:adjustRightInd/>
              <w:spacing w:before="0"/>
              <w:textAlignment w:val="auto"/>
              <w:rPr>
                <w:b/>
                <w:bCs/>
                <w:color w:val="000000"/>
                <w:sz w:val="22"/>
                <w:szCs w:val="22"/>
                <w:lang w:val="es-ES_tradnl" w:eastAsia="zh-CN"/>
              </w:rPr>
            </w:pPr>
            <w:r w:rsidRPr="00CF2F04">
              <w:rPr>
                <w:b/>
                <w:bCs/>
                <w:color w:val="000000"/>
                <w:sz w:val="22"/>
                <w:szCs w:val="22"/>
                <w:lang w:val="es-ES_tradnl" w:eastAsia="zh-CN"/>
              </w:rPr>
              <w:t>Co-</w:t>
            </w:r>
            <w:proofErr w:type="spellStart"/>
            <w:r w:rsidRPr="00CF2F04">
              <w:rPr>
                <w:b/>
                <w:bCs/>
                <w:color w:val="000000"/>
                <w:sz w:val="22"/>
                <w:szCs w:val="22"/>
                <w:lang w:val="es-ES_tradnl" w:eastAsia="zh-CN"/>
              </w:rPr>
              <w:t>Rapporteur</w:t>
            </w:r>
            <w:proofErr w:type="spellEnd"/>
          </w:p>
        </w:tc>
        <w:tc>
          <w:tcPr>
            <w:tcW w:w="195"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Khalil</w:t>
            </w:r>
            <w:proofErr w:type="spellEnd"/>
            <w:r w:rsidRPr="00CF2F04">
              <w:rPr>
                <w:color w:val="000000"/>
                <w:sz w:val="22"/>
                <w:szCs w:val="22"/>
                <w:lang w:val="es-ES_tradnl" w:eastAsia="zh-CN"/>
              </w:rPr>
              <w:t xml:space="preserve"> </w:t>
            </w:r>
          </w:p>
        </w:tc>
        <w:tc>
          <w:tcPr>
            <w:tcW w:w="827"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AlSobhi</w:t>
            </w:r>
            <w:proofErr w:type="spellEnd"/>
            <w:r w:rsidRPr="00CF2F04">
              <w:rPr>
                <w:color w:val="000000"/>
                <w:sz w:val="22"/>
                <w:szCs w:val="22"/>
                <w:lang w:val="es-ES_tradnl" w:eastAsia="zh-CN"/>
              </w:rPr>
              <w:t xml:space="preserve"> </w:t>
            </w:r>
          </w:p>
        </w:tc>
        <w:tc>
          <w:tcPr>
            <w:tcW w:w="887"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Saudi</w:t>
            </w:r>
            <w:proofErr w:type="spellEnd"/>
            <w:r w:rsidRPr="00CF2F04">
              <w:rPr>
                <w:color w:val="000000"/>
                <w:sz w:val="22"/>
                <w:szCs w:val="22"/>
                <w:lang w:val="es-ES_tradnl" w:eastAsia="zh-CN"/>
              </w:rPr>
              <w:t xml:space="preserve"> Arabia</w:t>
            </w:r>
          </w:p>
        </w:tc>
        <w:tc>
          <w:tcPr>
            <w:tcW w:w="623"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Arab</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States</w:t>
            </w:r>
            <w:proofErr w:type="spellEnd"/>
          </w:p>
        </w:tc>
        <w:tc>
          <w:tcPr>
            <w:tcW w:w="668" w:type="pct"/>
            <w:shd w:val="clear" w:color="DDEBF7" w:fill="DDEBF7"/>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3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Cissé</w:t>
            </w:r>
            <w:proofErr w:type="spellEnd"/>
            <w:r w:rsidRPr="00CF2F04">
              <w:rPr>
                <w:color w:val="000000"/>
                <w:sz w:val="22"/>
                <w:szCs w:val="22"/>
                <w:lang w:val="es-ES_tradnl" w:eastAsia="zh-CN"/>
              </w:rPr>
              <w:t xml:space="preserve">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Kane</w:t>
            </w:r>
            <w:proofErr w:type="spellEnd"/>
            <w:r w:rsidRPr="00CF2F04">
              <w:rPr>
                <w:color w:val="000000"/>
                <w:sz w:val="22"/>
                <w:szCs w:val="22"/>
                <w:lang w:val="es-ES_tradnl" w:eastAsia="zh-CN"/>
              </w:rPr>
              <w:t xml:space="preserve"> </w:t>
            </w:r>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African</w:t>
            </w:r>
            <w:proofErr w:type="spellEnd"/>
            <w:r w:rsidRPr="00CF2F04">
              <w:rPr>
                <w:color w:val="000000"/>
                <w:sz w:val="22"/>
                <w:szCs w:val="22"/>
                <w:lang w:val="es-ES_tradnl" w:eastAsia="zh-CN"/>
              </w:rPr>
              <w:t xml:space="preserve"> Civil </w:t>
            </w:r>
            <w:proofErr w:type="spellStart"/>
            <w:r w:rsidRPr="00CF2F04">
              <w:rPr>
                <w:color w:val="000000"/>
                <w:sz w:val="22"/>
                <w:szCs w:val="22"/>
                <w:lang w:val="es-ES_tradnl" w:eastAsia="zh-CN"/>
              </w:rPr>
              <w:t>Society</w:t>
            </w:r>
            <w:proofErr w:type="spellEnd"/>
            <w:r w:rsidRPr="00CF2F04">
              <w:rPr>
                <w:color w:val="000000"/>
                <w:sz w:val="22"/>
                <w:szCs w:val="22"/>
                <w:lang w:val="es-ES_tradnl" w:eastAsia="zh-CN"/>
              </w:rPr>
              <w:t xml:space="preserve"> </w:t>
            </w:r>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Ms</w:t>
            </w:r>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Stella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Kipsaita</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Kenya</w:t>
            </w:r>
            <w:proofErr w:type="spellEnd"/>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Ms</w:t>
            </w:r>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Justina </w:t>
            </w:r>
            <w:proofErr w:type="spellStart"/>
            <w:r w:rsidRPr="00CF2F04">
              <w:rPr>
                <w:color w:val="000000"/>
                <w:sz w:val="22"/>
                <w:szCs w:val="22"/>
                <w:lang w:val="es-ES_tradnl" w:eastAsia="zh-CN"/>
              </w:rPr>
              <w:t>Tumaini</w:t>
            </w:r>
            <w:proofErr w:type="spellEnd"/>
            <w:r w:rsidRPr="00CF2F04">
              <w:rPr>
                <w:color w:val="000000"/>
                <w:sz w:val="22"/>
                <w:szCs w:val="22"/>
                <w:lang w:val="es-ES_tradnl" w:eastAsia="zh-CN"/>
              </w:rPr>
              <w:t xml:space="preserve">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Mashiba</w:t>
            </w:r>
            <w:proofErr w:type="spellEnd"/>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Tanzania</w:t>
            </w:r>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Oumar</w:t>
            </w:r>
            <w:proofErr w:type="spellEnd"/>
            <w:r w:rsidRPr="00CF2F04">
              <w:rPr>
                <w:color w:val="000000"/>
                <w:sz w:val="22"/>
                <w:szCs w:val="22"/>
                <w:lang w:val="es-ES_tradnl" w:eastAsia="zh-CN"/>
              </w:rPr>
              <w:t xml:space="preserve">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Sidi</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Aly</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Mali</w:t>
            </w:r>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Babou</w:t>
            </w:r>
            <w:proofErr w:type="spellEnd"/>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Sarr</w:t>
            </w:r>
            <w:proofErr w:type="spellEnd"/>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Senegal</w:t>
            </w:r>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Edva</w:t>
            </w:r>
            <w:proofErr w:type="spellEnd"/>
            <w:r w:rsidRPr="00CF2F04">
              <w:rPr>
                <w:color w:val="000000"/>
                <w:sz w:val="22"/>
                <w:szCs w:val="22"/>
                <w:lang w:val="es-ES_tradnl" w:eastAsia="zh-CN"/>
              </w:rPr>
              <w:t xml:space="preserve">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Altemar</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Haiti</w:t>
            </w:r>
            <w:proofErr w:type="spellEnd"/>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Americas</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r w:rsidRPr="00CF2F04">
              <w:rPr>
                <w:color w:val="000000"/>
                <w:sz w:val="22"/>
                <w:szCs w:val="22"/>
                <w:lang w:val="es-ES_tradnl" w:eastAsia="zh-CN"/>
              </w:rPr>
              <w:t xml:space="preserve"> </w:t>
            </w:r>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Turhan</w:t>
            </w:r>
            <w:proofErr w:type="spellEnd"/>
            <w:r w:rsidRPr="00CF2F04">
              <w:rPr>
                <w:color w:val="000000"/>
                <w:sz w:val="22"/>
                <w:szCs w:val="22"/>
                <w:lang w:val="es-ES_tradnl" w:eastAsia="zh-CN"/>
              </w:rPr>
              <w:t xml:space="preserve">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Muluk</w:t>
            </w:r>
            <w:proofErr w:type="spellEnd"/>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United</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States</w:t>
            </w:r>
            <w:proofErr w:type="spellEnd"/>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Americas</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Intel </w:t>
            </w:r>
            <w:proofErr w:type="spellStart"/>
            <w:r w:rsidRPr="00CF2F04">
              <w:rPr>
                <w:color w:val="000000"/>
                <w:sz w:val="22"/>
                <w:szCs w:val="22"/>
                <w:lang w:val="es-ES_tradnl" w:eastAsia="zh-CN"/>
              </w:rPr>
              <w:t>Corporation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Yasuhiko</w:t>
            </w:r>
            <w:proofErr w:type="spellEnd"/>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Kawasumi</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Japan</w:t>
            </w:r>
            <w:proofErr w:type="spellEnd"/>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Asia &amp; </w:t>
            </w:r>
            <w:proofErr w:type="spellStart"/>
            <w:r w:rsidRPr="00CF2F04">
              <w:rPr>
                <w:color w:val="000000"/>
                <w:sz w:val="22"/>
                <w:szCs w:val="22"/>
                <w:lang w:val="es-ES_tradnl" w:eastAsia="zh-CN"/>
              </w:rPr>
              <w:t>Pacific</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Ja </w:t>
            </w:r>
            <w:proofErr w:type="spellStart"/>
            <w:r w:rsidRPr="00CF2F04">
              <w:rPr>
                <w:color w:val="000000"/>
                <w:sz w:val="22"/>
                <w:szCs w:val="22"/>
                <w:lang w:val="es-ES_tradnl" w:eastAsia="zh-CN"/>
              </w:rPr>
              <w:t>Heung</w:t>
            </w:r>
            <w:proofErr w:type="spellEnd"/>
            <w:r w:rsidRPr="00CF2F04">
              <w:rPr>
                <w:color w:val="000000"/>
                <w:sz w:val="22"/>
                <w:szCs w:val="22"/>
                <w:lang w:val="es-ES_tradnl" w:eastAsia="zh-CN"/>
              </w:rPr>
              <w:t xml:space="preserve">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Koo</w:t>
            </w:r>
            <w:proofErr w:type="spellEnd"/>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Korea</w:t>
            </w:r>
            <w:proofErr w:type="spellEnd"/>
            <w:r w:rsidRPr="00CF2F04">
              <w:rPr>
                <w:color w:val="000000"/>
                <w:sz w:val="22"/>
                <w:szCs w:val="22"/>
                <w:lang w:val="es-ES_tradnl" w:eastAsia="zh-CN"/>
              </w:rPr>
              <w:t xml:space="preserve"> (Rep. of)</w:t>
            </w:r>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Asia &amp; </w:t>
            </w:r>
            <w:proofErr w:type="spellStart"/>
            <w:r w:rsidRPr="00CF2F04">
              <w:rPr>
                <w:color w:val="000000"/>
                <w:sz w:val="22"/>
                <w:szCs w:val="22"/>
                <w:lang w:val="es-ES_tradnl" w:eastAsia="zh-CN"/>
              </w:rPr>
              <w:t>Pacific</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Karma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Tenzin</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Bhutan</w:t>
            </w:r>
            <w:proofErr w:type="spellEnd"/>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Asia &amp; </w:t>
            </w:r>
            <w:proofErr w:type="spellStart"/>
            <w:r w:rsidRPr="00CF2F04">
              <w:rPr>
                <w:color w:val="000000"/>
                <w:sz w:val="22"/>
                <w:szCs w:val="22"/>
                <w:lang w:val="es-ES_tradnl" w:eastAsia="zh-CN"/>
              </w:rPr>
              <w:t>Pacific</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Ms</w:t>
            </w:r>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Li</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Zhang </w:t>
            </w:r>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China</w:t>
            </w:r>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Asia &amp; </w:t>
            </w:r>
            <w:proofErr w:type="spellStart"/>
            <w:r w:rsidRPr="00CF2F04">
              <w:rPr>
                <w:color w:val="000000"/>
                <w:sz w:val="22"/>
                <w:szCs w:val="22"/>
                <w:lang w:val="es-ES_tradnl" w:eastAsia="zh-CN"/>
              </w:rPr>
              <w:t>Pacific</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Karma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Jamyang</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Bhutan</w:t>
            </w:r>
            <w:proofErr w:type="spellEnd"/>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Asia &amp; </w:t>
            </w:r>
            <w:proofErr w:type="spellStart"/>
            <w:r w:rsidRPr="00CF2F04">
              <w:rPr>
                <w:color w:val="000000"/>
                <w:sz w:val="22"/>
                <w:szCs w:val="22"/>
                <w:lang w:val="es-ES_tradnl" w:eastAsia="zh-CN"/>
              </w:rPr>
              <w:t>Pacific</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15"/>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Ms</w:t>
            </w:r>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Hande</w:t>
            </w:r>
            <w:proofErr w:type="spellEnd"/>
            <w:r w:rsidRPr="00CF2F04">
              <w:rPr>
                <w:color w:val="000000"/>
                <w:sz w:val="22"/>
                <w:szCs w:val="22"/>
                <w:lang w:val="es-ES_tradnl" w:eastAsia="zh-CN"/>
              </w:rPr>
              <w:t xml:space="preserve">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Bayrak</w:t>
            </w:r>
            <w:proofErr w:type="spellEnd"/>
            <w:r w:rsidRPr="00CF2F04">
              <w:rPr>
                <w:color w:val="000000"/>
                <w:sz w:val="22"/>
                <w:szCs w:val="22"/>
                <w:lang w:val="es-ES_tradnl" w:eastAsia="zh-CN"/>
              </w:rPr>
              <w:t xml:space="preserve"> </w:t>
            </w:r>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Turkey</w:t>
            </w:r>
            <w:proofErr w:type="spellEnd"/>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Europe</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Türk</w:t>
            </w:r>
            <w:proofErr w:type="spellEnd"/>
            <w:r w:rsidRPr="00CF2F04">
              <w:rPr>
                <w:color w:val="000000"/>
                <w:sz w:val="22"/>
                <w:szCs w:val="22"/>
                <w:lang w:val="es-ES_tradnl" w:eastAsia="zh-CN"/>
              </w:rPr>
              <w:t xml:space="preserve"> Telekom</w:t>
            </w:r>
          </w:p>
        </w:tc>
      </w:tr>
      <w:tr w:rsidR="005D1533" w:rsidRPr="00CF2F04" w:rsidTr="003C4E3D">
        <w:trPr>
          <w:trHeight w:val="330"/>
        </w:trPr>
        <w:tc>
          <w:tcPr>
            <w:tcW w:w="536" w:type="pct"/>
            <w:shd w:val="clear" w:color="DDEBF7" w:fill="DDEBF7"/>
            <w:noWrap/>
            <w:vAlign w:val="center"/>
            <w:hideMark/>
          </w:tcPr>
          <w:p w:rsidR="005D1533" w:rsidRPr="00CF2F04" w:rsidRDefault="005D1533" w:rsidP="00184D13">
            <w:pPr>
              <w:overflowPunct/>
              <w:autoSpaceDE/>
              <w:autoSpaceDN/>
              <w:adjustRightInd/>
              <w:spacing w:before="0"/>
              <w:textAlignment w:val="auto"/>
              <w:rPr>
                <w:b/>
                <w:bCs/>
                <w:color w:val="000000"/>
                <w:sz w:val="22"/>
                <w:szCs w:val="22"/>
                <w:lang w:val="es-ES_tradnl" w:eastAsia="zh-CN"/>
              </w:rPr>
            </w:pPr>
            <w:proofErr w:type="spellStart"/>
            <w:r w:rsidRPr="00CF2F04">
              <w:rPr>
                <w:b/>
                <w:bCs/>
                <w:color w:val="000000"/>
                <w:sz w:val="22"/>
                <w:szCs w:val="22"/>
                <w:lang w:val="es-ES_tradnl" w:eastAsia="zh-CN"/>
              </w:rPr>
              <w:t>Question</w:t>
            </w:r>
            <w:proofErr w:type="spellEnd"/>
            <w:r w:rsidRPr="00CF2F04">
              <w:rPr>
                <w:b/>
                <w:bCs/>
                <w:color w:val="000000"/>
                <w:sz w:val="22"/>
                <w:szCs w:val="22"/>
                <w:lang w:val="es-ES_tradnl" w:eastAsia="zh-CN"/>
              </w:rPr>
              <w:t xml:space="preserve"> 6/1</w:t>
            </w:r>
          </w:p>
        </w:tc>
        <w:tc>
          <w:tcPr>
            <w:tcW w:w="631" w:type="pct"/>
            <w:shd w:val="clear" w:color="000000" w:fill="FFF2CC"/>
            <w:noWrap/>
            <w:vAlign w:val="center"/>
            <w:hideMark/>
          </w:tcPr>
          <w:p w:rsidR="005D1533" w:rsidRPr="00CF2F04" w:rsidRDefault="005D1533" w:rsidP="00184D13">
            <w:pPr>
              <w:overflowPunct/>
              <w:autoSpaceDE/>
              <w:autoSpaceDN/>
              <w:adjustRightInd/>
              <w:spacing w:before="0"/>
              <w:textAlignment w:val="auto"/>
              <w:rPr>
                <w:b/>
                <w:bCs/>
                <w:color w:val="000000"/>
                <w:sz w:val="22"/>
                <w:szCs w:val="22"/>
                <w:lang w:val="es-ES_tradnl" w:eastAsia="zh-CN"/>
              </w:rPr>
            </w:pPr>
            <w:proofErr w:type="spellStart"/>
            <w:r w:rsidRPr="00CF2F04">
              <w:rPr>
                <w:b/>
                <w:bCs/>
                <w:color w:val="000000"/>
                <w:sz w:val="22"/>
                <w:szCs w:val="22"/>
                <w:lang w:val="es-ES_tradnl" w:eastAsia="zh-CN"/>
              </w:rPr>
              <w:t>Rapporteur</w:t>
            </w:r>
            <w:proofErr w:type="spellEnd"/>
          </w:p>
        </w:tc>
        <w:tc>
          <w:tcPr>
            <w:tcW w:w="195"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r w:rsidRPr="00CF2F04">
              <w:rPr>
                <w:color w:val="000000"/>
                <w:sz w:val="22"/>
                <w:szCs w:val="22"/>
                <w:lang w:val="es-ES_tradnl" w:eastAsia="zh-CN"/>
              </w:rPr>
              <w:t xml:space="preserve"> </w:t>
            </w:r>
          </w:p>
        </w:tc>
        <w:tc>
          <w:tcPr>
            <w:tcW w:w="633"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Jinqiao</w:t>
            </w:r>
            <w:proofErr w:type="spellEnd"/>
          </w:p>
        </w:tc>
        <w:tc>
          <w:tcPr>
            <w:tcW w:w="827"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Chen</w:t>
            </w:r>
            <w:proofErr w:type="spellEnd"/>
            <w:r w:rsidRPr="00CF2F04">
              <w:rPr>
                <w:color w:val="000000"/>
                <w:sz w:val="22"/>
                <w:szCs w:val="22"/>
                <w:lang w:val="es-ES_tradnl" w:eastAsia="zh-CN"/>
              </w:rPr>
              <w:t xml:space="preserve"> </w:t>
            </w:r>
          </w:p>
        </w:tc>
        <w:tc>
          <w:tcPr>
            <w:tcW w:w="887"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China</w:t>
            </w:r>
          </w:p>
        </w:tc>
        <w:tc>
          <w:tcPr>
            <w:tcW w:w="623"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Asia &amp; </w:t>
            </w:r>
            <w:proofErr w:type="spellStart"/>
            <w:r w:rsidRPr="00CF2F04">
              <w:rPr>
                <w:color w:val="000000"/>
                <w:sz w:val="22"/>
                <w:szCs w:val="22"/>
                <w:lang w:val="es-ES_tradnl" w:eastAsia="zh-CN"/>
              </w:rPr>
              <w:t>Pacific</w:t>
            </w:r>
            <w:proofErr w:type="spellEnd"/>
          </w:p>
        </w:tc>
        <w:tc>
          <w:tcPr>
            <w:tcW w:w="668" w:type="pct"/>
            <w:shd w:val="clear" w:color="DDEBF7" w:fill="DDEBF7"/>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3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Issiaka</w:t>
            </w:r>
            <w:proofErr w:type="spellEnd"/>
            <w:r w:rsidRPr="00CF2F04">
              <w:rPr>
                <w:color w:val="000000"/>
                <w:sz w:val="22"/>
                <w:szCs w:val="22"/>
                <w:lang w:val="es-ES_tradnl" w:eastAsia="zh-CN"/>
              </w:rPr>
              <w:t xml:space="preserve">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Alhabibou</w:t>
            </w:r>
            <w:proofErr w:type="spellEnd"/>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Mali</w:t>
            </w:r>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Ms</w:t>
            </w:r>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Caecilia</w:t>
            </w:r>
            <w:proofErr w:type="spellEnd"/>
            <w:r w:rsidRPr="00CF2F04">
              <w:rPr>
                <w:color w:val="000000"/>
                <w:sz w:val="22"/>
                <w:szCs w:val="22"/>
                <w:lang w:val="es-ES_tradnl" w:eastAsia="zh-CN"/>
              </w:rPr>
              <w:t xml:space="preserve">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Nyamutswa</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Zimbabwe</w:t>
            </w:r>
            <w:proofErr w:type="spellEnd"/>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Issouf</w:t>
            </w:r>
            <w:proofErr w:type="spellEnd"/>
            <w:r w:rsidRPr="00CF2F04">
              <w:rPr>
                <w:color w:val="000000"/>
                <w:sz w:val="22"/>
                <w:szCs w:val="22"/>
                <w:lang w:val="es-ES_tradnl" w:eastAsia="zh-CN"/>
              </w:rPr>
              <w:t xml:space="preserve">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Soulama</w:t>
            </w:r>
            <w:proofErr w:type="spellEnd"/>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Burkina Faso</w:t>
            </w:r>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Edva</w:t>
            </w:r>
            <w:proofErr w:type="spellEnd"/>
            <w:r w:rsidRPr="00CF2F04">
              <w:rPr>
                <w:color w:val="000000"/>
                <w:sz w:val="22"/>
                <w:szCs w:val="22"/>
                <w:lang w:val="es-ES_tradnl" w:eastAsia="zh-CN"/>
              </w:rPr>
              <w:t xml:space="preserve">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Altemar</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Haiti</w:t>
            </w:r>
            <w:proofErr w:type="spellEnd"/>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Americas</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Ms</w:t>
            </w:r>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Elisa Vieira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Leonel</w:t>
            </w:r>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Brazil</w:t>
            </w:r>
            <w:proofErr w:type="spellEnd"/>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Americas</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Anatel</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Laith</w:t>
            </w:r>
            <w:proofErr w:type="spellEnd"/>
            <w:r w:rsidRPr="00CF2F04">
              <w:rPr>
                <w:color w:val="000000"/>
                <w:sz w:val="22"/>
                <w:szCs w:val="22"/>
                <w:lang w:val="es-ES_tradnl" w:eastAsia="zh-CN"/>
              </w:rPr>
              <w:t xml:space="preserve">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Draghmeh</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State</w:t>
            </w:r>
            <w:proofErr w:type="spellEnd"/>
            <w:r w:rsidRPr="00CF2F04">
              <w:rPr>
                <w:color w:val="000000"/>
                <w:sz w:val="22"/>
                <w:szCs w:val="22"/>
                <w:lang w:val="es-ES_tradnl" w:eastAsia="zh-CN"/>
              </w:rPr>
              <w:t xml:space="preserve"> of </w:t>
            </w:r>
            <w:proofErr w:type="spellStart"/>
            <w:r w:rsidRPr="00CF2F04">
              <w:rPr>
                <w:color w:val="000000"/>
                <w:sz w:val="22"/>
                <w:szCs w:val="22"/>
                <w:lang w:val="es-ES_tradnl" w:eastAsia="zh-CN"/>
              </w:rPr>
              <w:t>Palestine</w:t>
            </w:r>
            <w:proofErr w:type="spellEnd"/>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Arab</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States</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75"/>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Mehmet </w:t>
            </w:r>
            <w:proofErr w:type="spellStart"/>
            <w:r w:rsidRPr="00CF2F04">
              <w:rPr>
                <w:color w:val="000000"/>
                <w:sz w:val="22"/>
                <w:szCs w:val="22"/>
                <w:lang w:val="es-ES_tradnl" w:eastAsia="zh-CN"/>
              </w:rPr>
              <w:t>Alper</w:t>
            </w:r>
            <w:proofErr w:type="spellEnd"/>
            <w:r w:rsidRPr="00CF2F04">
              <w:rPr>
                <w:color w:val="000000"/>
                <w:sz w:val="22"/>
                <w:szCs w:val="22"/>
                <w:lang w:val="es-ES_tradnl" w:eastAsia="zh-CN"/>
              </w:rPr>
              <w:t xml:space="preserve">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Tekin</w:t>
            </w:r>
            <w:proofErr w:type="spellEnd"/>
            <w:r w:rsidRPr="00CF2F04">
              <w:rPr>
                <w:color w:val="000000"/>
                <w:sz w:val="22"/>
                <w:szCs w:val="22"/>
                <w:lang w:val="es-ES_tradnl" w:eastAsia="zh-CN"/>
              </w:rPr>
              <w:t xml:space="preserve"> </w:t>
            </w:r>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Turkey</w:t>
            </w:r>
            <w:proofErr w:type="spellEnd"/>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Europe</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30"/>
        </w:trPr>
        <w:tc>
          <w:tcPr>
            <w:tcW w:w="536" w:type="pct"/>
            <w:shd w:val="clear" w:color="DDEBF7" w:fill="DDEBF7"/>
            <w:noWrap/>
            <w:vAlign w:val="center"/>
            <w:hideMark/>
          </w:tcPr>
          <w:p w:rsidR="005D1533" w:rsidRPr="00CF2F04" w:rsidRDefault="005D1533" w:rsidP="00184D13">
            <w:pPr>
              <w:overflowPunct/>
              <w:autoSpaceDE/>
              <w:autoSpaceDN/>
              <w:adjustRightInd/>
              <w:spacing w:before="0"/>
              <w:textAlignment w:val="auto"/>
              <w:rPr>
                <w:b/>
                <w:bCs/>
                <w:color w:val="000000"/>
                <w:sz w:val="22"/>
                <w:szCs w:val="22"/>
                <w:lang w:val="es-ES_tradnl" w:eastAsia="zh-CN"/>
              </w:rPr>
            </w:pPr>
            <w:proofErr w:type="spellStart"/>
            <w:r w:rsidRPr="00CF2F04">
              <w:rPr>
                <w:b/>
                <w:bCs/>
                <w:color w:val="000000"/>
                <w:sz w:val="22"/>
                <w:szCs w:val="22"/>
                <w:lang w:val="es-ES_tradnl" w:eastAsia="zh-CN"/>
              </w:rPr>
              <w:t>Question</w:t>
            </w:r>
            <w:proofErr w:type="spellEnd"/>
            <w:r w:rsidRPr="00CF2F04">
              <w:rPr>
                <w:b/>
                <w:bCs/>
                <w:color w:val="000000"/>
                <w:sz w:val="22"/>
                <w:szCs w:val="22"/>
                <w:lang w:val="es-ES_tradnl" w:eastAsia="zh-CN"/>
              </w:rPr>
              <w:t xml:space="preserve"> 7/1</w:t>
            </w:r>
          </w:p>
        </w:tc>
        <w:tc>
          <w:tcPr>
            <w:tcW w:w="631" w:type="pct"/>
            <w:shd w:val="clear" w:color="000000" w:fill="FFF2CC"/>
            <w:noWrap/>
            <w:vAlign w:val="center"/>
            <w:hideMark/>
          </w:tcPr>
          <w:p w:rsidR="005D1533" w:rsidRPr="00CF2F04" w:rsidRDefault="005D1533" w:rsidP="00184D13">
            <w:pPr>
              <w:overflowPunct/>
              <w:autoSpaceDE/>
              <w:autoSpaceDN/>
              <w:adjustRightInd/>
              <w:spacing w:before="0"/>
              <w:textAlignment w:val="auto"/>
              <w:rPr>
                <w:b/>
                <w:bCs/>
                <w:color w:val="000000"/>
                <w:sz w:val="22"/>
                <w:szCs w:val="22"/>
                <w:lang w:val="es-ES_tradnl" w:eastAsia="zh-CN"/>
              </w:rPr>
            </w:pPr>
            <w:proofErr w:type="spellStart"/>
            <w:r w:rsidRPr="00CF2F04">
              <w:rPr>
                <w:b/>
                <w:bCs/>
                <w:color w:val="000000"/>
                <w:sz w:val="22"/>
                <w:szCs w:val="22"/>
                <w:lang w:val="es-ES_tradnl" w:eastAsia="zh-CN"/>
              </w:rPr>
              <w:t>Rapporteur</w:t>
            </w:r>
            <w:proofErr w:type="spellEnd"/>
          </w:p>
        </w:tc>
        <w:tc>
          <w:tcPr>
            <w:tcW w:w="195"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Ms</w:t>
            </w:r>
          </w:p>
        </w:tc>
        <w:tc>
          <w:tcPr>
            <w:tcW w:w="633"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Amela</w:t>
            </w:r>
            <w:proofErr w:type="spellEnd"/>
          </w:p>
        </w:tc>
        <w:tc>
          <w:tcPr>
            <w:tcW w:w="827"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Odobašić</w:t>
            </w:r>
            <w:proofErr w:type="spellEnd"/>
          </w:p>
        </w:tc>
        <w:tc>
          <w:tcPr>
            <w:tcW w:w="887"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Bosnia and Herzegovina</w:t>
            </w:r>
          </w:p>
        </w:tc>
        <w:tc>
          <w:tcPr>
            <w:tcW w:w="623"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Europe</w:t>
            </w:r>
            <w:proofErr w:type="spellEnd"/>
          </w:p>
        </w:tc>
        <w:tc>
          <w:tcPr>
            <w:tcW w:w="668" w:type="pct"/>
            <w:shd w:val="clear" w:color="DDEBF7" w:fill="DDEBF7"/>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45"/>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Abdoulaye</w:t>
            </w:r>
            <w:proofErr w:type="spellEnd"/>
            <w:r w:rsidRPr="00CF2F04">
              <w:rPr>
                <w:color w:val="000000"/>
                <w:sz w:val="22"/>
                <w:szCs w:val="22"/>
                <w:lang w:val="es-ES_tradnl" w:eastAsia="zh-CN"/>
              </w:rPr>
              <w:t xml:space="preserve">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Dembele</w:t>
            </w:r>
            <w:proofErr w:type="spellEnd"/>
            <w:r w:rsidRPr="00CF2F04">
              <w:rPr>
                <w:color w:val="000000"/>
                <w:sz w:val="22"/>
                <w:szCs w:val="22"/>
                <w:lang w:val="es-ES_tradnl" w:eastAsia="zh-CN"/>
              </w:rPr>
              <w:t xml:space="preserve"> </w:t>
            </w:r>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Mali</w:t>
            </w:r>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Lamine </w:t>
            </w:r>
            <w:proofErr w:type="spellStart"/>
            <w:r w:rsidRPr="00CF2F04">
              <w:rPr>
                <w:color w:val="000000"/>
                <w:sz w:val="22"/>
                <w:szCs w:val="22"/>
                <w:lang w:val="es-ES_tradnl" w:eastAsia="zh-CN"/>
              </w:rPr>
              <w:t>Mahamadou</w:t>
            </w:r>
            <w:proofErr w:type="spellEnd"/>
            <w:r w:rsidRPr="00CF2F04">
              <w:rPr>
                <w:color w:val="000000"/>
                <w:sz w:val="22"/>
                <w:szCs w:val="22"/>
                <w:lang w:val="es-ES_tradnl" w:eastAsia="zh-CN"/>
              </w:rPr>
              <w:t xml:space="preserve">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Diallo</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Mali</w:t>
            </w:r>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Godfrey</w:t>
            </w:r>
            <w:proofErr w:type="spellEnd"/>
            <w:r w:rsidRPr="00CF2F04">
              <w:rPr>
                <w:color w:val="000000"/>
                <w:sz w:val="22"/>
                <w:szCs w:val="22"/>
                <w:lang w:val="es-ES_tradnl" w:eastAsia="zh-CN"/>
              </w:rPr>
              <w:t xml:space="preserve">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Muhatia</w:t>
            </w:r>
            <w:proofErr w:type="spellEnd"/>
            <w:r w:rsidRPr="00CF2F04">
              <w:rPr>
                <w:color w:val="000000"/>
                <w:sz w:val="22"/>
                <w:szCs w:val="22"/>
                <w:lang w:val="es-ES_tradnl" w:eastAsia="zh-CN"/>
              </w:rPr>
              <w:t xml:space="preserve"> </w:t>
            </w:r>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Kenya</w:t>
            </w:r>
            <w:proofErr w:type="spellEnd"/>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Issouf</w:t>
            </w:r>
            <w:proofErr w:type="spellEnd"/>
            <w:r w:rsidRPr="00CF2F04">
              <w:rPr>
                <w:color w:val="000000"/>
                <w:sz w:val="22"/>
                <w:szCs w:val="22"/>
                <w:lang w:val="es-ES_tradnl" w:eastAsia="zh-CN"/>
              </w:rPr>
              <w:t xml:space="preserve"> </w:t>
            </w:r>
          </w:p>
        </w:tc>
        <w:tc>
          <w:tcPr>
            <w:tcW w:w="827" w:type="pct"/>
            <w:shd w:val="clear" w:color="DDEBF7" w:fill="DDEBF7"/>
            <w:noWrap/>
            <w:vAlign w:val="bottom"/>
            <w:hideMark/>
          </w:tcPr>
          <w:p w:rsidR="005D1533" w:rsidRPr="00CF2F04" w:rsidRDefault="00CF2F04" w:rsidP="00184D13">
            <w:pPr>
              <w:overflowPunct/>
              <w:autoSpaceDE/>
              <w:autoSpaceDN/>
              <w:adjustRightInd/>
              <w:spacing w:before="0"/>
              <w:textAlignment w:val="auto"/>
              <w:rPr>
                <w:color w:val="000000"/>
                <w:sz w:val="22"/>
                <w:szCs w:val="22"/>
                <w:lang w:val="es-ES_tradnl" w:eastAsia="zh-CN"/>
              </w:rPr>
            </w:pPr>
            <w:proofErr w:type="spellStart"/>
            <w:r>
              <w:rPr>
                <w:color w:val="000000"/>
                <w:sz w:val="22"/>
                <w:szCs w:val="22"/>
                <w:lang w:val="es-ES_tradnl" w:eastAsia="zh-CN"/>
              </w:rPr>
              <w:t>Soulama</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Burkina Faso</w:t>
            </w:r>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Africa</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Ms</w:t>
            </w:r>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Ileana Gama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Benítez</w:t>
            </w:r>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Mexico</w:t>
            </w:r>
            <w:proofErr w:type="spellEnd"/>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Americas</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Ms</w:t>
            </w:r>
          </w:p>
        </w:tc>
        <w:tc>
          <w:tcPr>
            <w:tcW w:w="633"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Andrea</w:t>
            </w:r>
          </w:p>
        </w:tc>
        <w:tc>
          <w:tcPr>
            <w:tcW w:w="827"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Saks</w:t>
            </w:r>
            <w:proofErr w:type="spellEnd"/>
          </w:p>
        </w:tc>
        <w:tc>
          <w:tcPr>
            <w:tcW w:w="887"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United</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States</w:t>
            </w:r>
            <w:proofErr w:type="spellEnd"/>
          </w:p>
        </w:tc>
        <w:tc>
          <w:tcPr>
            <w:tcW w:w="623" w:type="pct"/>
            <w:shd w:val="clear" w:color="DDEBF7" w:fill="DDEBF7"/>
            <w:noWrap/>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Americas</w:t>
            </w:r>
            <w:proofErr w:type="spellEnd"/>
          </w:p>
        </w:tc>
        <w:tc>
          <w:tcPr>
            <w:tcW w:w="668" w:type="pct"/>
            <w:shd w:val="clear" w:color="DDEBF7" w:fill="DDEBF7"/>
            <w:vAlign w:val="center"/>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Ms</w:t>
            </w:r>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Mina </w:t>
            </w:r>
            <w:proofErr w:type="spellStart"/>
            <w:r w:rsidRPr="00CF2F04">
              <w:rPr>
                <w:color w:val="000000"/>
                <w:sz w:val="22"/>
                <w:szCs w:val="22"/>
                <w:lang w:val="es-ES_tradnl" w:eastAsia="zh-CN"/>
              </w:rPr>
              <w:t>Seonmin</w:t>
            </w:r>
            <w:proofErr w:type="spellEnd"/>
            <w:r w:rsidRPr="00CF2F04">
              <w:rPr>
                <w:color w:val="000000"/>
                <w:sz w:val="22"/>
                <w:szCs w:val="22"/>
                <w:lang w:val="es-ES_tradnl" w:eastAsia="zh-CN"/>
              </w:rPr>
              <w:t xml:space="preserve">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Jun </w:t>
            </w:r>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Korea</w:t>
            </w:r>
            <w:proofErr w:type="spellEnd"/>
            <w:r w:rsidRPr="00CF2F04">
              <w:rPr>
                <w:color w:val="000000"/>
                <w:sz w:val="22"/>
                <w:szCs w:val="22"/>
                <w:lang w:val="es-ES_tradnl" w:eastAsia="zh-CN"/>
              </w:rPr>
              <w:t xml:space="preserve"> (Rep. of)</w:t>
            </w:r>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Asia &amp; </w:t>
            </w:r>
            <w:proofErr w:type="spellStart"/>
            <w:r w:rsidRPr="00CF2F04">
              <w:rPr>
                <w:color w:val="000000"/>
                <w:sz w:val="22"/>
                <w:szCs w:val="22"/>
                <w:lang w:val="es-ES_tradnl" w:eastAsia="zh-CN"/>
              </w:rPr>
              <w:t>Pacific</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Ms</w:t>
            </w:r>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Maryam</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Tayefeh</w:t>
            </w:r>
            <w:proofErr w:type="spellEnd"/>
            <w:r w:rsidRPr="00CF2F04">
              <w:rPr>
                <w:color w:val="000000"/>
                <w:sz w:val="22"/>
                <w:szCs w:val="22"/>
                <w:lang w:val="es-ES_tradnl" w:eastAsia="zh-CN"/>
              </w:rPr>
              <w:t xml:space="preserve">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Mahmoudi</w:t>
            </w:r>
            <w:proofErr w:type="spellEnd"/>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Iran</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Islamic</w:t>
            </w:r>
            <w:proofErr w:type="spellEnd"/>
            <w:r w:rsidRPr="00CF2F04">
              <w:rPr>
                <w:color w:val="000000"/>
                <w:sz w:val="22"/>
                <w:szCs w:val="22"/>
                <w:lang w:val="es-ES_tradnl" w:eastAsia="zh-CN"/>
              </w:rPr>
              <w:t xml:space="preserve"> </w:t>
            </w:r>
            <w:proofErr w:type="spellStart"/>
            <w:r w:rsidRPr="00CF2F04">
              <w:rPr>
                <w:color w:val="000000"/>
                <w:sz w:val="22"/>
                <w:szCs w:val="22"/>
                <w:lang w:val="es-ES_tradnl" w:eastAsia="zh-CN"/>
              </w:rPr>
              <w:t>Republic</w:t>
            </w:r>
            <w:proofErr w:type="spellEnd"/>
            <w:r w:rsidRPr="00CF2F04">
              <w:rPr>
                <w:color w:val="000000"/>
                <w:sz w:val="22"/>
                <w:szCs w:val="22"/>
                <w:lang w:val="es-ES_tradnl" w:eastAsia="zh-CN"/>
              </w:rPr>
              <w:t xml:space="preserve"> of)</w:t>
            </w:r>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Asia &amp; </w:t>
            </w:r>
            <w:proofErr w:type="spellStart"/>
            <w:r w:rsidRPr="00CF2F04">
              <w:rPr>
                <w:color w:val="000000"/>
                <w:sz w:val="22"/>
                <w:szCs w:val="22"/>
                <w:lang w:val="es-ES_tradnl" w:eastAsia="zh-CN"/>
              </w:rPr>
              <w:t>Pacific</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auto" w:fill="auto"/>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p>
        </w:tc>
        <w:tc>
          <w:tcPr>
            <w:tcW w:w="63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Mitsuji</w:t>
            </w:r>
            <w:proofErr w:type="spellEnd"/>
            <w:r w:rsidRPr="00CF2F04">
              <w:rPr>
                <w:color w:val="000000"/>
                <w:sz w:val="22"/>
                <w:szCs w:val="22"/>
                <w:lang w:val="es-ES_tradnl" w:eastAsia="zh-CN"/>
              </w:rPr>
              <w:t xml:space="preserve"> </w:t>
            </w:r>
          </w:p>
        </w:tc>
        <w:tc>
          <w:tcPr>
            <w:tcW w:w="82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Matsumoto</w:t>
            </w:r>
            <w:proofErr w:type="spellEnd"/>
          </w:p>
        </w:tc>
        <w:tc>
          <w:tcPr>
            <w:tcW w:w="887"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Japan</w:t>
            </w:r>
            <w:proofErr w:type="spellEnd"/>
          </w:p>
        </w:tc>
        <w:tc>
          <w:tcPr>
            <w:tcW w:w="623" w:type="pct"/>
            <w:shd w:val="clear" w:color="auto" w:fill="auto"/>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Asia &amp; </w:t>
            </w:r>
            <w:proofErr w:type="spellStart"/>
            <w:r w:rsidRPr="00CF2F04">
              <w:rPr>
                <w:color w:val="000000"/>
                <w:sz w:val="22"/>
                <w:szCs w:val="22"/>
                <w:lang w:val="es-ES_tradnl" w:eastAsia="zh-CN"/>
              </w:rPr>
              <w:t>Pacific</w:t>
            </w:r>
            <w:proofErr w:type="spellEnd"/>
          </w:p>
        </w:tc>
        <w:tc>
          <w:tcPr>
            <w:tcW w:w="668" w:type="pct"/>
            <w:shd w:val="clear" w:color="auto" w:fill="auto"/>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CF2F04" w:rsidTr="003C4E3D">
        <w:trPr>
          <w:trHeight w:val="300"/>
        </w:trPr>
        <w:tc>
          <w:tcPr>
            <w:tcW w:w="536" w:type="pct"/>
            <w:shd w:val="clear" w:color="DDEBF7" w:fill="DDEBF7"/>
            <w:noWrap/>
            <w:vAlign w:val="bottom"/>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Ms</w:t>
            </w:r>
          </w:p>
        </w:tc>
        <w:tc>
          <w:tcPr>
            <w:tcW w:w="63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Yinghua</w:t>
            </w:r>
            <w:proofErr w:type="spellEnd"/>
            <w:r w:rsidRPr="00CF2F04">
              <w:rPr>
                <w:color w:val="000000"/>
                <w:sz w:val="22"/>
                <w:szCs w:val="22"/>
                <w:lang w:val="es-ES_tradnl" w:eastAsia="zh-CN"/>
              </w:rPr>
              <w:t xml:space="preserve"> </w:t>
            </w:r>
          </w:p>
        </w:tc>
        <w:tc>
          <w:tcPr>
            <w:tcW w:w="82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Wu</w:t>
            </w:r>
            <w:proofErr w:type="spellEnd"/>
            <w:r w:rsidRPr="00CF2F04">
              <w:rPr>
                <w:color w:val="000000"/>
                <w:sz w:val="22"/>
                <w:szCs w:val="22"/>
                <w:lang w:val="es-ES_tradnl" w:eastAsia="zh-CN"/>
              </w:rPr>
              <w:t xml:space="preserve"> </w:t>
            </w:r>
          </w:p>
        </w:tc>
        <w:tc>
          <w:tcPr>
            <w:tcW w:w="887"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China</w:t>
            </w:r>
          </w:p>
        </w:tc>
        <w:tc>
          <w:tcPr>
            <w:tcW w:w="623" w:type="pct"/>
            <w:shd w:val="clear" w:color="DDEBF7" w:fill="DDEBF7"/>
            <w:noWrap/>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 xml:space="preserve">Asia &amp; </w:t>
            </w:r>
            <w:proofErr w:type="spellStart"/>
            <w:r w:rsidRPr="00CF2F04">
              <w:rPr>
                <w:color w:val="000000"/>
                <w:sz w:val="22"/>
                <w:szCs w:val="22"/>
                <w:lang w:val="es-ES_tradnl" w:eastAsia="zh-CN"/>
              </w:rPr>
              <w:t>Pacific</w:t>
            </w:r>
            <w:proofErr w:type="spellEnd"/>
          </w:p>
        </w:tc>
        <w:tc>
          <w:tcPr>
            <w:tcW w:w="668" w:type="pct"/>
            <w:shd w:val="clear" w:color="DDEBF7" w:fill="DDEBF7"/>
            <w:vAlign w:val="bottom"/>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Administration</w:t>
            </w:r>
            <w:proofErr w:type="spellEnd"/>
          </w:p>
        </w:tc>
      </w:tr>
      <w:tr w:rsidR="005D1533" w:rsidRPr="004D42A2" w:rsidTr="003C4E3D">
        <w:trPr>
          <w:trHeight w:val="600"/>
        </w:trPr>
        <w:tc>
          <w:tcPr>
            <w:tcW w:w="536" w:type="pct"/>
            <w:shd w:val="clear" w:color="auto" w:fill="auto"/>
            <w:noWrap/>
          </w:tcPr>
          <w:p w:rsidR="005D1533" w:rsidRPr="00CF2F04" w:rsidRDefault="005D1533" w:rsidP="00184D13">
            <w:pPr>
              <w:overflowPunct/>
              <w:autoSpaceDE/>
              <w:autoSpaceDN/>
              <w:adjustRightInd/>
              <w:spacing w:before="0"/>
              <w:textAlignment w:val="auto"/>
              <w:rPr>
                <w:color w:val="000000"/>
                <w:sz w:val="22"/>
                <w:szCs w:val="22"/>
                <w:lang w:val="es-ES_tradnl" w:eastAsia="zh-CN"/>
              </w:rPr>
            </w:pPr>
          </w:p>
        </w:tc>
        <w:tc>
          <w:tcPr>
            <w:tcW w:w="631" w:type="pct"/>
            <w:shd w:val="clear" w:color="auto" w:fill="auto"/>
            <w:noWrap/>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Vice-</w:t>
            </w:r>
            <w:proofErr w:type="spellStart"/>
            <w:r w:rsidRPr="00CF2F04">
              <w:rPr>
                <w:color w:val="000000"/>
                <w:sz w:val="22"/>
                <w:szCs w:val="22"/>
                <w:lang w:val="es-ES_tradnl" w:eastAsia="zh-CN"/>
              </w:rPr>
              <w:t>Rapporteur</w:t>
            </w:r>
            <w:proofErr w:type="spellEnd"/>
          </w:p>
        </w:tc>
        <w:tc>
          <w:tcPr>
            <w:tcW w:w="195" w:type="pct"/>
            <w:shd w:val="clear" w:color="auto" w:fill="auto"/>
            <w:noWrap/>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Mr</w:t>
            </w:r>
            <w:proofErr w:type="spellEnd"/>
            <w:r w:rsidRPr="00CF2F04">
              <w:rPr>
                <w:color w:val="000000"/>
                <w:sz w:val="22"/>
                <w:szCs w:val="22"/>
                <w:lang w:val="es-ES_tradnl" w:eastAsia="zh-CN"/>
              </w:rPr>
              <w:t xml:space="preserve"> </w:t>
            </w:r>
          </w:p>
        </w:tc>
        <w:tc>
          <w:tcPr>
            <w:tcW w:w="633" w:type="pct"/>
            <w:shd w:val="clear" w:color="auto" w:fill="auto"/>
            <w:noWrap/>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r w:rsidRPr="00CF2F04">
              <w:rPr>
                <w:color w:val="000000"/>
                <w:sz w:val="22"/>
                <w:szCs w:val="22"/>
                <w:lang w:val="es-ES_tradnl" w:eastAsia="zh-CN"/>
              </w:rPr>
              <w:t>George Anthony</w:t>
            </w:r>
          </w:p>
        </w:tc>
        <w:tc>
          <w:tcPr>
            <w:tcW w:w="827" w:type="pct"/>
            <w:shd w:val="clear" w:color="auto" w:fill="auto"/>
            <w:noWrap/>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Giannoumis</w:t>
            </w:r>
            <w:proofErr w:type="spellEnd"/>
          </w:p>
        </w:tc>
        <w:tc>
          <w:tcPr>
            <w:tcW w:w="887" w:type="pct"/>
            <w:shd w:val="clear" w:color="auto" w:fill="auto"/>
            <w:noWrap/>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Norway</w:t>
            </w:r>
            <w:proofErr w:type="spellEnd"/>
          </w:p>
        </w:tc>
        <w:tc>
          <w:tcPr>
            <w:tcW w:w="623" w:type="pct"/>
            <w:shd w:val="clear" w:color="auto" w:fill="auto"/>
            <w:noWrap/>
            <w:hideMark/>
          </w:tcPr>
          <w:p w:rsidR="005D1533" w:rsidRPr="00CF2F04" w:rsidRDefault="005D1533" w:rsidP="00184D13">
            <w:pPr>
              <w:overflowPunct/>
              <w:autoSpaceDE/>
              <w:autoSpaceDN/>
              <w:adjustRightInd/>
              <w:spacing w:before="0"/>
              <w:textAlignment w:val="auto"/>
              <w:rPr>
                <w:color w:val="000000"/>
                <w:sz w:val="22"/>
                <w:szCs w:val="22"/>
                <w:lang w:val="es-ES_tradnl" w:eastAsia="zh-CN"/>
              </w:rPr>
            </w:pPr>
            <w:proofErr w:type="spellStart"/>
            <w:r w:rsidRPr="00CF2F04">
              <w:rPr>
                <w:color w:val="000000"/>
                <w:sz w:val="22"/>
                <w:szCs w:val="22"/>
                <w:lang w:val="es-ES_tradnl" w:eastAsia="zh-CN"/>
              </w:rPr>
              <w:t>Europe</w:t>
            </w:r>
            <w:proofErr w:type="spellEnd"/>
          </w:p>
        </w:tc>
        <w:tc>
          <w:tcPr>
            <w:tcW w:w="668" w:type="pct"/>
            <w:shd w:val="clear" w:color="auto" w:fill="auto"/>
            <w:hideMark/>
          </w:tcPr>
          <w:p w:rsidR="005D1533" w:rsidRPr="001704D7" w:rsidRDefault="005D1533" w:rsidP="00184D13">
            <w:pPr>
              <w:overflowPunct/>
              <w:autoSpaceDE/>
              <w:autoSpaceDN/>
              <w:adjustRightInd/>
              <w:spacing w:before="0"/>
              <w:textAlignment w:val="auto"/>
              <w:rPr>
                <w:color w:val="000000"/>
                <w:sz w:val="22"/>
                <w:szCs w:val="22"/>
                <w:lang w:val="en-GB" w:eastAsia="zh-CN"/>
              </w:rPr>
            </w:pPr>
            <w:r w:rsidRPr="001704D7">
              <w:rPr>
                <w:color w:val="000000"/>
                <w:sz w:val="22"/>
                <w:szCs w:val="22"/>
                <w:lang w:val="en-GB" w:eastAsia="zh-CN"/>
              </w:rPr>
              <w:t xml:space="preserve">Oslo and </w:t>
            </w:r>
            <w:proofErr w:type="spellStart"/>
            <w:r w:rsidRPr="001704D7">
              <w:rPr>
                <w:color w:val="000000"/>
                <w:sz w:val="22"/>
                <w:szCs w:val="22"/>
                <w:lang w:val="en-GB" w:eastAsia="zh-CN"/>
              </w:rPr>
              <w:t>Akershus</w:t>
            </w:r>
            <w:proofErr w:type="spellEnd"/>
            <w:r w:rsidRPr="001704D7">
              <w:rPr>
                <w:color w:val="000000"/>
                <w:sz w:val="22"/>
                <w:szCs w:val="22"/>
                <w:lang w:val="en-GB" w:eastAsia="zh-CN"/>
              </w:rPr>
              <w:t xml:space="preserve"> University College of Applied Sciences</w:t>
            </w:r>
          </w:p>
        </w:tc>
      </w:tr>
    </w:tbl>
    <w:p w:rsidR="005D1533" w:rsidRPr="001704D7" w:rsidRDefault="005D1533" w:rsidP="00184D13">
      <w:pPr>
        <w:pStyle w:val="CEOAgendaItemN"/>
        <w:ind w:right="11"/>
        <w:jc w:val="center"/>
        <w:rPr>
          <w:szCs w:val="24"/>
          <w:lang w:val="en-GB"/>
        </w:rPr>
      </w:pPr>
    </w:p>
    <w:p w:rsidR="005D1533" w:rsidRPr="001704D7" w:rsidRDefault="005D1533" w:rsidP="00184D13">
      <w:pPr>
        <w:spacing w:before="0"/>
        <w:rPr>
          <w:b/>
          <w:szCs w:val="24"/>
          <w:lang w:val="en-GB"/>
        </w:rPr>
        <w:sectPr w:rsidR="005D1533" w:rsidRPr="001704D7" w:rsidSect="00CA30A3">
          <w:headerReference w:type="default" r:id="rId35"/>
          <w:headerReference w:type="first" r:id="rId36"/>
          <w:footerReference w:type="first" r:id="rId37"/>
          <w:pgSz w:w="16834" w:h="11907" w:orient="landscape" w:code="9"/>
          <w:pgMar w:top="1134" w:right="1418" w:bottom="1134" w:left="851" w:header="720" w:footer="567" w:gutter="0"/>
          <w:paperSrc w:first="4" w:other="4"/>
          <w:cols w:space="720"/>
          <w:titlePg/>
          <w:docGrid w:linePitch="326"/>
        </w:sectPr>
      </w:pPr>
    </w:p>
    <w:p w:rsidR="00AB2511" w:rsidRDefault="00A71B7B" w:rsidP="00AB2511">
      <w:pPr>
        <w:pStyle w:val="Annextitle"/>
        <w:spacing w:before="120" w:after="120"/>
        <w:rPr>
          <w:lang w:val="es-ES_tradnl"/>
        </w:rPr>
      </w:pPr>
      <w:r w:rsidRPr="00CF2F04">
        <w:rPr>
          <w:lang w:val="es-ES_tradnl"/>
        </w:rPr>
        <w:lastRenderedPageBreak/>
        <w:t>Anexo 2: Plan de trabajo de la Comisión de Estudio 1 del UIT-D</w:t>
      </w:r>
    </w:p>
    <w:p w:rsidR="00C05030" w:rsidRDefault="001A4BB8" w:rsidP="00AB2511">
      <w:pPr>
        <w:pStyle w:val="Annextitle"/>
        <w:spacing w:before="120" w:after="120"/>
        <w:rPr>
          <w:lang w:val="es-ES_tradnl"/>
        </w:rPr>
      </w:pPr>
      <w:r>
        <w:rPr>
          <w:lang w:val="es-ES_tradnl"/>
        </w:rPr>
        <w:t>Plan de trabajo de la Comisión de Estudio 1 del UIT-D (2018-2021)</w:t>
      </w:r>
    </w:p>
    <w:p w:rsidR="00C05030" w:rsidRPr="00C05030" w:rsidRDefault="00C05030" w:rsidP="00C05030">
      <w:pPr>
        <w:jc w:val="right"/>
        <w:rPr>
          <w:sz w:val="18"/>
          <w:szCs w:val="14"/>
          <w:lang w:val="es-ES"/>
        </w:rPr>
      </w:pPr>
    </w:p>
    <w:tbl>
      <w:tblPr>
        <w:tblStyle w:val="TableGrid"/>
        <w:tblW w:w="15202" w:type="dxa"/>
        <w:jc w:val="center"/>
        <w:tblLayout w:type="fixed"/>
        <w:tblLook w:val="04A0" w:firstRow="1" w:lastRow="0" w:firstColumn="1" w:lastColumn="0" w:noHBand="0" w:noVBand="1"/>
      </w:tblPr>
      <w:tblGrid>
        <w:gridCol w:w="812"/>
        <w:gridCol w:w="1946"/>
        <w:gridCol w:w="1932"/>
        <w:gridCol w:w="1973"/>
        <w:gridCol w:w="1988"/>
        <w:gridCol w:w="2002"/>
        <w:gridCol w:w="1945"/>
        <w:gridCol w:w="2310"/>
        <w:gridCol w:w="294"/>
      </w:tblGrid>
      <w:tr w:rsidR="00C05030" w:rsidRPr="00925D30" w:rsidTr="00C30D4F">
        <w:trPr>
          <w:cantSplit/>
          <w:jc w:val="center"/>
        </w:trPr>
        <w:tc>
          <w:tcPr>
            <w:tcW w:w="812" w:type="dxa"/>
            <w:tcBorders>
              <w:top w:val="nil"/>
              <w:left w:val="nil"/>
              <w:bottom w:val="nil"/>
            </w:tcBorders>
          </w:tcPr>
          <w:p w:rsidR="00C05030" w:rsidRPr="00AB2511" w:rsidRDefault="00C05030" w:rsidP="00C30D4F">
            <w:pPr>
              <w:pStyle w:val="Tablehead"/>
              <w:rPr>
                <w:sz w:val="16"/>
                <w:szCs w:val="16"/>
                <w:lang w:val="es-ES_tradnl"/>
              </w:rPr>
            </w:pPr>
          </w:p>
        </w:tc>
        <w:tc>
          <w:tcPr>
            <w:tcW w:w="3878" w:type="dxa"/>
            <w:gridSpan w:val="2"/>
            <w:shd w:val="clear" w:color="auto" w:fill="A6A6A6" w:themeFill="background1" w:themeFillShade="A6"/>
          </w:tcPr>
          <w:p w:rsidR="00C05030" w:rsidRPr="00AB2511" w:rsidRDefault="00C05030" w:rsidP="00C30D4F">
            <w:pPr>
              <w:pStyle w:val="Tablehead"/>
              <w:jc w:val="left"/>
              <w:rPr>
                <w:sz w:val="16"/>
                <w:szCs w:val="16"/>
                <w:lang w:val="fr-FR"/>
              </w:rPr>
            </w:pPr>
            <w:r w:rsidRPr="00AB2511">
              <w:rPr>
                <w:color w:val="FFFFFF" w:themeColor="background1"/>
                <w:sz w:val="16"/>
                <w:szCs w:val="16"/>
                <w:lang w:val="fr-FR"/>
              </w:rPr>
              <w:t>Informe al GADT</w:t>
            </w:r>
            <w:r w:rsidRPr="00AB2511">
              <w:rPr>
                <w:color w:val="FFFFFF" w:themeColor="background1"/>
                <w:sz w:val="16"/>
                <w:szCs w:val="16"/>
                <w:lang w:val="fr-FR"/>
              </w:rPr>
              <w:tab/>
            </w:r>
            <w:r w:rsidRPr="00AB2511">
              <w:rPr>
                <w:sz w:val="16"/>
                <w:szCs w:val="16"/>
                <w:lang w:val="fr-FR"/>
              </w:rPr>
              <w:tab/>
              <w:t>2018</w:t>
            </w:r>
          </w:p>
        </w:tc>
        <w:tc>
          <w:tcPr>
            <w:tcW w:w="3961" w:type="dxa"/>
            <w:gridSpan w:val="2"/>
            <w:shd w:val="clear" w:color="auto" w:fill="A6A6A6" w:themeFill="background1" w:themeFillShade="A6"/>
          </w:tcPr>
          <w:p w:rsidR="00C05030" w:rsidRPr="00AB2511" w:rsidRDefault="00C05030" w:rsidP="00C30D4F">
            <w:pPr>
              <w:pStyle w:val="Tablehead"/>
              <w:jc w:val="left"/>
              <w:rPr>
                <w:sz w:val="16"/>
                <w:szCs w:val="16"/>
                <w:lang w:val="es-ES_tradnl"/>
              </w:rPr>
            </w:pPr>
            <w:r w:rsidRPr="00AB2511">
              <w:rPr>
                <w:color w:val="FFFFFF" w:themeColor="background1"/>
                <w:sz w:val="16"/>
                <w:szCs w:val="16"/>
                <w:lang w:val="es-ES_tradnl"/>
              </w:rPr>
              <w:t>Informe al GADT</w:t>
            </w:r>
            <w:r w:rsidRPr="00AB2511">
              <w:rPr>
                <w:sz w:val="16"/>
                <w:szCs w:val="16"/>
                <w:lang w:val="es-ES_tradnl"/>
              </w:rPr>
              <w:tab/>
            </w:r>
            <w:r w:rsidRPr="00AB2511">
              <w:rPr>
                <w:sz w:val="16"/>
                <w:szCs w:val="16"/>
                <w:lang w:val="es-ES_tradnl"/>
              </w:rPr>
              <w:tab/>
              <w:t>2019</w:t>
            </w:r>
          </w:p>
        </w:tc>
        <w:tc>
          <w:tcPr>
            <w:tcW w:w="3947" w:type="dxa"/>
            <w:gridSpan w:val="2"/>
            <w:shd w:val="clear" w:color="auto" w:fill="A6A6A6" w:themeFill="background1" w:themeFillShade="A6"/>
          </w:tcPr>
          <w:p w:rsidR="00C05030" w:rsidRPr="00AB2511" w:rsidRDefault="00C05030" w:rsidP="00C30D4F">
            <w:pPr>
              <w:pStyle w:val="Tablehead"/>
              <w:tabs>
                <w:tab w:val="clear" w:pos="1985"/>
                <w:tab w:val="left" w:pos="1924"/>
              </w:tabs>
              <w:jc w:val="left"/>
              <w:rPr>
                <w:sz w:val="16"/>
                <w:szCs w:val="16"/>
                <w:lang w:val="es-ES_tradnl"/>
              </w:rPr>
            </w:pPr>
            <w:r w:rsidRPr="00AB2511">
              <w:rPr>
                <w:color w:val="FFFFFF" w:themeColor="background1"/>
                <w:sz w:val="16"/>
                <w:szCs w:val="16"/>
                <w:lang w:val="es-ES_tradnl"/>
              </w:rPr>
              <w:t>Informe al GADT</w:t>
            </w:r>
            <w:r w:rsidRPr="00AB2511">
              <w:rPr>
                <w:sz w:val="16"/>
                <w:szCs w:val="16"/>
                <w:lang w:val="es-ES_tradnl"/>
              </w:rPr>
              <w:tab/>
            </w:r>
            <w:r w:rsidRPr="00AB2511">
              <w:rPr>
                <w:sz w:val="16"/>
                <w:szCs w:val="16"/>
                <w:lang w:val="es-ES_tradnl"/>
              </w:rPr>
              <w:tab/>
              <w:t>2020</w:t>
            </w:r>
          </w:p>
        </w:tc>
        <w:tc>
          <w:tcPr>
            <w:tcW w:w="2310" w:type="dxa"/>
            <w:shd w:val="clear" w:color="auto" w:fill="A6A6A6" w:themeFill="background1" w:themeFillShade="A6"/>
          </w:tcPr>
          <w:p w:rsidR="00C05030" w:rsidRPr="00AB2511" w:rsidRDefault="00AB2511" w:rsidP="00C30D4F">
            <w:pPr>
              <w:pStyle w:val="Tablehead"/>
              <w:tabs>
                <w:tab w:val="clear" w:pos="284"/>
                <w:tab w:val="clear" w:pos="567"/>
                <w:tab w:val="clear" w:pos="851"/>
                <w:tab w:val="clear" w:pos="1134"/>
                <w:tab w:val="clear" w:pos="1418"/>
                <w:tab w:val="clear" w:pos="1701"/>
                <w:tab w:val="clear" w:pos="1985"/>
                <w:tab w:val="clear" w:pos="2268"/>
                <w:tab w:val="left" w:pos="477"/>
              </w:tabs>
              <w:ind w:left="902" w:hanging="863"/>
              <w:jc w:val="left"/>
              <w:rPr>
                <w:sz w:val="16"/>
                <w:szCs w:val="16"/>
                <w:lang w:val="es-ES_tradnl"/>
              </w:rPr>
            </w:pPr>
            <w:r>
              <w:rPr>
                <w:sz w:val="16"/>
                <w:szCs w:val="16"/>
                <w:lang w:val="es-ES_tradnl"/>
              </w:rPr>
              <w:tab/>
            </w:r>
            <w:r w:rsidR="00C05030" w:rsidRPr="00AB2511">
              <w:rPr>
                <w:sz w:val="16"/>
                <w:szCs w:val="16"/>
                <w:lang w:val="es-ES_tradnl"/>
              </w:rPr>
              <w:t>2021</w:t>
            </w:r>
            <w:r w:rsidR="00C05030" w:rsidRPr="00AB2511">
              <w:rPr>
                <w:sz w:val="16"/>
                <w:szCs w:val="16"/>
                <w:lang w:val="es-ES_tradnl"/>
              </w:rPr>
              <w:tab/>
            </w:r>
            <w:r w:rsidR="00C05030" w:rsidRPr="00AB2511">
              <w:rPr>
                <w:color w:val="FFFFFF" w:themeColor="background1"/>
                <w:sz w:val="16"/>
                <w:szCs w:val="16"/>
                <w:lang w:val="es-ES_tradnl"/>
              </w:rPr>
              <w:t>Informe al GADT/CMDT</w:t>
            </w:r>
          </w:p>
        </w:tc>
        <w:tc>
          <w:tcPr>
            <w:tcW w:w="294" w:type="dxa"/>
            <w:vMerge w:val="restart"/>
            <w:shd w:val="clear" w:color="auto" w:fill="A6A6A6" w:themeFill="background1" w:themeFillShade="A6"/>
            <w:textDirection w:val="tbRl"/>
          </w:tcPr>
          <w:p w:rsidR="00C05030" w:rsidRPr="00AB2511" w:rsidRDefault="00C05030" w:rsidP="00C30D4F">
            <w:pPr>
              <w:pStyle w:val="Tablehead"/>
              <w:tabs>
                <w:tab w:val="clear" w:pos="284"/>
                <w:tab w:val="clear" w:pos="567"/>
                <w:tab w:val="clear" w:pos="851"/>
                <w:tab w:val="clear" w:pos="1134"/>
                <w:tab w:val="clear" w:pos="1418"/>
                <w:tab w:val="clear" w:pos="1701"/>
                <w:tab w:val="clear" w:pos="1985"/>
                <w:tab w:val="clear" w:pos="2268"/>
                <w:tab w:val="left" w:pos="1740"/>
              </w:tabs>
              <w:spacing w:before="20" w:after="20"/>
              <w:ind w:left="113"/>
              <w:rPr>
                <w:b w:val="0"/>
                <w:bCs/>
                <w:sz w:val="16"/>
                <w:szCs w:val="16"/>
                <w:lang w:val="es-ES_tradnl"/>
              </w:rPr>
            </w:pPr>
            <w:r w:rsidRPr="00AB2511">
              <w:rPr>
                <w:b w:val="0"/>
                <w:bCs/>
                <w:sz w:val="16"/>
                <w:szCs w:val="16"/>
                <w:lang w:val="es-ES_tradnl"/>
              </w:rPr>
              <w:t>CMDT-21</w:t>
            </w:r>
          </w:p>
        </w:tc>
      </w:tr>
      <w:tr w:rsidR="00C05030" w:rsidRPr="00EE6798" w:rsidTr="00C30D4F">
        <w:trPr>
          <w:jc w:val="center"/>
        </w:trPr>
        <w:tc>
          <w:tcPr>
            <w:tcW w:w="812" w:type="dxa"/>
            <w:tcBorders>
              <w:top w:val="nil"/>
              <w:left w:val="nil"/>
              <w:bottom w:val="single" w:sz="8" w:space="0" w:color="FFFFFF" w:themeColor="background1"/>
              <w:right w:val="nil"/>
            </w:tcBorders>
            <w:shd w:val="clear" w:color="auto" w:fill="595959" w:themeFill="text1" w:themeFillTint="A6"/>
            <w:vAlign w:val="center"/>
          </w:tcPr>
          <w:p w:rsidR="00C05030" w:rsidRPr="002953E4" w:rsidRDefault="00C05030" w:rsidP="00C30D4F">
            <w:pPr>
              <w:pStyle w:val="Tabletext"/>
              <w:spacing w:before="20" w:after="20"/>
              <w:jc w:val="center"/>
              <w:rPr>
                <w:b/>
                <w:bCs/>
                <w:color w:val="FFFFFF" w:themeColor="background1"/>
                <w:sz w:val="15"/>
                <w:szCs w:val="15"/>
                <w:lang w:val="es-ES_tradnl"/>
              </w:rPr>
            </w:pPr>
            <w:r w:rsidRPr="002953E4">
              <w:rPr>
                <w:b/>
                <w:bCs/>
                <w:color w:val="FFFFFF" w:themeColor="background1"/>
                <w:sz w:val="15"/>
                <w:szCs w:val="15"/>
                <w:lang w:val="es-ES_tradnl"/>
              </w:rPr>
              <w:t>Cuestión</w:t>
            </w:r>
          </w:p>
        </w:tc>
        <w:tc>
          <w:tcPr>
            <w:tcW w:w="1946" w:type="dxa"/>
            <w:tcBorders>
              <w:left w:val="nil"/>
              <w:bottom w:val="single" w:sz="8" w:space="0" w:color="FFFFFF" w:themeColor="background1"/>
              <w:right w:val="single" w:sz="4" w:space="0" w:color="FFFFFF" w:themeColor="background1"/>
            </w:tcBorders>
            <w:shd w:val="clear" w:color="auto" w:fill="595959" w:themeFill="text1" w:themeFillTint="A6"/>
          </w:tcPr>
          <w:p w:rsidR="001A4BB8" w:rsidRPr="00AB2511" w:rsidRDefault="00C05030" w:rsidP="001A4BB8">
            <w:pPr>
              <w:pStyle w:val="Tabletext"/>
              <w:spacing w:before="20" w:after="20"/>
              <w:ind w:left="-57" w:right="-57"/>
              <w:jc w:val="center"/>
              <w:rPr>
                <w:b/>
                <w:bCs/>
                <w:color w:val="FFFFFF" w:themeColor="background1"/>
                <w:sz w:val="16"/>
                <w:szCs w:val="16"/>
                <w:lang w:val="es-ES_tradnl"/>
              </w:rPr>
            </w:pPr>
            <w:r w:rsidRPr="00AB2511">
              <w:rPr>
                <w:b/>
                <w:bCs/>
                <w:color w:val="FFFFFF" w:themeColor="background1"/>
                <w:sz w:val="16"/>
                <w:szCs w:val="16"/>
                <w:lang w:val="es-ES_tradnl"/>
              </w:rPr>
              <w:t xml:space="preserve">1ª reunión anual </w:t>
            </w:r>
            <w:r w:rsidR="002953E4">
              <w:rPr>
                <w:b/>
                <w:bCs/>
                <w:color w:val="FFFFFF" w:themeColor="background1"/>
                <w:sz w:val="16"/>
                <w:szCs w:val="16"/>
                <w:lang w:val="es-ES_tradnl"/>
              </w:rPr>
              <w:br/>
            </w:r>
            <w:r w:rsidRPr="00AB2511">
              <w:rPr>
                <w:b/>
                <w:bCs/>
                <w:color w:val="FFFFFF" w:themeColor="background1"/>
                <w:sz w:val="16"/>
                <w:szCs w:val="16"/>
                <w:lang w:val="es-ES_tradnl"/>
              </w:rPr>
              <w:t>de la CE 1</w:t>
            </w:r>
          </w:p>
          <w:p w:rsidR="00C05030" w:rsidRPr="00AB2511" w:rsidRDefault="002953E4" w:rsidP="001A4BB8">
            <w:pPr>
              <w:pStyle w:val="Tabletext"/>
              <w:spacing w:before="20" w:after="20"/>
              <w:ind w:left="-57" w:right="-57"/>
              <w:jc w:val="center"/>
              <w:rPr>
                <w:b/>
                <w:bCs/>
                <w:color w:val="FFFFFF" w:themeColor="background1"/>
                <w:sz w:val="16"/>
                <w:szCs w:val="16"/>
                <w:lang w:val="es-ES_tradnl"/>
              </w:rPr>
            </w:pPr>
            <w:r>
              <w:rPr>
                <w:b/>
                <w:bCs/>
                <w:color w:val="FFFFFF" w:themeColor="background1"/>
                <w:sz w:val="16"/>
                <w:szCs w:val="16"/>
                <w:lang w:val="es-ES_tradnl"/>
              </w:rPr>
              <w:t>(30 abril–</w:t>
            </w:r>
            <w:r w:rsidR="00C05030" w:rsidRPr="00AB2511">
              <w:rPr>
                <w:b/>
                <w:bCs/>
                <w:color w:val="FFFFFF" w:themeColor="background1"/>
                <w:sz w:val="16"/>
                <w:szCs w:val="16"/>
                <w:lang w:val="es-ES_tradnl"/>
              </w:rPr>
              <w:t>4 mayo 2018)*</w:t>
            </w:r>
          </w:p>
        </w:tc>
        <w:tc>
          <w:tcPr>
            <w:tcW w:w="1932" w:type="dxa"/>
            <w:tcBorders>
              <w:left w:val="single" w:sz="4" w:space="0" w:color="FFFFFF" w:themeColor="background1"/>
              <w:bottom w:val="single" w:sz="8" w:space="0" w:color="FFFFFF" w:themeColor="background1"/>
              <w:right w:val="single" w:sz="4" w:space="0" w:color="FFFFFF" w:themeColor="background1"/>
            </w:tcBorders>
            <w:shd w:val="clear" w:color="auto" w:fill="595959" w:themeFill="text1" w:themeFillTint="A6"/>
          </w:tcPr>
          <w:p w:rsidR="00C05030" w:rsidRPr="00AB2511" w:rsidRDefault="00C05030" w:rsidP="00C30D4F">
            <w:pPr>
              <w:pStyle w:val="Tabletext"/>
              <w:spacing w:before="20" w:after="20"/>
              <w:jc w:val="center"/>
              <w:rPr>
                <w:color w:val="FFFFFF" w:themeColor="background1"/>
                <w:sz w:val="16"/>
                <w:szCs w:val="16"/>
                <w:lang w:val="es-ES_tradnl"/>
              </w:rPr>
            </w:pPr>
            <w:r w:rsidRPr="00AB2511">
              <w:rPr>
                <w:b/>
                <w:bCs/>
                <w:color w:val="FFFFFF" w:themeColor="background1"/>
                <w:sz w:val="16"/>
                <w:szCs w:val="16"/>
                <w:lang w:val="es-ES_tradnl"/>
              </w:rPr>
              <w:t>Reuniones del Grupo de Relator de la CE </w:t>
            </w:r>
            <w:r w:rsidRPr="00AB2511">
              <w:rPr>
                <w:b/>
                <w:bCs/>
                <w:color w:val="FFFFFF" w:themeColor="background1"/>
                <w:sz w:val="16"/>
                <w:szCs w:val="16"/>
                <w:lang w:val="es-ES"/>
              </w:rPr>
              <w:t>1</w:t>
            </w:r>
            <w:r w:rsidRPr="00AB2511">
              <w:rPr>
                <w:b/>
                <w:bCs/>
                <w:color w:val="FFFFFF" w:themeColor="background1"/>
                <w:sz w:val="16"/>
                <w:szCs w:val="16"/>
                <w:lang w:val="es-ES_tradnl"/>
              </w:rPr>
              <w:br/>
              <w:t>(1</w:t>
            </w:r>
            <w:r w:rsidRPr="00AB2511">
              <w:rPr>
                <w:b/>
                <w:bCs/>
                <w:color w:val="FFFFFF" w:themeColor="background1"/>
                <w:sz w:val="16"/>
                <w:szCs w:val="16"/>
                <w:lang w:val="es-ES"/>
              </w:rPr>
              <w:t>7-</w:t>
            </w:r>
            <w:r w:rsidRPr="00AB2511">
              <w:rPr>
                <w:b/>
                <w:bCs/>
                <w:color w:val="FFFFFF" w:themeColor="background1"/>
                <w:sz w:val="16"/>
                <w:szCs w:val="16"/>
                <w:lang w:val="es-ES_tradnl"/>
              </w:rPr>
              <w:t>2</w:t>
            </w:r>
            <w:r w:rsidRPr="00AB2511">
              <w:rPr>
                <w:b/>
                <w:bCs/>
                <w:color w:val="FFFFFF" w:themeColor="background1"/>
                <w:sz w:val="16"/>
                <w:szCs w:val="16"/>
                <w:lang w:val="es-ES"/>
              </w:rPr>
              <w:t>8 sept.</w:t>
            </w:r>
            <w:r w:rsidRPr="00AB2511">
              <w:rPr>
                <w:b/>
                <w:bCs/>
                <w:color w:val="FFFFFF" w:themeColor="background1"/>
                <w:sz w:val="16"/>
                <w:szCs w:val="16"/>
                <w:lang w:val="es-ES_tradnl"/>
              </w:rPr>
              <w:t xml:space="preserve"> 2018)</w:t>
            </w:r>
          </w:p>
        </w:tc>
        <w:tc>
          <w:tcPr>
            <w:tcW w:w="1973" w:type="dxa"/>
            <w:tcBorders>
              <w:left w:val="single" w:sz="4" w:space="0" w:color="FFFFFF" w:themeColor="background1"/>
              <w:bottom w:val="single" w:sz="8" w:space="0" w:color="FFFFFF" w:themeColor="background1"/>
              <w:right w:val="single" w:sz="4" w:space="0" w:color="FFFFFF" w:themeColor="background1"/>
            </w:tcBorders>
            <w:shd w:val="clear" w:color="auto" w:fill="595959" w:themeFill="text1" w:themeFillTint="A6"/>
          </w:tcPr>
          <w:p w:rsidR="00C05030" w:rsidRPr="00AB2511" w:rsidRDefault="00C05030" w:rsidP="002953E4">
            <w:pPr>
              <w:pStyle w:val="Tabletext"/>
              <w:spacing w:before="20" w:after="20"/>
              <w:jc w:val="center"/>
              <w:rPr>
                <w:color w:val="FFFFFF" w:themeColor="background1"/>
                <w:sz w:val="16"/>
                <w:szCs w:val="16"/>
                <w:lang w:val="es-ES_tradnl"/>
              </w:rPr>
            </w:pPr>
            <w:r w:rsidRPr="00AB2511">
              <w:rPr>
                <w:b/>
                <w:bCs/>
                <w:color w:val="FFFFFF" w:themeColor="background1"/>
                <w:sz w:val="16"/>
                <w:szCs w:val="16"/>
                <w:lang w:val="es-ES_tradnl"/>
              </w:rPr>
              <w:t>2ª reunión anual de la CE </w:t>
            </w:r>
            <w:r w:rsidRPr="00AB2511">
              <w:rPr>
                <w:b/>
                <w:bCs/>
                <w:color w:val="FFFFFF" w:themeColor="background1"/>
                <w:sz w:val="16"/>
                <w:szCs w:val="16"/>
                <w:lang w:val="es-ES"/>
              </w:rPr>
              <w:t>1</w:t>
            </w:r>
            <w:r w:rsidRPr="00AB2511">
              <w:rPr>
                <w:b/>
                <w:bCs/>
                <w:color w:val="FFFFFF" w:themeColor="background1"/>
                <w:sz w:val="16"/>
                <w:szCs w:val="16"/>
                <w:lang w:val="es-ES_tradnl"/>
              </w:rPr>
              <w:br/>
              <w:t>(</w:t>
            </w:r>
            <w:r w:rsidRPr="00AB2511">
              <w:rPr>
                <w:b/>
                <w:bCs/>
                <w:color w:val="FFFFFF" w:themeColor="background1"/>
                <w:sz w:val="16"/>
                <w:szCs w:val="16"/>
                <w:lang w:val="es-ES"/>
              </w:rPr>
              <w:t>18-22</w:t>
            </w:r>
            <w:r w:rsidR="002953E4">
              <w:rPr>
                <w:b/>
                <w:bCs/>
                <w:color w:val="FFFFFF" w:themeColor="background1"/>
                <w:sz w:val="16"/>
                <w:szCs w:val="16"/>
                <w:lang w:val="es-ES_tradnl"/>
              </w:rPr>
              <w:t xml:space="preserve"> </w:t>
            </w:r>
            <w:r w:rsidRPr="00AB2511">
              <w:rPr>
                <w:b/>
                <w:bCs/>
                <w:color w:val="FFFFFF" w:themeColor="background1"/>
                <w:sz w:val="16"/>
                <w:szCs w:val="16"/>
                <w:lang w:val="es-ES_tradnl"/>
              </w:rPr>
              <w:t>marzo 2019)*</w:t>
            </w:r>
          </w:p>
        </w:tc>
        <w:tc>
          <w:tcPr>
            <w:tcW w:w="1988" w:type="dxa"/>
            <w:tcBorders>
              <w:left w:val="single" w:sz="4" w:space="0" w:color="FFFFFF" w:themeColor="background1"/>
              <w:bottom w:val="single" w:sz="8" w:space="0" w:color="FFFFFF" w:themeColor="background1"/>
              <w:right w:val="single" w:sz="4" w:space="0" w:color="FFFFFF" w:themeColor="background1"/>
            </w:tcBorders>
            <w:shd w:val="clear" w:color="auto" w:fill="595959" w:themeFill="text1" w:themeFillTint="A6"/>
          </w:tcPr>
          <w:p w:rsidR="00C05030" w:rsidRPr="00AB2511" w:rsidRDefault="00C05030" w:rsidP="00C30D4F">
            <w:pPr>
              <w:pStyle w:val="Tabletext"/>
              <w:spacing w:before="20" w:after="20"/>
              <w:jc w:val="center"/>
              <w:rPr>
                <w:b/>
                <w:bCs/>
                <w:color w:val="FFFFFF" w:themeColor="background1"/>
                <w:sz w:val="16"/>
                <w:szCs w:val="16"/>
                <w:lang w:val="es-ES_tradnl"/>
              </w:rPr>
            </w:pPr>
            <w:r w:rsidRPr="00AB2511">
              <w:rPr>
                <w:b/>
                <w:bCs/>
                <w:color w:val="FFFFFF" w:themeColor="background1"/>
                <w:sz w:val="16"/>
                <w:szCs w:val="16"/>
                <w:lang w:val="es-ES_tradnl"/>
              </w:rPr>
              <w:t>Reuniones de</w:t>
            </w:r>
            <w:r w:rsidRPr="00AB2511">
              <w:rPr>
                <w:b/>
                <w:bCs/>
                <w:color w:val="FFFFFF" w:themeColor="background1"/>
                <w:sz w:val="16"/>
                <w:szCs w:val="16"/>
                <w:lang w:val="es-ES"/>
              </w:rPr>
              <w:t xml:space="preserve"> </w:t>
            </w:r>
            <w:r w:rsidRPr="00AB2511">
              <w:rPr>
                <w:b/>
                <w:bCs/>
                <w:color w:val="FFFFFF" w:themeColor="background1"/>
                <w:sz w:val="16"/>
                <w:szCs w:val="16"/>
                <w:lang w:val="es-ES_tradnl"/>
              </w:rPr>
              <w:t>l</w:t>
            </w:r>
            <w:r w:rsidRPr="00AB2511">
              <w:rPr>
                <w:b/>
                <w:bCs/>
                <w:color w:val="FFFFFF" w:themeColor="background1"/>
                <w:sz w:val="16"/>
                <w:szCs w:val="16"/>
                <w:lang w:val="es-ES"/>
              </w:rPr>
              <w:t>os</w:t>
            </w:r>
            <w:r w:rsidRPr="00AB2511">
              <w:rPr>
                <w:b/>
                <w:bCs/>
                <w:color w:val="FFFFFF" w:themeColor="background1"/>
                <w:sz w:val="16"/>
                <w:szCs w:val="16"/>
                <w:lang w:val="es-ES_tradnl"/>
              </w:rPr>
              <w:t xml:space="preserve"> Grupo</w:t>
            </w:r>
            <w:r w:rsidRPr="00AB2511">
              <w:rPr>
                <w:b/>
                <w:bCs/>
                <w:color w:val="FFFFFF" w:themeColor="background1"/>
                <w:sz w:val="16"/>
                <w:szCs w:val="16"/>
                <w:lang w:val="es-ES"/>
              </w:rPr>
              <w:t>s</w:t>
            </w:r>
            <w:r w:rsidRPr="00AB2511">
              <w:rPr>
                <w:b/>
                <w:bCs/>
                <w:color w:val="FFFFFF" w:themeColor="background1"/>
                <w:sz w:val="16"/>
                <w:szCs w:val="16"/>
                <w:lang w:val="es-ES_tradnl"/>
              </w:rPr>
              <w:t xml:space="preserve"> de Relator de la CE </w:t>
            </w:r>
            <w:r w:rsidRPr="00AB2511">
              <w:rPr>
                <w:b/>
                <w:bCs/>
                <w:color w:val="FFFFFF" w:themeColor="background1"/>
                <w:sz w:val="16"/>
                <w:szCs w:val="16"/>
                <w:lang w:val="es-ES"/>
              </w:rPr>
              <w:t>1</w:t>
            </w:r>
          </w:p>
          <w:p w:rsidR="00C05030" w:rsidRPr="00AB2511" w:rsidRDefault="00C05030" w:rsidP="00C30D4F">
            <w:pPr>
              <w:pStyle w:val="Tabletext"/>
              <w:spacing w:before="20" w:after="20"/>
              <w:jc w:val="center"/>
              <w:rPr>
                <w:color w:val="FFFFFF" w:themeColor="background1"/>
                <w:sz w:val="16"/>
                <w:szCs w:val="16"/>
                <w:lang w:val="fr-FR"/>
              </w:rPr>
            </w:pPr>
            <w:r w:rsidRPr="00AB2511">
              <w:rPr>
                <w:b/>
                <w:bCs/>
                <w:color w:val="FFFFFF" w:themeColor="background1"/>
                <w:sz w:val="16"/>
                <w:szCs w:val="16"/>
              </w:rPr>
              <w:t>(23 sept.</w:t>
            </w:r>
            <w:r w:rsidR="002953E4">
              <w:rPr>
                <w:b/>
                <w:bCs/>
                <w:color w:val="FFFFFF" w:themeColor="background1"/>
                <w:sz w:val="16"/>
                <w:szCs w:val="16"/>
                <w:lang w:val="es-ES_tradnl"/>
              </w:rPr>
              <w:t>–</w:t>
            </w:r>
            <w:r w:rsidRPr="00AB2511">
              <w:rPr>
                <w:b/>
                <w:bCs/>
                <w:color w:val="FFFFFF" w:themeColor="background1"/>
                <w:sz w:val="16"/>
                <w:szCs w:val="16"/>
                <w:lang w:val="es-ES_tradnl"/>
              </w:rPr>
              <w:t>4 oct</w:t>
            </w:r>
            <w:r w:rsidRPr="00AB2511">
              <w:rPr>
                <w:b/>
                <w:bCs/>
                <w:color w:val="FFFFFF" w:themeColor="background1"/>
                <w:sz w:val="16"/>
                <w:szCs w:val="16"/>
              </w:rPr>
              <w:t>.</w:t>
            </w:r>
            <w:r w:rsidRPr="00AB2511">
              <w:rPr>
                <w:b/>
                <w:bCs/>
                <w:color w:val="FFFFFF" w:themeColor="background1"/>
                <w:sz w:val="16"/>
                <w:szCs w:val="16"/>
                <w:lang w:val="es-ES_tradnl"/>
              </w:rPr>
              <w:t xml:space="preserve"> 2019)</w:t>
            </w:r>
          </w:p>
        </w:tc>
        <w:tc>
          <w:tcPr>
            <w:tcW w:w="2002" w:type="dxa"/>
            <w:tcBorders>
              <w:left w:val="single" w:sz="4" w:space="0" w:color="FFFFFF" w:themeColor="background1"/>
              <w:bottom w:val="single" w:sz="8" w:space="0" w:color="FFFFFF" w:themeColor="background1"/>
              <w:right w:val="single" w:sz="4" w:space="0" w:color="FFFFFF" w:themeColor="background1"/>
            </w:tcBorders>
            <w:shd w:val="clear" w:color="auto" w:fill="595959" w:themeFill="text1" w:themeFillTint="A6"/>
          </w:tcPr>
          <w:p w:rsidR="00C05030" w:rsidRPr="00AB2511" w:rsidRDefault="00C05030" w:rsidP="00C30D4F">
            <w:pPr>
              <w:pStyle w:val="Tabletext"/>
              <w:spacing w:before="20" w:after="20"/>
              <w:jc w:val="center"/>
              <w:rPr>
                <w:color w:val="FFFFFF" w:themeColor="background1"/>
                <w:sz w:val="16"/>
                <w:szCs w:val="16"/>
                <w:lang w:val="es-ES_tradnl"/>
              </w:rPr>
            </w:pPr>
            <w:r w:rsidRPr="00AB2511">
              <w:rPr>
                <w:b/>
                <w:bCs/>
                <w:color w:val="FFFFFF" w:themeColor="background1"/>
                <w:sz w:val="16"/>
                <w:szCs w:val="16"/>
                <w:lang w:val="es-ES_tradnl"/>
              </w:rPr>
              <w:t>3ª reunión anual de la CE </w:t>
            </w:r>
            <w:r w:rsidRPr="00AB2511">
              <w:rPr>
                <w:b/>
                <w:bCs/>
                <w:color w:val="FFFFFF" w:themeColor="background1"/>
                <w:sz w:val="16"/>
                <w:szCs w:val="16"/>
                <w:lang w:val="es-ES"/>
              </w:rPr>
              <w:t>1</w:t>
            </w:r>
            <w:r w:rsidRPr="00AB2511">
              <w:rPr>
                <w:b/>
                <w:bCs/>
                <w:color w:val="FFFFFF" w:themeColor="background1"/>
                <w:sz w:val="16"/>
                <w:szCs w:val="16"/>
                <w:lang w:val="es-ES"/>
              </w:rPr>
              <w:br/>
              <w:t xml:space="preserve">(17-21 </w:t>
            </w:r>
            <w:r w:rsidRPr="00AB2511">
              <w:rPr>
                <w:b/>
                <w:bCs/>
                <w:color w:val="FFFFFF" w:themeColor="background1"/>
                <w:sz w:val="16"/>
                <w:szCs w:val="16"/>
                <w:lang w:val="es-ES_tradnl"/>
              </w:rPr>
              <w:t>feb</w:t>
            </w:r>
            <w:r w:rsidRPr="00AB2511">
              <w:rPr>
                <w:b/>
                <w:bCs/>
                <w:color w:val="FFFFFF" w:themeColor="background1"/>
                <w:sz w:val="16"/>
                <w:szCs w:val="16"/>
                <w:lang w:val="es-ES"/>
              </w:rPr>
              <w:t>.</w:t>
            </w:r>
            <w:r w:rsidRPr="00AB2511">
              <w:rPr>
                <w:b/>
                <w:bCs/>
                <w:color w:val="FFFFFF" w:themeColor="background1"/>
                <w:sz w:val="16"/>
                <w:szCs w:val="16"/>
                <w:lang w:val="es-ES_tradnl"/>
              </w:rPr>
              <w:t xml:space="preserve"> 2020)*</w:t>
            </w:r>
          </w:p>
        </w:tc>
        <w:tc>
          <w:tcPr>
            <w:tcW w:w="1945" w:type="dxa"/>
            <w:tcBorders>
              <w:left w:val="single" w:sz="4" w:space="0" w:color="FFFFFF" w:themeColor="background1"/>
              <w:bottom w:val="single" w:sz="8" w:space="0" w:color="FFFFFF" w:themeColor="background1"/>
              <w:right w:val="single" w:sz="4" w:space="0" w:color="FFFFFF" w:themeColor="background1"/>
            </w:tcBorders>
            <w:shd w:val="clear" w:color="auto" w:fill="595959" w:themeFill="text1" w:themeFillTint="A6"/>
          </w:tcPr>
          <w:p w:rsidR="00C05030" w:rsidRPr="00AB2511" w:rsidRDefault="00C05030" w:rsidP="00C30D4F">
            <w:pPr>
              <w:pStyle w:val="Tabletext"/>
              <w:spacing w:before="20" w:after="20"/>
              <w:jc w:val="center"/>
              <w:rPr>
                <w:b/>
                <w:bCs/>
                <w:color w:val="FFFFFF" w:themeColor="background1"/>
                <w:sz w:val="16"/>
                <w:szCs w:val="16"/>
                <w:lang w:val="es-ES_tradnl"/>
              </w:rPr>
            </w:pPr>
            <w:r w:rsidRPr="00AB2511">
              <w:rPr>
                <w:b/>
                <w:bCs/>
                <w:color w:val="FFFFFF" w:themeColor="background1"/>
                <w:sz w:val="16"/>
                <w:szCs w:val="16"/>
                <w:lang w:val="es-ES_tradnl"/>
              </w:rPr>
              <w:t>Reuniones de</w:t>
            </w:r>
            <w:r w:rsidRPr="00AB2511">
              <w:rPr>
                <w:b/>
                <w:bCs/>
                <w:color w:val="FFFFFF" w:themeColor="background1"/>
                <w:sz w:val="16"/>
                <w:szCs w:val="16"/>
                <w:lang w:val="es-ES"/>
              </w:rPr>
              <w:t xml:space="preserve"> </w:t>
            </w:r>
            <w:r w:rsidRPr="00AB2511">
              <w:rPr>
                <w:b/>
                <w:bCs/>
                <w:color w:val="FFFFFF" w:themeColor="background1"/>
                <w:sz w:val="16"/>
                <w:szCs w:val="16"/>
                <w:lang w:val="es-ES_tradnl"/>
              </w:rPr>
              <w:t>l</w:t>
            </w:r>
            <w:r w:rsidRPr="00AB2511">
              <w:rPr>
                <w:b/>
                <w:bCs/>
                <w:color w:val="FFFFFF" w:themeColor="background1"/>
                <w:sz w:val="16"/>
                <w:szCs w:val="16"/>
                <w:lang w:val="es-ES"/>
              </w:rPr>
              <w:t>os</w:t>
            </w:r>
            <w:r w:rsidRPr="00AB2511">
              <w:rPr>
                <w:b/>
                <w:bCs/>
                <w:color w:val="FFFFFF" w:themeColor="background1"/>
                <w:sz w:val="16"/>
                <w:szCs w:val="16"/>
                <w:lang w:val="es-ES_tradnl"/>
              </w:rPr>
              <w:t xml:space="preserve"> Grupo</w:t>
            </w:r>
            <w:r w:rsidRPr="00AB2511">
              <w:rPr>
                <w:b/>
                <w:bCs/>
                <w:color w:val="FFFFFF" w:themeColor="background1"/>
                <w:sz w:val="16"/>
                <w:szCs w:val="16"/>
                <w:lang w:val="es-ES"/>
              </w:rPr>
              <w:t>s</w:t>
            </w:r>
            <w:r w:rsidRPr="00AB2511">
              <w:rPr>
                <w:b/>
                <w:bCs/>
                <w:color w:val="FFFFFF" w:themeColor="background1"/>
                <w:sz w:val="16"/>
                <w:szCs w:val="16"/>
                <w:lang w:val="es-ES_tradnl"/>
              </w:rPr>
              <w:t xml:space="preserve"> de Relator de la CE </w:t>
            </w:r>
            <w:r w:rsidRPr="00AB2511">
              <w:rPr>
                <w:b/>
                <w:bCs/>
                <w:color w:val="FFFFFF" w:themeColor="background1"/>
                <w:sz w:val="16"/>
                <w:szCs w:val="16"/>
                <w:lang w:val="es-ES"/>
              </w:rPr>
              <w:t>1</w:t>
            </w:r>
          </w:p>
          <w:p w:rsidR="00C05030" w:rsidRPr="00AB2511" w:rsidRDefault="00C05030" w:rsidP="00C30D4F">
            <w:pPr>
              <w:pStyle w:val="Tabletext"/>
              <w:spacing w:before="20" w:after="20"/>
              <w:jc w:val="center"/>
              <w:rPr>
                <w:color w:val="FFFFFF" w:themeColor="background1"/>
                <w:sz w:val="16"/>
                <w:szCs w:val="16"/>
                <w:lang w:val="es-ES_tradnl"/>
              </w:rPr>
            </w:pPr>
            <w:r w:rsidRPr="00AB2511">
              <w:rPr>
                <w:b/>
                <w:bCs/>
                <w:color w:val="FFFFFF" w:themeColor="background1"/>
                <w:sz w:val="16"/>
                <w:szCs w:val="16"/>
                <w:lang w:val="es-ES_tradnl"/>
              </w:rPr>
              <w:t>(</w:t>
            </w:r>
            <w:r w:rsidRPr="00AB2511">
              <w:rPr>
                <w:b/>
                <w:bCs/>
                <w:color w:val="FFFFFF" w:themeColor="background1"/>
                <w:sz w:val="16"/>
                <w:szCs w:val="16"/>
              </w:rPr>
              <w:t>21 sept.</w:t>
            </w:r>
            <w:r w:rsidR="002953E4">
              <w:rPr>
                <w:b/>
                <w:bCs/>
                <w:color w:val="FFFFFF" w:themeColor="background1"/>
                <w:sz w:val="16"/>
                <w:szCs w:val="16"/>
                <w:lang w:val="es-ES_tradnl"/>
              </w:rPr>
              <w:t>–</w:t>
            </w:r>
            <w:r w:rsidRPr="00AB2511">
              <w:rPr>
                <w:b/>
                <w:bCs/>
                <w:color w:val="FFFFFF" w:themeColor="background1"/>
                <w:sz w:val="16"/>
                <w:szCs w:val="16"/>
              </w:rPr>
              <w:t xml:space="preserve">2 </w:t>
            </w:r>
            <w:r w:rsidRPr="00AB2511">
              <w:rPr>
                <w:b/>
                <w:bCs/>
                <w:color w:val="FFFFFF" w:themeColor="background1"/>
                <w:sz w:val="16"/>
                <w:szCs w:val="16"/>
                <w:lang w:val="es-ES_tradnl"/>
              </w:rPr>
              <w:t>oct</w:t>
            </w:r>
            <w:r w:rsidRPr="00AB2511">
              <w:rPr>
                <w:b/>
                <w:bCs/>
                <w:color w:val="FFFFFF" w:themeColor="background1"/>
                <w:sz w:val="16"/>
                <w:szCs w:val="16"/>
              </w:rPr>
              <w:t>.</w:t>
            </w:r>
            <w:r w:rsidRPr="00AB2511">
              <w:rPr>
                <w:b/>
                <w:bCs/>
                <w:color w:val="FFFFFF" w:themeColor="background1"/>
                <w:sz w:val="16"/>
                <w:szCs w:val="16"/>
                <w:lang w:val="es-ES_tradnl"/>
              </w:rPr>
              <w:t xml:space="preserve"> 2020)</w:t>
            </w:r>
          </w:p>
        </w:tc>
        <w:tc>
          <w:tcPr>
            <w:tcW w:w="2310" w:type="dxa"/>
            <w:tcBorders>
              <w:left w:val="single" w:sz="4" w:space="0" w:color="FFFFFF" w:themeColor="background1"/>
              <w:bottom w:val="single" w:sz="8" w:space="0" w:color="FFFFFF" w:themeColor="background1"/>
            </w:tcBorders>
            <w:shd w:val="clear" w:color="auto" w:fill="595959" w:themeFill="text1" w:themeFillTint="A6"/>
          </w:tcPr>
          <w:p w:rsidR="00C05030" w:rsidRPr="00AB2511" w:rsidRDefault="00C05030" w:rsidP="00C30D4F">
            <w:pPr>
              <w:pStyle w:val="Tabletext"/>
              <w:spacing w:before="20" w:after="20"/>
              <w:jc w:val="center"/>
              <w:rPr>
                <w:b/>
                <w:bCs/>
                <w:color w:val="FFFFFF" w:themeColor="background1"/>
                <w:sz w:val="16"/>
                <w:szCs w:val="16"/>
                <w:lang w:val="es-ES_tradnl"/>
              </w:rPr>
            </w:pPr>
            <w:r w:rsidRPr="00AB2511">
              <w:rPr>
                <w:b/>
                <w:bCs/>
                <w:color w:val="FFFFFF" w:themeColor="background1"/>
                <w:sz w:val="16"/>
                <w:szCs w:val="16"/>
                <w:lang w:val="es-ES_tradnl"/>
              </w:rPr>
              <w:t>4</w:t>
            </w:r>
            <w:r w:rsidRPr="00AB2511">
              <w:rPr>
                <w:b/>
                <w:bCs/>
                <w:color w:val="FFFFFF" w:themeColor="background1"/>
                <w:sz w:val="16"/>
                <w:szCs w:val="16"/>
                <w:lang w:val="es-ES"/>
              </w:rPr>
              <w:t>ª reunión anual de la CE 1</w:t>
            </w:r>
          </w:p>
          <w:p w:rsidR="00C05030" w:rsidRPr="00AB2511" w:rsidRDefault="00C05030" w:rsidP="00C30D4F">
            <w:pPr>
              <w:pStyle w:val="Tabletext"/>
              <w:spacing w:before="20" w:after="20"/>
              <w:jc w:val="center"/>
              <w:rPr>
                <w:color w:val="FFFFFF" w:themeColor="background1"/>
                <w:sz w:val="16"/>
                <w:szCs w:val="16"/>
                <w:lang w:val="es-ES_tradnl"/>
              </w:rPr>
            </w:pPr>
            <w:r w:rsidRPr="00AB2511">
              <w:rPr>
                <w:b/>
                <w:bCs/>
                <w:color w:val="FFFFFF" w:themeColor="background1"/>
                <w:sz w:val="16"/>
                <w:szCs w:val="16"/>
              </w:rPr>
              <w:t>(15</w:t>
            </w:r>
            <w:r w:rsidRPr="00AB2511">
              <w:rPr>
                <w:b/>
                <w:bCs/>
                <w:color w:val="FFFFFF" w:themeColor="background1"/>
                <w:sz w:val="16"/>
                <w:szCs w:val="16"/>
                <w:lang w:val="es-ES_tradnl"/>
              </w:rPr>
              <w:t>-</w:t>
            </w:r>
            <w:r w:rsidRPr="00AB2511">
              <w:rPr>
                <w:b/>
                <w:bCs/>
                <w:color w:val="FFFFFF" w:themeColor="background1"/>
                <w:sz w:val="16"/>
                <w:szCs w:val="16"/>
              </w:rPr>
              <w:t>19</w:t>
            </w:r>
            <w:r w:rsidR="002953E4">
              <w:rPr>
                <w:b/>
                <w:bCs/>
                <w:color w:val="FFFFFF" w:themeColor="background1"/>
                <w:sz w:val="16"/>
                <w:szCs w:val="16"/>
                <w:lang w:val="es-ES_tradnl"/>
              </w:rPr>
              <w:t xml:space="preserve"> </w:t>
            </w:r>
            <w:r w:rsidR="001A4BB8" w:rsidRPr="00AB2511">
              <w:rPr>
                <w:b/>
                <w:bCs/>
                <w:color w:val="FFFFFF" w:themeColor="background1"/>
                <w:sz w:val="16"/>
                <w:szCs w:val="16"/>
                <w:lang w:val="es-ES_tradnl"/>
              </w:rPr>
              <w:t>marzo</w:t>
            </w:r>
            <w:r w:rsidRPr="00AB2511">
              <w:rPr>
                <w:b/>
                <w:bCs/>
                <w:color w:val="FFFFFF" w:themeColor="background1"/>
                <w:sz w:val="16"/>
                <w:szCs w:val="16"/>
                <w:lang w:val="es-ES_tradnl"/>
              </w:rPr>
              <w:t xml:space="preserve"> 2021)*</w:t>
            </w:r>
          </w:p>
        </w:tc>
        <w:tc>
          <w:tcPr>
            <w:tcW w:w="294" w:type="dxa"/>
            <w:vMerge/>
            <w:tcBorders>
              <w:bottom w:val="single" w:sz="4" w:space="0" w:color="FFFFFF" w:themeColor="background1"/>
            </w:tcBorders>
            <w:shd w:val="clear" w:color="auto" w:fill="FFFFFF" w:themeFill="background1"/>
          </w:tcPr>
          <w:p w:rsidR="00C05030" w:rsidRPr="00AB2511" w:rsidRDefault="00C05030" w:rsidP="00C30D4F">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6"/>
                <w:szCs w:val="16"/>
                <w:lang w:val="es-ES_tradnl"/>
              </w:rPr>
            </w:pPr>
          </w:p>
        </w:tc>
      </w:tr>
      <w:tr w:rsidR="00C05030" w:rsidRPr="004D42A2" w:rsidTr="00C30D4F">
        <w:trPr>
          <w:jc w:val="center"/>
        </w:trPr>
        <w:tc>
          <w:tcPr>
            <w:tcW w:w="14908" w:type="dxa"/>
            <w:gridSpan w:val="8"/>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vAlign w:val="center"/>
          </w:tcPr>
          <w:p w:rsidR="00C05030" w:rsidRPr="00AB2511" w:rsidRDefault="00C05030" w:rsidP="00C30D4F">
            <w:pPr>
              <w:pStyle w:val="Tabletext10pt"/>
              <w:jc w:val="center"/>
              <w:rPr>
                <w:color w:val="FFFFFF" w:themeColor="background1"/>
                <w:sz w:val="18"/>
                <w:szCs w:val="18"/>
                <w:lang w:val="es-ES_tradnl"/>
              </w:rPr>
            </w:pPr>
            <w:r w:rsidRPr="00AB2511">
              <w:rPr>
                <w:color w:val="FFFFFF" w:themeColor="background1"/>
                <w:sz w:val="18"/>
                <w:szCs w:val="18"/>
                <w:lang w:val="es-ES_tradnl"/>
              </w:rPr>
              <w:t>Talleres, cursos y seminarios temáticos que tendrán lugar durante el periodo de estudios en Ginebra y las regiones sobre la base de las propuestas recibidas.</w:t>
            </w:r>
          </w:p>
        </w:tc>
        <w:tc>
          <w:tcPr>
            <w:tcW w:w="294" w:type="dxa"/>
            <w:tcBorders>
              <w:top w:val="single" w:sz="4" w:space="0" w:color="FFFFFF" w:themeColor="background1"/>
              <w:left w:val="single" w:sz="4" w:space="0" w:color="FFFFFF" w:themeColor="background1"/>
              <w:bottom w:val="nil"/>
              <w:right w:val="single" w:sz="4" w:space="0" w:color="FFFFFF" w:themeColor="background1"/>
            </w:tcBorders>
            <w:shd w:val="clear" w:color="auto" w:fill="FFFFFF" w:themeFill="background1"/>
          </w:tcPr>
          <w:p w:rsidR="00C05030" w:rsidRPr="006614C7" w:rsidRDefault="00C05030" w:rsidP="00C30D4F">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_tradnl"/>
              </w:rPr>
            </w:pPr>
          </w:p>
        </w:tc>
      </w:tr>
      <w:tr w:rsidR="00C05030" w:rsidRPr="004D42A2" w:rsidTr="00C30D4F">
        <w:trPr>
          <w:jc w:val="center"/>
        </w:trPr>
        <w:tc>
          <w:tcPr>
            <w:tcW w:w="812" w:type="dxa"/>
            <w:vMerge w:val="restart"/>
            <w:tcBorders>
              <w:top w:val="single" w:sz="4" w:space="0" w:color="FFFFFF" w:themeColor="background1"/>
              <w:left w:val="nil"/>
              <w:bottom w:val="single" w:sz="4" w:space="0" w:color="FFFFFF" w:themeColor="background1"/>
              <w:right w:val="nil"/>
            </w:tcBorders>
            <w:shd w:val="clear" w:color="auto" w:fill="B089FF"/>
            <w:vAlign w:val="center"/>
          </w:tcPr>
          <w:p w:rsidR="00C05030" w:rsidRPr="002D2B78" w:rsidRDefault="00C05030" w:rsidP="00C30D4F">
            <w:pPr>
              <w:pStyle w:val="Tabletext"/>
              <w:spacing w:before="20" w:after="20"/>
              <w:jc w:val="center"/>
              <w:rPr>
                <w:b/>
                <w:bCs/>
                <w:sz w:val="18"/>
                <w:szCs w:val="18"/>
                <w:lang w:val="fr-FR"/>
              </w:rPr>
            </w:pPr>
            <w:r w:rsidRPr="002D2B78">
              <w:rPr>
                <w:b/>
                <w:bCs/>
                <w:sz w:val="18"/>
                <w:szCs w:val="18"/>
                <w:lang w:val="fr-FR"/>
              </w:rPr>
              <w:t>C1/1</w:t>
            </w:r>
          </w:p>
        </w:tc>
        <w:tc>
          <w:tcPr>
            <w:tcW w:w="14096" w:type="dxa"/>
            <w:gridSpan w:val="7"/>
            <w:tcBorders>
              <w:top w:val="single" w:sz="4" w:space="0" w:color="FFFFFF" w:themeColor="background1"/>
              <w:left w:val="nil"/>
              <w:bottom w:val="single" w:sz="4" w:space="0" w:color="FFFFFF" w:themeColor="background1"/>
              <w:right w:val="nil"/>
            </w:tcBorders>
            <w:shd w:val="clear" w:color="auto" w:fill="B089FF"/>
            <w:vAlign w:val="center"/>
          </w:tcPr>
          <w:p w:rsidR="00C05030" w:rsidRPr="002E025A" w:rsidRDefault="00C05030" w:rsidP="00C30D4F">
            <w:pPr>
              <w:pStyle w:val="Tabletext10pt"/>
              <w:spacing w:before="20" w:after="20"/>
              <w:jc w:val="center"/>
              <w:rPr>
                <w:sz w:val="18"/>
                <w:szCs w:val="18"/>
                <w:lang w:val="es-ES_tradnl"/>
              </w:rPr>
            </w:pPr>
            <w:r w:rsidRPr="002E025A">
              <w:rPr>
                <w:sz w:val="18"/>
                <w:szCs w:val="18"/>
                <w:lang w:val="es-ES_tradnl"/>
              </w:rPr>
              <w:t>Informes, directrices sobre prácticas óptimas, talleres, estudios de casos prácticos y recomendaciones.</w:t>
            </w:r>
          </w:p>
        </w:tc>
        <w:tc>
          <w:tcPr>
            <w:tcW w:w="294" w:type="dxa"/>
            <w:tcBorders>
              <w:top w:val="nil"/>
              <w:left w:val="nil"/>
              <w:bottom w:val="nil"/>
              <w:right w:val="nil"/>
            </w:tcBorders>
            <w:shd w:val="clear" w:color="auto" w:fill="B089FF"/>
          </w:tcPr>
          <w:p w:rsidR="00C05030" w:rsidRPr="006614C7" w:rsidRDefault="00C05030" w:rsidP="00C30D4F">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_tradnl"/>
              </w:rPr>
            </w:pPr>
          </w:p>
        </w:tc>
      </w:tr>
      <w:tr w:rsidR="00C05030" w:rsidRPr="004D42A2" w:rsidTr="00C30D4F">
        <w:trPr>
          <w:jc w:val="center"/>
        </w:trPr>
        <w:tc>
          <w:tcPr>
            <w:tcW w:w="812" w:type="dxa"/>
            <w:vMerge/>
            <w:tcBorders>
              <w:left w:val="nil"/>
              <w:bottom w:val="single" w:sz="4" w:space="0" w:color="FFFFFF" w:themeColor="background1"/>
              <w:right w:val="nil"/>
            </w:tcBorders>
            <w:vAlign w:val="center"/>
          </w:tcPr>
          <w:p w:rsidR="00C05030" w:rsidRPr="002D2B78" w:rsidRDefault="00C05030" w:rsidP="00C30D4F">
            <w:pPr>
              <w:pStyle w:val="Tabletext"/>
              <w:spacing w:before="20" w:after="20"/>
              <w:jc w:val="center"/>
              <w:rPr>
                <w:b/>
                <w:bCs/>
                <w:sz w:val="18"/>
                <w:szCs w:val="18"/>
                <w:lang w:val="es-ES_tradnl"/>
              </w:rPr>
            </w:pPr>
          </w:p>
        </w:tc>
        <w:tc>
          <w:tcPr>
            <w:tcW w:w="1946" w:type="dxa"/>
            <w:tcBorders>
              <w:top w:val="single" w:sz="4" w:space="0" w:color="FFFFFF" w:themeColor="background1"/>
              <w:left w:val="nil"/>
              <w:bottom w:val="single" w:sz="4" w:space="0" w:color="FFFFFF" w:themeColor="background1"/>
              <w:right w:val="nil"/>
            </w:tcBorders>
            <w:shd w:val="clear" w:color="auto" w:fill="D3BDFF"/>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Plan de trabajo y proyecto de índice</w:t>
            </w:r>
          </w:p>
        </w:tc>
        <w:tc>
          <w:tcPr>
            <w:tcW w:w="1932"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Proceder con redacción, estudios de caso, etc.</w:t>
            </w:r>
          </w:p>
        </w:tc>
        <w:tc>
          <w:tcPr>
            <w:tcW w:w="1973" w:type="dxa"/>
            <w:tcBorders>
              <w:top w:val="single" w:sz="4" w:space="0" w:color="FFFFFF" w:themeColor="background1"/>
              <w:left w:val="nil"/>
              <w:bottom w:val="single" w:sz="4" w:space="0" w:color="FFFFFF" w:themeColor="background1"/>
              <w:right w:val="nil"/>
            </w:tcBorders>
            <w:shd w:val="clear" w:color="auto" w:fill="D3BDFF"/>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Informe anual preliminar</w:t>
            </w:r>
          </w:p>
        </w:tc>
        <w:tc>
          <w:tcPr>
            <w:tcW w:w="1988"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Proceder con redacción, estudios de caso, etc.</w:t>
            </w:r>
          </w:p>
        </w:tc>
        <w:tc>
          <w:tcPr>
            <w:tcW w:w="2002" w:type="dxa"/>
            <w:tcBorders>
              <w:top w:val="single" w:sz="4" w:space="0" w:color="FFFFFF" w:themeColor="background1"/>
              <w:left w:val="nil"/>
              <w:bottom w:val="single" w:sz="4" w:space="0" w:color="FFFFFF" w:themeColor="background1"/>
              <w:right w:val="nil"/>
            </w:tcBorders>
            <w:shd w:val="clear" w:color="auto" w:fill="D3BDFF"/>
          </w:tcPr>
          <w:p w:rsidR="00C05030" w:rsidRPr="002D2B78" w:rsidRDefault="00C05030" w:rsidP="002D2B78">
            <w:pPr>
              <w:pStyle w:val="Tabletext10pt"/>
              <w:spacing w:before="20" w:after="20"/>
              <w:jc w:val="center"/>
              <w:rPr>
                <w:sz w:val="16"/>
                <w:szCs w:val="16"/>
                <w:lang w:val="es-ES_tradnl"/>
              </w:rPr>
            </w:pPr>
            <w:r w:rsidRPr="002D2B78">
              <w:rPr>
                <w:sz w:val="16"/>
                <w:szCs w:val="16"/>
                <w:lang w:val="es-ES_tradnl"/>
              </w:rPr>
              <w:t>Informe anual preliminar, proyectos/informes</w:t>
            </w:r>
          </w:p>
        </w:tc>
        <w:tc>
          <w:tcPr>
            <w:tcW w:w="1945"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 xml:space="preserve">Proceder con </w:t>
            </w:r>
            <w:r w:rsidR="002953E4">
              <w:rPr>
                <w:sz w:val="16"/>
                <w:szCs w:val="16"/>
                <w:lang w:val="es-ES_tradnl"/>
              </w:rPr>
              <w:br/>
            </w:r>
            <w:r w:rsidRPr="002D2B78">
              <w:rPr>
                <w:sz w:val="16"/>
                <w:szCs w:val="16"/>
                <w:lang w:val="es-ES_tradnl"/>
              </w:rPr>
              <w:t>redacción, etc.</w:t>
            </w:r>
          </w:p>
        </w:tc>
        <w:tc>
          <w:tcPr>
            <w:tcW w:w="2310" w:type="dxa"/>
            <w:tcBorders>
              <w:top w:val="single" w:sz="4" w:space="0" w:color="FFFFFF" w:themeColor="background1"/>
              <w:left w:val="nil"/>
              <w:bottom w:val="single" w:sz="4" w:space="0" w:color="FFFFFF" w:themeColor="background1"/>
              <w:right w:val="nil"/>
            </w:tcBorders>
            <w:shd w:val="clear" w:color="auto" w:fill="D3BDFF"/>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Informes finales, directrices y proyectos de Recomendación</w:t>
            </w:r>
          </w:p>
        </w:tc>
        <w:tc>
          <w:tcPr>
            <w:tcW w:w="294" w:type="dxa"/>
            <w:tcBorders>
              <w:top w:val="nil"/>
              <w:left w:val="nil"/>
              <w:bottom w:val="nil"/>
              <w:right w:val="nil"/>
            </w:tcBorders>
            <w:shd w:val="clear" w:color="auto" w:fill="FFFFFF" w:themeFill="background1"/>
          </w:tcPr>
          <w:p w:rsidR="00C05030" w:rsidRPr="006614C7" w:rsidRDefault="00C05030" w:rsidP="00C30D4F">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_tradnl"/>
              </w:rPr>
            </w:pPr>
          </w:p>
        </w:tc>
      </w:tr>
      <w:tr w:rsidR="00C05030" w:rsidRPr="004D42A2" w:rsidTr="00C30D4F">
        <w:trPr>
          <w:jc w:val="center"/>
        </w:trPr>
        <w:tc>
          <w:tcPr>
            <w:tcW w:w="812" w:type="dxa"/>
            <w:vMerge w:val="restart"/>
            <w:tcBorders>
              <w:top w:val="single" w:sz="4" w:space="0" w:color="FFFFFF" w:themeColor="background1"/>
              <w:left w:val="nil"/>
              <w:bottom w:val="single" w:sz="4" w:space="0" w:color="000000" w:themeColor="text1"/>
              <w:right w:val="nil"/>
            </w:tcBorders>
            <w:shd w:val="clear" w:color="auto" w:fill="0081E2"/>
            <w:vAlign w:val="center"/>
          </w:tcPr>
          <w:p w:rsidR="00C05030" w:rsidRPr="002D2B78" w:rsidRDefault="00C05030" w:rsidP="00C30D4F">
            <w:pPr>
              <w:pStyle w:val="Tabletext"/>
              <w:spacing w:before="20" w:after="20"/>
              <w:jc w:val="center"/>
              <w:rPr>
                <w:b/>
                <w:bCs/>
                <w:sz w:val="18"/>
                <w:szCs w:val="18"/>
                <w:lang w:val="fr-FR"/>
              </w:rPr>
            </w:pPr>
            <w:r w:rsidRPr="002D2B78">
              <w:rPr>
                <w:b/>
                <w:bCs/>
                <w:sz w:val="18"/>
                <w:szCs w:val="18"/>
                <w:lang w:val="fr-FR"/>
              </w:rPr>
              <w:t>C2/1</w:t>
            </w:r>
          </w:p>
        </w:tc>
        <w:tc>
          <w:tcPr>
            <w:tcW w:w="14096" w:type="dxa"/>
            <w:gridSpan w:val="7"/>
            <w:tcBorders>
              <w:top w:val="single" w:sz="4" w:space="0" w:color="FFFFFF" w:themeColor="background1"/>
              <w:left w:val="nil"/>
              <w:bottom w:val="nil"/>
              <w:right w:val="nil"/>
            </w:tcBorders>
            <w:shd w:val="clear" w:color="auto" w:fill="0081E2"/>
            <w:vAlign w:val="center"/>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Divulgación periódica de experiencias nacionales con las estrategias y aspectos socioeconómicos de la introducción de nuevas tecnologías de radiodifusión, nuevos servicios y capacidades.</w:t>
            </w:r>
          </w:p>
        </w:tc>
        <w:tc>
          <w:tcPr>
            <w:tcW w:w="294" w:type="dxa"/>
            <w:tcBorders>
              <w:top w:val="nil"/>
              <w:left w:val="nil"/>
              <w:bottom w:val="nil"/>
              <w:right w:val="nil"/>
            </w:tcBorders>
            <w:shd w:val="clear" w:color="auto" w:fill="0081E2"/>
          </w:tcPr>
          <w:p w:rsidR="00C05030" w:rsidRPr="006614C7" w:rsidRDefault="00C05030" w:rsidP="00C30D4F">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_tradnl"/>
              </w:rPr>
            </w:pPr>
          </w:p>
        </w:tc>
      </w:tr>
      <w:tr w:rsidR="00C05030" w:rsidRPr="004D42A2" w:rsidTr="00C30D4F">
        <w:trPr>
          <w:jc w:val="center"/>
        </w:trPr>
        <w:tc>
          <w:tcPr>
            <w:tcW w:w="812" w:type="dxa"/>
            <w:vMerge/>
            <w:tcBorders>
              <w:top w:val="single" w:sz="4" w:space="0" w:color="000000" w:themeColor="text1"/>
              <w:left w:val="nil"/>
              <w:bottom w:val="single" w:sz="4" w:space="0" w:color="FFFFFF" w:themeColor="background1"/>
              <w:right w:val="nil"/>
            </w:tcBorders>
            <w:vAlign w:val="center"/>
          </w:tcPr>
          <w:p w:rsidR="00C05030" w:rsidRPr="002D2B78" w:rsidRDefault="00C05030" w:rsidP="00C30D4F">
            <w:pPr>
              <w:pStyle w:val="Tabletext"/>
              <w:spacing w:before="20" w:after="20"/>
              <w:jc w:val="center"/>
              <w:rPr>
                <w:b/>
                <w:bCs/>
                <w:sz w:val="18"/>
                <w:szCs w:val="18"/>
                <w:lang w:val="es-ES_tradnl"/>
              </w:rPr>
            </w:pPr>
          </w:p>
        </w:tc>
        <w:tc>
          <w:tcPr>
            <w:tcW w:w="1946" w:type="dxa"/>
            <w:tcBorders>
              <w:top w:val="nil"/>
              <w:left w:val="nil"/>
              <w:bottom w:val="single" w:sz="4" w:space="0" w:color="FFFFFF" w:themeColor="background1"/>
              <w:right w:val="nil"/>
            </w:tcBorders>
            <w:shd w:val="clear" w:color="auto" w:fill="2DA5FF"/>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Plan de trabajo y proyecto de índice</w:t>
            </w:r>
          </w:p>
        </w:tc>
        <w:tc>
          <w:tcPr>
            <w:tcW w:w="1932" w:type="dxa"/>
            <w:tcBorders>
              <w:top w:val="nil"/>
              <w:left w:val="nil"/>
              <w:bottom w:val="single" w:sz="4" w:space="0" w:color="FFFFFF" w:themeColor="background1"/>
              <w:right w:val="nil"/>
            </w:tcBorders>
            <w:shd w:val="clear" w:color="auto" w:fill="D9D9D9" w:themeFill="background1" w:themeFillShade="D9"/>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Proceder con redacción, estudios de caso, etc.</w:t>
            </w:r>
          </w:p>
        </w:tc>
        <w:tc>
          <w:tcPr>
            <w:tcW w:w="1973" w:type="dxa"/>
            <w:tcBorders>
              <w:top w:val="nil"/>
              <w:left w:val="nil"/>
              <w:bottom w:val="single" w:sz="4" w:space="0" w:color="FFFFFF" w:themeColor="background1"/>
              <w:right w:val="nil"/>
            </w:tcBorders>
            <w:shd w:val="clear" w:color="auto" w:fill="2DA5FF"/>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Informe anual preliminar, productos anuales</w:t>
            </w:r>
          </w:p>
        </w:tc>
        <w:tc>
          <w:tcPr>
            <w:tcW w:w="1988" w:type="dxa"/>
            <w:tcBorders>
              <w:top w:val="nil"/>
              <w:left w:val="nil"/>
              <w:bottom w:val="single" w:sz="4" w:space="0" w:color="FFFFFF" w:themeColor="background1"/>
              <w:right w:val="nil"/>
            </w:tcBorders>
            <w:shd w:val="clear" w:color="auto" w:fill="D9D9D9" w:themeFill="background1" w:themeFillShade="D9"/>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Proceder con redacción, estudios de caso, etc.</w:t>
            </w:r>
          </w:p>
        </w:tc>
        <w:tc>
          <w:tcPr>
            <w:tcW w:w="2002" w:type="dxa"/>
            <w:tcBorders>
              <w:top w:val="nil"/>
              <w:left w:val="nil"/>
              <w:bottom w:val="single" w:sz="4" w:space="0" w:color="FFFFFF" w:themeColor="background1"/>
              <w:right w:val="nil"/>
            </w:tcBorders>
            <w:shd w:val="clear" w:color="auto" w:fill="2DA5FF"/>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Informe anual preliminar, productos anuales</w:t>
            </w:r>
          </w:p>
        </w:tc>
        <w:tc>
          <w:tcPr>
            <w:tcW w:w="1945" w:type="dxa"/>
            <w:tcBorders>
              <w:top w:val="nil"/>
              <w:left w:val="nil"/>
              <w:bottom w:val="single" w:sz="4" w:space="0" w:color="FFFFFF" w:themeColor="background1"/>
              <w:right w:val="nil"/>
            </w:tcBorders>
            <w:shd w:val="clear" w:color="auto" w:fill="D9D9D9" w:themeFill="background1" w:themeFillShade="D9"/>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 xml:space="preserve">Proceder con </w:t>
            </w:r>
            <w:r w:rsidR="002953E4">
              <w:rPr>
                <w:sz w:val="16"/>
                <w:szCs w:val="16"/>
                <w:lang w:val="es-ES_tradnl"/>
              </w:rPr>
              <w:br/>
            </w:r>
            <w:r w:rsidRPr="002D2B78">
              <w:rPr>
                <w:sz w:val="16"/>
                <w:szCs w:val="16"/>
                <w:lang w:val="es-ES_tradnl"/>
              </w:rPr>
              <w:t>redacción, etc.</w:t>
            </w:r>
          </w:p>
        </w:tc>
        <w:tc>
          <w:tcPr>
            <w:tcW w:w="2310" w:type="dxa"/>
            <w:tcBorders>
              <w:top w:val="nil"/>
              <w:left w:val="nil"/>
              <w:bottom w:val="single" w:sz="4" w:space="0" w:color="FFFFFF" w:themeColor="background1"/>
              <w:right w:val="nil"/>
            </w:tcBorders>
            <w:shd w:val="clear" w:color="auto" w:fill="2DA5FF"/>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Informes finales, directrices y proyectos de Recomendación</w:t>
            </w:r>
          </w:p>
        </w:tc>
        <w:tc>
          <w:tcPr>
            <w:tcW w:w="294" w:type="dxa"/>
            <w:tcBorders>
              <w:top w:val="nil"/>
              <w:left w:val="nil"/>
              <w:bottom w:val="nil"/>
              <w:right w:val="nil"/>
            </w:tcBorders>
            <w:shd w:val="clear" w:color="auto" w:fill="FFFFFF" w:themeFill="background1"/>
          </w:tcPr>
          <w:p w:rsidR="00C05030" w:rsidRPr="006614C7" w:rsidRDefault="00C05030" w:rsidP="00C30D4F">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_tradnl"/>
              </w:rPr>
            </w:pPr>
          </w:p>
        </w:tc>
      </w:tr>
      <w:tr w:rsidR="00C05030" w:rsidRPr="004D42A2" w:rsidTr="00C30D4F">
        <w:trPr>
          <w:jc w:val="center"/>
        </w:trPr>
        <w:tc>
          <w:tcPr>
            <w:tcW w:w="812" w:type="dxa"/>
            <w:vMerge w:val="restart"/>
            <w:tcBorders>
              <w:top w:val="single" w:sz="4" w:space="0" w:color="FFFFFF" w:themeColor="background1"/>
              <w:left w:val="nil"/>
              <w:right w:val="nil"/>
            </w:tcBorders>
            <w:shd w:val="clear" w:color="auto" w:fill="51BCF1"/>
            <w:vAlign w:val="center"/>
          </w:tcPr>
          <w:p w:rsidR="00C05030" w:rsidRPr="002D2B78" w:rsidRDefault="00C05030" w:rsidP="00C30D4F">
            <w:pPr>
              <w:pStyle w:val="Tabletext"/>
              <w:spacing w:before="20" w:after="20"/>
              <w:jc w:val="center"/>
              <w:rPr>
                <w:b/>
                <w:bCs/>
                <w:sz w:val="18"/>
                <w:szCs w:val="18"/>
                <w:lang w:val="fr-FR"/>
              </w:rPr>
            </w:pPr>
            <w:r w:rsidRPr="002D2B78">
              <w:rPr>
                <w:b/>
                <w:bCs/>
                <w:sz w:val="18"/>
                <w:szCs w:val="18"/>
                <w:lang w:val="fr-FR"/>
              </w:rPr>
              <w:t>C3/1</w:t>
            </w:r>
          </w:p>
        </w:tc>
        <w:tc>
          <w:tcPr>
            <w:tcW w:w="14096" w:type="dxa"/>
            <w:gridSpan w:val="7"/>
            <w:tcBorders>
              <w:top w:val="single" w:sz="4" w:space="0" w:color="FFFFFF" w:themeColor="background1"/>
              <w:left w:val="nil"/>
              <w:bottom w:val="single" w:sz="4" w:space="0" w:color="FFFFFF" w:themeColor="background1"/>
              <w:right w:val="nil"/>
            </w:tcBorders>
            <w:shd w:val="clear" w:color="auto" w:fill="51BCF1"/>
            <w:vAlign w:val="center"/>
          </w:tcPr>
          <w:p w:rsidR="00C05030" w:rsidRPr="006614C7" w:rsidRDefault="00C05030" w:rsidP="00C30D4F">
            <w:pPr>
              <w:pStyle w:val="Tabletext10pt"/>
              <w:spacing w:before="20" w:after="20"/>
              <w:jc w:val="center"/>
              <w:rPr>
                <w:sz w:val="15"/>
                <w:szCs w:val="15"/>
                <w:lang w:val="es-ES_tradnl"/>
              </w:rPr>
            </w:pPr>
            <w:r w:rsidRPr="00AB2511">
              <w:rPr>
                <w:sz w:val="17"/>
                <w:szCs w:val="17"/>
                <w:lang w:val="es-ES_tradnl"/>
              </w:rPr>
              <w:t>Análisis, seminarios de formación y directrices para facilitar el despliegue de infraestructura y un manual sobre la infraestructura y los servicios para la computación en la nube en los países en desarrollo</w:t>
            </w:r>
            <w:r w:rsidRPr="006614C7">
              <w:rPr>
                <w:sz w:val="15"/>
                <w:szCs w:val="15"/>
                <w:lang w:val="es-ES_tradnl"/>
              </w:rPr>
              <w:t>.</w:t>
            </w:r>
          </w:p>
        </w:tc>
        <w:tc>
          <w:tcPr>
            <w:tcW w:w="294" w:type="dxa"/>
            <w:tcBorders>
              <w:top w:val="nil"/>
              <w:left w:val="nil"/>
              <w:bottom w:val="nil"/>
              <w:right w:val="nil"/>
            </w:tcBorders>
            <w:shd w:val="clear" w:color="auto" w:fill="51BCF1"/>
          </w:tcPr>
          <w:p w:rsidR="00C05030" w:rsidRPr="006614C7" w:rsidRDefault="00C05030" w:rsidP="00C30D4F">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_tradnl"/>
              </w:rPr>
            </w:pPr>
          </w:p>
        </w:tc>
      </w:tr>
      <w:tr w:rsidR="00C05030" w:rsidRPr="004D42A2" w:rsidTr="00C30D4F">
        <w:trPr>
          <w:jc w:val="center"/>
        </w:trPr>
        <w:tc>
          <w:tcPr>
            <w:tcW w:w="812" w:type="dxa"/>
            <w:vMerge/>
            <w:tcBorders>
              <w:top w:val="single" w:sz="4" w:space="0" w:color="000000" w:themeColor="text1"/>
              <w:left w:val="nil"/>
              <w:bottom w:val="single" w:sz="4" w:space="0" w:color="FFFFFF" w:themeColor="background1"/>
              <w:right w:val="nil"/>
            </w:tcBorders>
            <w:vAlign w:val="center"/>
          </w:tcPr>
          <w:p w:rsidR="00C05030" w:rsidRPr="002D2B78" w:rsidRDefault="00C05030" w:rsidP="00C30D4F">
            <w:pPr>
              <w:pStyle w:val="Tabletext"/>
              <w:spacing w:before="20" w:after="20"/>
              <w:jc w:val="center"/>
              <w:rPr>
                <w:sz w:val="18"/>
                <w:szCs w:val="18"/>
                <w:lang w:val="es-ES_tradnl"/>
              </w:rPr>
            </w:pPr>
          </w:p>
        </w:tc>
        <w:tc>
          <w:tcPr>
            <w:tcW w:w="1946" w:type="dxa"/>
            <w:tcBorders>
              <w:top w:val="single" w:sz="4" w:space="0" w:color="FFFFFF" w:themeColor="background1"/>
              <w:left w:val="nil"/>
              <w:bottom w:val="single" w:sz="4" w:space="0" w:color="FFFFFF" w:themeColor="background1"/>
              <w:right w:val="nil"/>
            </w:tcBorders>
            <w:shd w:val="clear" w:color="auto" w:fill="89EDFB"/>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Plan de trabajo y proyecto de índice</w:t>
            </w:r>
          </w:p>
        </w:tc>
        <w:tc>
          <w:tcPr>
            <w:tcW w:w="1932"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Proceder con redacción, estudios de caso, etc.</w:t>
            </w:r>
          </w:p>
        </w:tc>
        <w:tc>
          <w:tcPr>
            <w:tcW w:w="1973" w:type="dxa"/>
            <w:tcBorders>
              <w:top w:val="single" w:sz="4" w:space="0" w:color="FFFFFF" w:themeColor="background1"/>
              <w:left w:val="nil"/>
              <w:bottom w:val="single" w:sz="4" w:space="0" w:color="FFFFFF" w:themeColor="background1"/>
              <w:right w:val="nil"/>
            </w:tcBorders>
            <w:shd w:val="clear" w:color="auto" w:fill="89EDFB"/>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Informe anual preliminar, productos anuales/informe</w:t>
            </w:r>
          </w:p>
        </w:tc>
        <w:tc>
          <w:tcPr>
            <w:tcW w:w="1988"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Proceder con redacción, estudios de caso, etc.</w:t>
            </w:r>
          </w:p>
        </w:tc>
        <w:tc>
          <w:tcPr>
            <w:tcW w:w="2002" w:type="dxa"/>
            <w:tcBorders>
              <w:top w:val="single" w:sz="4" w:space="0" w:color="FFFFFF" w:themeColor="background1"/>
              <w:left w:val="nil"/>
              <w:bottom w:val="single" w:sz="4" w:space="0" w:color="FFFFFF" w:themeColor="background1"/>
              <w:right w:val="nil"/>
            </w:tcBorders>
            <w:shd w:val="clear" w:color="auto" w:fill="89EDFB"/>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Informe anual preliminar, productos anuales/informe</w:t>
            </w:r>
          </w:p>
        </w:tc>
        <w:tc>
          <w:tcPr>
            <w:tcW w:w="1945"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 xml:space="preserve">Proceder con </w:t>
            </w:r>
            <w:r w:rsidR="002953E4">
              <w:rPr>
                <w:sz w:val="16"/>
                <w:szCs w:val="16"/>
                <w:lang w:val="es-ES_tradnl"/>
              </w:rPr>
              <w:br/>
            </w:r>
            <w:r w:rsidRPr="002D2B78">
              <w:rPr>
                <w:sz w:val="16"/>
                <w:szCs w:val="16"/>
                <w:lang w:val="es-ES_tradnl"/>
              </w:rPr>
              <w:t>redacción, etc.</w:t>
            </w:r>
          </w:p>
        </w:tc>
        <w:tc>
          <w:tcPr>
            <w:tcW w:w="2310" w:type="dxa"/>
            <w:tcBorders>
              <w:top w:val="single" w:sz="4" w:space="0" w:color="FFFFFF" w:themeColor="background1"/>
              <w:left w:val="nil"/>
              <w:bottom w:val="single" w:sz="4" w:space="0" w:color="FFFFFF" w:themeColor="background1"/>
              <w:right w:val="nil"/>
            </w:tcBorders>
            <w:shd w:val="clear" w:color="auto" w:fill="89EDFB"/>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Informes finales, directrices y proyectos de Recomendación</w:t>
            </w:r>
          </w:p>
        </w:tc>
        <w:tc>
          <w:tcPr>
            <w:tcW w:w="294" w:type="dxa"/>
            <w:tcBorders>
              <w:top w:val="nil"/>
              <w:left w:val="nil"/>
              <w:bottom w:val="nil"/>
              <w:right w:val="nil"/>
            </w:tcBorders>
            <w:shd w:val="clear" w:color="auto" w:fill="FFFFFF" w:themeFill="background1"/>
          </w:tcPr>
          <w:p w:rsidR="00C05030" w:rsidRPr="006614C7" w:rsidRDefault="00C05030" w:rsidP="00C30D4F">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_tradnl"/>
              </w:rPr>
            </w:pPr>
          </w:p>
        </w:tc>
      </w:tr>
      <w:tr w:rsidR="00C05030" w:rsidRPr="004D42A2" w:rsidTr="00C30D4F">
        <w:trPr>
          <w:jc w:val="center"/>
        </w:trPr>
        <w:tc>
          <w:tcPr>
            <w:tcW w:w="812" w:type="dxa"/>
            <w:vMerge w:val="restart"/>
            <w:tcBorders>
              <w:top w:val="single" w:sz="4" w:space="0" w:color="FFFFFF" w:themeColor="background1"/>
              <w:left w:val="nil"/>
              <w:right w:val="nil"/>
            </w:tcBorders>
            <w:shd w:val="clear" w:color="auto" w:fill="53A757"/>
            <w:vAlign w:val="center"/>
          </w:tcPr>
          <w:p w:rsidR="00C05030" w:rsidRPr="002D2B78" w:rsidRDefault="00C05030" w:rsidP="00C30D4F">
            <w:pPr>
              <w:pStyle w:val="Tabletext"/>
              <w:spacing w:before="20" w:after="20"/>
              <w:jc w:val="center"/>
              <w:rPr>
                <w:b/>
                <w:bCs/>
                <w:sz w:val="18"/>
                <w:szCs w:val="18"/>
                <w:lang w:val="fr-FR"/>
              </w:rPr>
            </w:pPr>
            <w:r w:rsidRPr="002D2B78">
              <w:rPr>
                <w:b/>
                <w:bCs/>
                <w:sz w:val="18"/>
                <w:szCs w:val="18"/>
                <w:lang w:val="fr-FR"/>
              </w:rPr>
              <w:t>C4/1</w:t>
            </w:r>
          </w:p>
        </w:tc>
        <w:tc>
          <w:tcPr>
            <w:tcW w:w="14096" w:type="dxa"/>
            <w:gridSpan w:val="7"/>
            <w:tcBorders>
              <w:top w:val="single" w:sz="4" w:space="0" w:color="FFFFFF" w:themeColor="background1"/>
              <w:left w:val="nil"/>
              <w:bottom w:val="single" w:sz="4" w:space="0" w:color="FFFFFF" w:themeColor="background1"/>
              <w:right w:val="nil"/>
            </w:tcBorders>
            <w:shd w:val="clear" w:color="auto" w:fill="53A757"/>
            <w:vAlign w:val="center"/>
          </w:tcPr>
          <w:p w:rsidR="00C05030" w:rsidRPr="00AB2511" w:rsidRDefault="00C05030" w:rsidP="00C30D4F">
            <w:pPr>
              <w:pStyle w:val="Tabletext10pt"/>
              <w:keepNext/>
              <w:keepLines/>
              <w:spacing w:before="20" w:after="20"/>
              <w:jc w:val="center"/>
              <w:rPr>
                <w:sz w:val="16"/>
                <w:szCs w:val="16"/>
                <w:lang w:val="es-ES_tradnl"/>
              </w:rPr>
            </w:pPr>
            <w:r w:rsidRPr="00AB2511">
              <w:rPr>
                <w:sz w:val="16"/>
                <w:szCs w:val="16"/>
                <w:lang w:val="es-ES_tradnl"/>
              </w:rPr>
              <w:t xml:space="preserve">Prácticas idóneas para fomentar la compartición de infraestructura adecuada, fomentar la reducción de precios/tarifas para los consumidores mediante la competición y el estímulo </w:t>
            </w:r>
            <w:r w:rsidR="00AB07B6" w:rsidRPr="00AB2511">
              <w:rPr>
                <w:sz w:val="16"/>
                <w:szCs w:val="16"/>
                <w:lang w:val="es-ES_tradnl"/>
              </w:rPr>
              <w:t>d</w:t>
            </w:r>
            <w:r w:rsidRPr="00AB2511">
              <w:rPr>
                <w:sz w:val="16"/>
                <w:szCs w:val="16"/>
                <w:lang w:val="es-ES_tradnl"/>
              </w:rPr>
              <w:t>el acceso a los servicios.</w:t>
            </w:r>
          </w:p>
        </w:tc>
        <w:tc>
          <w:tcPr>
            <w:tcW w:w="294" w:type="dxa"/>
            <w:tcBorders>
              <w:top w:val="nil"/>
              <w:left w:val="nil"/>
              <w:bottom w:val="nil"/>
              <w:right w:val="nil"/>
            </w:tcBorders>
            <w:shd w:val="clear" w:color="auto" w:fill="53A757"/>
          </w:tcPr>
          <w:p w:rsidR="00C05030" w:rsidRPr="006614C7" w:rsidRDefault="00C05030" w:rsidP="00C30D4F">
            <w:pPr>
              <w:pStyle w:val="Tabletext10pt"/>
              <w:keepNext/>
              <w:keepLines/>
              <w:spacing w:before="0" w:after="0"/>
              <w:jc w:val="center"/>
              <w:rPr>
                <w:b/>
                <w:bCs/>
                <w:sz w:val="15"/>
                <w:szCs w:val="15"/>
                <w:lang w:val="es-ES_tradnl"/>
              </w:rPr>
            </w:pPr>
          </w:p>
        </w:tc>
      </w:tr>
      <w:tr w:rsidR="00C05030" w:rsidRPr="004D42A2" w:rsidTr="00C30D4F">
        <w:trPr>
          <w:jc w:val="center"/>
        </w:trPr>
        <w:tc>
          <w:tcPr>
            <w:tcW w:w="812" w:type="dxa"/>
            <w:vMerge/>
            <w:tcBorders>
              <w:top w:val="single" w:sz="4" w:space="0" w:color="000000" w:themeColor="text1"/>
              <w:left w:val="nil"/>
              <w:bottom w:val="single" w:sz="4" w:space="0" w:color="FFFFFF" w:themeColor="background1"/>
              <w:right w:val="nil"/>
            </w:tcBorders>
            <w:vAlign w:val="center"/>
          </w:tcPr>
          <w:p w:rsidR="00C05030" w:rsidRPr="002D2B78" w:rsidRDefault="00C05030" w:rsidP="00C30D4F">
            <w:pPr>
              <w:pStyle w:val="Tabletext"/>
              <w:spacing w:before="20" w:after="20"/>
              <w:jc w:val="center"/>
              <w:rPr>
                <w:b/>
                <w:bCs/>
                <w:sz w:val="18"/>
                <w:szCs w:val="18"/>
                <w:lang w:val="es-ES_tradnl"/>
              </w:rPr>
            </w:pPr>
          </w:p>
        </w:tc>
        <w:tc>
          <w:tcPr>
            <w:tcW w:w="1946" w:type="dxa"/>
            <w:tcBorders>
              <w:top w:val="single" w:sz="4" w:space="0" w:color="FFFFFF" w:themeColor="background1"/>
              <w:left w:val="nil"/>
              <w:bottom w:val="single" w:sz="4" w:space="0" w:color="FFFFFF" w:themeColor="background1"/>
              <w:right w:val="nil"/>
            </w:tcBorders>
            <w:shd w:val="clear" w:color="auto" w:fill="8CC68F"/>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Plan de trabajo y proyecto de índice</w:t>
            </w:r>
          </w:p>
        </w:tc>
        <w:tc>
          <w:tcPr>
            <w:tcW w:w="1932"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Proceder con redacción, estudios de caso, etc.</w:t>
            </w:r>
          </w:p>
        </w:tc>
        <w:tc>
          <w:tcPr>
            <w:tcW w:w="1973" w:type="dxa"/>
            <w:tcBorders>
              <w:top w:val="single" w:sz="4" w:space="0" w:color="FFFFFF" w:themeColor="background1"/>
              <w:left w:val="nil"/>
              <w:bottom w:val="single" w:sz="4" w:space="0" w:color="FFFFFF" w:themeColor="background1"/>
              <w:right w:val="nil"/>
            </w:tcBorders>
            <w:shd w:val="clear" w:color="auto" w:fill="8CC68F"/>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Informe anual preliminar, Informe intermedio</w:t>
            </w:r>
          </w:p>
        </w:tc>
        <w:tc>
          <w:tcPr>
            <w:tcW w:w="1988"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Proceder con redacción, estudios de caso, etc.</w:t>
            </w:r>
          </w:p>
        </w:tc>
        <w:tc>
          <w:tcPr>
            <w:tcW w:w="2002" w:type="dxa"/>
            <w:tcBorders>
              <w:top w:val="single" w:sz="4" w:space="0" w:color="FFFFFF" w:themeColor="background1"/>
              <w:left w:val="nil"/>
              <w:bottom w:val="single" w:sz="4" w:space="0" w:color="FFFFFF" w:themeColor="background1"/>
              <w:right w:val="nil"/>
            </w:tcBorders>
            <w:shd w:val="clear" w:color="auto" w:fill="8CC68F"/>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Informe anual preliminar, productos anuales</w:t>
            </w:r>
          </w:p>
        </w:tc>
        <w:tc>
          <w:tcPr>
            <w:tcW w:w="1945"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 xml:space="preserve">Proceder con </w:t>
            </w:r>
            <w:r w:rsidR="002953E4">
              <w:rPr>
                <w:sz w:val="16"/>
                <w:szCs w:val="16"/>
                <w:lang w:val="es-ES_tradnl"/>
              </w:rPr>
              <w:br/>
            </w:r>
            <w:r w:rsidRPr="002D2B78">
              <w:rPr>
                <w:sz w:val="16"/>
                <w:szCs w:val="16"/>
                <w:lang w:val="es-ES_tradnl"/>
              </w:rPr>
              <w:t>redacción, etc.</w:t>
            </w:r>
          </w:p>
        </w:tc>
        <w:tc>
          <w:tcPr>
            <w:tcW w:w="2310" w:type="dxa"/>
            <w:tcBorders>
              <w:top w:val="single" w:sz="4" w:space="0" w:color="FFFFFF" w:themeColor="background1"/>
              <w:left w:val="nil"/>
              <w:bottom w:val="single" w:sz="4" w:space="0" w:color="FFFFFF" w:themeColor="background1"/>
              <w:right w:val="nil"/>
            </w:tcBorders>
            <w:shd w:val="clear" w:color="auto" w:fill="8CC68F"/>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Informes finales, directrices y proyectos de Recomendación</w:t>
            </w:r>
          </w:p>
        </w:tc>
        <w:tc>
          <w:tcPr>
            <w:tcW w:w="294" w:type="dxa"/>
            <w:tcBorders>
              <w:top w:val="nil"/>
              <w:left w:val="nil"/>
              <w:bottom w:val="nil"/>
              <w:right w:val="nil"/>
            </w:tcBorders>
            <w:shd w:val="clear" w:color="auto" w:fill="FFFFFF" w:themeFill="background1"/>
          </w:tcPr>
          <w:p w:rsidR="00C05030" w:rsidRPr="006614C7" w:rsidRDefault="00C05030" w:rsidP="00C30D4F">
            <w:pPr>
              <w:pStyle w:val="Tabletext10pt"/>
              <w:spacing w:before="0" w:after="0"/>
              <w:jc w:val="center"/>
              <w:rPr>
                <w:b/>
                <w:bCs/>
                <w:sz w:val="15"/>
                <w:szCs w:val="15"/>
                <w:lang w:val="es-ES_tradnl"/>
              </w:rPr>
            </w:pPr>
          </w:p>
        </w:tc>
      </w:tr>
      <w:tr w:rsidR="00C05030" w:rsidRPr="004D42A2" w:rsidTr="00C30D4F">
        <w:trPr>
          <w:jc w:val="center"/>
        </w:trPr>
        <w:tc>
          <w:tcPr>
            <w:tcW w:w="812" w:type="dxa"/>
            <w:vMerge w:val="restart"/>
            <w:tcBorders>
              <w:top w:val="single" w:sz="4" w:space="0" w:color="FFFFFF" w:themeColor="background1"/>
              <w:left w:val="nil"/>
              <w:bottom w:val="single" w:sz="4" w:space="0" w:color="FFFFFF" w:themeColor="background1"/>
              <w:right w:val="nil"/>
            </w:tcBorders>
            <w:shd w:val="clear" w:color="auto" w:fill="EDD62F"/>
            <w:vAlign w:val="center"/>
          </w:tcPr>
          <w:p w:rsidR="00C05030" w:rsidRPr="002D2B78" w:rsidRDefault="00C05030" w:rsidP="00C30D4F">
            <w:pPr>
              <w:pStyle w:val="Tabletext"/>
              <w:spacing w:before="20" w:after="20"/>
              <w:jc w:val="center"/>
              <w:rPr>
                <w:b/>
                <w:bCs/>
                <w:sz w:val="18"/>
                <w:szCs w:val="18"/>
                <w:lang w:val="fr-FR"/>
              </w:rPr>
            </w:pPr>
            <w:r w:rsidRPr="002D2B78">
              <w:rPr>
                <w:b/>
                <w:bCs/>
                <w:sz w:val="18"/>
                <w:szCs w:val="18"/>
                <w:lang w:val="fr-FR"/>
              </w:rPr>
              <w:t>C5/1</w:t>
            </w:r>
          </w:p>
        </w:tc>
        <w:tc>
          <w:tcPr>
            <w:tcW w:w="14096" w:type="dxa"/>
            <w:gridSpan w:val="7"/>
            <w:tcBorders>
              <w:top w:val="single" w:sz="4" w:space="0" w:color="FFFFFF" w:themeColor="background1"/>
              <w:left w:val="nil"/>
              <w:bottom w:val="single" w:sz="4" w:space="0" w:color="FFFFFF" w:themeColor="background1"/>
              <w:right w:val="nil"/>
            </w:tcBorders>
            <w:shd w:val="clear" w:color="auto" w:fill="EDD62F"/>
            <w:vAlign w:val="center"/>
          </w:tcPr>
          <w:p w:rsidR="00C05030" w:rsidRPr="00AB2511" w:rsidRDefault="00C05030" w:rsidP="00C30D4F">
            <w:pPr>
              <w:pStyle w:val="Tabletext10pt"/>
              <w:spacing w:before="20" w:after="20"/>
              <w:jc w:val="center"/>
              <w:rPr>
                <w:sz w:val="18"/>
                <w:szCs w:val="18"/>
                <w:lang w:val="es-ES_tradnl"/>
              </w:rPr>
            </w:pPr>
            <w:r w:rsidRPr="00AB2511">
              <w:rPr>
                <w:sz w:val="18"/>
                <w:szCs w:val="18"/>
                <w:lang w:val="es-ES_tradnl"/>
              </w:rPr>
              <w:t>Talleres y seminarios para compartir prácticas idóneas sobre el despliegue de la infraestructura de banda ancha en zonas rurales y desatendidas.</w:t>
            </w:r>
          </w:p>
        </w:tc>
        <w:tc>
          <w:tcPr>
            <w:tcW w:w="294" w:type="dxa"/>
            <w:tcBorders>
              <w:top w:val="nil"/>
              <w:left w:val="nil"/>
              <w:bottom w:val="nil"/>
              <w:right w:val="nil"/>
            </w:tcBorders>
            <w:shd w:val="clear" w:color="auto" w:fill="EDD62F"/>
          </w:tcPr>
          <w:p w:rsidR="00C05030" w:rsidRPr="006614C7" w:rsidRDefault="00C05030" w:rsidP="00C30D4F">
            <w:pPr>
              <w:pStyle w:val="Tabletext10pt"/>
              <w:spacing w:before="0" w:after="0"/>
              <w:jc w:val="center"/>
              <w:rPr>
                <w:b/>
                <w:bCs/>
                <w:sz w:val="15"/>
                <w:szCs w:val="15"/>
                <w:lang w:val="es-ES_tradnl"/>
              </w:rPr>
            </w:pPr>
          </w:p>
        </w:tc>
      </w:tr>
      <w:tr w:rsidR="00C05030" w:rsidRPr="004D42A2" w:rsidTr="00C30D4F">
        <w:trPr>
          <w:jc w:val="center"/>
        </w:trPr>
        <w:tc>
          <w:tcPr>
            <w:tcW w:w="812" w:type="dxa"/>
            <w:vMerge/>
            <w:tcBorders>
              <w:top w:val="single" w:sz="4" w:space="0" w:color="000000" w:themeColor="text1"/>
              <w:left w:val="nil"/>
              <w:bottom w:val="single" w:sz="4" w:space="0" w:color="FFFFFF" w:themeColor="background1"/>
              <w:right w:val="nil"/>
            </w:tcBorders>
            <w:vAlign w:val="center"/>
          </w:tcPr>
          <w:p w:rsidR="00C05030" w:rsidRPr="002D2B78" w:rsidRDefault="00C05030" w:rsidP="00C30D4F">
            <w:pPr>
              <w:pStyle w:val="Tabletext"/>
              <w:spacing w:before="20" w:after="20"/>
              <w:jc w:val="center"/>
              <w:rPr>
                <w:b/>
                <w:bCs/>
                <w:sz w:val="18"/>
                <w:szCs w:val="18"/>
                <w:lang w:val="es-ES_tradnl"/>
              </w:rPr>
            </w:pPr>
          </w:p>
        </w:tc>
        <w:tc>
          <w:tcPr>
            <w:tcW w:w="1946" w:type="dxa"/>
            <w:tcBorders>
              <w:top w:val="single" w:sz="4" w:space="0" w:color="FFFFFF" w:themeColor="background1"/>
              <w:left w:val="nil"/>
              <w:bottom w:val="single" w:sz="4" w:space="0" w:color="FFFFFF" w:themeColor="background1"/>
              <w:right w:val="nil"/>
            </w:tcBorders>
            <w:shd w:val="clear" w:color="auto" w:fill="F2E26A"/>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Plan de trabajo y proyecto de índice</w:t>
            </w:r>
          </w:p>
        </w:tc>
        <w:tc>
          <w:tcPr>
            <w:tcW w:w="1932"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Proceder con redacción, estudios de caso, etc.</w:t>
            </w:r>
          </w:p>
        </w:tc>
        <w:tc>
          <w:tcPr>
            <w:tcW w:w="1973" w:type="dxa"/>
            <w:tcBorders>
              <w:top w:val="single" w:sz="4" w:space="0" w:color="FFFFFF" w:themeColor="background1"/>
              <w:left w:val="nil"/>
              <w:bottom w:val="single" w:sz="4" w:space="0" w:color="FFFFFF" w:themeColor="background1"/>
              <w:right w:val="nil"/>
            </w:tcBorders>
            <w:shd w:val="clear" w:color="auto" w:fill="F2E26A"/>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Informe anual preliminar, productos anuales</w:t>
            </w:r>
          </w:p>
        </w:tc>
        <w:tc>
          <w:tcPr>
            <w:tcW w:w="1988"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Proceder con redacción, estudios de caso, etc.</w:t>
            </w:r>
          </w:p>
        </w:tc>
        <w:tc>
          <w:tcPr>
            <w:tcW w:w="2002" w:type="dxa"/>
            <w:tcBorders>
              <w:top w:val="single" w:sz="4" w:space="0" w:color="FFFFFF" w:themeColor="background1"/>
              <w:left w:val="nil"/>
              <w:bottom w:val="single" w:sz="4" w:space="0" w:color="FFFFFF" w:themeColor="background1"/>
              <w:right w:val="nil"/>
            </w:tcBorders>
            <w:shd w:val="clear" w:color="auto" w:fill="F2E26A"/>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Informe anual preliminar, productos anuales</w:t>
            </w:r>
          </w:p>
        </w:tc>
        <w:tc>
          <w:tcPr>
            <w:tcW w:w="1945"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 xml:space="preserve">Proceder con </w:t>
            </w:r>
            <w:r w:rsidR="002953E4">
              <w:rPr>
                <w:sz w:val="16"/>
                <w:szCs w:val="16"/>
                <w:lang w:val="es-ES_tradnl"/>
              </w:rPr>
              <w:br/>
            </w:r>
            <w:r w:rsidRPr="002D2B78">
              <w:rPr>
                <w:sz w:val="16"/>
                <w:szCs w:val="16"/>
                <w:lang w:val="es-ES_tradnl"/>
              </w:rPr>
              <w:t>redacción, etc.</w:t>
            </w:r>
          </w:p>
        </w:tc>
        <w:tc>
          <w:tcPr>
            <w:tcW w:w="2310" w:type="dxa"/>
            <w:tcBorders>
              <w:top w:val="single" w:sz="4" w:space="0" w:color="FFFFFF" w:themeColor="background1"/>
              <w:left w:val="nil"/>
              <w:bottom w:val="single" w:sz="4" w:space="0" w:color="FFFFFF" w:themeColor="background1"/>
              <w:right w:val="nil"/>
            </w:tcBorders>
            <w:shd w:val="clear" w:color="auto" w:fill="F2E26A"/>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Informes finales, directrices y proyectos de Recomendación</w:t>
            </w:r>
          </w:p>
        </w:tc>
        <w:tc>
          <w:tcPr>
            <w:tcW w:w="294" w:type="dxa"/>
            <w:tcBorders>
              <w:top w:val="nil"/>
              <w:left w:val="nil"/>
              <w:bottom w:val="nil"/>
              <w:right w:val="nil"/>
            </w:tcBorders>
            <w:shd w:val="clear" w:color="auto" w:fill="FFFFFF" w:themeFill="background1"/>
          </w:tcPr>
          <w:p w:rsidR="00C05030" w:rsidRPr="006614C7" w:rsidRDefault="00C05030" w:rsidP="00C30D4F">
            <w:pPr>
              <w:pStyle w:val="Tabletext10pt"/>
              <w:spacing w:before="0" w:after="0"/>
              <w:jc w:val="center"/>
              <w:rPr>
                <w:b/>
                <w:bCs/>
                <w:sz w:val="15"/>
                <w:szCs w:val="15"/>
                <w:lang w:val="es-ES_tradnl"/>
              </w:rPr>
            </w:pPr>
          </w:p>
        </w:tc>
      </w:tr>
      <w:tr w:rsidR="00C05030" w:rsidRPr="004D42A2" w:rsidTr="00C30D4F">
        <w:trPr>
          <w:jc w:val="center"/>
        </w:trPr>
        <w:tc>
          <w:tcPr>
            <w:tcW w:w="812" w:type="dxa"/>
            <w:vMerge w:val="restart"/>
            <w:tcBorders>
              <w:top w:val="single" w:sz="4" w:space="0" w:color="FFFFFF" w:themeColor="background1"/>
              <w:left w:val="nil"/>
              <w:bottom w:val="single" w:sz="4" w:space="0" w:color="FFFFFF" w:themeColor="background1"/>
              <w:right w:val="nil"/>
            </w:tcBorders>
            <w:shd w:val="clear" w:color="auto" w:fill="E9832F"/>
            <w:vAlign w:val="center"/>
          </w:tcPr>
          <w:p w:rsidR="00C05030" w:rsidRPr="002D2B78" w:rsidRDefault="00C05030" w:rsidP="00C30D4F">
            <w:pPr>
              <w:pStyle w:val="Tabletext"/>
              <w:spacing w:before="20" w:after="20"/>
              <w:jc w:val="center"/>
              <w:rPr>
                <w:b/>
                <w:bCs/>
                <w:sz w:val="18"/>
                <w:szCs w:val="18"/>
                <w:lang w:val="fr-FR"/>
              </w:rPr>
            </w:pPr>
            <w:r w:rsidRPr="002D2B78">
              <w:rPr>
                <w:b/>
                <w:bCs/>
                <w:sz w:val="18"/>
                <w:szCs w:val="18"/>
                <w:lang w:val="fr-FR"/>
              </w:rPr>
              <w:t>C6/1</w:t>
            </w:r>
          </w:p>
        </w:tc>
        <w:tc>
          <w:tcPr>
            <w:tcW w:w="14096" w:type="dxa"/>
            <w:gridSpan w:val="7"/>
            <w:tcBorders>
              <w:top w:val="single" w:sz="4" w:space="0" w:color="FFFFFF" w:themeColor="background1"/>
              <w:left w:val="nil"/>
              <w:bottom w:val="single" w:sz="4" w:space="0" w:color="FFFFFF" w:themeColor="background1"/>
              <w:right w:val="nil"/>
            </w:tcBorders>
            <w:shd w:val="clear" w:color="auto" w:fill="E9832F"/>
            <w:vAlign w:val="center"/>
          </w:tcPr>
          <w:p w:rsidR="00C05030" w:rsidRPr="00AB2511" w:rsidRDefault="00C05030" w:rsidP="00C30D4F">
            <w:pPr>
              <w:pStyle w:val="Tabletext10pt"/>
              <w:spacing w:before="20" w:after="20"/>
              <w:jc w:val="center"/>
              <w:rPr>
                <w:sz w:val="18"/>
                <w:szCs w:val="18"/>
                <w:lang w:val="es-ES_tradnl"/>
              </w:rPr>
            </w:pPr>
            <w:r w:rsidRPr="00AB2511">
              <w:rPr>
                <w:sz w:val="18"/>
                <w:szCs w:val="18"/>
                <w:lang w:val="es-ES_tradnl"/>
              </w:rPr>
              <w:t>Directrices, prácticas idóneas herramientas y seminarios regionales sobre la protección del consumidor.</w:t>
            </w:r>
          </w:p>
        </w:tc>
        <w:tc>
          <w:tcPr>
            <w:tcW w:w="294" w:type="dxa"/>
            <w:tcBorders>
              <w:top w:val="nil"/>
              <w:left w:val="nil"/>
              <w:bottom w:val="nil"/>
              <w:right w:val="nil"/>
            </w:tcBorders>
            <w:shd w:val="clear" w:color="auto" w:fill="E9832F"/>
          </w:tcPr>
          <w:p w:rsidR="00C05030" w:rsidRPr="006614C7" w:rsidRDefault="00C05030" w:rsidP="00C30D4F">
            <w:pPr>
              <w:pStyle w:val="Tabletext10pt"/>
              <w:spacing w:before="0" w:after="0"/>
              <w:jc w:val="center"/>
              <w:rPr>
                <w:b/>
                <w:bCs/>
                <w:sz w:val="15"/>
                <w:szCs w:val="15"/>
                <w:lang w:val="es-ES_tradnl"/>
              </w:rPr>
            </w:pPr>
          </w:p>
        </w:tc>
      </w:tr>
      <w:tr w:rsidR="00C05030" w:rsidRPr="004D42A2" w:rsidTr="00C30D4F">
        <w:trPr>
          <w:jc w:val="center"/>
        </w:trPr>
        <w:tc>
          <w:tcPr>
            <w:tcW w:w="812" w:type="dxa"/>
            <w:vMerge/>
            <w:tcBorders>
              <w:top w:val="single" w:sz="4" w:space="0" w:color="000000" w:themeColor="text1"/>
              <w:left w:val="nil"/>
              <w:bottom w:val="single" w:sz="4" w:space="0" w:color="FFFFFF" w:themeColor="background1"/>
              <w:right w:val="nil"/>
            </w:tcBorders>
            <w:vAlign w:val="center"/>
          </w:tcPr>
          <w:p w:rsidR="00C05030" w:rsidRPr="002D2B78" w:rsidRDefault="00C05030" w:rsidP="00C30D4F">
            <w:pPr>
              <w:pStyle w:val="Tabletext"/>
              <w:spacing w:before="20" w:after="20"/>
              <w:jc w:val="center"/>
              <w:rPr>
                <w:b/>
                <w:bCs/>
                <w:sz w:val="18"/>
                <w:szCs w:val="18"/>
                <w:lang w:val="es-ES_tradnl"/>
              </w:rPr>
            </w:pPr>
          </w:p>
        </w:tc>
        <w:tc>
          <w:tcPr>
            <w:tcW w:w="1946" w:type="dxa"/>
            <w:tcBorders>
              <w:top w:val="single" w:sz="4" w:space="0" w:color="FFFFFF" w:themeColor="background1"/>
              <w:left w:val="nil"/>
              <w:bottom w:val="single" w:sz="4" w:space="0" w:color="FFFFFF" w:themeColor="background1"/>
              <w:right w:val="nil"/>
            </w:tcBorders>
            <w:shd w:val="clear" w:color="auto" w:fill="F0AC74"/>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Plan de trabajo y proyecto de índice</w:t>
            </w:r>
          </w:p>
        </w:tc>
        <w:tc>
          <w:tcPr>
            <w:tcW w:w="1932"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Proceder con redacción, estudios de caso, etc.</w:t>
            </w:r>
          </w:p>
        </w:tc>
        <w:tc>
          <w:tcPr>
            <w:tcW w:w="1973" w:type="dxa"/>
            <w:tcBorders>
              <w:top w:val="single" w:sz="4" w:space="0" w:color="FFFFFF" w:themeColor="background1"/>
              <w:left w:val="nil"/>
              <w:bottom w:val="single" w:sz="4" w:space="0" w:color="FFFFFF" w:themeColor="background1"/>
              <w:right w:val="nil"/>
            </w:tcBorders>
            <w:shd w:val="clear" w:color="auto" w:fill="F0AC74"/>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Informe anual preliminar, Informe intermedio</w:t>
            </w:r>
          </w:p>
        </w:tc>
        <w:tc>
          <w:tcPr>
            <w:tcW w:w="1988"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Proceder con redacción, estudios de caso, etc.</w:t>
            </w:r>
          </w:p>
        </w:tc>
        <w:tc>
          <w:tcPr>
            <w:tcW w:w="2002" w:type="dxa"/>
            <w:tcBorders>
              <w:top w:val="single" w:sz="4" w:space="0" w:color="FFFFFF" w:themeColor="background1"/>
              <w:left w:val="nil"/>
              <w:bottom w:val="single" w:sz="4" w:space="0" w:color="FFFFFF" w:themeColor="background1"/>
              <w:right w:val="nil"/>
            </w:tcBorders>
            <w:shd w:val="clear" w:color="auto" w:fill="F0AC74"/>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Informe anual preliminar, Informe intermedio</w:t>
            </w:r>
          </w:p>
        </w:tc>
        <w:tc>
          <w:tcPr>
            <w:tcW w:w="1945"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 xml:space="preserve">Proceder con </w:t>
            </w:r>
            <w:r w:rsidR="002953E4">
              <w:rPr>
                <w:sz w:val="16"/>
                <w:szCs w:val="16"/>
                <w:lang w:val="es-ES_tradnl"/>
              </w:rPr>
              <w:br/>
            </w:r>
            <w:r w:rsidRPr="002D2B78">
              <w:rPr>
                <w:sz w:val="16"/>
                <w:szCs w:val="16"/>
                <w:lang w:val="es-ES_tradnl"/>
              </w:rPr>
              <w:t>redacción, etc.</w:t>
            </w:r>
          </w:p>
        </w:tc>
        <w:tc>
          <w:tcPr>
            <w:tcW w:w="2310" w:type="dxa"/>
            <w:tcBorders>
              <w:top w:val="single" w:sz="4" w:space="0" w:color="FFFFFF" w:themeColor="background1"/>
              <w:left w:val="nil"/>
              <w:bottom w:val="single" w:sz="4" w:space="0" w:color="FFFFFF" w:themeColor="background1"/>
              <w:right w:val="nil"/>
            </w:tcBorders>
            <w:shd w:val="clear" w:color="auto" w:fill="F0AC74"/>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Informes finales, directrices y proyectos de Recomendación</w:t>
            </w:r>
          </w:p>
        </w:tc>
        <w:tc>
          <w:tcPr>
            <w:tcW w:w="294" w:type="dxa"/>
            <w:tcBorders>
              <w:top w:val="nil"/>
              <w:left w:val="nil"/>
              <w:bottom w:val="nil"/>
              <w:right w:val="nil"/>
            </w:tcBorders>
            <w:shd w:val="clear" w:color="auto" w:fill="FFFFFF" w:themeFill="background1"/>
          </w:tcPr>
          <w:p w:rsidR="00C05030" w:rsidRPr="006614C7" w:rsidRDefault="00C05030" w:rsidP="00C30D4F">
            <w:pPr>
              <w:pStyle w:val="Tabletext10pt"/>
              <w:spacing w:before="20" w:after="20"/>
              <w:jc w:val="center"/>
              <w:rPr>
                <w:b/>
                <w:bCs/>
                <w:sz w:val="15"/>
                <w:szCs w:val="15"/>
                <w:lang w:val="es-ES_tradnl"/>
              </w:rPr>
            </w:pPr>
          </w:p>
        </w:tc>
      </w:tr>
      <w:tr w:rsidR="00C05030" w:rsidRPr="004D42A2" w:rsidTr="00C30D4F">
        <w:trPr>
          <w:jc w:val="center"/>
        </w:trPr>
        <w:tc>
          <w:tcPr>
            <w:tcW w:w="812" w:type="dxa"/>
            <w:vMerge w:val="restart"/>
            <w:tcBorders>
              <w:top w:val="single" w:sz="4" w:space="0" w:color="FFFFFF" w:themeColor="background1"/>
              <w:left w:val="nil"/>
              <w:bottom w:val="nil"/>
              <w:right w:val="nil"/>
            </w:tcBorders>
            <w:shd w:val="clear" w:color="auto" w:fill="FB3919"/>
            <w:vAlign w:val="center"/>
          </w:tcPr>
          <w:p w:rsidR="00C05030" w:rsidRPr="002D2B78" w:rsidRDefault="00C05030" w:rsidP="00C30D4F">
            <w:pPr>
              <w:pStyle w:val="Tabletext"/>
              <w:spacing w:before="20" w:after="20"/>
              <w:jc w:val="center"/>
              <w:rPr>
                <w:b/>
                <w:bCs/>
                <w:sz w:val="18"/>
                <w:szCs w:val="18"/>
                <w:lang w:val="fr-FR"/>
              </w:rPr>
            </w:pPr>
            <w:r w:rsidRPr="002D2B78">
              <w:rPr>
                <w:b/>
                <w:bCs/>
                <w:sz w:val="18"/>
                <w:szCs w:val="18"/>
                <w:lang w:val="fr-FR"/>
              </w:rPr>
              <w:t>C7/1</w:t>
            </w:r>
          </w:p>
        </w:tc>
        <w:tc>
          <w:tcPr>
            <w:tcW w:w="14096" w:type="dxa"/>
            <w:gridSpan w:val="7"/>
            <w:tcBorders>
              <w:top w:val="single" w:sz="4" w:space="0" w:color="FFFFFF" w:themeColor="background1"/>
              <w:left w:val="nil"/>
              <w:bottom w:val="single" w:sz="4" w:space="0" w:color="FFFFFF" w:themeColor="background1"/>
              <w:right w:val="nil"/>
            </w:tcBorders>
            <w:shd w:val="clear" w:color="auto" w:fill="FB3919"/>
            <w:vAlign w:val="center"/>
          </w:tcPr>
          <w:p w:rsidR="00C05030" w:rsidRPr="00925D30" w:rsidRDefault="00C05030" w:rsidP="00C30D4F">
            <w:pPr>
              <w:pStyle w:val="Tabletext10pt"/>
              <w:spacing w:before="20" w:after="20"/>
              <w:jc w:val="center"/>
              <w:rPr>
                <w:sz w:val="15"/>
                <w:szCs w:val="15"/>
                <w:lang w:val="es-ES_tradnl"/>
              </w:rPr>
            </w:pPr>
            <w:r w:rsidRPr="00AB2511">
              <w:rPr>
                <w:sz w:val="18"/>
                <w:szCs w:val="18"/>
                <w:lang w:val="es-ES_tradnl"/>
              </w:rPr>
              <w:t xml:space="preserve">Buenas prácticas, directrices y estudios de caso, </w:t>
            </w:r>
            <w:proofErr w:type="spellStart"/>
            <w:r w:rsidRPr="00AB2511">
              <w:rPr>
                <w:sz w:val="18"/>
                <w:szCs w:val="18"/>
                <w:lang w:val="es-ES_tradnl"/>
              </w:rPr>
              <w:t>formaicón</w:t>
            </w:r>
            <w:proofErr w:type="spellEnd"/>
            <w:r w:rsidRPr="00AB2511">
              <w:rPr>
                <w:sz w:val="18"/>
                <w:szCs w:val="18"/>
                <w:lang w:val="es-ES_tradnl"/>
              </w:rPr>
              <w:t xml:space="preserve"> en accesibilidad de las TIC, talleres y seminarios para compartir </w:t>
            </w:r>
            <w:proofErr w:type="spellStart"/>
            <w:r w:rsidRPr="00AB2511">
              <w:rPr>
                <w:sz w:val="18"/>
                <w:szCs w:val="18"/>
                <w:lang w:val="es-ES_tradnl"/>
              </w:rPr>
              <w:t>expiencias</w:t>
            </w:r>
            <w:proofErr w:type="spellEnd"/>
            <w:r w:rsidRPr="00AB2511">
              <w:rPr>
                <w:sz w:val="18"/>
                <w:szCs w:val="18"/>
                <w:lang w:val="es-ES_tradnl"/>
              </w:rPr>
              <w:t xml:space="preserve"> y sensibilizar</w:t>
            </w:r>
            <w:r w:rsidRPr="00925D30">
              <w:rPr>
                <w:sz w:val="15"/>
                <w:szCs w:val="15"/>
                <w:lang w:val="es-ES_tradnl"/>
              </w:rPr>
              <w:t>.</w:t>
            </w:r>
          </w:p>
        </w:tc>
        <w:tc>
          <w:tcPr>
            <w:tcW w:w="294" w:type="dxa"/>
            <w:tcBorders>
              <w:top w:val="nil"/>
              <w:left w:val="nil"/>
              <w:bottom w:val="nil"/>
              <w:right w:val="nil"/>
            </w:tcBorders>
            <w:shd w:val="clear" w:color="auto" w:fill="FB3919"/>
          </w:tcPr>
          <w:p w:rsidR="00C05030" w:rsidRPr="006614C7" w:rsidRDefault="00C05030" w:rsidP="00C30D4F">
            <w:pPr>
              <w:pStyle w:val="Tabletext10pt"/>
              <w:spacing w:before="0" w:after="0"/>
              <w:jc w:val="center"/>
              <w:rPr>
                <w:b/>
                <w:bCs/>
                <w:sz w:val="15"/>
                <w:szCs w:val="15"/>
                <w:lang w:val="es-ES_tradnl"/>
              </w:rPr>
            </w:pPr>
          </w:p>
        </w:tc>
      </w:tr>
      <w:tr w:rsidR="00C05030" w:rsidRPr="004D42A2" w:rsidTr="00C30D4F">
        <w:trPr>
          <w:jc w:val="center"/>
        </w:trPr>
        <w:tc>
          <w:tcPr>
            <w:tcW w:w="812" w:type="dxa"/>
            <w:vMerge/>
            <w:tcBorders>
              <w:left w:val="nil"/>
              <w:bottom w:val="nil"/>
              <w:right w:val="nil"/>
            </w:tcBorders>
            <w:vAlign w:val="center"/>
          </w:tcPr>
          <w:p w:rsidR="00C05030" w:rsidRPr="006614C7" w:rsidRDefault="00C05030" w:rsidP="00C30D4F">
            <w:pPr>
              <w:pStyle w:val="Tabletext"/>
              <w:spacing w:before="0" w:after="0"/>
              <w:jc w:val="center"/>
              <w:rPr>
                <w:sz w:val="15"/>
                <w:szCs w:val="15"/>
                <w:lang w:val="es-ES_tradnl"/>
              </w:rPr>
            </w:pPr>
          </w:p>
        </w:tc>
        <w:tc>
          <w:tcPr>
            <w:tcW w:w="1946" w:type="dxa"/>
            <w:tcBorders>
              <w:top w:val="single" w:sz="4" w:space="0" w:color="FFFFFF" w:themeColor="background1"/>
              <w:left w:val="nil"/>
              <w:bottom w:val="nil"/>
              <w:right w:val="nil"/>
            </w:tcBorders>
            <w:shd w:val="clear" w:color="auto" w:fill="FC8470"/>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Plan de trabajo y proyecto de índice</w:t>
            </w:r>
          </w:p>
        </w:tc>
        <w:tc>
          <w:tcPr>
            <w:tcW w:w="1932" w:type="dxa"/>
            <w:tcBorders>
              <w:top w:val="single" w:sz="4" w:space="0" w:color="FFFFFF" w:themeColor="background1"/>
              <w:left w:val="nil"/>
              <w:bottom w:val="nil"/>
              <w:right w:val="nil"/>
            </w:tcBorders>
            <w:shd w:val="clear" w:color="auto" w:fill="D9D9D9" w:themeFill="background1" w:themeFillShade="D9"/>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Proceder con redacción, estudios de caso, etc.</w:t>
            </w:r>
          </w:p>
        </w:tc>
        <w:tc>
          <w:tcPr>
            <w:tcW w:w="1973" w:type="dxa"/>
            <w:tcBorders>
              <w:top w:val="single" w:sz="4" w:space="0" w:color="FFFFFF" w:themeColor="background1"/>
              <w:left w:val="nil"/>
              <w:bottom w:val="nil"/>
              <w:right w:val="nil"/>
            </w:tcBorders>
            <w:shd w:val="clear" w:color="auto" w:fill="FC8470"/>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Informe anual preliminar, productos anuales/informe</w:t>
            </w:r>
          </w:p>
        </w:tc>
        <w:tc>
          <w:tcPr>
            <w:tcW w:w="1988" w:type="dxa"/>
            <w:tcBorders>
              <w:top w:val="single" w:sz="4" w:space="0" w:color="FFFFFF" w:themeColor="background1"/>
              <w:left w:val="nil"/>
              <w:bottom w:val="nil"/>
              <w:right w:val="nil"/>
            </w:tcBorders>
            <w:shd w:val="clear" w:color="auto" w:fill="D9D9D9" w:themeFill="background1" w:themeFillShade="D9"/>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Proceder con redacción, estudios de caso, etc.</w:t>
            </w:r>
          </w:p>
        </w:tc>
        <w:tc>
          <w:tcPr>
            <w:tcW w:w="2002" w:type="dxa"/>
            <w:tcBorders>
              <w:top w:val="single" w:sz="4" w:space="0" w:color="FFFFFF" w:themeColor="background1"/>
              <w:left w:val="nil"/>
              <w:bottom w:val="nil"/>
              <w:right w:val="nil"/>
            </w:tcBorders>
            <w:shd w:val="clear" w:color="auto" w:fill="FC8470"/>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Informe anual preliminar, productos anuales/informe</w:t>
            </w:r>
          </w:p>
        </w:tc>
        <w:tc>
          <w:tcPr>
            <w:tcW w:w="1945" w:type="dxa"/>
            <w:tcBorders>
              <w:top w:val="single" w:sz="4" w:space="0" w:color="FFFFFF" w:themeColor="background1"/>
              <w:left w:val="nil"/>
              <w:bottom w:val="nil"/>
              <w:right w:val="nil"/>
            </w:tcBorders>
            <w:shd w:val="clear" w:color="auto" w:fill="D9D9D9" w:themeFill="background1" w:themeFillShade="D9"/>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 xml:space="preserve">Proceder con </w:t>
            </w:r>
            <w:r w:rsidR="002953E4">
              <w:rPr>
                <w:sz w:val="16"/>
                <w:szCs w:val="16"/>
                <w:lang w:val="es-ES_tradnl"/>
              </w:rPr>
              <w:br/>
            </w:r>
            <w:r w:rsidRPr="002D2B78">
              <w:rPr>
                <w:sz w:val="16"/>
                <w:szCs w:val="16"/>
                <w:lang w:val="es-ES_tradnl"/>
              </w:rPr>
              <w:t>redacción, etc.</w:t>
            </w:r>
          </w:p>
        </w:tc>
        <w:tc>
          <w:tcPr>
            <w:tcW w:w="2310" w:type="dxa"/>
            <w:tcBorders>
              <w:top w:val="single" w:sz="4" w:space="0" w:color="FFFFFF" w:themeColor="background1"/>
              <w:left w:val="nil"/>
              <w:bottom w:val="nil"/>
              <w:right w:val="nil"/>
            </w:tcBorders>
            <w:shd w:val="clear" w:color="auto" w:fill="FC8470"/>
          </w:tcPr>
          <w:p w:rsidR="00C05030" w:rsidRPr="002D2B78" w:rsidRDefault="00C05030" w:rsidP="00C30D4F">
            <w:pPr>
              <w:pStyle w:val="Tabletext10pt"/>
              <w:spacing w:before="20" w:after="20"/>
              <w:jc w:val="center"/>
              <w:rPr>
                <w:sz w:val="16"/>
                <w:szCs w:val="16"/>
                <w:lang w:val="es-ES_tradnl"/>
              </w:rPr>
            </w:pPr>
            <w:r w:rsidRPr="002D2B78">
              <w:rPr>
                <w:sz w:val="16"/>
                <w:szCs w:val="16"/>
                <w:lang w:val="es-ES_tradnl"/>
              </w:rPr>
              <w:t>Informes finales, directrices y proyectos de Recomendación</w:t>
            </w:r>
          </w:p>
        </w:tc>
        <w:tc>
          <w:tcPr>
            <w:tcW w:w="294" w:type="dxa"/>
            <w:tcBorders>
              <w:top w:val="nil"/>
              <w:left w:val="nil"/>
              <w:bottom w:val="nil"/>
              <w:right w:val="nil"/>
            </w:tcBorders>
            <w:shd w:val="clear" w:color="auto" w:fill="FFFFFF" w:themeFill="background1"/>
          </w:tcPr>
          <w:p w:rsidR="00C05030" w:rsidRPr="006614C7" w:rsidRDefault="00C05030" w:rsidP="00C30D4F">
            <w:pPr>
              <w:pStyle w:val="Tabletext10pt"/>
              <w:spacing w:before="20" w:after="20"/>
              <w:jc w:val="center"/>
              <w:rPr>
                <w:b/>
                <w:bCs/>
                <w:sz w:val="15"/>
                <w:szCs w:val="15"/>
                <w:lang w:val="es-ES_tradnl"/>
              </w:rPr>
            </w:pPr>
          </w:p>
        </w:tc>
      </w:tr>
      <w:tr w:rsidR="00C05030" w:rsidRPr="004D42A2" w:rsidTr="00C30D4F">
        <w:trPr>
          <w:jc w:val="center"/>
        </w:trPr>
        <w:tc>
          <w:tcPr>
            <w:tcW w:w="812" w:type="dxa"/>
            <w:tcBorders>
              <w:top w:val="nil"/>
              <w:left w:val="nil"/>
              <w:bottom w:val="nil"/>
              <w:right w:val="nil"/>
            </w:tcBorders>
            <w:vAlign w:val="center"/>
          </w:tcPr>
          <w:p w:rsidR="00C05030" w:rsidRPr="006614C7" w:rsidRDefault="00C05030" w:rsidP="00C30D4F">
            <w:pPr>
              <w:pStyle w:val="Tabletext"/>
              <w:spacing w:before="0" w:after="0"/>
              <w:jc w:val="center"/>
              <w:rPr>
                <w:color w:val="FFFFFF" w:themeColor="background1"/>
                <w:sz w:val="15"/>
                <w:szCs w:val="15"/>
                <w:lang w:val="es-ES_tradnl"/>
              </w:rPr>
            </w:pPr>
          </w:p>
        </w:tc>
        <w:tc>
          <w:tcPr>
            <w:tcW w:w="1946" w:type="dxa"/>
            <w:tcBorders>
              <w:top w:val="nil"/>
              <w:left w:val="nil"/>
              <w:bottom w:val="nil"/>
              <w:right w:val="nil"/>
            </w:tcBorders>
            <w:shd w:val="clear" w:color="auto" w:fill="000000" w:themeFill="text1"/>
          </w:tcPr>
          <w:p w:rsidR="00C05030" w:rsidRPr="002D2B78" w:rsidRDefault="00C05030" w:rsidP="00C30D4F">
            <w:pPr>
              <w:pStyle w:val="Tabletext10pt"/>
              <w:spacing w:before="20" w:after="20"/>
              <w:jc w:val="center"/>
              <w:rPr>
                <w:color w:val="FFFFFF" w:themeColor="background1"/>
                <w:sz w:val="16"/>
                <w:szCs w:val="16"/>
                <w:lang w:val="es-ES_tradnl"/>
              </w:rPr>
            </w:pPr>
            <w:r w:rsidRPr="002D2B78">
              <w:rPr>
                <w:color w:val="FFFFFF" w:themeColor="background1"/>
                <w:sz w:val="16"/>
                <w:szCs w:val="16"/>
                <w:lang w:val="es-ES_tradnl"/>
              </w:rPr>
              <w:t>Sesiones informativas sobre herramientas disponibles, métodos de trabajo, etc.</w:t>
            </w:r>
          </w:p>
        </w:tc>
        <w:tc>
          <w:tcPr>
            <w:tcW w:w="1932" w:type="dxa"/>
            <w:tcBorders>
              <w:top w:val="nil"/>
              <w:left w:val="nil"/>
              <w:bottom w:val="nil"/>
              <w:right w:val="nil"/>
            </w:tcBorders>
          </w:tcPr>
          <w:p w:rsidR="00C05030" w:rsidRPr="002D2B78" w:rsidRDefault="00C05030" w:rsidP="00C30D4F">
            <w:pPr>
              <w:pStyle w:val="Tabletext10pt"/>
              <w:spacing w:before="20" w:after="20"/>
              <w:jc w:val="center"/>
              <w:rPr>
                <w:color w:val="FFFFFF" w:themeColor="background1"/>
                <w:sz w:val="16"/>
                <w:szCs w:val="16"/>
                <w:lang w:val="es-ES_tradnl"/>
              </w:rPr>
            </w:pPr>
          </w:p>
        </w:tc>
        <w:tc>
          <w:tcPr>
            <w:tcW w:w="1973" w:type="dxa"/>
            <w:tcBorders>
              <w:top w:val="nil"/>
              <w:left w:val="nil"/>
              <w:bottom w:val="nil"/>
              <w:right w:val="nil"/>
            </w:tcBorders>
            <w:shd w:val="clear" w:color="auto" w:fill="000000" w:themeFill="text1"/>
          </w:tcPr>
          <w:p w:rsidR="00C05030" w:rsidRPr="002D2B78" w:rsidRDefault="00C05030" w:rsidP="00C30D4F">
            <w:pPr>
              <w:pStyle w:val="Tabletext10pt"/>
              <w:spacing w:before="20" w:after="20"/>
              <w:jc w:val="center"/>
              <w:rPr>
                <w:color w:val="FFFFFF" w:themeColor="background1"/>
                <w:sz w:val="16"/>
                <w:szCs w:val="16"/>
                <w:lang w:val="es-ES_tradnl"/>
              </w:rPr>
            </w:pPr>
            <w:r w:rsidRPr="002D2B78">
              <w:rPr>
                <w:color w:val="FFFFFF" w:themeColor="background1"/>
                <w:sz w:val="16"/>
                <w:szCs w:val="16"/>
                <w:lang w:val="es-ES_tradnl"/>
              </w:rPr>
              <w:t>Posibles estudios para  aprobación en la reunión de la CE 1</w:t>
            </w:r>
          </w:p>
        </w:tc>
        <w:tc>
          <w:tcPr>
            <w:tcW w:w="1988" w:type="dxa"/>
            <w:tcBorders>
              <w:top w:val="nil"/>
              <w:left w:val="nil"/>
              <w:bottom w:val="nil"/>
              <w:right w:val="nil"/>
            </w:tcBorders>
          </w:tcPr>
          <w:p w:rsidR="00C05030" w:rsidRPr="002D2B78" w:rsidRDefault="00C05030" w:rsidP="00C30D4F">
            <w:pPr>
              <w:pStyle w:val="Tabletext10pt"/>
              <w:spacing w:before="20" w:after="20"/>
              <w:jc w:val="center"/>
              <w:rPr>
                <w:b/>
                <w:bCs/>
                <w:color w:val="FFFFFF" w:themeColor="background1"/>
                <w:sz w:val="16"/>
                <w:szCs w:val="16"/>
                <w:lang w:val="es-ES_tradnl"/>
              </w:rPr>
            </w:pPr>
            <w:r w:rsidRPr="002D2B78">
              <w:rPr>
                <w:b/>
                <w:bCs/>
                <w:sz w:val="16"/>
                <w:szCs w:val="16"/>
                <w:lang w:val="es-ES_tradnl"/>
              </w:rPr>
              <w:t xml:space="preserve">Futuro de </w:t>
            </w:r>
            <w:r w:rsidR="002953E4">
              <w:rPr>
                <w:b/>
                <w:bCs/>
                <w:sz w:val="16"/>
                <w:szCs w:val="16"/>
                <w:lang w:val="es-ES_tradnl"/>
              </w:rPr>
              <w:br/>
            </w:r>
            <w:r w:rsidRPr="002D2B78">
              <w:rPr>
                <w:b/>
                <w:bCs/>
                <w:sz w:val="16"/>
                <w:szCs w:val="16"/>
                <w:lang w:val="es-ES_tradnl"/>
              </w:rPr>
              <w:t>las cuestiones</w:t>
            </w:r>
          </w:p>
        </w:tc>
        <w:tc>
          <w:tcPr>
            <w:tcW w:w="2002" w:type="dxa"/>
            <w:tcBorders>
              <w:top w:val="nil"/>
              <w:left w:val="nil"/>
              <w:bottom w:val="nil"/>
              <w:right w:val="nil"/>
            </w:tcBorders>
            <w:shd w:val="clear" w:color="auto" w:fill="000000" w:themeFill="text1"/>
          </w:tcPr>
          <w:p w:rsidR="00C05030" w:rsidRPr="002D2B78" w:rsidRDefault="00C05030" w:rsidP="002953E4">
            <w:pPr>
              <w:pStyle w:val="Tabletext10pt"/>
              <w:spacing w:before="20" w:after="20"/>
              <w:jc w:val="center"/>
              <w:rPr>
                <w:color w:val="FFFFFF" w:themeColor="background1"/>
                <w:sz w:val="16"/>
                <w:szCs w:val="16"/>
                <w:lang w:val="es-ES_tradnl"/>
              </w:rPr>
            </w:pPr>
            <w:r w:rsidRPr="002D2B78">
              <w:rPr>
                <w:color w:val="FFFFFF" w:themeColor="background1"/>
                <w:sz w:val="16"/>
                <w:szCs w:val="16"/>
                <w:lang w:val="es-ES_tradnl"/>
              </w:rPr>
              <w:t xml:space="preserve">Análisis e integración </w:t>
            </w:r>
            <w:r w:rsidR="002953E4">
              <w:rPr>
                <w:color w:val="FFFFFF" w:themeColor="background1"/>
                <w:sz w:val="16"/>
                <w:szCs w:val="16"/>
                <w:lang w:val="es-ES_tradnl"/>
              </w:rPr>
              <w:br/>
            </w:r>
            <w:r w:rsidRPr="002D2B78">
              <w:rPr>
                <w:color w:val="FFFFFF" w:themeColor="background1"/>
                <w:sz w:val="16"/>
                <w:szCs w:val="16"/>
                <w:lang w:val="es-ES_tradnl"/>
              </w:rPr>
              <w:t xml:space="preserve">de los resultados de </w:t>
            </w:r>
            <w:r w:rsidR="002953E4">
              <w:rPr>
                <w:color w:val="FFFFFF" w:themeColor="background1"/>
                <w:sz w:val="16"/>
                <w:szCs w:val="16"/>
                <w:lang w:val="es-ES_tradnl"/>
              </w:rPr>
              <w:br/>
            </w:r>
            <w:r w:rsidRPr="002D2B78">
              <w:rPr>
                <w:color w:val="FFFFFF" w:themeColor="background1"/>
                <w:sz w:val="16"/>
                <w:szCs w:val="16"/>
                <w:lang w:val="es-ES_tradnl"/>
              </w:rPr>
              <w:t>los estudios.</w:t>
            </w:r>
            <w:r w:rsidR="002953E4">
              <w:rPr>
                <w:color w:val="FFFFFF" w:themeColor="background1"/>
                <w:sz w:val="16"/>
                <w:szCs w:val="16"/>
                <w:lang w:val="es-ES_tradnl"/>
              </w:rPr>
              <w:br/>
            </w:r>
            <w:r w:rsidRPr="002D2B78">
              <w:rPr>
                <w:color w:val="FFFFFF" w:themeColor="background1"/>
                <w:sz w:val="16"/>
                <w:szCs w:val="16"/>
                <w:lang w:val="es-ES_tradnl"/>
              </w:rPr>
              <w:t>Estudios de caso en la biblioteca</w:t>
            </w:r>
          </w:p>
        </w:tc>
        <w:tc>
          <w:tcPr>
            <w:tcW w:w="1945" w:type="dxa"/>
            <w:tcBorders>
              <w:top w:val="nil"/>
              <w:left w:val="nil"/>
              <w:bottom w:val="nil"/>
              <w:right w:val="nil"/>
            </w:tcBorders>
            <w:shd w:val="clear" w:color="auto" w:fill="FFFFFF" w:themeFill="background1"/>
          </w:tcPr>
          <w:p w:rsidR="00C05030" w:rsidRPr="002D2B78" w:rsidRDefault="00C05030" w:rsidP="00C30D4F">
            <w:pPr>
              <w:pStyle w:val="Tabletext10pt"/>
              <w:spacing w:before="20" w:after="20"/>
              <w:jc w:val="center"/>
              <w:rPr>
                <w:b/>
                <w:bCs/>
                <w:sz w:val="16"/>
                <w:szCs w:val="16"/>
                <w:lang w:val="es-ES_tradnl"/>
              </w:rPr>
            </w:pPr>
            <w:r w:rsidRPr="002D2B78">
              <w:rPr>
                <w:b/>
                <w:bCs/>
                <w:sz w:val="16"/>
                <w:szCs w:val="16"/>
                <w:lang w:val="es-ES_tradnl"/>
              </w:rPr>
              <w:t xml:space="preserve">Futuro de </w:t>
            </w:r>
            <w:r w:rsidR="002953E4">
              <w:rPr>
                <w:b/>
                <w:bCs/>
                <w:sz w:val="16"/>
                <w:szCs w:val="16"/>
                <w:lang w:val="es-ES_tradnl"/>
              </w:rPr>
              <w:br/>
            </w:r>
            <w:r w:rsidRPr="002D2B78">
              <w:rPr>
                <w:b/>
                <w:bCs/>
                <w:sz w:val="16"/>
                <w:szCs w:val="16"/>
                <w:lang w:val="es-ES_tradnl"/>
              </w:rPr>
              <w:t>las cuestiones</w:t>
            </w:r>
          </w:p>
        </w:tc>
        <w:tc>
          <w:tcPr>
            <w:tcW w:w="2310" w:type="dxa"/>
            <w:tcBorders>
              <w:top w:val="nil"/>
              <w:left w:val="nil"/>
              <w:bottom w:val="nil"/>
              <w:right w:val="nil"/>
            </w:tcBorders>
            <w:shd w:val="clear" w:color="auto" w:fill="000000" w:themeFill="text1"/>
          </w:tcPr>
          <w:p w:rsidR="00C05030" w:rsidRPr="002D2B78" w:rsidRDefault="00C05030" w:rsidP="00C30D4F">
            <w:pPr>
              <w:pStyle w:val="Tabletext10pt"/>
              <w:spacing w:before="20" w:after="20"/>
              <w:jc w:val="center"/>
              <w:rPr>
                <w:color w:val="FFFFFF" w:themeColor="background1"/>
                <w:sz w:val="16"/>
                <w:szCs w:val="16"/>
                <w:lang w:val="es-ES_tradnl"/>
              </w:rPr>
            </w:pPr>
            <w:r w:rsidRPr="002D2B78">
              <w:rPr>
                <w:color w:val="FFFFFF" w:themeColor="background1"/>
                <w:sz w:val="16"/>
                <w:szCs w:val="16"/>
                <w:lang w:val="es-ES_tradnl"/>
              </w:rPr>
              <w:t xml:space="preserve">Acuerdo sobre los informes para la CMDT-21, futuro de las Cuestiones y propuestas </w:t>
            </w:r>
            <w:r w:rsidR="002953E4">
              <w:rPr>
                <w:color w:val="FFFFFF" w:themeColor="background1"/>
                <w:sz w:val="16"/>
                <w:szCs w:val="16"/>
                <w:lang w:val="es-ES_tradnl"/>
              </w:rPr>
              <w:br/>
            </w:r>
            <w:r w:rsidRPr="002D2B78">
              <w:rPr>
                <w:color w:val="FFFFFF" w:themeColor="background1"/>
                <w:sz w:val="16"/>
                <w:szCs w:val="16"/>
                <w:lang w:val="es-ES_tradnl"/>
              </w:rPr>
              <w:t>de mejora</w:t>
            </w:r>
          </w:p>
        </w:tc>
        <w:tc>
          <w:tcPr>
            <w:tcW w:w="294" w:type="dxa"/>
            <w:tcBorders>
              <w:top w:val="nil"/>
              <w:left w:val="nil"/>
              <w:bottom w:val="nil"/>
              <w:right w:val="nil"/>
            </w:tcBorders>
            <w:shd w:val="clear" w:color="auto" w:fill="FFFFFF" w:themeFill="background1"/>
          </w:tcPr>
          <w:p w:rsidR="00C05030" w:rsidRPr="006614C7" w:rsidRDefault="00C05030" w:rsidP="00C30D4F">
            <w:pPr>
              <w:pStyle w:val="Tabletext10pt"/>
              <w:spacing w:before="0" w:after="0"/>
              <w:jc w:val="center"/>
              <w:rPr>
                <w:b/>
                <w:bCs/>
                <w:sz w:val="15"/>
                <w:szCs w:val="15"/>
                <w:lang w:val="es-ES_tradnl"/>
              </w:rPr>
            </w:pPr>
          </w:p>
        </w:tc>
      </w:tr>
    </w:tbl>
    <w:p w:rsidR="00C05030" w:rsidRDefault="00C05030" w:rsidP="002D2B78">
      <w:pPr>
        <w:pStyle w:val="Tablelegend"/>
        <w:spacing w:after="0"/>
        <w:rPr>
          <w:lang w:val="es-ES_tradnl"/>
        </w:rPr>
      </w:pPr>
      <w:r w:rsidRPr="005321CD">
        <w:rPr>
          <w:lang w:val="es-ES_tradnl"/>
        </w:rPr>
        <w:t>*</w:t>
      </w:r>
      <w:r w:rsidRPr="005321CD">
        <w:rPr>
          <w:lang w:val="es-ES_tradnl"/>
        </w:rPr>
        <w:tab/>
        <w:t xml:space="preserve">Reunión del </w:t>
      </w:r>
      <w:r>
        <w:rPr>
          <w:lang w:val="es-ES_tradnl"/>
        </w:rPr>
        <w:t>e</w:t>
      </w:r>
      <w:r w:rsidRPr="005321CD">
        <w:rPr>
          <w:lang w:val="es-ES_tradnl"/>
        </w:rPr>
        <w:t>quip</w:t>
      </w:r>
      <w:r>
        <w:rPr>
          <w:lang w:val="es-ES_tradnl"/>
        </w:rPr>
        <w:t>o</w:t>
      </w:r>
      <w:r w:rsidRPr="005321CD">
        <w:rPr>
          <w:lang w:val="es-ES_tradnl"/>
        </w:rPr>
        <w:t xml:space="preserve"> de direc</w:t>
      </w:r>
      <w:r>
        <w:rPr>
          <w:lang w:val="es-ES_tradnl"/>
        </w:rPr>
        <w:t>c</w:t>
      </w:r>
      <w:r w:rsidRPr="005321CD">
        <w:rPr>
          <w:lang w:val="es-ES_tradnl"/>
        </w:rPr>
        <w:t>i</w:t>
      </w:r>
      <w:r>
        <w:rPr>
          <w:lang w:val="es-ES_tradnl"/>
        </w:rPr>
        <w:t>ó</w:t>
      </w:r>
      <w:r w:rsidRPr="005321CD">
        <w:rPr>
          <w:lang w:val="es-ES_tradnl"/>
        </w:rPr>
        <w:t>n de la CE </w:t>
      </w:r>
      <w:r w:rsidRPr="00C05030">
        <w:rPr>
          <w:lang w:val="es-ES"/>
        </w:rPr>
        <w:t>1</w:t>
      </w:r>
      <w:r w:rsidRPr="005321CD">
        <w:rPr>
          <w:lang w:val="es-ES_tradnl"/>
        </w:rPr>
        <w:t>.</w:t>
      </w:r>
    </w:p>
    <w:p w:rsidR="00C30D4F" w:rsidRPr="004D42A2" w:rsidRDefault="00C30D4F" w:rsidP="00C30D4F">
      <w:pPr>
        <w:pStyle w:val="Reasons"/>
        <w:rPr>
          <w:lang w:val="es-ES"/>
        </w:rPr>
      </w:pPr>
    </w:p>
    <w:p w:rsidR="00C30D4F" w:rsidRDefault="00C30D4F">
      <w:pPr>
        <w:jc w:val="center"/>
      </w:pPr>
      <w:r>
        <w:t>______________</w:t>
      </w:r>
    </w:p>
    <w:sectPr w:rsidR="00C30D4F" w:rsidSect="005D1533">
      <w:headerReference w:type="default" r:id="rId38"/>
      <w:footerReference w:type="default" r:id="rId39"/>
      <w:headerReference w:type="first" r:id="rId40"/>
      <w:footerReference w:type="first" r:id="rId41"/>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B45" w:rsidRDefault="00354B45" w:rsidP="0088106F">
      <w:r>
        <w:separator/>
      </w:r>
    </w:p>
  </w:endnote>
  <w:endnote w:type="continuationSeparator" w:id="0">
    <w:p w:rsidR="00354B45" w:rsidRDefault="00354B45"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Simplified Arabic">
    <w:charset w:val="00"/>
    <w:family w:val="roman"/>
    <w:pitch w:val="variable"/>
    <w:sig w:usb0="00002003" w:usb1="00000000" w:usb2="00000000" w:usb3="00000000" w:csb0="0000004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B45" w:rsidRDefault="00354B45">
    <w:pPr>
      <w:framePr w:wrap="around" w:vAnchor="text" w:hAnchor="margin" w:xAlign="right" w:y="1"/>
    </w:pPr>
    <w:r>
      <w:fldChar w:fldCharType="begin"/>
    </w:r>
    <w:r>
      <w:instrText xml:space="preserve">PAGE  </w:instrText>
    </w:r>
    <w:r>
      <w:fldChar w:fldCharType="end"/>
    </w:r>
  </w:p>
  <w:p w:rsidR="00354B45" w:rsidRPr="002B28C6" w:rsidRDefault="00354B45">
    <w:pPr>
      <w:ind w:right="360"/>
    </w:pPr>
    <w:r>
      <w:fldChar w:fldCharType="begin"/>
    </w:r>
    <w:r w:rsidRPr="002B28C6">
      <w:instrText xml:space="preserve"> FILENAME \p  \* MERGEFORMAT </w:instrText>
    </w:r>
    <w:r>
      <w:fldChar w:fldCharType="separate"/>
    </w:r>
    <w:r w:rsidR="00F21B20">
      <w:rPr>
        <w:noProof/>
      </w:rPr>
      <w:t>P:\ESP\ITU-D\CONF-D\TDAG19\000\012S.docx</w:t>
    </w:r>
    <w:r>
      <w:fldChar w:fldCharType="end"/>
    </w:r>
    <w:r w:rsidRPr="002B28C6">
      <w:tab/>
    </w:r>
    <w:r>
      <w:fldChar w:fldCharType="begin"/>
    </w:r>
    <w:r>
      <w:instrText xml:space="preserve"> SAVEDATE \@ DD.MM.YY </w:instrText>
    </w:r>
    <w:r>
      <w:fldChar w:fldCharType="separate"/>
    </w:r>
    <w:r w:rsidR="00F21B20">
      <w:rPr>
        <w:noProof/>
      </w:rPr>
      <w:t>13.03.19</w:t>
    </w:r>
    <w:r>
      <w:fldChar w:fldCharType="end"/>
    </w:r>
    <w:r w:rsidRPr="002B28C6">
      <w:tab/>
    </w:r>
    <w:r>
      <w:fldChar w:fldCharType="begin"/>
    </w:r>
    <w:r>
      <w:instrText xml:space="preserve"> PRINTDATE \@ DD.MM.YY </w:instrText>
    </w:r>
    <w:r>
      <w:fldChar w:fldCharType="separate"/>
    </w:r>
    <w:r w:rsidR="00F21B20">
      <w:rPr>
        <w:noProof/>
      </w:rPr>
      <w:t>13.03.19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B45" w:rsidRPr="005D1533" w:rsidRDefault="00354B45" w:rsidP="00600D74">
    <w:pPr>
      <w:pStyle w:val="Footer"/>
      <w:rPr>
        <w:lang w:val="en-US"/>
      </w:rPr>
    </w:pPr>
    <w:r w:rsidRPr="00600D74">
      <w:rPr>
        <w:lang w:val="en-US"/>
      </w:rPr>
      <w:fldChar w:fldCharType="begin"/>
    </w:r>
    <w:r w:rsidRPr="00600D74">
      <w:rPr>
        <w:lang w:val="en-US"/>
      </w:rPr>
      <w:instrText xml:space="preserve"> FILENAME \p  \* MERGEFORMAT </w:instrText>
    </w:r>
    <w:r w:rsidRPr="00600D74">
      <w:rPr>
        <w:lang w:val="en-US"/>
      </w:rPr>
      <w:fldChar w:fldCharType="separate"/>
    </w:r>
    <w:r w:rsidR="00F21B20">
      <w:rPr>
        <w:lang w:val="en-US"/>
      </w:rPr>
      <w:t>P:\ESP\ITU-D\CONF-D\TDAG19\000\012S.docx</w:t>
    </w:r>
    <w:r w:rsidRPr="00600D74">
      <w:rPr>
        <w:lang w:val="en-US"/>
      </w:rPr>
      <w:fldChar w:fldCharType="end"/>
    </w:r>
    <w:r>
      <w:rPr>
        <w:lang w:val="en-US"/>
      </w:rPr>
      <w:t xml:space="preserve"> (449214</w:t>
    </w:r>
    <w:r w:rsidRPr="00600D74">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276"/>
      <w:gridCol w:w="2660"/>
      <w:gridCol w:w="5987"/>
    </w:tblGrid>
    <w:tr w:rsidR="00354B45" w:rsidRPr="004D42A2" w:rsidTr="00BE5391">
      <w:tc>
        <w:tcPr>
          <w:tcW w:w="1276" w:type="dxa"/>
          <w:tcBorders>
            <w:top w:val="single" w:sz="4" w:space="0" w:color="000000"/>
          </w:tcBorders>
          <w:shd w:val="clear" w:color="auto" w:fill="auto"/>
        </w:tcPr>
        <w:p w:rsidR="00354B45" w:rsidRPr="00BE5391" w:rsidRDefault="00354B45" w:rsidP="003C4E3D">
          <w:pPr>
            <w:pStyle w:val="FirstFooter"/>
            <w:tabs>
              <w:tab w:val="left" w:pos="1559"/>
              <w:tab w:val="left" w:pos="3828"/>
            </w:tabs>
            <w:rPr>
              <w:sz w:val="18"/>
              <w:szCs w:val="18"/>
              <w:lang w:val="es-ES"/>
            </w:rPr>
          </w:pPr>
          <w:r w:rsidRPr="00BE5391">
            <w:rPr>
              <w:sz w:val="18"/>
              <w:szCs w:val="18"/>
              <w:lang w:val="es-ES"/>
            </w:rPr>
            <w:t>Contact</w:t>
          </w:r>
          <w:r>
            <w:rPr>
              <w:sz w:val="18"/>
              <w:szCs w:val="18"/>
              <w:lang w:val="es-ES"/>
            </w:rPr>
            <w:t>o</w:t>
          </w:r>
          <w:r w:rsidRPr="00BE5391">
            <w:rPr>
              <w:sz w:val="18"/>
              <w:szCs w:val="18"/>
              <w:lang w:val="es-ES"/>
            </w:rPr>
            <w:t>:</w:t>
          </w:r>
        </w:p>
      </w:tc>
      <w:tc>
        <w:tcPr>
          <w:tcW w:w="2660" w:type="dxa"/>
          <w:tcBorders>
            <w:top w:val="single" w:sz="4" w:space="0" w:color="000000"/>
          </w:tcBorders>
          <w:shd w:val="clear" w:color="auto" w:fill="auto"/>
        </w:tcPr>
        <w:p w:rsidR="00354B45" w:rsidRPr="00BE5391" w:rsidRDefault="00354B45" w:rsidP="003C4E3D">
          <w:pPr>
            <w:pStyle w:val="FirstFooter"/>
            <w:tabs>
              <w:tab w:val="left" w:pos="2302"/>
            </w:tabs>
            <w:ind w:left="2302" w:hanging="2302"/>
            <w:rPr>
              <w:sz w:val="18"/>
              <w:szCs w:val="18"/>
              <w:lang w:val="es-ES"/>
            </w:rPr>
          </w:pPr>
          <w:r w:rsidRPr="00BE5391">
            <w:rPr>
              <w:sz w:val="18"/>
              <w:szCs w:val="18"/>
              <w:lang w:val="es-ES"/>
            </w:rPr>
            <w:t>Nombre/organización/entidad:</w:t>
          </w:r>
        </w:p>
      </w:tc>
      <w:tc>
        <w:tcPr>
          <w:tcW w:w="5987" w:type="dxa"/>
          <w:tcBorders>
            <w:top w:val="single" w:sz="4" w:space="0" w:color="000000"/>
          </w:tcBorders>
        </w:tcPr>
        <w:p w:rsidR="00354B45" w:rsidRPr="00BE5391" w:rsidRDefault="00354B45" w:rsidP="00600D74">
          <w:pPr>
            <w:pStyle w:val="FirstFooter"/>
            <w:tabs>
              <w:tab w:val="left" w:pos="2302"/>
            </w:tabs>
            <w:rPr>
              <w:sz w:val="18"/>
              <w:szCs w:val="18"/>
              <w:highlight w:val="yellow"/>
              <w:lang w:val="es-ES"/>
            </w:rPr>
          </w:pPr>
          <w:r>
            <w:rPr>
              <w:sz w:val="18"/>
              <w:szCs w:val="18"/>
              <w:lang w:val="es-ES"/>
            </w:rPr>
            <w:t>Sra.</w:t>
          </w:r>
          <w:r w:rsidRPr="00BE5391">
            <w:rPr>
              <w:sz w:val="18"/>
              <w:szCs w:val="18"/>
              <w:lang w:val="es-ES"/>
            </w:rPr>
            <w:t xml:space="preserve"> </w:t>
          </w:r>
          <w:proofErr w:type="spellStart"/>
          <w:r w:rsidRPr="00BE5391">
            <w:rPr>
              <w:sz w:val="18"/>
              <w:szCs w:val="18"/>
              <w:lang w:val="es-ES"/>
            </w:rPr>
            <w:t>Fleur</w:t>
          </w:r>
          <w:proofErr w:type="spellEnd"/>
          <w:r w:rsidRPr="00BE5391">
            <w:rPr>
              <w:sz w:val="18"/>
              <w:szCs w:val="18"/>
              <w:lang w:val="es-ES"/>
            </w:rPr>
            <w:t xml:space="preserve"> Regina </w:t>
          </w:r>
          <w:proofErr w:type="spellStart"/>
          <w:r w:rsidRPr="00BE5391">
            <w:rPr>
              <w:sz w:val="18"/>
              <w:szCs w:val="18"/>
              <w:lang w:val="es-ES"/>
            </w:rPr>
            <w:t>Assoumou</w:t>
          </w:r>
          <w:proofErr w:type="spellEnd"/>
          <w:r w:rsidRPr="00BE5391">
            <w:rPr>
              <w:sz w:val="18"/>
              <w:szCs w:val="18"/>
              <w:lang w:val="es-ES"/>
            </w:rPr>
            <w:t xml:space="preserve"> </w:t>
          </w:r>
          <w:proofErr w:type="spellStart"/>
          <w:r w:rsidRPr="00BE5391">
            <w:rPr>
              <w:sz w:val="18"/>
              <w:szCs w:val="18"/>
              <w:lang w:val="es-ES"/>
            </w:rPr>
            <w:t>Bessou</w:t>
          </w:r>
          <w:proofErr w:type="spellEnd"/>
          <w:r w:rsidRPr="00BE5391">
            <w:rPr>
              <w:sz w:val="18"/>
              <w:szCs w:val="18"/>
              <w:lang w:val="es-ES"/>
            </w:rPr>
            <w:t>, Presidenta de la Comisión de Estudio 1 del UIT-D</w:t>
          </w:r>
        </w:p>
      </w:tc>
    </w:tr>
    <w:tr w:rsidR="00354B45" w:rsidRPr="00BE5391" w:rsidTr="00BE5391">
      <w:tc>
        <w:tcPr>
          <w:tcW w:w="1276" w:type="dxa"/>
          <w:shd w:val="clear" w:color="auto" w:fill="auto"/>
        </w:tcPr>
        <w:p w:rsidR="00354B45" w:rsidRPr="00BE5391" w:rsidRDefault="00354B45" w:rsidP="003C4E3D">
          <w:pPr>
            <w:pStyle w:val="FirstFooter"/>
            <w:tabs>
              <w:tab w:val="left" w:pos="1559"/>
              <w:tab w:val="left" w:pos="3828"/>
            </w:tabs>
            <w:rPr>
              <w:sz w:val="20"/>
              <w:lang w:val="es-ES"/>
            </w:rPr>
          </w:pPr>
        </w:p>
      </w:tc>
      <w:tc>
        <w:tcPr>
          <w:tcW w:w="2660" w:type="dxa"/>
          <w:shd w:val="clear" w:color="auto" w:fill="auto"/>
        </w:tcPr>
        <w:p w:rsidR="00354B45" w:rsidRPr="00BE5391" w:rsidRDefault="00354B45" w:rsidP="003C4E3D">
          <w:pPr>
            <w:pStyle w:val="FirstFooter"/>
            <w:tabs>
              <w:tab w:val="left" w:pos="2302"/>
            </w:tabs>
            <w:rPr>
              <w:sz w:val="18"/>
              <w:szCs w:val="18"/>
              <w:lang w:val="es-ES"/>
            </w:rPr>
          </w:pPr>
          <w:r>
            <w:rPr>
              <w:sz w:val="18"/>
              <w:szCs w:val="18"/>
              <w:lang w:val="es-ES"/>
            </w:rPr>
            <w:t>Teléfono:</w:t>
          </w:r>
        </w:p>
      </w:tc>
      <w:tc>
        <w:tcPr>
          <w:tcW w:w="5987" w:type="dxa"/>
        </w:tcPr>
        <w:p w:rsidR="00354B45" w:rsidRPr="00BE5391" w:rsidRDefault="00354B45" w:rsidP="003C4E3D">
          <w:pPr>
            <w:pStyle w:val="FirstFooter"/>
            <w:tabs>
              <w:tab w:val="left" w:pos="2302"/>
            </w:tabs>
            <w:rPr>
              <w:sz w:val="18"/>
              <w:szCs w:val="18"/>
              <w:highlight w:val="yellow"/>
              <w:lang w:val="es-ES"/>
            </w:rPr>
          </w:pPr>
          <w:r w:rsidRPr="00BE5391">
            <w:rPr>
              <w:sz w:val="18"/>
              <w:szCs w:val="18"/>
              <w:lang w:val="es-ES"/>
            </w:rPr>
            <w:t>+225 20 3458 80</w:t>
          </w:r>
        </w:p>
      </w:tc>
    </w:tr>
    <w:tr w:rsidR="00354B45" w:rsidRPr="00BE5391" w:rsidTr="00BE5391">
      <w:tc>
        <w:tcPr>
          <w:tcW w:w="1276" w:type="dxa"/>
          <w:shd w:val="clear" w:color="auto" w:fill="auto"/>
        </w:tcPr>
        <w:p w:rsidR="00354B45" w:rsidRPr="00BE5391" w:rsidRDefault="00354B45" w:rsidP="003C4E3D">
          <w:pPr>
            <w:pStyle w:val="FirstFooter"/>
            <w:tabs>
              <w:tab w:val="left" w:pos="1559"/>
              <w:tab w:val="left" w:pos="3828"/>
            </w:tabs>
            <w:rPr>
              <w:sz w:val="20"/>
              <w:lang w:val="es-ES"/>
            </w:rPr>
          </w:pPr>
        </w:p>
      </w:tc>
      <w:tc>
        <w:tcPr>
          <w:tcW w:w="2660" w:type="dxa"/>
          <w:shd w:val="clear" w:color="auto" w:fill="auto"/>
        </w:tcPr>
        <w:p w:rsidR="00354B45" w:rsidRPr="00BE5391" w:rsidRDefault="00354B45" w:rsidP="003C4E3D">
          <w:pPr>
            <w:pStyle w:val="FirstFooter"/>
            <w:tabs>
              <w:tab w:val="left" w:pos="2302"/>
            </w:tabs>
            <w:rPr>
              <w:sz w:val="18"/>
              <w:szCs w:val="18"/>
              <w:lang w:val="es-ES"/>
            </w:rPr>
          </w:pPr>
          <w:r>
            <w:rPr>
              <w:sz w:val="18"/>
              <w:szCs w:val="18"/>
              <w:lang w:val="es-ES"/>
            </w:rPr>
            <w:t>Correo-e</w:t>
          </w:r>
          <w:r w:rsidRPr="00BE5391">
            <w:rPr>
              <w:sz w:val="18"/>
              <w:szCs w:val="18"/>
              <w:lang w:val="es-ES"/>
            </w:rPr>
            <w:t>:</w:t>
          </w:r>
        </w:p>
      </w:tc>
      <w:tc>
        <w:tcPr>
          <w:tcW w:w="5987" w:type="dxa"/>
        </w:tcPr>
        <w:p w:rsidR="00354B45" w:rsidRPr="00BE5391" w:rsidRDefault="00354B45" w:rsidP="003C4E3D">
          <w:pPr>
            <w:pStyle w:val="FirstFooter"/>
            <w:tabs>
              <w:tab w:val="left" w:pos="2302"/>
            </w:tabs>
            <w:rPr>
              <w:sz w:val="18"/>
              <w:szCs w:val="18"/>
              <w:highlight w:val="yellow"/>
              <w:lang w:val="es-ES"/>
            </w:rPr>
          </w:pPr>
          <w:hyperlink r:id="rId1" w:history="1">
            <w:r w:rsidRPr="00BE5391">
              <w:rPr>
                <w:rStyle w:val="Hyperlink"/>
                <w:sz w:val="18"/>
                <w:szCs w:val="18"/>
                <w:lang w:val="es-ES"/>
              </w:rPr>
              <w:t>bessou.regina@artci.ci</w:t>
            </w:r>
          </w:hyperlink>
        </w:p>
      </w:tc>
    </w:tr>
  </w:tbl>
  <w:p w:rsidR="00354B45" w:rsidRPr="00BE5391" w:rsidRDefault="00354B45" w:rsidP="003C4E3D">
    <w:pPr>
      <w:jc w:val="center"/>
      <w:rPr>
        <w:lang w:val="es-ES"/>
      </w:rPr>
    </w:pPr>
    <w:hyperlink r:id="rId2" w:history="1">
      <w:r>
        <w:rPr>
          <w:rStyle w:val="Hyperlink"/>
          <w:sz w:val="20"/>
          <w:lang w:val="es-ES"/>
        </w:rPr>
        <w:t>GADT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307" w:rsidRPr="00BE5391" w:rsidRDefault="00893307" w:rsidP="00893307">
    <w:pPr>
      <w:pStyle w:val="Footer"/>
      <w:rPr>
        <w:lang w:val="es-ES"/>
      </w:rPr>
    </w:pPr>
    <w:r w:rsidRPr="00600D74">
      <w:rPr>
        <w:lang w:val="en-US"/>
      </w:rPr>
      <w:fldChar w:fldCharType="begin"/>
    </w:r>
    <w:r w:rsidRPr="00893307">
      <w:rPr>
        <w:lang w:val="es-ES"/>
      </w:rPr>
      <w:instrText xml:space="preserve"> FILENAME \p  \* MERGEFORMAT </w:instrText>
    </w:r>
    <w:r w:rsidRPr="00600D74">
      <w:rPr>
        <w:lang w:val="en-US"/>
      </w:rPr>
      <w:fldChar w:fldCharType="separate"/>
    </w:r>
    <w:r w:rsidR="00F21B20">
      <w:rPr>
        <w:lang w:val="es-ES"/>
      </w:rPr>
      <w:t>P:\ESP\ITU-D\CONF-D\TDAG19\000\012S.docx</w:t>
    </w:r>
    <w:r w:rsidRPr="00600D74">
      <w:rPr>
        <w:lang w:val="en-US"/>
      </w:rPr>
      <w:fldChar w:fldCharType="end"/>
    </w:r>
    <w:r w:rsidRPr="00893307">
      <w:rPr>
        <w:lang w:val="es-ES"/>
      </w:rPr>
      <w:t xml:space="preserve"> (449214)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B45" w:rsidRPr="005A1FAB" w:rsidRDefault="00354B45" w:rsidP="005A1FAB">
    <w:pPr>
      <w:pStyle w:val="Footer"/>
      <w:rPr>
        <w:lang w:val="en-US"/>
      </w:rPr>
    </w:pPr>
    <w:r>
      <w:fldChar w:fldCharType="begin"/>
    </w:r>
    <w:r w:rsidRPr="005A1FAB">
      <w:rPr>
        <w:lang w:val="en-US"/>
      </w:rPr>
      <w:instrText xml:space="preserve"> FILENAME \p  \* MERGEFORMAT </w:instrText>
    </w:r>
    <w:r>
      <w:fldChar w:fldCharType="separate"/>
    </w:r>
    <w:r w:rsidR="00F21B20">
      <w:rPr>
        <w:lang w:val="en-US"/>
      </w:rPr>
      <w:t>P:\ESP\ITU-D\CONF-D\TDAG19\000\012S.docx</w:t>
    </w:r>
    <w:r>
      <w:fldChar w:fldCharType="end"/>
    </w:r>
    <w:r>
      <w:rPr>
        <w:lang w:val="en-US"/>
      </w:rPr>
      <w:t xml:space="preserve"> (449214</w:t>
    </w:r>
    <w:r w:rsidRPr="005A1FAB">
      <w:rPr>
        <w:lang w:val="en-US"/>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B45" w:rsidRPr="005D1533" w:rsidRDefault="00354B45" w:rsidP="00A71B7B">
    <w:pPr>
      <w:pStyle w:val="Footer"/>
      <w:rPr>
        <w:lang w:val="en-US"/>
      </w:rPr>
    </w:pPr>
    <w:r w:rsidRPr="00A71B7B">
      <w:rPr>
        <w:lang w:val="en-US"/>
      </w:rPr>
      <w:fldChar w:fldCharType="begin"/>
    </w:r>
    <w:r w:rsidRPr="00A71B7B">
      <w:rPr>
        <w:lang w:val="en-US"/>
      </w:rPr>
      <w:instrText xml:space="preserve"> FILENAME \p  \* MERGEFORMAT </w:instrText>
    </w:r>
    <w:r w:rsidRPr="00A71B7B">
      <w:rPr>
        <w:lang w:val="en-US"/>
      </w:rPr>
      <w:fldChar w:fldCharType="separate"/>
    </w:r>
    <w:r w:rsidR="00F21B20">
      <w:rPr>
        <w:lang w:val="en-US"/>
      </w:rPr>
      <w:t>P:\ESP\ITU-D\CONF-D\TDAG19\000\012S.docx</w:t>
    </w:r>
    <w:r w:rsidRPr="00A71B7B">
      <w:rPr>
        <w:lang w:val="en-US"/>
      </w:rPr>
      <w:fldChar w:fldCharType="end"/>
    </w:r>
    <w:r>
      <w:rPr>
        <w:lang w:val="en-US"/>
      </w:rPr>
      <w:t xml:space="preserve"> (449214</w:t>
    </w:r>
    <w:r w:rsidRPr="00A71B7B">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B45" w:rsidRDefault="00354B45" w:rsidP="0088106F">
      <w:r>
        <w:separator/>
      </w:r>
    </w:p>
  </w:footnote>
  <w:footnote w:type="continuationSeparator" w:id="0">
    <w:p w:rsidR="00354B45" w:rsidRDefault="00354B45" w:rsidP="0088106F">
      <w:r>
        <w:continuationSeparator/>
      </w:r>
    </w:p>
  </w:footnote>
  <w:footnote w:id="1">
    <w:p w:rsidR="00354B45" w:rsidRPr="00717EB0" w:rsidRDefault="00354B45" w:rsidP="00E1318F">
      <w:pPr>
        <w:pStyle w:val="FootnoteText"/>
        <w:spacing w:before="60" w:after="60"/>
        <w:rPr>
          <w:sz w:val="22"/>
          <w:szCs w:val="22"/>
          <w:lang w:val="es-ES_tradnl"/>
        </w:rPr>
      </w:pPr>
      <w:r w:rsidRPr="00717EB0">
        <w:rPr>
          <w:rStyle w:val="FootnoteReference"/>
          <w:sz w:val="22"/>
          <w:szCs w:val="22"/>
          <w:vertAlign w:val="superscript"/>
        </w:rPr>
        <w:footnoteRef/>
      </w:r>
      <w:r w:rsidRPr="00E1318F">
        <w:rPr>
          <w:sz w:val="12"/>
          <w:szCs w:val="12"/>
          <w:lang w:val="es-ES_tradnl"/>
        </w:rPr>
        <w:tab/>
      </w:r>
      <w:r w:rsidRPr="00717EB0">
        <w:rPr>
          <w:sz w:val="22"/>
          <w:szCs w:val="22"/>
          <w:lang w:val="es-ES_tradnl"/>
        </w:rPr>
        <w:t xml:space="preserve">Véanse las fotografías de la CE 1 de 2018 en el siguiente enlace: </w:t>
      </w:r>
      <w:hyperlink r:id="rId1" w:history="1">
        <w:r w:rsidRPr="00717EB0">
          <w:rPr>
            <w:rStyle w:val="Hyperlink"/>
            <w:sz w:val="22"/>
            <w:szCs w:val="22"/>
            <w:lang w:val="es-ES_tradnl"/>
          </w:rPr>
          <w:t>https://www.flickr.com/photos/itupictures/albums/72157696268484525</w:t>
        </w:r>
      </w:hyperlink>
      <w:r w:rsidRPr="00717EB0">
        <w:rPr>
          <w:sz w:val="22"/>
          <w:szCs w:val="22"/>
          <w:lang w:val="es-ES_tradnl"/>
        </w:rPr>
        <w:t>.</w:t>
      </w:r>
    </w:p>
  </w:footnote>
  <w:footnote w:id="2">
    <w:p w:rsidR="00354B45" w:rsidRPr="00717EB0" w:rsidRDefault="00354B45" w:rsidP="00250CFE">
      <w:pPr>
        <w:pStyle w:val="FootnoteText"/>
        <w:spacing w:before="0"/>
        <w:rPr>
          <w:sz w:val="22"/>
          <w:szCs w:val="22"/>
          <w:lang w:val="es-ES"/>
        </w:rPr>
      </w:pPr>
      <w:r w:rsidRPr="00717EB0">
        <w:rPr>
          <w:rStyle w:val="FootnoteReference"/>
          <w:sz w:val="22"/>
          <w:szCs w:val="22"/>
          <w:vertAlign w:val="superscript"/>
        </w:rPr>
        <w:footnoteRef/>
      </w:r>
      <w:r w:rsidR="00717EB0">
        <w:rPr>
          <w:sz w:val="18"/>
          <w:szCs w:val="18"/>
          <w:lang w:val="es-ES"/>
        </w:rPr>
        <w:tab/>
      </w:r>
      <w:r w:rsidRPr="00717EB0">
        <w:rPr>
          <w:sz w:val="22"/>
          <w:szCs w:val="22"/>
          <w:lang w:val="es-ES"/>
        </w:rPr>
        <w:t xml:space="preserve">El discurso del Director de la BDT puede consultarse en este enlace: </w:t>
      </w:r>
      <w:hyperlink r:id="rId2" w:history="1">
        <w:r w:rsidRPr="00717EB0">
          <w:rPr>
            <w:rStyle w:val="Hyperlink"/>
            <w:sz w:val="22"/>
            <w:szCs w:val="22"/>
            <w:lang w:val="es-ES"/>
          </w:rPr>
          <w:t>https://www.itu.int/en/ITU-D/bdt-director/Pages/Speeches.aspx?ItemID=181</w:t>
        </w:r>
      </w:hyperlink>
      <w:r w:rsidRPr="00717EB0">
        <w:rPr>
          <w:sz w:val="22"/>
          <w:szCs w:val="22"/>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B45" w:rsidRPr="00600D74" w:rsidRDefault="00354B45" w:rsidP="00600D74">
    <w:pPr>
      <w:pStyle w:val="Header"/>
      <w:tabs>
        <w:tab w:val="center" w:pos="4820"/>
        <w:tab w:val="right" w:pos="13998"/>
      </w:tabs>
      <w:rPr>
        <w:sz w:val="22"/>
        <w:szCs w:val="22"/>
      </w:rPr>
    </w:pPr>
    <w:r>
      <w:rPr>
        <w:sz w:val="22"/>
        <w:szCs w:val="22"/>
        <w:lang w:val="de-CH"/>
      </w:rPr>
      <w:tab/>
    </w:r>
    <w:r w:rsidRPr="006D271A">
      <w:rPr>
        <w:sz w:val="22"/>
        <w:szCs w:val="22"/>
        <w:lang w:val="de-CH"/>
      </w:rPr>
      <w:t>ITU-D/</w:t>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12</w:t>
    </w:r>
    <w:r w:rsidRPr="006D271A">
      <w:rPr>
        <w:sz w:val="22"/>
        <w:szCs w:val="22"/>
        <w:lang w:val="de-CH"/>
      </w:rPr>
      <w:t>-</w:t>
    </w:r>
    <w:r>
      <w:rPr>
        <w:sz w:val="22"/>
        <w:szCs w:val="22"/>
        <w:lang w:val="de-CH"/>
      </w:rPr>
      <w:t>S</w:t>
    </w:r>
    <w:r>
      <w:rPr>
        <w:sz w:val="22"/>
        <w:szCs w:val="22"/>
        <w:lang w:val="de-CH"/>
      </w:rPr>
      <w:tab/>
    </w:r>
    <w:r w:rsidRPr="00FF089C">
      <w:rPr>
        <w:sz w:val="22"/>
        <w:szCs w:val="22"/>
        <w:lang w:val="es-ES_tradnl"/>
      </w:rPr>
      <w:t>P</w:t>
    </w:r>
    <w:r>
      <w:rPr>
        <w:sz w:val="22"/>
        <w:szCs w:val="22"/>
        <w:lang w:val="es-ES_tradnl"/>
      </w:rPr>
      <w:t>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05AB3">
      <w:rPr>
        <w:noProof/>
        <w:sz w:val="22"/>
        <w:szCs w:val="22"/>
        <w:lang w:val="de-CH"/>
      </w:rPr>
      <w:t>8</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547576"/>
      <w:docPartObj>
        <w:docPartGallery w:val="Page Numbers (Top of Page)"/>
        <w:docPartUnique/>
      </w:docPartObj>
    </w:sdtPr>
    <w:sdtEndPr>
      <w:rPr>
        <w:noProof/>
      </w:rPr>
    </w:sdtEndPr>
    <w:sdtContent>
      <w:p w:rsidR="00354B45" w:rsidRDefault="00354B45" w:rsidP="00CA30A3">
        <w:pPr>
          <w:pStyle w:val="Header"/>
          <w:tabs>
            <w:tab w:val="center" w:pos="7088"/>
            <w:tab w:val="right" w:pos="13998"/>
          </w:tabs>
        </w:pPr>
        <w:r>
          <w:rPr>
            <w:sz w:val="22"/>
            <w:szCs w:val="22"/>
            <w:lang w:val="de-CH"/>
          </w:rPr>
          <w:tab/>
        </w:r>
        <w:r w:rsidRPr="006D271A">
          <w:rPr>
            <w:sz w:val="22"/>
            <w:szCs w:val="22"/>
            <w:lang w:val="de-CH"/>
          </w:rPr>
          <w:t>ITU-D/</w:t>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12</w:t>
        </w:r>
        <w:r w:rsidRPr="006D271A">
          <w:rPr>
            <w:sz w:val="22"/>
            <w:szCs w:val="22"/>
            <w:lang w:val="de-CH"/>
          </w:rPr>
          <w:t>-</w:t>
        </w:r>
        <w:r>
          <w:rPr>
            <w:sz w:val="22"/>
            <w:szCs w:val="22"/>
            <w:lang w:val="de-CH"/>
          </w:rPr>
          <w:t>S</w:t>
        </w:r>
        <w:r>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05AB3">
          <w:rPr>
            <w:noProof/>
            <w:sz w:val="22"/>
            <w:szCs w:val="22"/>
            <w:lang w:val="de-CH"/>
          </w:rPr>
          <w:t>12</w:t>
        </w:r>
        <w:r w:rsidRPr="00972BCD">
          <w:rPr>
            <w:sz w:val="22"/>
            <w:szCs w:val="22"/>
          </w:rPr>
          <w:fldChar w:fldCharType="end"/>
        </w:r>
      </w:p>
    </w:sdtContent>
  </w:sdt>
  <w:p w:rsidR="00354B45" w:rsidRPr="00CA30A3" w:rsidRDefault="00354B45" w:rsidP="00CA30A3">
    <w:pPr>
      <w:pStyle w:val="Header"/>
      <w:rPr>
        <w:sz w:val="22"/>
        <w:szCs w:val="22"/>
        <w:lang w:val="de-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628327"/>
      <w:docPartObj>
        <w:docPartGallery w:val="Page Numbers (Top of Page)"/>
        <w:docPartUnique/>
      </w:docPartObj>
    </w:sdtPr>
    <w:sdtEndPr>
      <w:rPr>
        <w:noProof/>
      </w:rPr>
    </w:sdtEndPr>
    <w:sdtContent>
      <w:p w:rsidR="0045328C" w:rsidRDefault="0045328C" w:rsidP="0045328C">
        <w:pPr>
          <w:pStyle w:val="Header"/>
          <w:tabs>
            <w:tab w:val="center" w:pos="7088"/>
            <w:tab w:val="right" w:pos="13998"/>
          </w:tabs>
        </w:pPr>
        <w:r>
          <w:rPr>
            <w:sz w:val="22"/>
            <w:szCs w:val="22"/>
            <w:lang w:val="de-CH"/>
          </w:rPr>
          <w:tab/>
        </w:r>
        <w:r w:rsidRPr="006D271A">
          <w:rPr>
            <w:sz w:val="22"/>
            <w:szCs w:val="22"/>
            <w:lang w:val="de-CH"/>
          </w:rPr>
          <w:t>ITU-D/</w:t>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12</w:t>
        </w:r>
        <w:r w:rsidRPr="006D271A">
          <w:rPr>
            <w:sz w:val="22"/>
            <w:szCs w:val="22"/>
            <w:lang w:val="de-CH"/>
          </w:rPr>
          <w:t>-</w:t>
        </w:r>
        <w:r>
          <w:rPr>
            <w:sz w:val="22"/>
            <w:szCs w:val="22"/>
            <w:lang w:val="de-CH"/>
          </w:rPr>
          <w:t>S</w:t>
        </w:r>
        <w:r>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21B20">
          <w:rPr>
            <w:noProof/>
            <w:sz w:val="22"/>
            <w:szCs w:val="22"/>
            <w:lang w:val="de-CH"/>
          </w:rPr>
          <w:t>9</w:t>
        </w:r>
        <w:r w:rsidRPr="00972BCD">
          <w:rPr>
            <w:sz w:val="22"/>
            <w:szCs w:val="22"/>
          </w:rPr>
          <w:fldChar w:fldCharType="end"/>
        </w:r>
      </w:p>
    </w:sdtContent>
  </w:sdt>
  <w:p w:rsidR="0045328C" w:rsidRPr="0045328C" w:rsidRDefault="0045328C" w:rsidP="004532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B45" w:rsidRPr="009A6FC4" w:rsidRDefault="00354B45" w:rsidP="004E7861">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w:t>
    </w:r>
    <w:r>
      <w:rPr>
        <w:sz w:val="22"/>
        <w:szCs w:val="22"/>
        <w:lang w:val="en-US"/>
      </w:rPr>
      <w:t>-</w:t>
    </w:r>
    <w:r w:rsidRPr="003D4CFB">
      <w:rPr>
        <w:sz w:val="22"/>
        <w:szCs w:val="22"/>
        <w:lang w:val="en-US"/>
      </w:rPr>
      <w:t>1</w:t>
    </w:r>
    <w:r>
      <w:rPr>
        <w:sz w:val="22"/>
        <w:szCs w:val="22"/>
        <w:lang w:val="en-US"/>
      </w:rPr>
      <w:t>9/12</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AB2511">
      <w:rPr>
        <w:noProof/>
        <w:sz w:val="22"/>
        <w:szCs w:val="22"/>
        <w:lang w:val="en-US"/>
      </w:rPr>
      <w:t>14</w:t>
    </w:r>
    <w:r w:rsidRPr="00972BCD">
      <w:rPr>
        <w:sz w:val="22"/>
        <w:szCs w:val="22"/>
      </w:rPr>
      <w:fldChar w:fldCharType="end"/>
    </w:r>
  </w:p>
  <w:p w:rsidR="00354B45" w:rsidRPr="009A6FC4" w:rsidRDefault="00354B45" w:rsidP="009A6FC4">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46472"/>
      <w:docPartObj>
        <w:docPartGallery w:val="Page Numbers (Top of Page)"/>
        <w:docPartUnique/>
      </w:docPartObj>
    </w:sdtPr>
    <w:sdtEndPr>
      <w:rPr>
        <w:noProof/>
      </w:rPr>
    </w:sdtEndPr>
    <w:sdtContent>
      <w:p w:rsidR="0045328C" w:rsidRDefault="0045328C" w:rsidP="0045328C">
        <w:pPr>
          <w:pStyle w:val="Header"/>
          <w:tabs>
            <w:tab w:val="center" w:pos="7088"/>
            <w:tab w:val="right" w:pos="13998"/>
          </w:tabs>
        </w:pPr>
        <w:r>
          <w:rPr>
            <w:sz w:val="22"/>
            <w:szCs w:val="22"/>
            <w:lang w:val="de-CH"/>
          </w:rPr>
          <w:tab/>
        </w:r>
        <w:r w:rsidRPr="006D271A">
          <w:rPr>
            <w:sz w:val="22"/>
            <w:szCs w:val="22"/>
            <w:lang w:val="de-CH"/>
          </w:rPr>
          <w:t>ITU-D/</w:t>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12</w:t>
        </w:r>
        <w:r w:rsidRPr="006D271A">
          <w:rPr>
            <w:sz w:val="22"/>
            <w:szCs w:val="22"/>
            <w:lang w:val="de-CH"/>
          </w:rPr>
          <w:t>-</w:t>
        </w:r>
        <w:r>
          <w:rPr>
            <w:sz w:val="22"/>
            <w:szCs w:val="22"/>
            <w:lang w:val="de-CH"/>
          </w:rPr>
          <w:t>S</w:t>
        </w:r>
        <w:r>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21B20">
          <w:rPr>
            <w:noProof/>
            <w:sz w:val="22"/>
            <w:szCs w:val="22"/>
            <w:lang w:val="de-CH"/>
          </w:rPr>
          <w:t>13</w:t>
        </w:r>
        <w:r w:rsidRPr="00972BCD">
          <w:rPr>
            <w:sz w:val="22"/>
            <w:szCs w:val="22"/>
          </w:rPr>
          <w:fldChar w:fldCharType="end"/>
        </w:r>
      </w:p>
    </w:sdtContent>
  </w:sdt>
  <w:p w:rsidR="0045328C" w:rsidRPr="0045328C" w:rsidRDefault="0045328C" w:rsidP="004532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0CD"/>
    <w:multiLevelType w:val="hybridMultilevel"/>
    <w:tmpl w:val="4B8A41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176C98"/>
    <w:multiLevelType w:val="multilevel"/>
    <w:tmpl w:val="FFD8BF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65"/>
    <w:rsid w:val="000135AE"/>
    <w:rsid w:val="00013BD7"/>
    <w:rsid w:val="00033D49"/>
    <w:rsid w:val="000725A1"/>
    <w:rsid w:val="00085CB3"/>
    <w:rsid w:val="000B7BEC"/>
    <w:rsid w:val="000B7EC5"/>
    <w:rsid w:val="000C0AA7"/>
    <w:rsid w:val="000C2704"/>
    <w:rsid w:val="000E19B0"/>
    <w:rsid w:val="000E25B2"/>
    <w:rsid w:val="000E7A0A"/>
    <w:rsid w:val="0014705B"/>
    <w:rsid w:val="00164A1D"/>
    <w:rsid w:val="001704D7"/>
    <w:rsid w:val="00184D13"/>
    <w:rsid w:val="0019456B"/>
    <w:rsid w:val="00194CB2"/>
    <w:rsid w:val="001A4BB8"/>
    <w:rsid w:val="001B4E70"/>
    <w:rsid w:val="001B6914"/>
    <w:rsid w:val="001F7755"/>
    <w:rsid w:val="00201748"/>
    <w:rsid w:val="00213302"/>
    <w:rsid w:val="00213380"/>
    <w:rsid w:val="00214D4B"/>
    <w:rsid w:val="00221C14"/>
    <w:rsid w:val="00225D2E"/>
    <w:rsid w:val="00241CB9"/>
    <w:rsid w:val="00250CFE"/>
    <w:rsid w:val="002865C1"/>
    <w:rsid w:val="002953E4"/>
    <w:rsid w:val="002A7FAB"/>
    <w:rsid w:val="002B28C6"/>
    <w:rsid w:val="002D2B78"/>
    <w:rsid w:val="002D4BE6"/>
    <w:rsid w:val="002D6772"/>
    <w:rsid w:val="002E025A"/>
    <w:rsid w:val="00302736"/>
    <w:rsid w:val="0030621C"/>
    <w:rsid w:val="0033649F"/>
    <w:rsid w:val="00354B45"/>
    <w:rsid w:val="00360762"/>
    <w:rsid w:val="00390391"/>
    <w:rsid w:val="00390989"/>
    <w:rsid w:val="003A1494"/>
    <w:rsid w:val="003A2894"/>
    <w:rsid w:val="003B4465"/>
    <w:rsid w:val="003C4E3D"/>
    <w:rsid w:val="003D4CFB"/>
    <w:rsid w:val="00414EC1"/>
    <w:rsid w:val="004305C5"/>
    <w:rsid w:val="0045328C"/>
    <w:rsid w:val="00482632"/>
    <w:rsid w:val="00496AD4"/>
    <w:rsid w:val="004A6126"/>
    <w:rsid w:val="004B7893"/>
    <w:rsid w:val="004D42A2"/>
    <w:rsid w:val="004E7861"/>
    <w:rsid w:val="00511EDD"/>
    <w:rsid w:val="00535C50"/>
    <w:rsid w:val="0054060D"/>
    <w:rsid w:val="005557A3"/>
    <w:rsid w:val="0055752A"/>
    <w:rsid w:val="005637B9"/>
    <w:rsid w:val="005643DC"/>
    <w:rsid w:val="005A1FAB"/>
    <w:rsid w:val="005D1533"/>
    <w:rsid w:val="00600D74"/>
    <w:rsid w:val="00602B27"/>
    <w:rsid w:val="006339E7"/>
    <w:rsid w:val="00635A62"/>
    <w:rsid w:val="006928B3"/>
    <w:rsid w:val="006B489B"/>
    <w:rsid w:val="006B4C43"/>
    <w:rsid w:val="006B680F"/>
    <w:rsid w:val="006D3BCF"/>
    <w:rsid w:val="006D4828"/>
    <w:rsid w:val="006E4AB3"/>
    <w:rsid w:val="006F39EB"/>
    <w:rsid w:val="00717EB0"/>
    <w:rsid w:val="00762478"/>
    <w:rsid w:val="00781F79"/>
    <w:rsid w:val="007A4AA5"/>
    <w:rsid w:val="007B0B0A"/>
    <w:rsid w:val="007C0905"/>
    <w:rsid w:val="007C3061"/>
    <w:rsid w:val="007E471D"/>
    <w:rsid w:val="00835A77"/>
    <w:rsid w:val="0088106F"/>
    <w:rsid w:val="00893307"/>
    <w:rsid w:val="008B6505"/>
    <w:rsid w:val="008C1852"/>
    <w:rsid w:val="008D789A"/>
    <w:rsid w:val="008E7E16"/>
    <w:rsid w:val="008F3731"/>
    <w:rsid w:val="00901A3C"/>
    <w:rsid w:val="009170BB"/>
    <w:rsid w:val="00917B12"/>
    <w:rsid w:val="00943E7D"/>
    <w:rsid w:val="009752D2"/>
    <w:rsid w:val="00991B13"/>
    <w:rsid w:val="009952F6"/>
    <w:rsid w:val="009A6469"/>
    <w:rsid w:val="009A6FC4"/>
    <w:rsid w:val="009B6037"/>
    <w:rsid w:val="009D1BD4"/>
    <w:rsid w:val="00A25ED8"/>
    <w:rsid w:val="00A33516"/>
    <w:rsid w:val="00A42396"/>
    <w:rsid w:val="00A43E7B"/>
    <w:rsid w:val="00A571C2"/>
    <w:rsid w:val="00A71B7B"/>
    <w:rsid w:val="00A87DD9"/>
    <w:rsid w:val="00AA3A65"/>
    <w:rsid w:val="00AB07B6"/>
    <w:rsid w:val="00AB2511"/>
    <w:rsid w:val="00AE1BA7"/>
    <w:rsid w:val="00AE49F8"/>
    <w:rsid w:val="00AF563E"/>
    <w:rsid w:val="00AF6E50"/>
    <w:rsid w:val="00B261AD"/>
    <w:rsid w:val="00B454CE"/>
    <w:rsid w:val="00B473E6"/>
    <w:rsid w:val="00BC7208"/>
    <w:rsid w:val="00BE5391"/>
    <w:rsid w:val="00BF5B1B"/>
    <w:rsid w:val="00C05030"/>
    <w:rsid w:val="00C14CB8"/>
    <w:rsid w:val="00C30D4F"/>
    <w:rsid w:val="00C50167"/>
    <w:rsid w:val="00C5354E"/>
    <w:rsid w:val="00C56BC9"/>
    <w:rsid w:val="00CA30A3"/>
    <w:rsid w:val="00CD2818"/>
    <w:rsid w:val="00CF2F04"/>
    <w:rsid w:val="00D13B22"/>
    <w:rsid w:val="00D16175"/>
    <w:rsid w:val="00D372A5"/>
    <w:rsid w:val="00D8237B"/>
    <w:rsid w:val="00E1318F"/>
    <w:rsid w:val="00E17138"/>
    <w:rsid w:val="00E204A0"/>
    <w:rsid w:val="00E3519F"/>
    <w:rsid w:val="00E51C72"/>
    <w:rsid w:val="00E71C65"/>
    <w:rsid w:val="00E827C2"/>
    <w:rsid w:val="00E923EB"/>
    <w:rsid w:val="00EB6D19"/>
    <w:rsid w:val="00ED2681"/>
    <w:rsid w:val="00EF4270"/>
    <w:rsid w:val="00F01E28"/>
    <w:rsid w:val="00F05AB3"/>
    <w:rsid w:val="00F07B98"/>
    <w:rsid w:val="00F12690"/>
    <w:rsid w:val="00F21B20"/>
    <w:rsid w:val="00F6025B"/>
    <w:rsid w:val="00FA5F61"/>
    <w:rsid w:val="00FA67A2"/>
    <w:rsid w:val="00FD3A29"/>
    <w:rsid w:val="00FD4B0B"/>
    <w:rsid w:val="00FE7E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8FDF0CD0-9D3E-49FE-B8CF-E8F3D8A1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超?级链"/>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
    <w:basedOn w:val="DefaultParagraphFont"/>
    <w:uiPriority w:val="99"/>
    <w:rsid w:val="006F39EB"/>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6F39EB"/>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aliases w:val="List Paragraph1,Recommendation,List Paragraph11"/>
    <w:basedOn w:val="Normal"/>
    <w:link w:val="ListParagraphChar"/>
    <w:uiPriority w:val="34"/>
    <w:qFormat/>
    <w:rsid w:val="00C50167"/>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aliases w:val="List Paragraph1 Char,Recommendation Char,List Paragraph11 Char"/>
    <w:link w:val="ListParagraph"/>
    <w:uiPriority w:val="34"/>
    <w:rsid w:val="00C50167"/>
    <w:rPr>
      <w:rFonts w:eastAsia="Times New Roman" w:cs="Times New Roman"/>
      <w:sz w:val="24"/>
      <w:szCs w:val="20"/>
      <w:lang w:val="en-GB" w:eastAsia="en-US"/>
    </w:rPr>
  </w:style>
  <w:style w:type="paragraph" w:customStyle="1" w:styleId="CEOcontributionStart">
    <w:name w:val="CEO_contributionStart"/>
    <w:basedOn w:val="Normal"/>
    <w:rsid w:val="00C50167"/>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paragraph" w:styleId="PlainText">
    <w:name w:val="Plain Text"/>
    <w:basedOn w:val="Normal"/>
    <w:link w:val="PlainTextChar"/>
    <w:uiPriority w:val="99"/>
    <w:unhideWhenUsed/>
    <w:rsid w:val="00C50167"/>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C50167"/>
    <w:rPr>
      <w:rFonts w:ascii="Calibri" w:hAnsi="Calibri"/>
      <w:szCs w:val="21"/>
      <w:lang w:val="en-US"/>
    </w:rPr>
  </w:style>
  <w:style w:type="character" w:styleId="FollowedHyperlink">
    <w:name w:val="FollowedHyperlink"/>
    <w:basedOn w:val="DefaultParagraphFont"/>
    <w:uiPriority w:val="99"/>
    <w:semiHidden/>
    <w:unhideWhenUsed/>
    <w:rsid w:val="00762478"/>
    <w:rPr>
      <w:color w:val="800080" w:themeColor="followedHyperlink"/>
      <w:u w:val="single"/>
    </w:rPr>
  </w:style>
  <w:style w:type="paragraph" w:customStyle="1" w:styleId="Banner">
    <w:name w:val="Banner"/>
    <w:basedOn w:val="Normal"/>
    <w:rsid w:val="000C2704"/>
    <w:pPr>
      <w:tabs>
        <w:tab w:val="clear" w:pos="794"/>
        <w:tab w:val="clear" w:pos="1191"/>
        <w:tab w:val="clear" w:pos="1588"/>
        <w:tab w:val="clear" w:pos="1985"/>
        <w:tab w:val="left" w:pos="993"/>
      </w:tabs>
      <w:spacing w:before="240"/>
      <w:ind w:left="993" w:hanging="993"/>
      <w:textAlignment w:val="auto"/>
    </w:pPr>
    <w:rPr>
      <w:rFonts w:ascii="Arial" w:hAnsi="Arial"/>
      <w:sz w:val="22"/>
      <w:szCs w:val="22"/>
      <w:lang w:val="en-GB"/>
    </w:rPr>
  </w:style>
  <w:style w:type="paragraph" w:customStyle="1" w:styleId="CEOAgendaItemN">
    <w:name w:val="CEO_AgendaItemN°"/>
    <w:basedOn w:val="Normal"/>
    <w:rsid w:val="005D1533"/>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Tabletext10pt">
    <w:name w:val="Table_text + 10 pt"/>
    <w:basedOn w:val="Tabletext"/>
    <w:rsid w:val="001704D7"/>
    <w:rPr>
      <w:sz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bdt-director/Pages/Speeches.aspx?ItemID=181" TargetMode="External"/><Relationship Id="rId18" Type="http://schemas.openxmlformats.org/officeDocument/2006/relationships/hyperlink" Target="https://www.itu.int/md/D18-SG01-R-0002" TargetMode="External"/><Relationship Id="rId26" Type="http://schemas.openxmlformats.org/officeDocument/2006/relationships/hyperlink" Target="https://www.itu.int/en/ITU-D/Study-Groups/2018-2021/Pages/collaborative-tools.aspx"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itu.int/md/D18-SG01-R-0005" TargetMode="External"/><Relationship Id="rId34" Type="http://schemas.openxmlformats.org/officeDocument/2006/relationships/hyperlink" Target="https://www.itu.int/net4/ITU-D/CDS/sg/rapporteurs.asp?lg=1&amp;sp=2018"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net4/ITU-D/CDS/sg/blkmeetings.asp?lg=1&amp;sp=2018&amp;blk=20348" TargetMode="External"/><Relationship Id="rId17" Type="http://schemas.openxmlformats.org/officeDocument/2006/relationships/hyperlink" Target="https://www.itu.int/md/D18-SG01-R-0001" TargetMode="External"/><Relationship Id="rId25" Type="http://schemas.openxmlformats.org/officeDocument/2006/relationships/hyperlink" Target="https://www.itu.int/en/ITU-D/Study-Groups/2018-2021/Pages/collaborative-tools.aspx" TargetMode="External"/><Relationship Id="rId33" Type="http://schemas.openxmlformats.org/officeDocument/2006/relationships/hyperlink" Target="https://www.itu.int/net4/ITU-D/CDS/sg/chairmen.asp?lg=1&amp;sp=2018"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itu.int/en/ITU-D/Study-Groups/2018-2021/Pages/meetings/session-Q7-1-sept18.aspx" TargetMode="External"/><Relationship Id="rId20" Type="http://schemas.openxmlformats.org/officeDocument/2006/relationships/hyperlink" Target="https://www.itu.int/md/D18-SG01-R-0004" TargetMode="External"/><Relationship Id="rId29" Type="http://schemas.openxmlformats.org/officeDocument/2006/relationships/header" Target="header1.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ITU-D/CDS/sg/webcast_archive.asp?lg=1&amp;sp=2018&amp;stg=&amp;mtg=20348" TargetMode="External"/><Relationship Id="rId24" Type="http://schemas.openxmlformats.org/officeDocument/2006/relationships/hyperlink" Target="https://www.itu.int/md/D18-TDAG23-C-0012/" TargetMode="Externa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itu.int/en/ITU-D/Study-Groups/2018-2021/Pages/meetings/session-Q4-1-sept18.aspx" TargetMode="External"/><Relationship Id="rId23" Type="http://schemas.openxmlformats.org/officeDocument/2006/relationships/hyperlink" Target="https://www.itu.int/md/D18-SG01-R-0007" TargetMode="External"/><Relationship Id="rId28" Type="http://schemas.openxmlformats.org/officeDocument/2006/relationships/hyperlink" Target="https://www.itu.int/md/D18-SG01-ADM-0002/en" TargetMode="External"/><Relationship Id="rId36" Type="http://schemas.openxmlformats.org/officeDocument/2006/relationships/header" Target="header3.xml"/><Relationship Id="rId10" Type="http://schemas.openxmlformats.org/officeDocument/2006/relationships/hyperlink" Target="https://www.itu.int/md/D18-SG01-ADM-0003" TargetMode="External"/><Relationship Id="rId19" Type="http://schemas.openxmlformats.org/officeDocument/2006/relationships/hyperlink" Target="https://www.itu.int/md/D18-SG01-R-0003"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D18-SG01-C-0089" TargetMode="External"/><Relationship Id="rId14" Type="http://schemas.openxmlformats.org/officeDocument/2006/relationships/hyperlink" Target="https://www.itu.int/en/ITU-D/Study-Groups/2018-2021/Pages/meetings/session-Q1-1-sept18.aspx" TargetMode="External"/><Relationship Id="rId22" Type="http://schemas.openxmlformats.org/officeDocument/2006/relationships/hyperlink" Target="https://www.itu.int/md/D18-SG01-R-0006" TargetMode="External"/><Relationship Id="rId27" Type="http://schemas.openxmlformats.org/officeDocument/2006/relationships/hyperlink" Target="https://extranet.itu.int/itu-d/studygroups/SitePages/Home.aspx" TargetMode="External"/><Relationship Id="rId30" Type="http://schemas.openxmlformats.org/officeDocument/2006/relationships/footer" Target="footer1.xml"/><Relationship Id="rId35" Type="http://schemas.openxmlformats.org/officeDocument/2006/relationships/header" Target="header2.xm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bdt-director/Pages/Speeches.aspx?ItemID=181" TargetMode="External"/><Relationship Id="rId1" Type="http://schemas.openxmlformats.org/officeDocument/2006/relationships/hyperlink" Target="https://www.flickr.com/photos/itupictures/albums/721576962684845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7B0A6-E2EC-4F79-A056-0F708C2B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PS_TDAG19.dotx</Template>
  <TotalTime>145</TotalTime>
  <Pages>13</Pages>
  <Words>5472</Words>
  <Characters>31195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36594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Spanish2</cp:lastModifiedBy>
  <cp:revision>48</cp:revision>
  <cp:lastPrinted>2019-03-13T10:51:00Z</cp:lastPrinted>
  <dcterms:created xsi:type="dcterms:W3CDTF">2019-03-11T14:08:00Z</dcterms:created>
  <dcterms:modified xsi:type="dcterms:W3CDTF">2019-03-13T11:23:00Z</dcterms:modified>
</cp:coreProperties>
</file>