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1C7C35" w:rsidTr="0077767E">
        <w:trPr>
          <w:cantSplit/>
          <w:trHeight w:val="1134"/>
        </w:trPr>
        <w:tc>
          <w:tcPr>
            <w:tcW w:w="7251" w:type="dxa"/>
          </w:tcPr>
          <w:p w:rsidR="0021438F" w:rsidRPr="001C7C35" w:rsidRDefault="0021438F" w:rsidP="000073BC">
            <w:pPr>
              <w:tabs>
                <w:tab w:val="left" w:pos="1871"/>
                <w:tab w:val="left" w:pos="2268"/>
              </w:tabs>
              <w:spacing w:before="20" w:after="48"/>
              <w:ind w:left="34"/>
              <w:rPr>
                <w:b/>
                <w:bCs/>
                <w:sz w:val="32"/>
                <w:szCs w:val="32"/>
              </w:rPr>
            </w:pPr>
            <w:r w:rsidRPr="001C7C35">
              <w:rPr>
                <w:b/>
                <w:sz w:val="32"/>
                <w:szCs w:val="32"/>
              </w:rPr>
              <w:t>Groupe</w:t>
            </w:r>
            <w:r w:rsidRPr="001C7C35">
              <w:rPr>
                <w:b/>
                <w:bCs/>
                <w:sz w:val="32"/>
                <w:szCs w:val="32"/>
              </w:rPr>
              <w:t xml:space="preserve"> consultatif pour le développement </w:t>
            </w:r>
            <w:r w:rsidRPr="001C7C35">
              <w:rPr>
                <w:b/>
                <w:bCs/>
                <w:sz w:val="32"/>
                <w:szCs w:val="32"/>
              </w:rPr>
              <w:br/>
              <w:t>des télécommunications (GCDT)</w:t>
            </w:r>
          </w:p>
          <w:p w:rsidR="0021438F" w:rsidRPr="001C7C35" w:rsidRDefault="00D87E6C" w:rsidP="000073BC">
            <w:pPr>
              <w:tabs>
                <w:tab w:val="clear" w:pos="1191"/>
                <w:tab w:val="clear" w:pos="1588"/>
                <w:tab w:val="clear" w:pos="1985"/>
              </w:tabs>
              <w:spacing w:before="100" w:after="120"/>
              <w:ind w:left="34"/>
              <w:rPr>
                <w:rFonts w:ascii="Verdana" w:hAnsi="Verdana"/>
                <w:sz w:val="28"/>
                <w:szCs w:val="28"/>
              </w:rPr>
            </w:pPr>
            <w:r w:rsidRPr="001C7C35">
              <w:rPr>
                <w:b/>
                <w:bCs/>
                <w:sz w:val="26"/>
                <w:szCs w:val="26"/>
              </w:rPr>
              <w:t>24ème réunion, Genève, 3-5 avril 2019</w:t>
            </w:r>
          </w:p>
        </w:tc>
        <w:tc>
          <w:tcPr>
            <w:tcW w:w="2996" w:type="dxa"/>
          </w:tcPr>
          <w:p w:rsidR="0021438F" w:rsidRPr="001C7C35" w:rsidRDefault="00D87E6C" w:rsidP="000073BC">
            <w:pPr>
              <w:spacing w:before="0"/>
              <w:ind w:right="142"/>
              <w:jc w:val="right"/>
            </w:pPr>
            <w:r w:rsidRPr="001C7C35">
              <w:rPr>
                <w:noProof/>
                <w:color w:val="3399FF"/>
                <w:lang w:eastAsia="zh-CN"/>
              </w:rPr>
              <w:drawing>
                <wp:inline distT="0" distB="0" distL="0" distR="0" wp14:anchorId="2058137A" wp14:editId="6DF0039D">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1C7C35" w:rsidTr="000C61E9">
        <w:trPr>
          <w:cantSplit/>
        </w:trPr>
        <w:tc>
          <w:tcPr>
            <w:tcW w:w="7251" w:type="dxa"/>
            <w:tcBorders>
              <w:top w:val="single" w:sz="12" w:space="0" w:color="auto"/>
            </w:tcBorders>
          </w:tcPr>
          <w:p w:rsidR="00683C32" w:rsidRPr="001C7C35" w:rsidRDefault="00683C32" w:rsidP="000073BC">
            <w:pPr>
              <w:spacing w:before="0"/>
              <w:rPr>
                <w:rFonts w:cs="Arial"/>
                <w:b/>
                <w:bCs/>
                <w:sz w:val="20"/>
              </w:rPr>
            </w:pPr>
          </w:p>
        </w:tc>
        <w:tc>
          <w:tcPr>
            <w:tcW w:w="2996" w:type="dxa"/>
            <w:tcBorders>
              <w:top w:val="single" w:sz="12" w:space="0" w:color="auto"/>
            </w:tcBorders>
          </w:tcPr>
          <w:p w:rsidR="00683C32" w:rsidRPr="001C7C35" w:rsidRDefault="00683C32" w:rsidP="000073BC">
            <w:pPr>
              <w:spacing w:before="0"/>
              <w:rPr>
                <w:b/>
                <w:bCs/>
                <w:sz w:val="20"/>
              </w:rPr>
            </w:pPr>
          </w:p>
        </w:tc>
      </w:tr>
      <w:tr w:rsidR="00683C32" w:rsidRPr="001C7C35" w:rsidTr="000C61E9">
        <w:trPr>
          <w:cantSplit/>
        </w:trPr>
        <w:tc>
          <w:tcPr>
            <w:tcW w:w="7251" w:type="dxa"/>
          </w:tcPr>
          <w:p w:rsidR="00683C32" w:rsidRPr="001C7C35" w:rsidRDefault="00683C32" w:rsidP="000073BC">
            <w:pPr>
              <w:pStyle w:val="Committee"/>
              <w:spacing w:before="0"/>
              <w:rPr>
                <w:b w:val="0"/>
                <w:szCs w:val="24"/>
              </w:rPr>
            </w:pPr>
          </w:p>
        </w:tc>
        <w:tc>
          <w:tcPr>
            <w:tcW w:w="2996" w:type="dxa"/>
          </w:tcPr>
          <w:p w:rsidR="00683C32" w:rsidRPr="001C7C35" w:rsidRDefault="000F5A65" w:rsidP="000073BC">
            <w:pPr>
              <w:spacing w:before="0"/>
              <w:rPr>
                <w:bCs/>
                <w:szCs w:val="24"/>
              </w:rPr>
            </w:pPr>
            <w:r w:rsidRPr="001C7C35">
              <w:rPr>
                <w:b/>
                <w:bCs/>
                <w:szCs w:val="28"/>
              </w:rPr>
              <w:t>Révision 1 au</w:t>
            </w:r>
            <w:r w:rsidRPr="001C7C35">
              <w:rPr>
                <w:b/>
                <w:bCs/>
                <w:szCs w:val="28"/>
              </w:rPr>
              <w:br/>
            </w:r>
            <w:r w:rsidR="00323587" w:rsidRPr="001C7C35">
              <w:rPr>
                <w:b/>
                <w:bCs/>
                <w:szCs w:val="28"/>
              </w:rPr>
              <w:t xml:space="preserve">Document </w:t>
            </w:r>
            <w:bookmarkStart w:id="0" w:name="DocRef1"/>
            <w:bookmarkEnd w:id="0"/>
            <w:r w:rsidR="00323587" w:rsidRPr="001C7C35">
              <w:rPr>
                <w:b/>
                <w:bCs/>
                <w:szCs w:val="28"/>
              </w:rPr>
              <w:t>TDAG</w:t>
            </w:r>
            <w:r w:rsidR="008F20EB" w:rsidRPr="001C7C35">
              <w:rPr>
                <w:b/>
                <w:bCs/>
                <w:szCs w:val="28"/>
              </w:rPr>
              <w:t>-</w:t>
            </w:r>
            <w:r w:rsidR="00323587" w:rsidRPr="001C7C35">
              <w:rPr>
                <w:b/>
                <w:bCs/>
                <w:szCs w:val="28"/>
              </w:rPr>
              <w:t>1</w:t>
            </w:r>
            <w:r w:rsidR="00D87E6C" w:rsidRPr="001C7C35">
              <w:rPr>
                <w:b/>
                <w:bCs/>
                <w:szCs w:val="28"/>
              </w:rPr>
              <w:t>9</w:t>
            </w:r>
            <w:r w:rsidR="00323587" w:rsidRPr="001C7C35">
              <w:rPr>
                <w:b/>
                <w:bCs/>
                <w:szCs w:val="28"/>
              </w:rPr>
              <w:t>/</w:t>
            </w:r>
            <w:bookmarkStart w:id="1" w:name="DocNo1"/>
            <w:bookmarkEnd w:id="1"/>
            <w:r w:rsidR="005A5E93" w:rsidRPr="001C7C35">
              <w:rPr>
                <w:b/>
                <w:bCs/>
                <w:szCs w:val="28"/>
              </w:rPr>
              <w:t>13</w:t>
            </w:r>
            <w:r w:rsidR="00323587" w:rsidRPr="001C7C35">
              <w:rPr>
                <w:b/>
                <w:bCs/>
                <w:szCs w:val="28"/>
              </w:rPr>
              <w:t>-F</w:t>
            </w:r>
          </w:p>
        </w:tc>
      </w:tr>
      <w:tr w:rsidR="00683C32" w:rsidRPr="001C7C35" w:rsidTr="000C61E9">
        <w:trPr>
          <w:cantSplit/>
        </w:trPr>
        <w:tc>
          <w:tcPr>
            <w:tcW w:w="7251" w:type="dxa"/>
          </w:tcPr>
          <w:p w:rsidR="00683C32" w:rsidRPr="001C7C35" w:rsidRDefault="00683C32" w:rsidP="000073BC">
            <w:pPr>
              <w:spacing w:before="0"/>
              <w:rPr>
                <w:b/>
                <w:bCs/>
                <w:smallCaps/>
                <w:szCs w:val="24"/>
              </w:rPr>
            </w:pPr>
          </w:p>
        </w:tc>
        <w:tc>
          <w:tcPr>
            <w:tcW w:w="2996" w:type="dxa"/>
          </w:tcPr>
          <w:p w:rsidR="00683C32" w:rsidRPr="001C7C35" w:rsidRDefault="000F5A65" w:rsidP="000073BC">
            <w:pPr>
              <w:spacing w:before="0"/>
              <w:rPr>
                <w:b/>
                <w:szCs w:val="24"/>
              </w:rPr>
            </w:pPr>
            <w:bookmarkStart w:id="2" w:name="CreationDate"/>
            <w:bookmarkEnd w:id="2"/>
            <w:r w:rsidRPr="001C7C35">
              <w:rPr>
                <w:b/>
                <w:bCs/>
                <w:szCs w:val="28"/>
              </w:rPr>
              <w:t>2 avril</w:t>
            </w:r>
            <w:r w:rsidR="00323587" w:rsidRPr="001C7C35">
              <w:rPr>
                <w:b/>
                <w:bCs/>
                <w:szCs w:val="28"/>
              </w:rPr>
              <w:t xml:space="preserve"> 201</w:t>
            </w:r>
            <w:r w:rsidR="00D87E6C" w:rsidRPr="001C7C35">
              <w:rPr>
                <w:b/>
                <w:bCs/>
                <w:szCs w:val="28"/>
              </w:rPr>
              <w:t>9</w:t>
            </w:r>
          </w:p>
        </w:tc>
      </w:tr>
      <w:tr w:rsidR="00683C32" w:rsidRPr="001C7C35" w:rsidTr="000C61E9">
        <w:trPr>
          <w:cantSplit/>
        </w:trPr>
        <w:tc>
          <w:tcPr>
            <w:tcW w:w="7251" w:type="dxa"/>
          </w:tcPr>
          <w:p w:rsidR="00683C32" w:rsidRPr="001C7C35" w:rsidRDefault="00683C32" w:rsidP="000073BC">
            <w:pPr>
              <w:spacing w:before="0"/>
              <w:rPr>
                <w:b/>
                <w:bCs/>
                <w:smallCaps/>
                <w:szCs w:val="24"/>
              </w:rPr>
            </w:pPr>
          </w:p>
        </w:tc>
        <w:tc>
          <w:tcPr>
            <w:tcW w:w="2996" w:type="dxa"/>
          </w:tcPr>
          <w:p w:rsidR="00514D2F" w:rsidRPr="001C7C35" w:rsidRDefault="00323587" w:rsidP="000073BC">
            <w:pPr>
              <w:spacing w:before="0"/>
              <w:rPr>
                <w:szCs w:val="24"/>
              </w:rPr>
            </w:pPr>
            <w:r w:rsidRPr="001C7C35">
              <w:rPr>
                <w:b/>
                <w:szCs w:val="28"/>
              </w:rPr>
              <w:t>Original:</w:t>
            </w:r>
            <w:bookmarkStart w:id="3" w:name="Original"/>
            <w:bookmarkEnd w:id="3"/>
            <w:r w:rsidR="0031600A" w:rsidRPr="001C7C35">
              <w:rPr>
                <w:b/>
                <w:szCs w:val="28"/>
              </w:rPr>
              <w:t xml:space="preserve"> anglais</w:t>
            </w:r>
          </w:p>
        </w:tc>
      </w:tr>
      <w:tr w:rsidR="00A13162" w:rsidRPr="001C7C35" w:rsidTr="000C61E9">
        <w:trPr>
          <w:cantSplit/>
          <w:trHeight w:val="852"/>
        </w:trPr>
        <w:tc>
          <w:tcPr>
            <w:tcW w:w="10247" w:type="dxa"/>
            <w:gridSpan w:val="2"/>
          </w:tcPr>
          <w:p w:rsidR="00A13162" w:rsidRPr="001C7C35" w:rsidRDefault="005A5E93" w:rsidP="000073BC">
            <w:pPr>
              <w:pStyle w:val="Source"/>
            </w:pPr>
            <w:bookmarkStart w:id="4" w:name="Source"/>
            <w:bookmarkEnd w:id="4"/>
            <w:r w:rsidRPr="001C7C35">
              <w:t>Président de la Commission d'études 2 de l'UIT</w:t>
            </w:r>
            <w:r w:rsidRPr="001C7C35">
              <w:noBreakHyphen/>
              <w:t>D</w:t>
            </w:r>
          </w:p>
        </w:tc>
      </w:tr>
      <w:tr w:rsidR="00AC6F14" w:rsidRPr="001C7C35" w:rsidTr="000C61E9">
        <w:trPr>
          <w:cantSplit/>
        </w:trPr>
        <w:tc>
          <w:tcPr>
            <w:tcW w:w="10247" w:type="dxa"/>
            <w:gridSpan w:val="2"/>
          </w:tcPr>
          <w:p w:rsidR="00AC6F14" w:rsidRPr="001C7C35" w:rsidRDefault="005A5E93" w:rsidP="000073BC">
            <w:pPr>
              <w:pStyle w:val="Title1"/>
            </w:pPr>
            <w:bookmarkStart w:id="5" w:name="Title"/>
            <w:bookmarkEnd w:id="5"/>
            <w:r w:rsidRPr="001C7C35">
              <w:t>COMMISSION D'</w:t>
            </w:r>
            <w:r w:rsidR="0002425E" w:rsidRPr="001C7C35">
              <w:t>É</w:t>
            </w:r>
            <w:r w:rsidRPr="001C7C35">
              <w:t>TUDES 2 DE L'UIT</w:t>
            </w:r>
            <w:r w:rsidRPr="001C7C35">
              <w:noBreakHyphen/>
              <w:t>D – ACTIVIT</w:t>
            </w:r>
            <w:r w:rsidR="0002425E" w:rsidRPr="001C7C35">
              <w:t>É</w:t>
            </w:r>
            <w:r w:rsidRPr="001C7C35">
              <w:t xml:space="preserve">S ET </w:t>
            </w:r>
            <w:r w:rsidR="00FF773A" w:rsidRPr="001C7C35">
              <w:t>AVANCEMENT DES TRAVAUX</w:t>
            </w:r>
          </w:p>
        </w:tc>
      </w:tr>
      <w:tr w:rsidR="00A721F4" w:rsidRPr="001C7C35" w:rsidTr="000C61E9">
        <w:trPr>
          <w:cantSplit/>
        </w:trPr>
        <w:tc>
          <w:tcPr>
            <w:tcW w:w="10247" w:type="dxa"/>
            <w:gridSpan w:val="2"/>
            <w:tcBorders>
              <w:bottom w:val="single" w:sz="4" w:space="0" w:color="auto"/>
            </w:tcBorders>
          </w:tcPr>
          <w:p w:rsidR="00A721F4" w:rsidRPr="001C7C35" w:rsidRDefault="00A721F4" w:rsidP="000073BC"/>
        </w:tc>
      </w:tr>
      <w:tr w:rsidR="00A721F4" w:rsidRPr="008662C3"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rsidR="00A721F4" w:rsidRPr="001C7C35" w:rsidRDefault="00156BF6" w:rsidP="000073BC">
            <w:pPr>
              <w:rPr>
                <w:b/>
                <w:bCs/>
                <w:szCs w:val="24"/>
              </w:rPr>
            </w:pPr>
            <w:r w:rsidRPr="001C7C35">
              <w:rPr>
                <w:b/>
                <w:bCs/>
                <w:szCs w:val="24"/>
              </w:rPr>
              <w:t>Résumé:</w:t>
            </w:r>
          </w:p>
          <w:p w:rsidR="005A5E93" w:rsidRPr="001C7C35" w:rsidRDefault="005970AF" w:rsidP="000073BC">
            <w:r w:rsidRPr="001C7C35">
              <w:rPr>
                <w:bCs/>
              </w:rPr>
              <w:t>Le</w:t>
            </w:r>
            <w:r w:rsidR="005A5E93" w:rsidRPr="001C7C35">
              <w:rPr>
                <w:bCs/>
              </w:rPr>
              <w:t xml:space="preserve"> GCDT </w:t>
            </w:r>
            <w:r w:rsidRPr="001C7C35">
              <w:rPr>
                <w:bCs/>
              </w:rPr>
              <w:t>trouvera dans le présent rapport l'état d'avancement des travaux de la Commission d'études 2 de l'UIT-D, certains des</w:t>
            </w:r>
            <w:bookmarkStart w:id="6" w:name="lt_pId021"/>
            <w:r w:rsidRPr="001C7C35">
              <w:rPr>
                <w:bCs/>
              </w:rPr>
              <w:t xml:space="preserve"> principaux points à retenir</w:t>
            </w:r>
            <w:r w:rsidR="0004649A" w:rsidRPr="001C7C35">
              <w:rPr>
                <w:bCs/>
              </w:rPr>
              <w:t xml:space="preserve"> de</w:t>
            </w:r>
            <w:r w:rsidR="00B35442" w:rsidRPr="001C7C35">
              <w:rPr>
                <w:bCs/>
              </w:rPr>
              <w:t>s</w:t>
            </w:r>
            <w:r w:rsidR="0004649A" w:rsidRPr="001C7C35">
              <w:rPr>
                <w:bCs/>
              </w:rPr>
              <w:t xml:space="preserve"> première </w:t>
            </w:r>
            <w:r w:rsidR="00B35442" w:rsidRPr="001C7C35">
              <w:rPr>
                <w:bCs/>
              </w:rPr>
              <w:t xml:space="preserve">et </w:t>
            </w:r>
            <w:r w:rsidR="00137537" w:rsidRPr="001C7C35">
              <w:rPr>
                <w:bCs/>
              </w:rPr>
              <w:t>deuxième réunion</w:t>
            </w:r>
            <w:r w:rsidR="00B35442" w:rsidRPr="001C7C35">
              <w:rPr>
                <w:bCs/>
              </w:rPr>
              <w:t>s de </w:t>
            </w:r>
            <w:r w:rsidR="0004649A" w:rsidRPr="001C7C35">
              <w:rPr>
                <w:bCs/>
              </w:rPr>
              <w:t>la</w:t>
            </w:r>
            <w:r w:rsidR="00B35442" w:rsidRPr="001C7C35">
              <w:rPr>
                <w:bCs/>
              </w:rPr>
              <w:t> </w:t>
            </w:r>
            <w:r w:rsidR="0004649A" w:rsidRPr="001C7C35">
              <w:rPr>
                <w:bCs/>
              </w:rPr>
              <w:t>CE</w:t>
            </w:r>
            <w:r w:rsidR="0077767E" w:rsidRPr="001C7C35">
              <w:rPr>
                <w:bCs/>
              </w:rPr>
              <w:t> </w:t>
            </w:r>
            <w:r w:rsidR="0004649A" w:rsidRPr="001C7C35">
              <w:rPr>
                <w:bCs/>
              </w:rPr>
              <w:t>2 pour la période d'études 2018-2021</w:t>
            </w:r>
            <w:r w:rsidR="00B35442" w:rsidRPr="001C7C35">
              <w:rPr>
                <w:bCs/>
              </w:rPr>
              <w:t>,</w:t>
            </w:r>
            <w:r w:rsidR="0004649A" w:rsidRPr="001C7C35">
              <w:rPr>
                <w:bCs/>
              </w:rPr>
              <w:t xml:space="preserve"> tenue</w:t>
            </w:r>
            <w:r w:rsidR="00137537" w:rsidRPr="001C7C35">
              <w:rPr>
                <w:bCs/>
              </w:rPr>
              <w:t>s</w:t>
            </w:r>
            <w:r w:rsidR="00B35442" w:rsidRPr="001C7C35">
              <w:rPr>
                <w:bCs/>
              </w:rPr>
              <w:t xml:space="preserve"> respectivement</w:t>
            </w:r>
            <w:r w:rsidR="0004649A" w:rsidRPr="001C7C35">
              <w:rPr>
                <w:bCs/>
              </w:rPr>
              <w:t xml:space="preserve"> du 7 au 11 mai 2018</w:t>
            </w:r>
            <w:r w:rsidR="00B35442" w:rsidRPr="001C7C35">
              <w:rPr>
                <w:bCs/>
              </w:rPr>
              <w:t xml:space="preserve"> et du 25 </w:t>
            </w:r>
            <w:r w:rsidR="00137537" w:rsidRPr="001C7C35">
              <w:rPr>
                <w:bCs/>
              </w:rPr>
              <w:t>au 29 mars 2019</w:t>
            </w:r>
            <w:r w:rsidR="00B35442" w:rsidRPr="001C7C35">
              <w:rPr>
                <w:bCs/>
              </w:rPr>
              <w:t>,</w:t>
            </w:r>
            <w:r w:rsidR="0004649A" w:rsidRPr="001C7C35">
              <w:rPr>
                <w:bCs/>
              </w:rPr>
              <w:t xml:space="preserve"> </w:t>
            </w:r>
            <w:r w:rsidR="00AF34B8" w:rsidRPr="001C7C35">
              <w:rPr>
                <w:bCs/>
              </w:rPr>
              <w:t>et d</w:t>
            </w:r>
            <w:r w:rsidR="0004649A" w:rsidRPr="001C7C35">
              <w:rPr>
                <w:bCs/>
              </w:rPr>
              <w:t xml:space="preserve">es réunions </w:t>
            </w:r>
            <w:r w:rsidR="001B3687" w:rsidRPr="001C7C35">
              <w:rPr>
                <w:bCs/>
              </w:rPr>
              <w:t>des Groupes</w:t>
            </w:r>
            <w:r w:rsidR="0004649A" w:rsidRPr="001C7C35">
              <w:rPr>
                <w:bCs/>
              </w:rPr>
              <w:t xml:space="preserve"> du Rapporteur</w:t>
            </w:r>
            <w:r w:rsidRPr="001C7C35">
              <w:rPr>
                <w:bCs/>
              </w:rPr>
              <w:t xml:space="preserve"> qui ont eu lieu</w:t>
            </w:r>
            <w:r w:rsidR="00B35442" w:rsidRPr="001C7C35">
              <w:rPr>
                <w:bCs/>
              </w:rPr>
              <w:t xml:space="preserve"> du </w:t>
            </w:r>
            <w:r w:rsidR="00EE2111" w:rsidRPr="001C7C35">
              <w:rPr>
                <w:bCs/>
              </w:rPr>
              <w:t>1er</w:t>
            </w:r>
            <w:r w:rsidR="0004649A" w:rsidRPr="001C7C35">
              <w:rPr>
                <w:bCs/>
              </w:rPr>
              <w:t xml:space="preserve"> au 1</w:t>
            </w:r>
            <w:r w:rsidR="00E25EFE" w:rsidRPr="001C7C35">
              <w:rPr>
                <w:bCs/>
              </w:rPr>
              <w:t>2</w:t>
            </w:r>
            <w:r w:rsidR="0004649A" w:rsidRPr="001C7C35">
              <w:rPr>
                <w:bCs/>
              </w:rPr>
              <w:t xml:space="preserve"> octobre 2018</w:t>
            </w:r>
            <w:r w:rsidRPr="001C7C35">
              <w:rPr>
                <w:bCs/>
              </w:rPr>
              <w:t>, ainsi qu'un examen du programme de travail</w:t>
            </w:r>
            <w:r w:rsidR="0004649A" w:rsidRPr="001C7C35">
              <w:t xml:space="preserve">. </w:t>
            </w:r>
            <w:bookmarkEnd w:id="6"/>
          </w:p>
          <w:p w:rsidR="00A721F4" w:rsidRPr="001C7C35" w:rsidRDefault="0077767E" w:rsidP="000073BC">
            <w:pPr>
              <w:rPr>
                <w:szCs w:val="24"/>
              </w:rPr>
            </w:pPr>
            <w:bookmarkStart w:id="7" w:name="lt_pId022"/>
            <w:r w:rsidRPr="001C7C35">
              <w:t xml:space="preserve">Il </w:t>
            </w:r>
            <w:r w:rsidR="006B7173" w:rsidRPr="001C7C35">
              <w:t>est à</w:t>
            </w:r>
            <w:r w:rsidRPr="001C7C35">
              <w:t xml:space="preserve"> noter que les </w:t>
            </w:r>
            <w:r w:rsidR="006B7173" w:rsidRPr="001C7C35">
              <w:t xml:space="preserve">travaux des </w:t>
            </w:r>
            <w:r w:rsidRPr="001C7C35">
              <w:t>Groupes du Rapporteur</w:t>
            </w:r>
            <w:r w:rsidR="006B7173" w:rsidRPr="001C7C35">
              <w:t xml:space="preserve"> sur</w:t>
            </w:r>
            <w:r w:rsidRPr="001C7C35">
              <w:t xml:space="preserve"> les sept Questions </w:t>
            </w:r>
            <w:r w:rsidR="006B7173" w:rsidRPr="001C7C35">
              <w:t>confiées à la</w:t>
            </w:r>
            <w:r w:rsidRPr="001C7C35">
              <w:t xml:space="preserve"> CE 2 progressent de manière satisfaisante </w:t>
            </w:r>
            <w:r w:rsidR="006B7173" w:rsidRPr="001C7C35">
              <w:t>vers</w:t>
            </w:r>
            <w:r w:rsidRPr="001C7C35">
              <w:t xml:space="preserve"> les résultats escomptés </w:t>
            </w:r>
            <w:r w:rsidR="006B7173" w:rsidRPr="001C7C35">
              <w:t>définis par</w:t>
            </w:r>
            <w:r w:rsidRPr="001C7C35">
              <w:t xml:space="preserve"> la CMDT</w:t>
            </w:r>
            <w:r w:rsidR="005A5E93" w:rsidRPr="001C7C35">
              <w:t>.</w:t>
            </w:r>
            <w:bookmarkEnd w:id="7"/>
          </w:p>
          <w:p w:rsidR="00A721F4" w:rsidRPr="001C7C35" w:rsidRDefault="00156BF6" w:rsidP="000073BC">
            <w:pPr>
              <w:rPr>
                <w:b/>
                <w:bCs/>
                <w:szCs w:val="24"/>
              </w:rPr>
            </w:pPr>
            <w:r w:rsidRPr="001C7C35">
              <w:rPr>
                <w:b/>
                <w:bCs/>
                <w:szCs w:val="24"/>
              </w:rPr>
              <w:t>Suite à donner:</w:t>
            </w:r>
          </w:p>
          <w:p w:rsidR="00A721F4" w:rsidRPr="001C7C35" w:rsidRDefault="005A5E93" w:rsidP="000073BC">
            <w:pPr>
              <w:rPr>
                <w:szCs w:val="24"/>
              </w:rPr>
            </w:pPr>
            <w:r w:rsidRPr="001C7C35">
              <w:t xml:space="preserve">Le GCDT est invité à prendre note de ce </w:t>
            </w:r>
            <w:r w:rsidR="0077767E" w:rsidRPr="001C7C35">
              <w:t>document</w:t>
            </w:r>
            <w:r w:rsidRPr="001C7C35">
              <w:t xml:space="preserve"> et à </w:t>
            </w:r>
            <w:r w:rsidR="00FF023A" w:rsidRPr="001C7C35">
              <w:t>donner les instructions</w:t>
            </w:r>
            <w:r w:rsidRPr="001C7C35">
              <w:t xml:space="preserve"> qu'il jugera nécessaires.</w:t>
            </w:r>
          </w:p>
          <w:p w:rsidR="00A721F4" w:rsidRPr="001C7C35" w:rsidRDefault="00156BF6" w:rsidP="000073BC">
            <w:pPr>
              <w:rPr>
                <w:b/>
                <w:bCs/>
                <w:szCs w:val="24"/>
              </w:rPr>
            </w:pPr>
            <w:r w:rsidRPr="001C7C35">
              <w:rPr>
                <w:b/>
                <w:bCs/>
                <w:szCs w:val="24"/>
              </w:rPr>
              <w:t>Références:</w:t>
            </w:r>
          </w:p>
          <w:p w:rsidR="00A721F4" w:rsidRPr="008662C3" w:rsidRDefault="005A5E93" w:rsidP="000073BC">
            <w:pPr>
              <w:spacing w:after="120"/>
            </w:pPr>
            <w:r w:rsidRPr="001C7C35">
              <w:t>Résolution 2 (Rév.Buenos</w:t>
            </w:r>
            <w:bookmarkStart w:id="8" w:name="_GoBack"/>
            <w:bookmarkEnd w:id="8"/>
            <w:r w:rsidRPr="001C7C35">
              <w:t xml:space="preserve"> Air</w:t>
            </w:r>
            <w:r w:rsidR="0002425E" w:rsidRPr="001C7C35">
              <w:t>es, 2017) et Résolution 1 (Rév.</w:t>
            </w:r>
            <w:r w:rsidRPr="008662C3">
              <w:t>Buenos Aires, 2017) de la CMDT</w:t>
            </w:r>
            <w:r w:rsidR="00CA71CE" w:rsidRPr="008662C3">
              <w:t>.</w:t>
            </w:r>
          </w:p>
        </w:tc>
      </w:tr>
    </w:tbl>
    <w:p w:rsidR="005A5E93" w:rsidRPr="008662C3" w:rsidRDefault="005A5E93" w:rsidP="000073BC">
      <w:pPr>
        <w:tabs>
          <w:tab w:val="clear" w:pos="794"/>
          <w:tab w:val="clear" w:pos="1191"/>
          <w:tab w:val="clear" w:pos="1588"/>
          <w:tab w:val="clear" w:pos="1985"/>
        </w:tabs>
        <w:overflowPunct/>
        <w:autoSpaceDE/>
        <w:autoSpaceDN/>
        <w:adjustRightInd/>
        <w:spacing w:before="0"/>
        <w:textAlignment w:val="auto"/>
      </w:pPr>
    </w:p>
    <w:p w:rsidR="005A5E93" w:rsidRPr="008662C3" w:rsidRDefault="005A5E93" w:rsidP="000073BC">
      <w:pPr>
        <w:tabs>
          <w:tab w:val="clear" w:pos="794"/>
          <w:tab w:val="clear" w:pos="1191"/>
          <w:tab w:val="clear" w:pos="1588"/>
          <w:tab w:val="clear" w:pos="1985"/>
        </w:tabs>
        <w:overflowPunct/>
        <w:autoSpaceDE/>
        <w:autoSpaceDN/>
        <w:adjustRightInd/>
        <w:spacing w:before="0"/>
        <w:textAlignment w:val="auto"/>
      </w:pPr>
      <w:r w:rsidRPr="008662C3">
        <w:br w:type="page"/>
      </w:r>
    </w:p>
    <w:p w:rsidR="00984929" w:rsidRPr="001C7C35" w:rsidRDefault="005A5E93" w:rsidP="000073BC">
      <w:pPr>
        <w:pStyle w:val="Heading1"/>
        <w:rPr>
          <w:sz w:val="24"/>
          <w:szCs w:val="24"/>
        </w:rPr>
      </w:pPr>
      <w:r w:rsidRPr="001C7C35">
        <w:rPr>
          <w:sz w:val="24"/>
          <w:szCs w:val="24"/>
        </w:rPr>
        <w:lastRenderedPageBreak/>
        <w:t>1</w:t>
      </w:r>
      <w:r w:rsidRPr="001C7C35">
        <w:rPr>
          <w:sz w:val="24"/>
          <w:szCs w:val="24"/>
        </w:rPr>
        <w:tab/>
      </w:r>
      <w:r w:rsidR="00B30FCC" w:rsidRPr="001C7C35">
        <w:rPr>
          <w:sz w:val="24"/>
          <w:szCs w:val="24"/>
        </w:rPr>
        <w:t>Principaux résultats</w:t>
      </w:r>
    </w:p>
    <w:p w:rsidR="0077767E" w:rsidRPr="001C7C35" w:rsidRDefault="005A5E93" w:rsidP="000073BC">
      <w:pPr>
        <w:spacing w:after="120"/>
        <w:rPr>
          <w:szCs w:val="24"/>
        </w:rPr>
      </w:pPr>
      <w:r w:rsidRPr="001C7C35">
        <w:rPr>
          <w:szCs w:val="24"/>
        </w:rPr>
        <w:t xml:space="preserve">La Commission d'études 2 (CE 2) </w:t>
      </w:r>
      <w:r w:rsidR="00421371" w:rsidRPr="001C7C35">
        <w:rPr>
          <w:szCs w:val="24"/>
        </w:rPr>
        <w:t xml:space="preserve">de l'UIT-D </w:t>
      </w:r>
      <w:r w:rsidRPr="001C7C35">
        <w:rPr>
          <w:szCs w:val="24"/>
        </w:rPr>
        <w:t xml:space="preserve">examine plusieurs </w:t>
      </w:r>
      <w:r w:rsidR="00421371" w:rsidRPr="001C7C35">
        <w:rPr>
          <w:szCs w:val="24"/>
        </w:rPr>
        <w:t>questions</w:t>
      </w:r>
      <w:r w:rsidRPr="001C7C35">
        <w:rPr>
          <w:szCs w:val="24"/>
        </w:rPr>
        <w:t xml:space="preserve">: les TIC au service de la création de villes et de sociétés intelligentes, les télécommunications/TIC au service de la cybersanté, l'instauration de la confiance et de la sécurité dans l'utilisation des TIC, les </w:t>
      </w:r>
      <w:r w:rsidRPr="001C7C35">
        <w:rPr>
          <w:color w:val="000000"/>
        </w:rPr>
        <w:t xml:space="preserve">tests de conformité et d'interopérabilité, la lutte contre la contrefaçon d'équipements TIC et le vol de dispositifs mobiles, l'utilisation des </w:t>
      </w:r>
      <w:r w:rsidRPr="001C7C35">
        <w:rPr>
          <w:szCs w:val="24"/>
        </w:rPr>
        <w:t xml:space="preserve">télécommunications/TIC pour </w:t>
      </w:r>
      <w:r w:rsidRPr="001C7C35">
        <w:rPr>
          <w:color w:val="000000"/>
        </w:rPr>
        <w:t>l'atténuation des effets des changements climatiques dans les pays en développement, et pour la préparation en prévision des catastrophes, l'atténuation de leurs effets et les opérations de secours, ainsi que l'exposition des personnes aux champs électromagnétiques et l'élimination en toute sécurité des déchets d'équipements électroniques.</w:t>
      </w:r>
    </w:p>
    <w:p w:rsidR="005A5E93" w:rsidRPr="001C7C35" w:rsidRDefault="005A5E93" w:rsidP="000073BC">
      <w:pPr>
        <w:spacing w:after="120"/>
        <w:rPr>
          <w:szCs w:val="24"/>
        </w:rPr>
      </w:pPr>
      <w:r w:rsidRPr="001C7C35">
        <w:rPr>
          <w:szCs w:val="24"/>
        </w:rPr>
        <w:t xml:space="preserve">Les principaux </w:t>
      </w:r>
      <w:r w:rsidR="00AA243F" w:rsidRPr="001C7C35">
        <w:rPr>
          <w:szCs w:val="24"/>
        </w:rPr>
        <w:t>points à retenir</w:t>
      </w:r>
      <w:r w:rsidRPr="001C7C35">
        <w:rPr>
          <w:szCs w:val="24"/>
        </w:rPr>
        <w:t xml:space="preserve"> de la première réunion de la CE </w:t>
      </w:r>
      <w:r w:rsidR="00302250" w:rsidRPr="001C7C35">
        <w:rPr>
          <w:szCs w:val="24"/>
        </w:rPr>
        <w:t>2 pour la période d'études 2018</w:t>
      </w:r>
      <w:r w:rsidR="00302250" w:rsidRPr="001C7C35">
        <w:rPr>
          <w:szCs w:val="24"/>
        </w:rPr>
        <w:noBreakHyphen/>
      </w:r>
      <w:r w:rsidRPr="001C7C35">
        <w:rPr>
          <w:szCs w:val="24"/>
        </w:rPr>
        <w:t>2021 sont les suivants:</w:t>
      </w:r>
    </w:p>
    <w:p w:rsidR="005A5E93" w:rsidRPr="001C7C35" w:rsidRDefault="005A5E93" w:rsidP="000073BC">
      <w:pPr>
        <w:pStyle w:val="enumlev1"/>
      </w:pPr>
      <w:r w:rsidRPr="001C7C35">
        <w:t>–</w:t>
      </w:r>
      <w:r w:rsidRPr="001C7C35">
        <w:tab/>
        <w:t xml:space="preserve">125 participants de </w:t>
      </w:r>
      <w:r w:rsidR="006E5A3B" w:rsidRPr="001C7C35">
        <w:t xml:space="preserve">57 </w:t>
      </w:r>
      <w:r w:rsidRPr="001C7C35">
        <w:t>pays</w:t>
      </w:r>
      <w:r w:rsidR="00AA243F" w:rsidRPr="001C7C35">
        <w:t xml:space="preserve"> ont pris part à la réunion</w:t>
      </w:r>
      <w:r w:rsidR="00BA5E8B" w:rsidRPr="001C7C35">
        <w:t>;</w:t>
      </w:r>
    </w:p>
    <w:p w:rsidR="005A5E93" w:rsidRPr="001C7C35" w:rsidRDefault="005A5E93" w:rsidP="000073BC">
      <w:pPr>
        <w:pStyle w:val="enumlev1"/>
      </w:pPr>
      <w:r w:rsidRPr="001C7C35">
        <w:t>–</w:t>
      </w:r>
      <w:r w:rsidRPr="001C7C35">
        <w:tab/>
        <w:t xml:space="preserve">12 Rapporteurs/Corapporteurs et 47 Vice-Rapporteurs </w:t>
      </w:r>
      <w:r w:rsidR="00F42BF1" w:rsidRPr="001C7C35">
        <w:t xml:space="preserve">ont été nommés </w:t>
      </w:r>
      <w:r w:rsidRPr="001C7C35">
        <w:t>pour diriger les travaux menés au titre des Questions à l'étude;</w:t>
      </w:r>
    </w:p>
    <w:p w:rsidR="005A5E93" w:rsidRPr="001C7C35" w:rsidRDefault="005A5E93" w:rsidP="000073BC">
      <w:pPr>
        <w:pStyle w:val="enumlev1"/>
      </w:pPr>
      <w:r w:rsidRPr="001C7C35">
        <w:t>–</w:t>
      </w:r>
      <w:r w:rsidRPr="001C7C35">
        <w:tab/>
      </w:r>
      <w:r w:rsidR="00796E18" w:rsidRPr="001C7C35">
        <w:t>99</w:t>
      </w:r>
      <w:r w:rsidRPr="001C7C35">
        <w:t xml:space="preserve"> contributions </w:t>
      </w:r>
      <w:r w:rsidR="00F42BF1" w:rsidRPr="001C7C35">
        <w:t xml:space="preserve">ont été soumises </w:t>
      </w:r>
      <w:r w:rsidRPr="001C7C35">
        <w:t>pour débuter les t</w:t>
      </w:r>
      <w:r w:rsidR="00302250" w:rsidRPr="001C7C35">
        <w:t>ravaux pour la période d'études </w:t>
      </w:r>
      <w:r w:rsidRPr="001C7C35">
        <w:t>2018-2021;</w:t>
      </w:r>
    </w:p>
    <w:p w:rsidR="005A5E93" w:rsidRPr="001C7C35" w:rsidRDefault="005A5E93" w:rsidP="000073BC">
      <w:pPr>
        <w:pStyle w:val="enumlev1"/>
      </w:pPr>
      <w:r w:rsidRPr="001C7C35">
        <w:t>–</w:t>
      </w:r>
      <w:r w:rsidRPr="001C7C35">
        <w:tab/>
        <w:t xml:space="preserve">40 notes de liaison ont été reçues et 18 </w:t>
      </w:r>
      <w:r w:rsidR="00F42BF1" w:rsidRPr="001C7C35">
        <w:t>ont été adoptées et envoyées</w:t>
      </w:r>
      <w:r w:rsidRPr="001C7C35">
        <w:t>;</w:t>
      </w:r>
    </w:p>
    <w:p w:rsidR="005A5E93" w:rsidRPr="001C7C35" w:rsidRDefault="005A5E93" w:rsidP="000073BC">
      <w:pPr>
        <w:pStyle w:val="enumlev1"/>
      </w:pPr>
      <w:r w:rsidRPr="001C7C35">
        <w:t>–</w:t>
      </w:r>
      <w:r w:rsidRPr="001C7C35">
        <w:tab/>
      </w:r>
      <w:bookmarkStart w:id="9" w:name="lt_pId034"/>
      <w:r w:rsidR="0077767E" w:rsidRPr="001C7C35">
        <w:t>des projets de p</w:t>
      </w:r>
      <w:r w:rsidR="00F42BF1" w:rsidRPr="001C7C35">
        <w:t>rogramme</w:t>
      </w:r>
      <w:r w:rsidR="0077767E" w:rsidRPr="001C7C35">
        <w:t xml:space="preserve"> de travail ont été approuvés. </w:t>
      </w:r>
      <w:bookmarkStart w:id="10" w:name="lt_pId035"/>
      <w:bookmarkEnd w:id="9"/>
      <w:r w:rsidR="00EF56A9" w:rsidRPr="001C7C35">
        <w:rPr>
          <w:bCs/>
          <w:szCs w:val="24"/>
        </w:rPr>
        <w:t xml:space="preserve">Des </w:t>
      </w:r>
      <w:r w:rsidR="00F42BF1" w:rsidRPr="001C7C35">
        <w:rPr>
          <w:bCs/>
          <w:szCs w:val="24"/>
        </w:rPr>
        <w:t xml:space="preserve">ébauches initiales/projets de table des matières pour les résultats escomptés pour toutes les Questions et des listes détaillant la répartition des responsabilités </w:t>
      </w:r>
      <w:r w:rsidR="00AF34B8" w:rsidRPr="001C7C35">
        <w:rPr>
          <w:bCs/>
          <w:szCs w:val="24"/>
        </w:rPr>
        <w:t>ont été préparés;</w:t>
      </w:r>
      <w:bookmarkEnd w:id="10"/>
    </w:p>
    <w:p w:rsidR="005A5E93" w:rsidRPr="001C7C35" w:rsidRDefault="005A5E93" w:rsidP="000073BC">
      <w:pPr>
        <w:pStyle w:val="enumlev1"/>
        <w:rPr>
          <w:bCs/>
          <w:szCs w:val="24"/>
        </w:rPr>
      </w:pPr>
      <w:r w:rsidRPr="001C7C35">
        <w:t>–</w:t>
      </w:r>
      <w:r w:rsidRPr="001C7C35">
        <w:tab/>
      </w:r>
      <w:bookmarkStart w:id="11" w:name="lt_pId036"/>
      <w:r w:rsidR="00AF34B8" w:rsidRPr="001C7C35">
        <w:t>une table ronde sur le thème des systèmes d'alerte avancée s'est tenue le 8 mai 2018, en parallèle à la réunion sur la Question 5/2 de la CE 2 de l'UIT-D</w:t>
      </w:r>
      <w:bookmarkEnd w:id="11"/>
      <w:r w:rsidR="00AF34B8" w:rsidRPr="001C7C35">
        <w:t>.</w:t>
      </w:r>
    </w:p>
    <w:p w:rsidR="00137537" w:rsidRPr="001C7C35" w:rsidRDefault="00137537" w:rsidP="000073BC">
      <w:pPr>
        <w:spacing w:after="120"/>
        <w:rPr>
          <w:szCs w:val="24"/>
        </w:rPr>
      </w:pPr>
      <w:r w:rsidRPr="001C7C35">
        <w:rPr>
          <w:szCs w:val="24"/>
        </w:rPr>
        <w:t>Les principaux points à retenir de la deuxième réunion de la CE 2 pour la période d'études 2018</w:t>
      </w:r>
      <w:r w:rsidRPr="001C7C35">
        <w:rPr>
          <w:szCs w:val="24"/>
        </w:rPr>
        <w:noBreakHyphen/>
        <w:t>2021 sont les suivants:</w:t>
      </w:r>
    </w:p>
    <w:p w:rsidR="00137537" w:rsidRPr="001C7C35" w:rsidRDefault="00137537" w:rsidP="000073BC">
      <w:pPr>
        <w:pStyle w:val="enumlev1"/>
      </w:pPr>
      <w:r w:rsidRPr="001C7C35">
        <w:t>–</w:t>
      </w:r>
      <w:r w:rsidRPr="001C7C35">
        <w:tab/>
        <w:t>133 participants de 49 pays ont pris part à la réunion</w:t>
      </w:r>
      <w:r w:rsidR="00B35442" w:rsidRPr="001C7C35">
        <w:t>.</w:t>
      </w:r>
    </w:p>
    <w:p w:rsidR="00137537" w:rsidRPr="001C7C35" w:rsidRDefault="00137537" w:rsidP="000073BC">
      <w:pPr>
        <w:pStyle w:val="enumlev1"/>
      </w:pPr>
      <w:r w:rsidRPr="001C7C35">
        <w:t>–</w:t>
      </w:r>
      <w:r w:rsidRPr="001C7C35">
        <w:tab/>
        <w:t xml:space="preserve">2 </w:t>
      </w:r>
      <w:r w:rsidR="00B35442" w:rsidRPr="001C7C35">
        <w:t xml:space="preserve">nouveaux Corapporteurs et 7 </w:t>
      </w:r>
      <w:r w:rsidRPr="001C7C35">
        <w:t>Vice-Rapporteurs ont été nommés pour appuyer les travaux menés au titre des Questions à l'étude</w:t>
      </w:r>
      <w:r w:rsidR="00B35442" w:rsidRPr="001C7C35">
        <w:t>.</w:t>
      </w:r>
    </w:p>
    <w:p w:rsidR="00137537" w:rsidRPr="001C7C35" w:rsidRDefault="00B35442" w:rsidP="000073BC">
      <w:pPr>
        <w:pStyle w:val="enumlev1"/>
      </w:pPr>
      <w:r w:rsidRPr="001C7C35">
        <w:t>–</w:t>
      </w:r>
      <w:r w:rsidRPr="001C7C35">
        <w:tab/>
      </w:r>
      <w:r w:rsidR="00137537" w:rsidRPr="001C7C35">
        <w:t>101 contributions</w:t>
      </w:r>
      <w:r w:rsidR="001F1705" w:rsidRPr="001C7C35">
        <w:t xml:space="preserve"> ont été soumises pour faire avancer les travaux, </w:t>
      </w:r>
      <w:r w:rsidRPr="001C7C35">
        <w:t>au nombre desquelles</w:t>
      </w:r>
      <w:r w:rsidR="001F1705" w:rsidRPr="001C7C35">
        <w:t xml:space="preserve"> des projets de chapitres pour les rappor</w:t>
      </w:r>
      <w:r w:rsidRPr="001C7C35">
        <w:t>ts finals et d</w:t>
      </w:r>
      <w:r w:rsidR="001F1705" w:rsidRPr="001C7C35">
        <w:t>es produits annuels</w:t>
      </w:r>
      <w:r w:rsidRPr="001C7C35">
        <w:t>.</w:t>
      </w:r>
    </w:p>
    <w:p w:rsidR="00137537" w:rsidRPr="001C7C35" w:rsidRDefault="00B35442" w:rsidP="000073BC">
      <w:pPr>
        <w:pStyle w:val="enumlev1"/>
      </w:pPr>
      <w:r w:rsidRPr="001C7C35">
        <w:t>–</w:t>
      </w:r>
      <w:r w:rsidRPr="001C7C35">
        <w:tab/>
      </w:r>
      <w:r w:rsidR="00137537" w:rsidRPr="001C7C35">
        <w:t xml:space="preserve">27 </w:t>
      </w:r>
      <w:r w:rsidR="001F1705" w:rsidRPr="001C7C35">
        <w:t xml:space="preserve">notes de liaison ont été reçues et </w:t>
      </w:r>
      <w:r w:rsidR="00137537" w:rsidRPr="001C7C35">
        <w:t xml:space="preserve">15 </w:t>
      </w:r>
      <w:r w:rsidR="001F1705" w:rsidRPr="001C7C35">
        <w:t>ont été adoptées</w:t>
      </w:r>
      <w:r w:rsidR="00137537" w:rsidRPr="001C7C35">
        <w:t>.</w:t>
      </w:r>
    </w:p>
    <w:p w:rsidR="001F1705" w:rsidRPr="001C7C35" w:rsidRDefault="00B35442" w:rsidP="000073BC">
      <w:pPr>
        <w:pStyle w:val="enumlev1"/>
      </w:pPr>
      <w:r w:rsidRPr="001C7C35">
        <w:t>–</w:t>
      </w:r>
      <w:r w:rsidRPr="001C7C35">
        <w:tab/>
      </w:r>
      <w:r w:rsidR="001F1705" w:rsidRPr="001C7C35">
        <w:t>Une table ronde sur le thème</w:t>
      </w:r>
      <w:r w:rsidRPr="001C7C35">
        <w:t xml:space="preserve"> "</w:t>
      </w:r>
      <w:r w:rsidR="001F1705" w:rsidRPr="001C7C35">
        <w:t>Créer des sociétés intelligentes selon une approche globale</w:t>
      </w:r>
      <w:r w:rsidRPr="001C7C35">
        <w:t>"</w:t>
      </w:r>
      <w:r w:rsidR="00137537" w:rsidRPr="001C7C35">
        <w:t xml:space="preserve"> </w:t>
      </w:r>
      <w:r w:rsidR="001F1705" w:rsidRPr="001C7C35">
        <w:t>a eu lieu en vue d'examiner les thèmes abordés dans une nouveau produit annuel soumis par le Groupe du Rapporteur pour la Question 1/2 de l'UIT-D. Il a été décidé de publier ce produit</w:t>
      </w:r>
      <w:r w:rsidR="00762C49" w:rsidRPr="001C7C35">
        <w:t xml:space="preserve"> en tant que document du Président de la CE 2 (c'est-à-dire qu'il ne sera pas nécessaire d'être titulaire d'un compte TIES pour pouvoir y accéder)</w:t>
      </w:r>
      <w:r w:rsidRPr="001C7C35">
        <w:t>.</w:t>
      </w:r>
      <w:r w:rsidR="001F1705" w:rsidRPr="001C7C35">
        <w:t xml:space="preserve"> </w:t>
      </w:r>
    </w:p>
    <w:p w:rsidR="00762C49" w:rsidRPr="001C7C35" w:rsidRDefault="00B35442" w:rsidP="000073BC">
      <w:pPr>
        <w:pStyle w:val="enumlev1"/>
      </w:pPr>
      <w:r w:rsidRPr="001C7C35">
        <w:t>–</w:t>
      </w:r>
      <w:r w:rsidRPr="001C7C35">
        <w:tab/>
      </w:r>
      <w:r w:rsidR="00762C49" w:rsidRPr="001C7C35">
        <w:t xml:space="preserve">La mise en correspondance entre les Questions confiées à l'UIT-D ainsi qu'entre ces Questions et celles confiées aux autres Secteurs a été améliorée et </w:t>
      </w:r>
      <w:r w:rsidR="00A16934" w:rsidRPr="001C7C35">
        <w:t>consolidée</w:t>
      </w:r>
      <w:r w:rsidRPr="001C7C35">
        <w:t>.</w:t>
      </w:r>
    </w:p>
    <w:p w:rsidR="00A16934" w:rsidRPr="001C7C35" w:rsidRDefault="00B35442" w:rsidP="000073BC">
      <w:pPr>
        <w:pStyle w:val="enumlev1"/>
      </w:pPr>
      <w:r w:rsidRPr="001C7C35">
        <w:t>–</w:t>
      </w:r>
      <w:r w:rsidRPr="001C7C35">
        <w:tab/>
      </w:r>
      <w:r w:rsidR="00A16934" w:rsidRPr="001C7C35">
        <w:t xml:space="preserve">On a commencé à </w:t>
      </w:r>
      <w:r w:rsidRPr="001C7C35">
        <w:t>examiner</w:t>
      </w:r>
      <w:r w:rsidR="00A16934" w:rsidRPr="001C7C35">
        <w:t xml:space="preserve"> les liens </w:t>
      </w:r>
      <w:r w:rsidRPr="001C7C35">
        <w:t>qu'il pourrait y avoir</w:t>
      </w:r>
      <w:r w:rsidR="00A16934" w:rsidRPr="001C7C35">
        <w:t xml:space="preserve"> entre les Questions confiées à l'UIT et les projets de l'UIT, les activités de l'UIT en matière de renforcement des capacités et les Prix du SMSI 2018 et 2019</w:t>
      </w:r>
      <w:r w:rsidRPr="001C7C35">
        <w:t>.</w:t>
      </w:r>
    </w:p>
    <w:p w:rsidR="00A16934" w:rsidRPr="001C7C35" w:rsidRDefault="00B35442" w:rsidP="000073BC">
      <w:pPr>
        <w:pStyle w:val="enumlev1"/>
      </w:pPr>
      <w:r w:rsidRPr="001C7C35">
        <w:lastRenderedPageBreak/>
        <w:t>–</w:t>
      </w:r>
      <w:r w:rsidRPr="001C7C35">
        <w:tab/>
      </w:r>
      <w:r w:rsidR="00A16934" w:rsidRPr="001C7C35">
        <w:t xml:space="preserve">Des progrès ont été accomplis concernant la mise en </w:t>
      </w:r>
      <w:r w:rsidR="006C65DA" w:rsidRPr="001C7C35">
        <w:t>œ</w:t>
      </w:r>
      <w:r w:rsidR="00A16934" w:rsidRPr="001C7C35">
        <w:t xml:space="preserve">uvre de la Résolution </w:t>
      </w:r>
      <w:r w:rsidRPr="001C7C35">
        <w:t>131 (Rév. Dubaï, </w:t>
      </w:r>
      <w:r w:rsidR="00A16934" w:rsidRPr="001C7C35">
        <w:t>2018) de la Conférence de plénipotentiaires de l'UIT</w:t>
      </w:r>
      <w:r w:rsidRPr="001C7C35">
        <w:t xml:space="preserve">, avec l'identification de </w:t>
      </w:r>
      <w:r w:rsidR="00A16934" w:rsidRPr="001C7C35">
        <w:t xml:space="preserve">futures activités que mènera la CE 2 sur des thèmes relatifs aux statistiques et </w:t>
      </w:r>
      <w:r w:rsidRPr="001C7C35">
        <w:t>la désignation d'</w:t>
      </w:r>
      <w:r w:rsidR="00A16934" w:rsidRPr="001C7C35">
        <w:t xml:space="preserve">un Vice-Président de la CE 2 de l'UIT-D </w:t>
      </w:r>
      <w:r w:rsidRPr="001C7C35">
        <w:t>pour coordonner</w:t>
      </w:r>
      <w:r w:rsidR="006E5A3B" w:rsidRPr="001C7C35">
        <w:t xml:space="preserve"> les travaux menés sur les Questions pertinentes</w:t>
      </w:r>
      <w:r w:rsidRPr="001C7C35">
        <w:t>.</w:t>
      </w:r>
    </w:p>
    <w:p w:rsidR="006E5A3B" w:rsidRPr="001C7C35" w:rsidRDefault="00B35442" w:rsidP="000073BC">
      <w:pPr>
        <w:pStyle w:val="enumlev1"/>
      </w:pPr>
      <w:r w:rsidRPr="001C7C35">
        <w:t>–</w:t>
      </w:r>
      <w:r w:rsidRPr="001C7C35">
        <w:tab/>
      </w:r>
      <w:r w:rsidR="006E5A3B" w:rsidRPr="001C7C35">
        <w:t xml:space="preserve">Des progrès ont été accomplis concernant la mise en </w:t>
      </w:r>
      <w:r w:rsidR="006C65DA" w:rsidRPr="001C7C35">
        <w:t>œ</w:t>
      </w:r>
      <w:r w:rsidR="006E5A3B" w:rsidRPr="001C7C35">
        <w:t xml:space="preserve">uvre de la Résolution </w:t>
      </w:r>
      <w:r w:rsidR="00137537" w:rsidRPr="001C7C35">
        <w:t>9</w:t>
      </w:r>
      <w:r w:rsidRPr="001C7C35">
        <w:t xml:space="preserve"> de la </w:t>
      </w:r>
      <w:r w:rsidR="006E5A3B" w:rsidRPr="001C7C35">
        <w:t>CMDT, avec l'identification des Questions pertinentes et la désignation de points de contact correspondants et d'un Vice-Président de la CE 2 de l'UIT-D pour coordonner les travaux.</w:t>
      </w:r>
    </w:p>
    <w:p w:rsidR="005A5E93" w:rsidRPr="001C7C35" w:rsidRDefault="005A5E93" w:rsidP="000073BC">
      <w:pPr>
        <w:rPr>
          <w:bCs/>
        </w:rPr>
      </w:pPr>
      <w:r w:rsidRPr="001C7C35">
        <w:t xml:space="preserve">Les principaux </w:t>
      </w:r>
      <w:r w:rsidR="00F42BF1" w:rsidRPr="001C7C35">
        <w:t>points à retenir</w:t>
      </w:r>
      <w:r w:rsidRPr="001C7C35">
        <w:t xml:space="preserve"> de la première </w:t>
      </w:r>
      <w:r w:rsidR="00AF34B8" w:rsidRPr="001C7C35">
        <w:t xml:space="preserve">série de </w:t>
      </w:r>
      <w:r w:rsidRPr="001C7C35">
        <w:t>réunion</w:t>
      </w:r>
      <w:r w:rsidR="00AF34B8" w:rsidRPr="001C7C35">
        <w:t>s</w:t>
      </w:r>
      <w:r w:rsidRPr="001C7C35">
        <w:t xml:space="preserve"> </w:t>
      </w:r>
      <w:r w:rsidR="00302250" w:rsidRPr="001C7C35">
        <w:t>des Groupes du Rapporteur de la </w:t>
      </w:r>
      <w:r w:rsidR="00AF34B8" w:rsidRPr="001C7C35">
        <w:t xml:space="preserve">CE 2 sont </w:t>
      </w:r>
      <w:r w:rsidR="00F42BF1" w:rsidRPr="001C7C35">
        <w:t>les suivants</w:t>
      </w:r>
      <w:r w:rsidRPr="001C7C35">
        <w:t>:</w:t>
      </w:r>
    </w:p>
    <w:p w:rsidR="005A5E93" w:rsidRPr="001C7C35" w:rsidRDefault="005A5E93" w:rsidP="000073BC">
      <w:pPr>
        <w:pStyle w:val="enumlev1"/>
        <w:rPr>
          <w:bCs/>
          <w:szCs w:val="24"/>
        </w:rPr>
      </w:pPr>
      <w:r w:rsidRPr="001C7C35">
        <w:t>–</w:t>
      </w:r>
      <w:r w:rsidRPr="001C7C35">
        <w:tab/>
      </w:r>
      <w:bookmarkStart w:id="12" w:name="lt_pId038"/>
      <w:r w:rsidRPr="001C7C35">
        <w:rPr>
          <w:bCs/>
          <w:szCs w:val="24"/>
        </w:rPr>
        <w:t>147 participants</w:t>
      </w:r>
      <w:r w:rsidR="00AF34B8" w:rsidRPr="001C7C35">
        <w:rPr>
          <w:bCs/>
          <w:szCs w:val="24"/>
        </w:rPr>
        <w:t xml:space="preserve"> issus de 50 pays ont participé aux réunions des Groupes du Rapporteur ainsi qu'aux s</w:t>
      </w:r>
      <w:r w:rsidR="00F15676" w:rsidRPr="001C7C35">
        <w:rPr>
          <w:bCs/>
          <w:szCs w:val="24"/>
        </w:rPr>
        <w:t>ession</w:t>
      </w:r>
      <w:r w:rsidR="00AF34B8" w:rsidRPr="001C7C35">
        <w:rPr>
          <w:bCs/>
          <w:szCs w:val="24"/>
        </w:rPr>
        <w:t xml:space="preserve">s/ateliers associés </w:t>
      </w:r>
      <w:r w:rsidR="00F15676" w:rsidRPr="001C7C35">
        <w:rPr>
          <w:bCs/>
          <w:szCs w:val="24"/>
        </w:rPr>
        <w:t xml:space="preserve">organisés </w:t>
      </w:r>
      <w:r w:rsidR="00AF34B8" w:rsidRPr="001C7C35">
        <w:rPr>
          <w:bCs/>
          <w:szCs w:val="24"/>
        </w:rPr>
        <w:t>au cou</w:t>
      </w:r>
      <w:r w:rsidR="00F15676" w:rsidRPr="001C7C35">
        <w:rPr>
          <w:bCs/>
          <w:szCs w:val="24"/>
        </w:rPr>
        <w:t>rs des deux semaines de réunion</w:t>
      </w:r>
      <w:r w:rsidRPr="001C7C35">
        <w:rPr>
          <w:bCs/>
          <w:szCs w:val="24"/>
        </w:rPr>
        <w:t>;</w:t>
      </w:r>
      <w:bookmarkEnd w:id="12"/>
    </w:p>
    <w:p w:rsidR="005A5E93" w:rsidRPr="001C7C35" w:rsidRDefault="005A5E93" w:rsidP="000073BC">
      <w:pPr>
        <w:pStyle w:val="enumlev1"/>
        <w:rPr>
          <w:bCs/>
          <w:szCs w:val="24"/>
        </w:rPr>
      </w:pPr>
      <w:r w:rsidRPr="001C7C35">
        <w:t>–</w:t>
      </w:r>
      <w:r w:rsidRPr="001C7C35">
        <w:tab/>
      </w:r>
      <w:bookmarkStart w:id="13" w:name="lt_pId039"/>
      <w:r w:rsidRPr="001C7C35">
        <w:rPr>
          <w:bCs/>
          <w:szCs w:val="24"/>
        </w:rPr>
        <w:t xml:space="preserve">95 contributions </w:t>
      </w:r>
      <w:r w:rsidR="00F15676" w:rsidRPr="001C7C35">
        <w:rPr>
          <w:bCs/>
          <w:szCs w:val="24"/>
        </w:rPr>
        <w:t>ont été soumises en vue de faire avancer</w:t>
      </w:r>
      <w:r w:rsidR="00AF34B8" w:rsidRPr="001C7C35">
        <w:rPr>
          <w:bCs/>
          <w:szCs w:val="24"/>
        </w:rPr>
        <w:t xml:space="preserve"> les travaux et </w:t>
      </w:r>
      <w:r w:rsidR="00F15676" w:rsidRPr="001C7C35">
        <w:rPr>
          <w:bCs/>
          <w:szCs w:val="24"/>
        </w:rPr>
        <w:t>la rédaction des documents attenus</w:t>
      </w:r>
      <w:r w:rsidR="00AF34B8" w:rsidRPr="001C7C35">
        <w:rPr>
          <w:bCs/>
          <w:szCs w:val="24"/>
        </w:rPr>
        <w:t>;</w:t>
      </w:r>
      <w:bookmarkEnd w:id="13"/>
    </w:p>
    <w:p w:rsidR="005A5E93" w:rsidRPr="001C7C35" w:rsidRDefault="005A5E93" w:rsidP="000073BC">
      <w:pPr>
        <w:pStyle w:val="enumlev1"/>
        <w:rPr>
          <w:bCs/>
          <w:szCs w:val="24"/>
        </w:rPr>
      </w:pPr>
      <w:r w:rsidRPr="001C7C35">
        <w:t>–</w:t>
      </w:r>
      <w:r w:rsidRPr="001C7C35">
        <w:tab/>
        <w:t xml:space="preserve">23 notes de liaison ont été reçues et 20 notes de liaison </w:t>
      </w:r>
      <w:r w:rsidR="00AF34B8" w:rsidRPr="001C7C35">
        <w:t>ont été</w:t>
      </w:r>
      <w:r w:rsidRPr="001C7C35">
        <w:t xml:space="preserve"> </w:t>
      </w:r>
      <w:r w:rsidR="00F15676" w:rsidRPr="001C7C35">
        <w:t xml:space="preserve">élaborées et </w:t>
      </w:r>
      <w:r w:rsidRPr="001C7C35">
        <w:t xml:space="preserve">envoyées </w:t>
      </w:r>
      <w:r w:rsidR="00AF34B8" w:rsidRPr="001C7C35">
        <w:t>à l'issue des réunions</w:t>
      </w:r>
      <w:r w:rsidRPr="001C7C35">
        <w:t>;</w:t>
      </w:r>
    </w:p>
    <w:p w:rsidR="005A5E93" w:rsidRPr="001C7C35" w:rsidRDefault="005A5E93" w:rsidP="000073BC">
      <w:pPr>
        <w:pStyle w:val="enumlev1"/>
      </w:pPr>
      <w:r w:rsidRPr="001C7C35">
        <w:t>–</w:t>
      </w:r>
      <w:r w:rsidRPr="001C7C35">
        <w:tab/>
      </w:r>
      <w:bookmarkStart w:id="14" w:name="lt_pId041"/>
      <w:r w:rsidR="0004236D" w:rsidRPr="001C7C35">
        <w:t xml:space="preserve">les participants aux réunions ont </w:t>
      </w:r>
      <w:r w:rsidR="00F15676" w:rsidRPr="001C7C35">
        <w:t>défini plus précisément la structure générale des produits relatifs aux Questions confiées à la CE 2 et ont poursuivi le travail de rédaction et les échanges concernant les chapitres des rapports, les lignes directrices et les études de cas</w:t>
      </w:r>
      <w:r w:rsidRPr="001C7C35">
        <w:rPr>
          <w:bCs/>
          <w:szCs w:val="24"/>
        </w:rPr>
        <w:t>;</w:t>
      </w:r>
      <w:bookmarkEnd w:id="14"/>
    </w:p>
    <w:p w:rsidR="005A5E93" w:rsidRPr="001C7C35" w:rsidRDefault="005A5E93" w:rsidP="000073BC">
      <w:pPr>
        <w:pStyle w:val="enumlev1"/>
      </w:pPr>
      <w:r w:rsidRPr="001C7C35">
        <w:t>–</w:t>
      </w:r>
      <w:r w:rsidRPr="001C7C35">
        <w:tab/>
      </w:r>
      <w:bookmarkStart w:id="15" w:name="lt_pId042"/>
      <w:r w:rsidR="0051529E" w:rsidRPr="001C7C35">
        <w:rPr>
          <w:bCs/>
          <w:szCs w:val="24"/>
        </w:rPr>
        <w:t>sept s</w:t>
      </w:r>
      <w:r w:rsidR="00F162EA" w:rsidRPr="001C7C35">
        <w:rPr>
          <w:bCs/>
          <w:szCs w:val="24"/>
        </w:rPr>
        <w:t>essions</w:t>
      </w:r>
      <w:r w:rsidR="0051529E" w:rsidRPr="001C7C35">
        <w:rPr>
          <w:bCs/>
          <w:szCs w:val="24"/>
        </w:rPr>
        <w:t xml:space="preserve">/ateliers </w:t>
      </w:r>
      <w:r w:rsidR="00F162EA" w:rsidRPr="001C7C35">
        <w:rPr>
          <w:bCs/>
          <w:szCs w:val="24"/>
        </w:rPr>
        <w:t>ayant trait aux</w:t>
      </w:r>
      <w:r w:rsidR="0051529E" w:rsidRPr="001C7C35">
        <w:rPr>
          <w:bCs/>
          <w:szCs w:val="24"/>
        </w:rPr>
        <w:t xml:space="preserve"> Questions </w:t>
      </w:r>
      <w:r w:rsidR="00F162EA" w:rsidRPr="001C7C35">
        <w:rPr>
          <w:bCs/>
          <w:szCs w:val="24"/>
        </w:rPr>
        <w:t>confiées à</w:t>
      </w:r>
      <w:r w:rsidR="0051529E" w:rsidRPr="001C7C35">
        <w:rPr>
          <w:bCs/>
          <w:szCs w:val="24"/>
        </w:rPr>
        <w:t xml:space="preserve"> la CE 2 ont été organisés en parallèle aux réunions des Groupes du Rapporteur de la CE 2, afin </w:t>
      </w:r>
      <w:r w:rsidR="00F162EA" w:rsidRPr="001C7C35">
        <w:rPr>
          <w:bCs/>
          <w:szCs w:val="24"/>
        </w:rPr>
        <w:t>de mieux faire connaître les</w:t>
      </w:r>
      <w:r w:rsidR="0051529E" w:rsidRPr="001C7C35">
        <w:rPr>
          <w:bCs/>
          <w:szCs w:val="24"/>
        </w:rPr>
        <w:t xml:space="preserve"> thèmes traités </w:t>
      </w:r>
      <w:r w:rsidR="00F162EA" w:rsidRPr="001C7C35">
        <w:rPr>
          <w:bCs/>
          <w:szCs w:val="24"/>
        </w:rPr>
        <w:t>dans le cadre des</w:t>
      </w:r>
      <w:r w:rsidR="0051529E" w:rsidRPr="001C7C35">
        <w:rPr>
          <w:bCs/>
          <w:szCs w:val="24"/>
        </w:rPr>
        <w:t xml:space="preserve"> Questions et d'encourager l'échange de connaissances </w:t>
      </w:r>
      <w:r w:rsidR="00F162EA" w:rsidRPr="001C7C35">
        <w:rPr>
          <w:bCs/>
          <w:szCs w:val="24"/>
        </w:rPr>
        <w:t>avec les autres Secteurs et</w:t>
      </w:r>
      <w:r w:rsidR="0051529E" w:rsidRPr="001C7C35">
        <w:rPr>
          <w:bCs/>
          <w:szCs w:val="24"/>
        </w:rPr>
        <w:t xml:space="preserve"> organisations;</w:t>
      </w:r>
      <w:r w:rsidRPr="001C7C35">
        <w:rPr>
          <w:bCs/>
          <w:szCs w:val="24"/>
        </w:rPr>
        <w:t xml:space="preserve"> </w:t>
      </w:r>
      <w:bookmarkEnd w:id="15"/>
    </w:p>
    <w:p w:rsidR="005A5E93" w:rsidRPr="001C7C35" w:rsidRDefault="005A5E93" w:rsidP="000073BC">
      <w:pPr>
        <w:pStyle w:val="enumlev1"/>
      </w:pPr>
      <w:r w:rsidRPr="001C7C35">
        <w:t>–</w:t>
      </w:r>
      <w:r w:rsidRPr="001C7C35">
        <w:tab/>
      </w:r>
      <w:bookmarkStart w:id="16" w:name="lt_pId043"/>
      <w:r w:rsidR="0051529E" w:rsidRPr="001C7C35">
        <w:t xml:space="preserve">une exposition </w:t>
      </w:r>
      <w:r w:rsidR="00F162EA" w:rsidRPr="001C7C35">
        <w:t>avec des</w:t>
      </w:r>
      <w:r w:rsidR="0051529E" w:rsidRPr="001C7C35">
        <w:t xml:space="preserve"> présentations </w:t>
      </w:r>
      <w:r w:rsidR="00F162EA" w:rsidRPr="001C7C35">
        <w:t>sponsorisées</w:t>
      </w:r>
      <w:r w:rsidR="0051529E" w:rsidRPr="001C7C35">
        <w:t xml:space="preserve"> </w:t>
      </w:r>
      <w:r w:rsidR="00F162EA" w:rsidRPr="001C7C35">
        <w:t>a eu lieu</w:t>
      </w:r>
      <w:r w:rsidR="0051529E" w:rsidRPr="001C7C35">
        <w:t xml:space="preserve"> en parallèle aux réunions des Groupes du Rapporteur. Les exposants, principalement des petites et moyennes entreprises (PME) </w:t>
      </w:r>
      <w:r w:rsidR="00F162EA" w:rsidRPr="001C7C35">
        <w:t>soutenues</w:t>
      </w:r>
      <w:r w:rsidR="00E042A2" w:rsidRPr="001C7C35">
        <w:t xml:space="preserve"> par leur administration, ont </w:t>
      </w:r>
      <w:r w:rsidR="00F162EA" w:rsidRPr="001C7C35">
        <w:t xml:space="preserve">communiqué </w:t>
      </w:r>
      <w:r w:rsidR="00E042A2" w:rsidRPr="001C7C35">
        <w:t xml:space="preserve">des informations et </w:t>
      </w:r>
      <w:r w:rsidR="00F162EA" w:rsidRPr="001C7C35">
        <w:t>présenté des</w:t>
      </w:r>
      <w:r w:rsidR="00E042A2" w:rsidRPr="001C7C35">
        <w:t xml:space="preserve"> démonstrations pratiques des solutions et des </w:t>
      </w:r>
      <w:bookmarkStart w:id="17" w:name="lt_pId044"/>
      <w:bookmarkEnd w:id="16"/>
      <w:r w:rsidR="00F162EA" w:rsidRPr="001C7C35">
        <w:t>procédés i</w:t>
      </w:r>
      <w:r w:rsidR="00E042A2" w:rsidRPr="001C7C35">
        <w:t xml:space="preserve">nnovants </w:t>
      </w:r>
      <w:r w:rsidR="00F162EA" w:rsidRPr="001C7C35">
        <w:t xml:space="preserve">mis en </w:t>
      </w:r>
      <w:r w:rsidR="006C65DA" w:rsidRPr="001C7C35">
        <w:t>œ</w:t>
      </w:r>
      <w:r w:rsidR="00F162EA" w:rsidRPr="001C7C35">
        <w:t>uvre</w:t>
      </w:r>
      <w:r w:rsidR="00E042A2" w:rsidRPr="001C7C35">
        <w:t xml:space="preserve"> dans leur pays.</w:t>
      </w:r>
      <w:r w:rsidRPr="001C7C35">
        <w:rPr>
          <w:bCs/>
          <w:szCs w:val="24"/>
        </w:rPr>
        <w:t xml:space="preserve"> </w:t>
      </w:r>
      <w:bookmarkEnd w:id="17"/>
    </w:p>
    <w:p w:rsidR="005A5E93" w:rsidRPr="001C7C35" w:rsidRDefault="00D91B1C" w:rsidP="000073BC">
      <w:bookmarkStart w:id="18" w:name="lt_pId045"/>
      <w:r w:rsidRPr="001C7C35">
        <w:rPr>
          <w:rFonts w:eastAsia="Batang"/>
        </w:rPr>
        <w:t>Pour</w:t>
      </w:r>
      <w:r w:rsidR="00E042A2" w:rsidRPr="001C7C35">
        <w:rPr>
          <w:rFonts w:eastAsia="Batang"/>
        </w:rPr>
        <w:t xml:space="preserve"> faciliter la coordination et </w:t>
      </w:r>
      <w:r w:rsidRPr="001C7C35">
        <w:rPr>
          <w:rFonts w:eastAsia="Batang"/>
        </w:rPr>
        <w:t>continuer de</w:t>
      </w:r>
      <w:r w:rsidR="00E042A2" w:rsidRPr="001C7C35">
        <w:rPr>
          <w:rFonts w:eastAsia="Batang"/>
        </w:rPr>
        <w:t xml:space="preserve"> renforcer la collaboration entre les deux commissions d'études de l'UIT-D ainsi qu'ave</w:t>
      </w:r>
      <w:r w:rsidRPr="001C7C35">
        <w:rPr>
          <w:rFonts w:eastAsia="Batang"/>
        </w:rPr>
        <w:t xml:space="preserve">c les commissions d'études des </w:t>
      </w:r>
      <w:r w:rsidR="00E042A2" w:rsidRPr="001C7C35">
        <w:rPr>
          <w:rFonts w:eastAsia="Batang"/>
        </w:rPr>
        <w:t xml:space="preserve">autres Secteurs, </w:t>
      </w:r>
      <w:r w:rsidRPr="001C7C35">
        <w:rPr>
          <w:rFonts w:eastAsia="Batang"/>
        </w:rPr>
        <w:t>les participants ont travaillé en vue d'élaborer trois ensembles de tableaux de correspondance</w:t>
      </w:r>
      <w:r w:rsidR="00E042A2" w:rsidRPr="001C7C35">
        <w:rPr>
          <w:rFonts w:eastAsia="Batang"/>
        </w:rPr>
        <w:t xml:space="preserve">. </w:t>
      </w:r>
      <w:bookmarkEnd w:id="18"/>
    </w:p>
    <w:p w:rsidR="005A5E93" w:rsidRPr="001C7C35" w:rsidRDefault="005A5E93" w:rsidP="000073BC">
      <w:pPr>
        <w:pStyle w:val="Heading1"/>
        <w:rPr>
          <w:sz w:val="24"/>
          <w:szCs w:val="24"/>
        </w:rPr>
      </w:pPr>
      <w:r w:rsidRPr="001C7C35">
        <w:rPr>
          <w:sz w:val="24"/>
          <w:szCs w:val="24"/>
        </w:rPr>
        <w:t>2</w:t>
      </w:r>
      <w:r w:rsidRPr="001C7C35">
        <w:rPr>
          <w:sz w:val="24"/>
          <w:szCs w:val="24"/>
        </w:rPr>
        <w:tab/>
        <w:t xml:space="preserve">Aperçu des travaux </w:t>
      </w:r>
      <w:r w:rsidR="00123498" w:rsidRPr="001C7C35">
        <w:rPr>
          <w:sz w:val="24"/>
          <w:szCs w:val="24"/>
        </w:rPr>
        <w:t>de</w:t>
      </w:r>
      <w:r w:rsidRPr="001C7C35">
        <w:rPr>
          <w:sz w:val="24"/>
          <w:szCs w:val="24"/>
        </w:rPr>
        <w:t xml:space="preserve"> la Commission d'études 2 de l'UIT-D</w:t>
      </w:r>
    </w:p>
    <w:p w:rsidR="005A5E93" w:rsidRPr="001C7C35" w:rsidRDefault="005A5E93" w:rsidP="000073BC">
      <w:pPr>
        <w:pStyle w:val="Heading2"/>
      </w:pPr>
      <w:r w:rsidRPr="001C7C35">
        <w:t>2.1</w:t>
      </w:r>
      <w:r w:rsidRPr="001C7C35">
        <w:tab/>
      </w:r>
      <w:r w:rsidR="00733362" w:rsidRPr="001C7C35">
        <w:t>Première réunion de la Commission d'études 2 pour la période d'études</w:t>
      </w:r>
      <w:r w:rsidRPr="001C7C35">
        <w:t xml:space="preserve"> (7-11 mai 2018)</w:t>
      </w:r>
    </w:p>
    <w:p w:rsidR="005A5E93" w:rsidRPr="001C7C35" w:rsidRDefault="005A5E93" w:rsidP="000073BC">
      <w:pPr>
        <w:rPr>
          <w:bCs/>
          <w:szCs w:val="24"/>
        </w:rPr>
      </w:pPr>
      <w:r w:rsidRPr="001C7C35">
        <w:rPr>
          <w:bCs/>
          <w:szCs w:val="24"/>
        </w:rPr>
        <w:t xml:space="preserve">La première réunion de la Commission d'études 2 </w:t>
      </w:r>
      <w:r w:rsidR="00847B8E" w:rsidRPr="001C7C35">
        <w:rPr>
          <w:bCs/>
          <w:szCs w:val="24"/>
        </w:rPr>
        <w:t xml:space="preserve">de l'UIT-D </w:t>
      </w:r>
      <w:r w:rsidRPr="001C7C35">
        <w:rPr>
          <w:bCs/>
          <w:szCs w:val="24"/>
        </w:rPr>
        <w:t xml:space="preserve">après la Conférence mondiale de développement des télécommunications de 2017 (CMDT-17) a eu lieu du 7 au 11 mai 2018, en </w:t>
      </w:r>
      <w:r w:rsidR="00F46AC5" w:rsidRPr="001C7C35">
        <w:rPr>
          <w:bCs/>
          <w:szCs w:val="24"/>
        </w:rPr>
        <w:t>présence de 125 participant</w:t>
      </w:r>
      <w:r w:rsidRPr="001C7C35">
        <w:rPr>
          <w:bCs/>
          <w:szCs w:val="24"/>
        </w:rPr>
        <w:t xml:space="preserve">s issus de </w:t>
      </w:r>
      <w:r w:rsidR="006E5A3B" w:rsidRPr="001C7C35">
        <w:rPr>
          <w:bCs/>
          <w:szCs w:val="24"/>
        </w:rPr>
        <w:t xml:space="preserve">57 </w:t>
      </w:r>
      <w:r w:rsidRPr="001C7C35">
        <w:rPr>
          <w:bCs/>
          <w:szCs w:val="24"/>
        </w:rPr>
        <w:t>pays</w:t>
      </w:r>
      <w:r w:rsidRPr="001C7C35">
        <w:rPr>
          <w:rStyle w:val="FootnoteReference"/>
          <w:bCs/>
          <w:szCs w:val="24"/>
        </w:rPr>
        <w:footnoteReference w:id="1"/>
      </w:r>
      <w:r w:rsidR="00123498" w:rsidRPr="001C7C35">
        <w:rPr>
          <w:bCs/>
          <w:szCs w:val="24"/>
        </w:rPr>
        <w:t>, parmi lesquels</w:t>
      </w:r>
      <w:r w:rsidRPr="001C7C35">
        <w:rPr>
          <w:bCs/>
          <w:szCs w:val="24"/>
        </w:rPr>
        <w:t xml:space="preserve"> </w:t>
      </w:r>
      <w:r w:rsidR="006E5A3B" w:rsidRPr="001C7C35">
        <w:rPr>
          <w:bCs/>
          <w:szCs w:val="24"/>
        </w:rPr>
        <w:t xml:space="preserve">88 </w:t>
      </w:r>
      <w:r w:rsidR="00123498" w:rsidRPr="001C7C35">
        <w:rPr>
          <w:bCs/>
          <w:szCs w:val="24"/>
        </w:rPr>
        <w:t>représentants d'</w:t>
      </w:r>
      <w:r w:rsidR="001C7C35" w:rsidRPr="001C7C35">
        <w:rPr>
          <w:bCs/>
          <w:szCs w:val="24"/>
        </w:rPr>
        <w:t>États</w:t>
      </w:r>
      <w:r w:rsidRPr="001C7C35">
        <w:rPr>
          <w:bCs/>
          <w:szCs w:val="24"/>
        </w:rPr>
        <w:t xml:space="preserve"> Membres, 33 </w:t>
      </w:r>
      <w:r w:rsidR="00123498" w:rsidRPr="001C7C35">
        <w:rPr>
          <w:bCs/>
          <w:szCs w:val="24"/>
        </w:rPr>
        <w:t>représentants de</w:t>
      </w:r>
      <w:r w:rsidRPr="001C7C35">
        <w:rPr>
          <w:bCs/>
          <w:szCs w:val="24"/>
        </w:rPr>
        <w:t xml:space="preserve"> Membres du Secteur, 3 </w:t>
      </w:r>
      <w:r w:rsidR="00123498" w:rsidRPr="001C7C35">
        <w:rPr>
          <w:bCs/>
          <w:szCs w:val="24"/>
        </w:rPr>
        <w:t>représentants d'</w:t>
      </w:r>
      <w:r w:rsidRPr="001C7C35">
        <w:rPr>
          <w:bCs/>
          <w:szCs w:val="24"/>
        </w:rPr>
        <w:t xml:space="preserve">Associés et </w:t>
      </w:r>
      <w:r w:rsidR="00123498" w:rsidRPr="001C7C35">
        <w:rPr>
          <w:bCs/>
          <w:szCs w:val="24"/>
        </w:rPr>
        <w:t>d'</w:t>
      </w:r>
      <w:r w:rsidRPr="001C7C35">
        <w:rPr>
          <w:bCs/>
          <w:szCs w:val="24"/>
        </w:rPr>
        <w:t xml:space="preserve">établissements </w:t>
      </w:r>
      <w:r w:rsidRPr="001C7C35">
        <w:rPr>
          <w:bCs/>
          <w:szCs w:val="24"/>
        </w:rPr>
        <w:lastRenderedPageBreak/>
        <w:t xml:space="preserve">universitaires, et 5 </w:t>
      </w:r>
      <w:r w:rsidR="00123498" w:rsidRPr="001C7C35">
        <w:rPr>
          <w:bCs/>
          <w:szCs w:val="24"/>
        </w:rPr>
        <w:t>représentants d'</w:t>
      </w:r>
      <w:r w:rsidRPr="001C7C35">
        <w:rPr>
          <w:bCs/>
          <w:szCs w:val="24"/>
        </w:rPr>
        <w:t>organisations internationales ou régionales (</w:t>
      </w:r>
      <w:r w:rsidR="00F46AC5" w:rsidRPr="001C7C35">
        <w:rPr>
          <w:bCs/>
          <w:szCs w:val="24"/>
        </w:rPr>
        <w:t xml:space="preserve">Document </w:t>
      </w:r>
      <w:hyperlink r:id="rId9" w:history="1">
        <w:r w:rsidRPr="001C7C35">
          <w:rPr>
            <w:rStyle w:val="Hyperlink"/>
            <w:bCs/>
            <w:szCs w:val="24"/>
          </w:rPr>
          <w:t>2/100</w:t>
        </w:r>
      </w:hyperlink>
      <w:r w:rsidRPr="001C7C35">
        <w:rPr>
          <w:rStyle w:val="Hyperlink"/>
          <w:bCs/>
          <w:color w:val="auto"/>
          <w:szCs w:val="24"/>
          <w:u w:val="none"/>
        </w:rPr>
        <w:t>).</w:t>
      </w:r>
      <w:r w:rsidRPr="001C7C35">
        <w:rPr>
          <w:bCs/>
          <w:szCs w:val="24"/>
        </w:rPr>
        <w:t xml:space="preserve"> </w:t>
      </w:r>
      <w:r w:rsidRPr="001C7C35">
        <w:rPr>
          <w:rFonts w:eastAsiaTheme="majorEastAsia" w:cs="Simplified Arabic"/>
          <w:szCs w:val="24"/>
        </w:rPr>
        <w:t>On trouvera les statistiques résumant la participation par région, les contributions par Question et d'autres informations dans le Document </w:t>
      </w:r>
      <w:hyperlink r:id="rId10" w:history="1">
        <w:r w:rsidRPr="001C7C35">
          <w:rPr>
            <w:rStyle w:val="Hyperlink"/>
            <w:rFonts w:eastAsiaTheme="majorEastAsia"/>
            <w:szCs w:val="24"/>
          </w:rPr>
          <w:t>2/ADM/3 + Annex</w:t>
        </w:r>
      </w:hyperlink>
      <w:r w:rsidRPr="001C7C35">
        <w:rPr>
          <w:rStyle w:val="Hyperlink"/>
          <w:rFonts w:eastAsiaTheme="majorEastAsia"/>
          <w:szCs w:val="24"/>
        </w:rPr>
        <w:t>e</w:t>
      </w:r>
      <w:r w:rsidRPr="001C7C35">
        <w:rPr>
          <w:rFonts w:eastAsiaTheme="majorEastAsia" w:cs="Simplified Arabic"/>
          <w:szCs w:val="24"/>
        </w:rPr>
        <w:t xml:space="preserve">. </w:t>
      </w:r>
      <w:r w:rsidR="00123498" w:rsidRPr="001C7C35">
        <w:rPr>
          <w:bCs/>
          <w:szCs w:val="24"/>
        </w:rPr>
        <w:t>Le</w:t>
      </w:r>
      <w:r w:rsidRPr="001C7C35">
        <w:rPr>
          <w:bCs/>
          <w:szCs w:val="24"/>
        </w:rPr>
        <w:t xml:space="preserve"> service</w:t>
      </w:r>
      <w:r w:rsidR="00123498" w:rsidRPr="001C7C35">
        <w:rPr>
          <w:bCs/>
          <w:szCs w:val="24"/>
        </w:rPr>
        <w:t xml:space="preserve"> habituel</w:t>
      </w:r>
      <w:r w:rsidRPr="001C7C35">
        <w:rPr>
          <w:bCs/>
          <w:szCs w:val="24"/>
        </w:rPr>
        <w:t xml:space="preserve"> de diffusion sur le web ainsi qu'un service de participation à distance interactive en plusieurs langues</w:t>
      </w:r>
      <w:r w:rsidR="00123498" w:rsidRPr="001C7C35">
        <w:rPr>
          <w:bCs/>
          <w:szCs w:val="24"/>
        </w:rPr>
        <w:t xml:space="preserve"> ont été assurés. L</w:t>
      </w:r>
      <w:r w:rsidRPr="001C7C35">
        <w:rPr>
          <w:bCs/>
          <w:szCs w:val="24"/>
        </w:rPr>
        <w:t xml:space="preserve">es archives complètes des réunions sont disponibles </w:t>
      </w:r>
      <w:hyperlink r:id="rId11" w:history="1">
        <w:r w:rsidRPr="001C7C35">
          <w:rPr>
            <w:rStyle w:val="Hyperlink"/>
            <w:rFonts w:eastAsiaTheme="majorEastAsia"/>
            <w:szCs w:val="24"/>
          </w:rPr>
          <w:t>ici</w:t>
        </w:r>
        <w:r w:rsidRPr="001C7C35">
          <w:rPr>
            <w:rStyle w:val="Hyperlink"/>
            <w:bCs/>
            <w:color w:val="auto"/>
            <w:szCs w:val="24"/>
            <w:u w:val="none"/>
          </w:rPr>
          <w:t>.</w:t>
        </w:r>
      </w:hyperlink>
      <w:r w:rsidRPr="001C7C35">
        <w:rPr>
          <w:bCs/>
          <w:szCs w:val="24"/>
        </w:rPr>
        <w:t xml:space="preserve"> Tous les documents de la réunion peuvent être téléchargés </w:t>
      </w:r>
      <w:r w:rsidR="00123498" w:rsidRPr="001C7C35">
        <w:rPr>
          <w:bCs/>
          <w:szCs w:val="24"/>
        </w:rPr>
        <w:t>sur</w:t>
      </w:r>
      <w:r w:rsidRPr="001C7C35">
        <w:rPr>
          <w:bCs/>
          <w:szCs w:val="24"/>
        </w:rPr>
        <w:t xml:space="preserve"> le </w:t>
      </w:r>
      <w:hyperlink r:id="rId12" w:history="1">
        <w:r w:rsidRPr="001C7C35">
          <w:rPr>
            <w:rStyle w:val="Hyperlink"/>
            <w:bCs/>
            <w:szCs w:val="24"/>
          </w:rPr>
          <w:t>site web de la réunion</w:t>
        </w:r>
      </w:hyperlink>
      <w:r w:rsidRPr="001C7C35">
        <w:rPr>
          <w:bCs/>
          <w:szCs w:val="24"/>
        </w:rPr>
        <w:t xml:space="preserve"> (compte utilisateur TIES obligatoire).</w:t>
      </w:r>
    </w:p>
    <w:p w:rsidR="00D040F7" w:rsidRPr="001C7C35" w:rsidRDefault="00F46AC5" w:rsidP="000073BC">
      <w:pPr>
        <w:rPr>
          <w:bCs/>
        </w:rPr>
      </w:pPr>
      <w:r w:rsidRPr="001C7C35">
        <w:rPr>
          <w:rFonts w:cstheme="minorHAnsi"/>
          <w:szCs w:val="24"/>
        </w:rPr>
        <w:t xml:space="preserve">Le </w:t>
      </w:r>
      <w:hyperlink r:id="rId13" w:history="1">
        <w:r w:rsidRPr="001C7C35">
          <w:rPr>
            <w:rStyle w:val="Hyperlink"/>
            <w:rFonts w:cstheme="minorHAnsi"/>
            <w:szCs w:val="24"/>
          </w:rPr>
          <w:t>Directeur du BDT</w:t>
        </w:r>
      </w:hyperlink>
      <w:r w:rsidRPr="001C7C35">
        <w:rPr>
          <w:rFonts w:cstheme="minorHAnsi"/>
          <w:szCs w:val="24"/>
        </w:rPr>
        <w:t>, M.</w:t>
      </w:r>
      <w:r w:rsidR="005A5E93" w:rsidRPr="001C7C35">
        <w:rPr>
          <w:rFonts w:cstheme="minorHAnsi"/>
          <w:szCs w:val="24"/>
        </w:rPr>
        <w:t xml:space="preserve"> Brahima Sanou</w:t>
      </w:r>
      <w:r w:rsidR="005A5E93" w:rsidRPr="001C7C35">
        <w:rPr>
          <w:rStyle w:val="FootnoteReference"/>
          <w:rFonts w:cstheme="minorHAnsi"/>
        </w:rPr>
        <w:footnoteReference w:id="2"/>
      </w:r>
      <w:r w:rsidR="005A5E93" w:rsidRPr="001C7C35">
        <w:rPr>
          <w:rFonts w:cstheme="minorHAnsi"/>
          <w:szCs w:val="24"/>
        </w:rPr>
        <w:t xml:space="preserve">, </w:t>
      </w:r>
      <w:r w:rsidRPr="001C7C35">
        <w:rPr>
          <w:rFonts w:cstheme="minorHAnsi"/>
          <w:szCs w:val="24"/>
        </w:rPr>
        <w:t>et le Président de la Commission d'études 2</w:t>
      </w:r>
      <w:r w:rsidR="005A5E93" w:rsidRPr="001C7C35">
        <w:rPr>
          <w:rFonts w:cstheme="minorHAnsi"/>
          <w:szCs w:val="24"/>
        </w:rPr>
        <w:t xml:space="preserve">, </w:t>
      </w:r>
      <w:r w:rsidR="005A5E93" w:rsidRPr="001C7C35">
        <w:rPr>
          <w:bCs/>
          <w:szCs w:val="24"/>
        </w:rPr>
        <w:t>M</w:t>
      </w:r>
      <w:r w:rsidRPr="001C7C35">
        <w:rPr>
          <w:bCs/>
          <w:szCs w:val="24"/>
        </w:rPr>
        <w:t>.</w:t>
      </w:r>
      <w:r w:rsidR="005A5E93" w:rsidRPr="001C7C35">
        <w:rPr>
          <w:bCs/>
          <w:szCs w:val="24"/>
        </w:rPr>
        <w:t xml:space="preserve"> Ahmad Reza Sharafat (</w:t>
      </w:r>
      <w:r w:rsidRPr="001C7C35">
        <w:rPr>
          <w:bCs/>
          <w:szCs w:val="24"/>
        </w:rPr>
        <w:t>République islamique d'Iran</w:t>
      </w:r>
      <w:r w:rsidR="005A5E93" w:rsidRPr="001C7C35">
        <w:rPr>
          <w:bCs/>
          <w:szCs w:val="24"/>
        </w:rPr>
        <w:t>),</w:t>
      </w:r>
      <w:r w:rsidR="005A5E93" w:rsidRPr="001C7C35">
        <w:rPr>
          <w:rFonts w:cstheme="minorHAnsi"/>
          <w:bCs/>
          <w:szCs w:val="24"/>
        </w:rPr>
        <w:t xml:space="preserve"> </w:t>
      </w:r>
      <w:r w:rsidR="00123498" w:rsidRPr="001C7C35">
        <w:rPr>
          <w:rFonts w:cstheme="minorHAnsi"/>
          <w:bCs/>
          <w:szCs w:val="24"/>
        </w:rPr>
        <w:t>étaient assistés des</w:t>
      </w:r>
      <w:r w:rsidRPr="001C7C35">
        <w:rPr>
          <w:rFonts w:cstheme="minorHAnsi"/>
          <w:bCs/>
          <w:szCs w:val="24"/>
        </w:rPr>
        <w:t xml:space="preserve"> onze Vice-Présidents de la CE 2 désignés: </w:t>
      </w:r>
      <w:r w:rsidR="005A5E93" w:rsidRPr="001C7C35">
        <w:rPr>
          <w:bCs/>
          <w:szCs w:val="24"/>
        </w:rPr>
        <w:t>M. Roland Yaw Kudozia (Ghana), M. Henry Chuk</w:t>
      </w:r>
      <w:r w:rsidR="00E25EFE" w:rsidRPr="001C7C35">
        <w:rPr>
          <w:bCs/>
          <w:szCs w:val="24"/>
        </w:rPr>
        <w:t>wudumeme Nkemadu (Nigéria), Mme </w:t>
      </w:r>
      <w:r w:rsidR="005A5E93" w:rsidRPr="001C7C35">
        <w:rPr>
          <w:bCs/>
          <w:szCs w:val="24"/>
        </w:rPr>
        <w:t>Celina Delgado Castellón (Nicaragua), Mme Nora Abdalla Hassan Basher (Soudan), M. Nasser Al Marzouqi (Emirats arabes unis), Mme Ke Wang (Chine), M. Ananda Raj Khanal (République du Népal), M. Yakov Gass (Fédération de Russie), M. Tolibjon Oltinovi</w:t>
      </w:r>
      <w:r w:rsidR="00302250" w:rsidRPr="001C7C35">
        <w:rPr>
          <w:bCs/>
          <w:szCs w:val="24"/>
        </w:rPr>
        <w:t>ch Mirzakulov (Ouzbékistan), M. </w:t>
      </w:r>
      <w:r w:rsidR="005A5E93" w:rsidRPr="001C7C35">
        <w:rPr>
          <w:bCs/>
          <w:szCs w:val="24"/>
        </w:rPr>
        <w:t xml:space="preserve">Filipe Miguel Antunes Batista (Portugal) et M. Dominique Würges (France). </w:t>
      </w:r>
      <w:r w:rsidR="009D291C" w:rsidRPr="001C7C35">
        <w:rPr>
          <w:bCs/>
          <w:szCs w:val="24"/>
        </w:rPr>
        <w:t>Sous la supervision de cette équipe, la CE 2 a examiné les 99 contributions soumises pour faire avancer les travaux</w:t>
      </w:r>
      <w:r w:rsidR="008E506F" w:rsidRPr="001C7C35">
        <w:rPr>
          <w:bCs/>
          <w:szCs w:val="24"/>
        </w:rPr>
        <w:t>.</w:t>
      </w:r>
    </w:p>
    <w:p w:rsidR="005A5E93" w:rsidRPr="001C7C35" w:rsidRDefault="008E506F" w:rsidP="000073BC">
      <w:pPr>
        <w:spacing w:after="120"/>
        <w:rPr>
          <w:bCs/>
          <w:szCs w:val="24"/>
        </w:rPr>
      </w:pPr>
      <w:bookmarkStart w:id="19" w:name="lt_pId054"/>
      <w:r w:rsidRPr="001C7C35">
        <w:rPr>
          <w:bCs/>
          <w:szCs w:val="24"/>
        </w:rPr>
        <w:t>Les</w:t>
      </w:r>
      <w:r w:rsidR="00210BB0" w:rsidRPr="001C7C35">
        <w:rPr>
          <w:bCs/>
          <w:szCs w:val="24"/>
        </w:rPr>
        <w:t xml:space="preserve"> participants à ces</w:t>
      </w:r>
      <w:r w:rsidRPr="001C7C35">
        <w:rPr>
          <w:bCs/>
          <w:szCs w:val="24"/>
        </w:rPr>
        <w:t xml:space="preserve"> premières réunions ont </w:t>
      </w:r>
      <w:r w:rsidR="00210BB0" w:rsidRPr="001C7C35">
        <w:rPr>
          <w:bCs/>
          <w:szCs w:val="24"/>
        </w:rPr>
        <w:t>examiné</w:t>
      </w:r>
      <w:r w:rsidRPr="001C7C35">
        <w:rPr>
          <w:bCs/>
          <w:szCs w:val="24"/>
        </w:rPr>
        <w:t xml:space="preserve"> les résultats escomptés</w:t>
      </w:r>
      <w:r w:rsidR="00210BB0" w:rsidRPr="001C7C35">
        <w:rPr>
          <w:bCs/>
          <w:szCs w:val="24"/>
        </w:rPr>
        <w:t xml:space="preserve"> définis</w:t>
      </w:r>
      <w:r w:rsidRPr="001C7C35">
        <w:rPr>
          <w:bCs/>
          <w:szCs w:val="24"/>
        </w:rPr>
        <w:t xml:space="preserve"> par les membres à la CMDT-17, </w:t>
      </w:r>
      <w:r w:rsidR="00210BB0" w:rsidRPr="001C7C35">
        <w:rPr>
          <w:bCs/>
          <w:szCs w:val="24"/>
        </w:rPr>
        <w:t xml:space="preserve">identifié </w:t>
      </w:r>
      <w:r w:rsidRPr="001C7C35">
        <w:rPr>
          <w:bCs/>
          <w:szCs w:val="24"/>
        </w:rPr>
        <w:t xml:space="preserve">des méthodes </w:t>
      </w:r>
      <w:r w:rsidR="00210BB0" w:rsidRPr="001C7C35">
        <w:rPr>
          <w:bCs/>
          <w:szCs w:val="24"/>
        </w:rPr>
        <w:t>pour la conduite des travaux</w:t>
      </w:r>
      <w:r w:rsidRPr="001C7C35">
        <w:rPr>
          <w:bCs/>
          <w:szCs w:val="24"/>
        </w:rPr>
        <w:t xml:space="preserve"> et </w:t>
      </w:r>
      <w:r w:rsidR="00210BB0" w:rsidRPr="001C7C35">
        <w:rPr>
          <w:bCs/>
          <w:szCs w:val="24"/>
        </w:rPr>
        <w:t>adopté des programmes de travail détaillés pour chaque</w:t>
      </w:r>
      <w:r w:rsidRPr="001C7C35">
        <w:rPr>
          <w:bCs/>
          <w:szCs w:val="24"/>
        </w:rPr>
        <w:t xml:space="preserve"> Question</w:t>
      </w:r>
      <w:r w:rsidR="00210BB0" w:rsidRPr="001C7C35">
        <w:rPr>
          <w:bCs/>
          <w:szCs w:val="24"/>
        </w:rPr>
        <w:t xml:space="preserve"> à l'étude</w:t>
      </w:r>
      <w:r w:rsidRPr="001C7C35">
        <w:rPr>
          <w:bCs/>
          <w:szCs w:val="24"/>
        </w:rPr>
        <w:t xml:space="preserve">. </w:t>
      </w:r>
      <w:bookmarkStart w:id="20" w:name="lt_pId055"/>
      <w:bookmarkEnd w:id="19"/>
      <w:r w:rsidR="00D10181" w:rsidRPr="001C7C35">
        <w:rPr>
          <w:bCs/>
          <w:szCs w:val="24"/>
        </w:rPr>
        <w:t>Des ébauches initiales/projets de table des matières pour les résultats escomptés pour toutes les Questions et des listes détaillant la répartition des responsabilités ont été préparés</w:t>
      </w:r>
      <w:r w:rsidR="005A5E93" w:rsidRPr="001C7C35">
        <w:rPr>
          <w:bCs/>
          <w:szCs w:val="24"/>
        </w:rPr>
        <w:t>.</w:t>
      </w:r>
      <w:bookmarkEnd w:id="20"/>
      <w:r w:rsidR="005A5E93" w:rsidRPr="001C7C35">
        <w:t xml:space="preserve"> </w:t>
      </w:r>
      <w:bookmarkStart w:id="21" w:name="lt_pId056"/>
      <w:r w:rsidR="00D10181" w:rsidRPr="001C7C35">
        <w:t>La CE 2 de l'UIT-D a reçu</w:t>
      </w:r>
      <w:r w:rsidR="00EC303E" w:rsidRPr="001C7C35">
        <w:t xml:space="preserve"> 66 </w:t>
      </w:r>
      <w:r w:rsidR="00EF56A9" w:rsidRPr="001C7C35">
        <w:t xml:space="preserve">candidatures </w:t>
      </w:r>
      <w:r w:rsidR="00D10181" w:rsidRPr="001C7C35">
        <w:t>pour les différentes fonctions de direction et</w:t>
      </w:r>
      <w:r w:rsidR="00E25EFE" w:rsidRPr="001C7C35">
        <w:t xml:space="preserve"> 12 Rapporteurs/Cor</w:t>
      </w:r>
      <w:r w:rsidR="00EF56A9" w:rsidRPr="001C7C35">
        <w:t xml:space="preserve">apporteurs et 47 Vice-Rapporteurs </w:t>
      </w:r>
      <w:r w:rsidR="00D10181" w:rsidRPr="001C7C35">
        <w:t xml:space="preserve">ont été désignés pour diriger les travaux sur les </w:t>
      </w:r>
      <w:r w:rsidR="00EF56A9" w:rsidRPr="001C7C35">
        <w:t>Questions</w:t>
      </w:r>
      <w:r w:rsidR="00D10181" w:rsidRPr="001C7C35">
        <w:t xml:space="preserve"> à l'étude</w:t>
      </w:r>
      <w:r w:rsidR="00EF56A9" w:rsidRPr="001C7C35">
        <w:t xml:space="preserve">. </w:t>
      </w:r>
      <w:bookmarkStart w:id="22" w:name="lt_pId057"/>
      <w:bookmarkEnd w:id="21"/>
      <w:r w:rsidR="00CE232A" w:rsidRPr="001C7C35">
        <w:t>Ils ont</w:t>
      </w:r>
      <w:r w:rsidR="00EC303E" w:rsidRPr="001C7C35">
        <w:t xml:space="preserve"> été désignés à l'issue d'un processus de sélection rigoureux</w:t>
      </w:r>
      <w:r w:rsidR="005A5E93" w:rsidRPr="001C7C35">
        <w:rPr>
          <w:rFonts w:eastAsia="Batang" w:cs="Calibri"/>
          <w:bCs/>
        </w:rPr>
        <w:t xml:space="preserve">, </w:t>
      </w:r>
      <w:r w:rsidR="00CE232A" w:rsidRPr="001C7C35">
        <w:rPr>
          <w:rFonts w:eastAsia="Batang" w:cs="Calibri"/>
          <w:bCs/>
        </w:rPr>
        <w:t>reposant</w:t>
      </w:r>
      <w:r w:rsidR="00EC303E" w:rsidRPr="001C7C35">
        <w:rPr>
          <w:rFonts w:eastAsia="Batang" w:cs="Calibri"/>
          <w:bCs/>
        </w:rPr>
        <w:t xml:space="preserve"> principalement sur l'examen de leurs compétences et de leur expérience préalable</w:t>
      </w:r>
      <w:r w:rsidR="00CE232A" w:rsidRPr="001C7C35">
        <w:rPr>
          <w:rFonts w:eastAsia="Batang" w:cs="Calibri"/>
          <w:bCs/>
        </w:rPr>
        <w:t xml:space="preserve"> concernant les thèmes traités dans le cadre des Questions, ainsi que de leurs contributions à cet égard,</w:t>
      </w:r>
      <w:r w:rsidR="00EC303E" w:rsidRPr="001C7C35">
        <w:rPr>
          <w:rFonts w:eastAsia="Batang" w:cs="Calibri"/>
          <w:bCs/>
        </w:rPr>
        <w:t xml:space="preserve"> tout </w:t>
      </w:r>
      <w:r w:rsidR="00CE232A" w:rsidRPr="001C7C35">
        <w:rPr>
          <w:rFonts w:eastAsia="Batang" w:cs="Calibri"/>
          <w:bCs/>
        </w:rPr>
        <w:t>en veillant à</w:t>
      </w:r>
      <w:r w:rsidR="00EC303E" w:rsidRPr="001C7C35">
        <w:rPr>
          <w:rFonts w:eastAsia="Batang" w:cs="Calibri"/>
          <w:bCs/>
        </w:rPr>
        <w:t xml:space="preserve"> garantir l'équilibre entre les régions et entre les femmes et les hommes, chaque fois que cela était possible. </w:t>
      </w:r>
      <w:bookmarkStart w:id="23" w:name="lt_pId058"/>
      <w:bookmarkEnd w:id="22"/>
      <w:r w:rsidR="00EC303E" w:rsidRPr="001C7C35">
        <w:rPr>
          <w:rFonts w:eastAsia="Batang" w:cs="Calibri"/>
          <w:bCs/>
        </w:rPr>
        <w:t>On trouvera dans l'</w:t>
      </w:r>
      <w:r w:rsidR="005A5E93" w:rsidRPr="001C7C35">
        <w:rPr>
          <w:b/>
          <w:szCs w:val="24"/>
        </w:rPr>
        <w:t>Annex</w:t>
      </w:r>
      <w:r w:rsidR="00EC303E" w:rsidRPr="001C7C35">
        <w:rPr>
          <w:b/>
          <w:szCs w:val="24"/>
        </w:rPr>
        <w:t>e</w:t>
      </w:r>
      <w:r w:rsidR="005A5E93" w:rsidRPr="001C7C35">
        <w:rPr>
          <w:b/>
          <w:szCs w:val="24"/>
        </w:rPr>
        <w:t xml:space="preserve"> 1</w:t>
      </w:r>
      <w:r w:rsidR="005A5E93" w:rsidRPr="001C7C35">
        <w:rPr>
          <w:bCs/>
          <w:szCs w:val="24"/>
        </w:rPr>
        <w:t xml:space="preserve"> </w:t>
      </w:r>
      <w:r w:rsidR="00EC303E" w:rsidRPr="001C7C35">
        <w:rPr>
          <w:bCs/>
          <w:szCs w:val="24"/>
        </w:rPr>
        <w:t xml:space="preserve">du présent rapport </w:t>
      </w:r>
      <w:r w:rsidR="002B70D2" w:rsidRPr="001C7C35">
        <w:rPr>
          <w:bCs/>
          <w:szCs w:val="24"/>
        </w:rPr>
        <w:t xml:space="preserve">la composition de </w:t>
      </w:r>
      <w:r w:rsidR="00EC303E" w:rsidRPr="001C7C35">
        <w:rPr>
          <w:bCs/>
          <w:szCs w:val="24"/>
        </w:rPr>
        <w:t>l'équipe de direction de la CE 2</w:t>
      </w:r>
      <w:r w:rsidR="005A5E93" w:rsidRPr="001C7C35">
        <w:rPr>
          <w:bCs/>
          <w:szCs w:val="24"/>
        </w:rPr>
        <w:t>.</w:t>
      </w:r>
      <w:bookmarkEnd w:id="23"/>
    </w:p>
    <w:p w:rsidR="005A5E93" w:rsidRPr="001C7C35" w:rsidRDefault="00DE04AB" w:rsidP="000073BC">
      <w:pPr>
        <w:spacing w:after="120"/>
        <w:rPr>
          <w:rFonts w:eastAsia="Batang" w:cs="Calibri"/>
          <w:bCs/>
        </w:rPr>
      </w:pPr>
      <w:bookmarkStart w:id="24" w:name="lt_pId059"/>
      <w:r w:rsidRPr="001C7C35">
        <w:rPr>
          <w:rFonts w:eastAsia="Batang" w:cs="Calibri"/>
          <w:bCs/>
        </w:rPr>
        <w:t>Durant cette première réunion de la CE 2 de l'UIT-D, les membres</w:t>
      </w:r>
      <w:r w:rsidR="00302250" w:rsidRPr="001C7C35">
        <w:rPr>
          <w:rFonts w:eastAsia="Batang" w:cs="Calibri"/>
          <w:bCs/>
        </w:rPr>
        <w:t xml:space="preserve"> de l'équipe de direction de la </w:t>
      </w:r>
      <w:r w:rsidRPr="001C7C35">
        <w:rPr>
          <w:rFonts w:eastAsia="Batang" w:cs="Calibri"/>
          <w:bCs/>
        </w:rPr>
        <w:t xml:space="preserve">CE 2 se sont </w:t>
      </w:r>
      <w:r w:rsidR="002B70D2" w:rsidRPr="001C7C35">
        <w:rPr>
          <w:rFonts w:eastAsia="Batang" w:cs="Calibri"/>
          <w:bCs/>
        </w:rPr>
        <w:t xml:space="preserve">réunis plusieurs fois pour garantir une communication efficace et une bonne compréhension concernant les travaux attendus </w:t>
      </w:r>
      <w:r w:rsidR="00854AA1" w:rsidRPr="001C7C35">
        <w:rPr>
          <w:rFonts w:eastAsia="Batang" w:cs="Calibri"/>
          <w:bCs/>
        </w:rPr>
        <w:t>sur les</w:t>
      </w:r>
      <w:r w:rsidR="002B70D2" w:rsidRPr="001C7C35">
        <w:rPr>
          <w:rFonts w:eastAsia="Batang" w:cs="Calibri"/>
          <w:bCs/>
        </w:rPr>
        <w:t xml:space="preserve"> Questions</w:t>
      </w:r>
      <w:r w:rsidR="00854AA1" w:rsidRPr="001C7C35">
        <w:rPr>
          <w:rFonts w:eastAsia="Batang" w:cs="Calibri"/>
          <w:bCs/>
        </w:rPr>
        <w:t xml:space="preserve"> à l'étude</w:t>
      </w:r>
      <w:r w:rsidR="005A5E93" w:rsidRPr="001C7C35">
        <w:rPr>
          <w:rFonts w:eastAsia="Batang" w:cs="Calibri"/>
          <w:bCs/>
        </w:rPr>
        <w:t>.</w:t>
      </w:r>
      <w:bookmarkEnd w:id="24"/>
    </w:p>
    <w:p w:rsidR="005A5E93" w:rsidRPr="001C7C35" w:rsidRDefault="008646B6" w:rsidP="000073BC">
      <w:pPr>
        <w:spacing w:after="120"/>
        <w:rPr>
          <w:rFonts w:eastAsia="Batang" w:cs="Calibri"/>
          <w:bCs/>
        </w:rPr>
      </w:pPr>
      <w:bookmarkStart w:id="25" w:name="lt_pId060"/>
      <w:r w:rsidRPr="001C7C35">
        <w:rPr>
          <w:rFonts w:eastAsia="Batang" w:cs="Calibri"/>
          <w:bCs/>
        </w:rPr>
        <w:t xml:space="preserve">Une </w:t>
      </w:r>
      <w:hyperlink r:id="rId14" w:history="1">
        <w:r w:rsidRPr="001C7C35">
          <w:rPr>
            <w:rStyle w:val="Hyperlink"/>
            <w:rFonts w:eastAsia="Batang" w:cs="Calibri"/>
            <w:bCs/>
          </w:rPr>
          <w:t>table ronde sur le thème des systèmes d'alerte avancée</w:t>
        </w:r>
      </w:hyperlink>
      <w:r w:rsidR="005A5E93" w:rsidRPr="001C7C35">
        <w:rPr>
          <w:rFonts w:eastAsia="Batang" w:cs="Calibri"/>
          <w:bCs/>
        </w:rPr>
        <w:t xml:space="preserve"> </w:t>
      </w:r>
      <w:r w:rsidRPr="001C7C35">
        <w:rPr>
          <w:rFonts w:eastAsia="Batang" w:cs="Calibri"/>
          <w:bCs/>
        </w:rPr>
        <w:t>s'est tenue le 8 mai 2018 en parallèle à la réunion sur la Question 5/2 de la Commission d'études 2 de l'UIT-D</w:t>
      </w:r>
      <w:r w:rsidR="005A5E93" w:rsidRPr="001C7C35">
        <w:rPr>
          <w:rFonts w:eastAsia="Batang" w:cs="Calibri"/>
          <w:bCs/>
        </w:rPr>
        <w:t>.</w:t>
      </w:r>
      <w:bookmarkEnd w:id="25"/>
      <w:r w:rsidRPr="001C7C35">
        <w:rPr>
          <w:rFonts w:eastAsia="Batang" w:cs="Calibri"/>
          <w:bCs/>
        </w:rPr>
        <w:t xml:space="preserve"> L'objectif était de rassembler des spécialistes pour échanger des connaissances et des données d'expérience sur l'évaluation, dans la pratique, de la réduction </w:t>
      </w:r>
      <w:r w:rsidR="00854AA1" w:rsidRPr="001C7C35">
        <w:rPr>
          <w:rFonts w:eastAsia="Batang" w:cs="Calibri"/>
          <w:bCs/>
        </w:rPr>
        <w:t>des risques de catastrophe et la</w:t>
      </w:r>
      <w:r w:rsidRPr="001C7C35">
        <w:rPr>
          <w:rFonts w:eastAsia="Batang" w:cs="Calibri"/>
          <w:bCs/>
        </w:rPr>
        <w:t xml:space="preserve"> gestion </w:t>
      </w:r>
      <w:r w:rsidR="00854AA1" w:rsidRPr="001C7C35">
        <w:rPr>
          <w:rFonts w:eastAsia="Batang" w:cs="Calibri"/>
          <w:bCs/>
        </w:rPr>
        <w:t>des</w:t>
      </w:r>
      <w:r w:rsidRPr="001C7C35">
        <w:rPr>
          <w:rFonts w:eastAsia="Batang" w:cs="Calibri"/>
          <w:bCs/>
        </w:rPr>
        <w:t xml:space="preserve"> catastrophe</w:t>
      </w:r>
      <w:r w:rsidR="00854AA1" w:rsidRPr="001C7C35">
        <w:rPr>
          <w:rFonts w:eastAsia="Batang" w:cs="Calibri"/>
          <w:bCs/>
        </w:rPr>
        <w:t>s</w:t>
      </w:r>
      <w:r w:rsidRPr="001C7C35">
        <w:rPr>
          <w:rFonts w:eastAsia="Batang" w:cs="Calibri"/>
          <w:bCs/>
        </w:rPr>
        <w:t xml:space="preserve"> au niveau national, au sein d'organisations et dans des secteurs d'infrastructures essentielles.</w:t>
      </w:r>
      <w:r w:rsidR="005A5E93" w:rsidRPr="001C7C35">
        <w:rPr>
          <w:rFonts w:eastAsia="Batang" w:cs="Calibri"/>
          <w:bCs/>
        </w:rPr>
        <w:t xml:space="preserve"> </w:t>
      </w:r>
      <w:bookmarkStart w:id="26" w:name="lt_pId062"/>
      <w:r w:rsidR="00854AA1" w:rsidRPr="001C7C35">
        <w:rPr>
          <w:rFonts w:eastAsia="Batang" w:cs="Calibri"/>
          <w:bCs/>
        </w:rPr>
        <w:t>Des</w:t>
      </w:r>
      <w:r w:rsidRPr="001C7C35">
        <w:rPr>
          <w:rFonts w:eastAsia="Batang" w:cs="Calibri"/>
          <w:bCs/>
        </w:rPr>
        <w:t xml:space="preserve"> bonnes pratiques </w:t>
      </w:r>
      <w:r w:rsidR="00854AA1" w:rsidRPr="001C7C35">
        <w:rPr>
          <w:rFonts w:eastAsia="Batang" w:cs="Calibri"/>
          <w:bCs/>
        </w:rPr>
        <w:t xml:space="preserve">visant notamment à </w:t>
      </w:r>
      <w:r w:rsidRPr="001C7C35">
        <w:rPr>
          <w:rFonts w:eastAsia="Batang" w:cs="Calibri"/>
          <w:bCs/>
        </w:rPr>
        <w:t>garantir la flexibilité</w:t>
      </w:r>
      <w:r w:rsidR="00854AA1" w:rsidRPr="001C7C35">
        <w:rPr>
          <w:rFonts w:eastAsia="Batang" w:cs="Calibri"/>
          <w:bCs/>
        </w:rPr>
        <w:t xml:space="preserve"> et à</w:t>
      </w:r>
      <w:r w:rsidRPr="001C7C35">
        <w:rPr>
          <w:rFonts w:eastAsia="Batang" w:cs="Calibri"/>
          <w:bCs/>
        </w:rPr>
        <w:t xml:space="preserve"> tenir compte des technologies en constante évolution</w:t>
      </w:r>
      <w:r w:rsidR="00854AA1" w:rsidRPr="001C7C35">
        <w:rPr>
          <w:rFonts w:eastAsia="Batang" w:cs="Calibri"/>
          <w:bCs/>
        </w:rPr>
        <w:t xml:space="preserve"> ont été identifiées. Elles serviront dans le cadre de </w:t>
      </w:r>
      <w:r w:rsidRPr="001C7C35">
        <w:rPr>
          <w:rFonts w:eastAsia="Batang" w:cs="Calibri"/>
          <w:bCs/>
        </w:rPr>
        <w:t xml:space="preserve">l'examen </w:t>
      </w:r>
      <w:r w:rsidR="00854AA1" w:rsidRPr="001C7C35">
        <w:rPr>
          <w:rFonts w:eastAsia="Batang" w:cs="Calibri"/>
          <w:bCs/>
        </w:rPr>
        <w:t>et</w:t>
      </w:r>
      <w:r w:rsidRPr="001C7C35">
        <w:rPr>
          <w:rFonts w:eastAsia="Batang" w:cs="Calibri"/>
          <w:bCs/>
        </w:rPr>
        <w:t xml:space="preserve"> de l'application </w:t>
      </w:r>
      <w:r w:rsidR="00854AA1" w:rsidRPr="001C7C35">
        <w:rPr>
          <w:rFonts w:eastAsia="Batang" w:cs="Calibri"/>
          <w:bCs/>
        </w:rPr>
        <w:t xml:space="preserve">futurs </w:t>
      </w:r>
      <w:r w:rsidRPr="001C7C35">
        <w:rPr>
          <w:rFonts w:eastAsia="Batang" w:cs="Calibri"/>
          <w:bCs/>
        </w:rPr>
        <w:t xml:space="preserve">des systèmes d'alerte avancée. </w:t>
      </w:r>
      <w:bookmarkEnd w:id="26"/>
    </w:p>
    <w:p w:rsidR="006E5A3B" w:rsidRPr="001C7C35" w:rsidRDefault="006E5A3B" w:rsidP="000073BC">
      <w:pPr>
        <w:pStyle w:val="Heading2"/>
      </w:pPr>
      <w:r w:rsidRPr="001C7C35">
        <w:lastRenderedPageBreak/>
        <w:t>2.2</w:t>
      </w:r>
      <w:r w:rsidRPr="001C7C35">
        <w:tab/>
        <w:t xml:space="preserve">Deuxième réunion de la Commission d'études 2 pour </w:t>
      </w:r>
      <w:r w:rsidR="00A70F5A" w:rsidRPr="001C7C35">
        <w:t>la période d'études (25</w:t>
      </w:r>
      <w:r w:rsidR="00A70F5A" w:rsidRPr="001C7C35">
        <w:noBreakHyphen/>
        <w:t>29 mars </w:t>
      </w:r>
      <w:r w:rsidRPr="001C7C35">
        <w:t>2019)</w:t>
      </w:r>
    </w:p>
    <w:p w:rsidR="006E5A3B" w:rsidRPr="001C7C35" w:rsidRDefault="006E5A3B" w:rsidP="000073BC">
      <w:r w:rsidRPr="001C7C35">
        <w:rPr>
          <w:bCs/>
          <w:szCs w:val="24"/>
        </w:rPr>
        <w:t>La deuxième réunion de la Commission d'études 2 a eu lieu du</w:t>
      </w:r>
      <w:r w:rsidR="00A70F5A" w:rsidRPr="001C7C35">
        <w:rPr>
          <w:bCs/>
          <w:szCs w:val="24"/>
        </w:rPr>
        <w:t xml:space="preserve"> 25 au 29 mars 2019, en présence </w:t>
      </w:r>
      <w:r w:rsidRPr="001C7C35">
        <w:rPr>
          <w:bCs/>
          <w:szCs w:val="24"/>
        </w:rPr>
        <w:t>de</w:t>
      </w:r>
      <w:r w:rsidR="00A70F5A" w:rsidRPr="001C7C35">
        <w:t> </w:t>
      </w:r>
      <w:r w:rsidRPr="001C7C35">
        <w:t>133</w:t>
      </w:r>
      <w:r w:rsidR="00C41245" w:rsidRPr="001C7C35">
        <w:t xml:space="preserve"> délégués</w:t>
      </w:r>
      <w:r w:rsidRPr="001C7C35">
        <w:t xml:space="preserve"> issus de 49 pays</w:t>
      </w:r>
      <w:r w:rsidRPr="001C7C35">
        <w:rPr>
          <w:rStyle w:val="FootnoteReference"/>
        </w:rPr>
        <w:footnoteReference w:id="3"/>
      </w:r>
      <w:r w:rsidR="005F0BD1" w:rsidRPr="001C7C35">
        <w:t xml:space="preserve">, </w:t>
      </w:r>
      <w:r w:rsidR="005F0BD1" w:rsidRPr="001C7C35">
        <w:rPr>
          <w:bCs/>
          <w:szCs w:val="24"/>
        </w:rPr>
        <w:t xml:space="preserve">parmi lesquels </w:t>
      </w:r>
      <w:r w:rsidRPr="001C7C35">
        <w:rPr>
          <w:bCs/>
          <w:szCs w:val="24"/>
        </w:rPr>
        <w:t xml:space="preserve">103 </w:t>
      </w:r>
      <w:r w:rsidR="005F0BD1" w:rsidRPr="001C7C35">
        <w:rPr>
          <w:bCs/>
          <w:szCs w:val="24"/>
        </w:rPr>
        <w:t>représentants d'</w:t>
      </w:r>
      <w:r w:rsidR="001C7C35" w:rsidRPr="001C7C35">
        <w:rPr>
          <w:bCs/>
          <w:szCs w:val="24"/>
        </w:rPr>
        <w:t>États</w:t>
      </w:r>
      <w:r w:rsidR="005F0BD1" w:rsidRPr="001C7C35">
        <w:rPr>
          <w:bCs/>
          <w:szCs w:val="24"/>
        </w:rPr>
        <w:t xml:space="preserve"> Membres</w:t>
      </w:r>
      <w:r w:rsidRPr="001C7C35">
        <w:rPr>
          <w:bCs/>
          <w:szCs w:val="24"/>
        </w:rPr>
        <w:t xml:space="preserve">, 25 </w:t>
      </w:r>
      <w:r w:rsidR="005F0BD1" w:rsidRPr="001C7C35">
        <w:rPr>
          <w:bCs/>
          <w:szCs w:val="24"/>
        </w:rPr>
        <w:t>représentants de Membres du Secteur</w:t>
      </w:r>
      <w:r w:rsidRPr="001C7C35">
        <w:rPr>
          <w:bCs/>
          <w:szCs w:val="24"/>
        </w:rPr>
        <w:t xml:space="preserve">, 4 </w:t>
      </w:r>
      <w:r w:rsidR="005F0BD1" w:rsidRPr="001C7C35">
        <w:rPr>
          <w:bCs/>
          <w:szCs w:val="24"/>
        </w:rPr>
        <w:t>représentants d'Associés et d'établissements universitaires et</w:t>
      </w:r>
      <w:r w:rsidRPr="001C7C35">
        <w:rPr>
          <w:bCs/>
          <w:szCs w:val="24"/>
        </w:rPr>
        <w:t xml:space="preserve"> 6 </w:t>
      </w:r>
      <w:r w:rsidR="005F0BD1" w:rsidRPr="001C7C35">
        <w:rPr>
          <w:bCs/>
          <w:szCs w:val="24"/>
        </w:rPr>
        <w:t>représentants d'organisations internationales ou régionales</w:t>
      </w:r>
      <w:r w:rsidRPr="001C7C35">
        <w:rPr>
          <w:bCs/>
          <w:szCs w:val="24"/>
        </w:rPr>
        <w:t xml:space="preserve">. </w:t>
      </w:r>
      <w:r w:rsidR="005F0BD1" w:rsidRPr="001C7C35">
        <w:rPr>
          <w:rFonts w:eastAsiaTheme="majorEastAsia" w:cs="Simplified Arabic"/>
          <w:szCs w:val="24"/>
        </w:rPr>
        <w:t>On trouvera les statistiques résumant la participation par région, les contributions par Question et d'autres informations dans le Document </w:t>
      </w:r>
      <w:hyperlink r:id="rId15" w:history="1">
        <w:r w:rsidRPr="001C7C35">
          <w:rPr>
            <w:rStyle w:val="Hyperlink"/>
            <w:rFonts w:eastAsiaTheme="majorEastAsia"/>
            <w:szCs w:val="24"/>
          </w:rPr>
          <w:t>2/ADM/10 + Annex</w:t>
        </w:r>
        <w:r w:rsidR="005F0BD1" w:rsidRPr="001C7C35">
          <w:rPr>
            <w:rStyle w:val="Hyperlink"/>
            <w:rFonts w:eastAsiaTheme="majorEastAsia"/>
            <w:szCs w:val="24"/>
          </w:rPr>
          <w:t>e</w:t>
        </w:r>
      </w:hyperlink>
      <w:r w:rsidRPr="001C7C35">
        <w:rPr>
          <w:rFonts w:eastAsiaTheme="majorEastAsia" w:cs="Simplified Arabic"/>
          <w:szCs w:val="24"/>
        </w:rPr>
        <w:t xml:space="preserve">. </w:t>
      </w:r>
    </w:p>
    <w:p w:rsidR="006E5A3B" w:rsidRPr="001C7C35" w:rsidRDefault="005F0BD1" w:rsidP="000073BC">
      <w:pPr>
        <w:rPr>
          <w:bCs/>
          <w:color w:val="000000" w:themeColor="text1"/>
          <w:szCs w:val="24"/>
        </w:rPr>
      </w:pPr>
      <w:r w:rsidRPr="001C7C35">
        <w:rPr>
          <w:rFonts w:cstheme="minorHAnsi"/>
          <w:szCs w:val="24"/>
        </w:rPr>
        <w:t>La Directrice du BDT, Mme</w:t>
      </w:r>
      <w:r w:rsidR="006E5A3B" w:rsidRPr="001C7C35">
        <w:rPr>
          <w:rFonts w:cstheme="minorHAnsi"/>
          <w:szCs w:val="24"/>
        </w:rPr>
        <w:t xml:space="preserve"> Doreen Bogdan Martin</w:t>
      </w:r>
      <w:r w:rsidR="006E5A3B" w:rsidRPr="001C7C35">
        <w:rPr>
          <w:rStyle w:val="FootnoteReference"/>
          <w:rFonts w:cstheme="minorHAnsi"/>
        </w:rPr>
        <w:footnoteReference w:id="4"/>
      </w:r>
      <w:r w:rsidR="006E5A3B" w:rsidRPr="001C7C35">
        <w:rPr>
          <w:rFonts w:cstheme="minorHAnsi"/>
          <w:szCs w:val="24"/>
        </w:rPr>
        <w:t xml:space="preserve">, </w:t>
      </w:r>
      <w:r w:rsidR="0082570D" w:rsidRPr="001C7C35">
        <w:rPr>
          <w:rFonts w:cstheme="minorHAnsi"/>
          <w:szCs w:val="24"/>
        </w:rPr>
        <w:t xml:space="preserve">et le Président de la Commission d'études 2, </w:t>
      </w:r>
      <w:r w:rsidR="0082570D" w:rsidRPr="001C7C35">
        <w:rPr>
          <w:bCs/>
          <w:szCs w:val="24"/>
        </w:rPr>
        <w:t>M. Ahmad Reza Sharafat (République islamique d'Iran),</w:t>
      </w:r>
      <w:r w:rsidR="0082570D" w:rsidRPr="001C7C35">
        <w:rPr>
          <w:rFonts w:cstheme="minorHAnsi"/>
          <w:bCs/>
          <w:szCs w:val="24"/>
        </w:rPr>
        <w:t xml:space="preserve"> étaient assistés des Vice-Présidents désignés suivants</w:t>
      </w:r>
      <w:r w:rsidR="006E5A3B" w:rsidRPr="001C7C35">
        <w:rPr>
          <w:rFonts w:cstheme="minorHAnsi"/>
          <w:bCs/>
          <w:color w:val="000000" w:themeColor="text1"/>
          <w:szCs w:val="24"/>
        </w:rPr>
        <w:t xml:space="preserve">: </w:t>
      </w:r>
      <w:r w:rsidR="0082570D" w:rsidRPr="001C7C35">
        <w:rPr>
          <w:rFonts w:cstheme="minorHAnsi"/>
          <w:bCs/>
          <w:color w:val="000000" w:themeColor="text1"/>
          <w:szCs w:val="24"/>
        </w:rPr>
        <w:t>Mme</w:t>
      </w:r>
      <w:r w:rsidR="006E5A3B" w:rsidRPr="001C7C35">
        <w:rPr>
          <w:szCs w:val="24"/>
        </w:rPr>
        <w:t xml:space="preserve"> Nora Abdalla Hassan Basher (S</w:t>
      </w:r>
      <w:r w:rsidR="0082570D" w:rsidRPr="001C7C35">
        <w:rPr>
          <w:szCs w:val="24"/>
        </w:rPr>
        <w:t>o</w:t>
      </w:r>
      <w:r w:rsidR="006E5A3B" w:rsidRPr="001C7C35">
        <w:rPr>
          <w:szCs w:val="24"/>
        </w:rPr>
        <w:t>udan), M</w:t>
      </w:r>
      <w:r w:rsidR="0082570D" w:rsidRPr="001C7C35">
        <w:rPr>
          <w:szCs w:val="24"/>
        </w:rPr>
        <w:t>.</w:t>
      </w:r>
      <w:r w:rsidR="006E5A3B" w:rsidRPr="001C7C35">
        <w:rPr>
          <w:szCs w:val="24"/>
        </w:rPr>
        <w:t> Roland Yaw Kudozia (Ghana), M</w:t>
      </w:r>
      <w:r w:rsidR="0082570D" w:rsidRPr="001C7C35">
        <w:rPr>
          <w:szCs w:val="24"/>
        </w:rPr>
        <w:t>.</w:t>
      </w:r>
      <w:r w:rsidR="006E5A3B" w:rsidRPr="001C7C35">
        <w:rPr>
          <w:szCs w:val="24"/>
        </w:rPr>
        <w:t xml:space="preserve"> Henry Chukwudumeme Nkemadu (Nig</w:t>
      </w:r>
      <w:r w:rsidR="0082570D" w:rsidRPr="001C7C35">
        <w:rPr>
          <w:szCs w:val="24"/>
        </w:rPr>
        <w:t>é</w:t>
      </w:r>
      <w:r w:rsidR="006E5A3B" w:rsidRPr="001C7C35">
        <w:rPr>
          <w:szCs w:val="24"/>
        </w:rPr>
        <w:t>ria), M</w:t>
      </w:r>
      <w:r w:rsidR="0082570D" w:rsidRPr="001C7C35">
        <w:rPr>
          <w:szCs w:val="24"/>
        </w:rPr>
        <w:t>me</w:t>
      </w:r>
      <w:r w:rsidR="006E5A3B" w:rsidRPr="001C7C35">
        <w:rPr>
          <w:szCs w:val="24"/>
        </w:rPr>
        <w:t xml:space="preserve"> </w:t>
      </w:r>
      <w:r w:rsidR="0082570D" w:rsidRPr="001C7C35">
        <w:rPr>
          <w:szCs w:val="24"/>
        </w:rPr>
        <w:t>Ke Wang (République populaire de Chine</w:t>
      </w:r>
      <w:r w:rsidR="006E5A3B" w:rsidRPr="001C7C35">
        <w:rPr>
          <w:szCs w:val="24"/>
        </w:rPr>
        <w:t xml:space="preserve">) </w:t>
      </w:r>
      <w:r w:rsidR="00A70F5A" w:rsidRPr="001C7C35">
        <w:rPr>
          <w:szCs w:val="24"/>
        </w:rPr>
        <w:t>et </w:t>
      </w:r>
      <w:r w:rsidR="0082570D" w:rsidRPr="001C7C35">
        <w:rPr>
          <w:szCs w:val="24"/>
        </w:rPr>
        <w:t>M.</w:t>
      </w:r>
      <w:r w:rsidR="006E5A3B" w:rsidRPr="001C7C35">
        <w:rPr>
          <w:szCs w:val="24"/>
        </w:rPr>
        <w:t xml:space="preserve"> Dominique Würges (France). </w:t>
      </w:r>
      <w:r w:rsidR="0082570D" w:rsidRPr="001C7C35">
        <w:rPr>
          <w:bCs/>
          <w:szCs w:val="24"/>
        </w:rPr>
        <w:t>Sous la supervision de cett</w:t>
      </w:r>
      <w:r w:rsidR="00A70F5A" w:rsidRPr="001C7C35">
        <w:rPr>
          <w:bCs/>
          <w:szCs w:val="24"/>
        </w:rPr>
        <w:t>e équipe, la CE 2 a examiné les </w:t>
      </w:r>
      <w:r w:rsidR="0082570D" w:rsidRPr="001C7C35">
        <w:rPr>
          <w:bCs/>
          <w:szCs w:val="24"/>
        </w:rPr>
        <w:t>101</w:t>
      </w:r>
      <w:r w:rsidR="00A70F5A" w:rsidRPr="001C7C35">
        <w:rPr>
          <w:bCs/>
          <w:szCs w:val="24"/>
        </w:rPr>
        <w:t> </w:t>
      </w:r>
      <w:r w:rsidR="0082570D" w:rsidRPr="001C7C35">
        <w:rPr>
          <w:bCs/>
          <w:szCs w:val="24"/>
        </w:rPr>
        <w:t>contributions soumises pour faire avancer les travaux</w:t>
      </w:r>
      <w:r w:rsidR="006E5A3B" w:rsidRPr="001C7C35">
        <w:rPr>
          <w:bCs/>
          <w:color w:val="000000" w:themeColor="text1"/>
          <w:szCs w:val="24"/>
        </w:rPr>
        <w:t xml:space="preserve">. </w:t>
      </w:r>
    </w:p>
    <w:p w:rsidR="00C41245" w:rsidRPr="001C7C35" w:rsidRDefault="00C41245" w:rsidP="000073BC">
      <w:pPr>
        <w:spacing w:after="120"/>
      </w:pPr>
      <w:r w:rsidRPr="001C7C35">
        <w:t xml:space="preserve">Les participants à la deuxième réunion ont examiné les progrès accomplis par les Groupes du Rapporteur de la CE 2 au cours de l'année écoulée. Dans l'ensemble, les travaux ont bien avancé et les membres ont été encouragés à </w:t>
      </w:r>
      <w:r w:rsidR="00A70F5A" w:rsidRPr="001C7C35">
        <w:t>continuer de travailler</w:t>
      </w:r>
      <w:r w:rsidRPr="001C7C35">
        <w:t xml:space="preserve"> sur les thèmes qui </w:t>
      </w:r>
      <w:r w:rsidR="00A70F5A" w:rsidRPr="001C7C35">
        <w:t xml:space="preserve">appelaient </w:t>
      </w:r>
      <w:r w:rsidRPr="001C7C35">
        <w:t xml:space="preserve">davantage de </w:t>
      </w:r>
      <w:r w:rsidR="00A70F5A" w:rsidRPr="001C7C35">
        <w:t>contribution</w:t>
      </w:r>
      <w:r w:rsidRPr="001C7C35">
        <w:t>s. Les membres de la CE 2 ont également commencé à examiner les textes des produits annuels et des rapports finals relatifs aux Questions à l'étude.</w:t>
      </w:r>
    </w:p>
    <w:p w:rsidR="00C41245" w:rsidRPr="001C7C35" w:rsidRDefault="00C41245" w:rsidP="000073BC">
      <w:pPr>
        <w:spacing w:after="120"/>
      </w:pPr>
      <w:r w:rsidRPr="001C7C35">
        <w:t>Suite notamment à la démission de Mme Dan Liu (République populaire de Chine) de sa fonction de Corapporteur pour la Question 7/2</w:t>
      </w:r>
      <w:r w:rsidR="00A70F5A" w:rsidRPr="001C7C35">
        <w:t>,</w:t>
      </w:r>
      <w:r w:rsidRPr="001C7C35">
        <w:t xml:space="preserve"> son administration</w:t>
      </w:r>
      <w:r w:rsidR="00A70F5A" w:rsidRPr="001C7C35">
        <w:t xml:space="preserve"> lui ayant confié de nouvelles responsabilités</w:t>
      </w:r>
      <w:r w:rsidRPr="001C7C35">
        <w:t xml:space="preserve">, il a été nécessaire de renforcer certaines équipes de direction pour veiller à ce que les travaux </w:t>
      </w:r>
      <w:r w:rsidR="00A70F5A" w:rsidRPr="001C7C35">
        <w:t>avancent correctement</w:t>
      </w:r>
      <w:r w:rsidRPr="001C7C35">
        <w:t>. A l'issue des discussions corres</w:t>
      </w:r>
      <w:r w:rsidR="00172D71" w:rsidRPr="001C7C35">
        <w:t>pondantes au sein de la CE 2, 2 </w:t>
      </w:r>
      <w:r w:rsidRPr="001C7C35">
        <w:t xml:space="preserve">nouveaux Corapporteurs et 7 nouveaux Vice-Rapporteurs ont été désignés, compte tenu de leurs compétences et leur expérience, </w:t>
      </w:r>
      <w:r w:rsidR="00A70F5A" w:rsidRPr="001C7C35">
        <w:t xml:space="preserve">autant que possible </w:t>
      </w:r>
      <w:r w:rsidRPr="001C7C35">
        <w:t>dans le respect de l'équilibre entre les régions et de la parité hommes-femmes. On trouvera dans l'</w:t>
      </w:r>
      <w:r w:rsidRPr="001C7C35">
        <w:rPr>
          <w:b/>
          <w:bCs/>
        </w:rPr>
        <w:t xml:space="preserve">Annexe 1 </w:t>
      </w:r>
      <w:r w:rsidR="00A70F5A" w:rsidRPr="001C7C35">
        <w:t>du présent R</w:t>
      </w:r>
      <w:r w:rsidRPr="001C7C35">
        <w:t>apport les noms des nouveaux membres de l'équipe de direction de la CE 2.</w:t>
      </w:r>
    </w:p>
    <w:p w:rsidR="005364A6" w:rsidRPr="001C7C35" w:rsidRDefault="005364A6" w:rsidP="000073BC">
      <w:pPr>
        <w:spacing w:after="120"/>
      </w:pPr>
      <w:r w:rsidRPr="001C7C35">
        <w:t>Un</w:t>
      </w:r>
      <w:r w:rsidR="00C41245" w:rsidRPr="001C7C35">
        <w:t xml:space="preserve"> produit annuel intitulé "Créer des sociétés intelligentes selon une approche globale"</w:t>
      </w:r>
      <w:r w:rsidR="006E5A3B" w:rsidRPr="001C7C35">
        <w:t xml:space="preserve"> (</w:t>
      </w:r>
      <w:r w:rsidR="00C41245" w:rsidRPr="001C7C35">
        <w:t xml:space="preserve">Document </w:t>
      </w:r>
      <w:hyperlink r:id="rId16" w:history="1">
        <w:r w:rsidR="006E5A3B" w:rsidRPr="001C7C35">
          <w:rPr>
            <w:rStyle w:val="Hyperlink"/>
          </w:rPr>
          <w:t>2/169(R</w:t>
        </w:r>
        <w:r w:rsidR="00C41245" w:rsidRPr="001C7C35">
          <w:rPr>
            <w:rStyle w:val="Hyperlink"/>
          </w:rPr>
          <w:t>é</w:t>
        </w:r>
        <w:r w:rsidR="006E5A3B" w:rsidRPr="001C7C35">
          <w:rPr>
            <w:rStyle w:val="Hyperlink"/>
          </w:rPr>
          <w:t>v.1)</w:t>
        </w:r>
      </w:hyperlink>
      <w:r w:rsidR="006E5A3B" w:rsidRPr="001C7C35">
        <w:t>)</w:t>
      </w:r>
      <w:r w:rsidRPr="001C7C35">
        <w:t xml:space="preserve"> a été soumis par le Groupe du Rapporteur pour la Question 1/2 en vue de sa publication. Ce produit vise à présenter certains principes clés de l'approche globale permettant de créer des sociétés intelligentes, </w:t>
      </w:r>
      <w:r w:rsidR="00172D71" w:rsidRPr="001C7C35">
        <w:t>à décrire les</w:t>
      </w:r>
      <w:r w:rsidRPr="001C7C35">
        <w:t xml:space="preserve"> éléments composant l'architecture en couche d'une ville ou société intelligente </w:t>
      </w:r>
      <w:r w:rsidR="00172D71" w:rsidRPr="001C7C35">
        <w:t>et à présenter</w:t>
      </w:r>
      <w:r w:rsidRPr="001C7C35">
        <w:t xml:space="preserve"> des études de cas sur ce sujet. Une table ronde connexe a également été organisée afin de présenter ce produit et de discuter des thèmes </w:t>
      </w:r>
      <w:r w:rsidR="00172D71" w:rsidRPr="001C7C35">
        <w:t>dont il traite</w:t>
      </w:r>
      <w:r w:rsidRPr="001C7C35">
        <w:t xml:space="preserve">. A l'issue de l'examen du processus en cours et sur la base des discussions, les participants à la réunion de la CE 2 ont décidé de publier le document (c'est-à-dire qu'il n'est pas nécessaire d'être titulaire d'un compte TIES pour pouvoir y accéder) en tant </w:t>
      </w:r>
      <w:r w:rsidR="00172D71" w:rsidRPr="001C7C35">
        <w:t>que document du Président de la </w:t>
      </w:r>
      <w:r w:rsidRPr="001C7C35">
        <w:t xml:space="preserve">CE 2, afin de fournir aux membres des informations actualisées </w:t>
      </w:r>
      <w:r w:rsidR="00172D71" w:rsidRPr="001C7C35">
        <w:t>ainsi que</w:t>
      </w:r>
      <w:r w:rsidRPr="001C7C35">
        <w:t xml:space="preserve"> d'encourager et de faciliter de nouvelles contributions sur ce sujet.</w:t>
      </w:r>
    </w:p>
    <w:p w:rsidR="005364A6" w:rsidRPr="001C7C35" w:rsidRDefault="005364A6" w:rsidP="000073BC">
      <w:pPr>
        <w:spacing w:after="120"/>
      </w:pPr>
      <w:r w:rsidRPr="001C7C35">
        <w:lastRenderedPageBreak/>
        <w:t xml:space="preserve">Afin de rechercher des synergies et d'encourager la collaboration entre les </w:t>
      </w:r>
      <w:r w:rsidR="00172D71" w:rsidRPr="001C7C35">
        <w:t xml:space="preserve">groupes s'occupant des </w:t>
      </w:r>
      <w:r w:rsidRPr="001C7C35">
        <w:t xml:space="preserve">Questions confiées à l'UIT-D et </w:t>
      </w:r>
      <w:r w:rsidR="00172D71" w:rsidRPr="001C7C35">
        <w:t>les</w:t>
      </w:r>
      <w:r w:rsidRPr="001C7C35">
        <w:t xml:space="preserve"> autres Secteurs</w:t>
      </w:r>
      <w:r w:rsidR="00172D71" w:rsidRPr="001C7C35">
        <w:t xml:space="preserve"> de l'UIT</w:t>
      </w:r>
      <w:r w:rsidRPr="001C7C35">
        <w:t xml:space="preserve">, les participants à la réunion ont amélioré </w:t>
      </w:r>
      <w:r w:rsidR="00172D71" w:rsidRPr="001C7C35">
        <w:t>les tableaux de</w:t>
      </w:r>
      <w:r w:rsidRPr="001C7C35">
        <w:t xml:space="preserve"> mise en correspondance entre les Questions confiées</w:t>
      </w:r>
      <w:r w:rsidR="00B111DF" w:rsidRPr="001C7C35">
        <w:t xml:space="preserve"> aux C</w:t>
      </w:r>
      <w:r w:rsidRPr="001C7C35">
        <w:t xml:space="preserve">ommissions d'études de l'UIT-D, ainsi qu'entre les activités de l'UIT-D et les activités de l'UIT-T et entre les activités de l'UIT-D et les activités de l'UIT-R. Les participants à la réunion ont estimé que </w:t>
      </w:r>
      <w:r w:rsidR="00172D71" w:rsidRPr="001C7C35">
        <w:t>ces tableaux</w:t>
      </w:r>
      <w:r w:rsidRPr="001C7C35">
        <w:t xml:space="preserve"> étai</w:t>
      </w:r>
      <w:r w:rsidR="00172D71" w:rsidRPr="001C7C35">
        <w:t>en</w:t>
      </w:r>
      <w:r w:rsidRPr="001C7C35">
        <w:t xml:space="preserve">t </w:t>
      </w:r>
      <w:r w:rsidR="00E6118A" w:rsidRPr="001C7C35">
        <w:t>stable</w:t>
      </w:r>
      <w:r w:rsidR="00172D71" w:rsidRPr="001C7C35">
        <w:t>s</w:t>
      </w:r>
      <w:r w:rsidR="00E6118A" w:rsidRPr="001C7C35">
        <w:t xml:space="preserve"> et que </w:t>
      </w:r>
      <w:r w:rsidR="00172D71" w:rsidRPr="001C7C35">
        <w:t xml:space="preserve">leur mise à jour par les trois Secteurs de l'UIT pouvait se poursuivre </w:t>
      </w:r>
      <w:r w:rsidR="00E6118A" w:rsidRPr="001C7C35">
        <w:t xml:space="preserve">sous </w:t>
      </w:r>
      <w:r w:rsidR="00172D71" w:rsidRPr="001C7C35">
        <w:t>la forme de documents évolutifs</w:t>
      </w:r>
      <w:r w:rsidR="00E6118A" w:rsidRPr="001C7C35">
        <w:t>. Un document correspondant a été élaboré pour présenter le contexte de ces activités de mise en correspondance et d'en énoncer les objectifs.</w:t>
      </w:r>
    </w:p>
    <w:p w:rsidR="00E6118A" w:rsidRPr="001C7C35" w:rsidRDefault="00E6118A" w:rsidP="000073BC">
      <w:pPr>
        <w:spacing w:after="120"/>
      </w:pPr>
      <w:r w:rsidRPr="001C7C35">
        <w:t>Les participants à la réunion de la CE 2 ont en outre examiné les liens possible</w:t>
      </w:r>
      <w:r w:rsidR="00172D71" w:rsidRPr="001C7C35">
        <w:t>s</w:t>
      </w:r>
      <w:r w:rsidRPr="001C7C35">
        <w:t xml:space="preserve"> entre les Questions confiées aux commissions d'études de l'UIT-D et les projets de l'UIT, les activités de l'UIT en matière de renforcement des capacités (en particulier avec les centres d'excellence de l'UIT) et avec les Prix du SMSI 2018 et 2019. Certaines premières mises en correspondance ont été proposées. Les Groupes du Rapporteur de la CE 2 analyseront plus avant les correspondances pour la Question qui </w:t>
      </w:r>
      <w:r w:rsidR="00172D71" w:rsidRPr="001C7C35">
        <w:t>leur est confiée</w:t>
      </w:r>
      <w:r w:rsidRPr="001C7C35">
        <w:t xml:space="preserve"> et décideront de la suite à donner selon qu'il convient.</w:t>
      </w:r>
    </w:p>
    <w:p w:rsidR="00E6118A" w:rsidRPr="001C7C35" w:rsidRDefault="001C2740" w:rsidP="000073BC">
      <w:pPr>
        <w:spacing w:after="120"/>
      </w:pPr>
      <w:r w:rsidRPr="001C7C35">
        <w:t xml:space="preserve">En vue de mettre en </w:t>
      </w:r>
      <w:r w:rsidR="006C65DA" w:rsidRPr="001C7C35">
        <w:t>œ</w:t>
      </w:r>
      <w:r w:rsidRPr="001C7C35">
        <w:t xml:space="preserve">uvre la Résolution 131 (Rév. Dubaï, 2018) de la Conférence de plénipotentiaires de l'UIT "Mesurer les technologies de l'information et de la communication pour édifier une société de l'information inclusive et qui facilite l'intégration", les participants ont examiné une proposition concernant </w:t>
      </w:r>
      <w:r w:rsidR="000073BC" w:rsidRPr="001C7C35">
        <w:t>les activités</w:t>
      </w:r>
      <w:r w:rsidRPr="001C7C35">
        <w:t xml:space="preserve"> que la CE 2 de l'UIT-D</w:t>
      </w:r>
      <w:r w:rsidR="000073BC" w:rsidRPr="001C7C35">
        <w:t xml:space="preserve"> pourrait mener</w:t>
      </w:r>
      <w:r w:rsidRPr="001C7C35">
        <w:t xml:space="preserve">. Les discussions ont abouti à un consensus consistant à inviter le BDT à fournir des informations statistiques qui pourraient </w:t>
      </w:r>
      <w:r w:rsidR="00B14012" w:rsidRPr="001C7C35">
        <w:t>intéresser</w:t>
      </w:r>
      <w:r w:rsidRPr="001C7C35">
        <w:t xml:space="preserve"> les groupes s'occupant des Questions à l'étude dans le cadre de la CE 2 de l'UIT-D dans l'avenir</w:t>
      </w:r>
      <w:r w:rsidR="000073BC" w:rsidRPr="001C7C35">
        <w:t>,</w:t>
      </w:r>
      <w:r w:rsidRPr="001C7C35">
        <w:t xml:space="preserve"> et à coordonner de manière active les travaux de ces groupes </w:t>
      </w:r>
      <w:r w:rsidR="00B14012" w:rsidRPr="001C7C35">
        <w:t>auxquels des données et analyses statistiques</w:t>
      </w:r>
      <w:r w:rsidRPr="001C7C35">
        <w:t xml:space="preserve"> </w:t>
      </w:r>
      <w:r w:rsidR="00B14012" w:rsidRPr="001C7C35">
        <w:t>(par exemple concernant les indicateurs pris en compte pour calculer l'indice de développement des TIC (IDI)) pourraient être utiles. Cette coordination se fera sous la supervision d'un Vice-Président de la CE 2 de l'UIT-D.</w:t>
      </w:r>
      <w:r w:rsidRPr="001C7C35">
        <w:t xml:space="preserve"> </w:t>
      </w:r>
    </w:p>
    <w:p w:rsidR="00F348BD" w:rsidRPr="001C7C35" w:rsidRDefault="00F348BD" w:rsidP="000073BC">
      <w:pPr>
        <w:overflowPunct/>
        <w:textAlignment w:val="auto"/>
      </w:pPr>
      <w:r w:rsidRPr="001C7C35">
        <w:t xml:space="preserve">En vue de mettre en </w:t>
      </w:r>
      <w:r w:rsidR="006C65DA" w:rsidRPr="001C7C35">
        <w:t>œ</w:t>
      </w:r>
      <w:r w:rsidRPr="001C7C35">
        <w:t xml:space="preserve">uvre la Résolution </w:t>
      </w:r>
      <w:r w:rsidR="006E5A3B" w:rsidRPr="001C7C35">
        <w:t>9 (R</w:t>
      </w:r>
      <w:r w:rsidRPr="001C7C35">
        <w:t>é</w:t>
      </w:r>
      <w:r w:rsidR="0088596F">
        <w:t>v.</w:t>
      </w:r>
      <w:r w:rsidR="006E5A3B" w:rsidRPr="001C7C35">
        <w:t xml:space="preserve">Buenos Aires, 2017) </w:t>
      </w:r>
      <w:r w:rsidRPr="001C7C35">
        <w:t>de la CMDT "Participation des pays, en particulier des pays en développement, à la gestion du spectre radioélectrique</w:t>
      </w:r>
      <w:r w:rsidR="00B111DF" w:rsidRPr="001C7C35">
        <w:t>"</w:t>
      </w:r>
      <w:r w:rsidRPr="001C7C35">
        <w:t>, et en particulier de répondre aux besoins des pays en développement qui y sont énoncés, les participants à la réunion de la CE 2 ont recensé les Questions pertinentes à l'étude pour lesquelles il faudra une collaboration étroite avec l'UIT-R. Afin de faciliter cette collaboration, un point de contact a été désigné</w:t>
      </w:r>
      <w:r w:rsidR="000073BC" w:rsidRPr="001C7C35">
        <w:t xml:space="preserve"> pour chaque Question recensée et </w:t>
      </w:r>
      <w:r w:rsidRPr="001C7C35">
        <w:t>Mme</w:t>
      </w:r>
      <w:r w:rsidR="006E5A3B" w:rsidRPr="001C7C35">
        <w:rPr>
          <w:szCs w:val="24"/>
        </w:rPr>
        <w:t xml:space="preserve"> Abdalla Hassan Basher</w:t>
      </w:r>
      <w:r w:rsidR="006E5A3B" w:rsidRPr="001C7C35">
        <w:t xml:space="preserve"> (S</w:t>
      </w:r>
      <w:r w:rsidRPr="001C7C35">
        <w:t>o</w:t>
      </w:r>
      <w:r w:rsidR="006E5A3B" w:rsidRPr="001C7C35">
        <w:t>udan), Vice-</w:t>
      </w:r>
      <w:r w:rsidRPr="001C7C35">
        <w:t>Présidente de la CE 2 de l'UIT-D</w:t>
      </w:r>
      <w:r w:rsidR="006E5A3B" w:rsidRPr="001C7C35">
        <w:t xml:space="preserve">, </w:t>
      </w:r>
      <w:r w:rsidRPr="001C7C35">
        <w:t>sera chargé</w:t>
      </w:r>
      <w:r w:rsidR="000073BC" w:rsidRPr="001C7C35">
        <w:t>e</w:t>
      </w:r>
      <w:r w:rsidRPr="001C7C35">
        <w:t xml:space="preserve"> de coordonner les travaux sur les questions relatives à la Résolution 9 de la CDMT avec les points de contact.</w:t>
      </w:r>
    </w:p>
    <w:p w:rsidR="005A5E93" w:rsidRPr="001C7C35" w:rsidRDefault="00DF6130" w:rsidP="000073BC">
      <w:pPr>
        <w:pStyle w:val="Heading2"/>
      </w:pPr>
      <w:r w:rsidRPr="001C7C35">
        <w:t>2.</w:t>
      </w:r>
      <w:r w:rsidR="00C610A2" w:rsidRPr="001C7C35">
        <w:t>3</w:t>
      </w:r>
      <w:r w:rsidRPr="001C7C35">
        <w:tab/>
      </w:r>
      <w:r w:rsidR="00F7150A" w:rsidRPr="001C7C35">
        <w:t>Réunions</w:t>
      </w:r>
      <w:r w:rsidR="004C0365" w:rsidRPr="001C7C35">
        <w:t xml:space="preserve"> de 2018</w:t>
      </w:r>
      <w:r w:rsidR="00F7150A" w:rsidRPr="001C7C35">
        <w:t xml:space="preserve"> des Groupes du Rapporteur de la Commission d'études 2</w:t>
      </w:r>
      <w:r w:rsidR="00302250" w:rsidRPr="001C7C35">
        <w:t xml:space="preserve"> (1er</w:t>
      </w:r>
      <w:r w:rsidR="00302250" w:rsidRPr="001C7C35">
        <w:noBreakHyphen/>
        <w:t>1</w:t>
      </w:r>
      <w:r w:rsidR="00E25EFE" w:rsidRPr="001C7C35">
        <w:t>2</w:t>
      </w:r>
      <w:r w:rsidR="00302250" w:rsidRPr="001C7C35">
        <w:t> </w:t>
      </w:r>
      <w:r w:rsidRPr="001C7C35">
        <w:t>octobre 2018)</w:t>
      </w:r>
    </w:p>
    <w:p w:rsidR="00DF6130" w:rsidRPr="001C7C35" w:rsidRDefault="004C0365" w:rsidP="000073BC">
      <w:pPr>
        <w:rPr>
          <w:bCs/>
          <w:szCs w:val="24"/>
        </w:rPr>
      </w:pPr>
      <w:bookmarkStart w:id="27" w:name="lt_pId065"/>
      <w:r w:rsidRPr="001C7C35">
        <w:t xml:space="preserve">Les participants aux réunions de 2018 des Groupes du Rapporteur de la Commission d'études 2 ont </w:t>
      </w:r>
      <w:r w:rsidR="0096518A" w:rsidRPr="001C7C35">
        <w:t>défini plus précisément les programmes</w:t>
      </w:r>
      <w:r w:rsidR="009F0BB4" w:rsidRPr="001C7C35">
        <w:t xml:space="preserve"> de travail et</w:t>
      </w:r>
      <w:r w:rsidRPr="001C7C35">
        <w:t xml:space="preserve"> la structure générale des </w:t>
      </w:r>
      <w:r w:rsidR="0096518A" w:rsidRPr="001C7C35">
        <w:t xml:space="preserve">produits relatifs aux </w:t>
      </w:r>
      <w:r w:rsidRPr="001C7C35">
        <w:t xml:space="preserve">Questions à l'étude au sein de la CE 2 et </w:t>
      </w:r>
      <w:r w:rsidR="0096518A" w:rsidRPr="001C7C35">
        <w:t>ont poursuivi le travail de rédaction et les échanges concernant les</w:t>
      </w:r>
      <w:r w:rsidRPr="001C7C35">
        <w:t xml:space="preserve"> chapitres des rapports, les lignes directrices et les études de cas</w:t>
      </w:r>
      <w:r w:rsidR="00DF6130" w:rsidRPr="001C7C35">
        <w:rPr>
          <w:bCs/>
          <w:szCs w:val="24"/>
        </w:rPr>
        <w:t>.</w:t>
      </w:r>
      <w:bookmarkEnd w:id="27"/>
      <w:r w:rsidR="00DF6130" w:rsidRPr="001C7C35">
        <w:rPr>
          <w:bCs/>
          <w:szCs w:val="24"/>
        </w:rPr>
        <w:t xml:space="preserve"> </w:t>
      </w:r>
    </w:p>
    <w:p w:rsidR="00DF6130" w:rsidRPr="001C7C35" w:rsidRDefault="009F0BB4" w:rsidP="000073BC">
      <w:bookmarkStart w:id="28" w:name="lt_pId066"/>
      <w:r w:rsidRPr="001C7C35">
        <w:t>En parallèle aux réunions, dans le souci d'approfondir les connaissances sur les thèmes traités dans les Questions à l'étude et les p</w:t>
      </w:r>
      <w:r w:rsidR="002113F2" w:rsidRPr="001C7C35">
        <w:t>rogrammes</w:t>
      </w:r>
      <w:r w:rsidRPr="001C7C35">
        <w:t xml:space="preserve"> de travail </w:t>
      </w:r>
      <w:r w:rsidR="00DC03E0" w:rsidRPr="001C7C35">
        <w:t>correspondants</w:t>
      </w:r>
      <w:r w:rsidRPr="001C7C35">
        <w:t xml:space="preserve">, et afin d'encourager l'échange de connaissances avec les </w:t>
      </w:r>
      <w:r w:rsidR="00DC03E0" w:rsidRPr="001C7C35">
        <w:t>autres Secteurs et</w:t>
      </w:r>
      <w:r w:rsidRPr="001C7C35">
        <w:t xml:space="preserve"> organisations, </w:t>
      </w:r>
      <w:r w:rsidR="00DC03E0" w:rsidRPr="001C7C35">
        <w:t xml:space="preserve">on a consacré </w:t>
      </w:r>
      <w:r w:rsidRPr="001C7C35">
        <w:t>une partie intégrante des réunions des Groupes du Rapporteur tenues du 1er au 1</w:t>
      </w:r>
      <w:r w:rsidR="00E25EFE" w:rsidRPr="001C7C35">
        <w:t>2</w:t>
      </w:r>
      <w:r w:rsidRPr="001C7C35">
        <w:t xml:space="preserve"> octobre 2018 </w:t>
      </w:r>
      <w:r w:rsidR="00DC03E0" w:rsidRPr="001C7C35">
        <w:t>à des sessions</w:t>
      </w:r>
      <w:r w:rsidRPr="001C7C35">
        <w:t xml:space="preserve"> et des ateliers spécialisés</w:t>
      </w:r>
      <w:r w:rsidR="00DF6130" w:rsidRPr="001C7C35">
        <w:t>.</w:t>
      </w:r>
      <w:bookmarkEnd w:id="28"/>
      <w:r w:rsidR="00DF6130" w:rsidRPr="001C7C35">
        <w:t xml:space="preserve"> </w:t>
      </w:r>
      <w:bookmarkStart w:id="29" w:name="lt_pId067"/>
      <w:r w:rsidR="001C7C35" w:rsidRPr="001C7C35">
        <w:t>À</w:t>
      </w:r>
      <w:r w:rsidRPr="001C7C35">
        <w:t xml:space="preserve"> cette occasion, </w:t>
      </w:r>
      <w:r w:rsidR="00AB65A3" w:rsidRPr="001C7C35">
        <w:t>des spécialistes parmi les membres de l'UIT, mais aussi plusieurs spécialistes non membres de l'UIT</w:t>
      </w:r>
      <w:r w:rsidR="00A249B7" w:rsidRPr="001C7C35">
        <w:t>,</w:t>
      </w:r>
      <w:r w:rsidR="00AB65A3" w:rsidRPr="001C7C35">
        <w:t xml:space="preserve"> ont participé aux discussions.</w:t>
      </w:r>
      <w:bookmarkStart w:id="30" w:name="lt_pId068"/>
      <w:bookmarkEnd w:id="29"/>
      <w:r w:rsidR="00AB65A3" w:rsidRPr="001C7C35">
        <w:t xml:space="preserve"> Au</w:t>
      </w:r>
      <w:r w:rsidR="00DF6130" w:rsidRPr="001C7C35">
        <w:t xml:space="preserve"> total</w:t>
      </w:r>
      <w:r w:rsidR="00AB65A3" w:rsidRPr="001C7C35">
        <w:t xml:space="preserve">, sept </w:t>
      </w:r>
      <w:r w:rsidR="00A249B7" w:rsidRPr="001C7C35">
        <w:lastRenderedPageBreak/>
        <w:t>sessions</w:t>
      </w:r>
      <w:r w:rsidR="00AB65A3" w:rsidRPr="001C7C35">
        <w:t>/ateliers spécialisés ont été orga</w:t>
      </w:r>
      <w:r w:rsidR="00A85328" w:rsidRPr="001C7C35">
        <w:t xml:space="preserve">nisés, sur les thèmes </w:t>
      </w:r>
      <w:r w:rsidR="00C71533" w:rsidRPr="001C7C35">
        <w:t>ci-aprè</w:t>
      </w:r>
      <w:r w:rsidR="00A85328" w:rsidRPr="001C7C35">
        <w:t>s</w:t>
      </w:r>
      <w:r w:rsidR="00F91C79" w:rsidRPr="001C7C35">
        <w:t xml:space="preserve"> (</w:t>
      </w:r>
      <w:r w:rsidR="00847B8E" w:rsidRPr="001C7C35">
        <w:t>l</w:t>
      </w:r>
      <w:r w:rsidR="00A85328" w:rsidRPr="001C7C35">
        <w:t>e</w:t>
      </w:r>
      <w:r w:rsidR="00AB65A3" w:rsidRPr="001C7C35">
        <w:t xml:space="preserve"> programme détaillé de chaque s</w:t>
      </w:r>
      <w:r w:rsidR="002739D6" w:rsidRPr="001C7C35">
        <w:t>ession</w:t>
      </w:r>
      <w:r w:rsidR="00AB65A3" w:rsidRPr="001C7C35">
        <w:t>/atelier spécialisé</w:t>
      </w:r>
      <w:r w:rsidR="002739D6" w:rsidRPr="001C7C35">
        <w:t>(e)</w:t>
      </w:r>
      <w:r w:rsidR="00A85328" w:rsidRPr="001C7C35">
        <w:t xml:space="preserve"> est accessible via les liens suivants</w:t>
      </w:r>
      <w:r w:rsidR="00F91C79" w:rsidRPr="001C7C35">
        <w:t>)</w:t>
      </w:r>
      <w:r w:rsidR="00AB65A3" w:rsidRPr="001C7C35">
        <w:t>:</w:t>
      </w:r>
      <w:bookmarkEnd w:id="30"/>
    </w:p>
    <w:p w:rsidR="00CE5AFE" w:rsidRPr="001C7C35" w:rsidRDefault="00CE5AFE" w:rsidP="000073BC">
      <w:pPr>
        <w:pStyle w:val="enumlev1"/>
      </w:pPr>
      <w:r w:rsidRPr="001C7C35">
        <w:t>–</w:t>
      </w:r>
      <w:r w:rsidRPr="001C7C35">
        <w:tab/>
        <w:t xml:space="preserve">Question 1/2: </w:t>
      </w:r>
      <w:hyperlink r:id="rId17" w:history="1">
        <w:r w:rsidR="00A85328" w:rsidRPr="001C7C35">
          <w:rPr>
            <w:rStyle w:val="Hyperlink"/>
          </w:rPr>
          <w:t xml:space="preserve">Technologies et </w:t>
        </w:r>
        <w:r w:rsidR="00121A2E" w:rsidRPr="001C7C35">
          <w:rPr>
            <w:rStyle w:val="Hyperlink"/>
          </w:rPr>
          <w:t>innovation au service de la connectivité pour un développement industriel inclusif et durable</w:t>
        </w:r>
      </w:hyperlink>
      <w:r w:rsidR="00121A2E" w:rsidRPr="001C7C35">
        <w:t xml:space="preserve"> (1er octobre 2018). </w:t>
      </w:r>
      <w:r w:rsidR="00AB65A3" w:rsidRPr="001C7C35">
        <w:t xml:space="preserve">Cette manifestation conjointe a été organisée en collaboration avec </w:t>
      </w:r>
      <w:r w:rsidR="00847B8E" w:rsidRPr="001C7C35">
        <w:t>l'</w:t>
      </w:r>
      <w:r w:rsidR="00AB65A3" w:rsidRPr="001C7C35">
        <w:t xml:space="preserve">ONUDI et le </w:t>
      </w:r>
      <w:r w:rsidR="00121A2E" w:rsidRPr="001C7C35">
        <w:t xml:space="preserve">GMIS, </w:t>
      </w:r>
      <w:r w:rsidR="00901644" w:rsidRPr="001C7C35">
        <w:t>afin de débattre de l'avenir des infrastructures et de la connectivité au service d'un développement industriel inclusif et durable, et du rôle des technologies émergentes dans l'édification de villes et de commun</w:t>
      </w:r>
      <w:r w:rsidR="00A85328" w:rsidRPr="001C7C35">
        <w:t>autés intelligentes et durables;</w:t>
      </w:r>
    </w:p>
    <w:p w:rsidR="00CE5AFE" w:rsidRPr="001C7C35" w:rsidRDefault="00CE5AFE" w:rsidP="000073BC">
      <w:pPr>
        <w:pStyle w:val="enumlev1"/>
      </w:pPr>
      <w:r w:rsidRPr="001C7C35">
        <w:t>–</w:t>
      </w:r>
      <w:r w:rsidRPr="001C7C35">
        <w:tab/>
      </w:r>
      <w:r w:rsidR="0000475C" w:rsidRPr="001C7C35">
        <w:t xml:space="preserve">Question 2/2: </w:t>
      </w:r>
      <w:hyperlink r:id="rId18" w:history="1">
        <w:r w:rsidR="00C15045" w:rsidRPr="001C7C35">
          <w:rPr>
            <w:rStyle w:val="Hyperlink"/>
          </w:rPr>
          <w:t>A</w:t>
        </w:r>
        <w:r w:rsidR="0000475C" w:rsidRPr="001C7C35">
          <w:rPr>
            <w:rStyle w:val="Hyperlink"/>
          </w:rPr>
          <w:t>doption de nouvelles technologies numériques dans le domaine de la santé</w:t>
        </w:r>
      </w:hyperlink>
      <w:r w:rsidR="00121A2E" w:rsidRPr="001C7C35">
        <w:t xml:space="preserve"> (5 octobre 2018)</w:t>
      </w:r>
      <w:r w:rsidR="00A85328" w:rsidRPr="001C7C35">
        <w:t>;</w:t>
      </w:r>
    </w:p>
    <w:p w:rsidR="00CE5AFE" w:rsidRPr="001C7C35" w:rsidRDefault="00CE5AFE" w:rsidP="000073BC">
      <w:pPr>
        <w:pStyle w:val="enumlev1"/>
      </w:pPr>
      <w:r w:rsidRPr="001C7C35">
        <w:t>–</w:t>
      </w:r>
      <w:r w:rsidRPr="001C7C35">
        <w:tab/>
      </w:r>
      <w:r w:rsidR="00121A2E" w:rsidRPr="001C7C35">
        <w:t xml:space="preserve">Question 3/2: </w:t>
      </w:r>
      <w:hyperlink r:id="rId19" w:history="1">
        <w:r w:rsidR="00121A2E" w:rsidRPr="001C7C35">
          <w:rPr>
            <w:rStyle w:val="Hyperlink"/>
          </w:rPr>
          <w:t>Questions qui se font jour en matière de cybersécurité</w:t>
        </w:r>
      </w:hyperlink>
      <w:r w:rsidR="00121A2E" w:rsidRPr="001C7C35">
        <w:t xml:space="preserve"> (9 octobre 2018)</w:t>
      </w:r>
      <w:r w:rsidR="00A85328" w:rsidRPr="001C7C35">
        <w:t>;</w:t>
      </w:r>
    </w:p>
    <w:p w:rsidR="00CE5AFE" w:rsidRPr="001C7C35" w:rsidRDefault="00CE5AFE" w:rsidP="000073BC">
      <w:pPr>
        <w:pStyle w:val="enumlev1"/>
      </w:pPr>
      <w:r w:rsidRPr="001C7C35">
        <w:t>–</w:t>
      </w:r>
      <w:r w:rsidRPr="001C7C35">
        <w:tab/>
      </w:r>
      <w:r w:rsidR="00121A2E" w:rsidRPr="001C7C35">
        <w:t xml:space="preserve">Question 4/2: </w:t>
      </w:r>
      <w:hyperlink r:id="rId20" w:history="1">
        <w:r w:rsidR="00121A2E" w:rsidRPr="001C7C35">
          <w:rPr>
            <w:rStyle w:val="Hyperlink"/>
          </w:rPr>
          <w:t>Lutte contre la contrefaçon d'équipements reposant sur les technologies de l'information et de la communication</w:t>
        </w:r>
      </w:hyperlink>
      <w:r w:rsidR="00121A2E" w:rsidRPr="001C7C35">
        <w:t xml:space="preserve"> (4 octobre 2018)</w:t>
      </w:r>
      <w:r w:rsidR="0090280D" w:rsidRPr="001C7C35">
        <w:t>;</w:t>
      </w:r>
    </w:p>
    <w:p w:rsidR="00CE5AFE" w:rsidRPr="001C7C35" w:rsidRDefault="00CE5AFE" w:rsidP="000073BC">
      <w:pPr>
        <w:pStyle w:val="enumlev1"/>
      </w:pPr>
      <w:r w:rsidRPr="001C7C35">
        <w:t>–</w:t>
      </w:r>
      <w:r w:rsidRPr="001C7C35">
        <w:tab/>
      </w:r>
      <w:r w:rsidR="00121A2E" w:rsidRPr="001C7C35">
        <w:t xml:space="preserve">Question 5/2: </w:t>
      </w:r>
      <w:hyperlink r:id="rId21" w:history="1">
        <w:r w:rsidR="00847B8E" w:rsidRPr="001C7C35">
          <w:rPr>
            <w:rStyle w:val="Hyperlink"/>
          </w:rPr>
          <w:t>Exercices de gestion des catastrophes et technologies émergentes</w:t>
        </w:r>
      </w:hyperlink>
      <w:r w:rsidR="00847B8E" w:rsidRPr="001C7C35">
        <w:t xml:space="preserve"> (3 </w:t>
      </w:r>
      <w:r w:rsidR="00121A2E" w:rsidRPr="001C7C35">
        <w:t>octobre 2018)</w:t>
      </w:r>
      <w:r w:rsidR="0090280D" w:rsidRPr="001C7C35">
        <w:t>;</w:t>
      </w:r>
    </w:p>
    <w:p w:rsidR="00CE5AFE" w:rsidRPr="001C7C35" w:rsidRDefault="00CE5AFE" w:rsidP="000073BC">
      <w:pPr>
        <w:pStyle w:val="enumlev1"/>
      </w:pPr>
      <w:r w:rsidRPr="001C7C35">
        <w:t>–</w:t>
      </w:r>
      <w:r w:rsidRPr="001C7C35">
        <w:tab/>
      </w:r>
      <w:r w:rsidR="00121A2E" w:rsidRPr="001C7C35">
        <w:t xml:space="preserve">Question 6/2: </w:t>
      </w:r>
      <w:hyperlink r:id="rId22" w:history="1">
        <w:r w:rsidR="00121A2E" w:rsidRPr="001C7C35">
          <w:rPr>
            <w:rStyle w:val="Hyperlink"/>
          </w:rPr>
          <w:t>Politiques, stratégies et cadres relatifs aux déchets d'équipements électriques et électroniques</w:t>
        </w:r>
      </w:hyperlink>
      <w:r w:rsidR="00121A2E" w:rsidRPr="001C7C35">
        <w:t xml:space="preserve"> (9 octobre 2018)</w:t>
      </w:r>
      <w:r w:rsidR="0090280D" w:rsidRPr="001C7C35">
        <w:t>;</w:t>
      </w:r>
    </w:p>
    <w:p w:rsidR="00CE5AFE" w:rsidRPr="001C7C35" w:rsidRDefault="00CE5AFE" w:rsidP="000073BC">
      <w:pPr>
        <w:pStyle w:val="enumlev1"/>
      </w:pPr>
      <w:r w:rsidRPr="001C7C35">
        <w:t>–</w:t>
      </w:r>
      <w:r w:rsidRPr="001C7C35">
        <w:tab/>
      </w:r>
      <w:r w:rsidR="00121A2E" w:rsidRPr="001C7C35">
        <w:t xml:space="preserve">Question 7/2: </w:t>
      </w:r>
      <w:hyperlink r:id="rId23" w:history="1">
        <w:r w:rsidR="00C15045" w:rsidRPr="001C7C35">
          <w:rPr>
            <w:rStyle w:val="Hyperlink"/>
          </w:rPr>
          <w:t>Politiques, directives, réglementations et é</w:t>
        </w:r>
        <w:r w:rsidR="00302250" w:rsidRPr="001C7C35">
          <w:rPr>
            <w:rStyle w:val="Hyperlink"/>
          </w:rPr>
          <w:t>valuations modernes relatives à </w:t>
        </w:r>
        <w:r w:rsidR="00C15045" w:rsidRPr="001C7C35">
          <w:rPr>
            <w:rStyle w:val="Hyperlink"/>
          </w:rPr>
          <w:t>l'exposition des personnes aux champs électromagnétiques radiofréquences</w:t>
        </w:r>
      </w:hyperlink>
      <w:r w:rsidR="00C15045" w:rsidRPr="001C7C35">
        <w:t xml:space="preserve"> (10 octobre 2018).</w:t>
      </w:r>
    </w:p>
    <w:p w:rsidR="008E5260" w:rsidRPr="001C7C35" w:rsidRDefault="00901644" w:rsidP="000073BC">
      <w:pPr>
        <w:spacing w:after="120"/>
      </w:pPr>
      <w:bookmarkStart w:id="31" w:name="lt_pId077"/>
      <w:r w:rsidRPr="001C7C35">
        <w:rPr>
          <w:bCs/>
          <w:szCs w:val="24"/>
        </w:rPr>
        <w:t xml:space="preserve">Les informations pertinentes et utiles rassemblées durant ces </w:t>
      </w:r>
      <w:r w:rsidR="0090280D" w:rsidRPr="001C7C35">
        <w:rPr>
          <w:bCs/>
          <w:szCs w:val="24"/>
        </w:rPr>
        <w:t>manifestations</w:t>
      </w:r>
      <w:r w:rsidRPr="001C7C35">
        <w:rPr>
          <w:bCs/>
          <w:szCs w:val="24"/>
        </w:rPr>
        <w:t xml:space="preserve"> </w:t>
      </w:r>
      <w:r w:rsidR="00847B8E" w:rsidRPr="001C7C35">
        <w:rPr>
          <w:bCs/>
          <w:szCs w:val="24"/>
        </w:rPr>
        <w:t xml:space="preserve">serviront pour </w:t>
      </w:r>
      <w:r w:rsidRPr="001C7C35">
        <w:rPr>
          <w:bCs/>
          <w:szCs w:val="24"/>
        </w:rPr>
        <w:t xml:space="preserve">l'élaboration </w:t>
      </w:r>
      <w:r w:rsidR="0090280D" w:rsidRPr="001C7C35">
        <w:rPr>
          <w:bCs/>
          <w:szCs w:val="24"/>
        </w:rPr>
        <w:t>des produits</w:t>
      </w:r>
      <w:r w:rsidRPr="001C7C35">
        <w:rPr>
          <w:bCs/>
          <w:szCs w:val="24"/>
        </w:rPr>
        <w:t xml:space="preserve"> annuels, </w:t>
      </w:r>
      <w:r w:rsidR="00CF4C5F" w:rsidRPr="001C7C35">
        <w:rPr>
          <w:bCs/>
          <w:szCs w:val="24"/>
        </w:rPr>
        <w:t xml:space="preserve">dont </w:t>
      </w:r>
      <w:r w:rsidRPr="001C7C35">
        <w:rPr>
          <w:bCs/>
          <w:szCs w:val="24"/>
        </w:rPr>
        <w:t xml:space="preserve">les premiers </w:t>
      </w:r>
      <w:r w:rsidR="00CF4C5F" w:rsidRPr="001C7C35">
        <w:rPr>
          <w:bCs/>
          <w:szCs w:val="24"/>
        </w:rPr>
        <w:t>sont prévus pour la</w:t>
      </w:r>
      <w:r w:rsidRPr="001C7C35">
        <w:rPr>
          <w:bCs/>
          <w:szCs w:val="24"/>
        </w:rPr>
        <w:t xml:space="preserve"> réunion de mars 2019 de la CE 2.</w:t>
      </w:r>
      <w:bookmarkEnd w:id="31"/>
      <w:r w:rsidR="008E5260" w:rsidRPr="001C7C35">
        <w:rPr>
          <w:bCs/>
          <w:szCs w:val="24"/>
        </w:rPr>
        <w:t xml:space="preserve"> </w:t>
      </w:r>
    </w:p>
    <w:p w:rsidR="00CE5AFE" w:rsidRPr="001C7C35" w:rsidRDefault="008E5260" w:rsidP="000073BC">
      <w:pPr>
        <w:pStyle w:val="Heading2"/>
      </w:pPr>
      <w:r w:rsidRPr="001C7C35">
        <w:t>2.</w:t>
      </w:r>
      <w:r w:rsidR="00C610A2" w:rsidRPr="001C7C35">
        <w:t>4</w:t>
      </w:r>
      <w:r w:rsidRPr="001C7C35">
        <w:tab/>
      </w:r>
      <w:r w:rsidR="004B5D4B" w:rsidRPr="001C7C35">
        <w:t>Rapports des réunions des Groupes du Rapporteur</w:t>
      </w:r>
    </w:p>
    <w:p w:rsidR="008E5260" w:rsidRPr="001C7C35" w:rsidRDefault="000800EA" w:rsidP="000073BC">
      <w:pPr>
        <w:spacing w:after="120"/>
        <w:rPr>
          <w:bCs/>
          <w:szCs w:val="24"/>
        </w:rPr>
      </w:pPr>
      <w:bookmarkStart w:id="32" w:name="lt_pId079"/>
      <w:r w:rsidRPr="001C7C35">
        <w:rPr>
          <w:bCs/>
          <w:szCs w:val="24"/>
        </w:rPr>
        <w:t xml:space="preserve">Les </w:t>
      </w:r>
      <w:r w:rsidR="00E9317F" w:rsidRPr="001C7C35">
        <w:rPr>
          <w:bCs/>
          <w:szCs w:val="24"/>
        </w:rPr>
        <w:t xml:space="preserve">rapports des réunions des </w:t>
      </w:r>
      <w:r w:rsidRPr="001C7C35">
        <w:rPr>
          <w:bCs/>
          <w:szCs w:val="24"/>
        </w:rPr>
        <w:t xml:space="preserve">différents </w:t>
      </w:r>
      <w:r w:rsidR="00E9317F" w:rsidRPr="001C7C35">
        <w:rPr>
          <w:bCs/>
          <w:szCs w:val="24"/>
        </w:rPr>
        <w:t xml:space="preserve">Groupes du Rapporteur qui </w:t>
      </w:r>
      <w:r w:rsidR="00F647A8" w:rsidRPr="001C7C35">
        <w:rPr>
          <w:bCs/>
          <w:szCs w:val="24"/>
        </w:rPr>
        <w:t>ont eu lieu</w:t>
      </w:r>
      <w:r w:rsidR="00E9317F" w:rsidRPr="001C7C35">
        <w:rPr>
          <w:bCs/>
          <w:szCs w:val="24"/>
        </w:rPr>
        <w:t xml:space="preserve"> en 2018 </w:t>
      </w:r>
      <w:r w:rsidR="000073BC" w:rsidRPr="001C7C35">
        <w:rPr>
          <w:bCs/>
          <w:szCs w:val="24"/>
        </w:rPr>
        <w:t xml:space="preserve">et en mars 2019 </w:t>
      </w:r>
      <w:r w:rsidR="00E9317F" w:rsidRPr="001C7C35">
        <w:rPr>
          <w:bCs/>
          <w:szCs w:val="24"/>
        </w:rPr>
        <w:t xml:space="preserve">depuis la dernière réunion du GCDT </w:t>
      </w:r>
      <w:r w:rsidR="00F647A8" w:rsidRPr="001C7C35">
        <w:rPr>
          <w:bCs/>
          <w:szCs w:val="24"/>
        </w:rPr>
        <w:t>sont accessibles via</w:t>
      </w:r>
      <w:r w:rsidR="00E9317F" w:rsidRPr="001C7C35">
        <w:rPr>
          <w:bCs/>
          <w:szCs w:val="24"/>
        </w:rPr>
        <w:t xml:space="preserve"> les liens suivants:</w:t>
      </w:r>
      <w:r w:rsidR="004B5D4B" w:rsidRPr="001C7C35">
        <w:rPr>
          <w:bCs/>
          <w:szCs w:val="24"/>
        </w:rPr>
        <w:t xml:space="preserve"> </w:t>
      </w:r>
      <w:bookmarkEnd w:id="32"/>
    </w:p>
    <w:p w:rsidR="008E5260" w:rsidRPr="001C7C35" w:rsidRDefault="008E5260" w:rsidP="000073BC">
      <w:pPr>
        <w:pStyle w:val="enumlev1"/>
      </w:pPr>
      <w:bookmarkStart w:id="33" w:name="lt_pId080"/>
      <w:r w:rsidRPr="001C7C35">
        <w:t>–</w:t>
      </w:r>
      <w:r w:rsidRPr="001C7C35">
        <w:tab/>
      </w:r>
      <w:r w:rsidR="00E9317F" w:rsidRPr="001C7C35">
        <w:t>Question 1/2</w:t>
      </w:r>
      <w:r w:rsidR="00F647A8" w:rsidRPr="001C7C35">
        <w:t xml:space="preserve"> disponible ici</w:t>
      </w:r>
      <w:r w:rsidRPr="001C7C35">
        <w:t>: (</w:t>
      </w:r>
      <w:r w:rsidRPr="001C7C35">
        <w:rPr>
          <w:rStyle w:val="Hyperlink"/>
          <w:bCs/>
          <w:szCs w:val="24"/>
        </w:rPr>
        <w:t>mai 2018</w:t>
      </w:r>
      <w:r w:rsidRPr="001C7C35">
        <w:t>)</w:t>
      </w:r>
      <w:r w:rsidR="00E9317F" w:rsidRPr="001C7C35">
        <w:t xml:space="preserve"> </w:t>
      </w:r>
      <w:r w:rsidRPr="001C7C35">
        <w:t>(</w:t>
      </w:r>
      <w:hyperlink r:id="rId24" w:history="1">
        <w:r w:rsidRPr="001C7C35">
          <w:rPr>
            <w:rStyle w:val="Hyperlink"/>
            <w:bCs/>
            <w:szCs w:val="24"/>
          </w:rPr>
          <w:t>octobre 2018</w:t>
        </w:r>
      </w:hyperlink>
      <w:r w:rsidRPr="001C7C35">
        <w:t>)</w:t>
      </w:r>
      <w:bookmarkEnd w:id="33"/>
      <w:r w:rsidR="00C610A2" w:rsidRPr="001C7C35">
        <w:t xml:space="preserve"> (</w:t>
      </w:r>
      <w:hyperlink r:id="rId25" w:history="1">
        <w:r w:rsidR="00C610A2" w:rsidRPr="001C7C35">
          <w:rPr>
            <w:rStyle w:val="Hyperlink"/>
          </w:rPr>
          <w:t>mars 2019</w:t>
        </w:r>
      </w:hyperlink>
      <w:r w:rsidR="00C610A2" w:rsidRPr="001C7C35">
        <w:t>)</w:t>
      </w:r>
    </w:p>
    <w:p w:rsidR="008E5260" w:rsidRPr="001C7C35" w:rsidRDefault="008E5260" w:rsidP="000073BC">
      <w:pPr>
        <w:pStyle w:val="enumlev1"/>
      </w:pPr>
      <w:bookmarkStart w:id="34" w:name="lt_pId081"/>
      <w:r w:rsidRPr="001C7C35">
        <w:t>–</w:t>
      </w:r>
      <w:r w:rsidRPr="001C7C35">
        <w:tab/>
        <w:t>Question 2/2</w:t>
      </w:r>
      <w:r w:rsidR="000353E6" w:rsidRPr="001C7C35">
        <w:t xml:space="preserve"> disponible ici</w:t>
      </w:r>
      <w:r w:rsidRPr="001C7C35">
        <w:t>: (</w:t>
      </w:r>
      <w:r w:rsidRPr="001C7C35">
        <w:rPr>
          <w:rStyle w:val="Hyperlink"/>
          <w:bCs/>
          <w:szCs w:val="24"/>
        </w:rPr>
        <w:t>mai 2018</w:t>
      </w:r>
      <w:r w:rsidRPr="001C7C35">
        <w:t>)</w:t>
      </w:r>
      <w:r w:rsidR="00E9317F" w:rsidRPr="001C7C35">
        <w:t xml:space="preserve"> </w:t>
      </w:r>
      <w:r w:rsidRPr="001C7C35">
        <w:t>(</w:t>
      </w:r>
      <w:hyperlink r:id="rId26" w:history="1">
        <w:r w:rsidRPr="001C7C35">
          <w:rPr>
            <w:rStyle w:val="Hyperlink"/>
            <w:bCs/>
            <w:szCs w:val="24"/>
          </w:rPr>
          <w:t>octobre 2018</w:t>
        </w:r>
      </w:hyperlink>
      <w:r w:rsidRPr="001C7C35">
        <w:t>)</w:t>
      </w:r>
      <w:bookmarkEnd w:id="34"/>
      <w:r w:rsidR="00C610A2" w:rsidRPr="001C7C35">
        <w:t xml:space="preserve"> (</w:t>
      </w:r>
      <w:hyperlink r:id="rId27" w:history="1">
        <w:r w:rsidR="00C610A2" w:rsidRPr="001C7C35">
          <w:rPr>
            <w:rStyle w:val="Hyperlink"/>
          </w:rPr>
          <w:t>mars 2019</w:t>
        </w:r>
      </w:hyperlink>
      <w:r w:rsidR="00C610A2" w:rsidRPr="001C7C35">
        <w:t>)</w:t>
      </w:r>
    </w:p>
    <w:p w:rsidR="008E5260" w:rsidRPr="001C7C35" w:rsidRDefault="008E5260" w:rsidP="000073BC">
      <w:pPr>
        <w:pStyle w:val="enumlev1"/>
      </w:pPr>
      <w:bookmarkStart w:id="35" w:name="lt_pId082"/>
      <w:r w:rsidRPr="001C7C35">
        <w:t>–</w:t>
      </w:r>
      <w:r w:rsidRPr="001C7C35">
        <w:tab/>
        <w:t>Question 3/2</w:t>
      </w:r>
      <w:r w:rsidR="00BD53E8" w:rsidRPr="001C7C35">
        <w:t xml:space="preserve"> disponible ici</w:t>
      </w:r>
      <w:r w:rsidR="00F33AF8" w:rsidRPr="001C7C35">
        <w:t xml:space="preserve">: </w:t>
      </w:r>
      <w:r w:rsidRPr="001C7C35">
        <w:t>(</w:t>
      </w:r>
      <w:r w:rsidRPr="001C7C35">
        <w:rPr>
          <w:rStyle w:val="Hyperlink"/>
          <w:bCs/>
          <w:szCs w:val="24"/>
        </w:rPr>
        <w:t>mai 2018</w:t>
      </w:r>
      <w:r w:rsidRPr="001C7C35">
        <w:t>)</w:t>
      </w:r>
      <w:r w:rsidR="00E9317F" w:rsidRPr="001C7C35">
        <w:t xml:space="preserve"> </w:t>
      </w:r>
      <w:r w:rsidRPr="001C7C35">
        <w:t>(</w:t>
      </w:r>
      <w:hyperlink r:id="rId28" w:history="1">
        <w:r w:rsidRPr="001C7C35">
          <w:rPr>
            <w:rStyle w:val="Hyperlink"/>
            <w:bCs/>
            <w:szCs w:val="24"/>
          </w:rPr>
          <w:t>octobre 2018</w:t>
        </w:r>
      </w:hyperlink>
      <w:r w:rsidRPr="001C7C35">
        <w:t>)</w:t>
      </w:r>
      <w:bookmarkEnd w:id="35"/>
      <w:r w:rsidR="00C610A2" w:rsidRPr="001C7C35">
        <w:t xml:space="preserve"> (</w:t>
      </w:r>
      <w:hyperlink r:id="rId29" w:history="1">
        <w:r w:rsidR="00C610A2" w:rsidRPr="001C7C35">
          <w:rPr>
            <w:rStyle w:val="Hyperlink"/>
          </w:rPr>
          <w:t>mars 2019)</w:t>
        </w:r>
      </w:hyperlink>
    </w:p>
    <w:p w:rsidR="008E5260" w:rsidRPr="001C7C35" w:rsidRDefault="008E5260" w:rsidP="000073BC">
      <w:pPr>
        <w:pStyle w:val="enumlev1"/>
      </w:pPr>
      <w:bookmarkStart w:id="36" w:name="lt_pId083"/>
      <w:r w:rsidRPr="001C7C35">
        <w:t>–</w:t>
      </w:r>
      <w:r w:rsidRPr="001C7C35">
        <w:tab/>
        <w:t>Question 4/2</w:t>
      </w:r>
      <w:r w:rsidR="00CB4021" w:rsidRPr="001C7C35">
        <w:t xml:space="preserve"> disponible ici</w:t>
      </w:r>
      <w:r w:rsidRPr="001C7C35">
        <w:t>: (</w:t>
      </w:r>
      <w:r w:rsidRPr="001C7C35">
        <w:rPr>
          <w:rStyle w:val="Hyperlink"/>
          <w:bCs/>
          <w:szCs w:val="24"/>
        </w:rPr>
        <w:t>mai 2018</w:t>
      </w:r>
      <w:r w:rsidRPr="001C7C35">
        <w:t>)</w:t>
      </w:r>
      <w:r w:rsidR="00E9317F" w:rsidRPr="001C7C35">
        <w:t xml:space="preserve"> </w:t>
      </w:r>
      <w:r w:rsidRPr="001C7C35">
        <w:t>(</w:t>
      </w:r>
      <w:hyperlink r:id="rId30" w:history="1">
        <w:r w:rsidRPr="001C7C35">
          <w:rPr>
            <w:rStyle w:val="Hyperlink"/>
            <w:bCs/>
            <w:szCs w:val="24"/>
          </w:rPr>
          <w:t>octobre 2018</w:t>
        </w:r>
      </w:hyperlink>
      <w:r w:rsidRPr="001C7C35">
        <w:t>)</w:t>
      </w:r>
      <w:bookmarkEnd w:id="36"/>
      <w:r w:rsidR="00C610A2" w:rsidRPr="001C7C35">
        <w:t xml:space="preserve"> (</w:t>
      </w:r>
      <w:hyperlink r:id="rId31" w:history="1">
        <w:r w:rsidR="00C610A2" w:rsidRPr="001C7C35">
          <w:rPr>
            <w:rStyle w:val="Hyperlink"/>
          </w:rPr>
          <w:t>mars 2019</w:t>
        </w:r>
      </w:hyperlink>
      <w:r w:rsidR="00C610A2" w:rsidRPr="001C7C35">
        <w:t>)</w:t>
      </w:r>
    </w:p>
    <w:p w:rsidR="008E5260" w:rsidRPr="001C7C35" w:rsidRDefault="008E5260" w:rsidP="000073BC">
      <w:pPr>
        <w:pStyle w:val="enumlev1"/>
      </w:pPr>
      <w:bookmarkStart w:id="37" w:name="lt_pId084"/>
      <w:r w:rsidRPr="001C7C35">
        <w:t>–</w:t>
      </w:r>
      <w:r w:rsidRPr="001C7C35">
        <w:tab/>
        <w:t>Question 5/2</w:t>
      </w:r>
      <w:r w:rsidR="00CB4021" w:rsidRPr="001C7C35">
        <w:t xml:space="preserve"> disponible ici</w:t>
      </w:r>
      <w:r w:rsidRPr="001C7C35">
        <w:t>: (</w:t>
      </w:r>
      <w:hyperlink r:id="rId32" w:history="1">
        <w:r w:rsidRPr="001C7C35">
          <w:rPr>
            <w:rStyle w:val="Hyperlink"/>
            <w:bCs/>
            <w:szCs w:val="24"/>
          </w:rPr>
          <w:t>mai 2018</w:t>
        </w:r>
      </w:hyperlink>
      <w:r w:rsidRPr="001C7C35">
        <w:t>)</w:t>
      </w:r>
      <w:r w:rsidR="00E9317F" w:rsidRPr="001C7C35">
        <w:t xml:space="preserve"> </w:t>
      </w:r>
      <w:r w:rsidRPr="001C7C35">
        <w:t>(</w:t>
      </w:r>
      <w:hyperlink r:id="rId33" w:history="1">
        <w:r w:rsidRPr="001C7C35">
          <w:rPr>
            <w:rStyle w:val="Hyperlink"/>
            <w:bCs/>
            <w:szCs w:val="24"/>
          </w:rPr>
          <w:t>octobre 2018</w:t>
        </w:r>
      </w:hyperlink>
      <w:r w:rsidRPr="001C7C35">
        <w:t>)</w:t>
      </w:r>
      <w:bookmarkEnd w:id="37"/>
      <w:r w:rsidR="00C610A2" w:rsidRPr="001C7C35">
        <w:t xml:space="preserve"> (</w:t>
      </w:r>
      <w:hyperlink r:id="rId34" w:history="1">
        <w:r w:rsidR="00C610A2" w:rsidRPr="001C7C35">
          <w:rPr>
            <w:rStyle w:val="Hyperlink"/>
          </w:rPr>
          <w:t>mars 2019</w:t>
        </w:r>
      </w:hyperlink>
      <w:r w:rsidR="00C610A2" w:rsidRPr="001C7C35">
        <w:t>)</w:t>
      </w:r>
    </w:p>
    <w:p w:rsidR="008E5260" w:rsidRPr="001C7C35" w:rsidRDefault="008E5260" w:rsidP="000073BC">
      <w:pPr>
        <w:pStyle w:val="enumlev1"/>
      </w:pPr>
      <w:bookmarkStart w:id="38" w:name="lt_pId085"/>
      <w:r w:rsidRPr="001C7C35">
        <w:t>–</w:t>
      </w:r>
      <w:r w:rsidRPr="001C7C35">
        <w:tab/>
        <w:t>Question 6/2</w:t>
      </w:r>
      <w:r w:rsidR="00CB4021" w:rsidRPr="001C7C35">
        <w:t xml:space="preserve"> disponible ici</w:t>
      </w:r>
      <w:r w:rsidRPr="001C7C35">
        <w:t>: (</w:t>
      </w:r>
      <w:hyperlink r:id="rId35" w:history="1">
        <w:r w:rsidRPr="001C7C35">
          <w:rPr>
            <w:rStyle w:val="Hyperlink"/>
            <w:bCs/>
            <w:szCs w:val="24"/>
          </w:rPr>
          <w:t>mai 2018</w:t>
        </w:r>
      </w:hyperlink>
      <w:r w:rsidRPr="001C7C35">
        <w:t>)</w:t>
      </w:r>
      <w:r w:rsidR="00E9317F" w:rsidRPr="001C7C35">
        <w:t xml:space="preserve"> </w:t>
      </w:r>
      <w:r w:rsidRPr="001C7C35">
        <w:t>(</w:t>
      </w:r>
      <w:hyperlink r:id="rId36" w:history="1">
        <w:r w:rsidRPr="001C7C35">
          <w:rPr>
            <w:rStyle w:val="Hyperlink"/>
            <w:bCs/>
            <w:szCs w:val="24"/>
          </w:rPr>
          <w:t>octobre 2018</w:t>
        </w:r>
      </w:hyperlink>
      <w:r w:rsidRPr="001C7C35">
        <w:t>)</w:t>
      </w:r>
      <w:bookmarkEnd w:id="38"/>
      <w:r w:rsidR="00C610A2" w:rsidRPr="001C7C35">
        <w:t xml:space="preserve"> (</w:t>
      </w:r>
      <w:hyperlink r:id="rId37" w:history="1">
        <w:r w:rsidR="00C610A2" w:rsidRPr="001C7C35">
          <w:rPr>
            <w:rStyle w:val="Hyperlink"/>
          </w:rPr>
          <w:t>mars 2019</w:t>
        </w:r>
      </w:hyperlink>
      <w:r w:rsidR="00C610A2" w:rsidRPr="001C7C35">
        <w:t>)</w:t>
      </w:r>
    </w:p>
    <w:p w:rsidR="008E5260" w:rsidRPr="001C7C35" w:rsidRDefault="008E5260" w:rsidP="000073BC">
      <w:pPr>
        <w:pStyle w:val="enumlev1"/>
      </w:pPr>
      <w:bookmarkStart w:id="39" w:name="lt_pId086"/>
      <w:r w:rsidRPr="001C7C35">
        <w:t>–</w:t>
      </w:r>
      <w:r w:rsidRPr="001C7C35">
        <w:tab/>
        <w:t>Question 7/2</w:t>
      </w:r>
      <w:r w:rsidR="00CB4021" w:rsidRPr="001C7C35">
        <w:t xml:space="preserve"> disponible ici</w:t>
      </w:r>
      <w:r w:rsidRPr="001C7C35">
        <w:t>: (</w:t>
      </w:r>
      <w:hyperlink r:id="rId38" w:history="1">
        <w:r w:rsidRPr="001C7C35">
          <w:rPr>
            <w:rStyle w:val="Hyperlink"/>
            <w:bCs/>
            <w:szCs w:val="24"/>
          </w:rPr>
          <w:t>mai 2018</w:t>
        </w:r>
      </w:hyperlink>
      <w:r w:rsidRPr="001C7C35">
        <w:t>)</w:t>
      </w:r>
      <w:r w:rsidR="00E9317F" w:rsidRPr="001C7C35">
        <w:t xml:space="preserve"> </w:t>
      </w:r>
      <w:r w:rsidRPr="001C7C35">
        <w:t>(</w:t>
      </w:r>
      <w:hyperlink r:id="rId39" w:history="1">
        <w:r w:rsidRPr="001C7C35">
          <w:rPr>
            <w:rStyle w:val="Hyperlink"/>
            <w:bCs/>
            <w:szCs w:val="24"/>
          </w:rPr>
          <w:t>octobre 2018</w:t>
        </w:r>
      </w:hyperlink>
      <w:r w:rsidRPr="001C7C35">
        <w:t>)</w:t>
      </w:r>
      <w:bookmarkEnd w:id="39"/>
      <w:r w:rsidR="00C610A2" w:rsidRPr="001C7C35">
        <w:t xml:space="preserve"> (</w:t>
      </w:r>
      <w:hyperlink r:id="rId40" w:history="1">
        <w:r w:rsidR="00C610A2" w:rsidRPr="001C7C35">
          <w:rPr>
            <w:rStyle w:val="Hyperlink"/>
          </w:rPr>
          <w:t>mars 2019</w:t>
        </w:r>
      </w:hyperlink>
      <w:r w:rsidR="00C610A2" w:rsidRPr="001C7C35">
        <w:t>)</w:t>
      </w:r>
    </w:p>
    <w:p w:rsidR="00CE5AFE" w:rsidRPr="001C7C35" w:rsidRDefault="00530018" w:rsidP="000073BC">
      <w:pPr>
        <w:pStyle w:val="Heading1"/>
        <w:rPr>
          <w:sz w:val="24"/>
          <w:szCs w:val="24"/>
        </w:rPr>
      </w:pPr>
      <w:r w:rsidRPr="001C7C35">
        <w:rPr>
          <w:sz w:val="24"/>
          <w:szCs w:val="24"/>
        </w:rPr>
        <w:t>3</w:t>
      </w:r>
      <w:r w:rsidRPr="001C7C35">
        <w:rPr>
          <w:sz w:val="24"/>
          <w:szCs w:val="24"/>
        </w:rPr>
        <w:tab/>
      </w:r>
      <w:r w:rsidR="001429DA" w:rsidRPr="001C7C35">
        <w:rPr>
          <w:sz w:val="24"/>
          <w:szCs w:val="24"/>
        </w:rPr>
        <w:t>Stratégie et programme</w:t>
      </w:r>
      <w:r w:rsidR="00327307" w:rsidRPr="001C7C35">
        <w:rPr>
          <w:sz w:val="24"/>
          <w:szCs w:val="24"/>
        </w:rPr>
        <w:t xml:space="preserve"> de travail de la Commission d'études 2</w:t>
      </w:r>
    </w:p>
    <w:p w:rsidR="0088596F" w:rsidRDefault="00150CBA" w:rsidP="000073BC">
      <w:pPr>
        <w:rPr>
          <w:szCs w:val="24"/>
        </w:rPr>
      </w:pPr>
      <w:r w:rsidRPr="001C7C35">
        <w:rPr>
          <w:szCs w:val="24"/>
        </w:rPr>
        <w:t xml:space="preserve">La Commission d'études 2 mène ses travaux conformément </w:t>
      </w:r>
      <w:r w:rsidR="00E64B27" w:rsidRPr="001C7C35">
        <w:rPr>
          <w:szCs w:val="24"/>
        </w:rPr>
        <w:t>à son domaine de compétence</w:t>
      </w:r>
      <w:r w:rsidRPr="001C7C35">
        <w:rPr>
          <w:szCs w:val="24"/>
        </w:rPr>
        <w:t xml:space="preserve"> dé</w:t>
      </w:r>
      <w:r w:rsidR="00302250" w:rsidRPr="001C7C35">
        <w:rPr>
          <w:szCs w:val="24"/>
        </w:rPr>
        <w:t>fini dans la Résolution 2 (Rév.</w:t>
      </w:r>
      <w:r w:rsidR="00B52BA3" w:rsidRPr="001C7C35">
        <w:rPr>
          <w:szCs w:val="24"/>
        </w:rPr>
        <w:t xml:space="preserve"> </w:t>
      </w:r>
      <w:r w:rsidRPr="001C7C35">
        <w:rPr>
          <w:szCs w:val="24"/>
        </w:rPr>
        <w:t xml:space="preserve">Buenos Aires, 2017) de la CMDT, intitulée </w:t>
      </w:r>
      <w:r w:rsidR="00327307" w:rsidRPr="001C7C35">
        <w:rPr>
          <w:szCs w:val="24"/>
        </w:rPr>
        <w:t>"</w:t>
      </w:r>
      <w:r w:rsidR="00B52BA3" w:rsidRPr="001C7C35">
        <w:rPr>
          <w:szCs w:val="24"/>
        </w:rPr>
        <w:t>Établissement</w:t>
      </w:r>
      <w:r w:rsidR="00327307" w:rsidRPr="001C7C35">
        <w:rPr>
          <w:szCs w:val="24"/>
        </w:rPr>
        <w:t xml:space="preserve"> de commissions d'études"</w:t>
      </w:r>
      <w:r w:rsidR="00383D60" w:rsidRPr="001C7C35">
        <w:rPr>
          <w:szCs w:val="24"/>
        </w:rPr>
        <w:t xml:space="preserve">, afin </w:t>
      </w:r>
      <w:r w:rsidR="00A74D6E" w:rsidRPr="001C7C35">
        <w:rPr>
          <w:szCs w:val="24"/>
        </w:rPr>
        <w:t>d'obtenir les</w:t>
      </w:r>
      <w:r w:rsidR="00383D60" w:rsidRPr="001C7C35">
        <w:rPr>
          <w:szCs w:val="24"/>
        </w:rPr>
        <w:t xml:space="preserve"> résultats escomptés pour la période d'études 2018-2021.</w:t>
      </w:r>
      <w:r w:rsidR="00327307" w:rsidRPr="001C7C35">
        <w:rPr>
          <w:szCs w:val="24"/>
        </w:rPr>
        <w:t xml:space="preserve"> </w:t>
      </w:r>
      <w:bookmarkStart w:id="40" w:name="lt_pId089"/>
      <w:r w:rsidR="0088596F">
        <w:rPr>
          <w:szCs w:val="24"/>
        </w:rPr>
        <w:br w:type="page"/>
      </w:r>
    </w:p>
    <w:p w:rsidR="00CE5AFE" w:rsidRPr="001C7C35" w:rsidRDefault="00B52BA3" w:rsidP="000073BC">
      <w:r w:rsidRPr="001C7C35">
        <w:rPr>
          <w:szCs w:val="24"/>
        </w:rPr>
        <w:lastRenderedPageBreak/>
        <w:t>À</w:t>
      </w:r>
      <w:r w:rsidR="00383D60" w:rsidRPr="001C7C35">
        <w:rPr>
          <w:szCs w:val="24"/>
        </w:rPr>
        <w:t xml:space="preserve"> </w:t>
      </w:r>
      <w:r w:rsidR="002522B3" w:rsidRPr="001C7C35">
        <w:rPr>
          <w:szCs w:val="24"/>
        </w:rPr>
        <w:t>sa</w:t>
      </w:r>
      <w:r w:rsidR="00383D60" w:rsidRPr="001C7C35">
        <w:rPr>
          <w:szCs w:val="24"/>
        </w:rPr>
        <w:t xml:space="preserve"> première réunion de 2018, </w:t>
      </w:r>
      <w:r w:rsidR="002522B3" w:rsidRPr="001C7C35">
        <w:rPr>
          <w:szCs w:val="24"/>
        </w:rPr>
        <w:t>la CE 2 a approuvé son programme de travail</w:t>
      </w:r>
      <w:r w:rsidR="00383D60" w:rsidRPr="001C7C35">
        <w:rPr>
          <w:szCs w:val="24"/>
        </w:rPr>
        <w:t xml:space="preserve"> sur quatre ans, qui figure dans l'</w:t>
      </w:r>
      <w:r w:rsidR="00383D60" w:rsidRPr="001C7C35">
        <w:rPr>
          <w:b/>
          <w:bCs/>
          <w:szCs w:val="24"/>
        </w:rPr>
        <w:t xml:space="preserve">Annexe 2 </w:t>
      </w:r>
      <w:r w:rsidR="00383D60" w:rsidRPr="001C7C35">
        <w:rPr>
          <w:szCs w:val="24"/>
        </w:rPr>
        <w:t>du présent rapport</w:t>
      </w:r>
      <w:r w:rsidR="00327307" w:rsidRPr="001C7C35">
        <w:rPr>
          <w:szCs w:val="24"/>
        </w:rPr>
        <w:t>.</w:t>
      </w:r>
      <w:bookmarkEnd w:id="40"/>
      <w:r w:rsidR="00327307" w:rsidRPr="001C7C35">
        <w:rPr>
          <w:szCs w:val="24"/>
        </w:rPr>
        <w:t xml:space="preserve"> </w:t>
      </w:r>
      <w:r w:rsidR="00327307" w:rsidRPr="001C7C35">
        <w:t xml:space="preserve">Le </w:t>
      </w:r>
      <w:r w:rsidR="00142985" w:rsidRPr="001C7C35">
        <w:t>GCDT</w:t>
      </w:r>
      <w:r w:rsidR="00327307" w:rsidRPr="001C7C35">
        <w:t xml:space="preserve"> s'étant réuni du 9 au 11 avril, </w:t>
      </w:r>
      <w:r w:rsidR="00C43955" w:rsidRPr="001C7C35">
        <w:t xml:space="preserve">soit </w:t>
      </w:r>
      <w:r w:rsidR="00327307" w:rsidRPr="001C7C35">
        <w:t xml:space="preserve">avant la première réunion de la CE </w:t>
      </w:r>
      <w:r w:rsidR="00142985" w:rsidRPr="001C7C35">
        <w:t>2</w:t>
      </w:r>
      <w:r w:rsidR="00327307" w:rsidRPr="001C7C35">
        <w:t>, le p</w:t>
      </w:r>
      <w:r w:rsidR="00C43955" w:rsidRPr="001C7C35">
        <w:t>rogramme</w:t>
      </w:r>
      <w:r w:rsidR="00327307" w:rsidRPr="001C7C35">
        <w:t xml:space="preserve"> de travail </w:t>
      </w:r>
      <w:r w:rsidR="00C43955" w:rsidRPr="001C7C35">
        <w:t>a déjà été</w:t>
      </w:r>
      <w:r w:rsidR="00327307" w:rsidRPr="001C7C35">
        <w:t xml:space="preserve"> présenté à l'avance au GCDT</w:t>
      </w:r>
      <w:r w:rsidR="00142985" w:rsidRPr="001C7C35">
        <w:t xml:space="preserve"> (Document </w:t>
      </w:r>
      <w:hyperlink r:id="rId41" w:history="1">
        <w:r w:rsidR="00302250" w:rsidRPr="001C7C35">
          <w:rPr>
            <w:rStyle w:val="Hyperlink"/>
            <w:szCs w:val="24"/>
          </w:rPr>
          <w:t>TDAG-18/13</w:t>
        </w:r>
      </w:hyperlink>
      <w:r w:rsidR="00142985" w:rsidRPr="001C7C35">
        <w:rPr>
          <w:rStyle w:val="Hyperlink"/>
          <w:color w:val="auto"/>
          <w:szCs w:val="24"/>
          <w:u w:val="none"/>
        </w:rPr>
        <w:t>)</w:t>
      </w:r>
      <w:r w:rsidR="00327307" w:rsidRPr="001C7C35">
        <w:t xml:space="preserve">, </w:t>
      </w:r>
      <w:r w:rsidR="00C43955" w:rsidRPr="001C7C35">
        <w:t>qui en a pris</w:t>
      </w:r>
      <w:r w:rsidR="00327307" w:rsidRPr="001C7C35">
        <w:t xml:space="preserve"> note.</w:t>
      </w:r>
    </w:p>
    <w:p w:rsidR="00CE5AFE" w:rsidRPr="001C7C35" w:rsidRDefault="00C43955" w:rsidP="000073BC">
      <w:bookmarkStart w:id="41" w:name="lt_pId091"/>
      <w:r w:rsidRPr="001C7C35">
        <w:t xml:space="preserve">Le Président de la CE 2 a expliqué qu'il </w:t>
      </w:r>
      <w:r w:rsidR="001429DA" w:rsidRPr="001C7C35">
        <w:t>était</w:t>
      </w:r>
      <w:r w:rsidRPr="001C7C35">
        <w:t xml:space="preserve"> nécessaire que les Groupes du Rapporteur planifient l'élaboration des produits annuels sur des sous–thèmes relevant de l'objet des Questions et les Rapporteurs ont été invités à travailler dans le cadre de chaque Question afin de veiller à ce que ces produits soient fournis.</w:t>
      </w:r>
      <w:bookmarkEnd w:id="41"/>
      <w:r w:rsidRPr="001C7C35">
        <w:rPr>
          <w:szCs w:val="24"/>
        </w:rPr>
        <w:t xml:space="preserve"> </w:t>
      </w:r>
      <w:r w:rsidRPr="001C7C35">
        <w:t>Le Président a présenté en détail le calendrier des futures réunions</w:t>
      </w:r>
      <w:r w:rsidR="000F0A37" w:rsidRPr="001C7C35">
        <w:t xml:space="preserve"> </w:t>
      </w:r>
      <w:r w:rsidR="00327307" w:rsidRPr="001C7C35">
        <w:t xml:space="preserve">de la CE </w:t>
      </w:r>
      <w:r w:rsidR="000F0A37" w:rsidRPr="001C7C35">
        <w:t>2 et des Groupes du Rapporteur</w:t>
      </w:r>
      <w:r w:rsidR="00327307" w:rsidRPr="001C7C35">
        <w:t xml:space="preserve">, </w:t>
      </w:r>
      <w:r w:rsidR="000F0A37" w:rsidRPr="001C7C35">
        <w:t xml:space="preserve">et conformément </w:t>
      </w:r>
      <w:r w:rsidRPr="001C7C35">
        <w:t>aux dernières modifications apportées par la CMDT-17 à</w:t>
      </w:r>
      <w:r w:rsidR="000F0A37" w:rsidRPr="001C7C35">
        <w:t xml:space="preserve"> la Résolution 1 (Document </w:t>
      </w:r>
      <w:hyperlink r:id="rId42" w:history="1">
        <w:r w:rsidR="000F0A37" w:rsidRPr="001C7C35">
          <w:rPr>
            <w:rStyle w:val="Hyperlink"/>
          </w:rPr>
          <w:t>2/1</w:t>
        </w:r>
      </w:hyperlink>
      <w:r w:rsidR="000F0A37" w:rsidRPr="001C7C35">
        <w:t xml:space="preserve">), </w:t>
      </w:r>
      <w:r w:rsidRPr="001C7C35">
        <w:t>afin d'encourager</w:t>
      </w:r>
      <w:r w:rsidR="000F0A37" w:rsidRPr="001C7C35">
        <w:t xml:space="preserve"> la tenue de tables rondes informelles, de séminaires ou d'ateliers à visée illustrative, </w:t>
      </w:r>
      <w:r w:rsidRPr="001C7C35">
        <w:t>il</w:t>
      </w:r>
      <w:r w:rsidR="000F0A37" w:rsidRPr="001C7C35">
        <w:t xml:space="preserve"> </w:t>
      </w:r>
      <w:r w:rsidR="00327307" w:rsidRPr="001C7C35">
        <w:t xml:space="preserve">a </w:t>
      </w:r>
      <w:r w:rsidRPr="001C7C35">
        <w:t xml:space="preserve">en outre </w:t>
      </w:r>
      <w:r w:rsidR="00327307" w:rsidRPr="001C7C35">
        <w:t xml:space="preserve">demandé aux Groupes du </w:t>
      </w:r>
      <w:r w:rsidRPr="001C7C35">
        <w:t xml:space="preserve">Rapporteur, d'une part, d'identifier </w:t>
      </w:r>
      <w:r w:rsidR="00327307" w:rsidRPr="001C7C35">
        <w:t xml:space="preserve">des sujets appropriés </w:t>
      </w:r>
      <w:r w:rsidRPr="001C7C35">
        <w:t>afin</w:t>
      </w:r>
      <w:r w:rsidR="00327307" w:rsidRPr="001C7C35">
        <w:t xml:space="preserve"> </w:t>
      </w:r>
      <w:r w:rsidR="000F0A37" w:rsidRPr="001C7C35">
        <w:t>d'organiser de</w:t>
      </w:r>
      <w:r w:rsidR="00327307" w:rsidRPr="001C7C35">
        <w:t>s</w:t>
      </w:r>
      <w:r w:rsidR="000F0A37" w:rsidRPr="001C7C35">
        <w:t xml:space="preserve"> manifestations de ce type</w:t>
      </w:r>
      <w:r w:rsidR="00327307" w:rsidRPr="001C7C35">
        <w:t xml:space="preserve"> qui leur </w:t>
      </w:r>
      <w:r w:rsidRPr="001C7C35">
        <w:t>semblaient utiles</w:t>
      </w:r>
      <w:r w:rsidR="00327307" w:rsidRPr="001C7C35">
        <w:t xml:space="preserve"> et</w:t>
      </w:r>
      <w:r w:rsidRPr="001C7C35">
        <w:t>, d'autre part,</w:t>
      </w:r>
      <w:r w:rsidR="00327307" w:rsidRPr="001C7C35">
        <w:t xml:space="preserve"> </w:t>
      </w:r>
      <w:r w:rsidRPr="001C7C35">
        <w:t>de présenter des propositions correspondantes à la Commission d'études</w:t>
      </w:r>
      <w:r w:rsidR="00327307" w:rsidRPr="001C7C35">
        <w:t>.</w:t>
      </w:r>
      <w:r w:rsidR="000F0A37" w:rsidRPr="001C7C35">
        <w:t xml:space="preserve"> </w:t>
      </w:r>
      <w:r w:rsidR="00CA0CA2" w:rsidRPr="001C7C35">
        <w:t>De plus</w:t>
      </w:r>
      <w:r w:rsidR="000F0A37" w:rsidRPr="001C7C35">
        <w:t xml:space="preserve">, et conformément au programme de </w:t>
      </w:r>
      <w:r w:rsidR="00302250" w:rsidRPr="001C7C35">
        <w:t>travail présenté par la CE 2 au </w:t>
      </w:r>
      <w:r w:rsidR="000F0A37" w:rsidRPr="001C7C35">
        <w:t xml:space="preserve">GCDT, </w:t>
      </w:r>
      <w:r w:rsidR="000F0A37" w:rsidRPr="001C7C35">
        <w:rPr>
          <w:szCs w:val="24"/>
        </w:rPr>
        <w:t xml:space="preserve">le Président a invité tous les Rapporteurs et Vice-Rapporteurs à faire leur possible pour </w:t>
      </w:r>
      <w:r w:rsidR="00CB1B1D" w:rsidRPr="001C7C35">
        <w:rPr>
          <w:szCs w:val="24"/>
        </w:rPr>
        <w:t>définir</w:t>
      </w:r>
      <w:r w:rsidR="000F0A37" w:rsidRPr="001C7C35">
        <w:rPr>
          <w:szCs w:val="24"/>
        </w:rPr>
        <w:t xml:space="preserve"> une feuille de route claire, en élaborant un programme de travail et une table des matières précis pour chaque Question, qui serviront </w:t>
      </w:r>
      <w:r w:rsidR="002E4D46" w:rsidRPr="001C7C35">
        <w:rPr>
          <w:szCs w:val="24"/>
        </w:rPr>
        <w:t>ensuite</w:t>
      </w:r>
      <w:r w:rsidR="000F0A37" w:rsidRPr="001C7C35">
        <w:rPr>
          <w:szCs w:val="24"/>
        </w:rPr>
        <w:t xml:space="preserve"> de base solide pour les réunions à venir. </w:t>
      </w:r>
      <w:r w:rsidR="00327307" w:rsidRPr="001C7C35">
        <w:t>L'importance de la coordination intersectorielle, telle que l'a conseillé</w:t>
      </w:r>
      <w:r w:rsidR="00CB1B1D" w:rsidRPr="001C7C35">
        <w:t>e</w:t>
      </w:r>
      <w:r w:rsidR="00327307" w:rsidRPr="001C7C35">
        <w:t xml:space="preserve"> le GCDT, a aussi été mise en lumière. L</w:t>
      </w:r>
      <w:r w:rsidR="002E4D46" w:rsidRPr="001C7C35">
        <w:t>e</w:t>
      </w:r>
      <w:r w:rsidR="00327307" w:rsidRPr="001C7C35">
        <w:t xml:space="preserve"> Président a encouragé les membres à </w:t>
      </w:r>
      <w:r w:rsidR="00CB1B1D" w:rsidRPr="001C7C35">
        <w:t xml:space="preserve">tout mettre en </w:t>
      </w:r>
      <w:r w:rsidR="006C65DA" w:rsidRPr="001C7C35">
        <w:t>œ</w:t>
      </w:r>
      <w:r w:rsidR="00CB1B1D" w:rsidRPr="001C7C35">
        <w:t>uvre pour renforcer</w:t>
      </w:r>
      <w:r w:rsidR="00327307" w:rsidRPr="001C7C35">
        <w:t xml:space="preserve"> la collaboration entre les Secteurs</w:t>
      </w:r>
      <w:r w:rsidR="002E4D46" w:rsidRPr="001C7C35">
        <w:t>, y compris moyennant l'organisation éventuelle</w:t>
      </w:r>
      <w:r w:rsidR="00327307" w:rsidRPr="001C7C35">
        <w:t xml:space="preserve"> </w:t>
      </w:r>
      <w:r w:rsidR="002E4D46" w:rsidRPr="001C7C35">
        <w:t xml:space="preserve">d'ateliers conjoints avec les </w:t>
      </w:r>
      <w:r w:rsidR="001429DA" w:rsidRPr="001C7C35">
        <w:t xml:space="preserve">autres </w:t>
      </w:r>
      <w:r w:rsidR="00E86457" w:rsidRPr="001C7C35">
        <w:t>Secteurs</w:t>
      </w:r>
      <w:r w:rsidR="002B7AE6" w:rsidRPr="001C7C35">
        <w:t>,</w:t>
      </w:r>
      <w:r w:rsidR="002E4D46" w:rsidRPr="001C7C35">
        <w:t xml:space="preserve"> </w:t>
      </w:r>
      <w:r w:rsidR="00327307" w:rsidRPr="001C7C35">
        <w:t xml:space="preserve">afin </w:t>
      </w:r>
      <w:r w:rsidR="002B7AE6" w:rsidRPr="001C7C35">
        <w:t>d'accroître</w:t>
      </w:r>
      <w:r w:rsidR="00327307" w:rsidRPr="001C7C35">
        <w:t xml:space="preserve"> encore </w:t>
      </w:r>
      <w:r w:rsidR="00E006F2" w:rsidRPr="001C7C35">
        <w:t xml:space="preserve">les compétences </w:t>
      </w:r>
      <w:r w:rsidR="001429DA" w:rsidRPr="001C7C35">
        <w:t xml:space="preserve">spécialisées </w:t>
      </w:r>
      <w:r w:rsidR="00E006F2" w:rsidRPr="001C7C35">
        <w:t>disponibles et de faire en sorte qu'un plus grand nombre de sujet</w:t>
      </w:r>
      <w:r w:rsidR="001429DA" w:rsidRPr="001C7C35">
        <w:t>s</w:t>
      </w:r>
      <w:r w:rsidR="00E006F2" w:rsidRPr="001C7C35">
        <w:t xml:space="preserve"> puissent être traités sous le même thème.</w:t>
      </w:r>
    </w:p>
    <w:p w:rsidR="00CE5AFE" w:rsidRPr="001C7C35" w:rsidRDefault="00327307" w:rsidP="000073BC">
      <w:pPr>
        <w:pStyle w:val="Heading1"/>
        <w:rPr>
          <w:sz w:val="24"/>
          <w:szCs w:val="24"/>
        </w:rPr>
      </w:pPr>
      <w:r w:rsidRPr="001C7C35">
        <w:rPr>
          <w:sz w:val="24"/>
          <w:szCs w:val="24"/>
        </w:rPr>
        <w:t>4</w:t>
      </w:r>
      <w:r w:rsidRPr="001C7C35">
        <w:rPr>
          <w:sz w:val="24"/>
          <w:szCs w:val="24"/>
        </w:rPr>
        <w:tab/>
      </w:r>
      <w:r w:rsidR="002E4D46" w:rsidRPr="001C7C35">
        <w:rPr>
          <w:sz w:val="24"/>
          <w:szCs w:val="24"/>
        </w:rPr>
        <w:t>Collaboration et c</w:t>
      </w:r>
      <w:r w:rsidR="00051505" w:rsidRPr="001C7C35">
        <w:rPr>
          <w:sz w:val="24"/>
          <w:szCs w:val="24"/>
        </w:rPr>
        <w:t xml:space="preserve">oordination avec la Commission d'études </w:t>
      </w:r>
      <w:r w:rsidR="002E4D46" w:rsidRPr="001C7C35">
        <w:rPr>
          <w:sz w:val="24"/>
          <w:szCs w:val="24"/>
        </w:rPr>
        <w:t xml:space="preserve">1 de l'UIT-D, </w:t>
      </w:r>
      <w:r w:rsidR="00051505" w:rsidRPr="001C7C35">
        <w:rPr>
          <w:sz w:val="24"/>
          <w:szCs w:val="24"/>
        </w:rPr>
        <w:t xml:space="preserve">avec les autres Secteurs </w:t>
      </w:r>
      <w:r w:rsidR="00632E94" w:rsidRPr="001C7C35">
        <w:rPr>
          <w:sz w:val="24"/>
          <w:szCs w:val="24"/>
        </w:rPr>
        <w:t xml:space="preserve">et avec d'autres organisations </w:t>
      </w:r>
      <w:r w:rsidR="00051505" w:rsidRPr="001C7C35">
        <w:rPr>
          <w:sz w:val="24"/>
          <w:szCs w:val="24"/>
        </w:rPr>
        <w:t>sur des questions d'intérêt mutuel</w:t>
      </w:r>
    </w:p>
    <w:p w:rsidR="00CE5AFE" w:rsidRPr="001C7C35" w:rsidRDefault="00051505" w:rsidP="000073BC">
      <w:pPr>
        <w:pStyle w:val="Heading2"/>
      </w:pPr>
      <w:r w:rsidRPr="001C7C35">
        <w:t>4.1</w:t>
      </w:r>
      <w:r w:rsidRPr="001C7C35">
        <w:tab/>
      </w:r>
      <w:r w:rsidR="00872C0A" w:rsidRPr="001C7C35">
        <w:t xml:space="preserve">Mise en correspondance </w:t>
      </w:r>
      <w:r w:rsidR="003D5A09" w:rsidRPr="001C7C35">
        <w:t xml:space="preserve">entre les Questions confiées aux </w:t>
      </w:r>
      <w:r w:rsidR="00B52BA3" w:rsidRPr="001C7C35">
        <w:t>C</w:t>
      </w:r>
      <w:r w:rsidR="003D5A09" w:rsidRPr="001C7C35">
        <w:t xml:space="preserve">ommissions d'études de l'UIT-D ainsi qu'entre les travaux des </w:t>
      </w:r>
      <w:r w:rsidR="00B52BA3" w:rsidRPr="001C7C35">
        <w:t>C</w:t>
      </w:r>
      <w:r w:rsidR="003D5A09" w:rsidRPr="001C7C35">
        <w:t>ommissions d'études de l'UIT-D et ceux des autres Secteurs</w:t>
      </w:r>
      <w:r w:rsidR="00872C0A" w:rsidRPr="001C7C35">
        <w:t xml:space="preserve"> </w:t>
      </w:r>
    </w:p>
    <w:p w:rsidR="00051505" w:rsidRPr="001C7C35" w:rsidRDefault="00AD35DF" w:rsidP="000073BC">
      <w:pPr>
        <w:spacing w:after="120"/>
        <w:rPr>
          <w:rFonts w:eastAsia="Batang" w:cs="Calibri"/>
          <w:bCs/>
        </w:rPr>
      </w:pPr>
      <w:r w:rsidRPr="001C7C35">
        <w:rPr>
          <w:rFonts w:eastAsia="Batang" w:cs="Calibri"/>
          <w:bCs/>
          <w:szCs w:val="24"/>
        </w:rPr>
        <w:t xml:space="preserve">Afin de faciliter la coordination et de continuer de renforcer la collaboration entre les deux Commissions d'études de l'UIT-D, ainsi qu'avec les commissions d'études des autres Secteurs, les participants ont travaillé en vue d'élaborer trois ensembles de tableaux de correspondance. Ces tableaux comprennent les éléments suivants: </w:t>
      </w:r>
      <w:r w:rsidRPr="001C7C35">
        <w:rPr>
          <w:rFonts w:eastAsia="Batang" w:cs="Calibri"/>
          <w:b/>
          <w:szCs w:val="24"/>
        </w:rPr>
        <w:t>1)</w:t>
      </w:r>
      <w:r w:rsidRPr="001C7C35">
        <w:rPr>
          <w:rFonts w:eastAsia="Batang" w:cs="Calibri"/>
          <w:bCs/>
          <w:szCs w:val="24"/>
        </w:rPr>
        <w:t xml:space="preserve"> une mise en correspondance actualisée des Questions confiées à la CE 1 et des Questions confiées à la CE 2 de l'UIT</w:t>
      </w:r>
      <w:r w:rsidR="00026521" w:rsidRPr="001C7C35">
        <w:rPr>
          <w:rFonts w:eastAsia="Batang" w:cs="Calibri"/>
          <w:bCs/>
          <w:szCs w:val="24"/>
        </w:rPr>
        <w:t>-D</w:t>
      </w:r>
      <w:r w:rsidRPr="001C7C35">
        <w:rPr>
          <w:rFonts w:eastAsia="Batang" w:cs="Calibri"/>
          <w:bCs/>
          <w:szCs w:val="24"/>
        </w:rPr>
        <w:t xml:space="preserve"> présentant un intérêt pour les Questions et les sujets d'étude des Commissions d'études de l'UIT-T; </w:t>
      </w:r>
      <w:r w:rsidRPr="001C7C35">
        <w:rPr>
          <w:rFonts w:eastAsia="Batang" w:cs="Calibri"/>
          <w:b/>
          <w:szCs w:val="24"/>
        </w:rPr>
        <w:t>2)</w:t>
      </w:r>
      <w:r w:rsidRPr="001C7C35">
        <w:rPr>
          <w:rFonts w:eastAsia="Batang" w:cs="Calibri"/>
          <w:bCs/>
          <w:szCs w:val="24"/>
        </w:rPr>
        <w:t xml:space="preserve"> un tableau de mise en correspondance entre les Questions confiées à la CE 1 et </w:t>
      </w:r>
      <w:r w:rsidR="00026521" w:rsidRPr="001C7C35">
        <w:rPr>
          <w:rFonts w:eastAsia="Batang" w:cs="Calibri"/>
          <w:bCs/>
          <w:szCs w:val="24"/>
        </w:rPr>
        <w:t xml:space="preserve">les Questions confiées </w:t>
      </w:r>
      <w:r w:rsidRPr="001C7C35">
        <w:rPr>
          <w:rFonts w:eastAsia="Batang" w:cs="Calibri"/>
          <w:bCs/>
          <w:szCs w:val="24"/>
        </w:rPr>
        <w:t>à la CE 2 de l'UIT-D et les</w:t>
      </w:r>
      <w:r w:rsidR="00D37BDA" w:rsidRPr="001C7C35">
        <w:rPr>
          <w:rFonts w:eastAsia="Batang" w:cs="Calibri"/>
          <w:bCs/>
          <w:szCs w:val="24"/>
        </w:rPr>
        <w:t xml:space="preserve"> travaux des groupes de travail</w:t>
      </w:r>
      <w:r w:rsidRPr="001C7C35">
        <w:rPr>
          <w:rFonts w:eastAsia="Batang" w:cs="Calibri"/>
          <w:bCs/>
          <w:szCs w:val="24"/>
        </w:rPr>
        <w:t xml:space="preserve"> de l'UIT-R; et</w:t>
      </w:r>
      <w:r w:rsidRPr="001C7C35">
        <w:rPr>
          <w:rFonts w:eastAsia="Batang" w:cs="Calibri"/>
          <w:b/>
          <w:szCs w:val="24"/>
        </w:rPr>
        <w:t xml:space="preserve"> 3)</w:t>
      </w:r>
      <w:r w:rsidRPr="001C7C35">
        <w:rPr>
          <w:rFonts w:eastAsia="Batang" w:cs="Calibri"/>
          <w:bCs/>
          <w:szCs w:val="24"/>
        </w:rPr>
        <w:t xml:space="preserve"> un projet de tableau indiquant les liens et les relations entre les Questions étudiées par la CE 1 de l'UIT</w:t>
      </w:r>
      <w:r w:rsidR="00302250" w:rsidRPr="001C7C35">
        <w:rPr>
          <w:rFonts w:eastAsia="Batang" w:cs="Calibri"/>
          <w:bCs/>
          <w:szCs w:val="24"/>
        </w:rPr>
        <w:t>-D et celles étudiées par la </w:t>
      </w:r>
      <w:r w:rsidR="0022355F" w:rsidRPr="001C7C35">
        <w:rPr>
          <w:rFonts w:eastAsia="Batang" w:cs="Calibri"/>
          <w:bCs/>
          <w:szCs w:val="24"/>
        </w:rPr>
        <w:t>CE </w:t>
      </w:r>
      <w:r w:rsidRPr="001C7C35">
        <w:rPr>
          <w:rFonts w:eastAsia="Batang" w:cs="Calibri"/>
          <w:bCs/>
          <w:szCs w:val="24"/>
        </w:rPr>
        <w:t>2 de l'UIT-D.</w:t>
      </w:r>
    </w:p>
    <w:p w:rsidR="00051505" w:rsidRPr="001C7C35" w:rsidRDefault="00D37BDA" w:rsidP="000073BC">
      <w:pPr>
        <w:spacing w:after="120"/>
        <w:rPr>
          <w:rFonts w:eastAsia="Batang" w:cs="Calibri"/>
          <w:bCs/>
        </w:rPr>
      </w:pPr>
      <w:bookmarkStart w:id="42" w:name="lt_pId100"/>
      <w:r w:rsidRPr="001C7C35">
        <w:rPr>
          <w:rFonts w:eastAsia="Batang" w:cs="Calibri"/>
          <w:bCs/>
          <w:szCs w:val="24"/>
        </w:rPr>
        <w:t xml:space="preserve">Le travail de mise en correspondance entre les sujets à l'étude dans le cadre des </w:t>
      </w:r>
      <w:r w:rsidRPr="001C7C35">
        <w:rPr>
          <w:rFonts w:eastAsia="Batang" w:cs="Calibri"/>
          <w:b/>
          <w:szCs w:val="24"/>
        </w:rPr>
        <w:t>commissions d'études</w:t>
      </w:r>
      <w:r w:rsidRPr="001C7C35">
        <w:rPr>
          <w:rFonts w:eastAsia="Batang" w:cs="Calibri"/>
          <w:bCs/>
          <w:szCs w:val="24"/>
        </w:rPr>
        <w:t>, des groupes de travail et des autres groupe</w:t>
      </w:r>
      <w:r w:rsidR="0022355F" w:rsidRPr="001C7C35">
        <w:rPr>
          <w:rFonts w:eastAsia="Batang" w:cs="Calibri"/>
          <w:bCs/>
          <w:szCs w:val="24"/>
        </w:rPr>
        <w:t>s</w:t>
      </w:r>
      <w:r w:rsidRPr="001C7C35">
        <w:rPr>
          <w:rFonts w:eastAsia="Batang" w:cs="Calibri"/>
          <w:bCs/>
          <w:szCs w:val="24"/>
        </w:rPr>
        <w:t xml:space="preserve"> de </w:t>
      </w:r>
      <w:r w:rsidRPr="001C7C35">
        <w:rPr>
          <w:rFonts w:eastAsia="Batang" w:cs="Calibri"/>
          <w:b/>
          <w:szCs w:val="24"/>
        </w:rPr>
        <w:t>l'UIT-T</w:t>
      </w:r>
      <w:r w:rsidRPr="001C7C35">
        <w:rPr>
          <w:rFonts w:eastAsia="Batang" w:cs="Calibri"/>
          <w:bCs/>
          <w:szCs w:val="24"/>
        </w:rPr>
        <w:t xml:space="preserve"> et les Questions confiées aux commissions d'études de l'UIT-D a commencé pendant la période d'études 2014-2017</w:t>
      </w:r>
      <w:r w:rsidR="000A4937" w:rsidRPr="001C7C35">
        <w:rPr>
          <w:rFonts w:eastAsia="Batang" w:cs="Calibri"/>
          <w:bCs/>
        </w:rPr>
        <w:t xml:space="preserve">. </w:t>
      </w:r>
      <w:bookmarkStart w:id="43" w:name="lt_pId101"/>
      <w:bookmarkEnd w:id="42"/>
      <w:r w:rsidRPr="001C7C35">
        <w:rPr>
          <w:rFonts w:eastAsia="Batang" w:cs="Calibri"/>
          <w:bCs/>
          <w:szCs w:val="24"/>
        </w:rPr>
        <w:t>Une version actualisée de cette mise en correspondance, compte tenu de la nouvelle structure adoptée à la CMDT-17, a été envoyée aux commissions d'études de l'UIT-T après la réunion de</w:t>
      </w:r>
      <w:r w:rsidR="00302250" w:rsidRPr="001C7C35">
        <w:rPr>
          <w:rFonts w:eastAsia="Batang" w:cs="Calibri"/>
          <w:bCs/>
        </w:rPr>
        <w:t xml:space="preserve"> la </w:t>
      </w:r>
      <w:r w:rsidR="000A4937" w:rsidRPr="001C7C35">
        <w:rPr>
          <w:rFonts w:eastAsia="Batang" w:cs="Calibri"/>
          <w:bCs/>
        </w:rPr>
        <w:t xml:space="preserve">CE 2 tenue en mai 2018. </w:t>
      </w:r>
      <w:bookmarkStart w:id="44" w:name="lt_pId102"/>
      <w:bookmarkEnd w:id="43"/>
      <w:r w:rsidRPr="001C7C35">
        <w:rPr>
          <w:rFonts w:eastAsia="Batang" w:cs="Calibri"/>
          <w:bCs/>
          <w:szCs w:val="24"/>
        </w:rPr>
        <w:t>Par ailleurs, les Groupes du Rapporteur ont été invités, à leurs réunions de 2018, à examiner et à mener à bien ce travail de mise en correspondance</w:t>
      </w:r>
      <w:r w:rsidRPr="001C7C35">
        <w:rPr>
          <w:rFonts w:eastAsia="Batang" w:cs="Calibri"/>
          <w:bCs/>
        </w:rPr>
        <w:t xml:space="preserve"> </w:t>
      </w:r>
      <w:r w:rsidR="000A4937" w:rsidRPr="001C7C35">
        <w:rPr>
          <w:rFonts w:eastAsia="Batang" w:cs="Calibri"/>
          <w:bCs/>
        </w:rPr>
        <w:t xml:space="preserve">(disponible </w:t>
      </w:r>
      <w:hyperlink r:id="rId43" w:history="1">
        <w:r w:rsidR="000A4937" w:rsidRPr="001C7C35">
          <w:rPr>
            <w:rStyle w:val="Hyperlink"/>
            <w:rFonts w:eastAsia="Batang" w:cs="Calibri"/>
            <w:bCs/>
          </w:rPr>
          <w:t>ici</w:t>
        </w:r>
      </w:hyperlink>
      <w:r w:rsidR="000A4937" w:rsidRPr="001C7C35">
        <w:rPr>
          <w:rFonts w:eastAsia="Batang" w:cs="Calibri"/>
          <w:bCs/>
        </w:rPr>
        <w:t xml:space="preserve">), </w:t>
      </w:r>
      <w:r w:rsidRPr="001C7C35">
        <w:rPr>
          <w:rFonts w:eastAsia="Batang" w:cs="Calibri"/>
          <w:bCs/>
          <w:szCs w:val="24"/>
        </w:rPr>
        <w:t xml:space="preserve">dont </w:t>
      </w:r>
      <w:r w:rsidRPr="001C7C35">
        <w:rPr>
          <w:rFonts w:eastAsia="Batang" w:cs="Calibri"/>
          <w:bCs/>
          <w:szCs w:val="24"/>
        </w:rPr>
        <w:lastRenderedPageBreak/>
        <w:t xml:space="preserve">les résultats pourraient ensuite être </w:t>
      </w:r>
      <w:r w:rsidR="00AE0B9D" w:rsidRPr="001C7C35">
        <w:rPr>
          <w:rFonts w:eastAsia="Batang" w:cs="Calibri"/>
          <w:bCs/>
          <w:szCs w:val="24"/>
        </w:rPr>
        <w:t>communiqués</w:t>
      </w:r>
      <w:r w:rsidRPr="001C7C35">
        <w:rPr>
          <w:rFonts w:eastAsia="Batang" w:cs="Calibri"/>
          <w:bCs/>
          <w:szCs w:val="24"/>
        </w:rPr>
        <w:t xml:space="preserve"> aux commis</w:t>
      </w:r>
      <w:r w:rsidR="00302250" w:rsidRPr="001C7C35">
        <w:rPr>
          <w:rFonts w:eastAsia="Batang" w:cs="Calibri"/>
          <w:bCs/>
          <w:szCs w:val="24"/>
        </w:rPr>
        <w:t>sions d'études de l'UIT-T et au </w:t>
      </w:r>
      <w:r w:rsidRPr="001C7C35">
        <w:rPr>
          <w:rFonts w:eastAsia="Batang" w:cs="Calibri"/>
          <w:bCs/>
          <w:szCs w:val="24"/>
        </w:rPr>
        <w:t>GCDT</w:t>
      </w:r>
      <w:r w:rsidR="000A4937" w:rsidRPr="001C7C35">
        <w:rPr>
          <w:rFonts w:eastAsia="Batang" w:cs="Calibri"/>
          <w:bCs/>
        </w:rPr>
        <w:t xml:space="preserve">. </w:t>
      </w:r>
      <w:bookmarkStart w:id="45" w:name="lt_pId103"/>
      <w:bookmarkEnd w:id="44"/>
      <w:r w:rsidR="000A4937" w:rsidRPr="001C7C35">
        <w:rPr>
          <w:rFonts w:eastAsia="Batang" w:cs="Calibri"/>
          <w:bCs/>
        </w:rPr>
        <w:t xml:space="preserve">Par la suite, le GCDT a transmis </w:t>
      </w:r>
      <w:r w:rsidR="001A779C" w:rsidRPr="001C7C35">
        <w:rPr>
          <w:rFonts w:eastAsia="Batang" w:cs="Calibri"/>
          <w:bCs/>
          <w:szCs w:val="24"/>
        </w:rPr>
        <w:t xml:space="preserve">le tableau de mise en correspondance actualisé au </w:t>
      </w:r>
      <w:r w:rsidR="001A779C" w:rsidRPr="001C7C35">
        <w:rPr>
          <w:rFonts w:eastAsia="Batang" w:cs="Calibri"/>
          <w:bCs/>
        </w:rPr>
        <w:t>Groupe consultatif de la normalisation des télécommunications (GCNT)</w:t>
      </w:r>
      <w:r w:rsidR="001A779C" w:rsidRPr="001C7C35">
        <w:rPr>
          <w:rFonts w:eastAsia="Batang" w:cs="Calibri"/>
          <w:bCs/>
          <w:szCs w:val="24"/>
        </w:rPr>
        <w:t xml:space="preserve"> pour information à sa réunion de décembre 2018</w:t>
      </w:r>
      <w:r w:rsidR="000A4937" w:rsidRPr="001C7C35">
        <w:rPr>
          <w:rFonts w:eastAsia="Batang" w:cs="Calibri"/>
          <w:bCs/>
        </w:rPr>
        <w:t>.</w:t>
      </w:r>
      <w:bookmarkEnd w:id="45"/>
      <w:r w:rsidR="000A4937" w:rsidRPr="001C7C35">
        <w:rPr>
          <w:rFonts w:eastAsia="Batang" w:cs="Calibri"/>
          <w:bCs/>
        </w:rPr>
        <w:t xml:space="preserve"> </w:t>
      </w:r>
      <w:r w:rsidR="001A779C" w:rsidRPr="001C7C35">
        <w:rPr>
          <w:rFonts w:eastAsia="Batang" w:cs="Calibri"/>
          <w:bCs/>
          <w:szCs w:val="24"/>
        </w:rPr>
        <w:t>Il est à noter que ces tableaux de mise en correspondance sont des documents évolutifs qui, pour rester utiles et rendre compte de la progression des travaux, doivent être actualisés et mis à jour régulièrement</w:t>
      </w:r>
      <w:r w:rsidR="00597F91" w:rsidRPr="001C7C35">
        <w:rPr>
          <w:rFonts w:eastAsia="Batang" w:cs="Calibri"/>
          <w:bCs/>
        </w:rPr>
        <w:t>.</w:t>
      </w:r>
    </w:p>
    <w:p w:rsidR="00051505" w:rsidRPr="001C7C35" w:rsidRDefault="0050794F" w:rsidP="000073BC">
      <w:pPr>
        <w:spacing w:after="120"/>
        <w:rPr>
          <w:rFonts w:eastAsia="Batang" w:cs="Calibri"/>
          <w:bCs/>
        </w:rPr>
      </w:pPr>
      <w:bookmarkStart w:id="46" w:name="lt_pId106"/>
      <w:r w:rsidRPr="001C7C35">
        <w:rPr>
          <w:rFonts w:eastAsia="Batang" w:cs="Calibri"/>
          <w:bCs/>
          <w:szCs w:val="24"/>
        </w:rPr>
        <w:t xml:space="preserve">Les participants ont estimé qu'il était essentiel de procéder à une mise en correspondance analogue entre les sujets à l'étude dans le cadre des </w:t>
      </w:r>
      <w:r w:rsidRPr="001C7C35">
        <w:rPr>
          <w:rFonts w:eastAsia="Batang" w:cs="Calibri"/>
          <w:b/>
          <w:szCs w:val="24"/>
        </w:rPr>
        <w:t>commissions d'études</w:t>
      </w:r>
      <w:r w:rsidRPr="001C7C35">
        <w:rPr>
          <w:rFonts w:eastAsia="Batang" w:cs="Calibri"/>
          <w:bCs/>
          <w:szCs w:val="24"/>
        </w:rPr>
        <w:t>, des groupes de travail et des autres groupe</w:t>
      </w:r>
      <w:r w:rsidR="0022355F" w:rsidRPr="001C7C35">
        <w:rPr>
          <w:rFonts w:eastAsia="Batang" w:cs="Calibri"/>
          <w:bCs/>
          <w:szCs w:val="24"/>
        </w:rPr>
        <w:t>s</w:t>
      </w:r>
      <w:r w:rsidRPr="001C7C35">
        <w:rPr>
          <w:rFonts w:eastAsia="Batang" w:cs="Calibri"/>
          <w:bCs/>
          <w:szCs w:val="24"/>
        </w:rPr>
        <w:t xml:space="preserve"> de </w:t>
      </w:r>
      <w:r w:rsidRPr="001C7C35">
        <w:rPr>
          <w:rFonts w:eastAsia="Batang" w:cs="Calibri"/>
          <w:b/>
          <w:szCs w:val="24"/>
        </w:rPr>
        <w:t>l'UIT-R</w:t>
      </w:r>
      <w:r w:rsidRPr="001C7C35">
        <w:rPr>
          <w:rFonts w:eastAsia="Batang" w:cs="Calibri"/>
          <w:bCs/>
          <w:szCs w:val="24"/>
        </w:rPr>
        <w:t xml:space="preserve"> et les Questions confiées aux commissions d'études de l'UIT-D. À cet égard, il a été procédé à une</w:t>
      </w:r>
      <w:r w:rsidR="00E05795" w:rsidRPr="001C7C35">
        <w:rPr>
          <w:rFonts w:eastAsia="Batang" w:cs="Calibri"/>
          <w:bCs/>
          <w:szCs w:val="24"/>
        </w:rPr>
        <w:t xml:space="preserve"> première</w:t>
      </w:r>
      <w:r w:rsidRPr="001C7C35">
        <w:rPr>
          <w:rFonts w:eastAsia="Batang" w:cs="Calibri"/>
          <w:bCs/>
          <w:szCs w:val="24"/>
        </w:rPr>
        <w:t xml:space="preserve"> mise en correspondance </w:t>
      </w:r>
      <w:r w:rsidR="00E05795" w:rsidRPr="001C7C35">
        <w:rPr>
          <w:rFonts w:eastAsia="Batang" w:cs="Calibri"/>
          <w:bCs/>
          <w:szCs w:val="24"/>
        </w:rPr>
        <w:t>e</w:t>
      </w:r>
      <w:r w:rsidRPr="001C7C35">
        <w:rPr>
          <w:rFonts w:eastAsia="Batang" w:cs="Calibri"/>
          <w:bCs/>
          <w:szCs w:val="24"/>
        </w:rPr>
        <w:t>ntre les travaux de l'UIT-R et</w:t>
      </w:r>
      <w:r w:rsidR="00E05795" w:rsidRPr="001C7C35">
        <w:rPr>
          <w:rFonts w:eastAsia="Batang" w:cs="Calibri"/>
          <w:bCs/>
          <w:szCs w:val="24"/>
        </w:rPr>
        <w:t xml:space="preserve"> ceux</w:t>
      </w:r>
      <w:r w:rsidRPr="001C7C35">
        <w:rPr>
          <w:rFonts w:eastAsia="Batang" w:cs="Calibri"/>
          <w:bCs/>
          <w:szCs w:val="24"/>
        </w:rPr>
        <w:t xml:space="preserve"> de l'UIT-D au niveau des groupes de travail de l'UIT-R uniquement. </w:t>
      </w:r>
      <w:bookmarkEnd w:id="46"/>
    </w:p>
    <w:p w:rsidR="00051505" w:rsidRPr="001C7C35" w:rsidRDefault="00E05795" w:rsidP="000073BC">
      <w:pPr>
        <w:spacing w:after="120"/>
        <w:rPr>
          <w:rFonts w:eastAsia="Batang" w:cs="Calibri"/>
          <w:bCs/>
        </w:rPr>
      </w:pPr>
      <w:bookmarkStart w:id="47" w:name="lt_pId111"/>
      <w:r w:rsidRPr="001C7C35">
        <w:rPr>
          <w:rFonts w:eastAsia="Batang" w:cs="Calibri"/>
          <w:bCs/>
          <w:szCs w:val="24"/>
        </w:rPr>
        <w:t xml:space="preserve">Les commissions d'études de l'UIT-D et leurs équipes de direction ont examiné les objectifs et la justification de cette mise en correspondance et ont noté que son actualisation représentait un travail considérable. On a avancé qu'il s'agissait d'un outil utile pour les Groupes du Rapporteur en ce qu'il permet d'établir un lien entre leurs activités et les travaux menés dans les autres Secteurs afin d'établir </w:t>
      </w:r>
      <w:r w:rsidR="00B70D0D" w:rsidRPr="001C7C35">
        <w:rPr>
          <w:rFonts w:eastAsia="Batang" w:cs="Calibri"/>
          <w:bCs/>
          <w:szCs w:val="24"/>
        </w:rPr>
        <w:t>l</w:t>
      </w:r>
      <w:r w:rsidRPr="001C7C35">
        <w:rPr>
          <w:rFonts w:eastAsia="Batang" w:cs="Calibri"/>
          <w:bCs/>
          <w:szCs w:val="24"/>
        </w:rPr>
        <w:t xml:space="preserve">es liens entre les recommandations existantes, d'envoyer les notes de liaison aux groupes concernés, etc. </w:t>
      </w:r>
      <w:r w:rsidR="001C7C35" w:rsidRPr="001C7C35">
        <w:rPr>
          <w:rFonts w:eastAsia="Batang" w:cs="Calibri"/>
          <w:bCs/>
          <w:szCs w:val="24"/>
        </w:rPr>
        <w:t>À</w:t>
      </w:r>
      <w:r w:rsidRPr="001C7C35">
        <w:rPr>
          <w:rFonts w:eastAsia="Batang" w:cs="Calibri"/>
          <w:bCs/>
          <w:szCs w:val="24"/>
        </w:rPr>
        <w:t xml:space="preserve"> ce titre, cette mise en correspondance peut servir de cadre général </w:t>
      </w:r>
      <w:r w:rsidR="00B70D0D" w:rsidRPr="001C7C35">
        <w:rPr>
          <w:rFonts w:eastAsia="Batang" w:cs="Calibri"/>
          <w:bCs/>
          <w:szCs w:val="24"/>
        </w:rPr>
        <w:t xml:space="preserve">d'interaction et de </w:t>
      </w:r>
      <w:r w:rsidRPr="001C7C35">
        <w:rPr>
          <w:rFonts w:eastAsia="Batang" w:cs="Calibri"/>
          <w:bCs/>
          <w:szCs w:val="24"/>
        </w:rPr>
        <w:t>collaboration entre les Secteurs. Elle peut permettre de connaître les spécialistes des différents thèmes</w:t>
      </w:r>
      <w:r w:rsidR="00B70D0D" w:rsidRPr="001C7C35">
        <w:rPr>
          <w:rFonts w:eastAsia="Batang" w:cs="Calibri"/>
          <w:bCs/>
          <w:szCs w:val="24"/>
        </w:rPr>
        <w:t xml:space="preserve"> et de partager aussi, par leur intermédiaire, des compétences spécialisé</w:t>
      </w:r>
      <w:r w:rsidR="00930650" w:rsidRPr="001C7C35">
        <w:rPr>
          <w:rFonts w:eastAsia="Batang" w:cs="Calibri"/>
          <w:bCs/>
          <w:szCs w:val="24"/>
        </w:rPr>
        <w:t>e</w:t>
      </w:r>
      <w:r w:rsidR="00B70D0D" w:rsidRPr="001C7C35">
        <w:rPr>
          <w:rFonts w:eastAsia="Batang" w:cs="Calibri"/>
          <w:bCs/>
          <w:szCs w:val="24"/>
        </w:rPr>
        <w:t>s</w:t>
      </w:r>
      <w:r w:rsidRPr="001C7C35">
        <w:rPr>
          <w:rFonts w:eastAsia="Batang" w:cs="Calibri"/>
          <w:bCs/>
          <w:szCs w:val="24"/>
        </w:rPr>
        <w:t xml:space="preserve">. </w:t>
      </w:r>
      <w:bookmarkEnd w:id="47"/>
    </w:p>
    <w:p w:rsidR="00051505" w:rsidRPr="001C7C35" w:rsidRDefault="0074554E" w:rsidP="000073BC">
      <w:pPr>
        <w:spacing w:after="120"/>
        <w:rPr>
          <w:rFonts w:eastAsia="Batang" w:cs="Calibri"/>
          <w:bCs/>
        </w:rPr>
      </w:pPr>
      <w:bookmarkStart w:id="48" w:name="lt_pId114"/>
      <w:r w:rsidRPr="001C7C35">
        <w:rPr>
          <w:rFonts w:eastAsia="Batang" w:cs="Calibri"/>
          <w:bCs/>
          <w:szCs w:val="24"/>
        </w:rPr>
        <w:t xml:space="preserve">Sur le modèle de la mise en correspondance intersectorielle, les commissions d'études de l'UIT-D ont également procédé à une </w:t>
      </w:r>
      <w:r w:rsidRPr="001C7C35">
        <w:rPr>
          <w:rFonts w:eastAsia="Batang" w:cs="Calibri"/>
          <w:b/>
          <w:szCs w:val="24"/>
        </w:rPr>
        <w:t>mise en correspondance intrasectorielle entre les différentes Questions</w:t>
      </w:r>
      <w:r w:rsidRPr="001C7C35">
        <w:rPr>
          <w:rFonts w:eastAsia="Batang" w:cs="Calibri"/>
          <w:bCs/>
          <w:szCs w:val="24"/>
        </w:rPr>
        <w:t>. Le projet de tableau de relation et d'interaction entre les Questions confiées à la CE 1 de l'UIT-D et celle</w:t>
      </w:r>
      <w:r w:rsidR="00E75813" w:rsidRPr="001C7C35">
        <w:rPr>
          <w:rFonts w:eastAsia="Batang" w:cs="Calibri"/>
          <w:bCs/>
          <w:szCs w:val="24"/>
        </w:rPr>
        <w:t>s confiées</w:t>
      </w:r>
      <w:r w:rsidRPr="001C7C35">
        <w:rPr>
          <w:rFonts w:eastAsia="Batang" w:cs="Calibri"/>
          <w:bCs/>
          <w:szCs w:val="24"/>
        </w:rPr>
        <w:t xml:space="preserve"> à la CE 2 de l'</w:t>
      </w:r>
      <w:r w:rsidR="00E75813" w:rsidRPr="001C7C35">
        <w:rPr>
          <w:rFonts w:eastAsia="Batang" w:cs="Calibri"/>
          <w:bCs/>
          <w:szCs w:val="24"/>
        </w:rPr>
        <w:t>UIT-D vise</w:t>
      </w:r>
      <w:r w:rsidRPr="001C7C35">
        <w:rPr>
          <w:rFonts w:eastAsia="Batang" w:cs="Calibri"/>
          <w:bCs/>
          <w:szCs w:val="24"/>
        </w:rPr>
        <w:t xml:space="preserve"> à mettre en évidence les possibles chevauchements et les domaines dans lesquels la collaboration pourrait être encore renforcée. Comme pour tous les tableaux de mise en correspondance, il s'agit de documents évolutifs qui seront modifiés tout au long de la période d'études à mesure que les travaux sur les différentes Questions progressent</w:t>
      </w:r>
      <w:r w:rsidR="00E575A7" w:rsidRPr="001C7C35">
        <w:rPr>
          <w:rFonts w:eastAsia="Batang" w:cs="Calibri"/>
          <w:bCs/>
        </w:rPr>
        <w:t>.</w:t>
      </w:r>
      <w:bookmarkEnd w:id="48"/>
    </w:p>
    <w:p w:rsidR="00BB0CED" w:rsidRPr="001C7C35" w:rsidRDefault="00BB0CED" w:rsidP="000073BC">
      <w:pPr>
        <w:spacing w:after="120"/>
        <w:rPr>
          <w:rFonts w:eastAsia="Batang" w:cs="Calibri"/>
          <w:bCs/>
        </w:rPr>
      </w:pPr>
      <w:r w:rsidRPr="001C7C35">
        <w:rPr>
          <w:rFonts w:eastAsia="Batang" w:cs="Calibri"/>
          <w:bCs/>
        </w:rPr>
        <w:t xml:space="preserve">De nouvelles améliorations ont été apportées aux trois tableaux de mise en correspondance susmentionnés et lors de la deuxième réunion de la Commission d'études 2 de l'UIT-D, </w:t>
      </w:r>
      <w:r w:rsidR="000073BC" w:rsidRPr="001C7C35">
        <w:rPr>
          <w:rFonts w:eastAsia="Batang" w:cs="Calibri"/>
          <w:bCs/>
        </w:rPr>
        <w:t xml:space="preserve">les participants ont discuté de la manière de procéder pour les mises à jour ultérieures </w:t>
      </w:r>
      <w:r w:rsidRPr="001C7C35">
        <w:rPr>
          <w:rFonts w:eastAsia="Batang" w:cs="Calibri"/>
          <w:bCs/>
        </w:rPr>
        <w:t>comme indiqué dans la partie 2.2 du présent rapport.</w:t>
      </w:r>
    </w:p>
    <w:p w:rsidR="005A5E93" w:rsidRPr="001C7C35" w:rsidRDefault="006C23F5" w:rsidP="000073BC">
      <w:pPr>
        <w:pStyle w:val="Heading2"/>
      </w:pPr>
      <w:r w:rsidRPr="001C7C35">
        <w:t>4.2</w:t>
      </w:r>
      <w:r w:rsidRPr="001C7C35">
        <w:tab/>
      </w:r>
      <w:r w:rsidR="00E575A7" w:rsidRPr="001C7C35">
        <w:t xml:space="preserve">Notes de liaison </w:t>
      </w:r>
      <w:r w:rsidR="00C52F64" w:rsidRPr="001C7C35">
        <w:t>des autres</w:t>
      </w:r>
      <w:r w:rsidR="00E575A7" w:rsidRPr="001C7C35">
        <w:t xml:space="preserve"> Secteurs et  organisations</w:t>
      </w:r>
    </w:p>
    <w:p w:rsidR="006C23F5" w:rsidRPr="001C7C35" w:rsidRDefault="009C3099" w:rsidP="000073BC">
      <w:pPr>
        <w:spacing w:after="120"/>
        <w:rPr>
          <w:rFonts w:eastAsia="Batang" w:cs="Calibri"/>
          <w:bCs/>
        </w:rPr>
      </w:pPr>
      <w:bookmarkStart w:id="49" w:name="lt_pId116"/>
      <w:r w:rsidRPr="001C7C35">
        <w:rPr>
          <w:rFonts w:eastAsia="Batang" w:cs="Calibri"/>
          <w:bCs/>
        </w:rPr>
        <w:t xml:space="preserve">La Commission d'études 2 de l'UIT-D a reçu </w:t>
      </w:r>
      <w:r w:rsidR="008F3A91" w:rsidRPr="001C7C35">
        <w:rPr>
          <w:rFonts w:eastAsia="Batang" w:cs="Calibri"/>
          <w:bCs/>
        </w:rPr>
        <w:t>un certain</w:t>
      </w:r>
      <w:r w:rsidRPr="001C7C35">
        <w:rPr>
          <w:rFonts w:eastAsia="Batang" w:cs="Calibri"/>
          <w:bCs/>
        </w:rPr>
        <w:t xml:space="preserve"> nombre de notes de liaison des </w:t>
      </w:r>
      <w:r w:rsidR="00C02FEB" w:rsidRPr="001C7C35">
        <w:rPr>
          <w:rFonts w:eastAsia="Batang" w:cs="Calibri"/>
          <w:bCs/>
        </w:rPr>
        <w:t xml:space="preserve">autres </w:t>
      </w:r>
      <w:r w:rsidRPr="001C7C35">
        <w:rPr>
          <w:rFonts w:eastAsia="Batang" w:cs="Calibri"/>
          <w:bCs/>
        </w:rPr>
        <w:t xml:space="preserve">Secteurs </w:t>
      </w:r>
      <w:r w:rsidR="0022355F" w:rsidRPr="001C7C35">
        <w:rPr>
          <w:rFonts w:eastAsia="Batang" w:cs="Calibri"/>
          <w:bCs/>
        </w:rPr>
        <w:t xml:space="preserve">de l'UIT </w:t>
      </w:r>
      <w:r w:rsidRPr="001C7C35">
        <w:rPr>
          <w:rFonts w:eastAsia="Batang" w:cs="Calibri"/>
          <w:bCs/>
        </w:rPr>
        <w:t>et d</w:t>
      </w:r>
      <w:r w:rsidR="00C02FEB" w:rsidRPr="001C7C35">
        <w:rPr>
          <w:rFonts w:eastAsia="Batang" w:cs="Calibri"/>
          <w:bCs/>
        </w:rPr>
        <w:t>'o</w:t>
      </w:r>
      <w:r w:rsidRPr="001C7C35">
        <w:rPr>
          <w:rFonts w:eastAsia="Batang" w:cs="Calibri"/>
          <w:bCs/>
        </w:rPr>
        <w:t xml:space="preserve">rganisations extérieures à l'UIT sur différents sujets, </w:t>
      </w:r>
      <w:r w:rsidR="007D296B" w:rsidRPr="001C7C35">
        <w:rPr>
          <w:rFonts w:eastAsia="Batang" w:cs="Calibri"/>
          <w:bCs/>
        </w:rPr>
        <w:t>qui contiennent</w:t>
      </w:r>
      <w:r w:rsidRPr="001C7C35">
        <w:rPr>
          <w:rFonts w:eastAsia="Batang" w:cs="Calibri"/>
          <w:bCs/>
        </w:rPr>
        <w:t xml:space="preserve"> des informations sur leurs activités récent</w:t>
      </w:r>
      <w:r w:rsidR="00C02FEB" w:rsidRPr="001C7C35">
        <w:rPr>
          <w:rFonts w:eastAsia="Batang" w:cs="Calibri"/>
          <w:bCs/>
        </w:rPr>
        <w:t>e</w:t>
      </w:r>
      <w:r w:rsidRPr="001C7C35">
        <w:rPr>
          <w:rFonts w:eastAsia="Batang" w:cs="Calibri"/>
          <w:bCs/>
        </w:rPr>
        <w:t>s ou des demandes relatives à une mesure spécifique à prendre. La Commission d'études 2 de l'UIT-D appliquera la diligence nécessaire pour répondre à ces notes de liaison</w:t>
      </w:r>
      <w:r w:rsidR="006C23F5" w:rsidRPr="001C7C35">
        <w:rPr>
          <w:rFonts w:eastAsia="Batang" w:cs="Calibri"/>
          <w:bCs/>
        </w:rPr>
        <w:t>.</w:t>
      </w:r>
      <w:bookmarkEnd w:id="49"/>
      <w:r w:rsidR="006C23F5" w:rsidRPr="001C7C35">
        <w:rPr>
          <w:rFonts w:eastAsia="Batang" w:cs="Calibri"/>
          <w:bCs/>
        </w:rPr>
        <w:t xml:space="preserve"> </w:t>
      </w:r>
    </w:p>
    <w:p w:rsidR="00051505" w:rsidRPr="001C7C35" w:rsidRDefault="006C23F5" w:rsidP="000073BC">
      <w:pPr>
        <w:pStyle w:val="Heading2"/>
      </w:pPr>
      <w:r w:rsidRPr="001C7C35">
        <w:t>4.3</w:t>
      </w:r>
      <w:r w:rsidRPr="001C7C35">
        <w:tab/>
      </w:r>
      <w:r w:rsidR="009C3099" w:rsidRPr="001C7C35">
        <w:t xml:space="preserve">Participation </w:t>
      </w:r>
      <w:r w:rsidR="00C02FEB" w:rsidRPr="001C7C35">
        <w:t xml:space="preserve">et contribution </w:t>
      </w:r>
      <w:r w:rsidR="009C3099" w:rsidRPr="001C7C35">
        <w:t xml:space="preserve">des commissions d'études de l'UIT-D </w:t>
      </w:r>
      <w:r w:rsidR="00B02D18" w:rsidRPr="001C7C35">
        <w:t xml:space="preserve">à la mise en </w:t>
      </w:r>
      <w:r w:rsidR="006C65DA" w:rsidRPr="001C7C35">
        <w:t>œ</w:t>
      </w:r>
      <w:r w:rsidR="00B02D18" w:rsidRPr="001C7C35">
        <w:t>uvre de</w:t>
      </w:r>
      <w:r w:rsidR="00E25EFE" w:rsidRPr="001C7C35">
        <w:t xml:space="preserve"> la Résolution 9 (Rév.</w:t>
      </w:r>
      <w:r w:rsidR="009C3099" w:rsidRPr="001C7C35">
        <w:t>B</w:t>
      </w:r>
      <w:r w:rsidR="0022355F" w:rsidRPr="001C7C35">
        <w:t>uenos Aires, 2017) de la CMDT</w:t>
      </w:r>
    </w:p>
    <w:p w:rsidR="00051505" w:rsidRPr="001C7C35" w:rsidRDefault="00B02D18" w:rsidP="006C65DA">
      <w:pPr>
        <w:spacing w:after="120"/>
        <w:rPr>
          <w:szCs w:val="24"/>
        </w:rPr>
      </w:pPr>
      <w:r w:rsidRPr="001C7C35">
        <w:rPr>
          <w:szCs w:val="24"/>
        </w:rPr>
        <w:t xml:space="preserve">Lors des réunions, l'état d'avancement de la mise en </w:t>
      </w:r>
      <w:r w:rsidR="006C65DA" w:rsidRPr="001C7C35">
        <w:rPr>
          <w:szCs w:val="24"/>
        </w:rPr>
        <w:t>œ</w:t>
      </w:r>
      <w:r w:rsidR="00302250" w:rsidRPr="001C7C35">
        <w:rPr>
          <w:szCs w:val="24"/>
        </w:rPr>
        <w:t>uvre de la Résolution 9 (Rév.Buenos Aires, </w:t>
      </w:r>
      <w:r w:rsidRPr="001C7C35">
        <w:rPr>
          <w:szCs w:val="24"/>
        </w:rPr>
        <w:t>2017) de la</w:t>
      </w:r>
      <w:r w:rsidR="0022355F" w:rsidRPr="001C7C35">
        <w:rPr>
          <w:szCs w:val="24"/>
        </w:rPr>
        <w:t xml:space="preserve"> CMDT et le fait que la CMDT-17</w:t>
      </w:r>
      <w:r w:rsidR="0088596F">
        <w:rPr>
          <w:szCs w:val="24"/>
        </w:rPr>
        <w:t xml:space="preserve"> ait supprimé cette question du </w:t>
      </w:r>
      <w:r w:rsidRPr="001C7C35">
        <w:rPr>
          <w:szCs w:val="24"/>
        </w:rPr>
        <w:t xml:space="preserve">programme de travail des commissions d'études de l'UIT-D ont suscité des interrogations. </w:t>
      </w:r>
      <w:r w:rsidR="00A565D6" w:rsidRPr="001C7C35">
        <w:rPr>
          <w:szCs w:val="24"/>
        </w:rPr>
        <w:lastRenderedPageBreak/>
        <w:t>Étant</w:t>
      </w:r>
      <w:r w:rsidR="0088596F">
        <w:rPr>
          <w:szCs w:val="24"/>
        </w:rPr>
        <w:t> </w:t>
      </w:r>
      <w:r w:rsidRPr="001C7C35">
        <w:rPr>
          <w:szCs w:val="24"/>
        </w:rPr>
        <w:t xml:space="preserve">donné que plusieurs Questions confiées à la CE </w:t>
      </w:r>
      <w:r w:rsidR="00A43B8C" w:rsidRPr="001C7C35">
        <w:rPr>
          <w:szCs w:val="24"/>
        </w:rPr>
        <w:t xml:space="preserve">2 </w:t>
      </w:r>
      <w:r w:rsidRPr="001C7C35">
        <w:rPr>
          <w:szCs w:val="24"/>
        </w:rPr>
        <w:t xml:space="preserve">ont un lien avec la gestion du spectre, des précisions ont été demandées sur les prochaines étapes de la mise en </w:t>
      </w:r>
      <w:r w:rsidR="006C65DA" w:rsidRPr="001C7C35">
        <w:rPr>
          <w:szCs w:val="24"/>
        </w:rPr>
        <w:t>œ</w:t>
      </w:r>
      <w:r w:rsidRPr="001C7C35">
        <w:rPr>
          <w:szCs w:val="24"/>
        </w:rPr>
        <w:t xml:space="preserve">uvre et sur la manière dont </w:t>
      </w:r>
      <w:r w:rsidR="001F733B" w:rsidRPr="001C7C35">
        <w:rPr>
          <w:szCs w:val="24"/>
        </w:rPr>
        <w:t>la commission d'études pourrai</w:t>
      </w:r>
      <w:r w:rsidRPr="001C7C35">
        <w:rPr>
          <w:szCs w:val="24"/>
        </w:rPr>
        <w:t xml:space="preserve">t procéder à cet égard. Un rapport a été présenté aux participants concernant une proposition de méthode </w:t>
      </w:r>
      <w:r w:rsidR="00A1417A" w:rsidRPr="001C7C35">
        <w:rPr>
          <w:szCs w:val="24"/>
        </w:rPr>
        <w:t>pour</w:t>
      </w:r>
      <w:r w:rsidRPr="001C7C35">
        <w:rPr>
          <w:szCs w:val="24"/>
        </w:rPr>
        <w:t xml:space="preserve"> traiter les aspects complexes de la mise en </w:t>
      </w:r>
      <w:r w:rsidR="006C65DA" w:rsidRPr="001C7C35">
        <w:rPr>
          <w:szCs w:val="24"/>
        </w:rPr>
        <w:t>œ</w:t>
      </w:r>
      <w:r w:rsidRPr="001C7C35">
        <w:rPr>
          <w:szCs w:val="24"/>
        </w:rPr>
        <w:t xml:space="preserve">uvre de la </w:t>
      </w:r>
      <w:r w:rsidR="00302250" w:rsidRPr="001C7C35">
        <w:rPr>
          <w:szCs w:val="24"/>
        </w:rPr>
        <w:t>Résolution 9 (Rév.</w:t>
      </w:r>
      <w:r w:rsidR="001F733B" w:rsidRPr="001C7C35">
        <w:rPr>
          <w:szCs w:val="24"/>
        </w:rPr>
        <w:t xml:space="preserve">Buenos Aires, 2017) de la CMDT </w:t>
      </w:r>
      <w:r w:rsidR="00A43B8C" w:rsidRPr="001C7C35">
        <w:rPr>
          <w:szCs w:val="24"/>
        </w:rPr>
        <w:t>par le BDT, qui exige</w:t>
      </w:r>
      <w:r w:rsidRPr="001C7C35">
        <w:rPr>
          <w:szCs w:val="24"/>
        </w:rPr>
        <w:t xml:space="preserve"> une collaboration </w:t>
      </w:r>
      <w:r w:rsidR="007D296B" w:rsidRPr="001C7C35">
        <w:rPr>
          <w:szCs w:val="24"/>
        </w:rPr>
        <w:t xml:space="preserve">étroite </w:t>
      </w:r>
      <w:r w:rsidRPr="001C7C35">
        <w:rPr>
          <w:szCs w:val="24"/>
        </w:rPr>
        <w:t xml:space="preserve">avec le Bureau des radiocommunications (BR), et il a été noté que des informations seraient communiquées ultérieurement. En ce qui concerne la possible contribution des commissions d'études de l'UIT-D aux travaux, il a été proposé que chaque </w:t>
      </w:r>
      <w:r w:rsidR="001F733B" w:rsidRPr="001C7C35">
        <w:rPr>
          <w:szCs w:val="24"/>
        </w:rPr>
        <w:t xml:space="preserve">Groupe du </w:t>
      </w:r>
      <w:r w:rsidRPr="001C7C35">
        <w:rPr>
          <w:szCs w:val="24"/>
        </w:rPr>
        <w:t>Rapporteur rassemble tous les éléments concernant les aspects relatifs au spectre, en particulier les besoins exprimés, à l'issue de chaque réunion</w:t>
      </w:r>
      <w:r w:rsidR="009C537C" w:rsidRPr="001C7C35">
        <w:rPr>
          <w:szCs w:val="24"/>
        </w:rPr>
        <w:t xml:space="preserve"> et les communique à intervalle</w:t>
      </w:r>
      <w:r w:rsidR="001F733B" w:rsidRPr="001C7C35">
        <w:rPr>
          <w:szCs w:val="24"/>
        </w:rPr>
        <w:t>s</w:t>
      </w:r>
      <w:r w:rsidR="009C537C" w:rsidRPr="001C7C35">
        <w:rPr>
          <w:szCs w:val="24"/>
        </w:rPr>
        <w:t xml:space="preserve"> régulier</w:t>
      </w:r>
      <w:r w:rsidR="001F733B" w:rsidRPr="001C7C35">
        <w:rPr>
          <w:szCs w:val="24"/>
        </w:rPr>
        <w:t>s</w:t>
      </w:r>
      <w:r w:rsidRPr="001C7C35">
        <w:rPr>
          <w:szCs w:val="24"/>
        </w:rPr>
        <w:t xml:space="preserve"> au Président de</w:t>
      </w:r>
      <w:r w:rsidR="009C537C" w:rsidRPr="001C7C35">
        <w:rPr>
          <w:szCs w:val="24"/>
        </w:rPr>
        <w:t xml:space="preserve"> la</w:t>
      </w:r>
      <w:r w:rsidRPr="001C7C35">
        <w:rPr>
          <w:szCs w:val="24"/>
        </w:rPr>
        <w:t xml:space="preserve"> Commission d'études</w:t>
      </w:r>
      <w:r w:rsidR="009C537C" w:rsidRPr="001C7C35">
        <w:rPr>
          <w:szCs w:val="24"/>
        </w:rPr>
        <w:t xml:space="preserve"> </w:t>
      </w:r>
      <w:r w:rsidR="00487A27" w:rsidRPr="001C7C35">
        <w:rPr>
          <w:szCs w:val="24"/>
        </w:rPr>
        <w:t>2</w:t>
      </w:r>
      <w:r w:rsidR="001F733B" w:rsidRPr="001C7C35">
        <w:rPr>
          <w:szCs w:val="24"/>
        </w:rPr>
        <w:t xml:space="preserve"> de l'UIT-D</w:t>
      </w:r>
      <w:r w:rsidRPr="001C7C35">
        <w:rPr>
          <w:szCs w:val="24"/>
        </w:rPr>
        <w:t>.</w:t>
      </w:r>
      <w:r w:rsidR="00150EEC" w:rsidRPr="001C7C35">
        <w:t xml:space="preserve"> Ce point a été examiné plus avant lors de la deuxième réunion de la Commission d'études 2 de l'UIT-D (25-29 mars 2019) et il a été décidé </w:t>
      </w:r>
      <w:r w:rsidR="006C65DA" w:rsidRPr="001C7C35">
        <w:t>de la</w:t>
      </w:r>
      <w:r w:rsidR="00150EEC" w:rsidRPr="001C7C35">
        <w:t xml:space="preserve"> manière de procéder pour mettre en </w:t>
      </w:r>
      <w:r w:rsidR="006C65DA" w:rsidRPr="001C7C35">
        <w:t>œ</w:t>
      </w:r>
      <w:r w:rsidR="00150EEC" w:rsidRPr="001C7C35">
        <w:t>uvre cette Résolution, comme indiqué dans la partie</w:t>
      </w:r>
      <w:r w:rsidR="006C65DA" w:rsidRPr="001C7C35">
        <w:t> </w:t>
      </w:r>
      <w:r w:rsidR="00150EEC" w:rsidRPr="001C7C35">
        <w:t>2.2 du présent rapport.</w:t>
      </w:r>
    </w:p>
    <w:p w:rsidR="00051505" w:rsidRPr="001C7C35" w:rsidRDefault="006C23F5" w:rsidP="000073BC">
      <w:pPr>
        <w:pStyle w:val="Heading1"/>
        <w:rPr>
          <w:sz w:val="24"/>
          <w:szCs w:val="24"/>
        </w:rPr>
      </w:pPr>
      <w:r w:rsidRPr="001C7C35">
        <w:rPr>
          <w:sz w:val="24"/>
          <w:szCs w:val="24"/>
        </w:rPr>
        <w:t>5</w:t>
      </w:r>
      <w:r w:rsidRPr="001C7C35">
        <w:rPr>
          <w:sz w:val="24"/>
          <w:szCs w:val="24"/>
        </w:rPr>
        <w:tab/>
      </w:r>
      <w:r w:rsidR="00A00360" w:rsidRPr="001C7C35">
        <w:rPr>
          <w:sz w:val="24"/>
          <w:szCs w:val="24"/>
        </w:rPr>
        <w:t>Travaux du Comité de coordination de l'UIT pour la terminologie (CCT de l'UIT) pré</w:t>
      </w:r>
      <w:r w:rsidR="00302250" w:rsidRPr="001C7C35">
        <w:rPr>
          <w:sz w:val="24"/>
          <w:szCs w:val="24"/>
        </w:rPr>
        <w:t>sentant un intérêt pour l'UIT-D</w:t>
      </w:r>
    </w:p>
    <w:p w:rsidR="005A5E93" w:rsidRPr="001C7C35" w:rsidRDefault="00F41662" w:rsidP="000073BC">
      <w:r w:rsidRPr="001C7C35">
        <w:rPr>
          <w:rFonts w:ascii="Calibri" w:eastAsia="Calibri" w:hAnsi="Calibri" w:cs="Calibri"/>
        </w:rPr>
        <w:t xml:space="preserve">Conformément à la Résolution 86 (Buenos Aires, 2017) de la CMDT intitulée "Utilisation au sein du Secteur du développement des télécommunications de l'UIT des langues de l'Union sur un pied d'égalité", </w:t>
      </w:r>
      <w:r w:rsidR="00487A27" w:rsidRPr="001C7C35">
        <w:rPr>
          <w:rFonts w:ascii="Calibri" w:eastAsia="Calibri" w:hAnsi="Calibri" w:cs="Calibri"/>
        </w:rPr>
        <w:t>le GCDT a nommé en 2018</w:t>
      </w:r>
      <w:r w:rsidR="00A00360" w:rsidRPr="001C7C35">
        <w:rPr>
          <w:rFonts w:ascii="Calibri" w:eastAsia="Calibri" w:hAnsi="Calibri" w:cs="Calibri"/>
        </w:rPr>
        <w:t xml:space="preserve"> le Vice-Président de la CE 1, M.</w:t>
      </w:r>
      <w:r w:rsidRPr="001C7C35">
        <w:rPr>
          <w:rFonts w:ascii="Calibri" w:eastAsia="Calibri" w:hAnsi="Calibri" w:cs="Calibri"/>
        </w:rPr>
        <w:t xml:space="preserve"> </w:t>
      </w:r>
      <w:r w:rsidRPr="001C7C35">
        <w:t>Peter Mbengie (</w:t>
      </w:r>
      <w:r w:rsidR="00A00360" w:rsidRPr="001C7C35">
        <w:t>Cameroun</w:t>
      </w:r>
      <w:r w:rsidRPr="001C7C35">
        <w:t>)</w:t>
      </w:r>
      <w:r w:rsidR="00487A27" w:rsidRPr="001C7C35">
        <w:t>,</w:t>
      </w:r>
      <w:r w:rsidRPr="001C7C35">
        <w:t xml:space="preserve"> </w:t>
      </w:r>
      <w:r w:rsidR="00A00360" w:rsidRPr="001C7C35">
        <w:t>et la Vice-Présidente de la CE</w:t>
      </w:r>
      <w:r w:rsidR="00A00360" w:rsidRPr="001C7C35">
        <w:rPr>
          <w:rFonts w:ascii="Calibri" w:eastAsia="Calibri" w:hAnsi="Calibri" w:cs="Calibri"/>
        </w:rPr>
        <w:t xml:space="preserve"> 2, Mme</w:t>
      </w:r>
      <w:r w:rsidRPr="001C7C35">
        <w:rPr>
          <w:bCs/>
          <w:iCs/>
          <w:lang w:bidi="en-US"/>
        </w:rPr>
        <w:t xml:space="preserve"> Ke Wang (</w:t>
      </w:r>
      <w:r w:rsidR="00A00360" w:rsidRPr="001C7C35">
        <w:rPr>
          <w:bCs/>
          <w:iCs/>
          <w:lang w:bidi="en-US"/>
        </w:rPr>
        <w:t>République populaire de Chine</w:t>
      </w:r>
      <w:r w:rsidRPr="001C7C35">
        <w:rPr>
          <w:bCs/>
          <w:iCs/>
          <w:lang w:bidi="en-US"/>
        </w:rPr>
        <w:t>)</w:t>
      </w:r>
      <w:r w:rsidR="00487A27" w:rsidRPr="001C7C35">
        <w:rPr>
          <w:bCs/>
          <w:iCs/>
          <w:lang w:bidi="en-US"/>
        </w:rPr>
        <w:t>, représentants de</w:t>
      </w:r>
      <w:r w:rsidR="00A00360" w:rsidRPr="001C7C35">
        <w:rPr>
          <w:bCs/>
          <w:iCs/>
          <w:lang w:bidi="en-US"/>
        </w:rPr>
        <w:t xml:space="preserve"> l'UIT-D au sein du Comité de coordination de l'UIT pour la terminologie (CCT de l'UIT). </w:t>
      </w:r>
      <w:r w:rsidR="00487A27" w:rsidRPr="001C7C35">
        <w:rPr>
          <w:bCs/>
          <w:iCs/>
          <w:lang w:bidi="en-US"/>
        </w:rPr>
        <w:t>Par sa</w:t>
      </w:r>
      <w:r w:rsidR="002153EE" w:rsidRPr="001C7C35">
        <w:rPr>
          <w:bCs/>
          <w:iCs/>
          <w:lang w:bidi="en-US"/>
        </w:rPr>
        <w:t xml:space="preserve"> Résolution</w:t>
      </w:r>
      <w:r w:rsidRPr="001C7C35">
        <w:rPr>
          <w:bCs/>
          <w:iCs/>
          <w:lang w:bidi="en-US"/>
        </w:rPr>
        <w:t xml:space="preserve"> 154 (Rév. Dubaï, 2018)</w:t>
      </w:r>
      <w:r w:rsidR="002153EE" w:rsidRPr="001C7C35">
        <w:rPr>
          <w:bCs/>
          <w:iCs/>
          <w:lang w:bidi="en-US"/>
        </w:rPr>
        <w:t>, intitulée</w:t>
      </w:r>
      <w:r w:rsidRPr="001C7C35">
        <w:rPr>
          <w:bCs/>
          <w:iCs/>
          <w:lang w:bidi="en-US"/>
        </w:rPr>
        <w:t xml:space="preserve"> "Utilisation des six langues officielles de l'Union sur un pied d'égalité"</w:t>
      </w:r>
      <w:r w:rsidR="002153EE" w:rsidRPr="001C7C35">
        <w:rPr>
          <w:bCs/>
          <w:iCs/>
          <w:lang w:bidi="en-US"/>
        </w:rPr>
        <w:t xml:space="preserve">, </w:t>
      </w:r>
      <w:r w:rsidR="00BE0769" w:rsidRPr="001C7C35">
        <w:rPr>
          <w:bCs/>
          <w:iCs/>
          <w:lang w:bidi="en-US"/>
        </w:rPr>
        <w:t>la Conférence de plénipotentiaires</w:t>
      </w:r>
      <w:r w:rsidR="0020672F" w:rsidRPr="001C7C35">
        <w:rPr>
          <w:bCs/>
          <w:iCs/>
          <w:lang w:bidi="en-US"/>
        </w:rPr>
        <w:t xml:space="preserve"> reconnaît</w:t>
      </w:r>
      <w:r w:rsidR="002153EE" w:rsidRPr="001C7C35">
        <w:rPr>
          <w:bCs/>
          <w:iCs/>
          <w:lang w:bidi="en-US"/>
        </w:rPr>
        <w:t xml:space="preserve"> </w:t>
      </w:r>
      <w:r w:rsidR="0020672F" w:rsidRPr="001C7C35">
        <w:rPr>
          <w:bCs/>
          <w:iCs/>
          <w:lang w:bidi="en-US"/>
        </w:rPr>
        <w:t xml:space="preserve">désormais </w:t>
      </w:r>
      <w:r w:rsidR="002153EE" w:rsidRPr="001C7C35">
        <w:rPr>
          <w:bCs/>
          <w:iCs/>
          <w:lang w:bidi="en-US"/>
        </w:rPr>
        <w:t xml:space="preserve">la création du CCT de l'UIT </w:t>
      </w:r>
      <w:r w:rsidR="0020672F" w:rsidRPr="001C7C35">
        <w:rPr>
          <w:bCs/>
          <w:iCs/>
          <w:lang w:bidi="en-US"/>
        </w:rPr>
        <w:t>au titre</w:t>
      </w:r>
      <w:r w:rsidR="002153EE" w:rsidRPr="001C7C35">
        <w:rPr>
          <w:bCs/>
          <w:iCs/>
          <w:lang w:bidi="en-US"/>
        </w:rPr>
        <w:t xml:space="preserve"> de la Résolution</w:t>
      </w:r>
      <w:r w:rsidRPr="001C7C35">
        <w:rPr>
          <w:bCs/>
          <w:iCs/>
          <w:lang w:bidi="en-US"/>
        </w:rPr>
        <w:t xml:space="preserve"> 1386 </w:t>
      </w:r>
      <w:r w:rsidR="002153EE" w:rsidRPr="001C7C35">
        <w:rPr>
          <w:bCs/>
          <w:iCs/>
          <w:lang w:bidi="en-US"/>
        </w:rPr>
        <w:t>adoptée par le Conseil à sa session de 2017</w:t>
      </w:r>
      <w:r w:rsidRPr="001C7C35">
        <w:rPr>
          <w:bCs/>
          <w:iCs/>
          <w:lang w:bidi="en-US"/>
        </w:rPr>
        <w:t>.</w:t>
      </w:r>
    </w:p>
    <w:p w:rsidR="00F41662" w:rsidRPr="001C7C35" w:rsidRDefault="0020672F" w:rsidP="000073BC">
      <w:pPr>
        <w:spacing w:after="120"/>
      </w:pPr>
      <w:bookmarkStart w:id="50" w:name="lt_pId130"/>
      <w:r w:rsidRPr="001C7C35">
        <w:rPr>
          <w:szCs w:val="24"/>
        </w:rPr>
        <w:t>En 2018, le CCT a tenu deux réunions par correspondance, l'une l</w:t>
      </w:r>
      <w:r w:rsidR="00302250" w:rsidRPr="001C7C35">
        <w:rPr>
          <w:szCs w:val="24"/>
        </w:rPr>
        <w:t>e 28 juin 2018 et l'autre le </w:t>
      </w:r>
      <w:r w:rsidR="00240A8F" w:rsidRPr="001C7C35">
        <w:rPr>
          <w:szCs w:val="24"/>
        </w:rPr>
        <w:t>22 </w:t>
      </w:r>
      <w:r w:rsidRPr="001C7C35">
        <w:rPr>
          <w:szCs w:val="24"/>
        </w:rPr>
        <w:t>novembre 2018. À chaque réunion, les participants examinent des notes de liaison et des contributions portant sur des questions de terminologie et prennent des décisions concernant les nouveaux termes à insérer dans la base de donnée</w:t>
      </w:r>
      <w:r w:rsidR="002C5A6E" w:rsidRPr="001C7C35">
        <w:rPr>
          <w:szCs w:val="24"/>
        </w:rPr>
        <w:t>s</w:t>
      </w:r>
      <w:r w:rsidRPr="001C7C35">
        <w:rPr>
          <w:szCs w:val="24"/>
        </w:rPr>
        <w:t xml:space="preserve"> terminologi</w:t>
      </w:r>
      <w:r w:rsidR="002C5A6E" w:rsidRPr="001C7C35">
        <w:rPr>
          <w:szCs w:val="24"/>
        </w:rPr>
        <w:t>qu</w:t>
      </w:r>
      <w:r w:rsidRPr="001C7C35">
        <w:rPr>
          <w:szCs w:val="24"/>
        </w:rPr>
        <w:t xml:space="preserve">e de l'UIT, en particulier dans </w:t>
      </w:r>
      <w:r w:rsidR="00B1336F" w:rsidRPr="001C7C35">
        <w:rPr>
          <w:szCs w:val="24"/>
        </w:rPr>
        <w:t>ce que l'on appelle la</w:t>
      </w:r>
      <w:r w:rsidRPr="001C7C35">
        <w:rPr>
          <w:szCs w:val="24"/>
        </w:rPr>
        <w:t xml:space="preserve"> Partie 3 qui contient les termes, acronymes et définitions. Les questions présentant un intérêt pour les travaux de l'UIT-D sont les suivantes: une définition de l'expression </w:t>
      </w:r>
      <w:r w:rsidR="0040232A" w:rsidRPr="001C7C35">
        <w:rPr>
          <w:szCs w:val="24"/>
        </w:rPr>
        <w:t>"</w:t>
      </w:r>
      <w:r w:rsidRPr="001C7C35">
        <w:rPr>
          <w:szCs w:val="24"/>
        </w:rPr>
        <w:t>accès large bande</w:t>
      </w:r>
      <w:r w:rsidR="0040232A" w:rsidRPr="001C7C35">
        <w:rPr>
          <w:szCs w:val="24"/>
        </w:rPr>
        <w:t>"</w:t>
      </w:r>
      <w:r w:rsidRPr="001C7C35">
        <w:rPr>
          <w:szCs w:val="24"/>
        </w:rPr>
        <w:t xml:space="preserve">, </w:t>
      </w:r>
      <w:r w:rsidR="0040232A" w:rsidRPr="001C7C35">
        <w:rPr>
          <w:szCs w:val="24"/>
        </w:rPr>
        <w:t xml:space="preserve">selon laquelle </w:t>
      </w:r>
      <w:r w:rsidRPr="001C7C35">
        <w:rPr>
          <w:szCs w:val="24"/>
        </w:rPr>
        <w:t xml:space="preserve">la limite inférieure </w:t>
      </w:r>
      <w:r w:rsidR="0040232A" w:rsidRPr="001C7C35">
        <w:rPr>
          <w:szCs w:val="24"/>
        </w:rPr>
        <w:t xml:space="preserve">du débit </w:t>
      </w:r>
      <w:r w:rsidRPr="001C7C35">
        <w:rPr>
          <w:szCs w:val="24"/>
        </w:rPr>
        <w:t xml:space="preserve">pour le large bande </w:t>
      </w:r>
      <w:r w:rsidR="0040232A" w:rsidRPr="001C7C35">
        <w:rPr>
          <w:szCs w:val="24"/>
        </w:rPr>
        <w:t>est de 2 Mb</w:t>
      </w:r>
      <w:r w:rsidR="00240A8F" w:rsidRPr="001C7C35">
        <w:rPr>
          <w:szCs w:val="24"/>
        </w:rPr>
        <w:t>it</w:t>
      </w:r>
      <w:r w:rsidR="0040232A" w:rsidRPr="001C7C35">
        <w:rPr>
          <w:szCs w:val="24"/>
        </w:rPr>
        <w:t xml:space="preserve">/s </w:t>
      </w:r>
      <w:r w:rsidRPr="001C7C35">
        <w:rPr>
          <w:szCs w:val="24"/>
        </w:rPr>
        <w:t>ou le</w:t>
      </w:r>
      <w:r w:rsidR="0040232A" w:rsidRPr="001C7C35">
        <w:rPr>
          <w:szCs w:val="24"/>
        </w:rPr>
        <w:t xml:space="preserve"> large bande est défini</w:t>
      </w:r>
      <w:r w:rsidRPr="001C7C35">
        <w:rPr>
          <w:szCs w:val="24"/>
        </w:rPr>
        <w:t xml:space="preserve"> par rapport à l'accès à bande étroite sans préciser de débit minimum (</w:t>
      </w:r>
      <w:r w:rsidRPr="001C7C35">
        <w:rPr>
          <w:i/>
          <w:iCs/>
          <w:szCs w:val="24"/>
        </w:rPr>
        <w:t>aucun accord n'a été trouvé, une décision devrait être prise à la réunion de mai 2019</w:t>
      </w:r>
      <w:r w:rsidR="00302250" w:rsidRPr="001C7C35">
        <w:rPr>
          <w:szCs w:val="24"/>
        </w:rPr>
        <w:t>)</w:t>
      </w:r>
      <w:r w:rsidRPr="001C7C35">
        <w:rPr>
          <w:szCs w:val="24"/>
        </w:rPr>
        <w:t xml:space="preserve"> </w:t>
      </w:r>
      <w:r w:rsidR="00240A8F" w:rsidRPr="001C7C35">
        <w:rPr>
          <w:szCs w:val="24"/>
        </w:rPr>
        <w:t xml:space="preserve">et </w:t>
      </w:r>
      <w:r w:rsidRPr="001C7C35">
        <w:rPr>
          <w:szCs w:val="24"/>
        </w:rPr>
        <w:t xml:space="preserve">une définition de l'expression "maintenance intelligente des télécommunications" dans laquelle </w:t>
      </w:r>
      <w:r w:rsidR="0040232A" w:rsidRPr="001C7C35">
        <w:rPr>
          <w:szCs w:val="24"/>
        </w:rPr>
        <w:t xml:space="preserve">le terme </w:t>
      </w:r>
      <w:r w:rsidRPr="001C7C35">
        <w:rPr>
          <w:szCs w:val="24"/>
        </w:rPr>
        <w:t>"t</w:t>
      </w:r>
      <w:r w:rsidR="0040232A" w:rsidRPr="001C7C35">
        <w:rPr>
          <w:szCs w:val="24"/>
        </w:rPr>
        <w:t>e</w:t>
      </w:r>
      <w:r w:rsidRPr="001C7C35">
        <w:rPr>
          <w:szCs w:val="24"/>
        </w:rPr>
        <w:t>l</w:t>
      </w:r>
      <w:r w:rsidR="0040232A" w:rsidRPr="001C7C35">
        <w:rPr>
          <w:szCs w:val="24"/>
        </w:rPr>
        <w:t>e</w:t>
      </w:r>
      <w:r w:rsidRPr="001C7C35">
        <w:rPr>
          <w:szCs w:val="24"/>
        </w:rPr>
        <w:t xml:space="preserve">communications" devrait être au singulier </w:t>
      </w:r>
      <w:r w:rsidR="0040232A" w:rsidRPr="001C7C35">
        <w:rPr>
          <w:szCs w:val="24"/>
        </w:rPr>
        <w:t>dans la version anglais</w:t>
      </w:r>
      <w:r w:rsidR="0017119F" w:rsidRPr="001C7C35">
        <w:rPr>
          <w:szCs w:val="24"/>
        </w:rPr>
        <w:t>e</w:t>
      </w:r>
      <w:r w:rsidR="0040232A" w:rsidRPr="001C7C35">
        <w:rPr>
          <w:szCs w:val="24"/>
        </w:rPr>
        <w:t xml:space="preserve"> </w:t>
      </w:r>
      <w:r w:rsidRPr="001C7C35">
        <w:rPr>
          <w:szCs w:val="24"/>
        </w:rPr>
        <w:t xml:space="preserve">et l'utilisation répétée de l'adjectif "intelligente" devrait être évitée. En outre, il </w:t>
      </w:r>
      <w:r w:rsidR="0040232A" w:rsidRPr="001C7C35">
        <w:rPr>
          <w:szCs w:val="24"/>
        </w:rPr>
        <w:t>conviendrait dans l'avenir</w:t>
      </w:r>
      <w:r w:rsidRPr="001C7C35">
        <w:rPr>
          <w:szCs w:val="24"/>
        </w:rPr>
        <w:t xml:space="preserve"> </w:t>
      </w:r>
      <w:r w:rsidR="0040232A" w:rsidRPr="001C7C35">
        <w:rPr>
          <w:szCs w:val="24"/>
        </w:rPr>
        <w:t>d'envisager de tenir compte des</w:t>
      </w:r>
      <w:r w:rsidRPr="001C7C35">
        <w:rPr>
          <w:szCs w:val="24"/>
        </w:rPr>
        <w:t xml:space="preserve"> Recommandations de l'UIT-D dans la base de données terminologique de l'UIT. L'UIT-D doit </w:t>
      </w:r>
      <w:r w:rsidR="00EF4604" w:rsidRPr="001C7C35">
        <w:rPr>
          <w:szCs w:val="24"/>
        </w:rPr>
        <w:t xml:space="preserve">pour sa part </w:t>
      </w:r>
      <w:r w:rsidRPr="001C7C35">
        <w:rPr>
          <w:szCs w:val="24"/>
        </w:rPr>
        <w:t xml:space="preserve">tenir compte de cette base de données et de son utilité </w:t>
      </w:r>
      <w:r w:rsidR="00EF4604" w:rsidRPr="001C7C35">
        <w:rPr>
          <w:szCs w:val="24"/>
        </w:rPr>
        <w:t>lors de l'élaboration de</w:t>
      </w:r>
      <w:r w:rsidRPr="001C7C35">
        <w:rPr>
          <w:szCs w:val="24"/>
        </w:rPr>
        <w:t xml:space="preserve"> rapports et </w:t>
      </w:r>
      <w:r w:rsidR="00EF4604" w:rsidRPr="001C7C35">
        <w:rPr>
          <w:szCs w:val="24"/>
        </w:rPr>
        <w:t>d'autres produits</w:t>
      </w:r>
      <w:r w:rsidRPr="001C7C35">
        <w:rPr>
          <w:szCs w:val="24"/>
        </w:rPr>
        <w:t>. La prochaine réunion du CCT de l'UIT aura lieu le 7 mai 2019.</w:t>
      </w:r>
      <w:r w:rsidR="00A527F1" w:rsidRPr="001C7C35">
        <w:t xml:space="preserve"> </w:t>
      </w:r>
      <w:bookmarkEnd w:id="50"/>
    </w:p>
    <w:p w:rsidR="006C23F5" w:rsidRPr="001C7C35" w:rsidRDefault="00F41662" w:rsidP="000073BC">
      <w:pPr>
        <w:pStyle w:val="Heading1"/>
        <w:rPr>
          <w:sz w:val="24"/>
          <w:szCs w:val="24"/>
        </w:rPr>
      </w:pPr>
      <w:r w:rsidRPr="001C7C35">
        <w:rPr>
          <w:sz w:val="24"/>
          <w:szCs w:val="24"/>
        </w:rPr>
        <w:t>6</w:t>
      </w:r>
      <w:r w:rsidRPr="001C7C35">
        <w:rPr>
          <w:sz w:val="24"/>
          <w:szCs w:val="24"/>
        </w:rPr>
        <w:tab/>
      </w:r>
      <w:r w:rsidR="00A527F1" w:rsidRPr="001C7C35">
        <w:rPr>
          <w:sz w:val="24"/>
          <w:szCs w:val="24"/>
        </w:rPr>
        <w:t>Participation des PME aux travaux des commissions d'études de l'UIT-D</w:t>
      </w:r>
    </w:p>
    <w:p w:rsidR="006C23F5" w:rsidRPr="001C7C35" w:rsidRDefault="00521D96" w:rsidP="001C7C35">
      <w:r w:rsidRPr="001C7C35">
        <w:rPr>
          <w:rFonts w:eastAsia="Batang"/>
          <w:szCs w:val="24"/>
        </w:rPr>
        <w:t xml:space="preserve">Les deux </w:t>
      </w:r>
      <w:r w:rsidR="00B52BA3" w:rsidRPr="001C7C35">
        <w:rPr>
          <w:rFonts w:eastAsia="Batang"/>
          <w:szCs w:val="24"/>
        </w:rPr>
        <w:t>C</w:t>
      </w:r>
      <w:r w:rsidRPr="001C7C35">
        <w:rPr>
          <w:rFonts w:eastAsia="Batang"/>
          <w:szCs w:val="24"/>
        </w:rPr>
        <w:t xml:space="preserve">ommissions d'études de l'UIT-D ont décidé de poursuivre la mise en </w:t>
      </w:r>
      <w:r w:rsidR="006C65DA" w:rsidRPr="001C7C35">
        <w:rPr>
          <w:rFonts w:eastAsia="Batang"/>
          <w:szCs w:val="24"/>
        </w:rPr>
        <w:t>œ</w:t>
      </w:r>
      <w:r w:rsidRPr="001C7C35">
        <w:rPr>
          <w:rFonts w:eastAsia="Batang"/>
          <w:szCs w:val="24"/>
        </w:rPr>
        <w:t xml:space="preserve">uvre du projet pilote lancé par le Conseil à sa session de 2017 concernant la participation des PME aux travaux des commissions d'études de l'UIT. En 2018, sept PME ont pris part aux activités et aux réunions </w:t>
      </w:r>
      <w:r w:rsidRPr="001C7C35">
        <w:rPr>
          <w:rFonts w:eastAsia="Batang"/>
          <w:szCs w:val="24"/>
        </w:rPr>
        <w:lastRenderedPageBreak/>
        <w:t xml:space="preserve">des CE 1 et 2 de l'UIT-D dans ce cadre avec l'appui de leur administration. Nombre des participants au projet pilote </w:t>
      </w:r>
      <w:r w:rsidR="0048610D" w:rsidRPr="001C7C35">
        <w:rPr>
          <w:rFonts w:eastAsia="Batang"/>
          <w:szCs w:val="24"/>
        </w:rPr>
        <w:t>ont également</w:t>
      </w:r>
      <w:r w:rsidRPr="001C7C35">
        <w:rPr>
          <w:rFonts w:eastAsia="Batang"/>
          <w:szCs w:val="24"/>
        </w:rPr>
        <w:t xml:space="preserve"> soumis des contributions aux réunions. Ces PME s'intéressent en particulier à </w:t>
      </w:r>
      <w:r w:rsidR="00240A8F" w:rsidRPr="001C7C35">
        <w:rPr>
          <w:rFonts w:eastAsia="Batang"/>
          <w:szCs w:val="24"/>
        </w:rPr>
        <w:t>des domaines comme l'informatique</w:t>
      </w:r>
      <w:r w:rsidRPr="001C7C35">
        <w:rPr>
          <w:rFonts w:eastAsia="Batang"/>
          <w:szCs w:val="24"/>
        </w:rPr>
        <w:t xml:space="preserve"> en nuage, l'accès en zone rurale, la cybersécurité et les applications TIC. Une évaluation de ce projet pilote a été menée à la Conférence de plénipotentiaires. Le Groupe de travail du Conseil sur les ressources financières et les ressources humaines (GTC-FHR), qui s'est réuni les 29 et 30 janvier 2019, recommande </w:t>
      </w:r>
      <w:r w:rsidR="0048610D" w:rsidRPr="001C7C35">
        <w:rPr>
          <w:rFonts w:eastAsia="Batang"/>
          <w:szCs w:val="24"/>
        </w:rPr>
        <w:t>au</w:t>
      </w:r>
      <w:r w:rsidRPr="001C7C35">
        <w:rPr>
          <w:rFonts w:eastAsia="Batang"/>
          <w:szCs w:val="24"/>
        </w:rPr>
        <w:t xml:space="preserve"> Conseil </w:t>
      </w:r>
      <w:r w:rsidR="0048610D" w:rsidRPr="001C7C35">
        <w:rPr>
          <w:rFonts w:eastAsia="Batang"/>
          <w:szCs w:val="24"/>
        </w:rPr>
        <w:t>de poursuivre</w:t>
      </w:r>
      <w:r w:rsidRPr="001C7C35">
        <w:rPr>
          <w:rFonts w:eastAsia="Batang"/>
          <w:szCs w:val="24"/>
        </w:rPr>
        <w:t xml:space="preserve"> ce projet pilote jusqu'au 31 janvier 2020 afin de faciliter la transition en vue de la mise en </w:t>
      </w:r>
      <w:r w:rsidR="006C65DA" w:rsidRPr="001C7C35">
        <w:rPr>
          <w:rFonts w:eastAsia="Batang"/>
          <w:szCs w:val="24"/>
        </w:rPr>
        <w:t>œ</w:t>
      </w:r>
      <w:r w:rsidRPr="001C7C35">
        <w:rPr>
          <w:rFonts w:eastAsia="Batang"/>
          <w:szCs w:val="24"/>
        </w:rPr>
        <w:t xml:space="preserve">uvre de la </w:t>
      </w:r>
      <w:r w:rsidR="0048610D" w:rsidRPr="001C7C35">
        <w:rPr>
          <w:rFonts w:eastAsia="Batang"/>
          <w:szCs w:val="24"/>
        </w:rPr>
        <w:t xml:space="preserve">nouvelle </w:t>
      </w:r>
      <w:r w:rsidRPr="001C7C35">
        <w:rPr>
          <w:rFonts w:eastAsia="Batang"/>
          <w:szCs w:val="24"/>
        </w:rPr>
        <w:t xml:space="preserve">Résolution </w:t>
      </w:r>
      <w:r w:rsidRPr="001C7C35">
        <w:rPr>
          <w:szCs w:val="24"/>
        </w:rPr>
        <w:t xml:space="preserve">209 (Dubaï, 2018) </w:t>
      </w:r>
      <w:r w:rsidR="000C326C" w:rsidRPr="001C7C35">
        <w:rPr>
          <w:szCs w:val="24"/>
        </w:rPr>
        <w:t>adoptée par</w:t>
      </w:r>
      <w:r w:rsidRPr="001C7C35">
        <w:rPr>
          <w:szCs w:val="24"/>
        </w:rPr>
        <w:t xml:space="preserve"> la Conférence de plénipotentiaires</w:t>
      </w:r>
      <w:r w:rsidR="00911DEE" w:rsidRPr="001C7C35">
        <w:rPr>
          <w:szCs w:val="24"/>
        </w:rPr>
        <w:t xml:space="preserve"> et</w:t>
      </w:r>
      <w:r w:rsidRPr="001C7C35">
        <w:rPr>
          <w:szCs w:val="24"/>
        </w:rPr>
        <w:t xml:space="preserve"> intitulée "Encourager la participation des petites et moyennes entreprises aux travaux de l'Union".</w:t>
      </w:r>
      <w:r w:rsidR="00B52BA3" w:rsidRPr="001C7C35">
        <w:rPr>
          <w:szCs w:val="24"/>
        </w:rPr>
        <w:t xml:space="preserve"> </w:t>
      </w:r>
    </w:p>
    <w:p w:rsidR="006C23F5" w:rsidRPr="001C7C35" w:rsidRDefault="00F41662" w:rsidP="000073BC">
      <w:pPr>
        <w:pStyle w:val="Heading1"/>
        <w:rPr>
          <w:sz w:val="24"/>
          <w:szCs w:val="24"/>
        </w:rPr>
      </w:pPr>
      <w:r w:rsidRPr="001C7C35">
        <w:rPr>
          <w:sz w:val="24"/>
          <w:szCs w:val="24"/>
        </w:rPr>
        <w:t>7</w:t>
      </w:r>
      <w:r w:rsidRPr="001C7C35">
        <w:rPr>
          <w:sz w:val="24"/>
          <w:szCs w:val="24"/>
        </w:rPr>
        <w:tab/>
      </w:r>
      <w:r w:rsidR="006F57C5" w:rsidRPr="001C7C35">
        <w:rPr>
          <w:sz w:val="24"/>
          <w:szCs w:val="24"/>
        </w:rPr>
        <w:t>Outils de collaboration</w:t>
      </w:r>
    </w:p>
    <w:p w:rsidR="006C23F5" w:rsidRPr="001C7C35" w:rsidRDefault="002B3083" w:rsidP="000073BC">
      <w:r w:rsidRPr="001C7C35">
        <w:t xml:space="preserve">Conformément à </w:t>
      </w:r>
      <w:r w:rsidR="00487218" w:rsidRPr="001C7C35">
        <w:t>ce qui a été décidé à</w:t>
      </w:r>
      <w:r w:rsidRPr="001C7C35">
        <w:t xml:space="preserve"> </w:t>
      </w:r>
      <w:r w:rsidR="00F55A0C" w:rsidRPr="001C7C35">
        <w:t>CMDT-17</w:t>
      </w:r>
      <w:r w:rsidRPr="001C7C35">
        <w:t>,</w:t>
      </w:r>
      <w:r w:rsidR="00430DE7" w:rsidRPr="001C7C35">
        <w:t xml:space="preserve"> l'amélioration des</w:t>
      </w:r>
      <w:r w:rsidRPr="001C7C35">
        <w:t xml:space="preserve"> </w:t>
      </w:r>
      <w:hyperlink r:id="rId44" w:history="1">
        <w:r w:rsidRPr="001C7C35">
          <w:rPr>
            <w:rStyle w:val="Hyperlink"/>
          </w:rPr>
          <w:t>outils de collaboration</w:t>
        </w:r>
      </w:hyperlink>
      <w:r w:rsidRPr="001C7C35">
        <w:t xml:space="preserve"> </w:t>
      </w:r>
      <w:r w:rsidR="00035189" w:rsidRPr="001C7C35">
        <w:t xml:space="preserve">et l'élaboration de nouveaux outils </w:t>
      </w:r>
      <w:r w:rsidR="00035189" w:rsidRPr="001C7C35">
        <w:rPr>
          <w:szCs w:val="24"/>
        </w:rPr>
        <w:t xml:space="preserve">afin de faciliter la participation électronique aux travaux des commissions d'études de l'UIT-D se poursuivront. </w:t>
      </w:r>
      <w:r w:rsidR="00035189" w:rsidRPr="001C7C35">
        <w:t>En complément des services de participation interactive à distance et de la diffusion habituelle sur le web dans les langues dans lesquelles se déroule la réunion considérée, des listes de diffusion et des sites de collaboration SharePoint sont mis à la disposition des participants et des membres de l'équipe de direction, tant au niveau de la commission d'études qu'au niveau des Groupes du Rapporteur</w:t>
      </w:r>
      <w:r w:rsidRPr="001C7C35">
        <w:t xml:space="preserve">. Les </w:t>
      </w:r>
      <w:hyperlink r:id="rId45" w:history="1">
        <w:r w:rsidRPr="001C7C35">
          <w:rPr>
            <w:rStyle w:val="Hyperlink"/>
          </w:rPr>
          <w:t>listes de diffusion</w:t>
        </w:r>
      </w:hyperlink>
      <w:r w:rsidRPr="001C7C35">
        <w:t xml:space="preserve"> permettent l'échange de courriers électroniques entre les experts s'intéressant aux sujets à l'étude, tandis que </w:t>
      </w:r>
      <w:hyperlink r:id="rId46" w:history="1">
        <w:r w:rsidR="00240A8F" w:rsidRPr="001C7C35">
          <w:rPr>
            <w:rStyle w:val="Hyperlink"/>
          </w:rPr>
          <w:t>les sites de collaboration SharePoint</w:t>
        </w:r>
      </w:hyperlink>
      <w:r w:rsidRPr="001C7C35">
        <w:t xml:space="preserve"> offre</w:t>
      </w:r>
      <w:r w:rsidR="00240A8F" w:rsidRPr="001C7C35">
        <w:t>nt</w:t>
      </w:r>
      <w:r w:rsidRPr="001C7C35">
        <w:t xml:space="preserve"> un lieu de rencontre virtuel où les participants peuvent </w:t>
      </w:r>
      <w:r w:rsidR="00035189" w:rsidRPr="001C7C35">
        <w:t>consulter le</w:t>
      </w:r>
      <w:r w:rsidRPr="001C7C35">
        <w:t xml:space="preserve"> calendrier des acti</w:t>
      </w:r>
      <w:r w:rsidR="00035189" w:rsidRPr="001C7C35">
        <w:t>vités de la commission d'études et</w:t>
      </w:r>
      <w:r w:rsidRPr="001C7C35">
        <w:t xml:space="preserve"> des annonces et </w:t>
      </w:r>
      <w:r w:rsidR="00035189" w:rsidRPr="001C7C35">
        <w:t>accéder à u</w:t>
      </w:r>
      <w:r w:rsidRPr="001C7C35">
        <w:t xml:space="preserve">ne zone d'échange de documents pour faciliter les travaux entre les réunions. </w:t>
      </w:r>
      <w:r w:rsidR="00240A8F" w:rsidRPr="001C7C35">
        <w:t xml:space="preserve">Une zone dotée de fonctionnalités similaires est </w:t>
      </w:r>
      <w:r w:rsidRPr="001C7C35">
        <w:t>exclusivement réservé</w:t>
      </w:r>
      <w:r w:rsidR="00240A8F" w:rsidRPr="001C7C35">
        <w:t>e</w:t>
      </w:r>
      <w:r w:rsidRPr="001C7C35">
        <w:t xml:space="preserve"> aux équipes de direction des commissions d'études</w:t>
      </w:r>
      <w:r w:rsidR="00240A8F" w:rsidRPr="001C7C35">
        <w:t>;</w:t>
      </w:r>
      <w:r w:rsidRPr="001C7C35">
        <w:t xml:space="preserve"> </w:t>
      </w:r>
      <w:r w:rsidR="00240A8F" w:rsidRPr="001C7C35">
        <w:t xml:space="preserve">elle comprend </w:t>
      </w:r>
      <w:r w:rsidR="00430DE7" w:rsidRPr="001C7C35">
        <w:t xml:space="preserve">un site </w:t>
      </w:r>
      <w:r w:rsidR="00240A8F" w:rsidRPr="001C7C35">
        <w:t xml:space="preserve">dédié pour </w:t>
      </w:r>
      <w:r w:rsidR="00430DE7" w:rsidRPr="001C7C35">
        <w:t>chaque Question</w:t>
      </w:r>
      <w:r w:rsidRPr="001C7C35">
        <w:t xml:space="preserve">. Les participants aux travaux des commissions d'études sont encouragés à </w:t>
      </w:r>
      <w:r w:rsidR="00240A8F" w:rsidRPr="001C7C35">
        <w:t xml:space="preserve">utiliser </w:t>
      </w:r>
      <w:r w:rsidRPr="001C7C35">
        <w:t xml:space="preserve">ces outils et à transmettre leurs éventuels </w:t>
      </w:r>
      <w:r w:rsidR="00035189" w:rsidRPr="001C7C35">
        <w:t xml:space="preserve">commentaires </w:t>
      </w:r>
      <w:r w:rsidRPr="001C7C35">
        <w:t>au secrétariat, afin de contribuer à leur amélioration.</w:t>
      </w:r>
    </w:p>
    <w:p w:rsidR="004A5872" w:rsidRPr="001C7C35" w:rsidRDefault="002B3083" w:rsidP="000073BC">
      <w:pPr>
        <w:pStyle w:val="Heading1"/>
        <w:rPr>
          <w:sz w:val="24"/>
          <w:szCs w:val="24"/>
        </w:rPr>
      </w:pPr>
      <w:r w:rsidRPr="001C7C35">
        <w:rPr>
          <w:sz w:val="24"/>
          <w:szCs w:val="24"/>
        </w:rPr>
        <w:t>8</w:t>
      </w:r>
      <w:r w:rsidRPr="001C7C35">
        <w:rPr>
          <w:sz w:val="24"/>
          <w:szCs w:val="24"/>
        </w:rPr>
        <w:tab/>
      </w:r>
      <w:r w:rsidR="00430DE7" w:rsidRPr="001C7C35">
        <w:rPr>
          <w:sz w:val="24"/>
          <w:szCs w:val="24"/>
        </w:rPr>
        <w:t>Conclusions et perspectives</w:t>
      </w:r>
    </w:p>
    <w:p w:rsidR="004A5872" w:rsidRPr="001C7C35" w:rsidRDefault="00035189" w:rsidP="006C65DA">
      <w:bookmarkStart w:id="51" w:name="lt_pId146"/>
      <w:r w:rsidRPr="001C7C35">
        <w:rPr>
          <w:bCs/>
        </w:rPr>
        <w:t>La</w:t>
      </w:r>
      <w:r w:rsidR="00BA610A" w:rsidRPr="001C7C35">
        <w:rPr>
          <w:bCs/>
        </w:rPr>
        <w:t xml:space="preserve"> Commission d'études 2 </w:t>
      </w:r>
      <w:r w:rsidR="00240A8F" w:rsidRPr="001C7C35">
        <w:rPr>
          <w:bCs/>
        </w:rPr>
        <w:t>poursuivra</w:t>
      </w:r>
      <w:r w:rsidRPr="001C7C35">
        <w:rPr>
          <w:bCs/>
        </w:rPr>
        <w:t xml:space="preserve"> ses travaux à l'occasion de sa réunion de 2019 qui aura lieu</w:t>
      </w:r>
      <w:r w:rsidR="00BA610A" w:rsidRPr="001C7C35">
        <w:rPr>
          <w:bCs/>
        </w:rPr>
        <w:t xml:space="preserve"> à Genève</w:t>
      </w:r>
      <w:r w:rsidR="004C37AC" w:rsidRPr="001C7C35">
        <w:rPr>
          <w:bCs/>
        </w:rPr>
        <w:t>,</w:t>
      </w:r>
      <w:r w:rsidR="00BA610A" w:rsidRPr="001C7C35">
        <w:rPr>
          <w:bCs/>
        </w:rPr>
        <w:t xml:space="preserve"> du 25 au 29 mars, tandis que les réunions des Groupes du Rapporteur se </w:t>
      </w:r>
      <w:r w:rsidR="004C37AC" w:rsidRPr="001C7C35">
        <w:rPr>
          <w:bCs/>
        </w:rPr>
        <w:t>tiendront</w:t>
      </w:r>
      <w:r w:rsidR="00BA610A" w:rsidRPr="001C7C35">
        <w:rPr>
          <w:bCs/>
        </w:rPr>
        <w:t xml:space="preserve"> du 7 au 18 octobre 2019 </w:t>
      </w:r>
      <w:r w:rsidR="002B3083" w:rsidRPr="001C7C35">
        <w:rPr>
          <w:bCs/>
        </w:rPr>
        <w:t>(</w:t>
      </w:r>
      <w:r w:rsidR="00BA610A" w:rsidRPr="001C7C35">
        <w:rPr>
          <w:bCs/>
        </w:rPr>
        <w:t>Document </w:t>
      </w:r>
      <w:hyperlink r:id="rId47" w:history="1">
        <w:r w:rsidR="002B3083" w:rsidRPr="001C7C35">
          <w:rPr>
            <w:rStyle w:val="Hyperlink"/>
            <w:szCs w:val="24"/>
          </w:rPr>
          <w:t>2/ADM/2(R</w:t>
        </w:r>
        <w:r w:rsidR="00BA610A" w:rsidRPr="001C7C35">
          <w:rPr>
            <w:rStyle w:val="Hyperlink"/>
            <w:szCs w:val="24"/>
          </w:rPr>
          <w:t>é</w:t>
        </w:r>
        <w:r w:rsidR="002B3083" w:rsidRPr="001C7C35">
          <w:rPr>
            <w:rStyle w:val="Hyperlink"/>
            <w:szCs w:val="24"/>
          </w:rPr>
          <w:t>v.2)</w:t>
        </w:r>
      </w:hyperlink>
      <w:r w:rsidR="002B3083" w:rsidRPr="001C7C35">
        <w:rPr>
          <w:bCs/>
        </w:rPr>
        <w:t>).</w:t>
      </w:r>
      <w:bookmarkEnd w:id="51"/>
      <w:r w:rsidR="002B3083" w:rsidRPr="001C7C35">
        <w:rPr>
          <w:bCs/>
        </w:rPr>
        <w:t xml:space="preserve"> </w:t>
      </w:r>
      <w:r w:rsidR="00052908" w:rsidRPr="001C7C35">
        <w:t xml:space="preserve">Les </w:t>
      </w:r>
      <w:r w:rsidR="002B3083" w:rsidRPr="001C7C35">
        <w:t>réunions des Groupes du Rapporteur ont été regroupées, afin de permettre aux Rapporteurs, aux Vice</w:t>
      </w:r>
      <w:r w:rsidR="002B3083" w:rsidRPr="001C7C35">
        <w:noBreakHyphen/>
        <w:t>Rapporteurs et aux participants d'assister à plusieurs réunions, d'échanger des vues sur des sujets connexes, de créer des groupes de rédaction et de rencontrer les coordonnateurs, les fonctionnaires du BDT, ainsi que le Président et les Vice</w:t>
      </w:r>
      <w:r w:rsidR="002B3083" w:rsidRPr="001C7C35">
        <w:noBreakHyphen/>
        <w:t xml:space="preserve">Présidents de la </w:t>
      </w:r>
      <w:r w:rsidR="00866CEB" w:rsidRPr="001C7C35">
        <w:t>C</w:t>
      </w:r>
      <w:r w:rsidR="002B3083" w:rsidRPr="001C7C35">
        <w:t>ommission d'études</w:t>
      </w:r>
      <w:r w:rsidR="00866CEB" w:rsidRPr="001C7C35">
        <w:t xml:space="preserve"> dont ils dépendent</w:t>
      </w:r>
      <w:r w:rsidR="002B3083" w:rsidRPr="001C7C35">
        <w:t>.</w:t>
      </w:r>
    </w:p>
    <w:p w:rsidR="002B3083" w:rsidRPr="001C7C35" w:rsidRDefault="00E4040F" w:rsidP="006C65DA">
      <w:pPr>
        <w:rPr>
          <w:bCs/>
        </w:rPr>
      </w:pPr>
      <w:bookmarkStart w:id="52" w:name="lt_pId149"/>
      <w:r w:rsidRPr="001C7C35">
        <w:rPr>
          <w:bCs/>
        </w:rPr>
        <w:t>Les efforts se poursuivront afin de créer des synergies entre les thèmes examinés par les commissions d'études</w:t>
      </w:r>
      <w:r w:rsidR="00150EEC" w:rsidRPr="001C7C35">
        <w:rPr>
          <w:bCs/>
        </w:rPr>
        <w:t>,</w:t>
      </w:r>
      <w:r w:rsidRPr="001C7C35">
        <w:rPr>
          <w:bCs/>
        </w:rPr>
        <w:t xml:space="preserve"> les ateliers et </w:t>
      </w:r>
      <w:r w:rsidR="00150EEC" w:rsidRPr="001C7C35">
        <w:rPr>
          <w:bCs/>
        </w:rPr>
        <w:t xml:space="preserve">les </w:t>
      </w:r>
      <w:r w:rsidRPr="001C7C35">
        <w:rPr>
          <w:bCs/>
        </w:rPr>
        <w:t xml:space="preserve">séminaires </w:t>
      </w:r>
      <w:r w:rsidR="00150EEC" w:rsidRPr="001C7C35">
        <w:rPr>
          <w:bCs/>
        </w:rPr>
        <w:t xml:space="preserve">moyennant une coordination et une </w:t>
      </w:r>
      <w:r w:rsidR="006C65DA" w:rsidRPr="001C7C35">
        <w:rPr>
          <w:bCs/>
        </w:rPr>
        <w:t>collaboration</w:t>
      </w:r>
      <w:r w:rsidR="00150EEC" w:rsidRPr="001C7C35">
        <w:rPr>
          <w:bCs/>
        </w:rPr>
        <w:t xml:space="preserve"> étroites avec les autres Secteurs et le Secrétariat général, en particulier </w:t>
      </w:r>
      <w:r w:rsidR="006C65DA" w:rsidRPr="001C7C35">
        <w:rPr>
          <w:bCs/>
        </w:rPr>
        <w:t xml:space="preserve">avec </w:t>
      </w:r>
      <w:r w:rsidR="00150EEC" w:rsidRPr="001C7C35">
        <w:rPr>
          <w:bCs/>
        </w:rPr>
        <w:t>le Forum du SMSI</w:t>
      </w:r>
      <w:r w:rsidRPr="001C7C35">
        <w:rPr>
          <w:bCs/>
        </w:rPr>
        <w:t xml:space="preserve">. Les propositions d'activités </w:t>
      </w:r>
      <w:r w:rsidR="00150EEC" w:rsidRPr="001C7C35">
        <w:rPr>
          <w:bCs/>
        </w:rPr>
        <w:t xml:space="preserve">dans les régions </w:t>
      </w:r>
      <w:r w:rsidRPr="001C7C35">
        <w:rPr>
          <w:bCs/>
        </w:rPr>
        <w:t>en lien avec les commissions d'études de l'UIT-D sont</w:t>
      </w:r>
      <w:r w:rsidR="00150EEC" w:rsidRPr="001C7C35">
        <w:rPr>
          <w:bCs/>
        </w:rPr>
        <w:t xml:space="preserve"> par ailleurs</w:t>
      </w:r>
      <w:r w:rsidRPr="001C7C35">
        <w:rPr>
          <w:bCs/>
        </w:rPr>
        <w:t xml:space="preserve"> encouragées et accueillies très favorablement</w:t>
      </w:r>
      <w:r w:rsidR="00872C0A" w:rsidRPr="001C7C35">
        <w:rPr>
          <w:bCs/>
        </w:rPr>
        <w:t xml:space="preserve">. </w:t>
      </w:r>
      <w:bookmarkEnd w:id="52"/>
    </w:p>
    <w:p w:rsidR="006C65DA" w:rsidRPr="001C7C35" w:rsidRDefault="00150EEC" w:rsidP="0088596F">
      <w:pPr>
        <w:rPr>
          <w:bCs/>
          <w:szCs w:val="24"/>
        </w:rPr>
      </w:pPr>
      <w:r w:rsidRPr="001C7C35">
        <w:rPr>
          <w:bCs/>
        </w:rPr>
        <w:t xml:space="preserve">Le Président a fait savoir aux participants que M. Nasser Al Marzouqi avait </w:t>
      </w:r>
      <w:r w:rsidR="006C65DA" w:rsidRPr="001C7C35">
        <w:rPr>
          <w:bCs/>
        </w:rPr>
        <w:t>démissionné</w:t>
      </w:r>
      <w:r w:rsidRPr="001C7C35">
        <w:rPr>
          <w:bCs/>
        </w:rPr>
        <w:t xml:space="preserve"> de sa fonction de Vice-Président de la CE 2 de l'UIT-D afin de pouvoir se concentrer davantage sur ses attributions en tant que Président de la CE 20 de l'UIT-T. Le Président a remercié M. Al Marzouqi pour </w:t>
      </w:r>
      <w:r w:rsidR="00271035" w:rsidRPr="001C7C35">
        <w:rPr>
          <w:bCs/>
        </w:rPr>
        <w:t>sa contribution et le travail accompli et lui a souhaité plein succès.</w:t>
      </w:r>
    </w:p>
    <w:p w:rsidR="002B3083" w:rsidRPr="001C7C35" w:rsidRDefault="002B3083" w:rsidP="000073BC">
      <w:pPr>
        <w:sectPr w:rsidR="002B3083" w:rsidRPr="001C7C35" w:rsidSect="0031600A">
          <w:headerReference w:type="default" r:id="rId48"/>
          <w:footerReference w:type="default" r:id="rId49"/>
          <w:footerReference w:type="first" r:id="rId50"/>
          <w:pgSz w:w="11907" w:h="16834" w:code="9"/>
          <w:pgMar w:top="1417" w:right="1134" w:bottom="1417" w:left="1134" w:header="720" w:footer="720" w:gutter="0"/>
          <w:paperSrc w:first="15" w:other="15"/>
          <w:cols w:space="720"/>
          <w:titlePg/>
          <w:docGrid w:linePitch="326"/>
        </w:sectPr>
      </w:pPr>
    </w:p>
    <w:p w:rsidR="0059456F" w:rsidRPr="0059456F" w:rsidRDefault="0059456F" w:rsidP="0059456F">
      <w:pPr>
        <w:spacing w:after="120"/>
        <w:ind w:right="-171"/>
        <w:jc w:val="center"/>
        <w:rPr>
          <w:b/>
          <w:szCs w:val="24"/>
          <w:lang w:val="en-US"/>
        </w:rPr>
      </w:pPr>
      <w:r w:rsidRPr="0059456F">
        <w:rPr>
          <w:b/>
          <w:szCs w:val="24"/>
          <w:lang w:val="en-US"/>
        </w:rPr>
        <w:lastRenderedPageBreak/>
        <w:t>Annex 1: Appointed Chairman, Vice-Chairmen, Rapporteurs and Vice-Rapporteurs of ITU-D Study Group 2 Questions for the 2018-2021 period</w:t>
      </w:r>
    </w:p>
    <w:p w:rsidR="0059456F" w:rsidRPr="0059456F" w:rsidRDefault="0059456F" w:rsidP="0059456F">
      <w:pPr>
        <w:spacing w:after="120"/>
        <w:rPr>
          <w:bCs/>
          <w:szCs w:val="24"/>
          <w:lang w:val="en-US"/>
        </w:rPr>
      </w:pPr>
      <w:r w:rsidRPr="0059456F">
        <w:rPr>
          <w:bCs/>
          <w:szCs w:val="24"/>
          <w:lang w:val="en-US"/>
        </w:rPr>
        <w:t xml:space="preserve">List of chairman and vice-chairmen (also available at: </w:t>
      </w:r>
      <w:hyperlink r:id="rId51" w:history="1">
        <w:r w:rsidRPr="0059456F">
          <w:rPr>
            <w:rStyle w:val="Hyperlink"/>
            <w:bCs/>
            <w:szCs w:val="24"/>
            <w:lang w:val="en-US"/>
          </w:rPr>
          <w:t>https://www.itu.int/net4/ITU-D/CDS/sg/chairmen.asp?lg=1&amp;sp=2018</w:t>
        </w:r>
      </w:hyperlink>
      <w:r w:rsidRPr="0059456F">
        <w:rPr>
          <w:bCs/>
          <w:szCs w:val="24"/>
          <w:lang w:val="en-US"/>
        </w:rPr>
        <w:t>)</w:t>
      </w:r>
    </w:p>
    <w:tbl>
      <w:tblPr>
        <w:tblW w:w="6990" w:type="dxa"/>
        <w:jc w:val="center"/>
        <w:tblCellMar>
          <w:left w:w="0" w:type="dxa"/>
          <w:right w:w="0" w:type="dxa"/>
        </w:tblCellMar>
        <w:tblLook w:val="04A0" w:firstRow="1" w:lastRow="0" w:firstColumn="1" w:lastColumn="0" w:noHBand="0" w:noVBand="1"/>
      </w:tblPr>
      <w:tblGrid>
        <w:gridCol w:w="1110"/>
        <w:gridCol w:w="5880"/>
      </w:tblGrid>
      <w:tr w:rsidR="0059456F" w:rsidRPr="0058132D" w:rsidTr="008662C3">
        <w:trPr>
          <w:trHeight w:val="285"/>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59456F" w:rsidRPr="0059456F" w:rsidRDefault="0059456F" w:rsidP="008662C3">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59456F" w:rsidRPr="0058132D" w:rsidRDefault="0059456F" w:rsidP="008662C3">
            <w:pPr>
              <w:spacing w:before="0"/>
              <w:rPr>
                <w:bCs/>
                <w:sz w:val="22"/>
                <w:szCs w:val="22"/>
              </w:rPr>
            </w:pPr>
            <w:r w:rsidRPr="0058132D">
              <w:rPr>
                <w:bCs/>
                <w:sz w:val="22"/>
                <w:szCs w:val="22"/>
              </w:rPr>
              <w:t>ITU-D STUDY GROUP 2</w:t>
            </w:r>
          </w:p>
        </w:tc>
      </w:tr>
      <w:tr w:rsidR="0059456F" w:rsidRPr="0059456F" w:rsidTr="008662C3">
        <w:trPr>
          <w:trHeight w:val="168"/>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59456F" w:rsidRPr="0058132D" w:rsidRDefault="0059456F" w:rsidP="008662C3">
            <w:pPr>
              <w:spacing w:before="0"/>
              <w:rPr>
                <w:bCs/>
                <w:sz w:val="22"/>
                <w:szCs w:val="22"/>
              </w:rPr>
            </w:pPr>
            <w:r w:rsidRPr="0058132D">
              <w:rPr>
                <w:bCs/>
                <w:sz w:val="22"/>
                <w:szCs w:val="22"/>
                <w:lang w:val="en-US"/>
              </w:rPr>
              <w:t>Chairman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456F" w:rsidRPr="0059456F" w:rsidRDefault="0059456F" w:rsidP="008662C3">
            <w:pPr>
              <w:spacing w:before="0"/>
              <w:rPr>
                <w:bCs/>
                <w:sz w:val="22"/>
                <w:szCs w:val="22"/>
                <w:lang w:val="en-US"/>
              </w:rPr>
            </w:pPr>
            <w:r w:rsidRPr="0058132D">
              <w:rPr>
                <w:bCs/>
                <w:sz w:val="22"/>
                <w:szCs w:val="22"/>
                <w:lang w:val="en-US"/>
              </w:rPr>
              <w:t xml:space="preserve">Mr Ahmad Reza SHARAFAT </w:t>
            </w:r>
            <w:r w:rsidRPr="0059456F">
              <w:rPr>
                <w:bCs/>
                <w:sz w:val="22"/>
                <w:szCs w:val="22"/>
                <w:lang w:val="en-US"/>
              </w:rPr>
              <w:t>(Islamic Republic of Iran)</w:t>
            </w:r>
          </w:p>
        </w:tc>
      </w:tr>
      <w:tr w:rsidR="0059456F" w:rsidRPr="0059456F" w:rsidTr="008662C3">
        <w:trPr>
          <w:trHeight w:val="243"/>
          <w:jc w:val="center"/>
        </w:trPr>
        <w:tc>
          <w:tcPr>
            <w:tcW w:w="1110"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59456F" w:rsidRPr="0058132D" w:rsidRDefault="0059456F" w:rsidP="008662C3">
            <w:pPr>
              <w:spacing w:before="0"/>
              <w:rPr>
                <w:bCs/>
                <w:sz w:val="22"/>
                <w:szCs w:val="22"/>
              </w:rPr>
            </w:pPr>
            <w:r w:rsidRPr="0058132D">
              <w:rPr>
                <w:bCs/>
                <w:sz w:val="22"/>
                <w:szCs w:val="22"/>
                <w:lang w:val="en-US"/>
              </w:rPr>
              <w:t>Vice-Chairmen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456F" w:rsidRPr="0059456F" w:rsidRDefault="0059456F" w:rsidP="008662C3">
            <w:pPr>
              <w:spacing w:before="0"/>
              <w:rPr>
                <w:bCs/>
                <w:sz w:val="22"/>
                <w:szCs w:val="22"/>
                <w:lang w:val="en-US"/>
              </w:rPr>
            </w:pPr>
            <w:r w:rsidRPr="0059456F">
              <w:rPr>
                <w:bCs/>
                <w:sz w:val="22"/>
                <w:szCs w:val="22"/>
                <w:lang w:val="en-US"/>
              </w:rPr>
              <w:t>Mr Roland Yaw KUDOZIA (Ghana)</w:t>
            </w:r>
          </w:p>
        </w:tc>
      </w:tr>
      <w:tr w:rsidR="0059456F" w:rsidRPr="0059456F" w:rsidTr="008662C3">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9456F" w:rsidRPr="0059456F" w:rsidRDefault="0059456F" w:rsidP="008662C3">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456F" w:rsidRPr="0059456F" w:rsidRDefault="0059456F" w:rsidP="008662C3">
            <w:pPr>
              <w:spacing w:before="0"/>
              <w:rPr>
                <w:bCs/>
                <w:sz w:val="22"/>
                <w:szCs w:val="22"/>
                <w:lang w:val="en-US"/>
              </w:rPr>
            </w:pPr>
            <w:r w:rsidRPr="0059456F">
              <w:rPr>
                <w:bCs/>
                <w:sz w:val="22"/>
                <w:szCs w:val="22"/>
                <w:lang w:val="en-US"/>
              </w:rPr>
              <w:t>Mr Henry Chukwudumeme NKEMADU (Nigeria)</w:t>
            </w:r>
          </w:p>
        </w:tc>
      </w:tr>
      <w:tr w:rsidR="0059456F" w:rsidRPr="00CE1A41" w:rsidTr="008662C3">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9456F" w:rsidRPr="0059456F" w:rsidRDefault="0059456F" w:rsidP="008662C3">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456F" w:rsidRPr="0058132D" w:rsidRDefault="0059456F" w:rsidP="008662C3">
            <w:pPr>
              <w:spacing w:before="0"/>
              <w:rPr>
                <w:bCs/>
                <w:sz w:val="22"/>
                <w:szCs w:val="22"/>
                <w:lang w:val="es-ES"/>
              </w:rPr>
            </w:pPr>
            <w:r w:rsidRPr="0058132D">
              <w:rPr>
                <w:bCs/>
                <w:sz w:val="22"/>
                <w:szCs w:val="22"/>
                <w:lang w:val="es-ES"/>
              </w:rPr>
              <w:t>Ms Celina Delgado CASTELLÓN (Nicaragua)</w:t>
            </w:r>
          </w:p>
        </w:tc>
      </w:tr>
      <w:tr w:rsidR="0059456F" w:rsidRPr="00CE1A41" w:rsidTr="008662C3">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9456F" w:rsidRPr="0058132D" w:rsidRDefault="0059456F" w:rsidP="008662C3">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456F" w:rsidRPr="0058132D" w:rsidRDefault="0059456F" w:rsidP="008662C3">
            <w:pPr>
              <w:spacing w:before="0"/>
              <w:rPr>
                <w:bCs/>
                <w:sz w:val="22"/>
                <w:szCs w:val="22"/>
                <w:lang w:val="es-ES"/>
              </w:rPr>
            </w:pPr>
            <w:r w:rsidRPr="0058132D">
              <w:rPr>
                <w:bCs/>
                <w:sz w:val="22"/>
                <w:szCs w:val="22"/>
                <w:lang w:val="es-ES"/>
              </w:rPr>
              <w:t>Ms Nora Abdalla Hassan BASHER (Sudan)</w:t>
            </w:r>
          </w:p>
        </w:tc>
      </w:tr>
      <w:tr w:rsidR="0059456F" w:rsidRPr="0059456F" w:rsidTr="008662C3">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9456F" w:rsidRPr="0058132D" w:rsidRDefault="0059456F" w:rsidP="008662C3">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456F" w:rsidRPr="0059456F" w:rsidRDefault="0059456F" w:rsidP="008662C3">
            <w:pPr>
              <w:spacing w:before="0"/>
              <w:rPr>
                <w:bCs/>
                <w:sz w:val="22"/>
                <w:szCs w:val="22"/>
                <w:lang w:val="en-US"/>
              </w:rPr>
            </w:pPr>
            <w:r w:rsidRPr="0059456F">
              <w:rPr>
                <w:bCs/>
                <w:sz w:val="22"/>
                <w:szCs w:val="22"/>
                <w:lang w:val="en-US"/>
              </w:rPr>
              <w:t>Mr Nasser AL MARZOUQI (United Arab Emirates)</w:t>
            </w:r>
            <w:r w:rsidRPr="0059456F">
              <w:rPr>
                <w:bCs/>
                <w:i/>
                <w:iCs/>
                <w:szCs w:val="24"/>
                <w:lang w:val="en-US"/>
              </w:rPr>
              <w:t>(Stepped down in March 2019</w:t>
            </w:r>
            <w:r w:rsidRPr="0059456F">
              <w:rPr>
                <w:i/>
                <w:lang w:val="en-US"/>
              </w:rPr>
              <w:t>)</w:t>
            </w:r>
          </w:p>
        </w:tc>
      </w:tr>
      <w:tr w:rsidR="0059456F" w:rsidRPr="0058132D" w:rsidTr="008662C3">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9456F" w:rsidRPr="0059456F" w:rsidRDefault="0059456F" w:rsidP="008662C3">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456F" w:rsidRPr="0058132D" w:rsidRDefault="0059456F" w:rsidP="008662C3">
            <w:pPr>
              <w:spacing w:before="0"/>
              <w:rPr>
                <w:bCs/>
                <w:sz w:val="22"/>
                <w:szCs w:val="22"/>
              </w:rPr>
            </w:pPr>
            <w:r w:rsidRPr="0058132D">
              <w:rPr>
                <w:bCs/>
                <w:sz w:val="22"/>
                <w:szCs w:val="22"/>
              </w:rPr>
              <w:t>Ms Ke WANG (China)</w:t>
            </w:r>
          </w:p>
        </w:tc>
      </w:tr>
      <w:tr w:rsidR="0059456F" w:rsidRPr="0059456F" w:rsidTr="008662C3">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9456F" w:rsidRPr="0058132D" w:rsidRDefault="0059456F" w:rsidP="008662C3">
            <w:pPr>
              <w:spacing w:before="0"/>
              <w:rPr>
                <w:bCs/>
                <w:sz w:val="22"/>
                <w:szCs w:val="22"/>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456F" w:rsidRPr="0059456F" w:rsidRDefault="0059456F" w:rsidP="008662C3">
            <w:pPr>
              <w:spacing w:before="0"/>
              <w:rPr>
                <w:bCs/>
                <w:sz w:val="22"/>
                <w:szCs w:val="22"/>
                <w:lang w:val="en-US"/>
              </w:rPr>
            </w:pPr>
            <w:r w:rsidRPr="0059456F">
              <w:rPr>
                <w:bCs/>
                <w:sz w:val="22"/>
                <w:szCs w:val="22"/>
                <w:lang w:val="en-US"/>
              </w:rPr>
              <w:t>Mr Ananda Raj KHANAL (Republic of Nepal)</w:t>
            </w:r>
          </w:p>
        </w:tc>
      </w:tr>
      <w:tr w:rsidR="0059456F" w:rsidRPr="0059456F" w:rsidTr="008662C3">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9456F" w:rsidRPr="0059456F" w:rsidRDefault="0059456F" w:rsidP="008662C3">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456F" w:rsidRPr="0059456F" w:rsidRDefault="0059456F" w:rsidP="008662C3">
            <w:pPr>
              <w:spacing w:before="0"/>
              <w:rPr>
                <w:bCs/>
                <w:sz w:val="22"/>
                <w:szCs w:val="22"/>
                <w:lang w:val="en-US"/>
              </w:rPr>
            </w:pPr>
            <w:r w:rsidRPr="0059456F">
              <w:rPr>
                <w:bCs/>
                <w:sz w:val="22"/>
                <w:szCs w:val="22"/>
                <w:lang w:val="en-US"/>
              </w:rPr>
              <w:t>Mr Yakov GASS (Russian Federation)</w:t>
            </w:r>
          </w:p>
        </w:tc>
      </w:tr>
      <w:tr w:rsidR="0059456F" w:rsidRPr="0059456F" w:rsidTr="008662C3">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9456F" w:rsidRPr="0059456F" w:rsidRDefault="0059456F" w:rsidP="008662C3">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456F" w:rsidRPr="0059456F" w:rsidRDefault="0059456F" w:rsidP="008662C3">
            <w:pPr>
              <w:spacing w:before="0"/>
              <w:rPr>
                <w:bCs/>
                <w:sz w:val="22"/>
                <w:szCs w:val="22"/>
                <w:lang w:val="en-US"/>
              </w:rPr>
            </w:pPr>
            <w:r w:rsidRPr="0059456F">
              <w:rPr>
                <w:bCs/>
                <w:sz w:val="22"/>
                <w:szCs w:val="22"/>
                <w:lang w:val="en-US"/>
              </w:rPr>
              <w:t>Mr Tolibjon Oltinovich MIRZAKULOV (Uzbekistan)</w:t>
            </w:r>
          </w:p>
        </w:tc>
      </w:tr>
      <w:tr w:rsidR="0059456F" w:rsidRPr="00CE1A41" w:rsidTr="008662C3">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9456F" w:rsidRPr="0059456F" w:rsidRDefault="0059456F" w:rsidP="008662C3">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456F" w:rsidRPr="0058132D" w:rsidRDefault="0059456F" w:rsidP="008662C3">
            <w:pPr>
              <w:spacing w:before="0"/>
              <w:rPr>
                <w:bCs/>
                <w:sz w:val="22"/>
                <w:szCs w:val="22"/>
                <w:lang w:val="es-ES"/>
              </w:rPr>
            </w:pPr>
            <w:r w:rsidRPr="0058132D">
              <w:rPr>
                <w:bCs/>
                <w:sz w:val="22"/>
                <w:szCs w:val="22"/>
                <w:lang w:val="es-ES"/>
              </w:rPr>
              <w:t>Mr Filipe Miguel Antunes BATISTA (Portugal)</w:t>
            </w:r>
          </w:p>
        </w:tc>
      </w:tr>
      <w:tr w:rsidR="0059456F" w:rsidRPr="0058132D" w:rsidTr="008662C3">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9456F" w:rsidRPr="0058132D" w:rsidRDefault="0059456F" w:rsidP="008662C3">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456F" w:rsidRPr="0058132D" w:rsidRDefault="0059456F" w:rsidP="008662C3">
            <w:pPr>
              <w:spacing w:before="0"/>
              <w:rPr>
                <w:bCs/>
                <w:sz w:val="22"/>
                <w:szCs w:val="22"/>
              </w:rPr>
            </w:pPr>
            <w:r w:rsidRPr="0058132D">
              <w:rPr>
                <w:bCs/>
                <w:sz w:val="22"/>
                <w:szCs w:val="22"/>
              </w:rPr>
              <w:t>Mr Dominique WÜRGES (France)</w:t>
            </w:r>
          </w:p>
        </w:tc>
      </w:tr>
    </w:tbl>
    <w:p w:rsidR="0059456F" w:rsidRPr="0059456F" w:rsidRDefault="0059456F" w:rsidP="0059456F">
      <w:pPr>
        <w:spacing w:after="120"/>
        <w:rPr>
          <w:bCs/>
          <w:szCs w:val="24"/>
          <w:lang w:val="en-US"/>
        </w:rPr>
      </w:pPr>
      <w:r w:rsidRPr="0059456F">
        <w:rPr>
          <w:bCs/>
          <w:szCs w:val="24"/>
          <w:lang w:val="en-US"/>
        </w:rPr>
        <w:t xml:space="preserve">List of (Co-)Rapporteurs and Vice-Rapporteurs (also available at: </w:t>
      </w:r>
      <w:hyperlink r:id="rId52" w:history="1">
        <w:r w:rsidRPr="0059456F">
          <w:rPr>
            <w:rStyle w:val="Hyperlink"/>
            <w:bCs/>
            <w:szCs w:val="24"/>
            <w:lang w:val="en-US"/>
          </w:rPr>
          <w:t>https://www.itu.int/net4/ITU-D/CDS/sg/rapporteurs.asp?lg=1&amp;sp=2018</w:t>
        </w:r>
      </w:hyperlink>
      <w:r w:rsidRPr="0059456F">
        <w:rPr>
          <w:bCs/>
          <w:szCs w:val="24"/>
          <w:lang w:val="en-US"/>
        </w:rPr>
        <w:t>)</w:t>
      </w:r>
    </w:p>
    <w:tbl>
      <w:tblPr>
        <w:tblW w:w="5103" w:type="pct"/>
        <w:tblInd w:w="-289" w:type="dxa"/>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845"/>
        <w:gridCol w:w="1745"/>
        <w:gridCol w:w="520"/>
        <w:gridCol w:w="1882"/>
        <w:gridCol w:w="2047"/>
        <w:gridCol w:w="2304"/>
        <w:gridCol w:w="2270"/>
        <w:gridCol w:w="1665"/>
      </w:tblGrid>
      <w:tr w:rsidR="0059456F" w:rsidRPr="00436437" w:rsidTr="004266B4">
        <w:trPr>
          <w:trHeight w:val="675"/>
          <w:tblHeader/>
        </w:trPr>
        <w:tc>
          <w:tcPr>
            <w:tcW w:w="646" w:type="pct"/>
            <w:shd w:val="clear" w:color="5B9BD5" w:fill="5B9BD5"/>
            <w:noWrap/>
            <w:vAlign w:val="bottom"/>
            <w:hideMark/>
          </w:tcPr>
          <w:p w:rsidR="0059456F" w:rsidRPr="00436437" w:rsidRDefault="0059456F" w:rsidP="0059456F">
            <w:pPr>
              <w:overflowPunct/>
              <w:autoSpaceDE/>
              <w:autoSpaceDN/>
              <w:adjustRightInd/>
              <w:spacing w:before="0"/>
              <w:textAlignment w:val="auto"/>
              <w:rPr>
                <w:rFonts w:ascii="Calibri" w:hAnsi="Calibri"/>
                <w:b/>
                <w:bCs/>
                <w:color w:val="FFFFFF"/>
                <w:sz w:val="22"/>
                <w:szCs w:val="22"/>
                <w:lang w:eastAsia="zh-CN"/>
              </w:rPr>
            </w:pPr>
            <w:r>
              <w:rPr>
                <w:rFonts w:ascii="Calibri" w:hAnsi="Calibri"/>
                <w:b/>
                <w:bCs/>
                <w:color w:val="FFFFFF"/>
                <w:sz w:val="22"/>
                <w:szCs w:val="22"/>
                <w:lang w:eastAsia="zh-CN"/>
              </w:rPr>
              <w:t xml:space="preserve">ITU-D </w:t>
            </w:r>
            <w:r w:rsidRPr="00436437">
              <w:rPr>
                <w:rFonts w:ascii="Calibri" w:hAnsi="Calibri"/>
                <w:b/>
                <w:bCs/>
                <w:color w:val="FFFFFF"/>
                <w:sz w:val="22"/>
                <w:szCs w:val="22"/>
                <w:lang w:eastAsia="zh-CN"/>
              </w:rPr>
              <w:t>Question</w:t>
            </w:r>
          </w:p>
        </w:tc>
        <w:tc>
          <w:tcPr>
            <w:tcW w:w="611" w:type="pct"/>
            <w:shd w:val="clear" w:color="000000" w:fill="C00000"/>
            <w:noWrap/>
            <w:vAlign w:val="bottom"/>
            <w:hideMark/>
          </w:tcPr>
          <w:p w:rsidR="0059456F" w:rsidRPr="00436437" w:rsidRDefault="0059456F" w:rsidP="008662C3">
            <w:pPr>
              <w:overflowPunct/>
              <w:autoSpaceDE/>
              <w:autoSpaceDN/>
              <w:adjustRightInd/>
              <w:spacing w:before="0"/>
              <w:textAlignment w:val="auto"/>
              <w:rPr>
                <w:rFonts w:ascii="Calibri" w:hAnsi="Calibri"/>
                <w:b/>
                <w:bCs/>
                <w:color w:val="FFFFFF"/>
                <w:sz w:val="22"/>
                <w:szCs w:val="22"/>
                <w:lang w:eastAsia="zh-CN"/>
              </w:rPr>
            </w:pPr>
            <w:r>
              <w:rPr>
                <w:rFonts w:ascii="Calibri" w:hAnsi="Calibri"/>
                <w:b/>
                <w:bCs/>
                <w:color w:val="FFFFFF"/>
                <w:sz w:val="22"/>
                <w:szCs w:val="22"/>
                <w:lang w:eastAsia="zh-CN"/>
              </w:rPr>
              <w:t>Role</w:t>
            </w:r>
          </w:p>
        </w:tc>
        <w:tc>
          <w:tcPr>
            <w:tcW w:w="182" w:type="pct"/>
            <w:shd w:val="clear" w:color="5B9BD5" w:fill="5B9BD5"/>
            <w:noWrap/>
            <w:vAlign w:val="bottom"/>
            <w:hideMark/>
          </w:tcPr>
          <w:p w:rsidR="0059456F" w:rsidRPr="00436437" w:rsidRDefault="0059456F" w:rsidP="008662C3">
            <w:pPr>
              <w:overflowPunct/>
              <w:autoSpaceDE/>
              <w:autoSpaceDN/>
              <w:adjustRightInd/>
              <w:spacing w:before="0"/>
              <w:textAlignment w:val="auto"/>
              <w:rPr>
                <w:rFonts w:ascii="Calibri" w:hAnsi="Calibri"/>
                <w:b/>
                <w:bCs/>
                <w:color w:val="FFFFFF"/>
                <w:sz w:val="22"/>
                <w:szCs w:val="22"/>
                <w:lang w:eastAsia="zh-CN"/>
              </w:rPr>
            </w:pPr>
          </w:p>
        </w:tc>
        <w:tc>
          <w:tcPr>
            <w:tcW w:w="659" w:type="pct"/>
            <w:shd w:val="clear" w:color="5B9BD5" w:fill="5B9BD5"/>
            <w:noWrap/>
            <w:vAlign w:val="bottom"/>
            <w:hideMark/>
          </w:tcPr>
          <w:p w:rsidR="0059456F" w:rsidRPr="00436437" w:rsidRDefault="0059456F" w:rsidP="008662C3">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First</w:t>
            </w:r>
            <w:r>
              <w:rPr>
                <w:rFonts w:ascii="Calibri" w:hAnsi="Calibri"/>
                <w:b/>
                <w:bCs/>
                <w:color w:val="FFFFFF"/>
                <w:sz w:val="22"/>
                <w:szCs w:val="22"/>
                <w:lang w:eastAsia="zh-CN"/>
              </w:rPr>
              <w:t xml:space="preserve"> n</w:t>
            </w:r>
            <w:r w:rsidRPr="00436437">
              <w:rPr>
                <w:rFonts w:ascii="Calibri" w:hAnsi="Calibri"/>
                <w:b/>
                <w:bCs/>
                <w:color w:val="FFFFFF"/>
                <w:sz w:val="22"/>
                <w:szCs w:val="22"/>
                <w:lang w:eastAsia="zh-CN"/>
              </w:rPr>
              <w:t>ame</w:t>
            </w:r>
          </w:p>
        </w:tc>
        <w:tc>
          <w:tcPr>
            <w:tcW w:w="717" w:type="pct"/>
            <w:shd w:val="clear" w:color="5B9BD5" w:fill="5B9BD5"/>
            <w:noWrap/>
            <w:vAlign w:val="bottom"/>
            <w:hideMark/>
          </w:tcPr>
          <w:p w:rsidR="0059456F" w:rsidRPr="00436437" w:rsidRDefault="0059456F" w:rsidP="008662C3">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Last</w:t>
            </w:r>
            <w:r>
              <w:rPr>
                <w:rFonts w:ascii="Calibri" w:hAnsi="Calibri"/>
                <w:b/>
                <w:bCs/>
                <w:color w:val="FFFFFF"/>
                <w:sz w:val="22"/>
                <w:szCs w:val="22"/>
                <w:lang w:eastAsia="zh-CN"/>
              </w:rPr>
              <w:t xml:space="preserve"> </w:t>
            </w:r>
            <w:r w:rsidRPr="00436437">
              <w:rPr>
                <w:rFonts w:ascii="Calibri" w:hAnsi="Calibri"/>
                <w:b/>
                <w:bCs/>
                <w:color w:val="FFFFFF"/>
                <w:sz w:val="22"/>
                <w:szCs w:val="22"/>
                <w:lang w:eastAsia="zh-CN"/>
              </w:rPr>
              <w:t>name</w:t>
            </w:r>
          </w:p>
        </w:tc>
        <w:tc>
          <w:tcPr>
            <w:tcW w:w="807" w:type="pct"/>
            <w:shd w:val="clear" w:color="5B9BD5" w:fill="5B9BD5"/>
            <w:noWrap/>
            <w:vAlign w:val="bottom"/>
            <w:hideMark/>
          </w:tcPr>
          <w:p w:rsidR="0059456F" w:rsidRPr="00436437" w:rsidRDefault="0059456F" w:rsidP="008662C3">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Country</w:t>
            </w:r>
          </w:p>
        </w:tc>
        <w:tc>
          <w:tcPr>
            <w:tcW w:w="795" w:type="pct"/>
            <w:shd w:val="clear" w:color="5B9BD5" w:fill="5B9BD5"/>
            <w:noWrap/>
            <w:vAlign w:val="bottom"/>
            <w:hideMark/>
          </w:tcPr>
          <w:p w:rsidR="0059456F" w:rsidRPr="00436437" w:rsidRDefault="0059456F" w:rsidP="008662C3">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Region</w:t>
            </w:r>
          </w:p>
        </w:tc>
        <w:tc>
          <w:tcPr>
            <w:tcW w:w="583" w:type="pct"/>
            <w:shd w:val="clear" w:color="5B9BD5" w:fill="5B9BD5"/>
            <w:vAlign w:val="bottom"/>
            <w:hideMark/>
          </w:tcPr>
          <w:p w:rsidR="0059456F" w:rsidRPr="00436437" w:rsidRDefault="0059456F" w:rsidP="008662C3">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Organization</w:t>
            </w:r>
          </w:p>
        </w:tc>
      </w:tr>
      <w:tr w:rsidR="0059456F" w:rsidRPr="00436437" w:rsidTr="004266B4">
        <w:trPr>
          <w:trHeight w:val="297"/>
        </w:trPr>
        <w:tc>
          <w:tcPr>
            <w:tcW w:w="646" w:type="pct"/>
            <w:shd w:val="clear" w:color="auto" w:fill="auto"/>
            <w:noWrap/>
            <w:vAlign w:val="center"/>
            <w:hideMark/>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1/2</w:t>
            </w:r>
          </w:p>
        </w:tc>
        <w:tc>
          <w:tcPr>
            <w:tcW w:w="611" w:type="pct"/>
            <w:shd w:val="clear" w:color="000000" w:fill="FFF2CC"/>
            <w:noWrap/>
            <w:vAlign w:val="center"/>
            <w:hideMark/>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2" w:type="pct"/>
            <w:shd w:val="clear" w:color="auto" w:fill="auto"/>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9" w:type="pct"/>
            <w:shd w:val="clear" w:color="auto" w:fill="auto"/>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James </w:t>
            </w:r>
          </w:p>
        </w:tc>
        <w:tc>
          <w:tcPr>
            <w:tcW w:w="717" w:type="pct"/>
            <w:shd w:val="clear" w:color="auto" w:fill="auto"/>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Njeru</w:t>
            </w:r>
          </w:p>
        </w:tc>
        <w:tc>
          <w:tcPr>
            <w:tcW w:w="807" w:type="pct"/>
            <w:shd w:val="clear" w:color="auto" w:fill="auto"/>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Kenya</w:t>
            </w:r>
          </w:p>
        </w:tc>
        <w:tc>
          <w:tcPr>
            <w:tcW w:w="795" w:type="pct"/>
            <w:shd w:val="clear" w:color="auto" w:fill="auto"/>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83" w:type="pct"/>
            <w:shd w:val="clear" w:color="auto" w:fill="auto"/>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270"/>
        </w:trPr>
        <w:tc>
          <w:tcPr>
            <w:tcW w:w="646" w:type="pct"/>
            <w:shd w:val="clear" w:color="DDEBF7" w:fill="DDEBF7"/>
            <w:noWrap/>
            <w:vAlign w:val="center"/>
            <w:hideMark/>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1/2</w:t>
            </w:r>
          </w:p>
        </w:tc>
        <w:tc>
          <w:tcPr>
            <w:tcW w:w="611" w:type="pct"/>
            <w:shd w:val="clear" w:color="000000" w:fill="FFF2CC"/>
            <w:noWrap/>
            <w:vAlign w:val="center"/>
            <w:hideMark/>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2" w:type="pct"/>
            <w:shd w:val="clear" w:color="DDEBF7" w:fill="DDEBF7"/>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9" w:type="pct"/>
            <w:shd w:val="clear" w:color="DDEBF7" w:fill="DDEBF7"/>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Fadel F</w:t>
            </w:r>
          </w:p>
        </w:tc>
        <w:tc>
          <w:tcPr>
            <w:tcW w:w="717" w:type="pct"/>
            <w:shd w:val="clear" w:color="DDEBF7" w:fill="DDEBF7"/>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Digham</w:t>
            </w:r>
          </w:p>
        </w:tc>
        <w:tc>
          <w:tcPr>
            <w:tcW w:w="807" w:type="pct"/>
            <w:shd w:val="clear" w:color="DDEBF7" w:fill="DDEBF7"/>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Egypt</w:t>
            </w:r>
          </w:p>
        </w:tc>
        <w:tc>
          <w:tcPr>
            <w:tcW w:w="795" w:type="pct"/>
            <w:shd w:val="clear" w:color="DDEBF7" w:fill="DDEBF7"/>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83" w:type="pct"/>
            <w:shd w:val="clear" w:color="DDEBF7" w:fill="DDEBF7"/>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00"/>
        </w:trPr>
        <w:tc>
          <w:tcPr>
            <w:tcW w:w="646"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p>
        </w:tc>
        <w:tc>
          <w:tcPr>
            <w:tcW w:w="611"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9"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Seydou </w:t>
            </w:r>
          </w:p>
        </w:tc>
        <w:tc>
          <w:tcPr>
            <w:tcW w:w="717"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Diarra</w:t>
            </w:r>
          </w:p>
        </w:tc>
        <w:tc>
          <w:tcPr>
            <w:tcW w:w="807"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795"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83" w:type="pct"/>
            <w:shd w:val="clear" w:color="auto" w:fill="auto"/>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270"/>
        </w:trPr>
        <w:tc>
          <w:tcPr>
            <w:tcW w:w="646"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p>
        </w:tc>
        <w:tc>
          <w:tcPr>
            <w:tcW w:w="611"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59"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Carrelle </w:t>
            </w:r>
          </w:p>
        </w:tc>
        <w:tc>
          <w:tcPr>
            <w:tcW w:w="717"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Toho Acclassato</w:t>
            </w:r>
          </w:p>
        </w:tc>
        <w:tc>
          <w:tcPr>
            <w:tcW w:w="807"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Benin</w:t>
            </w:r>
          </w:p>
        </w:tc>
        <w:tc>
          <w:tcPr>
            <w:tcW w:w="795"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83" w:type="pct"/>
            <w:shd w:val="clear" w:color="DDEBF7" w:fill="DDEBF7"/>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00"/>
        </w:trPr>
        <w:tc>
          <w:tcPr>
            <w:tcW w:w="646"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p>
        </w:tc>
        <w:tc>
          <w:tcPr>
            <w:tcW w:w="611"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59"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Aminata Niang </w:t>
            </w:r>
          </w:p>
        </w:tc>
        <w:tc>
          <w:tcPr>
            <w:tcW w:w="717"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Diagne</w:t>
            </w:r>
          </w:p>
        </w:tc>
        <w:tc>
          <w:tcPr>
            <w:tcW w:w="807"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795"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83" w:type="pct"/>
            <w:shd w:val="clear" w:color="auto" w:fill="auto"/>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00"/>
        </w:trPr>
        <w:tc>
          <w:tcPr>
            <w:tcW w:w="646" w:type="pct"/>
            <w:shd w:val="clear" w:color="DDEBF7" w:fill="DDEBF7"/>
            <w:noWrap/>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p>
        </w:tc>
        <w:tc>
          <w:tcPr>
            <w:tcW w:w="611" w:type="pct"/>
            <w:shd w:val="clear" w:color="DDEBF7" w:fill="DDEBF7"/>
            <w:noWrap/>
            <w:hideMark/>
          </w:tcPr>
          <w:p w:rsidR="0059456F" w:rsidRPr="00436437" w:rsidRDefault="0059456F" w:rsidP="008662C3">
            <w:pPr>
              <w:overflowPunct/>
              <w:autoSpaceDE/>
              <w:autoSpaceDN/>
              <w:adjustRightInd/>
              <w:spacing w:before="0"/>
              <w:textAlignment w:val="auto"/>
              <w:rPr>
                <w:rFonts w:ascii="Calibri" w:hAnsi="Calibri"/>
                <w:sz w:val="22"/>
                <w:szCs w:val="22"/>
                <w:lang w:eastAsia="zh-CN"/>
              </w:rPr>
            </w:pPr>
            <w:r w:rsidRPr="00436437">
              <w:rPr>
                <w:rFonts w:ascii="Calibri" w:hAnsi="Calibri"/>
                <w:sz w:val="22"/>
                <w:szCs w:val="22"/>
                <w:lang w:eastAsia="zh-CN"/>
              </w:rPr>
              <w:t>Vice-Rapporteur</w:t>
            </w:r>
          </w:p>
        </w:tc>
        <w:tc>
          <w:tcPr>
            <w:tcW w:w="182" w:type="pct"/>
            <w:shd w:val="clear" w:color="DDEBF7" w:fill="DDEBF7"/>
            <w:noWrap/>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59" w:type="pct"/>
            <w:shd w:val="clear" w:color="DDEBF7" w:fill="DDEBF7"/>
            <w:noWrap/>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Turhan </w:t>
            </w:r>
          </w:p>
        </w:tc>
        <w:tc>
          <w:tcPr>
            <w:tcW w:w="717" w:type="pct"/>
            <w:shd w:val="clear" w:color="DDEBF7" w:fill="DDEBF7"/>
            <w:noWrap/>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Muluk</w:t>
            </w:r>
          </w:p>
        </w:tc>
        <w:tc>
          <w:tcPr>
            <w:tcW w:w="807" w:type="pct"/>
            <w:shd w:val="clear" w:color="DDEBF7" w:fill="DDEBF7"/>
            <w:noWrap/>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795" w:type="pct"/>
            <w:shd w:val="clear" w:color="DDEBF7" w:fill="DDEBF7"/>
            <w:noWrap/>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83" w:type="pct"/>
            <w:shd w:val="clear" w:color="DDEBF7" w:fill="DDEBF7"/>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Intel Corporation</w:t>
            </w:r>
          </w:p>
        </w:tc>
      </w:tr>
      <w:tr w:rsidR="0059456F" w:rsidRPr="00436437" w:rsidTr="004266B4">
        <w:trPr>
          <w:trHeight w:val="300"/>
        </w:trPr>
        <w:tc>
          <w:tcPr>
            <w:tcW w:w="646"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p>
        </w:tc>
        <w:tc>
          <w:tcPr>
            <w:tcW w:w="611"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9"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Abdelmadjid </w:t>
            </w:r>
          </w:p>
        </w:tc>
        <w:tc>
          <w:tcPr>
            <w:tcW w:w="717"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Loumi</w:t>
            </w:r>
          </w:p>
        </w:tc>
        <w:tc>
          <w:tcPr>
            <w:tcW w:w="807"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Algeria</w:t>
            </w:r>
          </w:p>
        </w:tc>
        <w:tc>
          <w:tcPr>
            <w:tcW w:w="795"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83" w:type="pct"/>
            <w:shd w:val="clear" w:color="auto" w:fill="auto"/>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00"/>
        </w:trPr>
        <w:tc>
          <w:tcPr>
            <w:tcW w:w="646"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p>
        </w:tc>
        <w:tc>
          <w:tcPr>
            <w:tcW w:w="611"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9"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Fadi </w:t>
            </w:r>
          </w:p>
        </w:tc>
        <w:tc>
          <w:tcPr>
            <w:tcW w:w="717"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Morjanh </w:t>
            </w:r>
          </w:p>
        </w:tc>
        <w:tc>
          <w:tcPr>
            <w:tcW w:w="807"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State of Palestine</w:t>
            </w:r>
          </w:p>
        </w:tc>
        <w:tc>
          <w:tcPr>
            <w:tcW w:w="795"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83" w:type="pct"/>
            <w:shd w:val="clear" w:color="DDEBF7" w:fill="DDEBF7"/>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00"/>
        </w:trPr>
        <w:tc>
          <w:tcPr>
            <w:tcW w:w="646"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p>
        </w:tc>
        <w:tc>
          <w:tcPr>
            <w:tcW w:w="611"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9" w:type="pct"/>
            <w:shd w:val="clear" w:color="auto" w:fill="auto"/>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Sanjeev </w:t>
            </w:r>
          </w:p>
        </w:tc>
        <w:tc>
          <w:tcPr>
            <w:tcW w:w="717" w:type="pct"/>
            <w:shd w:val="clear" w:color="auto" w:fill="auto"/>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Banzal</w:t>
            </w:r>
          </w:p>
        </w:tc>
        <w:tc>
          <w:tcPr>
            <w:tcW w:w="807" w:type="pct"/>
            <w:shd w:val="clear" w:color="auto" w:fill="auto"/>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India</w:t>
            </w:r>
          </w:p>
        </w:tc>
        <w:tc>
          <w:tcPr>
            <w:tcW w:w="795" w:type="pct"/>
            <w:shd w:val="clear" w:color="auto" w:fill="auto"/>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83" w:type="pct"/>
            <w:shd w:val="clear" w:color="auto" w:fill="auto"/>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00"/>
        </w:trPr>
        <w:tc>
          <w:tcPr>
            <w:tcW w:w="646"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p>
        </w:tc>
        <w:tc>
          <w:tcPr>
            <w:tcW w:w="611"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9"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Cai</w:t>
            </w:r>
          </w:p>
        </w:tc>
        <w:tc>
          <w:tcPr>
            <w:tcW w:w="717"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Chen </w:t>
            </w:r>
          </w:p>
        </w:tc>
        <w:tc>
          <w:tcPr>
            <w:tcW w:w="807"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China</w:t>
            </w:r>
          </w:p>
        </w:tc>
        <w:tc>
          <w:tcPr>
            <w:tcW w:w="795"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83" w:type="pct"/>
            <w:shd w:val="clear" w:color="DDEBF7" w:fill="DDEBF7"/>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00"/>
        </w:trPr>
        <w:tc>
          <w:tcPr>
            <w:tcW w:w="646"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p>
        </w:tc>
        <w:tc>
          <w:tcPr>
            <w:tcW w:w="611"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9"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Jong-Sung </w:t>
            </w:r>
          </w:p>
        </w:tc>
        <w:tc>
          <w:tcPr>
            <w:tcW w:w="717"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Hwang </w:t>
            </w:r>
          </w:p>
        </w:tc>
        <w:tc>
          <w:tcPr>
            <w:tcW w:w="807"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Korea (Rep. of)</w:t>
            </w:r>
          </w:p>
        </w:tc>
        <w:tc>
          <w:tcPr>
            <w:tcW w:w="795"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83" w:type="pct"/>
            <w:shd w:val="clear" w:color="auto" w:fill="auto"/>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00"/>
        </w:trPr>
        <w:tc>
          <w:tcPr>
            <w:tcW w:w="646"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p>
        </w:tc>
        <w:tc>
          <w:tcPr>
            <w:tcW w:w="611"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9"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Ataru </w:t>
            </w:r>
          </w:p>
        </w:tc>
        <w:tc>
          <w:tcPr>
            <w:tcW w:w="717"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Kobayashi </w:t>
            </w:r>
          </w:p>
        </w:tc>
        <w:tc>
          <w:tcPr>
            <w:tcW w:w="807"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795"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83" w:type="pct"/>
            <w:shd w:val="clear" w:color="DDEBF7" w:fill="DDEBF7"/>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00"/>
        </w:trPr>
        <w:tc>
          <w:tcPr>
            <w:tcW w:w="646"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p>
        </w:tc>
        <w:tc>
          <w:tcPr>
            <w:tcW w:w="611"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9"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Yuki </w:t>
            </w:r>
          </w:p>
        </w:tc>
        <w:tc>
          <w:tcPr>
            <w:tcW w:w="717"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Umezawa</w:t>
            </w:r>
          </w:p>
        </w:tc>
        <w:tc>
          <w:tcPr>
            <w:tcW w:w="807"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795"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83" w:type="pct"/>
            <w:shd w:val="clear" w:color="auto" w:fill="auto"/>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00"/>
        </w:trPr>
        <w:tc>
          <w:tcPr>
            <w:tcW w:w="646"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p>
        </w:tc>
        <w:tc>
          <w:tcPr>
            <w:tcW w:w="611"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9"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Evgeny </w:t>
            </w:r>
          </w:p>
        </w:tc>
        <w:tc>
          <w:tcPr>
            <w:tcW w:w="717"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Bondarenko</w:t>
            </w:r>
          </w:p>
        </w:tc>
        <w:tc>
          <w:tcPr>
            <w:tcW w:w="807"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Russian Federation</w:t>
            </w:r>
          </w:p>
        </w:tc>
        <w:tc>
          <w:tcPr>
            <w:tcW w:w="795"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CIS countries</w:t>
            </w:r>
          </w:p>
        </w:tc>
        <w:tc>
          <w:tcPr>
            <w:tcW w:w="583" w:type="pct"/>
            <w:shd w:val="clear" w:color="DDEBF7" w:fill="DDEBF7"/>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00"/>
        </w:trPr>
        <w:tc>
          <w:tcPr>
            <w:tcW w:w="646"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p>
        </w:tc>
        <w:tc>
          <w:tcPr>
            <w:tcW w:w="611"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59"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Neslihan </w:t>
            </w:r>
          </w:p>
        </w:tc>
        <w:tc>
          <w:tcPr>
            <w:tcW w:w="717"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Cenk </w:t>
            </w:r>
          </w:p>
        </w:tc>
        <w:tc>
          <w:tcPr>
            <w:tcW w:w="807"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Turkey</w:t>
            </w:r>
          </w:p>
        </w:tc>
        <w:tc>
          <w:tcPr>
            <w:tcW w:w="795"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83" w:type="pct"/>
            <w:shd w:val="clear" w:color="auto" w:fill="auto"/>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Türk Telekom</w:t>
            </w:r>
          </w:p>
        </w:tc>
      </w:tr>
      <w:tr w:rsidR="0059456F" w:rsidRPr="00436437" w:rsidTr="004266B4">
        <w:trPr>
          <w:trHeight w:val="234"/>
        </w:trPr>
        <w:tc>
          <w:tcPr>
            <w:tcW w:w="646" w:type="pct"/>
            <w:shd w:val="clear" w:color="DDEBF7" w:fill="DDEBF7"/>
            <w:noWrap/>
            <w:vAlign w:val="center"/>
            <w:hideMark/>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2/2</w:t>
            </w:r>
          </w:p>
        </w:tc>
        <w:tc>
          <w:tcPr>
            <w:tcW w:w="611" w:type="pct"/>
            <w:shd w:val="clear" w:color="000000" w:fill="FFF2CC"/>
            <w:noWrap/>
            <w:vAlign w:val="center"/>
            <w:hideMark/>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2" w:type="pct"/>
            <w:shd w:val="clear" w:color="DDEBF7" w:fill="DDEBF7"/>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9" w:type="pct"/>
            <w:shd w:val="clear" w:color="DDEBF7" w:fill="DDEBF7"/>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Isao</w:t>
            </w:r>
          </w:p>
        </w:tc>
        <w:tc>
          <w:tcPr>
            <w:tcW w:w="717" w:type="pct"/>
            <w:shd w:val="clear" w:color="DDEBF7" w:fill="DDEBF7"/>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Nakajima </w:t>
            </w:r>
          </w:p>
        </w:tc>
        <w:tc>
          <w:tcPr>
            <w:tcW w:w="807" w:type="pct"/>
            <w:shd w:val="clear" w:color="DDEBF7" w:fill="DDEBF7"/>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795" w:type="pct"/>
            <w:shd w:val="clear" w:color="DDEBF7" w:fill="DDEBF7"/>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83" w:type="pct"/>
            <w:shd w:val="clear" w:color="DDEBF7" w:fill="DDEBF7"/>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251"/>
        </w:trPr>
        <w:tc>
          <w:tcPr>
            <w:tcW w:w="646" w:type="pct"/>
            <w:shd w:val="clear" w:color="auto" w:fill="auto"/>
            <w:noWrap/>
            <w:vAlign w:val="center"/>
            <w:hideMark/>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2/2</w:t>
            </w:r>
          </w:p>
        </w:tc>
        <w:tc>
          <w:tcPr>
            <w:tcW w:w="611" w:type="pct"/>
            <w:shd w:val="clear" w:color="000000" w:fill="FFF2CC"/>
            <w:noWrap/>
            <w:vAlign w:val="center"/>
            <w:hideMark/>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2" w:type="pct"/>
            <w:shd w:val="clear" w:color="auto" w:fill="auto"/>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9" w:type="pct"/>
            <w:shd w:val="clear" w:color="auto" w:fill="auto"/>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Done-Sik</w:t>
            </w:r>
          </w:p>
        </w:tc>
        <w:tc>
          <w:tcPr>
            <w:tcW w:w="717" w:type="pct"/>
            <w:shd w:val="clear" w:color="auto" w:fill="auto"/>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Yoo</w:t>
            </w:r>
          </w:p>
        </w:tc>
        <w:tc>
          <w:tcPr>
            <w:tcW w:w="807" w:type="pct"/>
            <w:shd w:val="clear" w:color="auto" w:fill="auto"/>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Korea (Rep. of)</w:t>
            </w:r>
          </w:p>
        </w:tc>
        <w:tc>
          <w:tcPr>
            <w:tcW w:w="795" w:type="pct"/>
            <w:shd w:val="clear" w:color="auto" w:fill="auto"/>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83" w:type="pct"/>
            <w:shd w:val="clear" w:color="auto" w:fill="auto"/>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30"/>
        </w:trPr>
        <w:tc>
          <w:tcPr>
            <w:tcW w:w="646"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p>
        </w:tc>
        <w:tc>
          <w:tcPr>
            <w:tcW w:w="611"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9"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Paul</w:t>
            </w:r>
          </w:p>
        </w:tc>
        <w:tc>
          <w:tcPr>
            <w:tcW w:w="717"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Kiage</w:t>
            </w:r>
          </w:p>
        </w:tc>
        <w:tc>
          <w:tcPr>
            <w:tcW w:w="807"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Kenya</w:t>
            </w:r>
          </w:p>
        </w:tc>
        <w:tc>
          <w:tcPr>
            <w:tcW w:w="795"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83" w:type="pct"/>
            <w:shd w:val="clear" w:color="DDEBF7" w:fill="DDEBF7"/>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00"/>
        </w:trPr>
        <w:tc>
          <w:tcPr>
            <w:tcW w:w="646"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p>
        </w:tc>
        <w:tc>
          <w:tcPr>
            <w:tcW w:w="611"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Ms </w:t>
            </w:r>
          </w:p>
        </w:tc>
        <w:tc>
          <w:tcPr>
            <w:tcW w:w="659"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Lydia </w:t>
            </w:r>
          </w:p>
        </w:tc>
        <w:tc>
          <w:tcPr>
            <w:tcW w:w="717"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Ouedraogo/Seneme</w:t>
            </w:r>
          </w:p>
        </w:tc>
        <w:tc>
          <w:tcPr>
            <w:tcW w:w="807"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Burkina Faso</w:t>
            </w:r>
          </w:p>
        </w:tc>
        <w:tc>
          <w:tcPr>
            <w:tcW w:w="795"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83" w:type="pct"/>
            <w:shd w:val="clear" w:color="auto" w:fill="auto"/>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00"/>
        </w:trPr>
        <w:tc>
          <w:tcPr>
            <w:tcW w:w="646"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p>
        </w:tc>
        <w:tc>
          <w:tcPr>
            <w:tcW w:w="611"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59"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Fatoumata </w:t>
            </w:r>
          </w:p>
        </w:tc>
        <w:tc>
          <w:tcPr>
            <w:tcW w:w="717"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Samake</w:t>
            </w:r>
          </w:p>
        </w:tc>
        <w:tc>
          <w:tcPr>
            <w:tcW w:w="807"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795"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83" w:type="pct"/>
            <w:shd w:val="clear" w:color="DDEBF7" w:fill="DDEBF7"/>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00"/>
        </w:trPr>
        <w:tc>
          <w:tcPr>
            <w:tcW w:w="646"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p>
        </w:tc>
        <w:tc>
          <w:tcPr>
            <w:tcW w:w="611"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9"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Babou</w:t>
            </w:r>
          </w:p>
        </w:tc>
        <w:tc>
          <w:tcPr>
            <w:tcW w:w="717"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Sarr</w:t>
            </w:r>
          </w:p>
        </w:tc>
        <w:tc>
          <w:tcPr>
            <w:tcW w:w="807"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795"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83" w:type="pct"/>
            <w:shd w:val="clear" w:color="auto" w:fill="auto"/>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00"/>
        </w:trPr>
        <w:tc>
          <w:tcPr>
            <w:tcW w:w="646"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p>
        </w:tc>
        <w:tc>
          <w:tcPr>
            <w:tcW w:w="611"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59"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Carrelle </w:t>
            </w:r>
          </w:p>
        </w:tc>
        <w:tc>
          <w:tcPr>
            <w:tcW w:w="717"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Toho Acclassato</w:t>
            </w:r>
          </w:p>
        </w:tc>
        <w:tc>
          <w:tcPr>
            <w:tcW w:w="807"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Benin</w:t>
            </w:r>
          </w:p>
        </w:tc>
        <w:tc>
          <w:tcPr>
            <w:tcW w:w="795"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83" w:type="pct"/>
            <w:shd w:val="clear" w:color="DDEBF7" w:fill="DDEBF7"/>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00"/>
        </w:trPr>
        <w:tc>
          <w:tcPr>
            <w:tcW w:w="646"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p>
        </w:tc>
        <w:tc>
          <w:tcPr>
            <w:tcW w:w="611"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59"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Gregory</w:t>
            </w:r>
          </w:p>
        </w:tc>
        <w:tc>
          <w:tcPr>
            <w:tcW w:w="717"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Domond </w:t>
            </w:r>
          </w:p>
        </w:tc>
        <w:tc>
          <w:tcPr>
            <w:tcW w:w="807"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795"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83" w:type="pct"/>
            <w:shd w:val="clear" w:color="auto" w:fill="auto"/>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00"/>
        </w:trPr>
        <w:tc>
          <w:tcPr>
            <w:tcW w:w="646"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p>
        </w:tc>
        <w:tc>
          <w:tcPr>
            <w:tcW w:w="611"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Mr</w:t>
            </w:r>
          </w:p>
        </w:tc>
        <w:tc>
          <w:tcPr>
            <w:tcW w:w="659"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964C68">
              <w:rPr>
                <w:rFonts w:ascii="Calibri" w:hAnsi="Calibri"/>
                <w:color w:val="000000"/>
                <w:sz w:val="22"/>
                <w:szCs w:val="22"/>
                <w:lang w:eastAsia="zh-CN"/>
              </w:rPr>
              <w:t>Mayank</w:t>
            </w:r>
          </w:p>
        </w:tc>
        <w:tc>
          <w:tcPr>
            <w:tcW w:w="717"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Mrinal</w:t>
            </w:r>
          </w:p>
        </w:tc>
        <w:tc>
          <w:tcPr>
            <w:tcW w:w="807"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795" w:type="pct"/>
            <w:shd w:val="clear" w:color="DDEBF7" w:fill="DDEBF7"/>
            <w:noWrap/>
            <w:vAlign w:val="center"/>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83" w:type="pct"/>
            <w:shd w:val="clear" w:color="DDEBF7" w:fill="DDEBF7"/>
            <w:vAlign w:val="center"/>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00"/>
        </w:trPr>
        <w:tc>
          <w:tcPr>
            <w:tcW w:w="646"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p>
        </w:tc>
        <w:tc>
          <w:tcPr>
            <w:tcW w:w="611"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59"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B825BC">
              <w:rPr>
                <w:rFonts w:ascii="Calibri" w:hAnsi="Calibri"/>
                <w:color w:val="000000"/>
                <w:sz w:val="22"/>
                <w:szCs w:val="22"/>
                <w:lang w:eastAsia="zh-CN"/>
              </w:rPr>
              <w:t>Malina</w:t>
            </w:r>
          </w:p>
        </w:tc>
        <w:tc>
          <w:tcPr>
            <w:tcW w:w="717"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B825BC">
              <w:rPr>
                <w:rFonts w:ascii="Calibri" w:hAnsi="Calibri"/>
                <w:color w:val="000000"/>
                <w:sz w:val="22"/>
                <w:szCs w:val="22"/>
                <w:lang w:eastAsia="zh-CN"/>
              </w:rPr>
              <w:t>Jordanova</w:t>
            </w:r>
          </w:p>
        </w:tc>
        <w:tc>
          <w:tcPr>
            <w:tcW w:w="807"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Bulgaria</w:t>
            </w:r>
          </w:p>
        </w:tc>
        <w:tc>
          <w:tcPr>
            <w:tcW w:w="795"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83" w:type="pct"/>
            <w:shd w:val="clear" w:color="auto" w:fill="auto"/>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00"/>
        </w:trPr>
        <w:tc>
          <w:tcPr>
            <w:tcW w:w="646"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p>
        </w:tc>
        <w:tc>
          <w:tcPr>
            <w:tcW w:w="611"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9"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John </w:t>
            </w:r>
          </w:p>
        </w:tc>
        <w:tc>
          <w:tcPr>
            <w:tcW w:w="717"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Owuor </w:t>
            </w:r>
          </w:p>
        </w:tc>
        <w:tc>
          <w:tcPr>
            <w:tcW w:w="807"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Sweden</w:t>
            </w:r>
          </w:p>
        </w:tc>
        <w:tc>
          <w:tcPr>
            <w:tcW w:w="795"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83" w:type="pct"/>
            <w:shd w:val="clear" w:color="DDEBF7" w:fill="DDEBF7"/>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00"/>
        </w:trPr>
        <w:tc>
          <w:tcPr>
            <w:tcW w:w="646"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p>
        </w:tc>
        <w:tc>
          <w:tcPr>
            <w:tcW w:w="611" w:type="pct"/>
            <w:shd w:val="clear" w:color="auto" w:fill="auto"/>
            <w:noWrap/>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auto" w:fill="auto"/>
            <w:noWrap/>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9" w:type="pct"/>
            <w:shd w:val="clear" w:color="auto" w:fill="auto"/>
            <w:noWrap/>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Leonid </w:t>
            </w:r>
          </w:p>
        </w:tc>
        <w:tc>
          <w:tcPr>
            <w:tcW w:w="717" w:type="pct"/>
            <w:shd w:val="clear" w:color="auto" w:fill="auto"/>
            <w:noWrap/>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Androuchko</w:t>
            </w:r>
          </w:p>
        </w:tc>
        <w:tc>
          <w:tcPr>
            <w:tcW w:w="807" w:type="pct"/>
            <w:shd w:val="clear" w:color="auto" w:fill="auto"/>
            <w:noWrap/>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p>
        </w:tc>
        <w:tc>
          <w:tcPr>
            <w:tcW w:w="795" w:type="pct"/>
            <w:shd w:val="clear" w:color="auto" w:fill="auto"/>
            <w:noWrap/>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World or Multi-Regional</w:t>
            </w:r>
          </w:p>
        </w:tc>
        <w:tc>
          <w:tcPr>
            <w:tcW w:w="583" w:type="pct"/>
            <w:shd w:val="clear" w:color="auto" w:fill="auto"/>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Dominic Foundation</w:t>
            </w:r>
          </w:p>
        </w:tc>
      </w:tr>
      <w:tr w:rsidR="0059456F" w:rsidRPr="00436437" w:rsidTr="004266B4">
        <w:trPr>
          <w:trHeight w:val="330"/>
        </w:trPr>
        <w:tc>
          <w:tcPr>
            <w:tcW w:w="646" w:type="pct"/>
            <w:shd w:val="clear" w:color="DDEBF7" w:fill="DDEBF7"/>
            <w:noWrap/>
            <w:vAlign w:val="center"/>
            <w:hideMark/>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Question 3</w:t>
            </w:r>
            <w:r w:rsidRPr="00436437">
              <w:rPr>
                <w:rFonts w:ascii="Calibri" w:hAnsi="Calibri"/>
                <w:b/>
                <w:bCs/>
                <w:color w:val="000000"/>
                <w:sz w:val="22"/>
                <w:szCs w:val="22"/>
                <w:lang w:eastAsia="zh-CN"/>
              </w:rPr>
              <w:t>/2</w:t>
            </w:r>
          </w:p>
        </w:tc>
        <w:tc>
          <w:tcPr>
            <w:tcW w:w="611" w:type="pct"/>
            <w:shd w:val="clear" w:color="000000" w:fill="FFF2CC"/>
            <w:noWrap/>
            <w:vAlign w:val="center"/>
            <w:hideMark/>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2" w:type="pct"/>
            <w:shd w:val="clear" w:color="DDEBF7" w:fill="DDEBF7"/>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9" w:type="pct"/>
            <w:shd w:val="clear" w:color="DDEBF7" w:fill="DDEBF7"/>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Michael </w:t>
            </w:r>
          </w:p>
        </w:tc>
        <w:tc>
          <w:tcPr>
            <w:tcW w:w="717" w:type="pct"/>
            <w:shd w:val="clear" w:color="DDEBF7" w:fill="DDEBF7"/>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Beirne</w:t>
            </w:r>
          </w:p>
        </w:tc>
        <w:tc>
          <w:tcPr>
            <w:tcW w:w="807" w:type="pct"/>
            <w:shd w:val="clear" w:color="DDEBF7" w:fill="DDEBF7"/>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795" w:type="pct"/>
            <w:shd w:val="clear" w:color="DDEBF7" w:fill="DDEBF7"/>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83" w:type="pct"/>
            <w:shd w:val="clear" w:color="DDEBF7" w:fill="DDEBF7"/>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00"/>
        </w:trPr>
        <w:tc>
          <w:tcPr>
            <w:tcW w:w="646" w:type="pct"/>
            <w:shd w:val="clear" w:color="auto" w:fill="auto"/>
            <w:noWrap/>
            <w:vAlign w:val="center"/>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3/2</w:t>
            </w:r>
          </w:p>
        </w:tc>
        <w:tc>
          <w:tcPr>
            <w:tcW w:w="611" w:type="pct"/>
            <w:shd w:val="clear" w:color="000000" w:fill="FFF2CC"/>
            <w:noWrap/>
            <w:vAlign w:val="center"/>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2" w:type="pct"/>
            <w:shd w:val="clear" w:color="auto" w:fill="auto"/>
            <w:noWrap/>
            <w:vAlign w:val="center"/>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9" w:type="pct"/>
            <w:shd w:val="clear" w:color="auto" w:fill="auto"/>
            <w:noWrap/>
            <w:vAlign w:val="center"/>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Dominique</w:t>
            </w:r>
          </w:p>
        </w:tc>
        <w:tc>
          <w:tcPr>
            <w:tcW w:w="717" w:type="pct"/>
            <w:shd w:val="clear" w:color="auto" w:fill="auto"/>
            <w:noWrap/>
            <w:vAlign w:val="center"/>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Wurges </w:t>
            </w:r>
          </w:p>
        </w:tc>
        <w:tc>
          <w:tcPr>
            <w:tcW w:w="807" w:type="pct"/>
            <w:shd w:val="clear" w:color="auto" w:fill="auto"/>
            <w:noWrap/>
            <w:vAlign w:val="center"/>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France</w:t>
            </w:r>
          </w:p>
        </w:tc>
        <w:tc>
          <w:tcPr>
            <w:tcW w:w="795" w:type="pct"/>
            <w:shd w:val="clear" w:color="auto" w:fill="auto"/>
            <w:noWrap/>
            <w:vAlign w:val="center"/>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83" w:type="pct"/>
            <w:shd w:val="clear" w:color="auto" w:fill="auto"/>
            <w:vAlign w:val="center"/>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00"/>
        </w:trPr>
        <w:tc>
          <w:tcPr>
            <w:tcW w:w="646"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p>
        </w:tc>
        <w:tc>
          <w:tcPr>
            <w:tcW w:w="611"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9"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Amine Adoum </w:t>
            </w:r>
          </w:p>
        </w:tc>
        <w:tc>
          <w:tcPr>
            <w:tcW w:w="717"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Bakhit </w:t>
            </w:r>
          </w:p>
        </w:tc>
        <w:tc>
          <w:tcPr>
            <w:tcW w:w="807"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Chad</w:t>
            </w:r>
          </w:p>
        </w:tc>
        <w:tc>
          <w:tcPr>
            <w:tcW w:w="795"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83" w:type="pct"/>
            <w:shd w:val="clear" w:color="DDEBF7" w:fill="DDEBF7"/>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285"/>
        </w:trPr>
        <w:tc>
          <w:tcPr>
            <w:tcW w:w="646"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p>
        </w:tc>
        <w:tc>
          <w:tcPr>
            <w:tcW w:w="611"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9"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Mahamadou </w:t>
            </w:r>
          </w:p>
        </w:tc>
        <w:tc>
          <w:tcPr>
            <w:tcW w:w="717"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Zarou</w:t>
            </w:r>
          </w:p>
        </w:tc>
        <w:tc>
          <w:tcPr>
            <w:tcW w:w="807"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795"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83" w:type="pct"/>
            <w:shd w:val="clear" w:color="auto" w:fill="auto"/>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00"/>
        </w:trPr>
        <w:tc>
          <w:tcPr>
            <w:tcW w:w="646"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p>
        </w:tc>
        <w:tc>
          <w:tcPr>
            <w:tcW w:w="611"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9"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Damnam Kanlanfei</w:t>
            </w:r>
          </w:p>
        </w:tc>
        <w:tc>
          <w:tcPr>
            <w:tcW w:w="717"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Bagolibe</w:t>
            </w:r>
          </w:p>
        </w:tc>
        <w:tc>
          <w:tcPr>
            <w:tcW w:w="807"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Togo</w:t>
            </w:r>
          </w:p>
        </w:tc>
        <w:tc>
          <w:tcPr>
            <w:tcW w:w="795"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83" w:type="pct"/>
            <w:shd w:val="clear" w:color="DDEBF7" w:fill="DDEBF7"/>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59456F" w:rsidTr="004266B4">
        <w:trPr>
          <w:trHeight w:val="300"/>
        </w:trPr>
        <w:tc>
          <w:tcPr>
            <w:tcW w:w="646" w:type="pct"/>
            <w:shd w:val="clear" w:color="auto" w:fill="auto"/>
            <w:noWrap/>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p>
        </w:tc>
        <w:tc>
          <w:tcPr>
            <w:tcW w:w="611" w:type="pct"/>
            <w:shd w:val="clear" w:color="auto" w:fill="auto"/>
            <w:noWrap/>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auto" w:fill="auto"/>
            <w:noWrap/>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9" w:type="pct"/>
            <w:shd w:val="clear" w:color="auto" w:fill="auto"/>
            <w:noWrap/>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Cissé </w:t>
            </w:r>
          </w:p>
        </w:tc>
        <w:tc>
          <w:tcPr>
            <w:tcW w:w="717" w:type="pct"/>
            <w:shd w:val="clear" w:color="auto" w:fill="auto"/>
            <w:noWrap/>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Kane </w:t>
            </w:r>
          </w:p>
        </w:tc>
        <w:tc>
          <w:tcPr>
            <w:tcW w:w="807" w:type="pct"/>
            <w:shd w:val="clear" w:color="auto" w:fill="auto"/>
            <w:noWrap/>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p>
        </w:tc>
        <w:tc>
          <w:tcPr>
            <w:tcW w:w="795" w:type="pct"/>
            <w:shd w:val="clear" w:color="auto" w:fill="auto"/>
            <w:noWrap/>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83" w:type="pct"/>
            <w:shd w:val="clear" w:color="auto" w:fill="auto"/>
          </w:tcPr>
          <w:p w:rsidR="0059456F" w:rsidRPr="0059456F" w:rsidRDefault="0059456F" w:rsidP="008662C3">
            <w:pPr>
              <w:overflowPunct/>
              <w:autoSpaceDE/>
              <w:autoSpaceDN/>
              <w:adjustRightInd/>
              <w:spacing w:before="0"/>
              <w:textAlignment w:val="auto"/>
              <w:rPr>
                <w:rFonts w:ascii="Calibri" w:hAnsi="Calibri"/>
                <w:color w:val="000000"/>
                <w:sz w:val="22"/>
                <w:szCs w:val="22"/>
                <w:lang w:val="en-US" w:eastAsia="zh-CN"/>
              </w:rPr>
            </w:pPr>
            <w:r w:rsidRPr="0059456F">
              <w:rPr>
                <w:rFonts w:ascii="Calibri" w:hAnsi="Calibri"/>
                <w:color w:val="000000"/>
                <w:sz w:val="22"/>
                <w:szCs w:val="22"/>
                <w:lang w:val="en-US" w:eastAsia="zh-CN"/>
              </w:rPr>
              <w:t>African Civil Society on the Information Society</w:t>
            </w:r>
          </w:p>
        </w:tc>
      </w:tr>
      <w:tr w:rsidR="0059456F" w:rsidRPr="00436437" w:rsidTr="004266B4">
        <w:trPr>
          <w:trHeight w:val="330"/>
        </w:trPr>
        <w:tc>
          <w:tcPr>
            <w:tcW w:w="646" w:type="pct"/>
            <w:shd w:val="clear" w:color="DDEBF7" w:fill="DDEBF7"/>
            <w:noWrap/>
            <w:vAlign w:val="bottom"/>
          </w:tcPr>
          <w:p w:rsidR="0059456F" w:rsidRPr="0059456F" w:rsidRDefault="0059456F" w:rsidP="008662C3">
            <w:pPr>
              <w:overflowPunct/>
              <w:autoSpaceDE/>
              <w:autoSpaceDN/>
              <w:adjustRightInd/>
              <w:spacing w:before="0"/>
              <w:textAlignment w:val="auto"/>
              <w:rPr>
                <w:rFonts w:ascii="Calibri" w:hAnsi="Calibri"/>
                <w:b/>
                <w:bCs/>
                <w:color w:val="000000"/>
                <w:sz w:val="22"/>
                <w:szCs w:val="22"/>
                <w:lang w:val="en-US" w:eastAsia="zh-CN"/>
              </w:rPr>
            </w:pPr>
          </w:p>
        </w:tc>
        <w:tc>
          <w:tcPr>
            <w:tcW w:w="611"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59"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Jean David </w:t>
            </w:r>
          </w:p>
        </w:tc>
        <w:tc>
          <w:tcPr>
            <w:tcW w:w="717"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Rodney</w:t>
            </w:r>
          </w:p>
        </w:tc>
        <w:tc>
          <w:tcPr>
            <w:tcW w:w="807"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795"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83" w:type="pct"/>
            <w:shd w:val="clear" w:color="DDEBF7" w:fill="DDEBF7"/>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00"/>
        </w:trPr>
        <w:tc>
          <w:tcPr>
            <w:tcW w:w="646"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p>
        </w:tc>
        <w:tc>
          <w:tcPr>
            <w:tcW w:w="611"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Ms </w:t>
            </w:r>
          </w:p>
        </w:tc>
        <w:tc>
          <w:tcPr>
            <w:tcW w:w="659"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Jabin </w:t>
            </w:r>
          </w:p>
        </w:tc>
        <w:tc>
          <w:tcPr>
            <w:tcW w:w="717"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Vahora</w:t>
            </w:r>
          </w:p>
        </w:tc>
        <w:tc>
          <w:tcPr>
            <w:tcW w:w="807"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795"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83" w:type="pct"/>
            <w:shd w:val="clear" w:color="auto" w:fill="auto"/>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00"/>
        </w:trPr>
        <w:tc>
          <w:tcPr>
            <w:tcW w:w="646"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p>
        </w:tc>
        <w:tc>
          <w:tcPr>
            <w:tcW w:w="611"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9"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Karim </w:t>
            </w:r>
          </w:p>
        </w:tc>
        <w:tc>
          <w:tcPr>
            <w:tcW w:w="717"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Hasnaou</w:t>
            </w:r>
          </w:p>
        </w:tc>
        <w:tc>
          <w:tcPr>
            <w:tcW w:w="807"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Algeria</w:t>
            </w:r>
          </w:p>
        </w:tc>
        <w:tc>
          <w:tcPr>
            <w:tcW w:w="795"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83" w:type="pct"/>
            <w:shd w:val="clear" w:color="DDEBF7" w:fill="DDEBF7"/>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00"/>
        </w:trPr>
        <w:tc>
          <w:tcPr>
            <w:tcW w:w="646"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p>
        </w:tc>
        <w:tc>
          <w:tcPr>
            <w:tcW w:w="611"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59"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Sonam </w:t>
            </w:r>
          </w:p>
        </w:tc>
        <w:tc>
          <w:tcPr>
            <w:tcW w:w="717"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Choki</w:t>
            </w:r>
          </w:p>
        </w:tc>
        <w:tc>
          <w:tcPr>
            <w:tcW w:w="807"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Bhutan</w:t>
            </w:r>
          </w:p>
        </w:tc>
        <w:tc>
          <w:tcPr>
            <w:tcW w:w="795"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83" w:type="pct"/>
            <w:shd w:val="clear" w:color="auto" w:fill="auto"/>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00"/>
        </w:trPr>
        <w:tc>
          <w:tcPr>
            <w:tcW w:w="646"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p>
        </w:tc>
        <w:tc>
          <w:tcPr>
            <w:tcW w:w="611"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59"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Miho </w:t>
            </w:r>
          </w:p>
        </w:tc>
        <w:tc>
          <w:tcPr>
            <w:tcW w:w="717"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Naganuma</w:t>
            </w:r>
          </w:p>
        </w:tc>
        <w:tc>
          <w:tcPr>
            <w:tcW w:w="807"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795"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83" w:type="pct"/>
            <w:shd w:val="clear" w:color="DDEBF7" w:fill="DDEBF7"/>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00"/>
        </w:trPr>
        <w:tc>
          <w:tcPr>
            <w:tcW w:w="646"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p>
        </w:tc>
        <w:tc>
          <w:tcPr>
            <w:tcW w:w="611"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59"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Xinxin</w:t>
            </w:r>
          </w:p>
        </w:tc>
        <w:tc>
          <w:tcPr>
            <w:tcW w:w="717"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Wan </w:t>
            </w:r>
          </w:p>
        </w:tc>
        <w:tc>
          <w:tcPr>
            <w:tcW w:w="807"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China</w:t>
            </w:r>
          </w:p>
        </w:tc>
        <w:tc>
          <w:tcPr>
            <w:tcW w:w="795"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83" w:type="pct"/>
            <w:shd w:val="clear" w:color="auto" w:fill="auto"/>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00"/>
        </w:trPr>
        <w:tc>
          <w:tcPr>
            <w:tcW w:w="646"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p>
        </w:tc>
        <w:tc>
          <w:tcPr>
            <w:tcW w:w="611"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9"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Jaesuk </w:t>
            </w:r>
          </w:p>
        </w:tc>
        <w:tc>
          <w:tcPr>
            <w:tcW w:w="717"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Yun</w:t>
            </w:r>
          </w:p>
        </w:tc>
        <w:tc>
          <w:tcPr>
            <w:tcW w:w="807"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Korea (Rep. of)</w:t>
            </w:r>
          </w:p>
        </w:tc>
        <w:tc>
          <w:tcPr>
            <w:tcW w:w="795"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83" w:type="pct"/>
            <w:shd w:val="clear" w:color="DDEBF7" w:fill="DDEBF7"/>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00"/>
        </w:trPr>
        <w:tc>
          <w:tcPr>
            <w:tcW w:w="646"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p>
        </w:tc>
        <w:tc>
          <w:tcPr>
            <w:tcW w:w="611"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9"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Yakov </w:t>
            </w:r>
          </w:p>
        </w:tc>
        <w:tc>
          <w:tcPr>
            <w:tcW w:w="717"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Gass </w:t>
            </w:r>
          </w:p>
        </w:tc>
        <w:tc>
          <w:tcPr>
            <w:tcW w:w="807"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Russian Federation</w:t>
            </w:r>
          </w:p>
        </w:tc>
        <w:tc>
          <w:tcPr>
            <w:tcW w:w="795"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CIS countries</w:t>
            </w:r>
          </w:p>
        </w:tc>
        <w:tc>
          <w:tcPr>
            <w:tcW w:w="583" w:type="pct"/>
            <w:shd w:val="clear" w:color="auto" w:fill="auto"/>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30"/>
        </w:trPr>
        <w:tc>
          <w:tcPr>
            <w:tcW w:w="646" w:type="pct"/>
            <w:shd w:val="clear" w:color="DDEBF7" w:fill="DDEBF7"/>
            <w:noWrap/>
            <w:vAlign w:val="center"/>
            <w:hideMark/>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Question 4</w:t>
            </w:r>
            <w:r w:rsidRPr="00436437">
              <w:rPr>
                <w:rFonts w:ascii="Calibri" w:hAnsi="Calibri"/>
                <w:b/>
                <w:bCs/>
                <w:color w:val="000000"/>
                <w:sz w:val="22"/>
                <w:szCs w:val="22"/>
                <w:lang w:eastAsia="zh-CN"/>
              </w:rPr>
              <w:t>/2</w:t>
            </w:r>
          </w:p>
        </w:tc>
        <w:tc>
          <w:tcPr>
            <w:tcW w:w="611" w:type="pct"/>
            <w:shd w:val="clear" w:color="000000" w:fill="FFF2CC"/>
            <w:noWrap/>
            <w:vAlign w:val="center"/>
            <w:hideMark/>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Rapporteur</w:t>
            </w:r>
          </w:p>
        </w:tc>
        <w:tc>
          <w:tcPr>
            <w:tcW w:w="182" w:type="pct"/>
            <w:shd w:val="clear" w:color="DDEBF7" w:fill="DDEBF7"/>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9" w:type="pct"/>
            <w:shd w:val="clear" w:color="DDEBF7" w:fill="DDEBF7"/>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Cheikh Tidjani </w:t>
            </w:r>
          </w:p>
        </w:tc>
        <w:tc>
          <w:tcPr>
            <w:tcW w:w="717" w:type="pct"/>
            <w:shd w:val="clear" w:color="DDEBF7" w:fill="DDEBF7"/>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Oudaa </w:t>
            </w:r>
          </w:p>
        </w:tc>
        <w:tc>
          <w:tcPr>
            <w:tcW w:w="807" w:type="pct"/>
            <w:shd w:val="clear" w:color="DDEBF7" w:fill="DDEBF7"/>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Mauritania</w:t>
            </w:r>
          </w:p>
        </w:tc>
        <w:tc>
          <w:tcPr>
            <w:tcW w:w="795" w:type="pct"/>
            <w:shd w:val="clear" w:color="DDEBF7" w:fill="DDEBF7"/>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83" w:type="pct"/>
            <w:shd w:val="clear" w:color="DDEBF7" w:fill="DDEBF7"/>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00"/>
        </w:trPr>
        <w:tc>
          <w:tcPr>
            <w:tcW w:w="646" w:type="pct"/>
            <w:shd w:val="clear" w:color="auto" w:fill="auto"/>
            <w:noWrap/>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p>
        </w:tc>
        <w:tc>
          <w:tcPr>
            <w:tcW w:w="611" w:type="pct"/>
            <w:shd w:val="clear" w:color="auto" w:fill="FFFFFF" w:themeFill="background1"/>
            <w:noWrap/>
            <w:vAlign w:val="bottom"/>
          </w:tcPr>
          <w:p w:rsidR="0059456F" w:rsidRPr="00627106" w:rsidRDefault="0059456F" w:rsidP="008662C3">
            <w:pPr>
              <w:overflowPunct/>
              <w:autoSpaceDE/>
              <w:autoSpaceDN/>
              <w:adjustRightInd/>
              <w:spacing w:before="0"/>
              <w:textAlignment w:val="auto"/>
              <w:rPr>
                <w:rFonts w:ascii="Calibri" w:hAnsi="Calibri"/>
                <w:b/>
                <w:color w:val="000000"/>
                <w:sz w:val="22"/>
              </w:rPr>
            </w:pPr>
            <w:r w:rsidRPr="00436437">
              <w:rPr>
                <w:rFonts w:ascii="Calibri" w:hAnsi="Calibri"/>
                <w:color w:val="000000"/>
                <w:sz w:val="22"/>
                <w:szCs w:val="22"/>
                <w:lang w:eastAsia="zh-CN"/>
              </w:rPr>
              <w:t>Vice-Rapporteur</w:t>
            </w:r>
          </w:p>
        </w:tc>
        <w:tc>
          <w:tcPr>
            <w:tcW w:w="182"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9"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Ahmadou Dit</w:t>
            </w:r>
          </w:p>
        </w:tc>
        <w:tc>
          <w:tcPr>
            <w:tcW w:w="717"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Adi Cisse</w:t>
            </w:r>
          </w:p>
        </w:tc>
        <w:tc>
          <w:tcPr>
            <w:tcW w:w="807"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795"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83" w:type="pct"/>
            <w:shd w:val="clear" w:color="auto" w:fill="auto"/>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00"/>
        </w:trPr>
        <w:tc>
          <w:tcPr>
            <w:tcW w:w="646"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p>
        </w:tc>
        <w:tc>
          <w:tcPr>
            <w:tcW w:w="611"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9"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Joseph </w:t>
            </w:r>
          </w:p>
        </w:tc>
        <w:tc>
          <w:tcPr>
            <w:tcW w:w="717"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Onaya </w:t>
            </w:r>
          </w:p>
        </w:tc>
        <w:tc>
          <w:tcPr>
            <w:tcW w:w="807"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Kenya</w:t>
            </w:r>
          </w:p>
        </w:tc>
        <w:tc>
          <w:tcPr>
            <w:tcW w:w="795"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83" w:type="pct"/>
            <w:shd w:val="clear" w:color="DDEBF7" w:fill="DDEBF7"/>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00"/>
        </w:trPr>
        <w:tc>
          <w:tcPr>
            <w:tcW w:w="646"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p>
        </w:tc>
        <w:tc>
          <w:tcPr>
            <w:tcW w:w="611"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9"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Serigne Abdou </w:t>
            </w:r>
          </w:p>
        </w:tc>
        <w:tc>
          <w:tcPr>
            <w:tcW w:w="717"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Lahatt Sylla</w:t>
            </w:r>
          </w:p>
        </w:tc>
        <w:tc>
          <w:tcPr>
            <w:tcW w:w="807"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795"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83" w:type="pct"/>
            <w:shd w:val="clear" w:color="auto" w:fill="auto"/>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00"/>
        </w:trPr>
        <w:tc>
          <w:tcPr>
            <w:tcW w:w="646"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p>
        </w:tc>
        <w:tc>
          <w:tcPr>
            <w:tcW w:w="611" w:type="pct"/>
            <w:shd w:val="clear" w:color="DDEBF7" w:fill="DDEBF7"/>
            <w:noWrap/>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DDEBF7" w:fill="DDEBF7"/>
            <w:noWrap/>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9" w:type="pct"/>
            <w:shd w:val="clear" w:color="DDEBF7" w:fill="DDEBF7"/>
            <w:noWrap/>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D0723D">
              <w:rPr>
                <w:rFonts w:ascii="Calibri" w:hAnsi="Calibri"/>
                <w:color w:val="000000"/>
                <w:sz w:val="22"/>
                <w:szCs w:val="22"/>
                <w:lang w:eastAsia="zh-CN"/>
              </w:rPr>
              <w:t>Brillant Harivony</w:t>
            </w:r>
          </w:p>
        </w:tc>
        <w:tc>
          <w:tcPr>
            <w:tcW w:w="717" w:type="pct"/>
            <w:shd w:val="clear" w:color="DDEBF7" w:fill="DDEBF7"/>
            <w:noWrap/>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DF2D60">
              <w:rPr>
                <w:rFonts w:ascii="Calibri" w:hAnsi="Calibri"/>
                <w:color w:val="000000"/>
                <w:sz w:val="22"/>
                <w:szCs w:val="22"/>
                <w:lang w:eastAsia="zh-CN"/>
              </w:rPr>
              <w:t>Rakotoratsimanjefy</w:t>
            </w:r>
          </w:p>
        </w:tc>
        <w:tc>
          <w:tcPr>
            <w:tcW w:w="807" w:type="pct"/>
            <w:shd w:val="clear" w:color="DDEBF7" w:fill="DDEBF7"/>
            <w:noWrap/>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Madagascar</w:t>
            </w:r>
          </w:p>
        </w:tc>
        <w:tc>
          <w:tcPr>
            <w:tcW w:w="795" w:type="pct"/>
            <w:shd w:val="clear" w:color="DDEBF7" w:fill="DDEBF7"/>
            <w:noWrap/>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Africa</w:t>
            </w:r>
          </w:p>
        </w:tc>
        <w:tc>
          <w:tcPr>
            <w:tcW w:w="583" w:type="pct"/>
            <w:shd w:val="clear" w:color="DDEBF7" w:fill="DDEBF7"/>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30"/>
        </w:trPr>
        <w:tc>
          <w:tcPr>
            <w:tcW w:w="646"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p>
        </w:tc>
        <w:tc>
          <w:tcPr>
            <w:tcW w:w="611"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59"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Amel </w:t>
            </w:r>
          </w:p>
        </w:tc>
        <w:tc>
          <w:tcPr>
            <w:tcW w:w="717"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Khiar</w:t>
            </w:r>
          </w:p>
        </w:tc>
        <w:tc>
          <w:tcPr>
            <w:tcW w:w="807"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Algeria</w:t>
            </w:r>
          </w:p>
        </w:tc>
        <w:tc>
          <w:tcPr>
            <w:tcW w:w="795" w:type="pct"/>
            <w:shd w:val="clear" w:color="auto" w:fill="auto"/>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83" w:type="pct"/>
            <w:shd w:val="clear" w:color="auto" w:fill="auto"/>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30"/>
        </w:trPr>
        <w:tc>
          <w:tcPr>
            <w:tcW w:w="646" w:type="pct"/>
            <w:shd w:val="clear" w:color="DDEBF7" w:fill="DDEBF7"/>
            <w:noWrap/>
            <w:vAlign w:val="center"/>
            <w:hideMark/>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5/2</w:t>
            </w:r>
          </w:p>
        </w:tc>
        <w:tc>
          <w:tcPr>
            <w:tcW w:w="611" w:type="pct"/>
            <w:shd w:val="clear" w:color="000000" w:fill="FFF2CC"/>
            <w:noWrap/>
            <w:vAlign w:val="center"/>
            <w:hideMark/>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2" w:type="pct"/>
            <w:shd w:val="clear" w:color="DDEBF7" w:fill="DDEBF7"/>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9" w:type="pct"/>
            <w:shd w:val="clear" w:color="DDEBF7" w:fill="DDEBF7"/>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Joseph </w:t>
            </w:r>
          </w:p>
        </w:tc>
        <w:tc>
          <w:tcPr>
            <w:tcW w:w="717" w:type="pct"/>
            <w:shd w:val="clear" w:color="DDEBF7" w:fill="DDEBF7"/>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Burton </w:t>
            </w:r>
          </w:p>
        </w:tc>
        <w:tc>
          <w:tcPr>
            <w:tcW w:w="807" w:type="pct"/>
            <w:shd w:val="clear" w:color="DDEBF7" w:fill="DDEBF7"/>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795" w:type="pct"/>
            <w:shd w:val="clear" w:color="DDEBF7" w:fill="DDEBF7"/>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83" w:type="pct"/>
            <w:shd w:val="clear" w:color="DDEBF7" w:fill="DDEBF7"/>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45"/>
        </w:trPr>
        <w:tc>
          <w:tcPr>
            <w:tcW w:w="646" w:type="pct"/>
            <w:shd w:val="clear" w:color="auto" w:fill="auto"/>
            <w:noWrap/>
            <w:vAlign w:val="center"/>
            <w:hideMark/>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5/2</w:t>
            </w:r>
          </w:p>
        </w:tc>
        <w:tc>
          <w:tcPr>
            <w:tcW w:w="611" w:type="pct"/>
            <w:shd w:val="clear" w:color="000000" w:fill="FFF2CC"/>
            <w:noWrap/>
            <w:vAlign w:val="center"/>
            <w:hideMark/>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2" w:type="pct"/>
            <w:shd w:val="clear" w:color="auto" w:fill="auto"/>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9" w:type="pct"/>
            <w:shd w:val="clear" w:color="auto" w:fill="auto"/>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Sanjeev </w:t>
            </w:r>
          </w:p>
        </w:tc>
        <w:tc>
          <w:tcPr>
            <w:tcW w:w="717" w:type="pct"/>
            <w:shd w:val="clear" w:color="auto" w:fill="auto"/>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Banzal</w:t>
            </w:r>
          </w:p>
        </w:tc>
        <w:tc>
          <w:tcPr>
            <w:tcW w:w="807" w:type="pct"/>
            <w:shd w:val="clear" w:color="auto" w:fill="auto"/>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India</w:t>
            </w:r>
          </w:p>
        </w:tc>
        <w:tc>
          <w:tcPr>
            <w:tcW w:w="795" w:type="pct"/>
            <w:shd w:val="clear" w:color="auto" w:fill="auto"/>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83" w:type="pct"/>
            <w:shd w:val="clear" w:color="auto" w:fill="auto"/>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00"/>
        </w:trPr>
        <w:tc>
          <w:tcPr>
            <w:tcW w:w="646"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p>
        </w:tc>
        <w:tc>
          <w:tcPr>
            <w:tcW w:w="611"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9"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Abdulkarim Ayopo </w:t>
            </w:r>
          </w:p>
        </w:tc>
        <w:tc>
          <w:tcPr>
            <w:tcW w:w="717"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Oloyede</w:t>
            </w:r>
          </w:p>
        </w:tc>
        <w:tc>
          <w:tcPr>
            <w:tcW w:w="807"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Nigeria</w:t>
            </w:r>
          </w:p>
        </w:tc>
        <w:tc>
          <w:tcPr>
            <w:tcW w:w="795" w:type="pct"/>
            <w:shd w:val="clear" w:color="DDEBF7" w:fill="DDEBF7"/>
            <w:noWrap/>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83" w:type="pct"/>
            <w:shd w:val="clear" w:color="DDEBF7" w:fill="DDEBF7"/>
            <w:vAlign w:val="bottom"/>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00"/>
        </w:trPr>
        <w:tc>
          <w:tcPr>
            <w:tcW w:w="646"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p>
        </w:tc>
        <w:tc>
          <w:tcPr>
            <w:tcW w:w="611"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9"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Parag</w:t>
            </w:r>
          </w:p>
        </w:tc>
        <w:tc>
          <w:tcPr>
            <w:tcW w:w="717"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Agrawal</w:t>
            </w:r>
          </w:p>
        </w:tc>
        <w:tc>
          <w:tcPr>
            <w:tcW w:w="807"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795"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83" w:type="pct"/>
            <w:shd w:val="clear" w:color="auto" w:fill="auto"/>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00"/>
        </w:trPr>
        <w:tc>
          <w:tcPr>
            <w:tcW w:w="646"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p>
        </w:tc>
        <w:tc>
          <w:tcPr>
            <w:tcW w:w="611"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9"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Hideo</w:t>
            </w:r>
          </w:p>
        </w:tc>
        <w:tc>
          <w:tcPr>
            <w:tcW w:w="717"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Imanaka</w:t>
            </w:r>
          </w:p>
        </w:tc>
        <w:tc>
          <w:tcPr>
            <w:tcW w:w="807"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795"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83" w:type="pct"/>
            <w:shd w:val="clear" w:color="DDEBF7" w:fill="DDEBF7"/>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00"/>
        </w:trPr>
        <w:tc>
          <w:tcPr>
            <w:tcW w:w="646" w:type="pct"/>
            <w:shd w:val="clear" w:color="auto" w:fill="auto"/>
            <w:noWrap/>
            <w:vAlign w:val="bottom"/>
          </w:tcPr>
          <w:p w:rsidR="0059456F" w:rsidRPr="00627106" w:rsidRDefault="0059456F" w:rsidP="008662C3">
            <w:pPr>
              <w:overflowPunct/>
              <w:autoSpaceDE/>
              <w:autoSpaceDN/>
              <w:adjustRightInd/>
              <w:spacing w:before="0"/>
              <w:textAlignment w:val="auto"/>
              <w:rPr>
                <w:rFonts w:ascii="Calibri" w:hAnsi="Calibri"/>
                <w:b/>
                <w:color w:val="000000"/>
                <w:sz w:val="22"/>
              </w:rPr>
            </w:pPr>
          </w:p>
        </w:tc>
        <w:tc>
          <w:tcPr>
            <w:tcW w:w="611"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9"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Joses</w:t>
            </w:r>
          </w:p>
        </w:tc>
        <w:tc>
          <w:tcPr>
            <w:tcW w:w="717"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Jean Baptiste</w:t>
            </w:r>
          </w:p>
        </w:tc>
        <w:tc>
          <w:tcPr>
            <w:tcW w:w="807"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795"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83" w:type="pct"/>
            <w:shd w:val="clear" w:color="auto" w:fill="auto"/>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59456F" w:rsidTr="004266B4">
        <w:trPr>
          <w:trHeight w:val="330"/>
        </w:trPr>
        <w:tc>
          <w:tcPr>
            <w:tcW w:w="646" w:type="pct"/>
            <w:shd w:val="clear" w:color="DDEBF7" w:fill="DDEBF7"/>
            <w:noWrap/>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6/2</w:t>
            </w:r>
          </w:p>
        </w:tc>
        <w:tc>
          <w:tcPr>
            <w:tcW w:w="611" w:type="pct"/>
            <w:shd w:val="clear" w:color="000000" w:fill="FFF2CC"/>
            <w:noWrap/>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Co-</w:t>
            </w:r>
            <w:r w:rsidRPr="00436437">
              <w:rPr>
                <w:rFonts w:ascii="Calibri" w:hAnsi="Calibri"/>
                <w:b/>
                <w:bCs/>
                <w:color w:val="000000"/>
                <w:sz w:val="22"/>
                <w:szCs w:val="22"/>
                <w:lang w:eastAsia="zh-CN"/>
              </w:rPr>
              <w:t>Rapporteur</w:t>
            </w:r>
          </w:p>
        </w:tc>
        <w:tc>
          <w:tcPr>
            <w:tcW w:w="182" w:type="pct"/>
            <w:shd w:val="clear" w:color="DDEBF7" w:fill="DDEBF7"/>
            <w:noWrap/>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9" w:type="pct"/>
            <w:shd w:val="clear" w:color="DDEBF7" w:fill="DDEBF7"/>
            <w:noWrap/>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Cissé</w:t>
            </w:r>
          </w:p>
        </w:tc>
        <w:tc>
          <w:tcPr>
            <w:tcW w:w="717" w:type="pct"/>
            <w:shd w:val="clear" w:color="DDEBF7" w:fill="DDEBF7"/>
            <w:noWrap/>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Kane</w:t>
            </w:r>
          </w:p>
        </w:tc>
        <w:tc>
          <w:tcPr>
            <w:tcW w:w="807" w:type="pct"/>
            <w:shd w:val="clear" w:color="DDEBF7" w:fill="DDEBF7"/>
            <w:noWrap/>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p>
        </w:tc>
        <w:tc>
          <w:tcPr>
            <w:tcW w:w="795" w:type="pct"/>
            <w:shd w:val="clear" w:color="DDEBF7" w:fill="DDEBF7"/>
            <w:noWrap/>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83" w:type="pct"/>
            <w:shd w:val="clear" w:color="DDEBF7" w:fill="DDEBF7"/>
            <w:vAlign w:val="center"/>
          </w:tcPr>
          <w:p w:rsidR="0059456F" w:rsidRPr="0059456F" w:rsidRDefault="0059456F" w:rsidP="008662C3">
            <w:pPr>
              <w:overflowPunct/>
              <w:autoSpaceDE/>
              <w:autoSpaceDN/>
              <w:adjustRightInd/>
              <w:spacing w:before="0"/>
              <w:textAlignment w:val="auto"/>
              <w:rPr>
                <w:rFonts w:ascii="Calibri" w:hAnsi="Calibri"/>
                <w:color w:val="000000"/>
                <w:sz w:val="22"/>
                <w:szCs w:val="22"/>
                <w:lang w:val="en-US" w:eastAsia="zh-CN"/>
              </w:rPr>
            </w:pPr>
            <w:r w:rsidRPr="0059456F">
              <w:rPr>
                <w:rFonts w:ascii="Calibri" w:hAnsi="Calibri"/>
                <w:color w:val="000000"/>
                <w:sz w:val="22"/>
                <w:szCs w:val="22"/>
                <w:lang w:val="en-US" w:eastAsia="zh-CN"/>
              </w:rPr>
              <w:t>African Civil Society on the Information Society</w:t>
            </w:r>
          </w:p>
        </w:tc>
      </w:tr>
      <w:tr w:rsidR="0059456F" w:rsidRPr="00436437" w:rsidTr="004266B4">
        <w:trPr>
          <w:trHeight w:val="315"/>
        </w:trPr>
        <w:tc>
          <w:tcPr>
            <w:tcW w:w="646" w:type="pct"/>
            <w:shd w:val="clear" w:color="auto" w:fill="auto"/>
            <w:noWrap/>
            <w:vAlign w:val="center"/>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Question 6</w:t>
            </w:r>
            <w:r w:rsidRPr="00436437">
              <w:rPr>
                <w:rFonts w:ascii="Calibri" w:hAnsi="Calibri"/>
                <w:b/>
                <w:bCs/>
                <w:color w:val="000000"/>
                <w:sz w:val="22"/>
                <w:szCs w:val="22"/>
                <w:lang w:eastAsia="zh-CN"/>
              </w:rPr>
              <w:t>/2</w:t>
            </w:r>
          </w:p>
        </w:tc>
        <w:tc>
          <w:tcPr>
            <w:tcW w:w="611" w:type="pct"/>
            <w:shd w:val="clear" w:color="000000" w:fill="FFF2CC"/>
            <w:noWrap/>
            <w:vAlign w:val="center"/>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Co-</w:t>
            </w:r>
            <w:r w:rsidRPr="00436437">
              <w:rPr>
                <w:rFonts w:ascii="Calibri" w:hAnsi="Calibri"/>
                <w:b/>
                <w:bCs/>
                <w:color w:val="000000"/>
                <w:sz w:val="22"/>
                <w:szCs w:val="22"/>
                <w:lang w:eastAsia="zh-CN"/>
              </w:rPr>
              <w:t>Rapporteur</w:t>
            </w:r>
          </w:p>
        </w:tc>
        <w:tc>
          <w:tcPr>
            <w:tcW w:w="182" w:type="pct"/>
            <w:shd w:val="clear" w:color="auto" w:fill="auto"/>
            <w:noWrap/>
            <w:vAlign w:val="center"/>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59" w:type="pct"/>
            <w:shd w:val="clear" w:color="auto" w:fill="auto"/>
            <w:noWrap/>
            <w:vAlign w:val="center"/>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7E713F">
              <w:rPr>
                <w:rFonts w:ascii="Calibri" w:hAnsi="Calibri"/>
                <w:color w:val="000000"/>
                <w:sz w:val="22"/>
                <w:szCs w:val="22"/>
                <w:lang w:eastAsia="zh-CN"/>
              </w:rPr>
              <w:t>Aprajita</w:t>
            </w:r>
          </w:p>
        </w:tc>
        <w:tc>
          <w:tcPr>
            <w:tcW w:w="717" w:type="pct"/>
            <w:shd w:val="clear" w:color="auto" w:fill="auto"/>
            <w:noWrap/>
            <w:vAlign w:val="center"/>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7E713F">
              <w:rPr>
                <w:rFonts w:ascii="Calibri" w:hAnsi="Calibri"/>
                <w:color w:val="000000"/>
                <w:sz w:val="22"/>
                <w:szCs w:val="22"/>
                <w:lang w:eastAsia="zh-CN"/>
              </w:rPr>
              <w:t>Sharrma</w:t>
            </w:r>
          </w:p>
        </w:tc>
        <w:tc>
          <w:tcPr>
            <w:tcW w:w="807" w:type="pct"/>
            <w:shd w:val="clear" w:color="auto" w:fill="auto"/>
            <w:noWrap/>
            <w:vAlign w:val="center"/>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795" w:type="pct"/>
            <w:shd w:val="clear" w:color="auto" w:fill="auto"/>
            <w:noWrap/>
            <w:vAlign w:val="center"/>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83" w:type="pct"/>
            <w:shd w:val="clear" w:color="auto" w:fill="auto"/>
            <w:vAlign w:val="center"/>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252"/>
        </w:trPr>
        <w:tc>
          <w:tcPr>
            <w:tcW w:w="646" w:type="pct"/>
            <w:shd w:val="clear" w:color="DDEBF7" w:fill="DDEBF7"/>
            <w:noWrap/>
            <w:vAlign w:val="bottom"/>
          </w:tcPr>
          <w:p w:rsidR="0059456F" w:rsidRPr="00436437" w:rsidRDefault="0059456F" w:rsidP="008662C3">
            <w:pPr>
              <w:overflowPunct/>
              <w:autoSpaceDE/>
              <w:autoSpaceDN/>
              <w:adjustRightInd/>
              <w:spacing w:before="20"/>
              <w:textAlignment w:val="auto"/>
              <w:rPr>
                <w:rFonts w:ascii="Calibri" w:hAnsi="Calibri"/>
                <w:color w:val="000000"/>
                <w:sz w:val="22"/>
                <w:szCs w:val="22"/>
                <w:lang w:eastAsia="zh-CN"/>
              </w:rPr>
            </w:pPr>
          </w:p>
        </w:tc>
        <w:tc>
          <w:tcPr>
            <w:tcW w:w="611" w:type="pct"/>
            <w:shd w:val="clear" w:color="DDEBF7" w:fill="DDEBF7"/>
            <w:noWrap/>
            <w:vAlign w:val="bottom"/>
          </w:tcPr>
          <w:p w:rsidR="0059456F" w:rsidRPr="00436437" w:rsidRDefault="0059456F" w:rsidP="008662C3">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DDEBF7" w:fill="DDEBF7"/>
            <w:noWrap/>
            <w:vAlign w:val="bottom"/>
          </w:tcPr>
          <w:p w:rsidR="0059456F" w:rsidRPr="00436437" w:rsidRDefault="0059456F" w:rsidP="008662C3">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9" w:type="pct"/>
            <w:shd w:val="clear" w:color="DDEBF7" w:fill="DDEBF7"/>
            <w:noWrap/>
            <w:vAlign w:val="bottom"/>
          </w:tcPr>
          <w:p w:rsidR="0059456F" w:rsidRPr="00436437" w:rsidRDefault="0059456F" w:rsidP="008662C3">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Richard </w:t>
            </w:r>
          </w:p>
        </w:tc>
        <w:tc>
          <w:tcPr>
            <w:tcW w:w="717" w:type="pct"/>
            <w:shd w:val="clear" w:color="DDEBF7" w:fill="DDEBF7"/>
            <w:noWrap/>
            <w:vAlign w:val="bottom"/>
          </w:tcPr>
          <w:p w:rsidR="0059456F" w:rsidRPr="00436437" w:rsidRDefault="0059456F" w:rsidP="008662C3">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Anago  </w:t>
            </w:r>
          </w:p>
        </w:tc>
        <w:tc>
          <w:tcPr>
            <w:tcW w:w="807" w:type="pct"/>
            <w:shd w:val="clear" w:color="DDEBF7" w:fill="DDEBF7"/>
            <w:noWrap/>
            <w:vAlign w:val="bottom"/>
          </w:tcPr>
          <w:p w:rsidR="0059456F" w:rsidRPr="00436437" w:rsidRDefault="0059456F" w:rsidP="008662C3">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Burkina Faso</w:t>
            </w:r>
          </w:p>
        </w:tc>
        <w:tc>
          <w:tcPr>
            <w:tcW w:w="795" w:type="pct"/>
            <w:shd w:val="clear" w:color="DDEBF7" w:fill="DDEBF7"/>
            <w:noWrap/>
            <w:vAlign w:val="bottom"/>
          </w:tcPr>
          <w:p w:rsidR="0059456F" w:rsidRPr="00436437" w:rsidRDefault="0059456F" w:rsidP="008662C3">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83" w:type="pct"/>
            <w:shd w:val="clear" w:color="DDEBF7" w:fill="DDEBF7"/>
            <w:vAlign w:val="bottom"/>
          </w:tcPr>
          <w:p w:rsidR="0059456F" w:rsidRPr="00436437" w:rsidRDefault="0059456F" w:rsidP="008662C3">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1E43DC" w:rsidTr="004266B4">
        <w:trPr>
          <w:trHeight w:val="315"/>
        </w:trPr>
        <w:tc>
          <w:tcPr>
            <w:tcW w:w="646"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p>
        </w:tc>
        <w:tc>
          <w:tcPr>
            <w:tcW w:w="611"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59"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A32267">
              <w:rPr>
                <w:rFonts w:ascii="Calibri" w:hAnsi="Calibri"/>
                <w:color w:val="000000"/>
                <w:sz w:val="22"/>
                <w:szCs w:val="22"/>
                <w:lang w:eastAsia="zh-CN"/>
              </w:rPr>
              <w:t>Amandine Kalima</w:t>
            </w:r>
          </w:p>
        </w:tc>
        <w:tc>
          <w:tcPr>
            <w:tcW w:w="717"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A32267">
              <w:rPr>
                <w:rFonts w:ascii="Calibri" w:hAnsi="Calibri"/>
                <w:color w:val="000000"/>
                <w:sz w:val="22"/>
                <w:szCs w:val="22"/>
                <w:lang w:eastAsia="zh-CN"/>
              </w:rPr>
              <w:t>Katanti</w:t>
            </w:r>
          </w:p>
        </w:tc>
        <w:tc>
          <w:tcPr>
            <w:tcW w:w="807" w:type="pct"/>
            <w:shd w:val="clear" w:color="auto" w:fill="auto"/>
            <w:noWrap/>
            <w:tcMar>
              <w:right w:w="28" w:type="dxa"/>
            </w:tcMar>
            <w:vAlign w:val="bottom"/>
          </w:tcPr>
          <w:p w:rsidR="0059456F" w:rsidRPr="0059456F" w:rsidRDefault="0059456F" w:rsidP="008662C3">
            <w:pPr>
              <w:overflowPunct/>
              <w:autoSpaceDE/>
              <w:autoSpaceDN/>
              <w:adjustRightInd/>
              <w:spacing w:before="0"/>
              <w:textAlignment w:val="auto"/>
              <w:rPr>
                <w:rFonts w:ascii="Calibri" w:hAnsi="Calibri"/>
                <w:color w:val="000000"/>
                <w:sz w:val="22"/>
                <w:szCs w:val="22"/>
                <w:lang w:val="en-US" w:eastAsia="zh-CN"/>
              </w:rPr>
            </w:pPr>
            <w:r w:rsidRPr="0059456F">
              <w:rPr>
                <w:rFonts w:ascii="Calibri" w:hAnsi="Calibri"/>
                <w:color w:val="000000"/>
                <w:sz w:val="22"/>
                <w:szCs w:val="22"/>
                <w:lang w:val="en-US" w:eastAsia="zh-CN"/>
              </w:rPr>
              <w:t>Dem. Rep. of the Congo</w:t>
            </w:r>
          </w:p>
        </w:tc>
        <w:tc>
          <w:tcPr>
            <w:tcW w:w="795" w:type="pct"/>
            <w:shd w:val="clear" w:color="auto" w:fill="auto"/>
            <w:noWrap/>
            <w:vAlign w:val="bottom"/>
          </w:tcPr>
          <w:p w:rsidR="0059456F" w:rsidRPr="002A684E" w:rsidRDefault="0059456F" w:rsidP="008662C3">
            <w:pPr>
              <w:overflowPunct/>
              <w:autoSpaceDE/>
              <w:autoSpaceDN/>
              <w:adjustRightInd/>
              <w:spacing w:before="0"/>
              <w:textAlignment w:val="auto"/>
              <w:rPr>
                <w:rFonts w:ascii="Calibri" w:hAnsi="Calibri"/>
                <w:color w:val="000000"/>
                <w:sz w:val="22"/>
                <w:szCs w:val="22"/>
                <w:lang w:eastAsia="zh-CN"/>
              </w:rPr>
            </w:pPr>
            <w:r w:rsidRPr="002A684E">
              <w:rPr>
                <w:rFonts w:ascii="Calibri" w:hAnsi="Calibri"/>
                <w:color w:val="000000"/>
                <w:sz w:val="22"/>
                <w:szCs w:val="22"/>
                <w:lang w:eastAsia="zh-CN"/>
              </w:rPr>
              <w:t>Africa</w:t>
            </w:r>
          </w:p>
        </w:tc>
        <w:tc>
          <w:tcPr>
            <w:tcW w:w="583" w:type="pct"/>
            <w:shd w:val="clear" w:color="auto" w:fill="auto"/>
            <w:vAlign w:val="bottom"/>
          </w:tcPr>
          <w:p w:rsidR="0059456F" w:rsidRPr="002A684E" w:rsidRDefault="0059456F" w:rsidP="008662C3">
            <w:pPr>
              <w:overflowPunct/>
              <w:autoSpaceDE/>
              <w:autoSpaceDN/>
              <w:adjustRightInd/>
              <w:spacing w:before="0"/>
              <w:textAlignment w:val="auto"/>
              <w:rPr>
                <w:rFonts w:ascii="Calibri" w:hAnsi="Calibri"/>
                <w:color w:val="000000"/>
                <w:sz w:val="22"/>
                <w:szCs w:val="22"/>
                <w:lang w:eastAsia="zh-CN"/>
              </w:rPr>
            </w:pPr>
            <w:r w:rsidRPr="002A684E">
              <w:rPr>
                <w:rFonts w:ascii="Calibri" w:hAnsi="Calibri"/>
                <w:color w:val="000000"/>
                <w:sz w:val="22"/>
                <w:szCs w:val="22"/>
                <w:lang w:eastAsia="zh-CN"/>
              </w:rPr>
              <w:t>Administration</w:t>
            </w:r>
          </w:p>
        </w:tc>
      </w:tr>
      <w:tr w:rsidR="0059456F" w:rsidRPr="001E43DC" w:rsidTr="004266B4">
        <w:trPr>
          <w:trHeight w:val="252"/>
        </w:trPr>
        <w:tc>
          <w:tcPr>
            <w:tcW w:w="646" w:type="pct"/>
            <w:shd w:val="clear" w:color="DDEBF7" w:fill="DDEBF7"/>
            <w:noWrap/>
            <w:vAlign w:val="bottom"/>
          </w:tcPr>
          <w:p w:rsidR="0059456F" w:rsidRPr="00B43D73" w:rsidRDefault="0059456F" w:rsidP="008662C3">
            <w:pPr>
              <w:overflowPunct/>
              <w:autoSpaceDE/>
              <w:autoSpaceDN/>
              <w:adjustRightInd/>
              <w:spacing w:before="20"/>
              <w:textAlignment w:val="auto"/>
              <w:rPr>
                <w:rFonts w:ascii="Calibri" w:hAnsi="Calibri"/>
                <w:color w:val="000000"/>
                <w:sz w:val="22"/>
                <w:szCs w:val="22"/>
                <w:lang w:eastAsia="zh-CN"/>
              </w:rPr>
            </w:pPr>
          </w:p>
        </w:tc>
        <w:tc>
          <w:tcPr>
            <w:tcW w:w="611" w:type="pct"/>
            <w:shd w:val="clear" w:color="DDEBF7" w:fill="DDEBF7"/>
            <w:noWrap/>
            <w:vAlign w:val="bottom"/>
          </w:tcPr>
          <w:p w:rsidR="0059456F" w:rsidRPr="00B43D73" w:rsidRDefault="0059456F" w:rsidP="008662C3">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DDEBF7" w:fill="DDEBF7"/>
            <w:noWrap/>
            <w:vAlign w:val="bottom"/>
          </w:tcPr>
          <w:p w:rsidR="0059456F" w:rsidRPr="00B43D73" w:rsidRDefault="0059456F" w:rsidP="008662C3">
            <w:pPr>
              <w:overflowPunct/>
              <w:autoSpaceDE/>
              <w:autoSpaceDN/>
              <w:adjustRightInd/>
              <w:spacing w:before="2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59" w:type="pct"/>
            <w:shd w:val="clear" w:color="DDEBF7" w:fill="DDEBF7"/>
            <w:noWrap/>
            <w:vAlign w:val="bottom"/>
          </w:tcPr>
          <w:p w:rsidR="0059456F" w:rsidRPr="00B43D73" w:rsidRDefault="0059456F" w:rsidP="008662C3">
            <w:pPr>
              <w:overflowPunct/>
              <w:autoSpaceDE/>
              <w:autoSpaceDN/>
              <w:adjustRightInd/>
              <w:spacing w:before="20"/>
              <w:textAlignment w:val="auto"/>
              <w:rPr>
                <w:rFonts w:ascii="Calibri" w:hAnsi="Calibri"/>
                <w:color w:val="000000"/>
                <w:sz w:val="22"/>
                <w:szCs w:val="22"/>
                <w:lang w:eastAsia="zh-CN"/>
              </w:rPr>
            </w:pPr>
            <w:r>
              <w:rPr>
                <w:rFonts w:ascii="Calibri" w:hAnsi="Calibri"/>
                <w:color w:val="000000"/>
                <w:sz w:val="22"/>
                <w:szCs w:val="22"/>
                <w:lang w:eastAsia="zh-CN"/>
              </w:rPr>
              <w:t>Simone</w:t>
            </w:r>
          </w:p>
        </w:tc>
        <w:tc>
          <w:tcPr>
            <w:tcW w:w="717" w:type="pct"/>
            <w:shd w:val="clear" w:color="DDEBF7" w:fill="DDEBF7"/>
            <w:noWrap/>
            <w:vAlign w:val="bottom"/>
          </w:tcPr>
          <w:p w:rsidR="0059456F" w:rsidRPr="00B43D73" w:rsidRDefault="0059456F" w:rsidP="008662C3">
            <w:pPr>
              <w:overflowPunct/>
              <w:autoSpaceDE/>
              <w:autoSpaceDN/>
              <w:adjustRightInd/>
              <w:spacing w:before="20"/>
              <w:textAlignment w:val="auto"/>
              <w:rPr>
                <w:rFonts w:ascii="Calibri" w:hAnsi="Calibri"/>
                <w:color w:val="000000"/>
                <w:sz w:val="22"/>
                <w:szCs w:val="22"/>
                <w:lang w:eastAsia="zh-CN"/>
              </w:rPr>
            </w:pPr>
            <w:r>
              <w:rPr>
                <w:rFonts w:ascii="Calibri" w:hAnsi="Calibri"/>
                <w:color w:val="000000"/>
                <w:sz w:val="22"/>
                <w:szCs w:val="22"/>
                <w:lang w:eastAsia="zh-CN"/>
              </w:rPr>
              <w:t>Ferreira Ribeiro</w:t>
            </w:r>
          </w:p>
        </w:tc>
        <w:tc>
          <w:tcPr>
            <w:tcW w:w="807" w:type="pct"/>
            <w:shd w:val="clear" w:color="DDEBF7" w:fill="DDEBF7"/>
            <w:noWrap/>
            <w:vAlign w:val="bottom"/>
          </w:tcPr>
          <w:p w:rsidR="0059456F" w:rsidRPr="00A76BD5" w:rsidRDefault="0059456F" w:rsidP="008662C3">
            <w:pPr>
              <w:overflowPunct/>
              <w:autoSpaceDE/>
              <w:autoSpaceDN/>
              <w:adjustRightInd/>
              <w:spacing w:before="20"/>
              <w:textAlignment w:val="auto"/>
              <w:rPr>
                <w:rFonts w:ascii="Calibri" w:hAnsi="Calibri"/>
                <w:color w:val="000000"/>
                <w:sz w:val="22"/>
                <w:szCs w:val="22"/>
                <w:lang w:eastAsia="zh-CN"/>
              </w:rPr>
            </w:pPr>
            <w:r>
              <w:rPr>
                <w:rFonts w:ascii="Calibri" w:hAnsi="Calibri"/>
                <w:color w:val="000000"/>
                <w:sz w:val="22"/>
                <w:szCs w:val="22"/>
                <w:lang w:eastAsia="zh-CN"/>
              </w:rPr>
              <w:t>Brazil</w:t>
            </w:r>
          </w:p>
        </w:tc>
        <w:tc>
          <w:tcPr>
            <w:tcW w:w="795" w:type="pct"/>
            <w:shd w:val="clear" w:color="DDEBF7" w:fill="DDEBF7"/>
            <w:noWrap/>
            <w:vAlign w:val="bottom"/>
          </w:tcPr>
          <w:p w:rsidR="0059456F" w:rsidRPr="00B43D73" w:rsidRDefault="0059456F" w:rsidP="008662C3">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83" w:type="pct"/>
            <w:shd w:val="clear" w:color="DDEBF7" w:fill="DDEBF7"/>
            <w:vAlign w:val="bottom"/>
          </w:tcPr>
          <w:p w:rsidR="0059456F" w:rsidRPr="00B43D73" w:rsidRDefault="0059456F" w:rsidP="008662C3">
            <w:pPr>
              <w:overflowPunct/>
              <w:autoSpaceDE/>
              <w:autoSpaceDN/>
              <w:adjustRightInd/>
              <w:spacing w:before="20"/>
              <w:textAlignment w:val="auto"/>
              <w:rPr>
                <w:rFonts w:ascii="Calibri" w:hAnsi="Calibri"/>
                <w:color w:val="000000"/>
                <w:sz w:val="22"/>
                <w:szCs w:val="22"/>
                <w:lang w:eastAsia="zh-CN"/>
              </w:rPr>
            </w:pPr>
            <w:r w:rsidRPr="002A684E">
              <w:rPr>
                <w:rFonts w:ascii="Calibri" w:hAnsi="Calibri"/>
                <w:color w:val="000000"/>
                <w:sz w:val="22"/>
                <w:szCs w:val="22"/>
                <w:lang w:eastAsia="zh-CN"/>
              </w:rPr>
              <w:t>Administration</w:t>
            </w:r>
          </w:p>
        </w:tc>
      </w:tr>
      <w:tr w:rsidR="0059456F" w:rsidRPr="00436437" w:rsidTr="004266B4">
        <w:trPr>
          <w:trHeight w:val="315"/>
        </w:trPr>
        <w:tc>
          <w:tcPr>
            <w:tcW w:w="646" w:type="pct"/>
            <w:shd w:val="clear" w:color="auto" w:fill="auto"/>
            <w:noWrap/>
            <w:vAlign w:val="bottom"/>
          </w:tcPr>
          <w:p w:rsidR="0059456F" w:rsidRPr="00627106" w:rsidRDefault="0059456F" w:rsidP="008662C3">
            <w:pPr>
              <w:overflowPunct/>
              <w:autoSpaceDE/>
              <w:autoSpaceDN/>
              <w:adjustRightInd/>
              <w:spacing w:before="0"/>
              <w:textAlignment w:val="auto"/>
              <w:rPr>
                <w:rFonts w:ascii="Calibri" w:hAnsi="Calibri"/>
                <w:color w:val="000000"/>
                <w:sz w:val="22"/>
              </w:rPr>
            </w:pPr>
          </w:p>
        </w:tc>
        <w:tc>
          <w:tcPr>
            <w:tcW w:w="611" w:type="pct"/>
            <w:shd w:val="clear" w:color="auto" w:fill="auto"/>
            <w:noWrap/>
            <w:vAlign w:val="bottom"/>
          </w:tcPr>
          <w:p w:rsidR="0059456F" w:rsidRPr="00627106" w:rsidRDefault="0059456F" w:rsidP="008662C3">
            <w:pPr>
              <w:overflowPunct/>
              <w:autoSpaceDE/>
              <w:autoSpaceDN/>
              <w:adjustRightInd/>
              <w:spacing w:before="0"/>
              <w:textAlignment w:val="auto"/>
              <w:rPr>
                <w:rFonts w:ascii="Calibri" w:hAnsi="Calibri"/>
                <w:color w:val="000000"/>
                <w:sz w:val="22"/>
              </w:rPr>
            </w:pPr>
            <w:r w:rsidRPr="00627106">
              <w:rPr>
                <w:rFonts w:ascii="Calibri" w:hAnsi="Calibri"/>
                <w:color w:val="000000"/>
                <w:sz w:val="22"/>
              </w:rPr>
              <w:t>Vice-Rapporteur</w:t>
            </w:r>
          </w:p>
        </w:tc>
        <w:tc>
          <w:tcPr>
            <w:tcW w:w="182" w:type="pct"/>
            <w:shd w:val="clear" w:color="auto" w:fill="auto"/>
            <w:noWrap/>
            <w:vAlign w:val="bottom"/>
          </w:tcPr>
          <w:p w:rsidR="0059456F" w:rsidRPr="00627106" w:rsidRDefault="0059456F" w:rsidP="008662C3">
            <w:pPr>
              <w:overflowPunct/>
              <w:autoSpaceDE/>
              <w:autoSpaceDN/>
              <w:adjustRightInd/>
              <w:spacing w:before="0"/>
              <w:textAlignment w:val="auto"/>
              <w:rPr>
                <w:rFonts w:ascii="Calibri" w:hAnsi="Calibri"/>
                <w:color w:val="000000"/>
                <w:sz w:val="22"/>
              </w:rPr>
            </w:pPr>
            <w:r w:rsidRPr="00627106">
              <w:rPr>
                <w:rFonts w:ascii="Calibri" w:hAnsi="Calibri"/>
                <w:color w:val="000000"/>
                <w:sz w:val="22"/>
              </w:rPr>
              <w:t>Mr</w:t>
            </w:r>
          </w:p>
        </w:tc>
        <w:tc>
          <w:tcPr>
            <w:tcW w:w="659" w:type="pct"/>
            <w:shd w:val="clear" w:color="auto" w:fill="auto"/>
            <w:noWrap/>
            <w:vAlign w:val="bottom"/>
          </w:tcPr>
          <w:p w:rsidR="0059456F" w:rsidRPr="00627106" w:rsidRDefault="0059456F" w:rsidP="008662C3">
            <w:pPr>
              <w:overflowPunct/>
              <w:autoSpaceDE/>
              <w:autoSpaceDN/>
              <w:adjustRightInd/>
              <w:spacing w:before="0"/>
              <w:textAlignment w:val="auto"/>
              <w:rPr>
                <w:rFonts w:ascii="Calibri" w:hAnsi="Calibri"/>
                <w:color w:val="000000"/>
                <w:sz w:val="22"/>
              </w:rPr>
            </w:pPr>
            <w:r w:rsidRPr="00627106">
              <w:rPr>
                <w:rFonts w:ascii="Calibri" w:hAnsi="Calibri"/>
                <w:color w:val="000000"/>
                <w:sz w:val="22"/>
              </w:rPr>
              <w:t>Joses</w:t>
            </w:r>
          </w:p>
        </w:tc>
        <w:tc>
          <w:tcPr>
            <w:tcW w:w="717"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627106">
              <w:rPr>
                <w:rFonts w:ascii="Calibri" w:hAnsi="Calibri"/>
                <w:color w:val="000000"/>
                <w:sz w:val="22"/>
              </w:rPr>
              <w:t>Jean Baptiste</w:t>
            </w:r>
          </w:p>
        </w:tc>
        <w:tc>
          <w:tcPr>
            <w:tcW w:w="807"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627106">
              <w:rPr>
                <w:rFonts w:ascii="Calibri" w:hAnsi="Calibri"/>
                <w:color w:val="000000"/>
                <w:sz w:val="22"/>
              </w:rPr>
              <w:t>Haiti</w:t>
            </w:r>
          </w:p>
        </w:tc>
        <w:tc>
          <w:tcPr>
            <w:tcW w:w="795"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627106">
              <w:rPr>
                <w:rFonts w:ascii="Calibri" w:hAnsi="Calibri"/>
                <w:color w:val="000000"/>
                <w:sz w:val="22"/>
              </w:rPr>
              <w:t>Americas</w:t>
            </w:r>
          </w:p>
        </w:tc>
        <w:tc>
          <w:tcPr>
            <w:tcW w:w="583" w:type="pct"/>
            <w:shd w:val="clear" w:color="auto" w:fill="auto"/>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627106">
              <w:rPr>
                <w:rFonts w:ascii="Calibri" w:hAnsi="Calibri"/>
                <w:color w:val="000000"/>
                <w:sz w:val="22"/>
              </w:rPr>
              <w:t>Administration</w:t>
            </w:r>
          </w:p>
        </w:tc>
      </w:tr>
      <w:tr w:rsidR="0059456F" w:rsidRPr="00436437" w:rsidTr="004266B4">
        <w:trPr>
          <w:trHeight w:val="300"/>
        </w:trPr>
        <w:tc>
          <w:tcPr>
            <w:tcW w:w="646"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p>
        </w:tc>
        <w:tc>
          <w:tcPr>
            <w:tcW w:w="611"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627106">
              <w:rPr>
                <w:rFonts w:ascii="Calibri" w:hAnsi="Calibri"/>
                <w:color w:val="000000"/>
                <w:sz w:val="22"/>
              </w:rPr>
              <w:t>Vice-Rapporteur</w:t>
            </w:r>
          </w:p>
        </w:tc>
        <w:tc>
          <w:tcPr>
            <w:tcW w:w="182"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627106">
              <w:rPr>
                <w:rFonts w:ascii="Calibri" w:hAnsi="Calibri"/>
                <w:color w:val="000000"/>
                <w:sz w:val="22"/>
              </w:rPr>
              <w:t>Mr</w:t>
            </w:r>
          </w:p>
        </w:tc>
        <w:tc>
          <w:tcPr>
            <w:tcW w:w="659"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627106">
              <w:rPr>
                <w:rFonts w:ascii="Calibri" w:hAnsi="Calibri"/>
                <w:color w:val="000000"/>
                <w:sz w:val="22"/>
              </w:rPr>
              <w:t xml:space="preserve">Yakov </w:t>
            </w:r>
          </w:p>
        </w:tc>
        <w:tc>
          <w:tcPr>
            <w:tcW w:w="717"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627106">
              <w:rPr>
                <w:rFonts w:ascii="Calibri" w:hAnsi="Calibri"/>
                <w:color w:val="000000"/>
                <w:sz w:val="22"/>
              </w:rPr>
              <w:t>Gas</w:t>
            </w:r>
            <w:r w:rsidRPr="00436437">
              <w:rPr>
                <w:rFonts w:ascii="Calibri" w:hAnsi="Calibri"/>
                <w:color w:val="000000"/>
                <w:sz w:val="22"/>
                <w:szCs w:val="22"/>
                <w:lang w:eastAsia="zh-CN"/>
              </w:rPr>
              <w:t xml:space="preserve">s </w:t>
            </w:r>
          </w:p>
        </w:tc>
        <w:tc>
          <w:tcPr>
            <w:tcW w:w="807"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Russian Federation</w:t>
            </w:r>
          </w:p>
        </w:tc>
        <w:tc>
          <w:tcPr>
            <w:tcW w:w="795"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CIS countries</w:t>
            </w:r>
          </w:p>
        </w:tc>
        <w:tc>
          <w:tcPr>
            <w:tcW w:w="583" w:type="pct"/>
            <w:shd w:val="clear" w:color="DDEBF7" w:fill="DDEBF7"/>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15"/>
        </w:trPr>
        <w:tc>
          <w:tcPr>
            <w:tcW w:w="646" w:type="pct"/>
            <w:shd w:val="clear" w:color="auto" w:fill="auto"/>
            <w:noWrap/>
            <w:vAlign w:val="bottom"/>
          </w:tcPr>
          <w:p w:rsidR="0059456F" w:rsidRPr="00627106" w:rsidRDefault="0059456F" w:rsidP="008662C3">
            <w:pPr>
              <w:overflowPunct/>
              <w:autoSpaceDE/>
              <w:autoSpaceDN/>
              <w:adjustRightInd/>
              <w:spacing w:before="0"/>
              <w:textAlignment w:val="auto"/>
              <w:rPr>
                <w:rFonts w:ascii="Calibri" w:hAnsi="Calibri"/>
                <w:b/>
                <w:color w:val="000000"/>
                <w:sz w:val="22"/>
              </w:rPr>
            </w:pPr>
          </w:p>
        </w:tc>
        <w:tc>
          <w:tcPr>
            <w:tcW w:w="611" w:type="pct"/>
            <w:shd w:val="clear" w:color="auto" w:fill="FFFFFF" w:themeFill="background1"/>
            <w:noWrap/>
            <w:vAlign w:val="bottom"/>
          </w:tcPr>
          <w:p w:rsidR="0059456F" w:rsidRPr="00627106" w:rsidRDefault="0059456F" w:rsidP="008662C3">
            <w:pPr>
              <w:overflowPunct/>
              <w:autoSpaceDE/>
              <w:autoSpaceDN/>
              <w:adjustRightInd/>
              <w:spacing w:before="0"/>
              <w:textAlignment w:val="auto"/>
              <w:rPr>
                <w:rFonts w:ascii="Calibri" w:hAnsi="Calibri"/>
                <w:b/>
                <w:color w:val="000000"/>
                <w:sz w:val="22"/>
              </w:rPr>
            </w:pPr>
            <w:r w:rsidRPr="00436437">
              <w:rPr>
                <w:rFonts w:ascii="Calibri" w:hAnsi="Calibri"/>
                <w:color w:val="000000"/>
                <w:sz w:val="22"/>
                <w:szCs w:val="22"/>
                <w:lang w:eastAsia="zh-CN"/>
              </w:rPr>
              <w:t>Vice-Rapporteur</w:t>
            </w:r>
          </w:p>
        </w:tc>
        <w:tc>
          <w:tcPr>
            <w:tcW w:w="182"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9"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Issa </w:t>
            </w:r>
          </w:p>
        </w:tc>
        <w:tc>
          <w:tcPr>
            <w:tcW w:w="717"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Camara</w:t>
            </w:r>
          </w:p>
        </w:tc>
        <w:tc>
          <w:tcPr>
            <w:tcW w:w="807"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795"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83" w:type="pct"/>
            <w:shd w:val="clear" w:color="auto" w:fill="auto"/>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285"/>
        </w:trPr>
        <w:tc>
          <w:tcPr>
            <w:tcW w:w="646" w:type="pct"/>
            <w:shd w:val="clear" w:color="DDEBF7" w:fill="DDEBF7"/>
            <w:noWrap/>
            <w:vAlign w:val="center"/>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7/2</w:t>
            </w:r>
          </w:p>
        </w:tc>
        <w:tc>
          <w:tcPr>
            <w:tcW w:w="611" w:type="pct"/>
            <w:shd w:val="clear" w:color="000000" w:fill="FFF2CC"/>
            <w:noWrap/>
            <w:vAlign w:val="center"/>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2" w:type="pct"/>
            <w:shd w:val="clear" w:color="DDEBF7" w:fill="DDEBF7"/>
            <w:noWrap/>
            <w:vAlign w:val="center"/>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r</w:t>
            </w:r>
          </w:p>
        </w:tc>
        <w:tc>
          <w:tcPr>
            <w:tcW w:w="659" w:type="pct"/>
            <w:shd w:val="clear" w:color="DDEBF7" w:fill="DDEBF7"/>
            <w:noWrap/>
            <w:vAlign w:val="center"/>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Tongning</w:t>
            </w:r>
          </w:p>
        </w:tc>
        <w:tc>
          <w:tcPr>
            <w:tcW w:w="717" w:type="pct"/>
            <w:shd w:val="clear" w:color="DDEBF7" w:fill="DDEBF7"/>
            <w:noWrap/>
            <w:vAlign w:val="center"/>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Wu</w:t>
            </w:r>
            <w:r w:rsidRPr="00436437">
              <w:rPr>
                <w:rFonts w:ascii="Calibri" w:hAnsi="Calibri"/>
                <w:color w:val="000000"/>
                <w:sz w:val="22"/>
                <w:szCs w:val="22"/>
                <w:lang w:eastAsia="zh-CN"/>
              </w:rPr>
              <w:t xml:space="preserve"> </w:t>
            </w:r>
          </w:p>
        </w:tc>
        <w:tc>
          <w:tcPr>
            <w:tcW w:w="807" w:type="pct"/>
            <w:shd w:val="clear" w:color="DDEBF7" w:fill="DDEBF7"/>
            <w:noWrap/>
            <w:vAlign w:val="center"/>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China</w:t>
            </w:r>
          </w:p>
        </w:tc>
        <w:tc>
          <w:tcPr>
            <w:tcW w:w="795" w:type="pct"/>
            <w:shd w:val="clear" w:color="DDEBF7" w:fill="DDEBF7"/>
            <w:noWrap/>
            <w:vAlign w:val="center"/>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83" w:type="pct"/>
            <w:shd w:val="clear" w:color="DDEBF7" w:fill="DDEBF7"/>
            <w:vAlign w:val="center"/>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15"/>
        </w:trPr>
        <w:tc>
          <w:tcPr>
            <w:tcW w:w="646" w:type="pct"/>
            <w:shd w:val="clear" w:color="auto" w:fill="auto"/>
            <w:noWrap/>
            <w:vAlign w:val="center"/>
            <w:hideMark/>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7/2</w:t>
            </w:r>
          </w:p>
        </w:tc>
        <w:tc>
          <w:tcPr>
            <w:tcW w:w="611" w:type="pct"/>
            <w:shd w:val="clear" w:color="000000" w:fill="FFF2CC"/>
            <w:noWrap/>
            <w:vAlign w:val="center"/>
            <w:hideMark/>
          </w:tcPr>
          <w:p w:rsidR="0059456F" w:rsidRPr="00436437" w:rsidRDefault="0059456F" w:rsidP="008662C3">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2" w:type="pct"/>
            <w:shd w:val="clear" w:color="auto" w:fill="auto"/>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9" w:type="pct"/>
            <w:shd w:val="clear" w:color="auto" w:fill="auto"/>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Haim </w:t>
            </w:r>
          </w:p>
        </w:tc>
        <w:tc>
          <w:tcPr>
            <w:tcW w:w="717" w:type="pct"/>
            <w:shd w:val="clear" w:color="auto" w:fill="auto"/>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Mazar</w:t>
            </w:r>
          </w:p>
        </w:tc>
        <w:tc>
          <w:tcPr>
            <w:tcW w:w="807" w:type="pct"/>
            <w:shd w:val="clear" w:color="auto" w:fill="auto"/>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France</w:t>
            </w:r>
          </w:p>
        </w:tc>
        <w:tc>
          <w:tcPr>
            <w:tcW w:w="795" w:type="pct"/>
            <w:shd w:val="clear" w:color="auto" w:fill="auto"/>
            <w:noWrap/>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83" w:type="pct"/>
            <w:shd w:val="clear" w:color="auto" w:fill="auto"/>
            <w:vAlign w:val="center"/>
            <w:hideMark/>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ATDI</w:t>
            </w:r>
          </w:p>
        </w:tc>
      </w:tr>
      <w:tr w:rsidR="0059456F" w:rsidRPr="00436437" w:rsidTr="004266B4">
        <w:trPr>
          <w:trHeight w:val="330"/>
        </w:trPr>
        <w:tc>
          <w:tcPr>
            <w:tcW w:w="646"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p>
        </w:tc>
        <w:tc>
          <w:tcPr>
            <w:tcW w:w="611"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9"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Enock </w:t>
            </w:r>
          </w:p>
        </w:tc>
        <w:tc>
          <w:tcPr>
            <w:tcW w:w="717"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Gothias</w:t>
            </w:r>
          </w:p>
        </w:tc>
        <w:tc>
          <w:tcPr>
            <w:tcW w:w="807"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Central African Rep.</w:t>
            </w:r>
          </w:p>
        </w:tc>
        <w:tc>
          <w:tcPr>
            <w:tcW w:w="795"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83" w:type="pct"/>
            <w:shd w:val="clear" w:color="DDEBF7" w:fill="DDEBF7"/>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234"/>
        </w:trPr>
        <w:tc>
          <w:tcPr>
            <w:tcW w:w="646"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p>
        </w:tc>
        <w:tc>
          <w:tcPr>
            <w:tcW w:w="611" w:type="pct"/>
            <w:shd w:val="clear" w:color="auto" w:fill="auto"/>
            <w:noWrap/>
            <w:vAlign w:val="bottom"/>
          </w:tcPr>
          <w:p w:rsidR="0059456F" w:rsidRPr="00436437" w:rsidRDefault="0059456F" w:rsidP="008662C3">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auto" w:fill="auto"/>
            <w:noWrap/>
            <w:vAlign w:val="bottom"/>
          </w:tcPr>
          <w:p w:rsidR="0059456F" w:rsidRPr="00436437" w:rsidRDefault="0059456F" w:rsidP="008662C3">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59" w:type="pct"/>
            <w:shd w:val="clear" w:color="auto" w:fill="auto"/>
            <w:noWrap/>
            <w:vAlign w:val="bottom"/>
          </w:tcPr>
          <w:p w:rsidR="0059456F" w:rsidRPr="00436437" w:rsidRDefault="0059456F" w:rsidP="008662C3">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Aminata Niang </w:t>
            </w:r>
          </w:p>
        </w:tc>
        <w:tc>
          <w:tcPr>
            <w:tcW w:w="717" w:type="pct"/>
            <w:shd w:val="clear" w:color="auto" w:fill="auto"/>
            <w:noWrap/>
            <w:vAlign w:val="bottom"/>
          </w:tcPr>
          <w:p w:rsidR="0059456F" w:rsidRPr="00436437" w:rsidRDefault="0059456F" w:rsidP="008662C3">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Diagne</w:t>
            </w:r>
          </w:p>
        </w:tc>
        <w:tc>
          <w:tcPr>
            <w:tcW w:w="807" w:type="pct"/>
            <w:shd w:val="clear" w:color="auto" w:fill="auto"/>
            <w:noWrap/>
            <w:vAlign w:val="bottom"/>
          </w:tcPr>
          <w:p w:rsidR="0059456F" w:rsidRPr="00436437" w:rsidRDefault="0059456F" w:rsidP="008662C3">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795" w:type="pct"/>
            <w:shd w:val="clear" w:color="auto" w:fill="auto"/>
            <w:noWrap/>
            <w:vAlign w:val="bottom"/>
          </w:tcPr>
          <w:p w:rsidR="0059456F" w:rsidRPr="00436437" w:rsidRDefault="0059456F" w:rsidP="008662C3">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83" w:type="pct"/>
            <w:shd w:val="clear" w:color="auto" w:fill="auto"/>
            <w:vAlign w:val="bottom"/>
          </w:tcPr>
          <w:p w:rsidR="0059456F" w:rsidRPr="00436437" w:rsidRDefault="0059456F" w:rsidP="008662C3">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330"/>
        </w:trPr>
        <w:tc>
          <w:tcPr>
            <w:tcW w:w="646"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p>
        </w:tc>
        <w:tc>
          <w:tcPr>
            <w:tcW w:w="611"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r</w:t>
            </w:r>
          </w:p>
        </w:tc>
        <w:tc>
          <w:tcPr>
            <w:tcW w:w="659"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R.M.</w:t>
            </w:r>
          </w:p>
        </w:tc>
        <w:tc>
          <w:tcPr>
            <w:tcW w:w="717"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Chaturvedi</w:t>
            </w:r>
          </w:p>
        </w:tc>
        <w:tc>
          <w:tcPr>
            <w:tcW w:w="807" w:type="pct"/>
            <w:shd w:val="clear" w:color="DDEBF7" w:fill="DDEBF7"/>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795" w:type="pct"/>
            <w:shd w:val="clear" w:color="DDEBF7" w:fill="DDEBF7"/>
            <w:noWrap/>
            <w:vAlign w:val="center"/>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83" w:type="pct"/>
            <w:shd w:val="clear" w:color="DDEBF7" w:fill="DDEBF7"/>
            <w:vAlign w:val="center"/>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456F" w:rsidRPr="00436437" w:rsidTr="004266B4">
        <w:trPr>
          <w:trHeight w:val="234"/>
        </w:trPr>
        <w:tc>
          <w:tcPr>
            <w:tcW w:w="646" w:type="pct"/>
            <w:shd w:val="clear" w:color="auto" w:fill="auto"/>
            <w:noWrap/>
            <w:vAlign w:val="bottom"/>
          </w:tcPr>
          <w:p w:rsidR="0059456F" w:rsidRPr="00436437" w:rsidRDefault="0059456F" w:rsidP="008662C3">
            <w:pPr>
              <w:overflowPunct/>
              <w:autoSpaceDE/>
              <w:autoSpaceDN/>
              <w:adjustRightInd/>
              <w:spacing w:before="0"/>
              <w:textAlignment w:val="auto"/>
              <w:rPr>
                <w:rFonts w:ascii="Calibri" w:hAnsi="Calibri"/>
                <w:color w:val="000000"/>
                <w:sz w:val="22"/>
                <w:szCs w:val="22"/>
                <w:lang w:eastAsia="zh-CN"/>
              </w:rPr>
            </w:pPr>
          </w:p>
        </w:tc>
        <w:tc>
          <w:tcPr>
            <w:tcW w:w="611" w:type="pct"/>
            <w:shd w:val="clear" w:color="auto" w:fill="auto"/>
            <w:noWrap/>
            <w:vAlign w:val="bottom"/>
          </w:tcPr>
          <w:p w:rsidR="0059456F" w:rsidRPr="00436437" w:rsidRDefault="0059456F" w:rsidP="008662C3">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2" w:type="pct"/>
            <w:shd w:val="clear" w:color="auto" w:fill="auto"/>
            <w:noWrap/>
            <w:vAlign w:val="bottom"/>
          </w:tcPr>
          <w:p w:rsidR="0059456F" w:rsidRPr="00436437" w:rsidRDefault="0059456F" w:rsidP="008662C3">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59" w:type="pct"/>
            <w:shd w:val="clear" w:color="auto" w:fill="auto"/>
            <w:noWrap/>
            <w:vAlign w:val="bottom"/>
          </w:tcPr>
          <w:p w:rsidR="0059456F" w:rsidRPr="00436437" w:rsidRDefault="0059456F" w:rsidP="008662C3">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Gregory</w:t>
            </w:r>
          </w:p>
        </w:tc>
        <w:tc>
          <w:tcPr>
            <w:tcW w:w="717" w:type="pct"/>
            <w:shd w:val="clear" w:color="auto" w:fill="auto"/>
            <w:noWrap/>
            <w:vAlign w:val="bottom"/>
          </w:tcPr>
          <w:p w:rsidR="0059456F" w:rsidRPr="00436437" w:rsidRDefault="0059456F" w:rsidP="008662C3">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Domond </w:t>
            </w:r>
          </w:p>
        </w:tc>
        <w:tc>
          <w:tcPr>
            <w:tcW w:w="807" w:type="pct"/>
            <w:shd w:val="clear" w:color="auto" w:fill="auto"/>
            <w:noWrap/>
            <w:vAlign w:val="bottom"/>
          </w:tcPr>
          <w:p w:rsidR="0059456F" w:rsidRPr="00436437" w:rsidRDefault="0059456F" w:rsidP="008662C3">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795" w:type="pct"/>
            <w:shd w:val="clear" w:color="auto" w:fill="auto"/>
            <w:noWrap/>
            <w:vAlign w:val="bottom"/>
          </w:tcPr>
          <w:p w:rsidR="0059456F" w:rsidRPr="00436437" w:rsidRDefault="0059456F" w:rsidP="008662C3">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83" w:type="pct"/>
            <w:shd w:val="clear" w:color="auto" w:fill="auto"/>
            <w:vAlign w:val="bottom"/>
          </w:tcPr>
          <w:p w:rsidR="0059456F" w:rsidRPr="00436437" w:rsidRDefault="0059456F" w:rsidP="008662C3">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bl>
    <w:p w:rsidR="0059456F" w:rsidRPr="0017675D" w:rsidRDefault="0059456F" w:rsidP="0059456F">
      <w:pPr>
        <w:spacing w:before="0"/>
        <w:ind w:right="-171"/>
        <w:rPr>
          <w:b/>
          <w:szCs w:val="24"/>
        </w:rPr>
      </w:pPr>
    </w:p>
    <w:p w:rsidR="00C71105" w:rsidRPr="001C7C35" w:rsidRDefault="00C71105" w:rsidP="00C71105">
      <w:pPr>
        <w:overflowPunct/>
        <w:autoSpaceDE/>
        <w:autoSpaceDN/>
        <w:adjustRightInd/>
        <w:spacing w:before="0"/>
        <w:textAlignment w:val="auto"/>
        <w:rPr>
          <w:b/>
          <w:sz w:val="28"/>
        </w:rPr>
      </w:pPr>
      <w:r w:rsidRPr="001C7C35">
        <w:br w:type="page"/>
      </w:r>
    </w:p>
    <w:p w:rsidR="00FE7A71" w:rsidRPr="001C7C35" w:rsidRDefault="00FE7A71" w:rsidP="000073BC">
      <w:pPr>
        <w:pStyle w:val="Annextitle"/>
        <w:spacing w:before="0"/>
      </w:pPr>
      <w:r w:rsidRPr="001C7C35">
        <w:lastRenderedPageBreak/>
        <w:t>Annexe 2</w:t>
      </w:r>
      <w:r w:rsidRPr="001C7C35">
        <w:br/>
      </w:r>
      <w:r w:rsidRPr="001C7C35">
        <w:br/>
        <w:t xml:space="preserve">Programme de travail de la Commission d'études 2 de l'UIT-D </w:t>
      </w:r>
    </w:p>
    <w:p w:rsidR="00FE7A71" w:rsidRPr="001C7C35" w:rsidRDefault="00FE7A71" w:rsidP="000073BC">
      <w:pPr>
        <w:pStyle w:val="Headingb"/>
        <w:spacing w:before="0"/>
        <w:jc w:val="center"/>
      </w:pPr>
      <w:r w:rsidRPr="001C7C35">
        <w:t>Programme de travail de la Commission d'études 2 de l'UIT-D (2018-2021)</w:t>
      </w:r>
    </w:p>
    <w:p w:rsidR="00FE7A71" w:rsidRPr="001C7C35" w:rsidRDefault="00FE7A71" w:rsidP="000073BC">
      <w:pPr>
        <w:spacing w:before="0" w:after="60"/>
        <w:jc w:val="right"/>
      </w:pPr>
      <w:r w:rsidRPr="001C7C35">
        <w:rPr>
          <w:noProof/>
          <w:lang w:eastAsia="zh-CN"/>
        </w:rPr>
        <mc:AlternateContent>
          <mc:Choice Requires="wps">
            <w:drawing>
              <wp:anchor distT="45720" distB="45720" distL="114300" distR="114300" simplePos="0" relativeHeight="251659264" behindDoc="0" locked="0" layoutInCell="1" allowOverlap="1" wp14:anchorId="236F0E91" wp14:editId="768E9336">
                <wp:simplePos x="0" y="0"/>
                <wp:positionH relativeFrom="column">
                  <wp:posOffset>8863013</wp:posOffset>
                </wp:positionH>
                <wp:positionV relativeFrom="paragraph">
                  <wp:posOffset>451149</wp:posOffset>
                </wp:positionV>
                <wp:extent cx="651510" cy="202613"/>
                <wp:effectExtent l="0" t="4128" r="11113" b="11112"/>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51510" cy="202613"/>
                        </a:xfrm>
                        <a:prstGeom prst="rect">
                          <a:avLst/>
                        </a:prstGeom>
                        <a:solidFill>
                          <a:srgbClr val="FFFFFF"/>
                        </a:solidFill>
                        <a:ln w="9525">
                          <a:solidFill>
                            <a:srgbClr val="000000"/>
                          </a:solidFill>
                          <a:miter lim="800000"/>
                          <a:headEnd/>
                          <a:tailEnd/>
                        </a:ln>
                      </wps:spPr>
                      <wps:txbx>
                        <w:txbxContent>
                          <w:p w:rsidR="008662C3" w:rsidRPr="00362F5F" w:rsidRDefault="008662C3" w:rsidP="00FE7A71">
                            <w:pPr>
                              <w:spacing w:before="60"/>
                              <w:jc w:val="center"/>
                              <w:rPr>
                                <w:sz w:val="16"/>
                                <w:szCs w:val="16"/>
                                <w:lang w:val="en-US"/>
                              </w:rPr>
                            </w:pPr>
                            <w:r w:rsidRPr="00362F5F">
                              <w:rPr>
                                <w:sz w:val="16"/>
                                <w:szCs w:val="16"/>
                              </w:rPr>
                              <w:t>CMDT-21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6F0E91" id="_x0000_t202" coordsize="21600,21600" o:spt="202" path="m,l,21600r21600,l21600,xe">
                <v:stroke joinstyle="miter"/>
                <v:path gradientshapeok="t" o:connecttype="rect"/>
              </v:shapetype>
              <v:shape id="Text Box 2" o:spid="_x0000_s1026" type="#_x0000_t202" style="position:absolute;left:0;text-align:left;margin-left:697.9pt;margin-top:35.5pt;width:51.3pt;height:15.95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">
                <v:textbox inset="0,0,0,0">
                  <w:txbxContent>
                    <w:p w:rsidR="008662C3" w:rsidRPr="00362F5F" w:rsidRDefault="008662C3" w:rsidP="00FE7A71">
                      <w:pPr>
                        <w:spacing w:before="60"/>
                        <w:jc w:val="center"/>
                        <w:rPr>
                          <w:sz w:val="16"/>
                          <w:szCs w:val="16"/>
                          <w:lang w:val="en-US"/>
                        </w:rPr>
                      </w:pPr>
                      <w:r w:rsidRPr="00362F5F">
                        <w:rPr>
                          <w:sz w:val="16"/>
                          <w:szCs w:val="16"/>
                        </w:rPr>
                        <w:t>CMDT-21</w:t>
                      </w:r>
                    </w:p>
                  </w:txbxContent>
                </v:textbox>
              </v:shape>
            </w:pict>
          </mc:Fallback>
        </mc:AlternateContent>
      </w:r>
      <w:r w:rsidRPr="001C7C35">
        <w:t>16 janvier 2018</w:t>
      </w:r>
    </w:p>
    <w:tbl>
      <w:tblPr>
        <w:tblStyle w:val="TableGrid"/>
        <w:tblW w:w="14884" w:type="dxa"/>
        <w:tblInd w:w="-567" w:type="dxa"/>
        <w:tblLook w:val="04A0" w:firstRow="1" w:lastRow="0" w:firstColumn="1" w:lastColumn="0" w:noHBand="0" w:noVBand="1"/>
      </w:tblPr>
      <w:tblGrid>
        <w:gridCol w:w="1031"/>
        <w:gridCol w:w="1516"/>
        <w:gridCol w:w="2126"/>
        <w:gridCol w:w="1985"/>
        <w:gridCol w:w="2083"/>
        <w:gridCol w:w="2174"/>
        <w:gridCol w:w="1554"/>
        <w:gridCol w:w="147"/>
        <w:gridCol w:w="1276"/>
        <w:gridCol w:w="992"/>
      </w:tblGrid>
      <w:tr w:rsidR="00FE7A71" w:rsidRPr="001C7C35" w:rsidTr="0059456F">
        <w:trPr>
          <w:tblHeader/>
        </w:trPr>
        <w:tc>
          <w:tcPr>
            <w:tcW w:w="1031" w:type="dxa"/>
            <w:tcBorders>
              <w:top w:val="nil"/>
              <w:left w:val="nil"/>
            </w:tcBorders>
          </w:tcPr>
          <w:p w:rsidR="00FE7A71" w:rsidRPr="001C7C35" w:rsidRDefault="00FE7A71" w:rsidP="000073BC">
            <w:pPr>
              <w:pStyle w:val="Tablehead"/>
              <w:rPr>
                <w:sz w:val="20"/>
                <w:szCs w:val="18"/>
              </w:rPr>
            </w:pPr>
          </w:p>
        </w:tc>
        <w:tc>
          <w:tcPr>
            <w:tcW w:w="3642" w:type="dxa"/>
            <w:gridSpan w:val="2"/>
            <w:shd w:val="clear" w:color="auto" w:fill="A6A6A6" w:themeFill="background1" w:themeFillShade="A6"/>
          </w:tcPr>
          <w:p w:rsidR="00FE7A71" w:rsidRPr="001C7C35" w:rsidRDefault="00FE7A71" w:rsidP="000073BC">
            <w:pPr>
              <w:pStyle w:val="Tablehead"/>
              <w:jc w:val="left"/>
              <w:rPr>
                <w:sz w:val="20"/>
                <w:szCs w:val="18"/>
              </w:rPr>
            </w:pPr>
            <w:r w:rsidRPr="001C7C35">
              <w:rPr>
                <w:color w:val="FFFFFF" w:themeColor="background1"/>
                <w:sz w:val="20"/>
                <w:szCs w:val="18"/>
              </w:rPr>
              <w:t>Rapport au GCDT</w:t>
            </w:r>
            <w:r w:rsidRPr="001C7C35">
              <w:rPr>
                <w:sz w:val="20"/>
                <w:szCs w:val="18"/>
              </w:rPr>
              <w:tab/>
              <w:t>2018</w:t>
            </w:r>
          </w:p>
        </w:tc>
        <w:tc>
          <w:tcPr>
            <w:tcW w:w="4068" w:type="dxa"/>
            <w:gridSpan w:val="2"/>
            <w:shd w:val="clear" w:color="auto" w:fill="A6A6A6" w:themeFill="background1" w:themeFillShade="A6"/>
          </w:tcPr>
          <w:p w:rsidR="00FE7A71" w:rsidRPr="001C7C35" w:rsidRDefault="00FE7A71" w:rsidP="000073BC">
            <w:pPr>
              <w:pStyle w:val="Tablehead"/>
              <w:jc w:val="left"/>
              <w:rPr>
                <w:sz w:val="20"/>
                <w:szCs w:val="18"/>
              </w:rPr>
            </w:pPr>
            <w:r w:rsidRPr="001C7C35">
              <w:rPr>
                <w:color w:val="FFFFFF" w:themeColor="background1"/>
                <w:sz w:val="20"/>
                <w:szCs w:val="18"/>
              </w:rPr>
              <w:t>Rapport au GCDT</w:t>
            </w:r>
            <w:r w:rsidRPr="001C7C35">
              <w:rPr>
                <w:sz w:val="20"/>
                <w:szCs w:val="18"/>
              </w:rPr>
              <w:tab/>
              <w:t>2019</w:t>
            </w:r>
          </w:p>
        </w:tc>
        <w:tc>
          <w:tcPr>
            <w:tcW w:w="3875" w:type="dxa"/>
            <w:gridSpan w:val="3"/>
            <w:shd w:val="clear" w:color="auto" w:fill="A6A6A6" w:themeFill="background1" w:themeFillShade="A6"/>
          </w:tcPr>
          <w:p w:rsidR="00FE7A71" w:rsidRPr="001C7C35" w:rsidRDefault="00FE7A71" w:rsidP="000073BC">
            <w:pPr>
              <w:pStyle w:val="Tablehead"/>
              <w:tabs>
                <w:tab w:val="clear" w:pos="1985"/>
                <w:tab w:val="left" w:pos="1924"/>
              </w:tabs>
              <w:jc w:val="left"/>
              <w:rPr>
                <w:sz w:val="20"/>
                <w:szCs w:val="18"/>
              </w:rPr>
            </w:pPr>
            <w:r w:rsidRPr="001C7C35">
              <w:rPr>
                <w:color w:val="FFFFFF" w:themeColor="background1"/>
                <w:sz w:val="20"/>
                <w:szCs w:val="18"/>
              </w:rPr>
              <w:t>Rapport au GCDT</w:t>
            </w:r>
            <w:r w:rsidRPr="001C7C35">
              <w:rPr>
                <w:sz w:val="20"/>
                <w:szCs w:val="18"/>
              </w:rPr>
              <w:tab/>
            </w:r>
            <w:r w:rsidRPr="001C7C35">
              <w:rPr>
                <w:sz w:val="20"/>
                <w:szCs w:val="18"/>
              </w:rPr>
              <w:tab/>
              <w:t>2020</w:t>
            </w:r>
          </w:p>
        </w:tc>
        <w:tc>
          <w:tcPr>
            <w:tcW w:w="1276" w:type="dxa"/>
            <w:tcBorders>
              <w:right w:val="nil"/>
            </w:tcBorders>
            <w:shd w:val="clear" w:color="auto" w:fill="A6A6A6" w:themeFill="background1" w:themeFillShade="A6"/>
          </w:tcPr>
          <w:p w:rsidR="00FE7A71" w:rsidRPr="001C7C35" w:rsidRDefault="00FE7A71" w:rsidP="000073BC">
            <w:pPr>
              <w:pStyle w:val="Tablehead"/>
              <w:tabs>
                <w:tab w:val="clear" w:pos="284"/>
                <w:tab w:val="clear" w:pos="567"/>
                <w:tab w:val="clear" w:pos="851"/>
                <w:tab w:val="clear" w:pos="1134"/>
                <w:tab w:val="clear" w:pos="1418"/>
                <w:tab w:val="clear" w:pos="1701"/>
                <w:tab w:val="clear" w:pos="1985"/>
                <w:tab w:val="clear" w:pos="2268"/>
                <w:tab w:val="left" w:pos="1740"/>
              </w:tabs>
              <w:ind w:left="39"/>
              <w:jc w:val="left"/>
              <w:rPr>
                <w:sz w:val="20"/>
                <w:szCs w:val="18"/>
              </w:rPr>
            </w:pPr>
            <w:r w:rsidRPr="001C7C35">
              <w:rPr>
                <w:color w:val="FFFFFF" w:themeColor="background1"/>
                <w:sz w:val="20"/>
                <w:szCs w:val="18"/>
              </w:rPr>
              <w:t>Rapport au GCDT/à la CMDT</w:t>
            </w:r>
          </w:p>
        </w:tc>
        <w:tc>
          <w:tcPr>
            <w:tcW w:w="992" w:type="dxa"/>
            <w:tcBorders>
              <w:left w:val="nil"/>
            </w:tcBorders>
            <w:shd w:val="clear" w:color="auto" w:fill="A6A6A6" w:themeFill="background1" w:themeFillShade="A6"/>
          </w:tcPr>
          <w:p w:rsidR="00FE7A71" w:rsidRPr="001C7C35" w:rsidRDefault="00FE7A71" w:rsidP="000073BC">
            <w:pPr>
              <w:pStyle w:val="Tablehead"/>
              <w:tabs>
                <w:tab w:val="clear" w:pos="284"/>
                <w:tab w:val="clear" w:pos="567"/>
                <w:tab w:val="clear" w:pos="851"/>
                <w:tab w:val="clear" w:pos="1134"/>
                <w:tab w:val="clear" w:pos="1418"/>
                <w:tab w:val="clear" w:pos="1701"/>
                <w:tab w:val="clear" w:pos="1985"/>
                <w:tab w:val="clear" w:pos="2268"/>
                <w:tab w:val="left" w:pos="143"/>
              </w:tabs>
              <w:ind w:left="39" w:right="34"/>
              <w:jc w:val="left"/>
              <w:rPr>
                <w:sz w:val="20"/>
                <w:szCs w:val="18"/>
              </w:rPr>
            </w:pPr>
            <w:r w:rsidRPr="001C7C35">
              <w:rPr>
                <w:sz w:val="20"/>
                <w:szCs w:val="18"/>
              </w:rPr>
              <w:tab/>
              <w:t>2021</w:t>
            </w:r>
          </w:p>
        </w:tc>
      </w:tr>
      <w:tr w:rsidR="00FE7A71" w:rsidRPr="001C7C35" w:rsidTr="0059456F">
        <w:trPr>
          <w:tblHeader/>
        </w:trPr>
        <w:tc>
          <w:tcPr>
            <w:tcW w:w="1031" w:type="dxa"/>
            <w:shd w:val="clear" w:color="auto" w:fill="595959" w:themeFill="text1" w:themeFillTint="A6"/>
            <w:vAlign w:val="center"/>
          </w:tcPr>
          <w:p w:rsidR="00FE7A71" w:rsidRPr="001C7C35" w:rsidRDefault="00FE7A71" w:rsidP="000073BC">
            <w:pPr>
              <w:pStyle w:val="Tabletext"/>
              <w:spacing w:before="20" w:after="20"/>
              <w:jc w:val="center"/>
              <w:rPr>
                <w:color w:val="FFFFFF" w:themeColor="background1"/>
                <w:sz w:val="18"/>
                <w:szCs w:val="16"/>
              </w:rPr>
            </w:pPr>
            <w:r w:rsidRPr="001C7C35">
              <w:rPr>
                <w:color w:val="FFFFFF" w:themeColor="background1"/>
                <w:sz w:val="18"/>
                <w:szCs w:val="16"/>
              </w:rPr>
              <w:t>Question</w:t>
            </w:r>
          </w:p>
        </w:tc>
        <w:tc>
          <w:tcPr>
            <w:tcW w:w="1516" w:type="dxa"/>
            <w:shd w:val="clear" w:color="auto" w:fill="595959" w:themeFill="text1" w:themeFillTint="A6"/>
          </w:tcPr>
          <w:p w:rsidR="00FE7A71" w:rsidRPr="001C7C35" w:rsidRDefault="00FE7A71" w:rsidP="000073BC">
            <w:pPr>
              <w:pStyle w:val="Tabletext"/>
              <w:spacing w:before="20" w:after="20"/>
              <w:jc w:val="center"/>
              <w:rPr>
                <w:color w:val="FFFFFF" w:themeColor="background1"/>
                <w:sz w:val="18"/>
                <w:szCs w:val="16"/>
              </w:rPr>
            </w:pPr>
            <w:r w:rsidRPr="001C7C35">
              <w:rPr>
                <w:color w:val="FFFFFF" w:themeColor="background1"/>
                <w:sz w:val="18"/>
                <w:szCs w:val="16"/>
              </w:rPr>
              <w:t xml:space="preserve">1ère réunion annuelle de </w:t>
            </w:r>
            <w:r w:rsidRPr="001C7C35">
              <w:rPr>
                <w:color w:val="FFFFFF" w:themeColor="background1"/>
                <w:sz w:val="18"/>
                <w:szCs w:val="16"/>
              </w:rPr>
              <w:br/>
              <w:t xml:space="preserve">la CE 2 </w:t>
            </w:r>
            <w:r w:rsidRPr="001C7C35">
              <w:rPr>
                <w:color w:val="FFFFFF" w:themeColor="background1"/>
                <w:sz w:val="18"/>
                <w:szCs w:val="16"/>
              </w:rPr>
              <w:br/>
              <w:t>(7-11 mai 2018)*</w:t>
            </w:r>
          </w:p>
        </w:tc>
        <w:tc>
          <w:tcPr>
            <w:tcW w:w="2126" w:type="dxa"/>
            <w:shd w:val="clear" w:color="auto" w:fill="595959" w:themeFill="text1" w:themeFillTint="A6"/>
          </w:tcPr>
          <w:p w:rsidR="00FE7A71" w:rsidRPr="001C7C35" w:rsidRDefault="00FE7A71" w:rsidP="000073BC">
            <w:pPr>
              <w:pStyle w:val="Tabletext"/>
              <w:spacing w:before="20" w:after="20"/>
              <w:jc w:val="center"/>
              <w:rPr>
                <w:color w:val="FFFFFF" w:themeColor="background1"/>
                <w:sz w:val="18"/>
                <w:szCs w:val="16"/>
              </w:rPr>
            </w:pPr>
            <w:r w:rsidRPr="001C7C35">
              <w:rPr>
                <w:color w:val="FFFFFF" w:themeColor="background1"/>
                <w:sz w:val="18"/>
                <w:szCs w:val="16"/>
              </w:rPr>
              <w:t xml:space="preserve">Réunions des Groupes du Rapporteur de </w:t>
            </w:r>
            <w:r w:rsidRPr="001C7C35">
              <w:rPr>
                <w:color w:val="FFFFFF" w:themeColor="background1"/>
                <w:sz w:val="18"/>
                <w:szCs w:val="16"/>
              </w:rPr>
              <w:br/>
              <w:t xml:space="preserve">la CE 2 </w:t>
            </w:r>
            <w:r w:rsidRPr="001C7C35">
              <w:rPr>
                <w:color w:val="FFFFFF" w:themeColor="background1"/>
                <w:sz w:val="18"/>
                <w:szCs w:val="16"/>
              </w:rPr>
              <w:br/>
              <w:t>(1er-12 octobre 2018)</w:t>
            </w:r>
          </w:p>
        </w:tc>
        <w:tc>
          <w:tcPr>
            <w:tcW w:w="1985" w:type="dxa"/>
            <w:shd w:val="clear" w:color="auto" w:fill="595959" w:themeFill="text1" w:themeFillTint="A6"/>
          </w:tcPr>
          <w:p w:rsidR="00FE7A71" w:rsidRPr="001C7C35" w:rsidRDefault="00FE7A71" w:rsidP="000073BC">
            <w:pPr>
              <w:pStyle w:val="Tabletext"/>
              <w:spacing w:before="20" w:after="20"/>
              <w:jc w:val="center"/>
              <w:rPr>
                <w:color w:val="FFFFFF" w:themeColor="background1"/>
                <w:sz w:val="18"/>
                <w:szCs w:val="16"/>
              </w:rPr>
            </w:pPr>
            <w:r w:rsidRPr="001C7C35">
              <w:rPr>
                <w:color w:val="FFFFFF" w:themeColor="background1"/>
                <w:sz w:val="18"/>
                <w:szCs w:val="16"/>
              </w:rPr>
              <w:t xml:space="preserve">2ème réunion annuelle de la CE 2 </w:t>
            </w:r>
            <w:r w:rsidRPr="001C7C35">
              <w:rPr>
                <w:color w:val="FFFFFF" w:themeColor="background1"/>
                <w:sz w:val="18"/>
                <w:szCs w:val="16"/>
              </w:rPr>
              <w:br/>
              <w:t>(25-29 mars 2019)*</w:t>
            </w:r>
          </w:p>
        </w:tc>
        <w:tc>
          <w:tcPr>
            <w:tcW w:w="2083" w:type="dxa"/>
            <w:shd w:val="clear" w:color="auto" w:fill="595959" w:themeFill="text1" w:themeFillTint="A6"/>
          </w:tcPr>
          <w:p w:rsidR="00FE7A71" w:rsidRPr="001C7C35" w:rsidRDefault="00FE7A71" w:rsidP="000073BC">
            <w:pPr>
              <w:pStyle w:val="Tabletext"/>
              <w:spacing w:before="20" w:after="20"/>
              <w:jc w:val="center"/>
              <w:rPr>
                <w:color w:val="FFFFFF" w:themeColor="background1"/>
                <w:sz w:val="18"/>
                <w:szCs w:val="16"/>
              </w:rPr>
            </w:pPr>
            <w:r w:rsidRPr="001C7C35">
              <w:rPr>
                <w:color w:val="FFFFFF" w:themeColor="background1"/>
                <w:sz w:val="18"/>
                <w:szCs w:val="16"/>
              </w:rPr>
              <w:t xml:space="preserve">Réunions des Groupes du Rapporteur de la CE 2 </w:t>
            </w:r>
            <w:r w:rsidRPr="001C7C35">
              <w:rPr>
                <w:color w:val="FFFFFF" w:themeColor="background1"/>
                <w:sz w:val="18"/>
                <w:szCs w:val="16"/>
              </w:rPr>
              <w:br/>
              <w:t>(7-18 octobre 2019)</w:t>
            </w:r>
          </w:p>
        </w:tc>
        <w:tc>
          <w:tcPr>
            <w:tcW w:w="2174" w:type="dxa"/>
            <w:shd w:val="clear" w:color="auto" w:fill="595959" w:themeFill="text1" w:themeFillTint="A6"/>
          </w:tcPr>
          <w:p w:rsidR="00FE7A71" w:rsidRPr="001C7C35" w:rsidRDefault="00FE7A71" w:rsidP="000073BC">
            <w:pPr>
              <w:pStyle w:val="Tabletext"/>
              <w:spacing w:before="20" w:after="20"/>
              <w:jc w:val="center"/>
              <w:rPr>
                <w:color w:val="FFFFFF" w:themeColor="background1"/>
                <w:sz w:val="18"/>
                <w:szCs w:val="16"/>
              </w:rPr>
            </w:pPr>
            <w:r w:rsidRPr="001C7C35">
              <w:rPr>
                <w:color w:val="FFFFFF" w:themeColor="background1"/>
                <w:sz w:val="18"/>
                <w:szCs w:val="16"/>
              </w:rPr>
              <w:t xml:space="preserve">3ème réunion annuelle </w:t>
            </w:r>
            <w:r w:rsidRPr="001C7C35">
              <w:rPr>
                <w:color w:val="FFFFFF" w:themeColor="background1"/>
                <w:sz w:val="18"/>
                <w:szCs w:val="16"/>
              </w:rPr>
              <w:br/>
              <w:t xml:space="preserve">de la CE 2 </w:t>
            </w:r>
            <w:r w:rsidRPr="001C7C35">
              <w:rPr>
                <w:color w:val="FFFFFF" w:themeColor="background1"/>
                <w:sz w:val="18"/>
                <w:szCs w:val="16"/>
              </w:rPr>
              <w:br/>
              <w:t>(24-28 février 2020)*</w:t>
            </w:r>
          </w:p>
        </w:tc>
        <w:tc>
          <w:tcPr>
            <w:tcW w:w="1701" w:type="dxa"/>
            <w:gridSpan w:val="2"/>
            <w:shd w:val="clear" w:color="auto" w:fill="595959" w:themeFill="text1" w:themeFillTint="A6"/>
          </w:tcPr>
          <w:p w:rsidR="00FE7A71" w:rsidRPr="001C7C35" w:rsidRDefault="00FE7A71" w:rsidP="000073BC">
            <w:pPr>
              <w:pStyle w:val="Tabletext"/>
              <w:spacing w:before="20" w:after="20"/>
              <w:jc w:val="center"/>
              <w:rPr>
                <w:color w:val="FFFFFF" w:themeColor="background1"/>
                <w:sz w:val="18"/>
                <w:szCs w:val="16"/>
              </w:rPr>
            </w:pPr>
            <w:r w:rsidRPr="001C7C35">
              <w:rPr>
                <w:color w:val="FFFFFF" w:themeColor="background1"/>
                <w:sz w:val="18"/>
                <w:szCs w:val="16"/>
              </w:rPr>
              <w:t xml:space="preserve">Réunions des Groupes du Rapporteur </w:t>
            </w:r>
            <w:r w:rsidRPr="001C7C35">
              <w:rPr>
                <w:color w:val="FFFFFF" w:themeColor="background1"/>
                <w:sz w:val="18"/>
                <w:szCs w:val="16"/>
              </w:rPr>
              <w:br/>
              <w:t xml:space="preserve">de la CE 2 </w:t>
            </w:r>
            <w:r w:rsidRPr="001C7C35">
              <w:rPr>
                <w:color w:val="FFFFFF" w:themeColor="background1"/>
                <w:sz w:val="18"/>
                <w:szCs w:val="16"/>
              </w:rPr>
              <w:br/>
              <w:t>(5-16 octobre 2020)</w:t>
            </w:r>
          </w:p>
        </w:tc>
        <w:tc>
          <w:tcPr>
            <w:tcW w:w="2268" w:type="dxa"/>
            <w:gridSpan w:val="2"/>
            <w:shd w:val="clear" w:color="auto" w:fill="595959" w:themeFill="text1" w:themeFillTint="A6"/>
          </w:tcPr>
          <w:p w:rsidR="00FE7A71" w:rsidRPr="001C7C35" w:rsidRDefault="00FE7A71" w:rsidP="000073BC">
            <w:pPr>
              <w:pStyle w:val="Tabletext"/>
              <w:spacing w:before="20" w:after="20"/>
              <w:jc w:val="center"/>
              <w:rPr>
                <w:color w:val="FFFFFF" w:themeColor="background1"/>
                <w:sz w:val="18"/>
                <w:szCs w:val="16"/>
              </w:rPr>
            </w:pPr>
            <w:r w:rsidRPr="001C7C35">
              <w:rPr>
                <w:color w:val="FFFFFF" w:themeColor="background1"/>
                <w:sz w:val="18"/>
                <w:szCs w:val="16"/>
              </w:rPr>
              <w:t xml:space="preserve">4ème réunion annuelle </w:t>
            </w:r>
            <w:r w:rsidRPr="001C7C35">
              <w:rPr>
                <w:color w:val="FFFFFF" w:themeColor="background1"/>
                <w:sz w:val="18"/>
                <w:szCs w:val="16"/>
              </w:rPr>
              <w:br/>
              <w:t xml:space="preserve">de la CE 2 </w:t>
            </w:r>
            <w:r w:rsidRPr="001C7C35">
              <w:rPr>
                <w:color w:val="FFFFFF" w:themeColor="background1"/>
                <w:sz w:val="18"/>
                <w:szCs w:val="16"/>
              </w:rPr>
              <w:br/>
              <w:t>(22-26 mars 2021)*</w:t>
            </w:r>
          </w:p>
        </w:tc>
      </w:tr>
      <w:tr w:rsidR="00FE7A71" w:rsidRPr="001C7C35" w:rsidTr="0059456F">
        <w:tc>
          <w:tcPr>
            <w:tcW w:w="14884" w:type="dxa"/>
            <w:gridSpan w:val="10"/>
            <w:shd w:val="clear" w:color="auto" w:fill="595959" w:themeFill="text1" w:themeFillTint="A6"/>
            <w:vAlign w:val="center"/>
          </w:tcPr>
          <w:p w:rsidR="00FE7A71" w:rsidRPr="001C7C35" w:rsidRDefault="00FE7A71" w:rsidP="000073BC">
            <w:pPr>
              <w:pStyle w:val="Tabletext10pt"/>
              <w:jc w:val="center"/>
              <w:rPr>
                <w:color w:val="FFFFFF" w:themeColor="background1"/>
              </w:rPr>
            </w:pPr>
            <w:r w:rsidRPr="001C7C35">
              <w:rPr>
                <w:color w:val="FFFFFF" w:themeColor="background1"/>
              </w:rPr>
              <w:t>Des ateliers thématiques, des cours et des séminaires doivent avoir lieu pendant toute la période d'études à Genève et dans les régions, en fonction des propositions reçues.</w:t>
            </w:r>
          </w:p>
        </w:tc>
      </w:tr>
      <w:tr w:rsidR="00FE7A71" w:rsidRPr="001C7C35" w:rsidTr="0059456F">
        <w:tc>
          <w:tcPr>
            <w:tcW w:w="1031" w:type="dxa"/>
            <w:vMerge w:val="restart"/>
            <w:shd w:val="clear" w:color="auto" w:fill="B089FF"/>
            <w:vAlign w:val="center"/>
          </w:tcPr>
          <w:p w:rsidR="00FE7A71" w:rsidRPr="001C7C35" w:rsidRDefault="00FE7A71" w:rsidP="000073BC">
            <w:pPr>
              <w:pStyle w:val="Tabletext"/>
              <w:spacing w:before="0" w:after="0"/>
              <w:jc w:val="center"/>
            </w:pPr>
            <w:r w:rsidRPr="001C7C35">
              <w:t>Q 1/2</w:t>
            </w:r>
          </w:p>
        </w:tc>
        <w:tc>
          <w:tcPr>
            <w:tcW w:w="13853" w:type="dxa"/>
            <w:gridSpan w:val="9"/>
            <w:shd w:val="clear" w:color="auto" w:fill="B089FF"/>
            <w:vAlign w:val="center"/>
          </w:tcPr>
          <w:p w:rsidR="00FE7A71" w:rsidRPr="001C7C35" w:rsidRDefault="00FE7A71" w:rsidP="000073BC">
            <w:pPr>
              <w:pStyle w:val="Tabletext10pt"/>
              <w:spacing w:before="0" w:after="0"/>
              <w:jc w:val="center"/>
            </w:pPr>
            <w:r w:rsidRPr="001C7C35">
              <w:t>L'accent est mis dans la Question sur les lignes directrices, les études de cas, les ateliers, les cours et les séminaires.</w:t>
            </w:r>
          </w:p>
        </w:tc>
      </w:tr>
      <w:tr w:rsidR="00FE7A71" w:rsidRPr="001C7C35" w:rsidTr="0059456F">
        <w:tc>
          <w:tcPr>
            <w:tcW w:w="1031" w:type="dxa"/>
            <w:vMerge/>
            <w:vAlign w:val="center"/>
          </w:tcPr>
          <w:p w:rsidR="00FE7A71" w:rsidRPr="001C7C35" w:rsidRDefault="00FE7A71" w:rsidP="000073BC">
            <w:pPr>
              <w:pStyle w:val="Tabletext"/>
              <w:spacing w:before="0" w:after="0"/>
              <w:jc w:val="center"/>
            </w:pPr>
          </w:p>
        </w:tc>
        <w:tc>
          <w:tcPr>
            <w:tcW w:w="1516" w:type="dxa"/>
            <w:shd w:val="clear" w:color="auto" w:fill="D3BDFF"/>
          </w:tcPr>
          <w:p w:rsidR="00FE7A71" w:rsidRPr="001C7C35" w:rsidRDefault="00FE7A71" w:rsidP="000073BC">
            <w:pPr>
              <w:pStyle w:val="Tabletext10pt"/>
              <w:spacing w:before="0" w:after="0"/>
              <w:jc w:val="center"/>
            </w:pPr>
            <w:r w:rsidRPr="001C7C35">
              <w:t>Programme de travail et projet de table des matières</w:t>
            </w:r>
          </w:p>
        </w:tc>
        <w:tc>
          <w:tcPr>
            <w:tcW w:w="2126" w:type="dxa"/>
            <w:shd w:val="clear" w:color="auto" w:fill="D9D9D9" w:themeFill="background1" w:themeFillShade="D9"/>
          </w:tcPr>
          <w:p w:rsidR="00FE7A71" w:rsidRPr="001C7C35" w:rsidRDefault="00FE7A71" w:rsidP="000073BC">
            <w:pPr>
              <w:pStyle w:val="Tabletext10pt"/>
              <w:spacing w:before="0" w:after="0"/>
              <w:jc w:val="center"/>
            </w:pPr>
            <w:r w:rsidRPr="001C7C35">
              <w:t>Rédaction, études de cas, etc.</w:t>
            </w:r>
          </w:p>
        </w:tc>
        <w:tc>
          <w:tcPr>
            <w:tcW w:w="1985" w:type="dxa"/>
            <w:shd w:val="clear" w:color="auto" w:fill="D3BDFF"/>
          </w:tcPr>
          <w:p w:rsidR="00FE7A71" w:rsidRPr="001C7C35" w:rsidRDefault="00FE7A71" w:rsidP="000073BC">
            <w:pPr>
              <w:pStyle w:val="Tabletext10pt"/>
              <w:spacing w:before="0" w:after="0"/>
              <w:jc w:val="center"/>
            </w:pPr>
            <w:r w:rsidRPr="001C7C35">
              <w:t>Rapport d'activité annuel, projet de produit (?)</w:t>
            </w:r>
          </w:p>
        </w:tc>
        <w:tc>
          <w:tcPr>
            <w:tcW w:w="2083" w:type="dxa"/>
            <w:shd w:val="clear" w:color="auto" w:fill="D9D9D9" w:themeFill="background1" w:themeFillShade="D9"/>
          </w:tcPr>
          <w:p w:rsidR="00FE7A71" w:rsidRPr="001C7C35" w:rsidRDefault="00FE7A71" w:rsidP="000073BC">
            <w:pPr>
              <w:pStyle w:val="Tabletext10pt"/>
              <w:spacing w:before="0" w:after="0"/>
              <w:jc w:val="center"/>
            </w:pPr>
            <w:r w:rsidRPr="001C7C35">
              <w:t>Rédaction, études de cas, etc.</w:t>
            </w:r>
          </w:p>
        </w:tc>
        <w:tc>
          <w:tcPr>
            <w:tcW w:w="2174" w:type="dxa"/>
            <w:shd w:val="clear" w:color="auto" w:fill="D3BDFF"/>
          </w:tcPr>
          <w:p w:rsidR="00FE7A71" w:rsidRPr="001C7C35" w:rsidRDefault="00FE7A71" w:rsidP="000073BC">
            <w:pPr>
              <w:pStyle w:val="Tabletext10pt"/>
              <w:spacing w:before="0" w:after="0"/>
              <w:jc w:val="center"/>
            </w:pPr>
            <w:r w:rsidRPr="001C7C35">
              <w:t>Rapport d'activité annuel, projet de rapport</w:t>
            </w:r>
          </w:p>
        </w:tc>
        <w:tc>
          <w:tcPr>
            <w:tcW w:w="1701" w:type="dxa"/>
            <w:gridSpan w:val="2"/>
            <w:shd w:val="clear" w:color="auto" w:fill="D9D9D9" w:themeFill="background1" w:themeFillShade="D9"/>
          </w:tcPr>
          <w:p w:rsidR="00FE7A71" w:rsidRPr="001C7C35" w:rsidRDefault="00FE7A71" w:rsidP="000073BC">
            <w:pPr>
              <w:pStyle w:val="Tabletext10pt"/>
              <w:spacing w:before="0" w:after="0"/>
              <w:jc w:val="center"/>
            </w:pPr>
            <w:r w:rsidRPr="001C7C35">
              <w:t>Rédaction, etc.</w:t>
            </w:r>
          </w:p>
        </w:tc>
        <w:tc>
          <w:tcPr>
            <w:tcW w:w="2268" w:type="dxa"/>
            <w:gridSpan w:val="2"/>
            <w:shd w:val="clear" w:color="auto" w:fill="D3BDFF"/>
          </w:tcPr>
          <w:p w:rsidR="00FE7A71" w:rsidRPr="001C7C35" w:rsidRDefault="00FE7A71" w:rsidP="000073BC">
            <w:pPr>
              <w:pStyle w:val="Tabletext10pt"/>
              <w:spacing w:before="0" w:after="0"/>
              <w:jc w:val="center"/>
            </w:pPr>
            <w:r w:rsidRPr="001C7C35">
              <w:t>Rapport(s) final(s), lignes directrices, projets de Recommandation</w:t>
            </w:r>
          </w:p>
        </w:tc>
      </w:tr>
      <w:tr w:rsidR="00FE7A71" w:rsidRPr="001C7C35" w:rsidTr="0059456F">
        <w:tc>
          <w:tcPr>
            <w:tcW w:w="1031" w:type="dxa"/>
            <w:vMerge w:val="restart"/>
            <w:shd w:val="clear" w:color="auto" w:fill="0081E2"/>
            <w:vAlign w:val="center"/>
          </w:tcPr>
          <w:p w:rsidR="00FE7A71" w:rsidRPr="001C7C35" w:rsidRDefault="00FE7A71" w:rsidP="000073BC">
            <w:pPr>
              <w:pStyle w:val="Tabletext"/>
              <w:spacing w:before="0" w:after="0"/>
              <w:jc w:val="center"/>
            </w:pPr>
            <w:r w:rsidRPr="001C7C35">
              <w:t>Q 2/2</w:t>
            </w:r>
          </w:p>
        </w:tc>
        <w:tc>
          <w:tcPr>
            <w:tcW w:w="13853" w:type="dxa"/>
            <w:gridSpan w:val="9"/>
            <w:shd w:val="clear" w:color="auto" w:fill="0081E2"/>
            <w:vAlign w:val="center"/>
          </w:tcPr>
          <w:p w:rsidR="00FE7A71" w:rsidRPr="001C7C35" w:rsidRDefault="00FE7A71" w:rsidP="000073BC">
            <w:pPr>
              <w:pStyle w:val="Tabletext10pt"/>
              <w:spacing w:before="0" w:after="0"/>
              <w:jc w:val="center"/>
              <w:rPr>
                <w:sz w:val="24"/>
              </w:rPr>
            </w:pPr>
            <w:r w:rsidRPr="001C7C35">
              <w:t>L'accent est mis dans la Question sur les lignes directrices, les normes techniques et les bonnes pratiques.</w:t>
            </w:r>
          </w:p>
        </w:tc>
      </w:tr>
      <w:tr w:rsidR="00FE7A71" w:rsidRPr="001C7C35" w:rsidTr="0059456F">
        <w:tc>
          <w:tcPr>
            <w:tcW w:w="1031" w:type="dxa"/>
            <w:vMerge/>
            <w:vAlign w:val="center"/>
          </w:tcPr>
          <w:p w:rsidR="00FE7A71" w:rsidRPr="001C7C35" w:rsidRDefault="00FE7A71" w:rsidP="000073BC">
            <w:pPr>
              <w:pStyle w:val="Tabletext"/>
              <w:spacing w:before="0" w:after="0"/>
              <w:jc w:val="center"/>
            </w:pPr>
          </w:p>
        </w:tc>
        <w:tc>
          <w:tcPr>
            <w:tcW w:w="1516" w:type="dxa"/>
            <w:shd w:val="clear" w:color="auto" w:fill="2DA5FF"/>
          </w:tcPr>
          <w:p w:rsidR="00FE7A71" w:rsidRPr="001C7C35" w:rsidRDefault="00FE7A71" w:rsidP="000073BC">
            <w:pPr>
              <w:pStyle w:val="Tabletext10pt"/>
              <w:spacing w:before="0" w:after="0"/>
              <w:jc w:val="center"/>
            </w:pPr>
            <w:r w:rsidRPr="001C7C35">
              <w:t>Programme de travail et projet de table des matières</w:t>
            </w:r>
          </w:p>
        </w:tc>
        <w:tc>
          <w:tcPr>
            <w:tcW w:w="2126" w:type="dxa"/>
            <w:shd w:val="clear" w:color="auto" w:fill="D9D9D9" w:themeFill="background1" w:themeFillShade="D9"/>
          </w:tcPr>
          <w:p w:rsidR="00FE7A71" w:rsidRPr="001C7C35" w:rsidRDefault="00FE7A71" w:rsidP="000073BC">
            <w:pPr>
              <w:pStyle w:val="Tabletext10pt"/>
              <w:spacing w:before="0" w:after="0"/>
              <w:jc w:val="center"/>
            </w:pPr>
            <w:r w:rsidRPr="001C7C35">
              <w:t>Rédaction, études de cas, etc.</w:t>
            </w:r>
          </w:p>
        </w:tc>
        <w:tc>
          <w:tcPr>
            <w:tcW w:w="1985" w:type="dxa"/>
            <w:shd w:val="clear" w:color="auto" w:fill="2DA5FF"/>
          </w:tcPr>
          <w:p w:rsidR="00FE7A71" w:rsidRPr="001C7C35" w:rsidRDefault="00FE7A71" w:rsidP="000073BC">
            <w:pPr>
              <w:pStyle w:val="Tabletext10pt"/>
              <w:spacing w:before="0" w:after="0"/>
              <w:jc w:val="center"/>
            </w:pPr>
            <w:r w:rsidRPr="001C7C35">
              <w:t>Rapport d'activité annuel, produits annuels</w:t>
            </w:r>
          </w:p>
        </w:tc>
        <w:tc>
          <w:tcPr>
            <w:tcW w:w="2083" w:type="dxa"/>
            <w:shd w:val="clear" w:color="auto" w:fill="D9D9D9" w:themeFill="background1" w:themeFillShade="D9"/>
          </w:tcPr>
          <w:p w:rsidR="00FE7A71" w:rsidRPr="001C7C35" w:rsidRDefault="00FE7A71" w:rsidP="000073BC">
            <w:pPr>
              <w:pStyle w:val="Tabletext10pt"/>
              <w:spacing w:before="0" w:after="0"/>
              <w:jc w:val="center"/>
            </w:pPr>
            <w:r w:rsidRPr="001C7C35">
              <w:t>Rédaction, études de cas, etc.</w:t>
            </w:r>
          </w:p>
        </w:tc>
        <w:tc>
          <w:tcPr>
            <w:tcW w:w="2174" w:type="dxa"/>
            <w:shd w:val="clear" w:color="auto" w:fill="2DA5FF"/>
          </w:tcPr>
          <w:p w:rsidR="00FE7A71" w:rsidRPr="001C7C35" w:rsidRDefault="00FE7A71" w:rsidP="000073BC">
            <w:pPr>
              <w:pStyle w:val="Tabletext10pt"/>
              <w:spacing w:before="0" w:after="0"/>
              <w:jc w:val="center"/>
            </w:pPr>
            <w:r w:rsidRPr="001C7C35">
              <w:t>Rapport d'activité annuel, produits annuels</w:t>
            </w:r>
          </w:p>
        </w:tc>
        <w:tc>
          <w:tcPr>
            <w:tcW w:w="1701" w:type="dxa"/>
            <w:gridSpan w:val="2"/>
            <w:shd w:val="clear" w:color="auto" w:fill="D9D9D9" w:themeFill="background1" w:themeFillShade="D9"/>
          </w:tcPr>
          <w:p w:rsidR="00FE7A71" w:rsidRPr="001C7C35" w:rsidRDefault="00FE7A71" w:rsidP="000073BC">
            <w:pPr>
              <w:pStyle w:val="Tabletext10pt"/>
              <w:spacing w:before="0" w:after="0"/>
              <w:jc w:val="center"/>
            </w:pPr>
            <w:r w:rsidRPr="001C7C35">
              <w:t>Rédaction, etc.</w:t>
            </w:r>
          </w:p>
        </w:tc>
        <w:tc>
          <w:tcPr>
            <w:tcW w:w="2268" w:type="dxa"/>
            <w:gridSpan w:val="2"/>
            <w:shd w:val="clear" w:color="auto" w:fill="2DA5FF"/>
          </w:tcPr>
          <w:p w:rsidR="00FE7A71" w:rsidRPr="001C7C35" w:rsidRDefault="00FE7A71" w:rsidP="000073BC">
            <w:pPr>
              <w:pStyle w:val="Tabletext10pt"/>
              <w:spacing w:before="0" w:after="0"/>
              <w:jc w:val="center"/>
            </w:pPr>
            <w:r w:rsidRPr="001C7C35">
              <w:t>Rapport(s) final(s), lignes directrices, projets de Recommandation</w:t>
            </w:r>
          </w:p>
        </w:tc>
      </w:tr>
      <w:tr w:rsidR="00FE7A71" w:rsidRPr="001C7C35" w:rsidTr="0059456F">
        <w:tc>
          <w:tcPr>
            <w:tcW w:w="1031" w:type="dxa"/>
            <w:vMerge w:val="restart"/>
            <w:shd w:val="clear" w:color="auto" w:fill="51BCF1"/>
            <w:vAlign w:val="center"/>
          </w:tcPr>
          <w:p w:rsidR="00FE7A71" w:rsidRPr="001C7C35" w:rsidRDefault="00FE7A71" w:rsidP="000073BC">
            <w:pPr>
              <w:pStyle w:val="Tabletext"/>
              <w:spacing w:before="0" w:after="0"/>
              <w:jc w:val="center"/>
            </w:pPr>
            <w:r w:rsidRPr="001C7C35">
              <w:t>Q 3/2</w:t>
            </w:r>
          </w:p>
        </w:tc>
        <w:tc>
          <w:tcPr>
            <w:tcW w:w="13853" w:type="dxa"/>
            <w:gridSpan w:val="9"/>
            <w:shd w:val="clear" w:color="auto" w:fill="51BCF1"/>
            <w:vAlign w:val="center"/>
          </w:tcPr>
          <w:p w:rsidR="00FE7A71" w:rsidRPr="001C7C35" w:rsidRDefault="00FE7A71" w:rsidP="000073BC">
            <w:pPr>
              <w:pStyle w:val="Tabletext10pt"/>
              <w:spacing w:before="0" w:after="0"/>
              <w:jc w:val="center"/>
              <w:rPr>
                <w:sz w:val="24"/>
              </w:rPr>
            </w:pPr>
            <w:r w:rsidRPr="001C7C35">
              <w:t>L'accent est mis dans la Question sur les ateliers et les séminaires, ainsi que sur la présentation de partenariats public-privé efficaces.</w:t>
            </w:r>
          </w:p>
        </w:tc>
      </w:tr>
      <w:tr w:rsidR="00FE7A71" w:rsidRPr="001C7C35" w:rsidTr="0059456F">
        <w:tc>
          <w:tcPr>
            <w:tcW w:w="1031" w:type="dxa"/>
            <w:vMerge/>
            <w:vAlign w:val="center"/>
          </w:tcPr>
          <w:p w:rsidR="00FE7A71" w:rsidRPr="001C7C35" w:rsidRDefault="00FE7A71" w:rsidP="000073BC">
            <w:pPr>
              <w:pStyle w:val="Tabletext"/>
              <w:spacing w:before="0" w:after="0"/>
              <w:jc w:val="center"/>
            </w:pPr>
          </w:p>
        </w:tc>
        <w:tc>
          <w:tcPr>
            <w:tcW w:w="1516" w:type="dxa"/>
            <w:shd w:val="clear" w:color="auto" w:fill="89EDFB"/>
          </w:tcPr>
          <w:p w:rsidR="00FE7A71" w:rsidRPr="001C7C35" w:rsidRDefault="00FE7A71" w:rsidP="000073BC">
            <w:pPr>
              <w:pStyle w:val="Tabletext10pt"/>
              <w:spacing w:before="0" w:after="0"/>
              <w:jc w:val="center"/>
            </w:pPr>
            <w:r w:rsidRPr="001C7C35">
              <w:t>Programme de travail et projet de table des matières</w:t>
            </w:r>
          </w:p>
        </w:tc>
        <w:tc>
          <w:tcPr>
            <w:tcW w:w="2126" w:type="dxa"/>
            <w:shd w:val="clear" w:color="auto" w:fill="D9D9D9" w:themeFill="background1" w:themeFillShade="D9"/>
          </w:tcPr>
          <w:p w:rsidR="00FE7A71" w:rsidRPr="001C7C35" w:rsidRDefault="00FE7A71" w:rsidP="000073BC">
            <w:pPr>
              <w:pStyle w:val="Tabletext10pt"/>
              <w:spacing w:before="0" w:after="0"/>
              <w:jc w:val="center"/>
            </w:pPr>
            <w:r w:rsidRPr="001C7C35">
              <w:t>Rédaction, études de cas, etc.</w:t>
            </w:r>
          </w:p>
        </w:tc>
        <w:tc>
          <w:tcPr>
            <w:tcW w:w="1985" w:type="dxa"/>
            <w:shd w:val="clear" w:color="auto" w:fill="89EDFB"/>
          </w:tcPr>
          <w:p w:rsidR="00FE7A71" w:rsidRPr="001C7C35" w:rsidRDefault="00FE7A71" w:rsidP="000073BC">
            <w:pPr>
              <w:pStyle w:val="Tabletext10pt"/>
              <w:spacing w:before="0" w:after="0"/>
              <w:jc w:val="center"/>
            </w:pPr>
            <w:r w:rsidRPr="001C7C35">
              <w:t>Rapport d'activité annuel, projet de produit (?)</w:t>
            </w:r>
          </w:p>
        </w:tc>
        <w:tc>
          <w:tcPr>
            <w:tcW w:w="2083" w:type="dxa"/>
            <w:shd w:val="clear" w:color="auto" w:fill="D9D9D9" w:themeFill="background1" w:themeFillShade="D9"/>
          </w:tcPr>
          <w:p w:rsidR="00FE7A71" w:rsidRPr="001C7C35" w:rsidRDefault="00FE7A71" w:rsidP="000073BC">
            <w:pPr>
              <w:pStyle w:val="Tabletext10pt"/>
              <w:spacing w:before="0" w:after="0"/>
              <w:jc w:val="center"/>
            </w:pPr>
            <w:r w:rsidRPr="001C7C35">
              <w:t>Rédaction, études de cas, etc.</w:t>
            </w:r>
          </w:p>
        </w:tc>
        <w:tc>
          <w:tcPr>
            <w:tcW w:w="2174" w:type="dxa"/>
            <w:shd w:val="clear" w:color="auto" w:fill="89EDFB"/>
          </w:tcPr>
          <w:p w:rsidR="00FE7A71" w:rsidRPr="001C7C35" w:rsidRDefault="00FE7A71" w:rsidP="000073BC">
            <w:pPr>
              <w:pStyle w:val="Tabletext10pt"/>
              <w:spacing w:before="0" w:after="0"/>
              <w:jc w:val="center"/>
            </w:pPr>
            <w:r w:rsidRPr="001C7C35">
              <w:t>Rapport d'activité annuel, projet de rapport</w:t>
            </w:r>
          </w:p>
        </w:tc>
        <w:tc>
          <w:tcPr>
            <w:tcW w:w="1701" w:type="dxa"/>
            <w:gridSpan w:val="2"/>
            <w:shd w:val="clear" w:color="auto" w:fill="D9D9D9" w:themeFill="background1" w:themeFillShade="D9"/>
          </w:tcPr>
          <w:p w:rsidR="00FE7A71" w:rsidRPr="001C7C35" w:rsidRDefault="00FE7A71" w:rsidP="000073BC">
            <w:pPr>
              <w:pStyle w:val="Tabletext10pt"/>
              <w:spacing w:before="0" w:after="0"/>
              <w:jc w:val="center"/>
            </w:pPr>
            <w:r w:rsidRPr="001C7C35">
              <w:t>Rédaction, etc.</w:t>
            </w:r>
          </w:p>
        </w:tc>
        <w:tc>
          <w:tcPr>
            <w:tcW w:w="2268" w:type="dxa"/>
            <w:gridSpan w:val="2"/>
            <w:shd w:val="clear" w:color="auto" w:fill="89EDFB"/>
          </w:tcPr>
          <w:p w:rsidR="00FE7A71" w:rsidRPr="001C7C35" w:rsidRDefault="00FE7A71" w:rsidP="000073BC">
            <w:pPr>
              <w:pStyle w:val="Tabletext10pt"/>
              <w:spacing w:before="0" w:after="0"/>
              <w:jc w:val="center"/>
            </w:pPr>
            <w:r w:rsidRPr="001C7C35">
              <w:t>Rapport(s) final(s), lignes directrices, manuel, projets de Recommandation</w:t>
            </w:r>
          </w:p>
        </w:tc>
      </w:tr>
      <w:tr w:rsidR="00FE7A71" w:rsidRPr="001C7C35" w:rsidTr="0059456F">
        <w:tc>
          <w:tcPr>
            <w:tcW w:w="1031" w:type="dxa"/>
            <w:vMerge w:val="restart"/>
            <w:shd w:val="clear" w:color="auto" w:fill="53A757"/>
            <w:vAlign w:val="center"/>
          </w:tcPr>
          <w:p w:rsidR="00FE7A71" w:rsidRPr="001C7C35" w:rsidRDefault="00FE7A71" w:rsidP="000073BC">
            <w:pPr>
              <w:pStyle w:val="Tabletext"/>
              <w:spacing w:before="0" w:after="0"/>
              <w:jc w:val="center"/>
            </w:pPr>
            <w:r w:rsidRPr="001C7C35">
              <w:t>Q 4/2</w:t>
            </w:r>
          </w:p>
        </w:tc>
        <w:tc>
          <w:tcPr>
            <w:tcW w:w="13853" w:type="dxa"/>
            <w:gridSpan w:val="9"/>
            <w:shd w:val="clear" w:color="auto" w:fill="53A757"/>
            <w:vAlign w:val="center"/>
          </w:tcPr>
          <w:p w:rsidR="00FE7A71" w:rsidRPr="001C7C35" w:rsidRDefault="00FE7A71" w:rsidP="000073BC">
            <w:pPr>
              <w:pStyle w:val="Tabletext10pt"/>
              <w:keepNext/>
              <w:keepLines/>
              <w:spacing w:before="0" w:after="0"/>
              <w:jc w:val="center"/>
              <w:rPr>
                <w:sz w:val="24"/>
              </w:rPr>
            </w:pPr>
            <w:r w:rsidRPr="001C7C35">
              <w:t xml:space="preserve">L'accent est mis dans la Question sur les lignes directrices et les bonnes pratiques, les questionnaires et les études de cas sur la conformité et l'interopérabilité </w:t>
            </w:r>
            <w:r w:rsidRPr="001C7C35">
              <w:br/>
              <w:t xml:space="preserve">ainsi que sur la </w:t>
            </w:r>
            <w:r w:rsidRPr="001C7C35">
              <w:rPr>
                <w:color w:val="000000"/>
              </w:rPr>
              <w:t>lutte contre la contrefaçon d’équipements TIC et le vol de dispositifs mobiles.</w:t>
            </w:r>
          </w:p>
        </w:tc>
      </w:tr>
      <w:tr w:rsidR="00FE7A71" w:rsidRPr="001C7C35" w:rsidTr="0059456F">
        <w:tc>
          <w:tcPr>
            <w:tcW w:w="1031" w:type="dxa"/>
            <w:vMerge/>
            <w:vAlign w:val="center"/>
          </w:tcPr>
          <w:p w:rsidR="00FE7A71" w:rsidRPr="001C7C35" w:rsidRDefault="00FE7A71" w:rsidP="000073BC">
            <w:pPr>
              <w:pStyle w:val="Tabletext"/>
              <w:spacing w:before="0" w:after="0"/>
              <w:jc w:val="center"/>
            </w:pPr>
          </w:p>
        </w:tc>
        <w:tc>
          <w:tcPr>
            <w:tcW w:w="1516" w:type="dxa"/>
            <w:shd w:val="clear" w:color="auto" w:fill="8CC68F"/>
          </w:tcPr>
          <w:p w:rsidR="00FE7A71" w:rsidRPr="001C7C35" w:rsidRDefault="00FE7A71" w:rsidP="000073BC">
            <w:pPr>
              <w:pStyle w:val="Tabletext10pt"/>
              <w:spacing w:before="0" w:after="0"/>
              <w:jc w:val="center"/>
            </w:pPr>
            <w:r w:rsidRPr="001C7C35">
              <w:t>Programme de travail et projet de table des matières</w:t>
            </w:r>
          </w:p>
        </w:tc>
        <w:tc>
          <w:tcPr>
            <w:tcW w:w="2126" w:type="dxa"/>
            <w:shd w:val="clear" w:color="auto" w:fill="D9D9D9" w:themeFill="background1" w:themeFillShade="D9"/>
          </w:tcPr>
          <w:p w:rsidR="00FE7A71" w:rsidRPr="001C7C35" w:rsidRDefault="00FE7A71" w:rsidP="000073BC">
            <w:pPr>
              <w:pStyle w:val="Tabletext10pt"/>
              <w:spacing w:before="0" w:after="0"/>
              <w:jc w:val="center"/>
            </w:pPr>
            <w:r w:rsidRPr="001C7C35">
              <w:t>Rédaction, études de cas, etc.</w:t>
            </w:r>
          </w:p>
        </w:tc>
        <w:tc>
          <w:tcPr>
            <w:tcW w:w="1985" w:type="dxa"/>
            <w:shd w:val="clear" w:color="auto" w:fill="8CC68F"/>
          </w:tcPr>
          <w:p w:rsidR="00FE7A71" w:rsidRPr="001C7C35" w:rsidRDefault="00FE7A71" w:rsidP="000073BC">
            <w:pPr>
              <w:pStyle w:val="Tabletext10pt"/>
              <w:spacing w:before="0" w:after="0"/>
              <w:jc w:val="center"/>
            </w:pPr>
            <w:r w:rsidRPr="001C7C35">
              <w:t>Rapport d'activité annuel, projet de produit (?)</w:t>
            </w:r>
          </w:p>
        </w:tc>
        <w:tc>
          <w:tcPr>
            <w:tcW w:w="2083" w:type="dxa"/>
            <w:shd w:val="clear" w:color="auto" w:fill="D9D9D9" w:themeFill="background1" w:themeFillShade="D9"/>
          </w:tcPr>
          <w:p w:rsidR="00FE7A71" w:rsidRPr="001C7C35" w:rsidRDefault="00FE7A71" w:rsidP="000073BC">
            <w:pPr>
              <w:pStyle w:val="Tabletext10pt"/>
              <w:keepNext/>
              <w:keepLines/>
              <w:spacing w:before="0" w:after="0"/>
              <w:jc w:val="center"/>
            </w:pPr>
            <w:r w:rsidRPr="001C7C35">
              <w:t>Rédaction, études de cas, etc.</w:t>
            </w:r>
          </w:p>
        </w:tc>
        <w:tc>
          <w:tcPr>
            <w:tcW w:w="2174" w:type="dxa"/>
            <w:shd w:val="clear" w:color="auto" w:fill="8CC68F"/>
          </w:tcPr>
          <w:p w:rsidR="00FE7A71" w:rsidRPr="001C7C35" w:rsidRDefault="00FE7A71" w:rsidP="000073BC">
            <w:pPr>
              <w:pStyle w:val="Tabletext10pt"/>
              <w:spacing w:before="0" w:after="0"/>
              <w:jc w:val="center"/>
            </w:pPr>
            <w:r w:rsidRPr="001C7C35">
              <w:t>Rapport d'activité annuel, projet de produit (?)</w:t>
            </w:r>
          </w:p>
        </w:tc>
        <w:tc>
          <w:tcPr>
            <w:tcW w:w="1554" w:type="dxa"/>
            <w:shd w:val="clear" w:color="auto" w:fill="D9D9D9" w:themeFill="background1" w:themeFillShade="D9"/>
          </w:tcPr>
          <w:p w:rsidR="00FE7A71" w:rsidRPr="001C7C35" w:rsidRDefault="00FE7A71" w:rsidP="000073BC">
            <w:pPr>
              <w:pStyle w:val="Tabletext10pt"/>
              <w:spacing w:before="0" w:after="0"/>
              <w:jc w:val="center"/>
            </w:pPr>
            <w:r w:rsidRPr="001C7C35">
              <w:t>Rédaction, etc.</w:t>
            </w:r>
          </w:p>
        </w:tc>
        <w:tc>
          <w:tcPr>
            <w:tcW w:w="2415" w:type="dxa"/>
            <w:gridSpan w:val="3"/>
            <w:shd w:val="clear" w:color="auto" w:fill="8CC68F"/>
          </w:tcPr>
          <w:p w:rsidR="00FE7A71" w:rsidRPr="001C7C35" w:rsidRDefault="00FE7A71" w:rsidP="000073BC">
            <w:pPr>
              <w:pStyle w:val="Tabletext10pt"/>
              <w:spacing w:before="0" w:after="0"/>
              <w:jc w:val="center"/>
            </w:pPr>
            <w:r w:rsidRPr="001C7C35">
              <w:t>Rapport(s) final(s), lignes directrices, projets de Recommandation</w:t>
            </w:r>
          </w:p>
        </w:tc>
      </w:tr>
      <w:tr w:rsidR="00FE7A71" w:rsidRPr="001C7C35" w:rsidTr="0059456F">
        <w:tc>
          <w:tcPr>
            <w:tcW w:w="1031" w:type="dxa"/>
            <w:vMerge w:val="restart"/>
            <w:shd w:val="clear" w:color="auto" w:fill="EDD62F"/>
            <w:vAlign w:val="center"/>
          </w:tcPr>
          <w:p w:rsidR="00FE7A71" w:rsidRPr="001C7C35" w:rsidRDefault="00FE7A71" w:rsidP="000073BC">
            <w:pPr>
              <w:pStyle w:val="Tabletext"/>
              <w:spacing w:before="0" w:after="0"/>
              <w:jc w:val="center"/>
            </w:pPr>
            <w:r w:rsidRPr="001C7C35">
              <w:t>Q 5/2</w:t>
            </w:r>
          </w:p>
        </w:tc>
        <w:tc>
          <w:tcPr>
            <w:tcW w:w="13853" w:type="dxa"/>
            <w:gridSpan w:val="9"/>
            <w:shd w:val="clear" w:color="auto" w:fill="EDD62F"/>
            <w:vAlign w:val="center"/>
          </w:tcPr>
          <w:p w:rsidR="00FE7A71" w:rsidRPr="001C7C35" w:rsidRDefault="00FE7A71" w:rsidP="000073BC">
            <w:pPr>
              <w:pStyle w:val="Tabletext10pt"/>
              <w:spacing w:before="0" w:after="0"/>
              <w:jc w:val="center"/>
              <w:rPr>
                <w:sz w:val="24"/>
              </w:rPr>
            </w:pPr>
            <w:r w:rsidRPr="001C7C35">
              <w:t xml:space="preserve">L'accent est mis dans la Question sur les bonnes pratiques et sur le partage d'expériences au niveau national en matière de préparation en prévision des catastrophes, </w:t>
            </w:r>
            <w:r w:rsidRPr="001C7C35">
              <w:rPr>
                <w:color w:val="000000"/>
              </w:rPr>
              <w:t>d'atténuation des effets des catastrophes et d'opérations de secours, ainsi qu'en matière d'élaboration de plans nationaux sur les communications en cas de catastrophe.</w:t>
            </w:r>
          </w:p>
        </w:tc>
      </w:tr>
      <w:tr w:rsidR="00FE7A71" w:rsidRPr="001C7C35" w:rsidTr="0059456F">
        <w:tc>
          <w:tcPr>
            <w:tcW w:w="1031" w:type="dxa"/>
            <w:vMerge/>
            <w:vAlign w:val="center"/>
          </w:tcPr>
          <w:p w:rsidR="00FE7A71" w:rsidRPr="001C7C35" w:rsidRDefault="00FE7A71" w:rsidP="000073BC">
            <w:pPr>
              <w:pStyle w:val="Tabletext"/>
              <w:spacing w:before="0" w:after="0"/>
              <w:jc w:val="center"/>
            </w:pPr>
          </w:p>
        </w:tc>
        <w:tc>
          <w:tcPr>
            <w:tcW w:w="1516" w:type="dxa"/>
            <w:shd w:val="clear" w:color="auto" w:fill="F2E26A"/>
          </w:tcPr>
          <w:p w:rsidR="00FE7A71" w:rsidRPr="001C7C35" w:rsidRDefault="00FE7A71" w:rsidP="000073BC">
            <w:pPr>
              <w:pStyle w:val="Tabletext10pt"/>
              <w:spacing w:before="0" w:after="0"/>
              <w:jc w:val="center"/>
            </w:pPr>
            <w:r w:rsidRPr="001C7C35">
              <w:t>Programme de travail et projet de table des matières</w:t>
            </w:r>
          </w:p>
        </w:tc>
        <w:tc>
          <w:tcPr>
            <w:tcW w:w="2126" w:type="dxa"/>
            <w:shd w:val="clear" w:color="auto" w:fill="D9D9D9" w:themeFill="background1" w:themeFillShade="D9"/>
          </w:tcPr>
          <w:p w:rsidR="00FE7A71" w:rsidRPr="001C7C35" w:rsidRDefault="00FE7A71" w:rsidP="000073BC">
            <w:pPr>
              <w:pStyle w:val="Tabletext10pt"/>
              <w:spacing w:before="0" w:after="0"/>
              <w:jc w:val="center"/>
            </w:pPr>
            <w:r w:rsidRPr="001C7C35">
              <w:t>Rédaction, études de cas, etc.</w:t>
            </w:r>
          </w:p>
        </w:tc>
        <w:tc>
          <w:tcPr>
            <w:tcW w:w="1985" w:type="dxa"/>
            <w:shd w:val="clear" w:color="auto" w:fill="F2E26A"/>
          </w:tcPr>
          <w:p w:rsidR="00FE7A71" w:rsidRPr="001C7C35" w:rsidRDefault="00FE7A71" w:rsidP="000073BC">
            <w:pPr>
              <w:pStyle w:val="Tabletext10pt"/>
              <w:spacing w:before="0" w:after="0"/>
              <w:jc w:val="center"/>
            </w:pPr>
            <w:r w:rsidRPr="001C7C35">
              <w:t>Rapport d'activité annuel, produits annuels</w:t>
            </w:r>
          </w:p>
        </w:tc>
        <w:tc>
          <w:tcPr>
            <w:tcW w:w="2083" w:type="dxa"/>
            <w:shd w:val="clear" w:color="auto" w:fill="D9D9D9" w:themeFill="background1" w:themeFillShade="D9"/>
          </w:tcPr>
          <w:p w:rsidR="00FE7A71" w:rsidRPr="001C7C35" w:rsidRDefault="00FE7A71" w:rsidP="000073BC">
            <w:pPr>
              <w:pStyle w:val="Tabletext10pt"/>
              <w:spacing w:before="0" w:after="0"/>
              <w:jc w:val="center"/>
            </w:pPr>
            <w:r w:rsidRPr="001C7C35">
              <w:t>Rédaction, études de cas, etc.</w:t>
            </w:r>
          </w:p>
        </w:tc>
        <w:tc>
          <w:tcPr>
            <w:tcW w:w="2174" w:type="dxa"/>
            <w:shd w:val="clear" w:color="auto" w:fill="F2E26A"/>
          </w:tcPr>
          <w:p w:rsidR="00FE7A71" w:rsidRPr="001C7C35" w:rsidRDefault="00FE7A71" w:rsidP="000073BC">
            <w:pPr>
              <w:pStyle w:val="Tabletext10pt"/>
              <w:spacing w:before="0" w:after="0"/>
              <w:jc w:val="center"/>
            </w:pPr>
            <w:r w:rsidRPr="001C7C35">
              <w:t>Rapport d'activité annuel, produits annuels</w:t>
            </w:r>
          </w:p>
        </w:tc>
        <w:tc>
          <w:tcPr>
            <w:tcW w:w="1554" w:type="dxa"/>
            <w:shd w:val="clear" w:color="auto" w:fill="D9D9D9" w:themeFill="background1" w:themeFillShade="D9"/>
          </w:tcPr>
          <w:p w:rsidR="00FE7A71" w:rsidRPr="001C7C35" w:rsidRDefault="00FE7A71" w:rsidP="000073BC">
            <w:pPr>
              <w:pStyle w:val="Tabletext10pt"/>
              <w:spacing w:before="0" w:after="0"/>
              <w:jc w:val="center"/>
            </w:pPr>
            <w:r w:rsidRPr="001C7C35">
              <w:t>Rédaction, etc.</w:t>
            </w:r>
          </w:p>
        </w:tc>
        <w:tc>
          <w:tcPr>
            <w:tcW w:w="2415" w:type="dxa"/>
            <w:gridSpan w:val="3"/>
            <w:shd w:val="clear" w:color="auto" w:fill="F2E26A"/>
          </w:tcPr>
          <w:p w:rsidR="00FE7A71" w:rsidRPr="001C7C35" w:rsidRDefault="00FE7A71" w:rsidP="000073BC">
            <w:pPr>
              <w:pStyle w:val="Tabletext10pt"/>
              <w:spacing w:before="0" w:after="0"/>
              <w:jc w:val="center"/>
            </w:pPr>
            <w:r w:rsidRPr="001C7C35">
              <w:t>Rapport(s) final(s), lignes directrices, projets de Recommandation</w:t>
            </w:r>
          </w:p>
        </w:tc>
      </w:tr>
      <w:tr w:rsidR="00FE7A71" w:rsidRPr="001C7C35" w:rsidTr="0059456F">
        <w:tc>
          <w:tcPr>
            <w:tcW w:w="1031" w:type="dxa"/>
            <w:vMerge w:val="restart"/>
            <w:shd w:val="clear" w:color="auto" w:fill="E9832F"/>
            <w:vAlign w:val="center"/>
          </w:tcPr>
          <w:p w:rsidR="00FE7A71" w:rsidRPr="001C7C35" w:rsidRDefault="00FE7A71" w:rsidP="000073BC">
            <w:pPr>
              <w:pStyle w:val="Tabletext"/>
              <w:spacing w:before="0" w:after="0"/>
              <w:jc w:val="center"/>
            </w:pPr>
            <w:r w:rsidRPr="001C7C35">
              <w:t>Q 6/2</w:t>
            </w:r>
          </w:p>
        </w:tc>
        <w:tc>
          <w:tcPr>
            <w:tcW w:w="13853" w:type="dxa"/>
            <w:gridSpan w:val="9"/>
            <w:shd w:val="clear" w:color="auto" w:fill="E9832F"/>
            <w:vAlign w:val="center"/>
          </w:tcPr>
          <w:p w:rsidR="00FE7A71" w:rsidRPr="001C7C35" w:rsidRDefault="00FE7A71" w:rsidP="000073BC">
            <w:pPr>
              <w:pStyle w:val="Tabletext10pt"/>
              <w:spacing w:before="0" w:after="0"/>
              <w:jc w:val="center"/>
            </w:pPr>
            <w:r w:rsidRPr="001C7C35">
              <w:t>L'accent est mis dans la Question sur les stratégies, les lignes directrices et les bonnes pratiques</w:t>
            </w:r>
          </w:p>
        </w:tc>
      </w:tr>
      <w:tr w:rsidR="00FE7A71" w:rsidRPr="001C7C35" w:rsidTr="0059456F">
        <w:tc>
          <w:tcPr>
            <w:tcW w:w="1031" w:type="dxa"/>
            <w:vMerge/>
            <w:vAlign w:val="center"/>
          </w:tcPr>
          <w:p w:rsidR="00FE7A71" w:rsidRPr="001C7C35" w:rsidRDefault="00FE7A71" w:rsidP="000073BC">
            <w:pPr>
              <w:pStyle w:val="Tabletext"/>
              <w:spacing w:before="0" w:after="0"/>
              <w:jc w:val="center"/>
            </w:pPr>
          </w:p>
        </w:tc>
        <w:tc>
          <w:tcPr>
            <w:tcW w:w="1516" w:type="dxa"/>
            <w:shd w:val="clear" w:color="auto" w:fill="F0AC74"/>
          </w:tcPr>
          <w:p w:rsidR="00FE7A71" w:rsidRPr="001C7C35" w:rsidRDefault="00FE7A71" w:rsidP="000073BC">
            <w:pPr>
              <w:pStyle w:val="Tabletext10pt"/>
              <w:spacing w:before="0" w:after="0"/>
              <w:jc w:val="center"/>
            </w:pPr>
            <w:r w:rsidRPr="001C7C35">
              <w:t>Programme de travail et projet de table des matières</w:t>
            </w:r>
          </w:p>
        </w:tc>
        <w:tc>
          <w:tcPr>
            <w:tcW w:w="2126" w:type="dxa"/>
            <w:shd w:val="clear" w:color="auto" w:fill="D9D9D9" w:themeFill="background1" w:themeFillShade="D9"/>
          </w:tcPr>
          <w:p w:rsidR="00FE7A71" w:rsidRPr="001C7C35" w:rsidRDefault="00FE7A71" w:rsidP="000073BC">
            <w:pPr>
              <w:pStyle w:val="Tabletext10pt"/>
              <w:spacing w:before="0" w:after="0"/>
              <w:jc w:val="center"/>
            </w:pPr>
            <w:r w:rsidRPr="001C7C35">
              <w:t>Rédaction, études de cas, etc.</w:t>
            </w:r>
          </w:p>
        </w:tc>
        <w:tc>
          <w:tcPr>
            <w:tcW w:w="1985" w:type="dxa"/>
            <w:shd w:val="clear" w:color="auto" w:fill="F0AC74"/>
          </w:tcPr>
          <w:p w:rsidR="00FE7A71" w:rsidRPr="001C7C35" w:rsidRDefault="00FE7A71" w:rsidP="000073BC">
            <w:pPr>
              <w:pStyle w:val="Tabletext10pt"/>
              <w:spacing w:before="0" w:after="0"/>
              <w:jc w:val="center"/>
            </w:pPr>
            <w:r w:rsidRPr="001C7C35">
              <w:t>Rapport d'activité annuel, produit annuel</w:t>
            </w:r>
          </w:p>
        </w:tc>
        <w:tc>
          <w:tcPr>
            <w:tcW w:w="2083" w:type="dxa"/>
            <w:shd w:val="clear" w:color="auto" w:fill="D9D9D9" w:themeFill="background1" w:themeFillShade="D9"/>
          </w:tcPr>
          <w:p w:rsidR="00FE7A71" w:rsidRPr="001C7C35" w:rsidRDefault="00FE7A71" w:rsidP="000073BC">
            <w:pPr>
              <w:pStyle w:val="Tabletext10pt"/>
              <w:spacing w:before="0" w:after="0"/>
              <w:jc w:val="center"/>
            </w:pPr>
            <w:r w:rsidRPr="001C7C35">
              <w:t>Rédaction, études de cas, etc.</w:t>
            </w:r>
          </w:p>
        </w:tc>
        <w:tc>
          <w:tcPr>
            <w:tcW w:w="2174" w:type="dxa"/>
            <w:shd w:val="clear" w:color="auto" w:fill="F0AC74"/>
          </w:tcPr>
          <w:p w:rsidR="00FE7A71" w:rsidRPr="001C7C35" w:rsidRDefault="00FE7A71" w:rsidP="000073BC">
            <w:pPr>
              <w:pStyle w:val="Tabletext10pt"/>
              <w:spacing w:before="0" w:after="0"/>
              <w:jc w:val="center"/>
            </w:pPr>
            <w:r w:rsidRPr="001C7C35">
              <w:t>Rapport d'activité annuel, rapport intérimaire</w:t>
            </w:r>
          </w:p>
        </w:tc>
        <w:tc>
          <w:tcPr>
            <w:tcW w:w="1554" w:type="dxa"/>
            <w:shd w:val="clear" w:color="auto" w:fill="D9D9D9" w:themeFill="background1" w:themeFillShade="D9"/>
          </w:tcPr>
          <w:p w:rsidR="00FE7A71" w:rsidRPr="001C7C35" w:rsidRDefault="00FE7A71" w:rsidP="000073BC">
            <w:pPr>
              <w:pStyle w:val="Tabletext10pt"/>
              <w:spacing w:before="0" w:after="0"/>
              <w:jc w:val="center"/>
            </w:pPr>
            <w:r w:rsidRPr="001C7C35">
              <w:t>Rédaction, etc.</w:t>
            </w:r>
          </w:p>
        </w:tc>
        <w:tc>
          <w:tcPr>
            <w:tcW w:w="2415" w:type="dxa"/>
            <w:gridSpan w:val="3"/>
            <w:shd w:val="clear" w:color="auto" w:fill="F0AC74"/>
          </w:tcPr>
          <w:p w:rsidR="00FE7A71" w:rsidRPr="001C7C35" w:rsidRDefault="00FE7A71" w:rsidP="000073BC">
            <w:pPr>
              <w:pStyle w:val="Tabletext10pt"/>
              <w:spacing w:before="0" w:after="0"/>
              <w:jc w:val="center"/>
            </w:pPr>
            <w:r w:rsidRPr="001C7C35">
              <w:t>Rapport(s) final(s), lignes directrices, projets de Recommandation</w:t>
            </w:r>
          </w:p>
        </w:tc>
      </w:tr>
      <w:tr w:rsidR="00FE7A71" w:rsidRPr="001C7C35" w:rsidTr="0059456F">
        <w:tc>
          <w:tcPr>
            <w:tcW w:w="1031" w:type="dxa"/>
            <w:vMerge w:val="restart"/>
            <w:shd w:val="clear" w:color="auto" w:fill="FB3919"/>
            <w:vAlign w:val="center"/>
          </w:tcPr>
          <w:p w:rsidR="00FE7A71" w:rsidRPr="001C7C35" w:rsidRDefault="00FE7A71" w:rsidP="000073BC">
            <w:pPr>
              <w:pStyle w:val="Tabletext"/>
              <w:spacing w:before="0" w:after="0"/>
              <w:jc w:val="center"/>
            </w:pPr>
            <w:r w:rsidRPr="001C7C35">
              <w:t>Q 7/2</w:t>
            </w:r>
          </w:p>
        </w:tc>
        <w:tc>
          <w:tcPr>
            <w:tcW w:w="13853" w:type="dxa"/>
            <w:gridSpan w:val="9"/>
            <w:shd w:val="clear" w:color="auto" w:fill="FB3919"/>
            <w:vAlign w:val="center"/>
          </w:tcPr>
          <w:p w:rsidR="00FE7A71" w:rsidRPr="001C7C35" w:rsidRDefault="00FE7A71" w:rsidP="000073BC">
            <w:pPr>
              <w:pStyle w:val="Tabletext10pt"/>
              <w:spacing w:before="0" w:after="0"/>
              <w:jc w:val="center"/>
              <w:rPr>
                <w:sz w:val="24"/>
              </w:rPr>
            </w:pPr>
            <w:r w:rsidRPr="001C7C35">
              <w:t>L'accent est mis dans la Question sur les bonnes pratiques et les lignes directrices, ainsi que sur les ateliers et les séminaires pour échanger des données d'expérience et sensibiliser l'opinion.</w:t>
            </w:r>
          </w:p>
        </w:tc>
      </w:tr>
      <w:tr w:rsidR="00FE7A71" w:rsidRPr="001C7C35" w:rsidTr="0059456F">
        <w:tc>
          <w:tcPr>
            <w:tcW w:w="1031" w:type="dxa"/>
            <w:vMerge/>
            <w:tcBorders>
              <w:bottom w:val="single" w:sz="4" w:space="0" w:color="000000" w:themeColor="text1"/>
            </w:tcBorders>
            <w:vAlign w:val="center"/>
          </w:tcPr>
          <w:p w:rsidR="00FE7A71" w:rsidRPr="001C7C35" w:rsidRDefault="00FE7A71" w:rsidP="000073BC">
            <w:pPr>
              <w:pStyle w:val="Tabletext"/>
              <w:spacing w:before="0" w:after="0"/>
              <w:jc w:val="center"/>
            </w:pPr>
          </w:p>
        </w:tc>
        <w:tc>
          <w:tcPr>
            <w:tcW w:w="1516" w:type="dxa"/>
            <w:shd w:val="clear" w:color="auto" w:fill="FC8470"/>
          </w:tcPr>
          <w:p w:rsidR="00FE7A71" w:rsidRPr="001C7C35" w:rsidRDefault="00FE7A71" w:rsidP="000073BC">
            <w:pPr>
              <w:pStyle w:val="Tabletext10pt"/>
              <w:spacing w:before="0" w:after="0"/>
              <w:jc w:val="center"/>
            </w:pPr>
            <w:r w:rsidRPr="001C7C35">
              <w:t>Programme de travail et projet de table des matières</w:t>
            </w:r>
          </w:p>
        </w:tc>
        <w:tc>
          <w:tcPr>
            <w:tcW w:w="2126" w:type="dxa"/>
            <w:shd w:val="clear" w:color="auto" w:fill="D9D9D9" w:themeFill="background1" w:themeFillShade="D9"/>
          </w:tcPr>
          <w:p w:rsidR="00FE7A71" w:rsidRPr="001C7C35" w:rsidRDefault="00FE7A71" w:rsidP="000073BC">
            <w:pPr>
              <w:pStyle w:val="Tabletext10pt"/>
              <w:spacing w:before="0" w:after="0"/>
              <w:jc w:val="center"/>
            </w:pPr>
            <w:r w:rsidRPr="001C7C35">
              <w:t>Rédaction, études de cas, etc.</w:t>
            </w:r>
          </w:p>
        </w:tc>
        <w:tc>
          <w:tcPr>
            <w:tcW w:w="1985" w:type="dxa"/>
            <w:shd w:val="clear" w:color="auto" w:fill="FC8470"/>
          </w:tcPr>
          <w:p w:rsidR="00FE7A71" w:rsidRPr="001C7C35" w:rsidRDefault="00FE7A71" w:rsidP="000073BC">
            <w:pPr>
              <w:pStyle w:val="Tabletext10pt"/>
              <w:spacing w:before="0" w:after="0"/>
              <w:jc w:val="center"/>
            </w:pPr>
            <w:r w:rsidRPr="001C7C35">
              <w:t>Rapport d'activité annuel, rapport provisoire</w:t>
            </w:r>
          </w:p>
        </w:tc>
        <w:tc>
          <w:tcPr>
            <w:tcW w:w="2083" w:type="dxa"/>
            <w:shd w:val="clear" w:color="auto" w:fill="D9D9D9" w:themeFill="background1" w:themeFillShade="D9"/>
          </w:tcPr>
          <w:p w:rsidR="00FE7A71" w:rsidRPr="001C7C35" w:rsidRDefault="00FE7A71" w:rsidP="000073BC">
            <w:pPr>
              <w:pStyle w:val="Tabletext10pt"/>
              <w:spacing w:before="0" w:after="0"/>
              <w:jc w:val="center"/>
            </w:pPr>
            <w:r w:rsidRPr="001C7C35">
              <w:t>Rédaction, études de cas, etc.</w:t>
            </w:r>
          </w:p>
        </w:tc>
        <w:tc>
          <w:tcPr>
            <w:tcW w:w="2174" w:type="dxa"/>
            <w:shd w:val="clear" w:color="auto" w:fill="FC8470"/>
          </w:tcPr>
          <w:p w:rsidR="00FE7A71" w:rsidRPr="001C7C35" w:rsidRDefault="00FE7A71" w:rsidP="000073BC">
            <w:pPr>
              <w:pStyle w:val="Tabletext10pt"/>
              <w:spacing w:before="0" w:after="0"/>
              <w:jc w:val="center"/>
            </w:pPr>
            <w:r w:rsidRPr="001C7C35">
              <w:t>Rapport d'activité annuel, rapport provisoire</w:t>
            </w:r>
          </w:p>
        </w:tc>
        <w:tc>
          <w:tcPr>
            <w:tcW w:w="1554" w:type="dxa"/>
            <w:shd w:val="clear" w:color="auto" w:fill="D9D9D9" w:themeFill="background1" w:themeFillShade="D9"/>
          </w:tcPr>
          <w:p w:rsidR="00FE7A71" w:rsidRPr="001C7C35" w:rsidRDefault="00FE7A71" w:rsidP="000073BC">
            <w:pPr>
              <w:pStyle w:val="Tabletext10pt"/>
              <w:spacing w:before="0" w:after="0"/>
              <w:jc w:val="center"/>
            </w:pPr>
            <w:r w:rsidRPr="001C7C35">
              <w:t>Rédaction, etc.</w:t>
            </w:r>
          </w:p>
        </w:tc>
        <w:tc>
          <w:tcPr>
            <w:tcW w:w="2415" w:type="dxa"/>
            <w:gridSpan w:val="3"/>
            <w:shd w:val="clear" w:color="auto" w:fill="FC8470"/>
          </w:tcPr>
          <w:p w:rsidR="00FE7A71" w:rsidRPr="001C7C35" w:rsidRDefault="00FE7A71" w:rsidP="000073BC">
            <w:pPr>
              <w:pStyle w:val="Tabletext10pt"/>
              <w:spacing w:before="0" w:after="0"/>
              <w:jc w:val="center"/>
            </w:pPr>
            <w:r w:rsidRPr="001C7C35">
              <w:t>Rapport(s) final(s), lignes directrices, projets de Recommandation</w:t>
            </w:r>
          </w:p>
        </w:tc>
      </w:tr>
      <w:tr w:rsidR="00FE7A71" w:rsidRPr="001C7C35" w:rsidTr="0059456F">
        <w:tc>
          <w:tcPr>
            <w:tcW w:w="1031" w:type="dxa"/>
            <w:tcBorders>
              <w:left w:val="nil"/>
              <w:bottom w:val="nil"/>
            </w:tcBorders>
            <w:vAlign w:val="center"/>
          </w:tcPr>
          <w:p w:rsidR="00FE7A71" w:rsidRPr="001C7C35" w:rsidRDefault="00FE7A71" w:rsidP="000073BC">
            <w:pPr>
              <w:pStyle w:val="Tabletext"/>
              <w:spacing w:before="0" w:after="0"/>
              <w:jc w:val="center"/>
              <w:rPr>
                <w:color w:val="FFFFFF" w:themeColor="background1"/>
              </w:rPr>
            </w:pPr>
          </w:p>
        </w:tc>
        <w:tc>
          <w:tcPr>
            <w:tcW w:w="1516" w:type="dxa"/>
            <w:shd w:val="clear" w:color="auto" w:fill="000000" w:themeFill="text1"/>
          </w:tcPr>
          <w:p w:rsidR="00FE7A71" w:rsidRPr="001C7C35" w:rsidRDefault="00FE7A71" w:rsidP="000073BC">
            <w:pPr>
              <w:pStyle w:val="Tabletext10pt"/>
              <w:spacing w:before="0" w:after="0"/>
              <w:jc w:val="center"/>
              <w:rPr>
                <w:color w:val="FFFFFF" w:themeColor="background1"/>
              </w:rPr>
            </w:pPr>
            <w:r w:rsidRPr="001C7C35">
              <w:rPr>
                <w:color w:val="FFFFFF" w:themeColor="background1"/>
              </w:rPr>
              <w:t>Séances d'information sur les outils disponibles, les méthodes de travail, etc.</w:t>
            </w:r>
          </w:p>
        </w:tc>
        <w:tc>
          <w:tcPr>
            <w:tcW w:w="2126" w:type="dxa"/>
          </w:tcPr>
          <w:p w:rsidR="00FE7A71" w:rsidRPr="001C7C35" w:rsidRDefault="00FE7A71" w:rsidP="000073BC">
            <w:pPr>
              <w:pStyle w:val="Tabletext10pt"/>
              <w:spacing w:before="0" w:after="0"/>
              <w:jc w:val="center"/>
              <w:rPr>
                <w:color w:val="FFFFFF" w:themeColor="background1"/>
              </w:rPr>
            </w:pPr>
          </w:p>
        </w:tc>
        <w:tc>
          <w:tcPr>
            <w:tcW w:w="1985" w:type="dxa"/>
            <w:shd w:val="clear" w:color="auto" w:fill="000000" w:themeFill="text1"/>
          </w:tcPr>
          <w:p w:rsidR="00FE7A71" w:rsidRPr="001C7C35" w:rsidRDefault="00FE7A71" w:rsidP="000073BC">
            <w:pPr>
              <w:pStyle w:val="Tabletext10pt"/>
              <w:spacing w:before="0" w:after="0"/>
              <w:jc w:val="center"/>
              <w:rPr>
                <w:color w:val="FFFFFF" w:themeColor="background1"/>
              </w:rPr>
            </w:pPr>
            <w:r w:rsidRPr="001C7C35">
              <w:rPr>
                <w:color w:val="FFFFFF" w:themeColor="background1"/>
              </w:rPr>
              <w:t>Enquêtes éventuelles à communiquer pour approbation à la réunion de la CE 2</w:t>
            </w:r>
          </w:p>
        </w:tc>
        <w:tc>
          <w:tcPr>
            <w:tcW w:w="2083" w:type="dxa"/>
          </w:tcPr>
          <w:p w:rsidR="00FE7A71" w:rsidRPr="001C7C35" w:rsidRDefault="00FE7A71" w:rsidP="000073BC">
            <w:pPr>
              <w:pStyle w:val="Tabletext10pt"/>
              <w:spacing w:before="0" w:after="0"/>
              <w:jc w:val="center"/>
              <w:rPr>
                <w:color w:val="FFFFFF" w:themeColor="background1"/>
              </w:rPr>
            </w:pPr>
          </w:p>
        </w:tc>
        <w:tc>
          <w:tcPr>
            <w:tcW w:w="2174" w:type="dxa"/>
            <w:shd w:val="clear" w:color="auto" w:fill="000000" w:themeFill="text1"/>
          </w:tcPr>
          <w:p w:rsidR="00FE7A71" w:rsidRPr="001C7C35" w:rsidRDefault="00FE7A71" w:rsidP="000073BC">
            <w:pPr>
              <w:pStyle w:val="Tabletext10pt"/>
              <w:spacing w:before="0" w:after="0"/>
              <w:jc w:val="center"/>
              <w:rPr>
                <w:color w:val="FFFFFF" w:themeColor="background1"/>
              </w:rPr>
            </w:pPr>
            <w:r w:rsidRPr="001C7C35">
              <w:rPr>
                <w:color w:val="FFFFFF" w:themeColor="background1"/>
              </w:rPr>
              <w:t xml:space="preserve">Résultats de l'enquête à analyser et à intégrer. </w:t>
            </w:r>
            <w:r w:rsidRPr="001C7C35">
              <w:rPr>
                <w:color w:val="FFFFFF" w:themeColor="background1"/>
              </w:rPr>
              <w:br/>
              <w:t>Etudes de cas versées dans la bibliothèque.</w:t>
            </w:r>
            <w:r w:rsidRPr="001C7C35">
              <w:rPr>
                <w:color w:val="FFFFFF" w:themeColor="background1"/>
              </w:rPr>
              <w:br/>
              <w:t>Avenir des Questions</w:t>
            </w:r>
          </w:p>
        </w:tc>
        <w:tc>
          <w:tcPr>
            <w:tcW w:w="1554" w:type="dxa"/>
            <w:shd w:val="clear" w:color="auto" w:fill="FFFFFF" w:themeFill="background1"/>
          </w:tcPr>
          <w:p w:rsidR="00FE7A71" w:rsidRPr="001C7C35" w:rsidRDefault="00FE7A71" w:rsidP="000073BC">
            <w:pPr>
              <w:pStyle w:val="Tabletext10pt"/>
              <w:spacing w:before="0" w:after="0"/>
              <w:jc w:val="center"/>
              <w:rPr>
                <w:color w:val="FFFFFF" w:themeColor="background1"/>
              </w:rPr>
            </w:pPr>
          </w:p>
        </w:tc>
        <w:tc>
          <w:tcPr>
            <w:tcW w:w="2415" w:type="dxa"/>
            <w:gridSpan w:val="3"/>
            <w:shd w:val="clear" w:color="auto" w:fill="000000" w:themeFill="text1"/>
          </w:tcPr>
          <w:p w:rsidR="00FE7A71" w:rsidRPr="001C7C35" w:rsidRDefault="00FE7A71" w:rsidP="000073BC">
            <w:pPr>
              <w:pStyle w:val="Tabletext10pt"/>
              <w:spacing w:before="0" w:after="0"/>
              <w:jc w:val="center"/>
              <w:rPr>
                <w:color w:val="FFFFFF" w:themeColor="background1"/>
                <w:sz w:val="24"/>
              </w:rPr>
            </w:pPr>
            <w:r w:rsidRPr="001C7C35">
              <w:rPr>
                <w:color w:val="FFFFFF" w:themeColor="background1"/>
              </w:rPr>
              <w:t>Accord concernant les produits attendus qui seront présentés à la CMDT-21, avenir des Questions et propositions d'amélioration</w:t>
            </w:r>
          </w:p>
        </w:tc>
      </w:tr>
    </w:tbl>
    <w:p w:rsidR="00FE7A71" w:rsidRPr="001C7C35" w:rsidRDefault="0059456F" w:rsidP="000073BC">
      <w:pPr>
        <w:tabs>
          <w:tab w:val="clear" w:pos="794"/>
          <w:tab w:val="left" w:pos="426"/>
        </w:tabs>
        <w:spacing w:before="240"/>
      </w:pPr>
      <w:r w:rsidRPr="001C7C35">
        <w:rPr>
          <w:noProof/>
          <w:lang w:eastAsia="zh-CN"/>
        </w:rPr>
        <mc:AlternateContent>
          <mc:Choice Requires="wps">
            <w:drawing>
              <wp:anchor distT="45720" distB="45720" distL="114300" distR="114300" simplePos="0" relativeHeight="251661312" behindDoc="0" locked="0" layoutInCell="1" allowOverlap="1" wp14:anchorId="34E24206" wp14:editId="670BBE4A">
                <wp:simplePos x="0" y="0"/>
                <wp:positionH relativeFrom="column">
                  <wp:posOffset>8857082</wp:posOffset>
                </wp:positionH>
                <wp:positionV relativeFrom="paragraph">
                  <wp:posOffset>-4859262</wp:posOffset>
                </wp:positionV>
                <wp:extent cx="651510" cy="202613"/>
                <wp:effectExtent l="0" t="4128" r="11113" b="11112"/>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51510" cy="202613"/>
                        </a:xfrm>
                        <a:prstGeom prst="rect">
                          <a:avLst/>
                        </a:prstGeom>
                        <a:solidFill>
                          <a:srgbClr val="FFFFFF"/>
                        </a:solidFill>
                        <a:ln w="9525">
                          <a:solidFill>
                            <a:srgbClr val="000000"/>
                          </a:solidFill>
                          <a:miter lim="800000"/>
                          <a:headEnd/>
                          <a:tailEnd/>
                        </a:ln>
                      </wps:spPr>
                      <wps:txbx>
                        <w:txbxContent>
                          <w:p w:rsidR="008662C3" w:rsidRPr="00362F5F" w:rsidRDefault="008662C3" w:rsidP="0059456F">
                            <w:pPr>
                              <w:spacing w:before="60"/>
                              <w:jc w:val="center"/>
                              <w:rPr>
                                <w:sz w:val="16"/>
                                <w:szCs w:val="16"/>
                                <w:lang w:val="en-US"/>
                              </w:rPr>
                            </w:pPr>
                            <w:r w:rsidRPr="00362F5F">
                              <w:rPr>
                                <w:sz w:val="16"/>
                                <w:szCs w:val="16"/>
                              </w:rPr>
                              <w:t>CMDT-21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24206" id="_x0000_s1027" type="#_x0000_t202" style="position:absolute;margin-left:697.4pt;margin-top:-382.6pt;width:51.3pt;height:15.95pt;rotation:9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">
                <v:textbox inset="0,0,0,0">
                  <w:txbxContent>
                    <w:p w:rsidR="008662C3" w:rsidRPr="00362F5F" w:rsidRDefault="008662C3" w:rsidP="0059456F">
                      <w:pPr>
                        <w:spacing w:before="60"/>
                        <w:jc w:val="center"/>
                        <w:rPr>
                          <w:sz w:val="16"/>
                          <w:szCs w:val="16"/>
                          <w:lang w:val="en-US"/>
                        </w:rPr>
                      </w:pPr>
                      <w:r w:rsidRPr="00362F5F">
                        <w:rPr>
                          <w:sz w:val="16"/>
                          <w:szCs w:val="16"/>
                        </w:rPr>
                        <w:t>CMDT-21</w:t>
                      </w:r>
                    </w:p>
                  </w:txbxContent>
                </v:textbox>
              </v:shape>
            </w:pict>
          </mc:Fallback>
        </mc:AlternateContent>
      </w:r>
      <w:r w:rsidR="00FE7A71" w:rsidRPr="001C7C35">
        <w:t>*</w:t>
      </w:r>
      <w:r w:rsidR="00FE7A71" w:rsidRPr="001C7C35">
        <w:tab/>
        <w:t>Réunion de l'équipe de direction de la CE 2.</w:t>
      </w:r>
    </w:p>
    <w:p w:rsidR="00FE7A71" w:rsidRPr="001C7C35" w:rsidRDefault="00FE7A71" w:rsidP="000073BC">
      <w:pPr>
        <w:pStyle w:val="Reasons"/>
      </w:pPr>
    </w:p>
    <w:p w:rsidR="0088596F" w:rsidRPr="001C7C35" w:rsidRDefault="00FE7A71" w:rsidP="0088596F">
      <w:pPr>
        <w:jc w:val="center"/>
      </w:pPr>
      <w:r w:rsidRPr="001C7C35">
        <w:t>______________</w:t>
      </w:r>
    </w:p>
    <w:sectPr w:rsidR="0088596F" w:rsidRPr="001C7C35" w:rsidSect="00C71105">
      <w:headerReference w:type="default" r:id="rId53"/>
      <w:headerReference w:type="first" r:id="rId54"/>
      <w:footerReference w:type="first" r:id="rId55"/>
      <w:pgSz w:w="16834" w:h="11907" w:orient="landscape" w:code="9"/>
      <w:pgMar w:top="1134" w:right="1417" w:bottom="1134" w:left="1417"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2C3" w:rsidRDefault="008662C3">
      <w:r>
        <w:separator/>
      </w:r>
    </w:p>
  </w:endnote>
  <w:endnote w:type="continuationSeparator" w:id="0">
    <w:p w:rsidR="008662C3" w:rsidRDefault="0086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altName w:val="Times New Roman"/>
    <w:charset w:val="00"/>
    <w:family w:val="roman"/>
    <w:pitch w:val="variable"/>
    <w:sig w:usb0="00002003" w:usb1="00000000" w:usb2="00000000"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2C3" w:rsidRPr="00B35442" w:rsidRDefault="008662C3" w:rsidP="00897453">
    <w:pPr>
      <w:pStyle w:val="Footer"/>
      <w:rPr>
        <w:caps w:val="0"/>
        <w:szCs w:val="16"/>
        <w:lang w:val="en-US"/>
      </w:rPr>
    </w:pPr>
    <w:r w:rsidRPr="00CA71CE">
      <w:rPr>
        <w:caps w:val="0"/>
        <w:szCs w:val="16"/>
      </w:rPr>
      <w:fldChar w:fldCharType="begin"/>
    </w:r>
    <w:r w:rsidRPr="00B35442">
      <w:rPr>
        <w:caps w:val="0"/>
        <w:szCs w:val="16"/>
        <w:lang w:val="en-US"/>
      </w:rPr>
      <w:instrText xml:space="preserve"> FILENAME \p \* MERGEFORMAT </w:instrText>
    </w:r>
    <w:r w:rsidRPr="00CA71CE">
      <w:rPr>
        <w:caps w:val="0"/>
        <w:szCs w:val="16"/>
      </w:rPr>
      <w:fldChar w:fldCharType="separate"/>
    </w:r>
    <w:r>
      <w:rPr>
        <w:caps w:val="0"/>
        <w:szCs w:val="16"/>
        <w:lang w:val="en-US"/>
      </w:rPr>
      <w:t>P:\FRA\ITU-D\CONF-D\TDAG19\000\013REV1F.docx</w:t>
    </w:r>
    <w:r w:rsidRPr="00CA71CE">
      <w:rPr>
        <w:caps w:val="0"/>
        <w:szCs w:val="16"/>
        <w:lang w:val="en-US"/>
      </w:rPr>
      <w:fldChar w:fldCharType="end"/>
    </w:r>
    <w:r>
      <w:rPr>
        <w:caps w:val="0"/>
        <w:szCs w:val="16"/>
        <w:lang w:val="en-US"/>
      </w:rPr>
      <w:t xml:space="preserve"> (45308</w:t>
    </w:r>
    <w:r w:rsidRPr="00B35442">
      <w:rPr>
        <w:caps w:val="0"/>
        <w:szCs w:val="16"/>
        <w:lang w:val="en-US"/>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8662C3" w:rsidRPr="00963572" w:rsidTr="0077767E">
      <w:tc>
        <w:tcPr>
          <w:tcW w:w="1526" w:type="dxa"/>
          <w:tcBorders>
            <w:top w:val="single" w:sz="4" w:space="0" w:color="000000"/>
          </w:tcBorders>
          <w:shd w:val="clear" w:color="auto" w:fill="auto"/>
        </w:tcPr>
        <w:p w:rsidR="008662C3" w:rsidRPr="004D495C" w:rsidRDefault="008662C3" w:rsidP="00963572">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8662C3" w:rsidRPr="004D495C" w:rsidRDefault="008662C3" w:rsidP="00963572">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rsidR="008662C3" w:rsidRPr="00963572" w:rsidRDefault="008662C3" w:rsidP="00963572">
          <w:pPr>
            <w:pStyle w:val="FirstFooter"/>
            <w:tabs>
              <w:tab w:val="left" w:pos="2302"/>
            </w:tabs>
            <w:ind w:left="2302" w:hanging="2302"/>
            <w:rPr>
              <w:sz w:val="18"/>
              <w:szCs w:val="18"/>
              <w:lang w:val="fr-CH"/>
            </w:rPr>
          </w:pPr>
          <w:bookmarkStart w:id="53" w:name="OrgName"/>
          <w:bookmarkEnd w:id="53"/>
          <w:r w:rsidRPr="00963572">
            <w:rPr>
              <w:sz w:val="18"/>
              <w:szCs w:val="18"/>
              <w:lang w:val="fr-CH"/>
            </w:rPr>
            <w:t xml:space="preserve">M. </w:t>
          </w:r>
          <w:r>
            <w:rPr>
              <w:sz w:val="18"/>
              <w:szCs w:val="18"/>
              <w:lang w:val="fr-CH"/>
            </w:rPr>
            <w:t xml:space="preserve">Ahmad Reza Sharafat, Président de la </w:t>
          </w:r>
          <w:r w:rsidRPr="00963572">
            <w:rPr>
              <w:sz w:val="18"/>
              <w:szCs w:val="18"/>
              <w:lang w:val="fr-CH"/>
            </w:rPr>
            <w:t>Commission d'études 2 de l'UIT-D</w:t>
          </w:r>
        </w:p>
      </w:tc>
    </w:tr>
    <w:tr w:rsidR="008662C3" w:rsidRPr="00963572" w:rsidTr="0077767E">
      <w:tc>
        <w:tcPr>
          <w:tcW w:w="1526" w:type="dxa"/>
          <w:shd w:val="clear" w:color="auto" w:fill="auto"/>
        </w:tcPr>
        <w:p w:rsidR="008662C3" w:rsidRPr="00963572" w:rsidRDefault="008662C3" w:rsidP="00963572">
          <w:pPr>
            <w:pStyle w:val="FirstFooter"/>
            <w:tabs>
              <w:tab w:val="left" w:pos="1559"/>
              <w:tab w:val="left" w:pos="3828"/>
            </w:tabs>
            <w:rPr>
              <w:sz w:val="20"/>
              <w:lang w:val="fr-CH"/>
            </w:rPr>
          </w:pPr>
        </w:p>
      </w:tc>
      <w:tc>
        <w:tcPr>
          <w:tcW w:w="2410" w:type="dxa"/>
          <w:shd w:val="clear" w:color="auto" w:fill="auto"/>
        </w:tcPr>
        <w:p w:rsidR="008662C3" w:rsidRPr="004D495C" w:rsidRDefault="008662C3" w:rsidP="00963572">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shd w:val="clear" w:color="auto" w:fill="auto"/>
        </w:tcPr>
        <w:p w:rsidR="008662C3" w:rsidRPr="00136282" w:rsidRDefault="008662C3" w:rsidP="00963572">
          <w:pPr>
            <w:pStyle w:val="FirstFooter"/>
            <w:tabs>
              <w:tab w:val="left" w:pos="2302"/>
            </w:tabs>
            <w:rPr>
              <w:sz w:val="18"/>
              <w:szCs w:val="18"/>
              <w:lang w:val="en-US"/>
            </w:rPr>
          </w:pPr>
          <w:bookmarkStart w:id="54" w:name="PhoneNo"/>
          <w:bookmarkEnd w:id="54"/>
          <w:r w:rsidRPr="00136282">
            <w:rPr>
              <w:sz w:val="18"/>
              <w:szCs w:val="18"/>
              <w:lang w:val="en-US"/>
            </w:rPr>
            <w:t xml:space="preserve">+98 912 106 1716, </w:t>
          </w:r>
          <w:r w:rsidRPr="00963572">
            <w:rPr>
              <w:sz w:val="18"/>
              <w:szCs w:val="18"/>
              <w:lang w:val="en-GB"/>
            </w:rPr>
            <w:t>+41 76 622 7447</w:t>
          </w:r>
        </w:p>
      </w:tc>
    </w:tr>
    <w:tr w:rsidR="008662C3" w:rsidRPr="004D495C" w:rsidTr="0077767E">
      <w:tc>
        <w:tcPr>
          <w:tcW w:w="1526" w:type="dxa"/>
          <w:shd w:val="clear" w:color="auto" w:fill="auto"/>
        </w:tcPr>
        <w:p w:rsidR="008662C3" w:rsidRPr="004D495C" w:rsidRDefault="008662C3" w:rsidP="00963572">
          <w:pPr>
            <w:pStyle w:val="FirstFooter"/>
            <w:tabs>
              <w:tab w:val="left" w:pos="1559"/>
              <w:tab w:val="left" w:pos="3828"/>
            </w:tabs>
            <w:rPr>
              <w:sz w:val="20"/>
              <w:lang w:val="en-US"/>
            </w:rPr>
          </w:pPr>
        </w:p>
      </w:tc>
      <w:tc>
        <w:tcPr>
          <w:tcW w:w="2410" w:type="dxa"/>
          <w:shd w:val="clear" w:color="auto" w:fill="auto"/>
        </w:tcPr>
        <w:p w:rsidR="008662C3" w:rsidRPr="004D495C" w:rsidRDefault="008662C3" w:rsidP="00963572">
          <w:pPr>
            <w:pStyle w:val="FirstFooter"/>
            <w:tabs>
              <w:tab w:val="left" w:pos="2302"/>
            </w:tabs>
            <w:rPr>
              <w:sz w:val="18"/>
              <w:szCs w:val="18"/>
              <w:lang w:val="en-US"/>
            </w:rPr>
          </w:pPr>
          <w:r>
            <w:rPr>
              <w:sz w:val="18"/>
              <w:szCs w:val="18"/>
              <w:lang w:val="en-US"/>
            </w:rPr>
            <w:t>Courriel:</w:t>
          </w:r>
        </w:p>
      </w:tc>
      <w:bookmarkStart w:id="55" w:name="Email"/>
      <w:bookmarkEnd w:id="55"/>
      <w:tc>
        <w:tcPr>
          <w:tcW w:w="5987" w:type="dxa"/>
          <w:shd w:val="clear" w:color="auto" w:fill="auto"/>
        </w:tcPr>
        <w:p w:rsidR="008662C3" w:rsidRPr="00136282" w:rsidRDefault="008662C3" w:rsidP="00963572">
          <w:pPr>
            <w:pStyle w:val="FirstFooter"/>
            <w:tabs>
              <w:tab w:val="left" w:pos="2302"/>
            </w:tabs>
            <w:rPr>
              <w:sz w:val="18"/>
              <w:szCs w:val="18"/>
              <w:lang w:val="en-US"/>
            </w:rPr>
          </w:pPr>
          <w:r>
            <w:rPr>
              <w:rStyle w:val="Hyperlink"/>
              <w:sz w:val="18"/>
              <w:szCs w:val="18"/>
            </w:rPr>
            <w:fldChar w:fldCharType="begin"/>
          </w:r>
          <w:r w:rsidRPr="00963572">
            <w:rPr>
              <w:rStyle w:val="Hyperlink"/>
              <w:sz w:val="18"/>
              <w:szCs w:val="18"/>
              <w:lang w:val="en-GB"/>
            </w:rPr>
            <w:instrText xml:space="preserve"> HYPERLINK "mailto:ahmad.sharafat@gmail.com" </w:instrText>
          </w:r>
          <w:r>
            <w:rPr>
              <w:rStyle w:val="Hyperlink"/>
              <w:sz w:val="18"/>
              <w:szCs w:val="18"/>
            </w:rPr>
            <w:fldChar w:fldCharType="separate"/>
          </w:r>
          <w:r w:rsidRPr="00963572">
            <w:rPr>
              <w:rStyle w:val="Hyperlink"/>
              <w:sz w:val="18"/>
              <w:szCs w:val="18"/>
              <w:lang w:val="en-GB"/>
            </w:rPr>
            <w:t>ahmad.shar</w:t>
          </w:r>
          <w:r w:rsidRPr="00136282">
            <w:rPr>
              <w:rStyle w:val="Hyperlink"/>
              <w:sz w:val="18"/>
              <w:szCs w:val="18"/>
            </w:rPr>
            <w:t>afat@gmail.com</w:t>
          </w:r>
          <w:r>
            <w:rPr>
              <w:rStyle w:val="Hyperlink"/>
              <w:sz w:val="18"/>
              <w:szCs w:val="18"/>
            </w:rPr>
            <w:fldChar w:fldCharType="end"/>
          </w:r>
        </w:p>
      </w:tc>
    </w:tr>
  </w:tbl>
  <w:p w:rsidR="008662C3" w:rsidRPr="008802F9" w:rsidRDefault="008662C3" w:rsidP="0002425E">
    <w:pPr>
      <w:pStyle w:val="Footer"/>
      <w:spacing w:before="120"/>
      <w:jc w:val="center"/>
    </w:pPr>
    <w:hyperlink r:id="rId1" w:history="1">
      <w:r>
        <w:rPr>
          <w:rStyle w:val="Hyperlink"/>
          <w:caps w:val="0"/>
          <w:noProof w:val="0"/>
          <w:sz w:val="18"/>
          <w:szCs w:val="18"/>
          <w:lang w:val="fr-CH"/>
        </w:rPr>
        <w:t>GCDT</w:t>
      </w:r>
    </w:hyperlink>
    <w:hyperlink r:id="rId2"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2C3" w:rsidRPr="00321358" w:rsidRDefault="008662C3" w:rsidP="006F57C5">
    <w:pPr>
      <w:pStyle w:val="Footer"/>
      <w:rPr>
        <w:caps w:val="0"/>
        <w:sz w:val="18"/>
        <w:szCs w:val="18"/>
      </w:rPr>
    </w:pPr>
    <w:r w:rsidRPr="003125C3">
      <w:rPr>
        <w:caps w:val="0"/>
        <w:sz w:val="18"/>
        <w:szCs w:val="18"/>
      </w:rPr>
      <w:fldChar w:fldCharType="begin"/>
    </w:r>
    <w:r w:rsidRPr="00321358">
      <w:rPr>
        <w:caps w:val="0"/>
        <w:sz w:val="18"/>
        <w:szCs w:val="18"/>
      </w:rPr>
      <w:instrText xml:space="preserve"> FILENAME \p \* MERGEFORMAT </w:instrText>
    </w:r>
    <w:r w:rsidRPr="003125C3">
      <w:rPr>
        <w:caps w:val="0"/>
        <w:sz w:val="18"/>
        <w:szCs w:val="18"/>
      </w:rPr>
      <w:fldChar w:fldCharType="separate"/>
    </w:r>
    <w:r>
      <w:rPr>
        <w:caps w:val="0"/>
        <w:sz w:val="18"/>
        <w:szCs w:val="18"/>
      </w:rPr>
      <w:t>P:\FRA\ITU-D\CONF-D\TDAG19\000\013REV1F.docx</w:t>
    </w:r>
    <w:r w:rsidRPr="003125C3">
      <w:rPr>
        <w:caps w:val="0"/>
        <w:sz w:val="18"/>
        <w:szCs w:val="18"/>
        <w:lang w:val="en-US"/>
      </w:rPr>
      <w:fldChar w:fldCharType="end"/>
    </w:r>
    <w:r w:rsidRPr="00321358">
      <w:rPr>
        <w:caps w:val="0"/>
        <w:sz w:val="18"/>
        <w:szCs w:val="18"/>
      </w:rPr>
      <w:t xml:space="preserve"> (449215)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2C3" w:rsidRDefault="008662C3">
      <w:r>
        <w:t>____________________</w:t>
      </w:r>
    </w:p>
  </w:footnote>
  <w:footnote w:type="continuationSeparator" w:id="0">
    <w:p w:rsidR="008662C3" w:rsidRDefault="008662C3">
      <w:r>
        <w:continuationSeparator/>
      </w:r>
    </w:p>
  </w:footnote>
  <w:footnote w:id="1">
    <w:p w:rsidR="008662C3" w:rsidRPr="00CB50BB" w:rsidRDefault="008662C3" w:rsidP="00302250">
      <w:pPr>
        <w:pStyle w:val="FootnoteText"/>
        <w:spacing w:before="60" w:after="60"/>
      </w:pPr>
      <w:r>
        <w:rPr>
          <w:rStyle w:val="FootnoteReference"/>
        </w:rPr>
        <w:footnoteRef/>
      </w:r>
      <w:r>
        <w:tab/>
      </w:r>
      <w:r w:rsidRPr="007A2BF4">
        <w:t xml:space="preserve">Les photos de 2018 de la CE 2 sont disponibles à l'adresse suivante: </w:t>
      </w:r>
      <w:hyperlink r:id="rId1" w:history="1">
        <w:r w:rsidRPr="00847B8E">
          <w:rPr>
            <w:rStyle w:val="Hyperlink"/>
          </w:rPr>
          <w:t>https://www.flickr.com/photos/itupictures/albums/72157690772925820</w:t>
        </w:r>
      </w:hyperlink>
      <w:r>
        <w:t>.</w:t>
      </w:r>
    </w:p>
  </w:footnote>
  <w:footnote w:id="2">
    <w:p w:rsidR="008662C3" w:rsidRPr="007A2BF4" w:rsidRDefault="008662C3" w:rsidP="00847B8E">
      <w:pPr>
        <w:pStyle w:val="FootnoteText"/>
        <w:spacing w:before="0"/>
        <w:rPr>
          <w:sz w:val="20"/>
        </w:rPr>
      </w:pPr>
      <w:r w:rsidRPr="007A2BF4">
        <w:rPr>
          <w:rStyle w:val="FootnoteReference"/>
          <w:szCs w:val="18"/>
        </w:rPr>
        <w:footnoteRef/>
      </w:r>
      <w:r>
        <w:rPr>
          <w:sz w:val="18"/>
          <w:szCs w:val="18"/>
        </w:rPr>
        <w:tab/>
      </w:r>
      <w:r>
        <w:t>L'allocution</w:t>
      </w:r>
      <w:r w:rsidRPr="007A2BF4">
        <w:t xml:space="preserve"> du Directeur du BDT </w:t>
      </w:r>
      <w:r>
        <w:t>est disponible</w:t>
      </w:r>
      <w:r w:rsidRPr="007A2BF4">
        <w:t xml:space="preserve"> à l'adresse: </w:t>
      </w:r>
      <w:r w:rsidRPr="008E506F">
        <w:rPr>
          <w:rStyle w:val="Hyperlink"/>
        </w:rPr>
        <w:t>https://www.itu.int/en/ITU-D/bdt-director/Pages/Speeches.aspx?ItemID=182</w:t>
      </w:r>
      <w:r w:rsidRPr="007A2BF4">
        <w:t>.</w:t>
      </w:r>
    </w:p>
  </w:footnote>
  <w:footnote w:id="3">
    <w:p w:rsidR="008662C3" w:rsidRPr="00A70F5A" w:rsidRDefault="008662C3" w:rsidP="00B111DF">
      <w:pPr>
        <w:pStyle w:val="FootnoteText"/>
        <w:spacing w:before="60"/>
        <w:rPr>
          <w:szCs w:val="24"/>
        </w:rPr>
      </w:pPr>
      <w:r w:rsidRPr="00A70F5A">
        <w:rPr>
          <w:rStyle w:val="FootnoteReference"/>
        </w:rPr>
        <w:footnoteRef/>
      </w:r>
      <w:r>
        <w:tab/>
      </w:r>
      <w:r w:rsidRPr="00A70F5A">
        <w:rPr>
          <w:szCs w:val="24"/>
        </w:rPr>
        <w:t xml:space="preserve">Les photos de 2019 de la CE 2 sont disponibles à l'adresse suivante: </w:t>
      </w:r>
      <w:hyperlink r:id="rId2" w:history="1">
        <w:r w:rsidRPr="00A70F5A">
          <w:rPr>
            <w:rStyle w:val="Hyperlink"/>
            <w:szCs w:val="24"/>
          </w:rPr>
          <w:t>https://www.flickr.com/photos/itupictures/sets/72157677382093287</w:t>
        </w:r>
      </w:hyperlink>
      <w:r w:rsidRPr="00A70F5A">
        <w:rPr>
          <w:szCs w:val="24"/>
        </w:rPr>
        <w:t>.</w:t>
      </w:r>
    </w:p>
  </w:footnote>
  <w:footnote w:id="4">
    <w:p w:rsidR="008662C3" w:rsidRPr="00A70F5A" w:rsidRDefault="008662C3" w:rsidP="00B111DF">
      <w:pPr>
        <w:pStyle w:val="FootnoteText"/>
        <w:spacing w:before="60"/>
        <w:rPr>
          <w:szCs w:val="24"/>
        </w:rPr>
      </w:pPr>
      <w:r w:rsidRPr="00A70F5A">
        <w:rPr>
          <w:rStyle w:val="FootnoteReference"/>
          <w:szCs w:val="18"/>
        </w:rPr>
        <w:footnoteRef/>
      </w:r>
      <w:r>
        <w:rPr>
          <w:sz w:val="18"/>
          <w:szCs w:val="18"/>
        </w:rPr>
        <w:tab/>
      </w:r>
      <w:r w:rsidRPr="00A70F5A">
        <w:rPr>
          <w:szCs w:val="24"/>
        </w:rPr>
        <w:t xml:space="preserve">L'allocution de la Directrice du BDT est disponible à l'adresse: </w:t>
      </w:r>
      <w:hyperlink r:id="rId3" w:history="1">
        <w:r w:rsidRPr="00386028">
          <w:rPr>
            <w:rStyle w:val="Hyperlink"/>
            <w:szCs w:val="24"/>
          </w:rPr>
          <w:t>https://www.itu.int/en/ITU</w:t>
        </w:r>
        <w:r w:rsidRPr="00386028">
          <w:rPr>
            <w:rStyle w:val="Hyperlink"/>
            <w:szCs w:val="24"/>
          </w:rPr>
          <w:noBreakHyphen/>
          <w:t>D/bdt-director/Pages/Speeches.aspx?ItemID=206</w:t>
        </w:r>
      </w:hyperlink>
      <w:r w:rsidRPr="00A70F5A">
        <w:rPr>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2C3" w:rsidRPr="006D271A" w:rsidRDefault="008662C3" w:rsidP="00B35442">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w:t>
    </w:r>
    <w:r>
      <w:rPr>
        <w:sz w:val="22"/>
        <w:szCs w:val="22"/>
        <w:lang w:val="de-CH"/>
      </w:rPr>
      <w:t>-</w:t>
    </w:r>
    <w:r w:rsidRPr="00A54E72">
      <w:rPr>
        <w:sz w:val="22"/>
        <w:szCs w:val="22"/>
        <w:lang w:val="de-CH"/>
      </w:rPr>
      <w:t>1</w:t>
    </w:r>
    <w:r>
      <w:rPr>
        <w:sz w:val="22"/>
        <w:szCs w:val="22"/>
        <w:lang w:val="de-CH"/>
      </w:rPr>
      <w:t>9</w:t>
    </w:r>
    <w:r w:rsidRPr="00A54E72">
      <w:rPr>
        <w:sz w:val="22"/>
        <w:szCs w:val="22"/>
        <w:lang w:val="de-CH"/>
      </w:rPr>
      <w:t>/</w:t>
    </w:r>
    <w:r>
      <w:rPr>
        <w:sz w:val="22"/>
        <w:szCs w:val="22"/>
        <w:lang w:val="de-CH"/>
      </w:rPr>
      <w:t>13(Rév.1)</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266B4">
      <w:rPr>
        <w:noProof/>
        <w:sz w:val="22"/>
        <w:szCs w:val="22"/>
        <w:lang w:val="de-CH"/>
      </w:rPr>
      <w:t>2</w:t>
    </w:r>
    <w:r w:rsidRPr="00972BC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2C3" w:rsidRPr="006D271A" w:rsidRDefault="008662C3" w:rsidP="001D7A2B">
    <w:pPr>
      <w:tabs>
        <w:tab w:val="clear" w:pos="794"/>
        <w:tab w:val="clear" w:pos="1191"/>
        <w:tab w:val="clear" w:pos="1588"/>
        <w:tab w:val="clear" w:pos="1985"/>
        <w:tab w:val="center" w:pos="7088"/>
        <w:tab w:val="right" w:pos="1399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w:t>
    </w:r>
    <w:r>
      <w:rPr>
        <w:sz w:val="22"/>
        <w:szCs w:val="22"/>
        <w:lang w:val="de-CH"/>
      </w:rPr>
      <w:t>-</w:t>
    </w:r>
    <w:r w:rsidRPr="00A54E72">
      <w:rPr>
        <w:sz w:val="22"/>
        <w:szCs w:val="22"/>
        <w:lang w:val="de-CH"/>
      </w:rPr>
      <w:t>1</w:t>
    </w:r>
    <w:r>
      <w:rPr>
        <w:sz w:val="22"/>
        <w:szCs w:val="22"/>
        <w:lang w:val="de-CH"/>
      </w:rPr>
      <w:t>9</w:t>
    </w:r>
    <w:r w:rsidRPr="00A54E72">
      <w:rPr>
        <w:sz w:val="22"/>
        <w:szCs w:val="22"/>
        <w:lang w:val="de-CH"/>
      </w:rPr>
      <w:t>/</w:t>
    </w:r>
    <w:r>
      <w:rPr>
        <w:sz w:val="22"/>
        <w:szCs w:val="22"/>
        <w:lang w:val="de-CH"/>
      </w:rPr>
      <w:t>13(Rév.1)</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266B4">
      <w:rPr>
        <w:noProof/>
        <w:sz w:val="22"/>
        <w:szCs w:val="22"/>
        <w:lang w:val="de-CH"/>
      </w:rPr>
      <w:t>17</w:t>
    </w:r>
    <w:r w:rsidRPr="00972BC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2C3" w:rsidRPr="006D271A" w:rsidRDefault="008662C3" w:rsidP="001D7A2B">
    <w:pPr>
      <w:tabs>
        <w:tab w:val="clear" w:pos="794"/>
        <w:tab w:val="clear" w:pos="1191"/>
        <w:tab w:val="clear" w:pos="1588"/>
        <w:tab w:val="clear" w:pos="1985"/>
        <w:tab w:val="center" w:pos="7088"/>
        <w:tab w:val="right" w:pos="1399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w:t>
    </w:r>
    <w:r>
      <w:rPr>
        <w:sz w:val="22"/>
        <w:szCs w:val="22"/>
        <w:lang w:val="de-CH"/>
      </w:rPr>
      <w:t>-</w:t>
    </w:r>
    <w:r w:rsidRPr="00A54E72">
      <w:rPr>
        <w:sz w:val="22"/>
        <w:szCs w:val="22"/>
        <w:lang w:val="de-CH"/>
      </w:rPr>
      <w:t>1</w:t>
    </w:r>
    <w:r>
      <w:rPr>
        <w:sz w:val="22"/>
        <w:szCs w:val="22"/>
        <w:lang w:val="de-CH"/>
      </w:rPr>
      <w:t>9</w:t>
    </w:r>
    <w:r w:rsidRPr="00A54E72">
      <w:rPr>
        <w:sz w:val="22"/>
        <w:szCs w:val="22"/>
        <w:lang w:val="de-CH"/>
      </w:rPr>
      <w:t>/</w:t>
    </w:r>
    <w:r>
      <w:rPr>
        <w:sz w:val="22"/>
        <w:szCs w:val="22"/>
        <w:lang w:val="de-CH"/>
      </w:rPr>
      <w:t>13</w:t>
    </w:r>
    <w:r w:rsidRPr="006D271A">
      <w:rPr>
        <w:sz w:val="22"/>
        <w:szCs w:val="22"/>
        <w:lang w:val="de-CH"/>
      </w:rPr>
      <w:t>-</w:t>
    </w:r>
    <w:r>
      <w:rPr>
        <w:sz w:val="22"/>
        <w:szCs w:val="22"/>
        <w:lang w:val="de-CH"/>
      </w:rPr>
      <w:t>F</w:t>
    </w:r>
    <w:r w:rsidRPr="006D271A">
      <w:rPr>
        <w:sz w:val="22"/>
        <w:szCs w:val="22"/>
        <w:lang w:val="de-CH"/>
      </w:rPr>
      <w:tab/>
    </w:r>
    <w:r w:rsidRPr="006D271A">
      <w:rPr>
        <w:sz w:val="22"/>
        <w:szCs w:val="22"/>
        <w:lang w:val="de-CH"/>
      </w:rPr>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12</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245CDC"/>
    <w:multiLevelType w:val="hybridMultilevel"/>
    <w:tmpl w:val="45681C7A"/>
    <w:lvl w:ilvl="0" w:tplc="A1188CCA">
      <w:start w:val="1"/>
      <w:numFmt w:val="bullet"/>
      <w:lvlText w:val=""/>
      <w:lvlJc w:val="left"/>
      <w:pPr>
        <w:ind w:left="720" w:hanging="360"/>
      </w:pPr>
      <w:rPr>
        <w:rFonts w:ascii="Symbol" w:hAnsi="Symbol" w:hint="default"/>
        <w:color w:val="auto"/>
      </w:rPr>
    </w:lvl>
    <w:lvl w:ilvl="1" w:tplc="C082E442" w:tentative="1">
      <w:start w:val="1"/>
      <w:numFmt w:val="bullet"/>
      <w:lvlText w:val="o"/>
      <w:lvlJc w:val="left"/>
      <w:pPr>
        <w:ind w:left="1440" w:hanging="360"/>
      </w:pPr>
      <w:rPr>
        <w:rFonts w:ascii="Courier New" w:hAnsi="Courier New" w:cs="Courier New" w:hint="default"/>
      </w:rPr>
    </w:lvl>
    <w:lvl w:ilvl="2" w:tplc="4BDA5AB2" w:tentative="1">
      <w:start w:val="1"/>
      <w:numFmt w:val="bullet"/>
      <w:lvlText w:val=""/>
      <w:lvlJc w:val="left"/>
      <w:pPr>
        <w:ind w:left="2160" w:hanging="360"/>
      </w:pPr>
      <w:rPr>
        <w:rFonts w:ascii="Wingdings" w:hAnsi="Wingdings" w:hint="default"/>
      </w:rPr>
    </w:lvl>
    <w:lvl w:ilvl="3" w:tplc="C8BED40E" w:tentative="1">
      <w:start w:val="1"/>
      <w:numFmt w:val="bullet"/>
      <w:lvlText w:val=""/>
      <w:lvlJc w:val="left"/>
      <w:pPr>
        <w:ind w:left="2880" w:hanging="360"/>
      </w:pPr>
      <w:rPr>
        <w:rFonts w:ascii="Symbol" w:hAnsi="Symbol" w:hint="default"/>
      </w:rPr>
    </w:lvl>
    <w:lvl w:ilvl="4" w:tplc="BD18F1BC" w:tentative="1">
      <w:start w:val="1"/>
      <w:numFmt w:val="bullet"/>
      <w:lvlText w:val="o"/>
      <w:lvlJc w:val="left"/>
      <w:pPr>
        <w:ind w:left="3600" w:hanging="360"/>
      </w:pPr>
      <w:rPr>
        <w:rFonts w:ascii="Courier New" w:hAnsi="Courier New" w:cs="Courier New" w:hint="default"/>
      </w:rPr>
    </w:lvl>
    <w:lvl w:ilvl="5" w:tplc="6E30B234" w:tentative="1">
      <w:start w:val="1"/>
      <w:numFmt w:val="bullet"/>
      <w:lvlText w:val=""/>
      <w:lvlJc w:val="left"/>
      <w:pPr>
        <w:ind w:left="4320" w:hanging="360"/>
      </w:pPr>
      <w:rPr>
        <w:rFonts w:ascii="Wingdings" w:hAnsi="Wingdings" w:hint="default"/>
      </w:rPr>
    </w:lvl>
    <w:lvl w:ilvl="6" w:tplc="2A046952" w:tentative="1">
      <w:start w:val="1"/>
      <w:numFmt w:val="bullet"/>
      <w:lvlText w:val=""/>
      <w:lvlJc w:val="left"/>
      <w:pPr>
        <w:ind w:left="5040" w:hanging="360"/>
      </w:pPr>
      <w:rPr>
        <w:rFonts w:ascii="Symbol" w:hAnsi="Symbol" w:hint="default"/>
      </w:rPr>
    </w:lvl>
    <w:lvl w:ilvl="7" w:tplc="090EA986" w:tentative="1">
      <w:start w:val="1"/>
      <w:numFmt w:val="bullet"/>
      <w:lvlText w:val="o"/>
      <w:lvlJc w:val="left"/>
      <w:pPr>
        <w:ind w:left="5760" w:hanging="360"/>
      </w:pPr>
      <w:rPr>
        <w:rFonts w:ascii="Courier New" w:hAnsi="Courier New" w:cs="Courier New" w:hint="default"/>
      </w:rPr>
    </w:lvl>
    <w:lvl w:ilvl="8" w:tplc="2488E85C" w:tentative="1">
      <w:start w:val="1"/>
      <w:numFmt w:val="bullet"/>
      <w:lvlText w:val=""/>
      <w:lvlJc w:val="left"/>
      <w:pPr>
        <w:ind w:left="6480" w:hanging="360"/>
      </w:pPr>
      <w:rPr>
        <w:rFonts w:ascii="Wingdings" w:hAnsi="Wingdings" w:hint="default"/>
      </w:rPr>
    </w:lvl>
  </w:abstractNum>
  <w:abstractNum w:abstractNumId="1"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C86"/>
    <w:rsid w:val="00002716"/>
    <w:rsid w:val="0000475C"/>
    <w:rsid w:val="00005791"/>
    <w:rsid w:val="00006325"/>
    <w:rsid w:val="000073BC"/>
    <w:rsid w:val="00010827"/>
    <w:rsid w:val="00015089"/>
    <w:rsid w:val="0002425E"/>
    <w:rsid w:val="0002520B"/>
    <w:rsid w:val="00026521"/>
    <w:rsid w:val="00035189"/>
    <w:rsid w:val="000353E6"/>
    <w:rsid w:val="00037A9E"/>
    <w:rsid w:val="00037F91"/>
    <w:rsid w:val="0004236D"/>
    <w:rsid w:val="0004649A"/>
    <w:rsid w:val="00051505"/>
    <w:rsid w:val="00052908"/>
    <w:rsid w:val="000539F1"/>
    <w:rsid w:val="00054747"/>
    <w:rsid w:val="00055A2A"/>
    <w:rsid w:val="000615C1"/>
    <w:rsid w:val="00061675"/>
    <w:rsid w:val="000743AA"/>
    <w:rsid w:val="000800EA"/>
    <w:rsid w:val="0009225C"/>
    <w:rsid w:val="000A17C4"/>
    <w:rsid w:val="000A36A4"/>
    <w:rsid w:val="000A4937"/>
    <w:rsid w:val="000B1EE1"/>
    <w:rsid w:val="000B2352"/>
    <w:rsid w:val="000B48BD"/>
    <w:rsid w:val="000C326C"/>
    <w:rsid w:val="000C61E9"/>
    <w:rsid w:val="000C7B84"/>
    <w:rsid w:val="000D261B"/>
    <w:rsid w:val="000D3C86"/>
    <w:rsid w:val="000D58A3"/>
    <w:rsid w:val="000E3ED4"/>
    <w:rsid w:val="000E3F9C"/>
    <w:rsid w:val="000F0A37"/>
    <w:rsid w:val="000F1550"/>
    <w:rsid w:val="000F251B"/>
    <w:rsid w:val="000F5A65"/>
    <w:rsid w:val="000F5FE8"/>
    <w:rsid w:val="000F6644"/>
    <w:rsid w:val="00100593"/>
    <w:rsid w:val="00100833"/>
    <w:rsid w:val="00102F72"/>
    <w:rsid w:val="00107E85"/>
    <w:rsid w:val="00113EE8"/>
    <w:rsid w:val="0011455A"/>
    <w:rsid w:val="00114A65"/>
    <w:rsid w:val="00121A2E"/>
    <w:rsid w:val="00123498"/>
    <w:rsid w:val="00131AC4"/>
    <w:rsid w:val="00133061"/>
    <w:rsid w:val="00137537"/>
    <w:rsid w:val="00141699"/>
    <w:rsid w:val="00142985"/>
    <w:rsid w:val="001429DA"/>
    <w:rsid w:val="00147000"/>
    <w:rsid w:val="00150CBA"/>
    <w:rsid w:val="00150EEC"/>
    <w:rsid w:val="00155ACB"/>
    <w:rsid w:val="00156BF6"/>
    <w:rsid w:val="00163091"/>
    <w:rsid w:val="001645CB"/>
    <w:rsid w:val="00166305"/>
    <w:rsid w:val="00167545"/>
    <w:rsid w:val="001703C6"/>
    <w:rsid w:val="0017119F"/>
    <w:rsid w:val="00172D71"/>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A779C"/>
    <w:rsid w:val="001B357F"/>
    <w:rsid w:val="001B3687"/>
    <w:rsid w:val="001C2740"/>
    <w:rsid w:val="001C3444"/>
    <w:rsid w:val="001C3702"/>
    <w:rsid w:val="001C4656"/>
    <w:rsid w:val="001C46BC"/>
    <w:rsid w:val="001C7C35"/>
    <w:rsid w:val="001D7A2B"/>
    <w:rsid w:val="001F1705"/>
    <w:rsid w:val="001F23E6"/>
    <w:rsid w:val="001F4238"/>
    <w:rsid w:val="001F733B"/>
    <w:rsid w:val="00200A38"/>
    <w:rsid w:val="00200A46"/>
    <w:rsid w:val="0020672F"/>
    <w:rsid w:val="00210BB0"/>
    <w:rsid w:val="002113F2"/>
    <w:rsid w:val="00211B6F"/>
    <w:rsid w:val="0021438F"/>
    <w:rsid w:val="002153EE"/>
    <w:rsid w:val="00217CC3"/>
    <w:rsid w:val="00220AB6"/>
    <w:rsid w:val="0022120F"/>
    <w:rsid w:val="0022355F"/>
    <w:rsid w:val="002248A5"/>
    <w:rsid w:val="0022754A"/>
    <w:rsid w:val="00236560"/>
    <w:rsid w:val="0023662E"/>
    <w:rsid w:val="00240A8F"/>
    <w:rsid w:val="00245D0F"/>
    <w:rsid w:val="002522B3"/>
    <w:rsid w:val="002548C3"/>
    <w:rsid w:val="00257ACD"/>
    <w:rsid w:val="00262908"/>
    <w:rsid w:val="002650F4"/>
    <w:rsid w:val="00271035"/>
    <w:rsid w:val="002715FD"/>
    <w:rsid w:val="002739D6"/>
    <w:rsid w:val="002770B1"/>
    <w:rsid w:val="00285B33"/>
    <w:rsid w:val="00287A3C"/>
    <w:rsid w:val="00295168"/>
    <w:rsid w:val="002A2FC6"/>
    <w:rsid w:val="002B3083"/>
    <w:rsid w:val="002B70D2"/>
    <w:rsid w:val="002B7AE6"/>
    <w:rsid w:val="002C1EC7"/>
    <w:rsid w:val="002C4342"/>
    <w:rsid w:val="002C5A6E"/>
    <w:rsid w:val="002C7EA3"/>
    <w:rsid w:val="002D20AE"/>
    <w:rsid w:val="002D6C61"/>
    <w:rsid w:val="002D7205"/>
    <w:rsid w:val="002E2104"/>
    <w:rsid w:val="002E2DAC"/>
    <w:rsid w:val="002E4D46"/>
    <w:rsid w:val="002E657F"/>
    <w:rsid w:val="002E6963"/>
    <w:rsid w:val="002E6F8F"/>
    <w:rsid w:val="002F05D8"/>
    <w:rsid w:val="002F0682"/>
    <w:rsid w:val="002F2DE0"/>
    <w:rsid w:val="002F5E25"/>
    <w:rsid w:val="00302250"/>
    <w:rsid w:val="0030353C"/>
    <w:rsid w:val="003125C3"/>
    <w:rsid w:val="00312AE6"/>
    <w:rsid w:val="0031600A"/>
    <w:rsid w:val="00317D1A"/>
    <w:rsid w:val="003211FF"/>
    <w:rsid w:val="00321358"/>
    <w:rsid w:val="00323587"/>
    <w:rsid w:val="00327247"/>
    <w:rsid w:val="00327307"/>
    <w:rsid w:val="00327A9D"/>
    <w:rsid w:val="0033130E"/>
    <w:rsid w:val="0033269C"/>
    <w:rsid w:val="0035516C"/>
    <w:rsid w:val="00355A4C"/>
    <w:rsid w:val="003604FB"/>
    <w:rsid w:val="00360B73"/>
    <w:rsid w:val="00380B71"/>
    <w:rsid w:val="0038365A"/>
    <w:rsid w:val="00383D60"/>
    <w:rsid w:val="00386A89"/>
    <w:rsid w:val="0039648E"/>
    <w:rsid w:val="003A5AFE"/>
    <w:rsid w:val="003A5D5F"/>
    <w:rsid w:val="003A7FFE"/>
    <w:rsid w:val="003B0A63"/>
    <w:rsid w:val="003B50E1"/>
    <w:rsid w:val="003C1746"/>
    <w:rsid w:val="003C2AA9"/>
    <w:rsid w:val="003C58BF"/>
    <w:rsid w:val="003D19A4"/>
    <w:rsid w:val="003D2212"/>
    <w:rsid w:val="003D451D"/>
    <w:rsid w:val="003D5A09"/>
    <w:rsid w:val="003F2DD8"/>
    <w:rsid w:val="003F3F2D"/>
    <w:rsid w:val="003F50B2"/>
    <w:rsid w:val="00400CCF"/>
    <w:rsid w:val="00401BFF"/>
    <w:rsid w:val="0040232A"/>
    <w:rsid w:val="00404424"/>
    <w:rsid w:val="0041156B"/>
    <w:rsid w:val="004122C5"/>
    <w:rsid w:val="00413B78"/>
    <w:rsid w:val="00416DDE"/>
    <w:rsid w:val="00421371"/>
    <w:rsid w:val="004266B4"/>
    <w:rsid w:val="00430DE7"/>
    <w:rsid w:val="0044411E"/>
    <w:rsid w:val="00453435"/>
    <w:rsid w:val="00466398"/>
    <w:rsid w:val="0047306D"/>
    <w:rsid w:val="00473791"/>
    <w:rsid w:val="00476E48"/>
    <w:rsid w:val="00481DE9"/>
    <w:rsid w:val="0048610D"/>
    <w:rsid w:val="00487218"/>
    <w:rsid w:val="00487A27"/>
    <w:rsid w:val="0049128B"/>
    <w:rsid w:val="00493B49"/>
    <w:rsid w:val="00495501"/>
    <w:rsid w:val="004A070A"/>
    <w:rsid w:val="004A320E"/>
    <w:rsid w:val="004A4E9C"/>
    <w:rsid w:val="004A5556"/>
    <w:rsid w:val="004A5872"/>
    <w:rsid w:val="004B1A3C"/>
    <w:rsid w:val="004B5D36"/>
    <w:rsid w:val="004B5D4B"/>
    <w:rsid w:val="004C0365"/>
    <w:rsid w:val="004C37AC"/>
    <w:rsid w:val="004D2CC3"/>
    <w:rsid w:val="004D35CB"/>
    <w:rsid w:val="004E20E5"/>
    <w:rsid w:val="004E64EA"/>
    <w:rsid w:val="004E7828"/>
    <w:rsid w:val="004F46AA"/>
    <w:rsid w:val="004F6A70"/>
    <w:rsid w:val="00500AD7"/>
    <w:rsid w:val="00502ABF"/>
    <w:rsid w:val="00504DB0"/>
    <w:rsid w:val="0050794F"/>
    <w:rsid w:val="00507C35"/>
    <w:rsid w:val="00510735"/>
    <w:rsid w:val="00514D2F"/>
    <w:rsid w:val="0051529E"/>
    <w:rsid w:val="00521D96"/>
    <w:rsid w:val="00530018"/>
    <w:rsid w:val="005364A6"/>
    <w:rsid w:val="0054420E"/>
    <w:rsid w:val="00544D1B"/>
    <w:rsid w:val="00545DC0"/>
    <w:rsid w:val="00545F6C"/>
    <w:rsid w:val="005477D9"/>
    <w:rsid w:val="0055720C"/>
    <w:rsid w:val="005632DD"/>
    <w:rsid w:val="0056423B"/>
    <w:rsid w:val="00573424"/>
    <w:rsid w:val="0057402F"/>
    <w:rsid w:val="00583F10"/>
    <w:rsid w:val="005849D6"/>
    <w:rsid w:val="00585367"/>
    <w:rsid w:val="005871A1"/>
    <w:rsid w:val="0058737E"/>
    <w:rsid w:val="00592518"/>
    <w:rsid w:val="00592E87"/>
    <w:rsid w:val="0059456F"/>
    <w:rsid w:val="00594C4D"/>
    <w:rsid w:val="005970AF"/>
    <w:rsid w:val="00597F91"/>
    <w:rsid w:val="005A33B0"/>
    <w:rsid w:val="005A5E93"/>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0BD1"/>
    <w:rsid w:val="005F1CA7"/>
    <w:rsid w:val="005F43DD"/>
    <w:rsid w:val="005F51A9"/>
    <w:rsid w:val="005F6BE1"/>
    <w:rsid w:val="005F7416"/>
    <w:rsid w:val="00600C11"/>
    <w:rsid w:val="00606B89"/>
    <w:rsid w:val="00611EAF"/>
    <w:rsid w:val="00615245"/>
    <w:rsid w:val="00623F30"/>
    <w:rsid w:val="00625FB8"/>
    <w:rsid w:val="006261BD"/>
    <w:rsid w:val="00632E94"/>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B7173"/>
    <w:rsid w:val="006C10A2"/>
    <w:rsid w:val="006C1F18"/>
    <w:rsid w:val="006C23F5"/>
    <w:rsid w:val="006C65DA"/>
    <w:rsid w:val="006D40D5"/>
    <w:rsid w:val="006E5A3B"/>
    <w:rsid w:val="006E6B2B"/>
    <w:rsid w:val="006F009A"/>
    <w:rsid w:val="006F3D93"/>
    <w:rsid w:val="006F57C5"/>
    <w:rsid w:val="007019B1"/>
    <w:rsid w:val="00702B07"/>
    <w:rsid w:val="007049AE"/>
    <w:rsid w:val="00721657"/>
    <w:rsid w:val="007279A8"/>
    <w:rsid w:val="00727B1A"/>
    <w:rsid w:val="00733362"/>
    <w:rsid w:val="00741337"/>
    <w:rsid w:val="0074554E"/>
    <w:rsid w:val="00752258"/>
    <w:rsid w:val="007529E1"/>
    <w:rsid w:val="00762880"/>
    <w:rsid w:val="00762AD6"/>
    <w:rsid w:val="00762C49"/>
    <w:rsid w:val="00762E02"/>
    <w:rsid w:val="00767CFF"/>
    <w:rsid w:val="00772290"/>
    <w:rsid w:val="00777265"/>
    <w:rsid w:val="0077767E"/>
    <w:rsid w:val="007805E7"/>
    <w:rsid w:val="0078222A"/>
    <w:rsid w:val="00787D48"/>
    <w:rsid w:val="00795294"/>
    <w:rsid w:val="00796E18"/>
    <w:rsid w:val="007A2BF4"/>
    <w:rsid w:val="007A4E50"/>
    <w:rsid w:val="007B18A7"/>
    <w:rsid w:val="007B250E"/>
    <w:rsid w:val="007C27FC"/>
    <w:rsid w:val="007C51FF"/>
    <w:rsid w:val="007D1150"/>
    <w:rsid w:val="007D296B"/>
    <w:rsid w:val="007D50E4"/>
    <w:rsid w:val="007F1CC7"/>
    <w:rsid w:val="008027AC"/>
    <w:rsid w:val="008028CE"/>
    <w:rsid w:val="0080332E"/>
    <w:rsid w:val="008141E0"/>
    <w:rsid w:val="00816EE1"/>
    <w:rsid w:val="00816F88"/>
    <w:rsid w:val="00822323"/>
    <w:rsid w:val="0082570D"/>
    <w:rsid w:val="00827BC6"/>
    <w:rsid w:val="008300AD"/>
    <w:rsid w:val="00833024"/>
    <w:rsid w:val="00836BDB"/>
    <w:rsid w:val="008419B1"/>
    <w:rsid w:val="00844A56"/>
    <w:rsid w:val="00845B11"/>
    <w:rsid w:val="00847B8E"/>
    <w:rsid w:val="00851060"/>
    <w:rsid w:val="00852081"/>
    <w:rsid w:val="00854AA1"/>
    <w:rsid w:val="008646B6"/>
    <w:rsid w:val="008662C3"/>
    <w:rsid w:val="00866CEB"/>
    <w:rsid w:val="00872B6E"/>
    <w:rsid w:val="00872C0A"/>
    <w:rsid w:val="00874DFD"/>
    <w:rsid w:val="008802F9"/>
    <w:rsid w:val="00883086"/>
    <w:rsid w:val="0088596F"/>
    <w:rsid w:val="008879FD"/>
    <w:rsid w:val="00894C37"/>
    <w:rsid w:val="00897453"/>
    <w:rsid w:val="008A00EA"/>
    <w:rsid w:val="008A255D"/>
    <w:rsid w:val="008A3F93"/>
    <w:rsid w:val="008A6236"/>
    <w:rsid w:val="008A6E1C"/>
    <w:rsid w:val="008A72FD"/>
    <w:rsid w:val="008B2EDF"/>
    <w:rsid w:val="008B54CB"/>
    <w:rsid w:val="008B5A3D"/>
    <w:rsid w:val="008C4010"/>
    <w:rsid w:val="008C4FDF"/>
    <w:rsid w:val="008C6B1F"/>
    <w:rsid w:val="008D5E4F"/>
    <w:rsid w:val="008E506F"/>
    <w:rsid w:val="008E5260"/>
    <w:rsid w:val="008F14F5"/>
    <w:rsid w:val="008F20EB"/>
    <w:rsid w:val="008F3A91"/>
    <w:rsid w:val="008F71C1"/>
    <w:rsid w:val="00901644"/>
    <w:rsid w:val="0090280D"/>
    <w:rsid w:val="00902D41"/>
    <w:rsid w:val="00902F49"/>
    <w:rsid w:val="00911DEE"/>
    <w:rsid w:val="00914004"/>
    <w:rsid w:val="0092088B"/>
    <w:rsid w:val="00922EC1"/>
    <w:rsid w:val="00925688"/>
    <w:rsid w:val="009301F1"/>
    <w:rsid w:val="00930650"/>
    <w:rsid w:val="009307DF"/>
    <w:rsid w:val="009359B8"/>
    <w:rsid w:val="00935FF0"/>
    <w:rsid w:val="009431F8"/>
    <w:rsid w:val="0094360D"/>
    <w:rsid w:val="00947A35"/>
    <w:rsid w:val="00957A24"/>
    <w:rsid w:val="00962081"/>
    <w:rsid w:val="00963572"/>
    <w:rsid w:val="0096518A"/>
    <w:rsid w:val="00966921"/>
    <w:rsid w:val="00966CB5"/>
    <w:rsid w:val="00975786"/>
    <w:rsid w:val="00981CB7"/>
    <w:rsid w:val="00983E1F"/>
    <w:rsid w:val="00984929"/>
    <w:rsid w:val="00993F46"/>
    <w:rsid w:val="00997358"/>
    <w:rsid w:val="009A452B"/>
    <w:rsid w:val="009B050C"/>
    <w:rsid w:val="009B087F"/>
    <w:rsid w:val="009B2AF4"/>
    <w:rsid w:val="009C110B"/>
    <w:rsid w:val="009C3099"/>
    <w:rsid w:val="009C537C"/>
    <w:rsid w:val="009C5441"/>
    <w:rsid w:val="009D03C0"/>
    <w:rsid w:val="009D119F"/>
    <w:rsid w:val="009D291C"/>
    <w:rsid w:val="009D49A2"/>
    <w:rsid w:val="009E2E4A"/>
    <w:rsid w:val="009F0BB4"/>
    <w:rsid w:val="009F3940"/>
    <w:rsid w:val="009F3EB2"/>
    <w:rsid w:val="009F6EB1"/>
    <w:rsid w:val="00A00360"/>
    <w:rsid w:val="00A11D05"/>
    <w:rsid w:val="00A12F8E"/>
    <w:rsid w:val="00A13162"/>
    <w:rsid w:val="00A1417A"/>
    <w:rsid w:val="00A16934"/>
    <w:rsid w:val="00A20267"/>
    <w:rsid w:val="00A249B7"/>
    <w:rsid w:val="00A3158C"/>
    <w:rsid w:val="00A32DF3"/>
    <w:rsid w:val="00A33E32"/>
    <w:rsid w:val="00A35E20"/>
    <w:rsid w:val="00A36F6D"/>
    <w:rsid w:val="00A43B8C"/>
    <w:rsid w:val="00A454E1"/>
    <w:rsid w:val="00A50CA0"/>
    <w:rsid w:val="00A525CC"/>
    <w:rsid w:val="00A527F1"/>
    <w:rsid w:val="00A53E7C"/>
    <w:rsid w:val="00A565D6"/>
    <w:rsid w:val="00A60087"/>
    <w:rsid w:val="00A705E8"/>
    <w:rsid w:val="00A70F5A"/>
    <w:rsid w:val="00A721F4"/>
    <w:rsid w:val="00A74D6E"/>
    <w:rsid w:val="00A85328"/>
    <w:rsid w:val="00A9392C"/>
    <w:rsid w:val="00A9462B"/>
    <w:rsid w:val="00A97D59"/>
    <w:rsid w:val="00AA243F"/>
    <w:rsid w:val="00AA3E09"/>
    <w:rsid w:val="00AA4BEF"/>
    <w:rsid w:val="00AB1659"/>
    <w:rsid w:val="00AB4962"/>
    <w:rsid w:val="00AB65A3"/>
    <w:rsid w:val="00AB734E"/>
    <w:rsid w:val="00AB740F"/>
    <w:rsid w:val="00AC6F14"/>
    <w:rsid w:val="00AC7221"/>
    <w:rsid w:val="00AD35DF"/>
    <w:rsid w:val="00AE0B9D"/>
    <w:rsid w:val="00AE5961"/>
    <w:rsid w:val="00AF0745"/>
    <w:rsid w:val="00AF34B8"/>
    <w:rsid w:val="00AF4971"/>
    <w:rsid w:val="00AF5276"/>
    <w:rsid w:val="00AF7C86"/>
    <w:rsid w:val="00B01046"/>
    <w:rsid w:val="00B02D18"/>
    <w:rsid w:val="00B111DF"/>
    <w:rsid w:val="00B1336F"/>
    <w:rsid w:val="00B14012"/>
    <w:rsid w:val="00B22A1F"/>
    <w:rsid w:val="00B30FCC"/>
    <w:rsid w:val="00B310F9"/>
    <w:rsid w:val="00B35442"/>
    <w:rsid w:val="00B37866"/>
    <w:rsid w:val="00B412FB"/>
    <w:rsid w:val="00B428B3"/>
    <w:rsid w:val="00B4576B"/>
    <w:rsid w:val="00B46350"/>
    <w:rsid w:val="00B46DF3"/>
    <w:rsid w:val="00B52BA3"/>
    <w:rsid w:val="00B533E9"/>
    <w:rsid w:val="00B66E8F"/>
    <w:rsid w:val="00B70D0D"/>
    <w:rsid w:val="00B80157"/>
    <w:rsid w:val="00B83D5E"/>
    <w:rsid w:val="00B8460A"/>
    <w:rsid w:val="00B8650D"/>
    <w:rsid w:val="00B879B4"/>
    <w:rsid w:val="00B90F07"/>
    <w:rsid w:val="00B97BB9"/>
    <w:rsid w:val="00BA0009"/>
    <w:rsid w:val="00BA5E8B"/>
    <w:rsid w:val="00BA610A"/>
    <w:rsid w:val="00BB0CED"/>
    <w:rsid w:val="00BB1863"/>
    <w:rsid w:val="00BB25EE"/>
    <w:rsid w:val="00BB363A"/>
    <w:rsid w:val="00BC10A0"/>
    <w:rsid w:val="00BC7BA2"/>
    <w:rsid w:val="00BD426B"/>
    <w:rsid w:val="00BD53E8"/>
    <w:rsid w:val="00BD79F0"/>
    <w:rsid w:val="00BE0769"/>
    <w:rsid w:val="00BE2B4D"/>
    <w:rsid w:val="00C015F8"/>
    <w:rsid w:val="00C02FEB"/>
    <w:rsid w:val="00C07E26"/>
    <w:rsid w:val="00C1011C"/>
    <w:rsid w:val="00C12F94"/>
    <w:rsid w:val="00C15045"/>
    <w:rsid w:val="00C177C5"/>
    <w:rsid w:val="00C34EC3"/>
    <w:rsid w:val="00C4038C"/>
    <w:rsid w:val="00C41245"/>
    <w:rsid w:val="00C41B3E"/>
    <w:rsid w:val="00C42BA2"/>
    <w:rsid w:val="00C43955"/>
    <w:rsid w:val="00C44066"/>
    <w:rsid w:val="00C44E13"/>
    <w:rsid w:val="00C52F64"/>
    <w:rsid w:val="00C60A41"/>
    <w:rsid w:val="00C610A2"/>
    <w:rsid w:val="00C62DE8"/>
    <w:rsid w:val="00C62DFB"/>
    <w:rsid w:val="00C630E6"/>
    <w:rsid w:val="00C63812"/>
    <w:rsid w:val="00C64AF3"/>
    <w:rsid w:val="00C66F4D"/>
    <w:rsid w:val="00C67BB5"/>
    <w:rsid w:val="00C71105"/>
    <w:rsid w:val="00C71533"/>
    <w:rsid w:val="00C72713"/>
    <w:rsid w:val="00C73D26"/>
    <w:rsid w:val="00C74EF7"/>
    <w:rsid w:val="00C848EF"/>
    <w:rsid w:val="00C86600"/>
    <w:rsid w:val="00C87BCA"/>
    <w:rsid w:val="00C87EED"/>
    <w:rsid w:val="00C94506"/>
    <w:rsid w:val="00C954BC"/>
    <w:rsid w:val="00CA0CA2"/>
    <w:rsid w:val="00CA1F0B"/>
    <w:rsid w:val="00CA71CE"/>
    <w:rsid w:val="00CB110F"/>
    <w:rsid w:val="00CB1B1D"/>
    <w:rsid w:val="00CB2A2E"/>
    <w:rsid w:val="00CB338A"/>
    <w:rsid w:val="00CB4021"/>
    <w:rsid w:val="00CB79C5"/>
    <w:rsid w:val="00CC2EDD"/>
    <w:rsid w:val="00CC411F"/>
    <w:rsid w:val="00CC4278"/>
    <w:rsid w:val="00CC4B75"/>
    <w:rsid w:val="00CC732E"/>
    <w:rsid w:val="00CD2FCD"/>
    <w:rsid w:val="00CD7207"/>
    <w:rsid w:val="00CE0DBE"/>
    <w:rsid w:val="00CE232A"/>
    <w:rsid w:val="00CE5AFE"/>
    <w:rsid w:val="00CE5E4D"/>
    <w:rsid w:val="00CF02C4"/>
    <w:rsid w:val="00CF167F"/>
    <w:rsid w:val="00CF4C5F"/>
    <w:rsid w:val="00CF72E5"/>
    <w:rsid w:val="00D013EE"/>
    <w:rsid w:val="00D01F54"/>
    <w:rsid w:val="00D040F7"/>
    <w:rsid w:val="00D04A76"/>
    <w:rsid w:val="00D10181"/>
    <w:rsid w:val="00D10FC7"/>
    <w:rsid w:val="00D1519F"/>
    <w:rsid w:val="00D20E99"/>
    <w:rsid w:val="00D21C83"/>
    <w:rsid w:val="00D35BDD"/>
    <w:rsid w:val="00D37BDA"/>
    <w:rsid w:val="00D5468D"/>
    <w:rsid w:val="00D63006"/>
    <w:rsid w:val="00D72301"/>
    <w:rsid w:val="00D87E6C"/>
    <w:rsid w:val="00D90E76"/>
    <w:rsid w:val="00D911DE"/>
    <w:rsid w:val="00D91B1C"/>
    <w:rsid w:val="00D91B97"/>
    <w:rsid w:val="00D93ACC"/>
    <w:rsid w:val="00D93C08"/>
    <w:rsid w:val="00D95DAC"/>
    <w:rsid w:val="00DA0B53"/>
    <w:rsid w:val="00DB1171"/>
    <w:rsid w:val="00DB1519"/>
    <w:rsid w:val="00DB2840"/>
    <w:rsid w:val="00DC03E0"/>
    <w:rsid w:val="00DC1BD3"/>
    <w:rsid w:val="00DC2C1A"/>
    <w:rsid w:val="00DD66B4"/>
    <w:rsid w:val="00DE04AB"/>
    <w:rsid w:val="00DE1972"/>
    <w:rsid w:val="00DE27AB"/>
    <w:rsid w:val="00DF2AB3"/>
    <w:rsid w:val="00DF6130"/>
    <w:rsid w:val="00DF7250"/>
    <w:rsid w:val="00E006F2"/>
    <w:rsid w:val="00E00CAA"/>
    <w:rsid w:val="00E03EBF"/>
    <w:rsid w:val="00E042A2"/>
    <w:rsid w:val="00E05209"/>
    <w:rsid w:val="00E05795"/>
    <w:rsid w:val="00E11BCF"/>
    <w:rsid w:val="00E2258E"/>
    <w:rsid w:val="00E25EFE"/>
    <w:rsid w:val="00E260C2"/>
    <w:rsid w:val="00E32596"/>
    <w:rsid w:val="00E368F7"/>
    <w:rsid w:val="00E36EB8"/>
    <w:rsid w:val="00E37FB8"/>
    <w:rsid w:val="00E4040F"/>
    <w:rsid w:val="00E40B07"/>
    <w:rsid w:val="00E42326"/>
    <w:rsid w:val="00E43544"/>
    <w:rsid w:val="00E44D89"/>
    <w:rsid w:val="00E477EA"/>
    <w:rsid w:val="00E55807"/>
    <w:rsid w:val="00E5733F"/>
    <w:rsid w:val="00E575A7"/>
    <w:rsid w:val="00E6118A"/>
    <w:rsid w:val="00E63B14"/>
    <w:rsid w:val="00E64B27"/>
    <w:rsid w:val="00E65CA0"/>
    <w:rsid w:val="00E66C2A"/>
    <w:rsid w:val="00E70D9F"/>
    <w:rsid w:val="00E75813"/>
    <w:rsid w:val="00E83810"/>
    <w:rsid w:val="00E86457"/>
    <w:rsid w:val="00E86933"/>
    <w:rsid w:val="00E9317F"/>
    <w:rsid w:val="00E9605B"/>
    <w:rsid w:val="00E97298"/>
    <w:rsid w:val="00E97753"/>
    <w:rsid w:val="00EA7DE7"/>
    <w:rsid w:val="00EB7196"/>
    <w:rsid w:val="00EB7A8A"/>
    <w:rsid w:val="00EC303E"/>
    <w:rsid w:val="00EE2111"/>
    <w:rsid w:val="00EE3A64"/>
    <w:rsid w:val="00EE50E5"/>
    <w:rsid w:val="00EF01CF"/>
    <w:rsid w:val="00EF4604"/>
    <w:rsid w:val="00EF56A9"/>
    <w:rsid w:val="00F03590"/>
    <w:rsid w:val="00F03622"/>
    <w:rsid w:val="00F077FD"/>
    <w:rsid w:val="00F12ED5"/>
    <w:rsid w:val="00F15676"/>
    <w:rsid w:val="00F162EA"/>
    <w:rsid w:val="00F204F3"/>
    <w:rsid w:val="00F218AB"/>
    <w:rsid w:val="00F238B3"/>
    <w:rsid w:val="00F24FED"/>
    <w:rsid w:val="00F25586"/>
    <w:rsid w:val="00F2651D"/>
    <w:rsid w:val="00F27362"/>
    <w:rsid w:val="00F31498"/>
    <w:rsid w:val="00F32FEF"/>
    <w:rsid w:val="00F33AF8"/>
    <w:rsid w:val="00F348BD"/>
    <w:rsid w:val="00F41662"/>
    <w:rsid w:val="00F41B1C"/>
    <w:rsid w:val="00F42BF1"/>
    <w:rsid w:val="00F42E13"/>
    <w:rsid w:val="00F42F1C"/>
    <w:rsid w:val="00F43B44"/>
    <w:rsid w:val="00F440E5"/>
    <w:rsid w:val="00F448F6"/>
    <w:rsid w:val="00F46AC5"/>
    <w:rsid w:val="00F52741"/>
    <w:rsid w:val="00F53D8A"/>
    <w:rsid w:val="00F55A0C"/>
    <w:rsid w:val="00F626F7"/>
    <w:rsid w:val="00F647A8"/>
    <w:rsid w:val="00F67D6B"/>
    <w:rsid w:val="00F7150A"/>
    <w:rsid w:val="00F736F9"/>
    <w:rsid w:val="00F73833"/>
    <w:rsid w:val="00F83BB8"/>
    <w:rsid w:val="00F91C79"/>
    <w:rsid w:val="00F9211C"/>
    <w:rsid w:val="00FA095D"/>
    <w:rsid w:val="00FA6C8B"/>
    <w:rsid w:val="00FA7C89"/>
    <w:rsid w:val="00FB0615"/>
    <w:rsid w:val="00FB3E99"/>
    <w:rsid w:val="00FB4139"/>
    <w:rsid w:val="00FB476E"/>
    <w:rsid w:val="00FC0D90"/>
    <w:rsid w:val="00FC7D8C"/>
    <w:rsid w:val="00FD0FA6"/>
    <w:rsid w:val="00FD3980"/>
    <w:rsid w:val="00FD431E"/>
    <w:rsid w:val="00FD5A2C"/>
    <w:rsid w:val="00FD765B"/>
    <w:rsid w:val="00FE0D47"/>
    <w:rsid w:val="00FE1D5C"/>
    <w:rsid w:val="00FE2F8B"/>
    <w:rsid w:val="00FE3669"/>
    <w:rsid w:val="00FE5204"/>
    <w:rsid w:val="00FE7A71"/>
    <w:rsid w:val="00FF023A"/>
    <w:rsid w:val="00FF17E9"/>
    <w:rsid w:val="00FF287F"/>
    <w:rsid w:val="00FF74A8"/>
    <w:rsid w:val="00FF77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1FBFBD3A-480B-48AC-86D0-BD37D5DE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basedOn w:val="DefaultParagraphFont"/>
    <w:uiPriority w:val="99"/>
    <w:rsid w:val="00F52741"/>
    <w:rPr>
      <w:rFonts w:asciiTheme="minorHAnsi" w:hAnsiTheme="minorHAnsi"/>
      <w:position w:val="6"/>
      <w:sz w:val="18"/>
    </w:rPr>
  </w:style>
  <w:style w:type="paragraph" w:styleId="FootnoteText">
    <w:name w:val="footnote text"/>
    <w:aliases w:val="ACMA Footnote Text,ALTS FOOTNOTE,Footnote Text Char Char1,Footnote Text Char Char1 Char1 Char Char,Footnote Text Char1,Footnote Text Char1 Char1 Char1 Char,Footnote Text Char1 Char1 Char1 Char Char Char1,Footnote Text Char4 Char Char,DNV-F"/>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超级链接"/>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character" w:customStyle="1" w:styleId="FootnoteTextChar">
    <w:name w:val="Footnote Text Char"/>
    <w:aliases w:val="ACMA Footnote Text Char,ALTS FOOTNOTE Char,Footnote Text Char Char1 Char,Footnote Text Char Char1 Char1 Char Char Char,Footnote Text Char1 Char,Footnote Text Char1 Char1 Char1 Char Char,Footnote Text Char4 Char Char Char,DNV-F Char"/>
    <w:basedOn w:val="DefaultParagraphFont"/>
    <w:link w:val="FootnoteText"/>
    <w:uiPriority w:val="99"/>
    <w:rsid w:val="005A5E93"/>
    <w:rPr>
      <w:rFonts w:asciiTheme="minorHAnsi" w:hAnsiTheme="minorHAnsi"/>
      <w:sz w:val="24"/>
      <w:lang w:val="fr-CH" w:eastAsia="en-US"/>
    </w:rPr>
  </w:style>
  <w:style w:type="paragraph" w:customStyle="1" w:styleId="CEOcontributionStart">
    <w:name w:val="CEO_contributionStart"/>
    <w:basedOn w:val="Normal"/>
    <w:rsid w:val="008E5260"/>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lang w:val="en-GB"/>
    </w:rPr>
  </w:style>
  <w:style w:type="paragraph" w:customStyle="1" w:styleId="Tabletext10pt">
    <w:name w:val="Table_text + 10 pt"/>
    <w:basedOn w:val="Tabletext"/>
    <w:rsid w:val="00FE7A71"/>
    <w:rPr>
      <w:sz w:val="20"/>
    </w:rPr>
  </w:style>
  <w:style w:type="character" w:styleId="FollowedHyperlink">
    <w:name w:val="FollowedHyperlink"/>
    <w:basedOn w:val="DefaultParagraphFont"/>
    <w:semiHidden/>
    <w:unhideWhenUsed/>
    <w:rsid w:val="00F46AC5"/>
    <w:rPr>
      <w:color w:val="800080" w:themeColor="followedHyperlink"/>
      <w:u w:val="single"/>
    </w:rPr>
  </w:style>
  <w:style w:type="character" w:customStyle="1" w:styleId="ListParagraphChar">
    <w:name w:val="List Paragraph Char"/>
    <w:aliases w:val="List Paragraph1 Char,Recommendation Char,List Paragraph11 Char"/>
    <w:link w:val="ListParagraph"/>
    <w:uiPriority w:val="34"/>
    <w:rsid w:val="00137537"/>
    <w:rPr>
      <w:rFonts w:asciiTheme="minorHAnsi" w:hAnsiTheme="minorHAnsi"/>
      <w:sz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D/bdt-director/Pages/Speeches.aspx?ItemID=182" TargetMode="External"/><Relationship Id="rId18" Type="http://schemas.openxmlformats.org/officeDocument/2006/relationships/hyperlink" Target="https://www.itu.int/en/ITU-D/Study-Groups/2018-2021/Pages/meetings/session-Q2-2-oct18.aspx" TargetMode="External"/><Relationship Id="rId26" Type="http://schemas.openxmlformats.org/officeDocument/2006/relationships/hyperlink" Target="https://www.itu.int/md/D18-SG02.rgq-R-0002" TargetMode="External"/><Relationship Id="rId39" Type="http://schemas.openxmlformats.org/officeDocument/2006/relationships/hyperlink" Target="https://www.itu.int/md/D18-SG02.rgq-R-0007" TargetMode="External"/><Relationship Id="rId21" Type="http://schemas.openxmlformats.org/officeDocument/2006/relationships/hyperlink" Target="https://www.itu.int/en/ITU-D/Study-Groups/2018-2021/Pages/meetings/session-Q5-2-oct18.aspx" TargetMode="External"/><Relationship Id="rId34" Type="http://schemas.openxmlformats.org/officeDocument/2006/relationships/hyperlink" Target="https://www.itu.int/md/D18-SG02-R-0013" TargetMode="External"/><Relationship Id="rId42" Type="http://schemas.openxmlformats.org/officeDocument/2006/relationships/hyperlink" Target="https://www.itu.int/md/D18-SG02-C-0001" TargetMode="External"/><Relationship Id="rId47" Type="http://schemas.openxmlformats.org/officeDocument/2006/relationships/hyperlink" Target="https://www.itu.int/md/D18-SG02-ADM-0002/en" TargetMode="External"/><Relationship Id="rId50" Type="http://schemas.openxmlformats.org/officeDocument/2006/relationships/footer" Target="footer2.xml"/><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net4/ITU-D/CDS/sg/blkmeetings.asp?lg=1&amp;sp=2018&amp;blk=20349" TargetMode="External"/><Relationship Id="rId17" Type="http://schemas.openxmlformats.org/officeDocument/2006/relationships/hyperlink" Target="https://www.itu.int/en/ITU-D/Study-Groups/2018-2021/Pages/meetings/GMIS-UNIDO-ITU-special-session.aspx" TargetMode="External"/><Relationship Id="rId25" Type="http://schemas.openxmlformats.org/officeDocument/2006/relationships/hyperlink" Target="https://www.itu.int/md/D18-SG02-R-0009" TargetMode="External"/><Relationship Id="rId33" Type="http://schemas.openxmlformats.org/officeDocument/2006/relationships/hyperlink" Target="https://www.itu.int/md/D18-SG02.rgq-R-0005" TargetMode="External"/><Relationship Id="rId38" Type="http://schemas.openxmlformats.org/officeDocument/2006/relationships/hyperlink" Target="https://www.itu.int/md/D18-SG02-R-0007" TargetMode="External"/><Relationship Id="rId46" Type="http://schemas.openxmlformats.org/officeDocument/2006/relationships/hyperlink" Target="https://extranet.itu.int/itu-d/studygroups/SitePages/Home.aspx" TargetMode="External"/><Relationship Id="rId2" Type="http://schemas.openxmlformats.org/officeDocument/2006/relationships/numbering" Target="numbering.xml"/><Relationship Id="rId16" Type="http://schemas.openxmlformats.org/officeDocument/2006/relationships/hyperlink" Target="https://www.itu.int/md/D18-SG02-C-0169" TargetMode="External"/><Relationship Id="rId20" Type="http://schemas.openxmlformats.org/officeDocument/2006/relationships/hyperlink" Target="https://www.itu.int/en/ITU-D/Study-Groups/2018-2021/Pages/meetings/session-Q4-2-oct18.aspx" TargetMode="External"/><Relationship Id="rId29" Type="http://schemas.openxmlformats.org/officeDocument/2006/relationships/hyperlink" Target="https://www.itu.int/md/D18-SG02-R-0011" TargetMode="External"/><Relationship Id="rId41" Type="http://schemas.openxmlformats.org/officeDocument/2006/relationships/hyperlink" Target="https://www.itu.int/md/D18-TDAG23-C-0013/"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ITU-D/CDS/sg/webcast_archive.asp?lg=1&amp;sp=2018&amp;stg=&amp;mtg=20349" TargetMode="External"/><Relationship Id="rId24" Type="http://schemas.openxmlformats.org/officeDocument/2006/relationships/hyperlink" Target="https://www.itu.int/md/D18-SG02.rgq-R-0001" TargetMode="External"/><Relationship Id="rId32" Type="http://schemas.openxmlformats.org/officeDocument/2006/relationships/hyperlink" Target="https://www.itu.int/md/D18-SG02-R-0005" TargetMode="External"/><Relationship Id="rId37" Type="http://schemas.openxmlformats.org/officeDocument/2006/relationships/hyperlink" Target="https://www.itu.int/md/D18-SG02-R-0014" TargetMode="External"/><Relationship Id="rId40" Type="http://schemas.openxmlformats.org/officeDocument/2006/relationships/hyperlink" Target="https://www.itu.int/md/D18-SG02-R-0015" TargetMode="External"/><Relationship Id="rId45" Type="http://schemas.openxmlformats.org/officeDocument/2006/relationships/hyperlink" Target="https://www.itu.int/en/ITU-D/Study-Groups/2018-2021/Pages/collaborative-tools.aspx"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md/D18-SG02-ADM-0010" TargetMode="External"/><Relationship Id="rId23" Type="http://schemas.openxmlformats.org/officeDocument/2006/relationships/hyperlink" Target="https://www.itu.int/en/ITU-D/Study-Groups/2018-2021/Pages/meetings/session-Q7-2-oct18.aspx" TargetMode="External"/><Relationship Id="rId28" Type="http://schemas.openxmlformats.org/officeDocument/2006/relationships/hyperlink" Target="https://www.itu.int/md/D18-SG02.rgq-R-0003" TargetMode="External"/><Relationship Id="rId36" Type="http://schemas.openxmlformats.org/officeDocument/2006/relationships/hyperlink" Target="https://www.itu.int/md/D18-SG02.rgq-R-0006" TargetMode="External"/><Relationship Id="rId49" Type="http://schemas.openxmlformats.org/officeDocument/2006/relationships/footer" Target="footer1.xml"/><Relationship Id="rId57" Type="http://schemas.openxmlformats.org/officeDocument/2006/relationships/theme" Target="theme/theme1.xml"/><Relationship Id="rId10" Type="http://schemas.openxmlformats.org/officeDocument/2006/relationships/hyperlink" Target="https://www.itu.int/md/D18-SG02-ADM-0003/fr" TargetMode="External"/><Relationship Id="rId19" Type="http://schemas.openxmlformats.org/officeDocument/2006/relationships/hyperlink" Target="https://www.itu.int/en/ITU-D/Study-Groups/2018-2021/Pages/meetings/session-Q3-2-oct18.aspx" TargetMode="External"/><Relationship Id="rId31" Type="http://schemas.openxmlformats.org/officeDocument/2006/relationships/hyperlink" Target="https://www.itu.int/md/D18-SG02-R-0012" TargetMode="External"/><Relationship Id="rId44" Type="http://schemas.openxmlformats.org/officeDocument/2006/relationships/hyperlink" Target="https://www.itu.int/en/ITU-D/Study-Groups/2018-2021/Pages/collaborative-tools.aspx" TargetMode="External"/><Relationship Id="rId52" Type="http://schemas.openxmlformats.org/officeDocument/2006/relationships/hyperlink" Target="https://www.itu.int/net4/ITU-D/CDS/sg/rapporteurs.asp?lg=1&amp;sp=2018" TargetMode="External"/><Relationship Id="rId4" Type="http://schemas.openxmlformats.org/officeDocument/2006/relationships/settings" Target="settings.xml"/><Relationship Id="rId9" Type="http://schemas.openxmlformats.org/officeDocument/2006/relationships/hyperlink" Target="https://www.itu.int/md/D18-SG02-C-0100/fr" TargetMode="External"/><Relationship Id="rId14" Type="http://schemas.openxmlformats.org/officeDocument/2006/relationships/hyperlink" Target="https://www.itu.int/en/ITU-D/Emergency-Telecommunications/Pages/Panel-Session-on-Early-Warning-Systems-(EWS).aspx" TargetMode="External"/><Relationship Id="rId22" Type="http://schemas.openxmlformats.org/officeDocument/2006/relationships/hyperlink" Target="https://www.itu.int/en/ITU-D/Study-Groups/2018-2021/Pages/meetings/session-Q6-2-oct18.aspx" TargetMode="External"/><Relationship Id="rId27" Type="http://schemas.openxmlformats.org/officeDocument/2006/relationships/hyperlink" Target="https://www.itu.int/md/D18-SG02-R-0010" TargetMode="External"/><Relationship Id="rId30" Type="http://schemas.openxmlformats.org/officeDocument/2006/relationships/hyperlink" Target="https://www.itu.int/md/D18-SG02.rgq-R-0004" TargetMode="External"/><Relationship Id="rId35" Type="http://schemas.openxmlformats.org/officeDocument/2006/relationships/hyperlink" Target="https://www.itu.int/md/D18-SG02-R-0006" TargetMode="External"/><Relationship Id="rId43" Type="http://schemas.openxmlformats.org/officeDocument/2006/relationships/hyperlink" Target="https://www.itu.int/md/D18-SG02.RGQ-C-0107/en" TargetMode="External"/><Relationship Id="rId48" Type="http://schemas.openxmlformats.org/officeDocument/2006/relationships/header" Target="header1.xm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itu.int/net4/ITU-D/CDS/sg/chairmen.asp?lg=1&amp;sp=2018"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bdt-director/Pages/Speeches.aspx?ItemID=206" TargetMode="External"/><Relationship Id="rId2" Type="http://schemas.openxmlformats.org/officeDocument/2006/relationships/hyperlink" Target="https://www.flickr.com/photos/itupictures/sets/72157677382093287" TargetMode="External"/><Relationship Id="rId1" Type="http://schemas.openxmlformats.org/officeDocument/2006/relationships/hyperlink" Target="https://www.flickr.com/photos/itupictures/albums/721576907729258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69CCE-2130-4937-87CF-14E3AF491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PF_TDAG19.dotx</Template>
  <TotalTime>108</TotalTime>
  <Pages>17</Pages>
  <Words>7085</Words>
  <Characters>42685</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49671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Gozel, Elsa</dc:creator>
  <cp:lastModifiedBy>Royer, Veronique</cp:lastModifiedBy>
  <cp:revision>12</cp:revision>
  <cp:lastPrinted>2019-02-25T17:42:00Z</cp:lastPrinted>
  <dcterms:created xsi:type="dcterms:W3CDTF">2019-04-03T11:47:00Z</dcterms:created>
  <dcterms:modified xsi:type="dcterms:W3CDTF">2019-04-03T13:52:00Z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