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CE6AE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AA5885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A5885"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A5885" w:rsidP="00AA5885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19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 w:rsidRPr="00AA588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AA5885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مديرة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AA5885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المنتديات الإقليمية للتنمية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E31623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E31623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A1741" w:rsidRPr="00E31623" w:rsidRDefault="00AA5885" w:rsidP="00E316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rtl/>
                <w:lang w:eastAsia="zh-CN" w:bidi="ar-EG"/>
              </w:rPr>
            </w:pPr>
            <w:r w:rsidRPr="00E31623">
              <w:rPr>
                <w:rFonts w:eastAsiaTheme="minorEastAsia" w:hint="cs"/>
                <w:rtl/>
                <w:lang w:eastAsia="zh-CN"/>
              </w:rPr>
              <w:t>تقدم هذه الوثيقة معلومات أساسية بشأن حالة الأعمال التحضيرية للمنتديات الإقليمية للتنمية المزمع عقدها في</w:t>
            </w:r>
            <w:r w:rsidRPr="00E31623">
              <w:rPr>
                <w:rFonts w:eastAsiaTheme="minorEastAsia" w:hint="eastAsia"/>
                <w:rtl/>
                <w:lang w:eastAsia="zh-CN"/>
              </w:rPr>
              <w:t> </w:t>
            </w:r>
            <w:r w:rsidRPr="00E31623">
              <w:rPr>
                <w:rFonts w:eastAsiaTheme="minorEastAsia"/>
                <w:lang w:eastAsia="zh-CN" w:bidi="ar-SY"/>
              </w:rPr>
              <w:t>2019</w:t>
            </w:r>
            <w:r w:rsidRPr="00E31623">
              <w:rPr>
                <w:rFonts w:eastAsiaTheme="minorEastAsia" w:hint="cs"/>
                <w:rtl/>
                <w:lang w:eastAsia="zh-CN"/>
              </w:rPr>
              <w:t>، مع</w:t>
            </w:r>
            <w:r w:rsidRPr="00E31623">
              <w:rPr>
                <w:rFonts w:eastAsiaTheme="minorEastAsia" w:hint="eastAsia"/>
                <w:rtl/>
                <w:lang w:eastAsia="zh-CN"/>
              </w:rPr>
              <w:t> </w:t>
            </w:r>
            <w:r w:rsidRPr="00E31623">
              <w:rPr>
                <w:rFonts w:eastAsiaTheme="minorEastAsia" w:hint="cs"/>
                <w:rtl/>
                <w:lang w:eastAsia="zh-CN"/>
              </w:rPr>
              <w:t xml:space="preserve">مراعاة نتائج مؤتمر المندوبين المفوضين </w:t>
            </w:r>
            <w:r w:rsidR="00E31623" w:rsidRPr="00E31623">
              <w:rPr>
                <w:rFonts w:eastAsiaTheme="minorEastAsia" w:hint="cs"/>
                <w:rtl/>
                <w:lang w:eastAsia="zh-CN"/>
              </w:rPr>
              <w:t>بشأن الحضور الإقليمي.</w:t>
            </w:r>
          </w:p>
          <w:p w:rsidR="003A1741" w:rsidRPr="00E31623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E31623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E31623" w:rsidRDefault="00AA5885" w:rsidP="00452D3F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 w:rsidRPr="00E31623">
              <w:rPr>
                <w:rFonts w:eastAsiaTheme="minorEastAsia" w:hint="cs"/>
                <w:b/>
                <w:rtl/>
                <w:lang w:eastAsia="zh-CN"/>
              </w:rPr>
              <w:t>يُرجى من ال</w:t>
            </w:r>
            <w:r w:rsidRPr="00E31623">
              <w:rPr>
                <w:rFonts w:eastAsiaTheme="minorEastAsia" w:hint="eastAsia"/>
                <w:b/>
                <w:rtl/>
                <w:lang w:eastAsia="zh-CN"/>
              </w:rPr>
              <w:t>فريق</w:t>
            </w:r>
            <w:r w:rsidRPr="00E31623">
              <w:rPr>
                <w:rFonts w:eastAsiaTheme="minorEastAsia"/>
                <w:b/>
                <w:rtl/>
                <w:lang w:eastAsia="zh-CN"/>
              </w:rPr>
              <w:t xml:space="preserve"> </w:t>
            </w:r>
            <w:r w:rsidRPr="00E31623">
              <w:rPr>
                <w:rFonts w:eastAsiaTheme="minorEastAsia" w:hint="eastAsia"/>
                <w:b/>
                <w:rtl/>
                <w:lang w:eastAsia="zh-CN"/>
              </w:rPr>
              <w:t>الاستشاري</w:t>
            </w:r>
            <w:r w:rsidRPr="00E31623">
              <w:rPr>
                <w:rFonts w:eastAsiaTheme="minorEastAsia"/>
                <w:b/>
                <w:rtl/>
                <w:lang w:eastAsia="zh-CN"/>
              </w:rPr>
              <w:t xml:space="preserve"> </w:t>
            </w:r>
            <w:r w:rsidRPr="00E31623">
              <w:rPr>
                <w:rFonts w:eastAsiaTheme="minorEastAsia" w:hint="eastAsia"/>
                <w:b/>
                <w:rtl/>
                <w:lang w:eastAsia="zh-CN"/>
              </w:rPr>
              <w:t>لتنمية</w:t>
            </w:r>
            <w:r w:rsidRPr="00E31623">
              <w:rPr>
                <w:rFonts w:eastAsiaTheme="minorEastAsia"/>
                <w:b/>
                <w:rtl/>
                <w:lang w:eastAsia="zh-CN"/>
              </w:rPr>
              <w:t xml:space="preserve"> </w:t>
            </w:r>
            <w:r w:rsidRPr="00E31623">
              <w:rPr>
                <w:rFonts w:eastAsiaTheme="minorEastAsia" w:hint="eastAsia"/>
                <w:b/>
                <w:rtl/>
                <w:lang w:eastAsia="zh-CN"/>
              </w:rPr>
              <w:t>الاتصالات </w:t>
            </w:r>
            <w:r w:rsidRPr="00E31623">
              <w:rPr>
                <w:rFonts w:eastAsiaTheme="minorEastAsia"/>
                <w:bCs/>
                <w:lang w:eastAsia="zh-CN" w:bidi="ar-EG"/>
              </w:rPr>
              <w:t>(TDAG)</w:t>
            </w:r>
            <w:r w:rsidRPr="00E31623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="00452D3F">
              <w:rPr>
                <w:rFonts w:eastAsiaTheme="minorEastAsia" w:hint="cs"/>
                <w:b/>
                <w:rtl/>
                <w:lang w:eastAsia="zh-CN"/>
              </w:rPr>
              <w:t>الإحاطة علماً</w:t>
            </w:r>
            <w:r w:rsidRPr="00E31623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="00E31623" w:rsidRPr="00E31623">
              <w:rPr>
                <w:rFonts w:eastAsiaTheme="minorEastAsia" w:hint="cs"/>
                <w:b/>
                <w:rtl/>
                <w:lang w:eastAsia="zh-CN"/>
              </w:rPr>
              <w:t>بهذه</w:t>
            </w:r>
            <w:r w:rsidRPr="00E31623">
              <w:rPr>
                <w:rFonts w:eastAsiaTheme="minorEastAsia" w:hint="cs"/>
                <w:b/>
                <w:rtl/>
                <w:lang w:eastAsia="zh-CN"/>
              </w:rPr>
              <w:t xml:space="preserve"> الوثيقة وتقديم أي توجيهات يراها</w:t>
            </w:r>
            <w:r w:rsidRPr="00E31623">
              <w:rPr>
                <w:rFonts w:eastAsiaTheme="minorEastAsia" w:hint="eastAsia"/>
                <w:b/>
                <w:rtl/>
                <w:lang w:eastAsia="zh-CN"/>
              </w:rPr>
              <w:t> </w:t>
            </w:r>
            <w:r w:rsidRPr="00E31623">
              <w:rPr>
                <w:rFonts w:eastAsiaTheme="minorEastAsia" w:hint="cs"/>
                <w:b/>
                <w:rtl/>
                <w:lang w:eastAsia="zh-CN"/>
              </w:rPr>
              <w:t>مناسبة.</w:t>
            </w:r>
          </w:p>
          <w:p w:rsidR="003A1741" w:rsidRPr="00E31623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E31623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452D3F" w:rsidRPr="00A4239E" w:rsidRDefault="00AA5885" w:rsidP="00452D3F">
            <w:pPr>
              <w:rPr>
                <w:rFonts w:eastAsiaTheme="minorEastAsia"/>
                <w:rtl/>
                <w:lang w:eastAsia="zh-CN"/>
              </w:rPr>
            </w:pPr>
            <w:r w:rsidRPr="00A4239E">
              <w:rPr>
                <w:rFonts w:eastAsiaTheme="minorEastAsia" w:hint="cs"/>
                <w:rtl/>
                <w:lang w:eastAsia="zh-CN" w:bidi="ar-SY"/>
              </w:rPr>
              <w:t xml:space="preserve">خطة عمل بوينس آيرس الصادرة عن المؤتمر العالمي لتنمية الاتصالات؛ القرار </w:t>
            </w:r>
            <w:r w:rsidRPr="00A4239E">
              <w:rPr>
                <w:rFonts w:eastAsiaTheme="minorEastAsia"/>
                <w:lang w:eastAsia="zh-CN" w:bidi="ar-SY"/>
              </w:rPr>
              <w:t>1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 في بوينس آيرس، </w:t>
            </w:r>
            <w:r w:rsidRPr="00A4239E">
              <w:rPr>
                <w:rFonts w:eastAsiaTheme="minorEastAsia"/>
                <w:lang w:eastAsia="zh-CN" w:bidi="ar-SY"/>
              </w:rPr>
              <w:t>2017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) للمؤتمر العالمي لتنمية الاتصالات؛ </w:t>
            </w:r>
            <w:r w:rsidRPr="00A4239E">
              <w:rPr>
                <w:rFonts w:eastAsiaTheme="minorEastAsia" w:hint="cs"/>
                <w:rtl/>
                <w:lang w:eastAsia="zh-CN" w:bidi="ar-SY"/>
              </w:rPr>
              <w:t xml:space="preserve">القرار </w:t>
            </w:r>
            <w:r w:rsidRPr="00A4239E">
              <w:rPr>
                <w:rFonts w:eastAsiaTheme="minorEastAsia"/>
                <w:lang w:eastAsia="zh-CN" w:bidi="ar-SY"/>
              </w:rPr>
              <w:t>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 في بوينس آيرس، </w:t>
            </w:r>
            <w:r w:rsidRPr="00A4239E">
              <w:rPr>
                <w:rFonts w:eastAsiaTheme="minorEastAsia"/>
                <w:lang w:eastAsia="zh-CN" w:bidi="ar-SY"/>
              </w:rPr>
              <w:t>2017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)؛ </w:t>
            </w:r>
            <w:r w:rsidRPr="00A4239E">
              <w:rPr>
                <w:rFonts w:eastAsiaTheme="minorEastAsia" w:hint="cs"/>
                <w:rtl/>
                <w:lang w:eastAsia="zh-CN" w:bidi="ar-SY"/>
              </w:rPr>
              <w:t xml:space="preserve">القرار </w:t>
            </w:r>
            <w:r w:rsidRPr="00A4239E">
              <w:rPr>
                <w:rFonts w:eastAsiaTheme="minorEastAsia"/>
                <w:lang w:eastAsia="zh-CN" w:bidi="ar-SY"/>
              </w:rPr>
              <w:t>21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 في بوينس آيرس، </w:t>
            </w:r>
            <w:r w:rsidRPr="00A4239E">
              <w:rPr>
                <w:rFonts w:eastAsiaTheme="minorEastAsia"/>
                <w:lang w:eastAsia="zh-CN" w:bidi="ar-SY"/>
              </w:rPr>
              <w:t>2017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)؛ </w:t>
            </w:r>
            <w:r w:rsidRPr="00A4239E">
              <w:rPr>
                <w:rFonts w:eastAsiaTheme="minorEastAsia" w:hint="cs"/>
                <w:rtl/>
                <w:lang w:eastAsia="zh-CN" w:bidi="ar-SY"/>
              </w:rPr>
              <w:t>القرار</w:t>
            </w:r>
            <w:r w:rsidRPr="00A4239E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Pr="00A4239E">
              <w:rPr>
                <w:rFonts w:eastAsiaTheme="minorEastAsia"/>
                <w:lang w:eastAsia="zh-CN" w:bidi="ar-SY"/>
              </w:rPr>
              <w:t>30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</w:t>
            </w:r>
            <w:r w:rsidRPr="00A4239E">
              <w:rPr>
                <w:rFonts w:eastAsiaTheme="minorEastAsia" w:hint="eastAsia"/>
                <w:rtl/>
                <w:lang w:eastAsia="zh-CN"/>
              </w:rPr>
              <w:t> </w:t>
            </w:r>
            <w:r w:rsidRPr="00A4239E">
              <w:rPr>
                <w:rFonts w:eastAsiaTheme="minorEastAsia" w:hint="cs"/>
                <w:rtl/>
                <w:lang w:eastAsia="zh-CN"/>
              </w:rPr>
              <w:t>في</w:t>
            </w:r>
            <w:r w:rsidRPr="00A4239E">
              <w:rPr>
                <w:rFonts w:eastAsiaTheme="minorEastAsia" w:hint="eastAsia"/>
                <w:rtl/>
                <w:lang w:eastAsia="zh-CN"/>
              </w:rPr>
              <w:t> </w:t>
            </w:r>
            <w:r w:rsidRPr="00A4239E">
              <w:rPr>
                <w:rFonts w:eastAsiaTheme="minorEastAsia" w:hint="cs"/>
                <w:rtl/>
                <w:lang w:eastAsia="zh-CN"/>
              </w:rPr>
              <w:t>بوينس</w:t>
            </w:r>
            <w:r w:rsidRPr="00A4239E">
              <w:rPr>
                <w:rFonts w:eastAsiaTheme="minorEastAsia" w:hint="eastAsia"/>
                <w:rtl/>
                <w:lang w:eastAsia="zh-CN"/>
              </w:rPr>
              <w:t> 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آيرس، </w:t>
            </w:r>
            <w:r w:rsidRPr="00A4239E">
              <w:rPr>
                <w:rFonts w:eastAsiaTheme="minorEastAsia"/>
                <w:lang w:eastAsia="zh-CN" w:bidi="ar-SY"/>
              </w:rPr>
              <w:t>2017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)؛ </w:t>
            </w:r>
            <w:r w:rsidRPr="00A4239E">
              <w:rPr>
                <w:rFonts w:eastAsiaTheme="minorEastAsia" w:hint="cs"/>
                <w:rtl/>
                <w:lang w:eastAsia="zh-CN" w:bidi="ar-SY"/>
              </w:rPr>
              <w:t xml:space="preserve">القرار </w:t>
            </w:r>
            <w:r w:rsidRPr="00A4239E">
              <w:rPr>
                <w:rFonts w:eastAsiaTheme="minorEastAsia"/>
                <w:lang w:eastAsia="zh-CN" w:bidi="ar-SY"/>
              </w:rPr>
              <w:t>71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 في بوينس آيرس، </w:t>
            </w:r>
            <w:r w:rsidRPr="00A4239E">
              <w:rPr>
                <w:rFonts w:eastAsiaTheme="minorEastAsia"/>
                <w:lang w:eastAsia="zh-CN" w:bidi="ar-SY"/>
              </w:rPr>
              <w:t>2017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)؛ </w:t>
            </w:r>
            <w:r w:rsidRPr="00A4239E">
              <w:rPr>
                <w:rFonts w:eastAsiaTheme="minorEastAsia" w:hint="cs"/>
                <w:rtl/>
                <w:lang w:eastAsia="zh-CN" w:bidi="ar-SY"/>
              </w:rPr>
              <w:t xml:space="preserve">القرار </w:t>
            </w:r>
            <w:r w:rsidRPr="00A4239E">
              <w:rPr>
                <w:rFonts w:eastAsiaTheme="minorEastAsia"/>
                <w:lang w:eastAsia="zh-CN" w:bidi="ar-SY"/>
              </w:rPr>
              <w:t>25</w:t>
            </w:r>
            <w:r w:rsidRPr="00A4239E">
              <w:rPr>
                <w:rFonts w:eastAsiaTheme="minorEastAsia" w:hint="cs"/>
                <w:rtl/>
                <w:lang w:eastAsia="zh-CN"/>
              </w:rPr>
              <w:t xml:space="preserve"> (المراجَع في</w:t>
            </w:r>
            <w:r w:rsidRPr="00A4239E">
              <w:rPr>
                <w:rFonts w:eastAsiaTheme="minorEastAsia" w:hint="eastAsia"/>
                <w:rtl/>
                <w:lang w:eastAsia="zh-CN"/>
              </w:rPr>
              <w:t> </w:t>
            </w:r>
            <w:r w:rsidRPr="00A4239E">
              <w:rPr>
                <w:rFonts w:eastAsiaTheme="minorEastAsia" w:hint="cs"/>
                <w:rtl/>
                <w:lang w:eastAsia="zh-CN"/>
              </w:rPr>
              <w:t>دبي،</w:t>
            </w:r>
            <w:r w:rsidRPr="00A4239E">
              <w:rPr>
                <w:rFonts w:eastAsiaTheme="minorEastAsia" w:hint="eastAsia"/>
                <w:rtl/>
                <w:lang w:eastAsia="zh-CN"/>
              </w:rPr>
              <w:t> </w:t>
            </w:r>
            <w:r w:rsidRPr="00A4239E">
              <w:rPr>
                <w:rFonts w:eastAsiaTheme="minorEastAsia"/>
                <w:lang w:eastAsia="zh-CN" w:bidi="ar-SY"/>
              </w:rPr>
              <w:t>2018</w:t>
            </w:r>
            <w:r w:rsidRPr="00A4239E">
              <w:rPr>
                <w:rFonts w:eastAsiaTheme="minorEastAsia" w:hint="cs"/>
                <w:rtl/>
                <w:lang w:eastAsia="zh-CN"/>
              </w:rPr>
              <w:t>) لمؤتمر المندوبين المفوضين.</w:t>
            </w:r>
          </w:p>
        </w:tc>
      </w:tr>
    </w:tbl>
    <w:p w:rsidR="006157A3" w:rsidRDefault="006157A3" w:rsidP="008B5B5D">
      <w:pPr>
        <w:rPr>
          <w:rFonts w:hint="cs"/>
          <w:lang w:bidi="ar-EG"/>
        </w:rPr>
      </w:pPr>
    </w:p>
    <w:p w:rsidR="00CB30F8" w:rsidRDefault="00CB30F8" w:rsidP="00452D3F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CB30F8" w:rsidRPr="00E31623" w:rsidRDefault="0057026E" w:rsidP="0057026E">
      <w:pPr>
        <w:pStyle w:val="Heading1"/>
        <w:rPr>
          <w:rtl/>
        </w:rPr>
      </w:pPr>
      <w:r w:rsidRPr="00E31623">
        <w:lastRenderedPageBreak/>
        <w:t>1</w:t>
      </w:r>
      <w:r w:rsidRPr="00E31623">
        <w:rPr>
          <w:rtl/>
        </w:rPr>
        <w:tab/>
      </w:r>
      <w:r w:rsidRPr="00E31623">
        <w:rPr>
          <w:rFonts w:hint="cs"/>
          <w:rtl/>
        </w:rPr>
        <w:t>خلفية</w:t>
      </w:r>
    </w:p>
    <w:p w:rsidR="0057026E" w:rsidRDefault="00E31623" w:rsidP="00452D3F">
      <w:pPr>
        <w:rPr>
          <w:rtl/>
          <w:lang w:bidi="ar-EG"/>
        </w:rPr>
      </w:pPr>
      <w:r w:rsidRPr="00E31623">
        <w:rPr>
          <w:rFonts w:hint="cs"/>
          <w:rtl/>
          <w:lang w:bidi="ar-EG"/>
        </w:rPr>
        <w:t>قام</w:t>
      </w:r>
      <w:r w:rsidR="0057026E" w:rsidRPr="00E31623">
        <w:rPr>
          <w:rFonts w:hint="cs"/>
          <w:rtl/>
          <w:lang w:bidi="ar-EG"/>
        </w:rPr>
        <w:t xml:space="preserve"> مؤتمر المندوبين المفوضين لعام</w:t>
      </w:r>
      <w:r w:rsidR="00452D3F">
        <w:rPr>
          <w:rFonts w:hint="eastAsia"/>
          <w:rtl/>
          <w:lang w:bidi="ar-EG"/>
        </w:rPr>
        <w:t> </w:t>
      </w:r>
      <w:r w:rsidR="0057026E" w:rsidRPr="00E31623">
        <w:rPr>
          <w:lang w:bidi="ar-EG"/>
        </w:rPr>
        <w:t>2018</w:t>
      </w:r>
      <w:r w:rsidR="0057026E" w:rsidRPr="00E31623">
        <w:rPr>
          <w:rFonts w:hint="cs"/>
          <w:rtl/>
        </w:rPr>
        <w:t xml:space="preserve"> </w:t>
      </w:r>
      <w:r w:rsidRPr="00E31623">
        <w:rPr>
          <w:rFonts w:hint="cs"/>
          <w:rtl/>
        </w:rPr>
        <w:t>بتعزيز دور المكاتب الإقليمية وكلفها ب</w:t>
      </w:r>
      <w:r w:rsidR="0057026E" w:rsidRPr="00E31623">
        <w:rPr>
          <w:rFonts w:hint="cs"/>
          <w:rtl/>
        </w:rPr>
        <w:t>ضمان دمج جميع الأنشطة المخطَطة للقطاعات الثلاثة والأمانة العامة في المناطق ضمن الأجزاء ذات</w:t>
      </w:r>
      <w:r w:rsidR="00452D3F">
        <w:rPr>
          <w:rFonts w:hint="eastAsia"/>
          <w:rtl/>
        </w:rPr>
        <w:t> </w:t>
      </w:r>
      <w:r w:rsidR="0057026E" w:rsidRPr="00E31623">
        <w:rPr>
          <w:rFonts w:hint="cs"/>
          <w:rtl/>
        </w:rPr>
        <w:t>الصلة بالمناطق في</w:t>
      </w:r>
      <w:r w:rsidR="0057026E" w:rsidRPr="00E31623">
        <w:rPr>
          <w:rFonts w:hint="eastAsia"/>
          <w:rtl/>
        </w:rPr>
        <w:t> </w:t>
      </w:r>
      <w:r w:rsidR="0057026E" w:rsidRPr="00E31623">
        <w:rPr>
          <w:rFonts w:hint="cs"/>
          <w:rtl/>
        </w:rPr>
        <w:t>الخطط التشغيلية وتنفيذها في إطار تنسيق المكاتب الإقليمية.</w:t>
      </w:r>
      <w:r w:rsidRPr="00E31623">
        <w:rPr>
          <w:rFonts w:hint="cs"/>
          <w:rtl/>
        </w:rPr>
        <w:t xml:space="preserve"> وكل</w:t>
      </w:r>
      <w:r w:rsidR="00452D3F">
        <w:rPr>
          <w:rFonts w:hint="cs"/>
          <w:rtl/>
        </w:rPr>
        <w:t>ّ</w:t>
      </w:r>
      <w:r w:rsidRPr="00E31623">
        <w:rPr>
          <w:rFonts w:hint="cs"/>
          <w:rtl/>
        </w:rPr>
        <w:t>ف</w:t>
      </w:r>
      <w:r w:rsidRPr="00E31623">
        <w:rPr>
          <w:rFonts w:hint="cs"/>
          <w:rtl/>
          <w:lang w:bidi="ar-EG"/>
        </w:rPr>
        <w:t xml:space="preserve"> مؤتمر المندوبين المفوضين لعام</w:t>
      </w:r>
      <w:r w:rsidR="00452D3F">
        <w:rPr>
          <w:rFonts w:hint="eastAsia"/>
          <w:rtl/>
          <w:lang w:bidi="ar-EG"/>
        </w:rPr>
        <w:t> </w:t>
      </w:r>
      <w:r w:rsidRPr="00E31623">
        <w:t>2018</w:t>
      </w:r>
      <w:r w:rsidRPr="00E31623">
        <w:rPr>
          <w:rFonts w:hint="cs"/>
          <w:rtl/>
        </w:rPr>
        <w:t xml:space="preserve"> علاوة</w:t>
      </w:r>
      <w:r w:rsidR="00452D3F">
        <w:rPr>
          <w:rFonts w:hint="cs"/>
          <w:rtl/>
        </w:rPr>
        <w:t>ً</w:t>
      </w:r>
      <w:r w:rsidRPr="00E31623">
        <w:rPr>
          <w:rFonts w:hint="cs"/>
          <w:rtl/>
        </w:rPr>
        <w:t xml:space="preserve"> على ذلك</w:t>
      </w:r>
      <w:r w:rsidR="0057026E" w:rsidRPr="00E31623">
        <w:rPr>
          <w:rFonts w:hint="cs"/>
          <w:rtl/>
        </w:rPr>
        <w:t xml:space="preserve"> </w:t>
      </w:r>
      <w:r w:rsidRPr="00E31623">
        <w:rPr>
          <w:rFonts w:hint="cs"/>
          <w:rtl/>
        </w:rPr>
        <w:t>ب</w:t>
      </w:r>
      <w:r w:rsidR="0057026E" w:rsidRPr="00E31623">
        <w:rPr>
          <w:rFonts w:hint="cs"/>
          <w:rtl/>
        </w:rPr>
        <w:t>ضمان أن تستند الخطط التشغيلية السنوية للمكاتب الإقليمية إلى مدخلات من المناطق المعنية قبل التنفيذ</w:t>
      </w:r>
      <w:r w:rsidR="0057026E" w:rsidRPr="00E31623">
        <w:rPr>
          <w:rFonts w:hint="cs"/>
          <w:rtl/>
          <w:lang w:bidi="ar-EG"/>
        </w:rPr>
        <w:t>.</w:t>
      </w:r>
    </w:p>
    <w:p w:rsidR="006435A5" w:rsidRDefault="006435A5" w:rsidP="00452D3F">
      <w:pPr>
        <w:rPr>
          <w:rtl/>
          <w:lang w:bidi="ar-EG"/>
        </w:rPr>
      </w:pPr>
      <w:r>
        <w:rPr>
          <w:rFonts w:hint="cs"/>
          <w:rtl/>
          <w:lang w:bidi="ar-EG"/>
        </w:rPr>
        <w:t>ومراعاةً لقرار</w:t>
      </w:r>
      <w:r w:rsidR="0057026E">
        <w:rPr>
          <w:rFonts w:hint="cs"/>
          <w:rtl/>
          <w:lang w:bidi="ar-EG"/>
        </w:rPr>
        <w:t xml:space="preserve"> </w:t>
      </w:r>
      <w:r w:rsidR="0057026E" w:rsidRPr="00272E04">
        <w:rPr>
          <w:rFonts w:hint="cs"/>
          <w:rtl/>
        </w:rPr>
        <w:t>المؤتمر العالمي لتنمية الاتصالات لعام</w:t>
      </w:r>
      <w:r w:rsidR="00452D3F">
        <w:rPr>
          <w:rFonts w:hint="eastAsia"/>
          <w:rtl/>
        </w:rPr>
        <w:t> </w:t>
      </w:r>
      <w:r w:rsidR="0057026E" w:rsidRPr="00272E04">
        <w:rPr>
          <w:lang w:bidi="ar-EG"/>
        </w:rPr>
        <w:t>2017</w:t>
      </w:r>
      <w:r w:rsidR="0057026E" w:rsidRPr="00272E0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القاضي ب</w:t>
      </w:r>
      <w:r w:rsidR="0057026E" w:rsidRPr="00272E04">
        <w:rPr>
          <w:rFonts w:hint="cs"/>
          <w:rtl/>
          <w:lang w:bidi="ar-EG"/>
        </w:rPr>
        <w:t>تعزيز منصات التنسيق الإقليمي، بما</w:t>
      </w:r>
      <w:r w:rsidR="00452D3F">
        <w:rPr>
          <w:rFonts w:hint="eastAsia"/>
          <w:rtl/>
          <w:lang w:bidi="ar-EG"/>
        </w:rPr>
        <w:t> </w:t>
      </w:r>
      <w:r w:rsidR="0057026E" w:rsidRPr="00272E04">
        <w:rPr>
          <w:rFonts w:hint="cs"/>
          <w:rtl/>
          <w:lang w:bidi="ar-EG"/>
        </w:rPr>
        <w:t>في</w:t>
      </w:r>
      <w:r w:rsidR="00452D3F">
        <w:rPr>
          <w:rFonts w:hint="eastAsia"/>
          <w:rtl/>
          <w:lang w:bidi="ar-EG"/>
        </w:rPr>
        <w:t> </w:t>
      </w:r>
      <w:r w:rsidR="0057026E" w:rsidRPr="00272E04">
        <w:rPr>
          <w:rFonts w:hint="cs"/>
          <w:rtl/>
          <w:lang w:bidi="ar-EG"/>
        </w:rPr>
        <w:t xml:space="preserve">ذلك </w:t>
      </w:r>
      <w:r w:rsidR="0057026E">
        <w:rPr>
          <w:rFonts w:hint="cs"/>
          <w:rtl/>
          <w:lang w:bidi="ar-EG"/>
        </w:rPr>
        <w:t>ال</w:t>
      </w:r>
      <w:r w:rsidR="0057026E" w:rsidRPr="00272E04">
        <w:rPr>
          <w:rFonts w:hint="cs"/>
          <w:rtl/>
          <w:lang w:bidi="ar-EG"/>
        </w:rPr>
        <w:t xml:space="preserve">منتديات الإقليمية </w:t>
      </w:r>
      <w:r w:rsidR="0057026E">
        <w:rPr>
          <w:rFonts w:hint="cs"/>
          <w:rtl/>
          <w:lang w:bidi="ar-EG"/>
        </w:rPr>
        <w:t>للتنمية</w:t>
      </w:r>
      <w:r w:rsidR="0057026E">
        <w:rPr>
          <w:rFonts w:hint="eastAsia"/>
          <w:rtl/>
          <w:lang w:bidi="ar-EG"/>
        </w:rPr>
        <w:t> </w:t>
      </w:r>
      <w:r w:rsidR="0057026E" w:rsidRPr="00272E04">
        <w:rPr>
          <w:lang w:bidi="ar-EG"/>
        </w:rPr>
        <w:t>(RDF)</w:t>
      </w:r>
      <w:r w:rsidR="0057026E" w:rsidRPr="00272E0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6435A5">
        <w:rPr>
          <w:rtl/>
          <w:lang w:bidi="ar-EG"/>
        </w:rPr>
        <w:t xml:space="preserve">بهدف تعزيز </w:t>
      </w:r>
      <w:r>
        <w:rPr>
          <w:rFonts w:hint="cs"/>
          <w:rtl/>
          <w:lang w:bidi="ar-EG"/>
        </w:rPr>
        <w:t>الحضور</w:t>
      </w:r>
      <w:r>
        <w:rPr>
          <w:rtl/>
          <w:lang w:bidi="ar-EG"/>
        </w:rPr>
        <w:t xml:space="preserve"> الإقليمي باعتباره امتداد</w:t>
      </w:r>
      <w:r w:rsidRPr="006435A5">
        <w:rPr>
          <w:rtl/>
          <w:lang w:bidi="ar-EG"/>
        </w:rPr>
        <w:t>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للاتحاد ككل</w:t>
      </w:r>
      <w:r w:rsidRPr="006435A5">
        <w:rPr>
          <w:rtl/>
          <w:lang w:bidi="ar-EG"/>
        </w:rPr>
        <w:t>، وضمان إدراج أنشطة مكتب الاتصالات الراديوية ومكتب تقييس الاتصالات بفع</w:t>
      </w:r>
      <w:r>
        <w:rPr>
          <w:rtl/>
          <w:lang w:bidi="ar-EG"/>
        </w:rPr>
        <w:t>الية في أعمال المكاتب الإقليمية</w:t>
      </w:r>
      <w:r w:rsidRPr="006435A5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حُددت مواعيد</w:t>
      </w:r>
      <w:r w:rsidRPr="006435A5">
        <w:rPr>
          <w:rtl/>
          <w:lang w:bidi="ar-EG"/>
        </w:rPr>
        <w:t xml:space="preserve"> سلسلة من </w:t>
      </w:r>
      <w:r w:rsidRPr="006435A5">
        <w:rPr>
          <w:rFonts w:hint="cs"/>
          <w:rtl/>
          <w:lang w:bidi="ar-EG"/>
        </w:rPr>
        <w:t>المنتديات الإقليمية للتنمية</w:t>
      </w:r>
      <w:r w:rsidRPr="006435A5">
        <w:rPr>
          <w:rtl/>
          <w:lang w:bidi="ar-EG"/>
        </w:rPr>
        <w:t xml:space="preserve"> في</w:t>
      </w:r>
      <w:r w:rsidR="00452D3F">
        <w:rPr>
          <w:rFonts w:hint="cs"/>
          <w:rtl/>
          <w:lang w:bidi="ar-EG"/>
        </w:rPr>
        <w:t> </w:t>
      </w:r>
      <w:r w:rsidRPr="006435A5">
        <w:rPr>
          <w:rtl/>
          <w:lang w:bidi="ar-EG"/>
        </w:rPr>
        <w:t>عام</w:t>
      </w:r>
      <w:r w:rsidR="00452D3F">
        <w:rPr>
          <w:rFonts w:hint="cs"/>
          <w:rtl/>
          <w:lang w:bidi="ar-EG"/>
        </w:rPr>
        <w:t> </w:t>
      </w:r>
      <w:r w:rsidR="00452D3F">
        <w:rPr>
          <w:lang w:bidi="ar-EG"/>
        </w:rPr>
        <w:t>2019</w:t>
      </w:r>
      <w:r w:rsidRPr="006435A5">
        <w:rPr>
          <w:rtl/>
          <w:lang w:bidi="ar-EG"/>
        </w:rPr>
        <w:t>.</w:t>
      </w:r>
    </w:p>
    <w:p w:rsidR="0057026E" w:rsidRPr="00272E04" w:rsidRDefault="0057026E" w:rsidP="00B011F3">
      <w:pPr>
        <w:pStyle w:val="Heading1"/>
      </w:pPr>
      <w:r w:rsidRPr="00044792">
        <w:t>2</w:t>
      </w:r>
      <w:r w:rsidRPr="00044792">
        <w:rPr>
          <w:rtl/>
          <w:lang w:bidi="ar-SA"/>
        </w:rPr>
        <w:tab/>
      </w:r>
      <w:r w:rsidRPr="00044792">
        <w:rPr>
          <w:rFonts w:hint="cs"/>
          <w:rtl/>
          <w:lang w:bidi="ar-SA"/>
        </w:rPr>
        <w:t>ال</w:t>
      </w:r>
      <w:r w:rsidRPr="00044792">
        <w:rPr>
          <w:rFonts w:hint="cs"/>
          <w:rtl/>
        </w:rPr>
        <w:t xml:space="preserve">منتديات الإقليمية للتنمية </w:t>
      </w:r>
      <w:r w:rsidR="00B011F3" w:rsidRPr="00044792">
        <w:rPr>
          <w:rFonts w:hint="cs"/>
          <w:rtl/>
        </w:rPr>
        <w:t xml:space="preserve">بعد </w:t>
      </w:r>
      <w:r w:rsidRPr="00044792">
        <w:rPr>
          <w:rFonts w:hint="cs"/>
          <w:rtl/>
        </w:rPr>
        <w:t xml:space="preserve">مؤتمر </w:t>
      </w:r>
      <w:r w:rsidR="00B011F3" w:rsidRPr="00044792">
        <w:rPr>
          <w:rFonts w:hint="cs"/>
          <w:rtl/>
        </w:rPr>
        <w:t>المندوبين المفوضين</w:t>
      </w:r>
      <w:r w:rsidRPr="00044792">
        <w:rPr>
          <w:rFonts w:hint="cs"/>
          <w:rtl/>
        </w:rPr>
        <w:t xml:space="preserve"> لعام</w:t>
      </w:r>
      <w:r w:rsidRPr="00044792">
        <w:rPr>
          <w:rFonts w:hint="eastAsia"/>
          <w:rtl/>
        </w:rPr>
        <w:t> </w:t>
      </w:r>
      <w:r w:rsidR="00B011F3" w:rsidRPr="00044792">
        <w:t>2018</w:t>
      </w:r>
    </w:p>
    <w:p w:rsidR="00044792" w:rsidRPr="00044792" w:rsidRDefault="00044792" w:rsidP="0007345E">
      <w:pPr>
        <w:rPr>
          <w:rtl/>
        </w:rPr>
      </w:pPr>
      <w:r w:rsidRPr="00044792">
        <w:rPr>
          <w:rFonts w:hint="cs"/>
          <w:rtl/>
        </w:rPr>
        <w:t>ب</w:t>
      </w:r>
      <w:r w:rsidR="00452D3F">
        <w:rPr>
          <w:rFonts w:hint="cs"/>
          <w:rtl/>
        </w:rPr>
        <w:t>الاستفادة من النتائج الصادرة عن</w:t>
      </w:r>
      <w:r w:rsidRPr="00044792">
        <w:rPr>
          <w:rFonts w:hint="cs"/>
          <w:rtl/>
        </w:rPr>
        <w:t xml:space="preserve"> </w:t>
      </w:r>
      <w:r w:rsidR="00B011F3" w:rsidRPr="00044792">
        <w:rPr>
          <w:rFonts w:hint="cs"/>
          <w:rtl/>
        </w:rPr>
        <w:t>مؤتمر المندوبين المفوضين لعام</w:t>
      </w:r>
      <w:r w:rsidR="00452D3F">
        <w:rPr>
          <w:rFonts w:hint="eastAsia"/>
          <w:rtl/>
        </w:rPr>
        <w:t> </w:t>
      </w:r>
      <w:r w:rsidR="00B011F3" w:rsidRPr="00044792">
        <w:t>2018</w:t>
      </w:r>
      <w:r w:rsidR="00B011F3" w:rsidRPr="00044792">
        <w:rPr>
          <w:rFonts w:hint="cs"/>
          <w:rtl/>
          <w:lang w:bidi="ar-EG"/>
        </w:rPr>
        <w:t xml:space="preserve"> </w:t>
      </w:r>
      <w:r w:rsidR="00B011F3" w:rsidRPr="00044792">
        <w:rPr>
          <w:lang w:bidi="ar-EG"/>
        </w:rPr>
        <w:t>(PP-18)</w:t>
      </w:r>
      <w:r w:rsidR="0057026E" w:rsidRPr="00044792">
        <w:rPr>
          <w:rFonts w:hint="cs"/>
          <w:rtl/>
        </w:rPr>
        <w:t xml:space="preserve"> </w:t>
      </w:r>
      <w:r w:rsidR="00B011F3" w:rsidRPr="00044792">
        <w:rPr>
          <w:rFonts w:hint="cs"/>
          <w:rtl/>
          <w:lang w:bidi="ar-EG"/>
        </w:rPr>
        <w:t>و</w:t>
      </w:r>
      <w:r w:rsidR="0057026E" w:rsidRPr="00044792">
        <w:rPr>
          <w:rFonts w:hint="cs"/>
          <w:rtl/>
        </w:rPr>
        <w:t>المؤتمر العالمي لتنمية الاتصالات لعام</w:t>
      </w:r>
      <w:r w:rsidR="00452D3F">
        <w:rPr>
          <w:rFonts w:hint="eastAsia"/>
          <w:rtl/>
        </w:rPr>
        <w:t> </w:t>
      </w:r>
      <w:r w:rsidR="0057026E" w:rsidRPr="00044792">
        <w:rPr>
          <w:lang w:bidi="ar-EG"/>
        </w:rPr>
        <w:t>2017</w:t>
      </w:r>
      <w:r w:rsidR="00375F36">
        <w:rPr>
          <w:rFonts w:hint="eastAsia"/>
          <w:rtl/>
        </w:rPr>
        <w:t> </w:t>
      </w:r>
      <w:r w:rsidR="00375F36">
        <w:rPr>
          <w:lang w:val="en-GB"/>
        </w:rPr>
        <w:t>(WTDC</w:t>
      </w:r>
      <w:r w:rsidR="00375F36">
        <w:rPr>
          <w:lang w:val="en-GB"/>
        </w:rPr>
        <w:noBreakHyphen/>
        <w:t>17)</w:t>
      </w:r>
      <w:r w:rsidR="0057026E" w:rsidRPr="00044792">
        <w:rPr>
          <w:rFonts w:hint="cs"/>
          <w:rtl/>
        </w:rPr>
        <w:t xml:space="preserve">، </w:t>
      </w:r>
      <w:r w:rsidRPr="00044792">
        <w:rPr>
          <w:rFonts w:hint="cs"/>
          <w:rtl/>
        </w:rPr>
        <w:t xml:space="preserve">ينبغي أن </w:t>
      </w:r>
      <w:r w:rsidR="0057026E" w:rsidRPr="00044792">
        <w:rPr>
          <w:rFonts w:hint="cs"/>
          <w:rtl/>
          <w:lang w:bidi="ar-EG"/>
        </w:rPr>
        <w:t>ت</w:t>
      </w:r>
      <w:r w:rsidR="00452D3F">
        <w:rPr>
          <w:rFonts w:hint="cs"/>
          <w:rtl/>
          <w:lang w:bidi="ar-EG"/>
        </w:rPr>
        <w:t>ُ</w:t>
      </w:r>
      <w:r w:rsidR="0057026E" w:rsidRPr="00044792">
        <w:rPr>
          <w:rFonts w:hint="cs"/>
          <w:rtl/>
          <w:lang w:bidi="ar-EG"/>
        </w:rPr>
        <w:t xml:space="preserve">تيح المنتديات الإقليمية للتنمية الفرصة </w:t>
      </w:r>
      <w:r w:rsidR="0057026E" w:rsidRPr="00044792">
        <w:rPr>
          <w:rFonts w:hint="cs"/>
          <w:rtl/>
        </w:rPr>
        <w:t xml:space="preserve">لإقامة حوار </w:t>
      </w:r>
      <w:r w:rsidR="0057026E" w:rsidRPr="00044792">
        <w:rPr>
          <w:rtl/>
        </w:rPr>
        <w:t>بين</w:t>
      </w:r>
      <w:r w:rsidRPr="00044792">
        <w:rPr>
          <w:rFonts w:hint="cs"/>
          <w:rtl/>
        </w:rPr>
        <w:t xml:space="preserve"> المكاتب الإقليمية</w:t>
      </w:r>
      <w:r w:rsidR="0057026E" w:rsidRPr="00044792">
        <w:rPr>
          <w:rtl/>
        </w:rPr>
        <w:t xml:space="preserve"> وصانعي القرارات لدى الدول الأعضاء في الاتحاد وأعضاء القطاع</w:t>
      </w:r>
      <w:r w:rsidRPr="00044792">
        <w:rPr>
          <w:rtl/>
        </w:rPr>
        <w:t xml:space="preserve"> ب</w:t>
      </w:r>
      <w:r w:rsidRPr="00044792">
        <w:rPr>
          <w:rFonts w:hint="cs"/>
          <w:rtl/>
        </w:rPr>
        <w:t xml:space="preserve">شأن </w:t>
      </w:r>
      <w:r w:rsidRPr="00044792">
        <w:rPr>
          <w:rtl/>
        </w:rPr>
        <w:t xml:space="preserve">الأنشطة المنفذة على </w:t>
      </w:r>
      <w:r w:rsidR="0007345E">
        <w:rPr>
          <w:rFonts w:hint="cs"/>
          <w:rtl/>
        </w:rPr>
        <w:t>الصعيد</w:t>
      </w:r>
      <w:r w:rsidRPr="00044792">
        <w:rPr>
          <w:rtl/>
        </w:rPr>
        <w:t xml:space="preserve"> الإقليمي، حتى تتمكن من </w:t>
      </w:r>
      <w:r w:rsidRPr="00044792">
        <w:rPr>
          <w:rFonts w:hint="cs"/>
          <w:rtl/>
        </w:rPr>
        <w:t>القيام</w:t>
      </w:r>
      <w:r w:rsidRPr="00044792">
        <w:rPr>
          <w:rtl/>
        </w:rPr>
        <w:t xml:space="preserve"> </w:t>
      </w:r>
      <w:r w:rsidRPr="00044792">
        <w:rPr>
          <w:rFonts w:hint="cs"/>
          <w:rtl/>
        </w:rPr>
        <w:t>ب</w:t>
      </w:r>
      <w:r w:rsidRPr="00044792">
        <w:rPr>
          <w:rtl/>
        </w:rPr>
        <w:t>دور في</w:t>
      </w:r>
      <w:r w:rsidR="009975CE">
        <w:rPr>
          <w:rFonts w:hint="cs"/>
          <w:rtl/>
        </w:rPr>
        <w:t> </w:t>
      </w:r>
      <w:r w:rsidRPr="00044792">
        <w:rPr>
          <w:rtl/>
        </w:rPr>
        <w:t>تنفيذ الخطة الاستراتيجية للاتحاد، والبرامج والمشاريع والمبادرات الإقليمية المنصوص عليها في القرار</w:t>
      </w:r>
      <w:r w:rsidR="00452D3F">
        <w:rPr>
          <w:rFonts w:hint="cs"/>
          <w:rtl/>
        </w:rPr>
        <w:t> </w:t>
      </w:r>
      <w:r w:rsidR="00452D3F">
        <w:t>17</w:t>
      </w:r>
      <w:r w:rsidRPr="00044792">
        <w:rPr>
          <w:rtl/>
        </w:rPr>
        <w:t xml:space="preserve"> (المراج</w:t>
      </w:r>
      <w:r w:rsidR="008415BE">
        <w:rPr>
          <w:rFonts w:hint="cs"/>
          <w:rtl/>
        </w:rPr>
        <w:t>َ</w:t>
      </w:r>
      <w:r w:rsidRPr="00044792">
        <w:rPr>
          <w:rtl/>
        </w:rPr>
        <w:t>ع في بوينس</w:t>
      </w:r>
      <w:r w:rsidR="00452D3F">
        <w:rPr>
          <w:rFonts w:hint="cs"/>
          <w:rtl/>
        </w:rPr>
        <w:t> </w:t>
      </w:r>
      <w:r w:rsidRPr="00044792">
        <w:rPr>
          <w:rtl/>
        </w:rPr>
        <w:t>آيرس،</w:t>
      </w:r>
      <w:r w:rsidR="00452D3F">
        <w:rPr>
          <w:rFonts w:hint="cs"/>
          <w:rtl/>
        </w:rPr>
        <w:t> </w:t>
      </w:r>
      <w:r w:rsidR="00452D3F">
        <w:t>2017</w:t>
      </w:r>
      <w:r w:rsidRPr="00044792">
        <w:rPr>
          <w:rtl/>
        </w:rPr>
        <w:t>) للمؤتمر العالمي لتنمية الاتصالات.</w:t>
      </w:r>
      <w:r w:rsidR="0057026E" w:rsidRPr="00044792">
        <w:rPr>
          <w:rtl/>
        </w:rPr>
        <w:t xml:space="preserve"> و</w:t>
      </w:r>
      <w:r w:rsidRPr="00044792">
        <w:rPr>
          <w:rFonts w:hint="cs"/>
          <w:rtl/>
          <w:lang w:bidi="ar-EG"/>
        </w:rPr>
        <w:t xml:space="preserve">المنتديات الإقليمية للتنمية </w:t>
      </w:r>
      <w:r w:rsidR="0057026E" w:rsidRPr="00044792">
        <w:rPr>
          <w:rtl/>
        </w:rPr>
        <w:t xml:space="preserve">هي بمثابة منصة لتقييم التوجهات الاستراتيجية التي يمكن أن يكون لها أثر على خطة </w:t>
      </w:r>
      <w:r w:rsidRPr="00044792">
        <w:rPr>
          <w:rtl/>
        </w:rPr>
        <w:t>عمل المكاتب الإقليمية التي تتضمن إجراءات إقليمية للقطاعات الثلاثة والأمانة العامة.</w:t>
      </w:r>
    </w:p>
    <w:p w:rsidR="00567082" w:rsidRPr="00567082" w:rsidRDefault="0057026E" w:rsidP="00452D3F">
      <w:pPr>
        <w:rPr>
          <w:rtl/>
        </w:rPr>
      </w:pPr>
      <w:r w:rsidRPr="00567082">
        <w:rPr>
          <w:rFonts w:hint="cs"/>
          <w:rtl/>
        </w:rPr>
        <w:t xml:space="preserve">وفي هذا السياق، ستُقدم هذه المنتديات تقريراً عن تنفيذ </w:t>
      </w:r>
      <w:r w:rsidR="008415BE">
        <w:rPr>
          <w:rFonts w:hint="cs"/>
          <w:rtl/>
        </w:rPr>
        <w:t>ال</w:t>
      </w:r>
      <w:r w:rsidRPr="00567082">
        <w:rPr>
          <w:rFonts w:hint="cs"/>
          <w:rtl/>
        </w:rPr>
        <w:t>أنشطة</w:t>
      </w:r>
      <w:r w:rsidR="00281312" w:rsidRPr="00567082">
        <w:rPr>
          <w:rFonts w:hint="cs"/>
          <w:rtl/>
          <w:lang w:bidi="ar-EG"/>
        </w:rPr>
        <w:t xml:space="preserve"> </w:t>
      </w:r>
      <w:r w:rsidR="00567082" w:rsidRPr="00567082">
        <w:rPr>
          <w:rtl/>
        </w:rPr>
        <w:t xml:space="preserve">الإقليمية للاتحاد </w:t>
      </w:r>
      <w:r w:rsidR="00567082" w:rsidRPr="00567082">
        <w:rPr>
          <w:rFonts w:hint="cs"/>
          <w:rtl/>
        </w:rPr>
        <w:t>المضطلع بها</w:t>
      </w:r>
      <w:r w:rsidR="00567082" w:rsidRPr="00567082">
        <w:rPr>
          <w:rtl/>
        </w:rPr>
        <w:t xml:space="preserve"> في عام </w:t>
      </w:r>
      <w:r w:rsidR="00452D3F">
        <w:t>2018</w:t>
      </w:r>
      <w:r w:rsidR="00567082" w:rsidRPr="00567082">
        <w:rPr>
          <w:rtl/>
        </w:rPr>
        <w:t>، بما</w:t>
      </w:r>
      <w:r w:rsidR="00452D3F">
        <w:rPr>
          <w:rFonts w:hint="eastAsia"/>
          <w:rtl/>
          <w:lang w:bidi="ar-EG"/>
        </w:rPr>
        <w:t> </w:t>
      </w:r>
      <w:r w:rsidR="00567082" w:rsidRPr="00567082">
        <w:rPr>
          <w:rtl/>
        </w:rPr>
        <w:t>في</w:t>
      </w:r>
      <w:r w:rsidR="00452D3F">
        <w:rPr>
          <w:rFonts w:hint="cs"/>
          <w:rtl/>
        </w:rPr>
        <w:t> </w:t>
      </w:r>
      <w:r w:rsidR="00567082" w:rsidRPr="00567082">
        <w:rPr>
          <w:rtl/>
        </w:rPr>
        <w:t xml:space="preserve">ذلك تنفيذ المبادرات </w:t>
      </w:r>
      <w:r w:rsidR="00567082" w:rsidRPr="00567082">
        <w:rPr>
          <w:rFonts w:hint="cs"/>
          <w:rtl/>
          <w:lang w:bidi="ar"/>
        </w:rPr>
        <w:t>الإقليمية التي وافق عليها المؤتمر العالمي لتنمية الاتصالات لعام</w:t>
      </w:r>
      <w:r w:rsidR="00452D3F">
        <w:rPr>
          <w:rFonts w:hint="eastAsia"/>
          <w:rtl/>
          <w:lang w:bidi="ar"/>
        </w:rPr>
        <w:t> </w:t>
      </w:r>
      <w:r w:rsidR="00567082" w:rsidRPr="00567082">
        <w:t>2017</w:t>
      </w:r>
      <w:r w:rsidR="00567082" w:rsidRPr="00567082">
        <w:rPr>
          <w:rFonts w:hint="cs"/>
          <w:rtl/>
        </w:rPr>
        <w:t xml:space="preserve"> </w:t>
      </w:r>
      <w:r w:rsidR="00567082" w:rsidRPr="00567082">
        <w:rPr>
          <w:rtl/>
        </w:rPr>
        <w:t>والمشروعات ذات</w:t>
      </w:r>
      <w:r w:rsidR="00452D3F">
        <w:rPr>
          <w:rFonts w:hint="cs"/>
          <w:rtl/>
        </w:rPr>
        <w:t> </w:t>
      </w:r>
      <w:r w:rsidR="00567082" w:rsidRPr="00567082">
        <w:rPr>
          <w:rtl/>
        </w:rPr>
        <w:t>الصلة</w:t>
      </w:r>
      <w:r w:rsidR="00567082" w:rsidRPr="00567082">
        <w:rPr>
          <w:rFonts w:hint="cs"/>
          <w:rtl/>
        </w:rPr>
        <w:t xml:space="preserve">. وهي </w:t>
      </w:r>
      <w:r w:rsidR="00567082" w:rsidRPr="00567082">
        <w:rPr>
          <w:rtl/>
        </w:rPr>
        <w:t>ستقدم لجميع</w:t>
      </w:r>
      <w:r w:rsidRPr="00567082">
        <w:rPr>
          <w:rFonts w:hint="cs"/>
          <w:rtl/>
          <w:lang w:bidi="ar-EG"/>
        </w:rPr>
        <w:t xml:space="preserve"> أصحاب المصلحة الفرصة لمناقشة خطط </w:t>
      </w:r>
      <w:r w:rsidR="00567082" w:rsidRPr="00567082">
        <w:rPr>
          <w:rtl/>
        </w:rPr>
        <w:t>عمل</w:t>
      </w:r>
      <w:r w:rsidR="00567082" w:rsidRPr="00567082">
        <w:rPr>
          <w:rFonts w:hint="cs"/>
          <w:rtl/>
        </w:rPr>
        <w:t xml:space="preserve"> عام</w:t>
      </w:r>
      <w:r w:rsidR="00452D3F">
        <w:rPr>
          <w:rFonts w:hint="cs"/>
          <w:rtl/>
        </w:rPr>
        <w:t> </w:t>
      </w:r>
      <w:r w:rsidR="00452D3F">
        <w:t>2019</w:t>
      </w:r>
      <w:r w:rsidR="00567082" w:rsidRPr="00567082">
        <w:rPr>
          <w:rtl/>
        </w:rPr>
        <w:t xml:space="preserve"> للمن</w:t>
      </w:r>
      <w:r w:rsidR="00567082" w:rsidRPr="00567082">
        <w:rPr>
          <w:rFonts w:hint="cs"/>
          <w:rtl/>
        </w:rPr>
        <w:t>ا</w:t>
      </w:r>
      <w:r w:rsidR="00567082" w:rsidRPr="00567082">
        <w:rPr>
          <w:rtl/>
        </w:rPr>
        <w:t>طق المعنية</w:t>
      </w:r>
      <w:r w:rsidR="00567082" w:rsidRPr="00567082">
        <w:rPr>
          <w:rFonts w:hint="cs"/>
          <w:rtl/>
          <w:lang w:bidi="ar"/>
        </w:rPr>
        <w:t xml:space="preserve"> </w:t>
      </w:r>
      <w:r w:rsidRPr="00567082">
        <w:rPr>
          <w:rFonts w:hint="cs"/>
          <w:rtl/>
          <w:lang w:bidi="ar"/>
        </w:rPr>
        <w:t>وإعلان</w:t>
      </w:r>
      <w:r w:rsidRPr="00567082">
        <w:rPr>
          <w:rFonts w:hint="eastAsia"/>
          <w:rtl/>
          <w:lang w:bidi="ar"/>
        </w:rPr>
        <w:t> </w:t>
      </w:r>
      <w:r w:rsidRPr="00567082">
        <w:rPr>
          <w:rFonts w:hint="cs"/>
          <w:rtl/>
          <w:lang w:bidi="ar"/>
        </w:rPr>
        <w:t>الالتزامات وتبادل الخبرات وأفضل الممارسات.</w:t>
      </w:r>
      <w:r w:rsidR="00567082" w:rsidRPr="00567082">
        <w:rPr>
          <w:rtl/>
        </w:rPr>
        <w:t xml:space="preserve"> وستتناول أيضا</w:t>
      </w:r>
      <w:r w:rsidR="00567082" w:rsidRPr="00567082">
        <w:rPr>
          <w:rFonts w:hint="cs"/>
          <w:rtl/>
        </w:rPr>
        <w:t>ً</w:t>
      </w:r>
      <w:r w:rsidR="00567082" w:rsidRPr="00567082">
        <w:rPr>
          <w:rtl/>
        </w:rPr>
        <w:t xml:space="preserve"> لجان الدراسات </w:t>
      </w:r>
      <w:r w:rsidR="00567082" w:rsidRPr="00567082">
        <w:rPr>
          <w:rFonts w:hint="cs"/>
          <w:rtl/>
        </w:rPr>
        <w:t>والأعضاء والشراكات ومراكز التميز التابعة للاتحاد فضلاً عن المساهمات الإقليمية في تنفيذ خطوط العمل المنبثقة عن القمة</w:t>
      </w:r>
      <w:r w:rsidR="006A1DA5">
        <w:rPr>
          <w:rFonts w:hint="cs"/>
          <w:rtl/>
        </w:rPr>
        <w:t xml:space="preserve"> العالمية لمجتمع المعلومات</w:t>
      </w:r>
      <w:r w:rsidR="00567082" w:rsidRPr="00567082">
        <w:rPr>
          <w:rFonts w:hint="cs"/>
          <w:rtl/>
        </w:rPr>
        <w:t xml:space="preserve"> وأهداف التنمية المستدامة.</w:t>
      </w:r>
    </w:p>
    <w:p w:rsidR="0057026E" w:rsidRPr="00272E04" w:rsidRDefault="006A1DA5" w:rsidP="0007345E">
      <w:pPr>
        <w:rPr>
          <w:rtl/>
          <w:lang w:bidi="ar"/>
        </w:rPr>
      </w:pPr>
      <w:r w:rsidRPr="006A1DA5">
        <w:rPr>
          <w:rFonts w:hint="cs"/>
          <w:rtl/>
        </w:rPr>
        <w:t>و</w:t>
      </w:r>
      <w:r w:rsidR="0057026E" w:rsidRPr="006A1DA5">
        <w:rPr>
          <w:rFonts w:hint="cs"/>
          <w:rtl/>
        </w:rPr>
        <w:t>ست</w:t>
      </w:r>
      <w:r w:rsidR="00452D3F">
        <w:rPr>
          <w:rFonts w:hint="cs"/>
          <w:rtl/>
        </w:rPr>
        <w:t>ُ</w:t>
      </w:r>
      <w:r w:rsidR="0057026E" w:rsidRPr="006A1DA5">
        <w:rPr>
          <w:rFonts w:hint="cs"/>
          <w:rtl/>
        </w:rPr>
        <w:t>تيح المنتديات الإقليمية للتنمية فرصة ممتازة للممثلين الإقليميين (</w:t>
      </w:r>
      <w:r w:rsidRPr="006A1DA5">
        <w:rPr>
          <w:rFonts w:hint="cs"/>
          <w:rtl/>
        </w:rPr>
        <w:t xml:space="preserve">الرؤساء </w:t>
      </w:r>
      <w:r w:rsidR="00281312" w:rsidRPr="006A1DA5">
        <w:rPr>
          <w:rFonts w:hint="cs"/>
          <w:rtl/>
        </w:rPr>
        <w:t>و</w:t>
      </w:r>
      <w:r w:rsidR="0057026E" w:rsidRPr="006A1DA5">
        <w:rPr>
          <w:rFonts w:hint="cs"/>
          <w:rtl/>
        </w:rPr>
        <w:t>نواب</w:t>
      </w:r>
      <w:r w:rsidRPr="006A1DA5">
        <w:rPr>
          <w:rFonts w:hint="cs"/>
          <w:rtl/>
        </w:rPr>
        <w:t>هم</w:t>
      </w:r>
      <w:r w:rsidR="0057026E" w:rsidRPr="006A1DA5">
        <w:rPr>
          <w:rFonts w:hint="cs"/>
          <w:rtl/>
        </w:rPr>
        <w:t>)</w:t>
      </w:r>
      <w:r w:rsidRPr="006A1DA5">
        <w:rPr>
          <w:rFonts w:hint="cs"/>
          <w:rtl/>
        </w:rPr>
        <w:t xml:space="preserve"> لأفرقة </w:t>
      </w:r>
      <w:r w:rsidR="00F87032">
        <w:rPr>
          <w:rFonts w:hint="cs"/>
          <w:rtl/>
        </w:rPr>
        <w:t>العمل التابعة للمجلس</w:t>
      </w:r>
      <w:r w:rsidRPr="006A1DA5">
        <w:rPr>
          <w:rFonts w:hint="cs"/>
          <w:rtl/>
        </w:rPr>
        <w:t xml:space="preserve"> والفريق الاستشاري لتنمية الاتصالات والفريق الاستشاري لتقييس الاتصالات والفريق الاستشاري للاتصالات الراديوية، فضلاً عن </w:t>
      </w:r>
      <w:r w:rsidR="0057026E" w:rsidRPr="006A1DA5">
        <w:rPr>
          <w:rFonts w:hint="cs"/>
          <w:rtl/>
        </w:rPr>
        <w:t>لجان</w:t>
      </w:r>
      <w:r w:rsidRPr="006A1DA5">
        <w:rPr>
          <w:rFonts w:hint="cs"/>
          <w:rtl/>
        </w:rPr>
        <w:t xml:space="preserve"> الدراسات</w:t>
      </w:r>
      <w:r w:rsidR="0057026E" w:rsidRPr="006A1DA5">
        <w:rPr>
          <w:rFonts w:hint="cs"/>
          <w:rtl/>
        </w:rPr>
        <w:t xml:space="preserve"> من أجل التواصل مع أعضاء الاتحاد وأصحاب المصلحة الآخرين على </w:t>
      </w:r>
      <w:r w:rsidR="0007345E">
        <w:rPr>
          <w:rFonts w:hint="cs"/>
          <w:rtl/>
        </w:rPr>
        <w:t>الصعيد</w:t>
      </w:r>
      <w:r w:rsidR="0057026E" w:rsidRPr="006A1DA5">
        <w:rPr>
          <w:rFonts w:hint="cs"/>
          <w:rtl/>
        </w:rPr>
        <w:t xml:space="preserve"> الإقليمي، </w:t>
      </w:r>
      <w:r w:rsidR="0057026E" w:rsidRPr="006A1DA5">
        <w:rPr>
          <w:rFonts w:hint="cs"/>
          <w:rtl/>
          <w:lang w:bidi="ar"/>
        </w:rPr>
        <w:t>بهدف مواصلة بناء أوجه التآزر بين الإجراءات المتخذة على الصعيدين الإقليمي والعالمي.</w:t>
      </w:r>
    </w:p>
    <w:p w:rsidR="0057026E" w:rsidRPr="00272E04" w:rsidRDefault="00AD2A5A" w:rsidP="00AD2A5A">
      <w:pPr>
        <w:rPr>
          <w:rtl/>
        </w:rPr>
      </w:pPr>
      <w:r>
        <w:rPr>
          <w:rFonts w:hint="cs"/>
          <w:rtl/>
        </w:rPr>
        <w:t xml:space="preserve">وباب المشاركة </w:t>
      </w:r>
      <w:r w:rsidR="0057026E">
        <w:rPr>
          <w:rFonts w:hint="cs"/>
          <w:rtl/>
        </w:rPr>
        <w:t>في ال</w:t>
      </w:r>
      <w:r w:rsidR="0057026E" w:rsidRPr="00272E04">
        <w:rPr>
          <w:rFonts w:hint="cs"/>
          <w:rtl/>
        </w:rPr>
        <w:t xml:space="preserve">منتديات الإقليمية </w:t>
      </w:r>
      <w:r w:rsidR="0057026E">
        <w:rPr>
          <w:rFonts w:hint="cs"/>
          <w:rtl/>
        </w:rPr>
        <w:t>للتنمية</w:t>
      </w:r>
      <w:r w:rsidRPr="00AD2A5A">
        <w:rPr>
          <w:rFonts w:hint="cs"/>
          <w:rtl/>
        </w:rPr>
        <w:t xml:space="preserve"> </w:t>
      </w:r>
      <w:r>
        <w:rPr>
          <w:rFonts w:hint="cs"/>
          <w:rtl/>
        </w:rPr>
        <w:t>مفتوح</w:t>
      </w:r>
      <w:r w:rsidR="0057026E">
        <w:rPr>
          <w:rFonts w:hint="cs"/>
          <w:rtl/>
        </w:rPr>
        <w:t xml:space="preserve"> </w:t>
      </w:r>
      <w:r w:rsidR="0057026E" w:rsidRPr="00272E04">
        <w:rPr>
          <w:rFonts w:hint="cs"/>
          <w:rtl/>
        </w:rPr>
        <w:t xml:space="preserve">أمام جميع أصحاب المصلحة الذين يرغبون في تعزيز التعاون والشراكات بين </w:t>
      </w:r>
      <w:r w:rsidR="0057026E" w:rsidRPr="00272E04">
        <w:rPr>
          <w:rtl/>
        </w:rPr>
        <w:t>واضعي السياسات في مجال الاتصالات/تكنولوجيا المعلومات والاتصالات والمنظمين ودوائر الصناعة والمؤسسات الأكاديمية والوكالات والمنظمات الإنمائية الإقليمية والدولية بشأن مسائل إقليمية محددة في مجال الاتصالات</w:t>
      </w:r>
      <w:r w:rsidR="0057026E" w:rsidRPr="00272E04">
        <w:rPr>
          <w:rFonts w:hint="cs"/>
          <w:rtl/>
        </w:rPr>
        <w:t xml:space="preserve"> و</w:t>
      </w:r>
      <w:r w:rsidR="0057026E" w:rsidRPr="00272E04">
        <w:rPr>
          <w:rtl/>
        </w:rPr>
        <w:t>تكنولوجيا المعلومات والاتصالات</w:t>
      </w:r>
      <w:r w:rsidR="0057026E" w:rsidRPr="00272E04">
        <w:rPr>
          <w:rFonts w:hint="cs"/>
          <w:rtl/>
        </w:rPr>
        <w:t>.</w:t>
      </w:r>
    </w:p>
    <w:p w:rsidR="0057026E" w:rsidRPr="00203C2E" w:rsidRDefault="0057026E" w:rsidP="000B5EA0">
      <w:pPr>
        <w:rPr>
          <w:rtl/>
          <w:lang w:bidi="ar"/>
        </w:rPr>
      </w:pPr>
      <w:r w:rsidRPr="00203C2E">
        <w:rPr>
          <w:rFonts w:hint="cs"/>
          <w:rtl/>
        </w:rPr>
        <w:t xml:space="preserve">وتهدف المنتديات الإقليمية للتنمية أيضاً إلى إشراك اللجان الاقتصادية الإقليمية التابعة للأمم المتحدة </w:t>
      </w:r>
      <w:r w:rsidR="000B5EA0">
        <w:rPr>
          <w:rFonts w:hint="cs"/>
          <w:rtl/>
        </w:rPr>
        <w:t>وأفرقة</w:t>
      </w:r>
      <w:r w:rsidRPr="00203C2E">
        <w:rPr>
          <w:rFonts w:hint="cs"/>
          <w:rtl/>
        </w:rPr>
        <w:t xml:space="preserve"> التنمية الإقليمية للأمم المتحدة إلى جانب وكالات الأمم المتحدة و</w:t>
      </w:r>
      <w:r w:rsidRPr="00203C2E">
        <w:rPr>
          <w:rFonts w:hint="cs"/>
          <w:rtl/>
          <w:lang w:bidi="ar"/>
        </w:rPr>
        <w:t>المنظمات الإقليمية الأخرى ذات</w:t>
      </w:r>
      <w:r w:rsidR="00452D3F">
        <w:rPr>
          <w:rFonts w:hint="eastAsia"/>
          <w:rtl/>
          <w:lang w:bidi="ar"/>
        </w:rPr>
        <w:t> </w:t>
      </w:r>
      <w:r w:rsidRPr="00203C2E">
        <w:rPr>
          <w:rFonts w:hint="cs"/>
          <w:rtl/>
          <w:lang w:bidi="ar"/>
        </w:rPr>
        <w:t>الصلة، لا</w:t>
      </w:r>
      <w:r>
        <w:rPr>
          <w:rFonts w:hint="eastAsia"/>
          <w:rtl/>
          <w:lang w:bidi="ar"/>
        </w:rPr>
        <w:t> </w:t>
      </w:r>
      <w:r w:rsidRPr="00203C2E">
        <w:rPr>
          <w:rFonts w:hint="cs"/>
          <w:rtl/>
          <w:lang w:bidi="ar"/>
        </w:rPr>
        <w:t>سيما في</w:t>
      </w:r>
      <w:r w:rsidRPr="00203C2E">
        <w:rPr>
          <w:rFonts w:hint="eastAsia"/>
          <w:rtl/>
          <w:lang w:bidi="ar"/>
        </w:rPr>
        <w:t> </w:t>
      </w:r>
      <w:r w:rsidRPr="00203C2E">
        <w:rPr>
          <w:rFonts w:hint="cs"/>
          <w:rtl/>
          <w:lang w:bidi="ar"/>
        </w:rPr>
        <w:t>مجال الاتصالات/تكنولوجيا المعلومات</w:t>
      </w:r>
      <w:r w:rsidRPr="00203C2E">
        <w:rPr>
          <w:rFonts w:hint="eastAsia"/>
          <w:rtl/>
          <w:lang w:bidi="ar"/>
        </w:rPr>
        <w:t> </w:t>
      </w:r>
      <w:r w:rsidRPr="00203C2E">
        <w:rPr>
          <w:rFonts w:hint="cs"/>
          <w:rtl/>
          <w:lang w:bidi="ar"/>
        </w:rPr>
        <w:t>والاتصالات.</w:t>
      </w:r>
    </w:p>
    <w:p w:rsidR="0057026E" w:rsidRPr="00272E04" w:rsidRDefault="0057026E" w:rsidP="0057026E">
      <w:pPr>
        <w:rPr>
          <w:rtl/>
          <w:lang w:bidi="ar"/>
        </w:rPr>
      </w:pPr>
      <w:r w:rsidRPr="00272E04">
        <w:rPr>
          <w:rFonts w:hint="cs"/>
          <w:rtl/>
          <w:lang w:bidi="ar"/>
        </w:rPr>
        <w:t xml:space="preserve">وقد تختلف جداول أعمال </w:t>
      </w:r>
      <w:r>
        <w:rPr>
          <w:rFonts w:hint="cs"/>
          <w:rtl/>
          <w:lang w:bidi="ar"/>
        </w:rPr>
        <w:t>ال</w:t>
      </w:r>
      <w:r w:rsidRPr="00272E04">
        <w:rPr>
          <w:rFonts w:hint="cs"/>
          <w:rtl/>
          <w:lang w:bidi="ar"/>
        </w:rPr>
        <w:t xml:space="preserve">منتديات الإقليمية </w:t>
      </w:r>
      <w:r>
        <w:rPr>
          <w:rFonts w:hint="cs"/>
          <w:rtl/>
          <w:lang w:bidi="ar"/>
        </w:rPr>
        <w:t xml:space="preserve">للتنمية </w:t>
      </w:r>
      <w:r w:rsidRPr="00272E04">
        <w:rPr>
          <w:rFonts w:hint="cs"/>
          <w:rtl/>
          <w:lang w:bidi="ar"/>
        </w:rPr>
        <w:t xml:space="preserve">ومدتها من منطقة إلى أخرى، </w:t>
      </w:r>
      <w:r>
        <w:rPr>
          <w:rFonts w:hint="cs"/>
          <w:rtl/>
          <w:lang w:bidi="ar"/>
        </w:rPr>
        <w:t xml:space="preserve">بحسب </w:t>
      </w:r>
      <w:r w:rsidRPr="00272E04">
        <w:rPr>
          <w:rFonts w:hint="cs"/>
          <w:rtl/>
          <w:lang w:bidi="ar"/>
        </w:rPr>
        <w:t>الخصائص الإقليمية.</w:t>
      </w:r>
    </w:p>
    <w:p w:rsidR="0057026E" w:rsidRDefault="0057026E" w:rsidP="00295FC0">
      <w:pPr>
        <w:keepNext/>
        <w:keepLines/>
        <w:rPr>
          <w:lang w:bidi="ar-EG"/>
        </w:rPr>
      </w:pPr>
      <w:r w:rsidRPr="00272E04">
        <w:rPr>
          <w:rFonts w:hint="cs"/>
          <w:rtl/>
        </w:rPr>
        <w:lastRenderedPageBreak/>
        <w:t>ويُقدم فيما</w:t>
      </w:r>
      <w:r w:rsidR="00452D3F">
        <w:rPr>
          <w:rFonts w:hint="eastAsia"/>
          <w:rtl/>
        </w:rPr>
        <w:t> </w:t>
      </w:r>
      <w:r w:rsidRPr="00272E04">
        <w:rPr>
          <w:rFonts w:hint="cs"/>
          <w:rtl/>
        </w:rPr>
        <w:t xml:space="preserve">يلي مشروع الجدول الزمني </w:t>
      </w:r>
      <w:r>
        <w:rPr>
          <w:rFonts w:hint="cs"/>
          <w:rtl/>
        </w:rPr>
        <w:t>ل</w:t>
      </w:r>
      <w:r w:rsidRPr="00272E04">
        <w:rPr>
          <w:rFonts w:hint="cs"/>
          <w:rtl/>
        </w:rPr>
        <w:t xml:space="preserve">لمنتديات الإقليمية </w:t>
      </w:r>
      <w:r>
        <w:rPr>
          <w:rFonts w:hint="cs"/>
          <w:rtl/>
        </w:rPr>
        <w:t xml:space="preserve">للتنمية </w:t>
      </w:r>
      <w:r w:rsidRPr="00272E04">
        <w:rPr>
          <w:rFonts w:hint="cs"/>
          <w:rtl/>
        </w:rPr>
        <w:t>لعام</w:t>
      </w:r>
      <w:r w:rsidR="00452D3F">
        <w:rPr>
          <w:rFonts w:hint="eastAsia"/>
          <w:rtl/>
        </w:rPr>
        <w:t> </w:t>
      </w:r>
      <w:r w:rsidR="00121124">
        <w:rPr>
          <w:lang w:bidi="ar-EG"/>
        </w:rPr>
        <w:t>2019</w:t>
      </w:r>
      <w:r w:rsidRPr="00272E04">
        <w:rPr>
          <w:rFonts w:hint="cs"/>
          <w:rtl/>
          <w:lang w:bidi="ar-EG"/>
        </w:rPr>
        <w:t>:</w:t>
      </w:r>
    </w:p>
    <w:p w:rsidR="00121124" w:rsidRPr="00272E04" w:rsidRDefault="00121124" w:rsidP="005F2EEA">
      <w:pPr>
        <w:pStyle w:val="enumlev1"/>
        <w:keepNext/>
        <w:keepLines/>
        <w:rPr>
          <w:rtl/>
          <w:lang w:bidi="ar-EG"/>
        </w:rPr>
      </w:pPr>
      <w:r w:rsidRPr="008B43AE">
        <w:rPr>
          <w:rFonts w:hint="cs"/>
          <w:rtl/>
          <w:lang w:bidi="ar-EG"/>
        </w:rPr>
        <w:t>-</w:t>
      </w:r>
      <w:r w:rsidRPr="008B43AE">
        <w:rPr>
          <w:rtl/>
          <w:lang w:bidi="ar-EG"/>
        </w:rPr>
        <w:tab/>
      </w:r>
      <w:r w:rsidR="008B43AE" w:rsidRPr="008B43AE">
        <w:rPr>
          <w:rFonts w:hint="cs"/>
          <w:rtl/>
        </w:rPr>
        <w:t>ال</w:t>
      </w:r>
      <w:r w:rsidR="008B43AE" w:rsidRPr="008B43AE">
        <w:rPr>
          <w:rtl/>
        </w:rPr>
        <w:t xml:space="preserve">منتدى الإقليمي </w:t>
      </w:r>
      <w:r w:rsidR="008B43AE" w:rsidRPr="008B43AE">
        <w:rPr>
          <w:rFonts w:hint="cs"/>
          <w:rtl/>
        </w:rPr>
        <w:t xml:space="preserve">للتنمية للدول العربية: </w:t>
      </w:r>
      <w:r w:rsidR="00452D3F">
        <w:t>19</w:t>
      </w:r>
      <w:r w:rsidR="00452D3F">
        <w:rPr>
          <w:rFonts w:hint="eastAsia"/>
          <w:rtl/>
        </w:rPr>
        <w:t> </w:t>
      </w:r>
      <w:r w:rsidR="008B43AE" w:rsidRPr="008B43AE">
        <w:rPr>
          <w:rFonts w:hint="cs"/>
          <w:rtl/>
        </w:rPr>
        <w:t>مارس</w:t>
      </w:r>
      <w:r w:rsidR="00452D3F">
        <w:rPr>
          <w:rFonts w:hint="eastAsia"/>
          <w:rtl/>
        </w:rPr>
        <w:t> </w:t>
      </w:r>
      <w:r w:rsidR="00452D3F">
        <w:t>2019</w:t>
      </w:r>
      <w:r w:rsidR="008B43AE" w:rsidRPr="008B43AE">
        <w:rPr>
          <w:rFonts w:hint="cs"/>
          <w:rtl/>
        </w:rPr>
        <w:t>، بيروت، لبنان، (سي</w:t>
      </w:r>
      <w:r w:rsidR="00452D3F">
        <w:rPr>
          <w:rFonts w:hint="cs"/>
          <w:rtl/>
        </w:rPr>
        <w:t>ُ</w:t>
      </w:r>
      <w:r w:rsidR="008B43AE" w:rsidRPr="008B43AE">
        <w:rPr>
          <w:rFonts w:hint="cs"/>
          <w:rtl/>
        </w:rPr>
        <w:t xml:space="preserve">قام </w:t>
      </w:r>
      <w:r w:rsidR="005F2EEA">
        <w:rPr>
          <w:rFonts w:hint="cs"/>
          <w:rtl/>
        </w:rPr>
        <w:t>ب</w:t>
      </w:r>
      <w:r w:rsidR="008B43AE" w:rsidRPr="008B43AE">
        <w:rPr>
          <w:rFonts w:hint="cs"/>
          <w:rtl/>
        </w:rPr>
        <w:t>التعاقب مع ال</w:t>
      </w:r>
      <w:r w:rsidR="008B43AE" w:rsidRPr="008B43AE">
        <w:rPr>
          <w:rtl/>
        </w:rPr>
        <w:t xml:space="preserve">منتدى الإقليمي </w:t>
      </w:r>
      <w:r w:rsidR="008B43AE" w:rsidRPr="008B43AE">
        <w:rPr>
          <w:rFonts w:hint="cs"/>
          <w:rtl/>
        </w:rPr>
        <w:t>ل</w:t>
      </w:r>
      <w:r w:rsidR="008B43AE" w:rsidRPr="008B43AE">
        <w:rPr>
          <w:rtl/>
        </w:rPr>
        <w:t xml:space="preserve">لجنة الأمم المتحدة الاقتصادية والاجتماعية لغربي آسيا </w:t>
      </w:r>
      <w:r w:rsidR="00452D3F">
        <w:t>(</w:t>
      </w:r>
      <w:r w:rsidR="008B43AE" w:rsidRPr="008B43AE">
        <w:t>UNESCWA</w:t>
      </w:r>
      <w:r w:rsidR="00452D3F">
        <w:t>)</w:t>
      </w:r>
      <w:r w:rsidR="008B43AE" w:rsidRPr="008B43AE">
        <w:rPr>
          <w:rFonts w:hint="cs"/>
          <w:rtl/>
        </w:rPr>
        <w:t xml:space="preserve"> بشأن القمة العالمية لمجتمع المعلومات وأهداف التنمية المستدامة المقرر انعقاده يومي </w:t>
      </w:r>
      <w:r w:rsidR="00452D3F">
        <w:t>20</w:t>
      </w:r>
      <w:r w:rsidR="008B43AE" w:rsidRPr="008B43AE">
        <w:rPr>
          <w:rFonts w:hint="cs"/>
          <w:rtl/>
        </w:rPr>
        <w:t xml:space="preserve"> و</w:t>
      </w:r>
      <w:r w:rsidR="00452D3F">
        <w:t>21</w:t>
      </w:r>
      <w:r w:rsidR="00452D3F">
        <w:rPr>
          <w:rFonts w:hint="eastAsia"/>
          <w:rtl/>
        </w:rPr>
        <w:t> </w:t>
      </w:r>
      <w:r w:rsidR="008B43AE" w:rsidRPr="008B43AE">
        <w:rPr>
          <w:rFonts w:hint="cs"/>
          <w:rtl/>
        </w:rPr>
        <w:t>مارس</w:t>
      </w:r>
      <w:r w:rsidR="00452D3F">
        <w:rPr>
          <w:rFonts w:hint="eastAsia"/>
          <w:rtl/>
        </w:rPr>
        <w:t> </w:t>
      </w:r>
      <w:r w:rsidR="00452D3F">
        <w:t>2019</w:t>
      </w:r>
      <w:r w:rsidR="008B43AE" w:rsidRPr="008B43AE">
        <w:rPr>
          <w:rFonts w:hint="cs"/>
          <w:rtl/>
        </w:rPr>
        <w:t>)؛</w:t>
      </w:r>
    </w:p>
    <w:p w:rsidR="0057026E" w:rsidRPr="00272E04" w:rsidRDefault="00121124" w:rsidP="00452D3F">
      <w:pPr>
        <w:pStyle w:val="enumlev1"/>
        <w:rPr>
          <w:rtl/>
          <w:lang w:bidi="ar-EG"/>
        </w:rPr>
      </w:pPr>
      <w:r w:rsidRPr="008B43AE">
        <w:rPr>
          <w:rFonts w:ascii="Traditional Arabic" w:hAnsi="Traditional Arabic" w:hint="cs"/>
          <w:sz w:val="30"/>
          <w:rtl/>
        </w:rPr>
        <w:t>-</w:t>
      </w:r>
      <w:r w:rsidRPr="008B43AE">
        <w:rPr>
          <w:rFonts w:ascii="Traditional Arabic" w:hAnsi="Traditional Arabic"/>
          <w:sz w:val="30"/>
          <w:rtl/>
        </w:rPr>
        <w:tab/>
      </w:r>
      <w:r w:rsidR="0057026E" w:rsidRPr="008B43AE">
        <w:rPr>
          <w:rFonts w:hint="cs"/>
          <w:rtl/>
        </w:rPr>
        <w:t>ال</w:t>
      </w:r>
      <w:r w:rsidR="0057026E" w:rsidRPr="008B43AE">
        <w:rPr>
          <w:rtl/>
        </w:rPr>
        <w:t xml:space="preserve">منتدى الإقليمي </w:t>
      </w:r>
      <w:r w:rsidR="0057026E" w:rsidRPr="008B43AE">
        <w:rPr>
          <w:rFonts w:hint="cs"/>
          <w:rtl/>
        </w:rPr>
        <w:t xml:space="preserve">للتنمية لمنطقة آسيا والمحيط الهادئ: </w:t>
      </w:r>
      <w:r w:rsidRPr="008B43AE">
        <w:rPr>
          <w:lang w:bidi="ar-EG"/>
        </w:rPr>
        <w:t>30</w:t>
      </w:r>
      <w:r w:rsidR="0057026E" w:rsidRPr="008B43AE">
        <w:rPr>
          <w:lang w:bidi="ar-EG"/>
        </w:rPr>
        <w:t>-2</w:t>
      </w:r>
      <w:r w:rsidRPr="008B43AE">
        <w:rPr>
          <w:lang w:bidi="ar-EG"/>
        </w:rPr>
        <w:t>9</w:t>
      </w:r>
      <w:r w:rsidR="0057026E" w:rsidRPr="008B43AE">
        <w:rPr>
          <w:rFonts w:hint="cs"/>
          <w:rtl/>
        </w:rPr>
        <w:t xml:space="preserve"> </w:t>
      </w:r>
      <w:r w:rsidRPr="008B43AE">
        <w:rPr>
          <w:rFonts w:hint="cs"/>
          <w:rtl/>
          <w:lang w:bidi="ar-EG"/>
        </w:rPr>
        <w:t>يوليو</w:t>
      </w:r>
      <w:r w:rsidR="00452D3F">
        <w:rPr>
          <w:rFonts w:hint="eastAsia"/>
          <w:rtl/>
        </w:rPr>
        <w:t> </w:t>
      </w:r>
      <w:r w:rsidRPr="008B43AE">
        <w:t>2019</w:t>
      </w:r>
      <w:r w:rsidR="0057026E" w:rsidRPr="008B43AE">
        <w:rPr>
          <w:rFonts w:hint="cs"/>
          <w:rtl/>
        </w:rPr>
        <w:t xml:space="preserve">، </w:t>
      </w:r>
      <w:r w:rsidRPr="008B43AE">
        <w:rPr>
          <w:rFonts w:hint="cs"/>
          <w:rtl/>
        </w:rPr>
        <w:t>(يحدد المكان فيما</w:t>
      </w:r>
      <w:r w:rsidR="00452D3F">
        <w:rPr>
          <w:rFonts w:hint="eastAsia"/>
          <w:rtl/>
        </w:rPr>
        <w:t> </w:t>
      </w:r>
      <w:r w:rsidRPr="008B43AE">
        <w:rPr>
          <w:rFonts w:hint="cs"/>
          <w:rtl/>
        </w:rPr>
        <w:t>بعد)</w:t>
      </w:r>
      <w:r w:rsidR="008B43AE" w:rsidRPr="008B43AE">
        <w:rPr>
          <w:rFonts w:hint="cs"/>
          <w:rtl/>
        </w:rPr>
        <w:t>؛</w:t>
      </w:r>
    </w:p>
    <w:p w:rsidR="0057026E" w:rsidRPr="00272E04" w:rsidRDefault="00121124" w:rsidP="00452D3F">
      <w:pPr>
        <w:pStyle w:val="enumlev1"/>
        <w:rPr>
          <w:lang w:bidi="ar-EG"/>
        </w:rPr>
      </w:pPr>
      <w:r w:rsidRPr="00924724">
        <w:rPr>
          <w:rFonts w:ascii="Traditional Arabic" w:hAnsi="Traditional Arabic" w:hint="cs"/>
          <w:sz w:val="30"/>
          <w:rtl/>
        </w:rPr>
        <w:t>-</w:t>
      </w:r>
      <w:r w:rsidRPr="00924724">
        <w:rPr>
          <w:rFonts w:ascii="Traditional Arabic" w:hAnsi="Traditional Arabic"/>
          <w:sz w:val="30"/>
          <w:rtl/>
        </w:rPr>
        <w:tab/>
      </w:r>
      <w:r w:rsidR="0057026E" w:rsidRPr="00924724">
        <w:rPr>
          <w:rFonts w:hint="cs"/>
          <w:rtl/>
        </w:rPr>
        <w:t>ال</w:t>
      </w:r>
      <w:r w:rsidR="0057026E" w:rsidRPr="00924724">
        <w:rPr>
          <w:rtl/>
        </w:rPr>
        <w:t xml:space="preserve">منتدى الإقليمي </w:t>
      </w:r>
      <w:r w:rsidR="0057026E" w:rsidRPr="00924724">
        <w:rPr>
          <w:rFonts w:hint="cs"/>
          <w:rtl/>
        </w:rPr>
        <w:t xml:space="preserve">للتنمية لمنطقة </w:t>
      </w:r>
      <w:r w:rsidR="0057026E" w:rsidRPr="00924724">
        <w:rPr>
          <w:rtl/>
        </w:rPr>
        <w:t>كومنولث الدو</w:t>
      </w:r>
      <w:bookmarkStart w:id="1" w:name="_GoBack"/>
      <w:bookmarkEnd w:id="1"/>
      <w:r w:rsidR="0057026E" w:rsidRPr="00924724">
        <w:rPr>
          <w:rtl/>
        </w:rPr>
        <w:t>ل المستقلة</w:t>
      </w:r>
      <w:r w:rsidR="00924724" w:rsidRPr="00924724">
        <w:rPr>
          <w:rFonts w:hint="cs"/>
          <w:rtl/>
        </w:rPr>
        <w:t>:</w:t>
      </w:r>
      <w:r w:rsidRPr="00924724">
        <w:rPr>
          <w:rFonts w:hint="cs"/>
          <w:rtl/>
        </w:rPr>
        <w:t xml:space="preserve"> </w:t>
      </w:r>
      <w:r w:rsidRPr="00924724">
        <w:rPr>
          <w:lang w:bidi="ar-EG"/>
        </w:rPr>
        <w:t>3-2</w:t>
      </w:r>
      <w:r w:rsidRPr="00924724">
        <w:rPr>
          <w:rFonts w:hint="cs"/>
          <w:rtl/>
        </w:rPr>
        <w:t xml:space="preserve"> </w:t>
      </w:r>
      <w:r w:rsidRPr="00924724">
        <w:rPr>
          <w:rFonts w:hint="cs"/>
          <w:rtl/>
          <w:lang w:bidi="ar-EG"/>
        </w:rPr>
        <w:t>أكتوبر</w:t>
      </w:r>
      <w:r w:rsidR="00452D3F">
        <w:rPr>
          <w:rFonts w:hint="eastAsia"/>
          <w:rtl/>
        </w:rPr>
        <w:t> </w:t>
      </w:r>
      <w:r w:rsidRPr="00924724">
        <w:t>2019</w:t>
      </w:r>
      <w:r w:rsidR="00AC62EB">
        <w:rPr>
          <w:rtl/>
        </w:rPr>
        <w:t>، بيشك</w:t>
      </w:r>
      <w:r w:rsidR="00641489">
        <w:rPr>
          <w:rFonts w:hint="cs"/>
          <w:rtl/>
        </w:rPr>
        <w:t>ي</w:t>
      </w:r>
      <w:r w:rsidR="00924724" w:rsidRPr="00924724">
        <w:rPr>
          <w:rtl/>
        </w:rPr>
        <w:t>ك، جمهورية ق</w:t>
      </w:r>
      <w:r w:rsidR="00AC62EB">
        <w:rPr>
          <w:rFonts w:hint="cs"/>
          <w:rtl/>
        </w:rPr>
        <w:t>ي</w:t>
      </w:r>
      <w:r w:rsidR="00924724" w:rsidRPr="00924724">
        <w:rPr>
          <w:rtl/>
        </w:rPr>
        <w:t>رغيزستان</w:t>
      </w:r>
      <w:r w:rsidR="00924724" w:rsidRPr="00924724">
        <w:rPr>
          <w:rFonts w:hint="cs"/>
          <w:rtl/>
        </w:rPr>
        <w:t>؛</w:t>
      </w:r>
    </w:p>
    <w:p w:rsidR="0057026E" w:rsidRDefault="00121124" w:rsidP="00452D3F">
      <w:pPr>
        <w:pStyle w:val="enumlev1"/>
        <w:rPr>
          <w:rtl/>
        </w:rPr>
      </w:pPr>
      <w:r>
        <w:rPr>
          <w:rFonts w:ascii="Traditional Arabic" w:hAnsi="Traditional Arabic" w:hint="cs"/>
          <w:sz w:val="30"/>
          <w:rtl/>
        </w:rPr>
        <w:t>-</w:t>
      </w:r>
      <w:r>
        <w:rPr>
          <w:rFonts w:ascii="Traditional Arabic" w:hAnsi="Traditional Arabic"/>
          <w:sz w:val="30"/>
          <w:rtl/>
        </w:rPr>
        <w:tab/>
      </w:r>
      <w:r w:rsidR="0057026E">
        <w:rPr>
          <w:rFonts w:hint="cs"/>
          <w:rtl/>
        </w:rPr>
        <w:t>ال</w:t>
      </w:r>
      <w:r w:rsidR="0057026E" w:rsidRPr="00272E04">
        <w:rPr>
          <w:rtl/>
        </w:rPr>
        <w:t>منتدى الإقليمي</w:t>
      </w:r>
      <w:r w:rsidR="0057026E" w:rsidRPr="00272E04">
        <w:rPr>
          <w:rFonts w:hint="cs"/>
          <w:rtl/>
        </w:rPr>
        <w:t xml:space="preserve"> </w:t>
      </w:r>
      <w:r w:rsidR="0057026E">
        <w:rPr>
          <w:rFonts w:hint="cs"/>
          <w:rtl/>
        </w:rPr>
        <w:t xml:space="preserve">للتنمية لمنطقة </w:t>
      </w:r>
      <w:r w:rsidR="0057026E" w:rsidRPr="00272E04">
        <w:rPr>
          <w:rFonts w:hint="cs"/>
          <w:rtl/>
        </w:rPr>
        <w:t xml:space="preserve">أوروبا: </w:t>
      </w:r>
      <w:r>
        <w:rPr>
          <w:lang w:bidi="ar-EG"/>
        </w:rPr>
        <w:t>6</w:t>
      </w:r>
      <w:r w:rsidR="00452D3F">
        <w:rPr>
          <w:rFonts w:hint="eastAsia"/>
          <w:rtl/>
        </w:rPr>
        <w:t> </w:t>
      </w:r>
      <w:r>
        <w:rPr>
          <w:rFonts w:hint="cs"/>
          <w:rtl/>
        </w:rPr>
        <w:t>مايو</w:t>
      </w:r>
      <w:r w:rsidR="00452D3F">
        <w:rPr>
          <w:rFonts w:hint="eastAsia"/>
          <w:rtl/>
        </w:rPr>
        <w:t> </w:t>
      </w:r>
      <w:r>
        <w:rPr>
          <w:lang w:bidi="ar-EG"/>
        </w:rPr>
        <w:t>2019</w:t>
      </w:r>
      <w:r w:rsidR="0057026E" w:rsidRPr="00272E04">
        <w:rPr>
          <w:rFonts w:hint="cs"/>
          <w:rtl/>
        </w:rPr>
        <w:t xml:space="preserve">، </w:t>
      </w:r>
      <w:r>
        <w:rPr>
          <w:rFonts w:hint="cs"/>
          <w:rtl/>
        </w:rPr>
        <w:t>روما، إيطاليا</w:t>
      </w:r>
      <w:r w:rsidR="00452D3F">
        <w:rPr>
          <w:rFonts w:hint="cs"/>
          <w:rtl/>
        </w:rPr>
        <w:t>؛</w:t>
      </w:r>
    </w:p>
    <w:p w:rsidR="00121124" w:rsidRPr="008654C9" w:rsidRDefault="00121124" w:rsidP="00924724">
      <w:pPr>
        <w:pStyle w:val="enumlev1"/>
        <w:rPr>
          <w:spacing w:val="-4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924724" w:rsidRPr="008654C9">
        <w:rPr>
          <w:rFonts w:hint="cs"/>
          <w:spacing w:val="-4"/>
          <w:rtl/>
        </w:rPr>
        <w:t>وسيُعل</w:t>
      </w:r>
      <w:r w:rsidR="008F63C5" w:rsidRPr="008654C9">
        <w:rPr>
          <w:rFonts w:hint="cs"/>
          <w:spacing w:val="-4"/>
          <w:rtl/>
        </w:rPr>
        <w:t>َ</w:t>
      </w:r>
      <w:r w:rsidR="00924724" w:rsidRPr="008654C9">
        <w:rPr>
          <w:rFonts w:hint="cs"/>
          <w:spacing w:val="-4"/>
          <w:rtl/>
        </w:rPr>
        <w:t>ن قريباً عن مكان وموعد انعقاد ال</w:t>
      </w:r>
      <w:r w:rsidR="00924724" w:rsidRPr="008654C9">
        <w:rPr>
          <w:spacing w:val="-4"/>
          <w:rtl/>
        </w:rPr>
        <w:t xml:space="preserve">منتدى الإقليمي </w:t>
      </w:r>
      <w:r w:rsidR="00924724" w:rsidRPr="008654C9">
        <w:rPr>
          <w:rFonts w:hint="cs"/>
          <w:spacing w:val="-4"/>
          <w:rtl/>
        </w:rPr>
        <w:t>للتنمية لمنطقة</w:t>
      </w:r>
      <w:r w:rsidR="009E0C59">
        <w:rPr>
          <w:rFonts w:hint="cs"/>
          <w:spacing w:val="-4"/>
          <w:rtl/>
        </w:rPr>
        <w:t xml:space="preserve"> إ</w:t>
      </w:r>
      <w:r w:rsidR="00924724" w:rsidRPr="008654C9">
        <w:rPr>
          <w:rFonts w:hint="cs"/>
          <w:spacing w:val="-4"/>
          <w:rtl/>
        </w:rPr>
        <w:t>فريقيا وال</w:t>
      </w:r>
      <w:r w:rsidR="00924724" w:rsidRPr="008654C9">
        <w:rPr>
          <w:spacing w:val="-4"/>
          <w:rtl/>
        </w:rPr>
        <w:t xml:space="preserve">منتدى الإقليمي </w:t>
      </w:r>
      <w:r w:rsidR="00924724" w:rsidRPr="008654C9">
        <w:rPr>
          <w:rFonts w:hint="cs"/>
          <w:spacing w:val="-4"/>
          <w:rtl/>
        </w:rPr>
        <w:t>للتنمية لمنطقة الأمريكتين.</w:t>
      </w:r>
    </w:p>
    <w:p w:rsidR="0057026E" w:rsidRPr="00272E04" w:rsidRDefault="0057026E" w:rsidP="0057026E">
      <w:pPr>
        <w:pStyle w:val="Heading1"/>
        <w:rPr>
          <w:rtl/>
        </w:rPr>
      </w:pPr>
      <w:r w:rsidRPr="00272E04">
        <w:t>3</w:t>
      </w:r>
      <w:r w:rsidRPr="00272E04">
        <w:rPr>
          <w:rtl/>
          <w:lang w:bidi="ar-SA"/>
        </w:rPr>
        <w:tab/>
      </w:r>
      <w:r w:rsidRPr="00272E04">
        <w:rPr>
          <w:rFonts w:hint="cs"/>
          <w:rtl/>
        </w:rPr>
        <w:t>استنتاجات</w:t>
      </w:r>
    </w:p>
    <w:p w:rsidR="00924724" w:rsidRPr="00944B67" w:rsidRDefault="00924724" w:rsidP="000F17A7">
      <w:pPr>
        <w:rPr>
          <w:rtl/>
          <w:lang w:bidi="ar-EG"/>
        </w:rPr>
      </w:pPr>
      <w:r w:rsidRPr="00944B67">
        <w:rPr>
          <w:rtl/>
          <w:lang w:bidi="ar-EG"/>
        </w:rPr>
        <w:t xml:space="preserve">تهدف </w:t>
      </w:r>
      <w:r w:rsidRPr="00944B67">
        <w:rPr>
          <w:rFonts w:hint="cs"/>
          <w:rtl/>
          <w:lang w:bidi="ar-EG"/>
        </w:rPr>
        <w:t xml:space="preserve">المنتديات الإقليمية للتنمية </w:t>
      </w:r>
      <w:r w:rsidRPr="00944B67">
        <w:rPr>
          <w:rtl/>
          <w:lang w:bidi="ar-EG"/>
        </w:rPr>
        <w:t xml:space="preserve">إلى </w:t>
      </w:r>
      <w:r w:rsidRPr="00944B67">
        <w:rPr>
          <w:rFonts w:hint="cs"/>
          <w:rtl/>
          <w:lang w:bidi="ar-EG"/>
        </w:rPr>
        <w:t>أداء</w:t>
      </w:r>
      <w:r w:rsidRPr="00944B67">
        <w:rPr>
          <w:rtl/>
          <w:lang w:bidi="ar-EG"/>
        </w:rPr>
        <w:t xml:space="preserve"> دور مهم </w:t>
      </w:r>
      <w:r w:rsidR="0057026E" w:rsidRPr="00944B67">
        <w:rPr>
          <w:rFonts w:hint="cs"/>
          <w:rtl/>
          <w:lang w:bidi="ar-EG"/>
        </w:rPr>
        <w:t>في</w:t>
      </w:r>
      <w:r w:rsidR="00295FC0">
        <w:rPr>
          <w:rFonts w:hint="eastAsia"/>
          <w:rtl/>
          <w:lang w:bidi="ar-EG"/>
        </w:rPr>
        <w:t> </w:t>
      </w:r>
      <w:r w:rsidR="0057026E" w:rsidRPr="00944B67">
        <w:rPr>
          <w:rFonts w:hint="cs"/>
          <w:rtl/>
          <w:lang w:bidi="ar-EG"/>
        </w:rPr>
        <w:t>تعزيز ال</w:t>
      </w:r>
      <w:r w:rsidR="00121124" w:rsidRPr="00944B67">
        <w:rPr>
          <w:rFonts w:hint="cs"/>
          <w:rtl/>
          <w:lang w:bidi="ar-EG"/>
        </w:rPr>
        <w:t>تنسيق</w:t>
      </w:r>
      <w:r w:rsidRPr="00944B67">
        <w:rPr>
          <w:rtl/>
          <w:lang w:bidi="ar-EG"/>
        </w:rPr>
        <w:t xml:space="preserve"> مع أصحاب المصلحة على </w:t>
      </w:r>
      <w:r w:rsidR="000F17A7">
        <w:rPr>
          <w:rFonts w:hint="cs"/>
          <w:rtl/>
          <w:lang w:bidi="ar-EG"/>
        </w:rPr>
        <w:t>الصعيد</w:t>
      </w:r>
      <w:r w:rsidRPr="00944B67">
        <w:rPr>
          <w:rtl/>
          <w:lang w:bidi="ar-EG"/>
        </w:rPr>
        <w:t xml:space="preserve"> الإقليمي. وهي ت</w:t>
      </w:r>
      <w:r w:rsidR="00295FC0">
        <w:rPr>
          <w:rFonts w:hint="cs"/>
          <w:rtl/>
          <w:lang w:bidi="ar-EG"/>
        </w:rPr>
        <w:t>ُ</w:t>
      </w:r>
      <w:r w:rsidRPr="00944B67">
        <w:rPr>
          <w:rtl/>
          <w:lang w:bidi="ar-EG"/>
        </w:rPr>
        <w:t xml:space="preserve">تيح فرصة </w:t>
      </w:r>
      <w:r w:rsidRPr="00944B67">
        <w:rPr>
          <w:rFonts w:hint="cs"/>
          <w:rtl/>
          <w:lang w:bidi="ar-EG"/>
        </w:rPr>
        <w:t xml:space="preserve">سانحة </w:t>
      </w:r>
      <w:r w:rsidRPr="00944B67">
        <w:rPr>
          <w:rtl/>
          <w:lang w:bidi="ar-EG"/>
        </w:rPr>
        <w:t>لأصحاب المصلحة لمناقشة مجمل أنشطة الاتحاد (</w:t>
      </w:r>
      <w:r w:rsidRPr="00944B67">
        <w:rPr>
          <w:rFonts w:hint="cs"/>
          <w:rtl/>
          <w:lang w:bidi="ar-EG"/>
        </w:rPr>
        <w:t>ال</w:t>
      </w:r>
      <w:r w:rsidRPr="00944B67">
        <w:rPr>
          <w:rtl/>
          <w:lang w:bidi="ar-EG"/>
        </w:rPr>
        <w:t>قطاعات</w:t>
      </w:r>
      <w:r w:rsidRPr="00944B67">
        <w:rPr>
          <w:rFonts w:hint="cs"/>
          <w:rtl/>
          <w:lang w:bidi="ar-EG"/>
        </w:rPr>
        <w:t xml:space="preserve"> ال</w:t>
      </w:r>
      <w:r w:rsidRPr="00944B67">
        <w:rPr>
          <w:rtl/>
          <w:lang w:bidi="ar-EG"/>
        </w:rPr>
        <w:t xml:space="preserve">ثلاثة والأمانة العامة) </w:t>
      </w:r>
      <w:r w:rsidRPr="00944B67">
        <w:rPr>
          <w:rFonts w:hint="cs"/>
          <w:rtl/>
          <w:lang w:bidi="ar-EG"/>
        </w:rPr>
        <w:t>في المناطق</w:t>
      </w:r>
      <w:r w:rsidRPr="00944B67">
        <w:rPr>
          <w:rtl/>
          <w:lang w:bidi="ar-EG"/>
        </w:rPr>
        <w:t xml:space="preserve"> المعنية.</w:t>
      </w:r>
    </w:p>
    <w:p w:rsidR="0057026E" w:rsidRPr="00653907" w:rsidRDefault="00944B67" w:rsidP="00295FC0">
      <w:pPr>
        <w:rPr>
          <w:rtl/>
          <w:lang w:bidi="ar-EG"/>
        </w:rPr>
      </w:pPr>
      <w:r w:rsidRPr="00944B67">
        <w:rPr>
          <w:rFonts w:hint="cs"/>
          <w:rtl/>
          <w:lang w:bidi="ar-EG"/>
        </w:rPr>
        <w:t>و</w:t>
      </w:r>
      <w:r w:rsidRPr="00944B67">
        <w:rPr>
          <w:rtl/>
          <w:lang w:bidi="ar-EG"/>
        </w:rPr>
        <w:t xml:space="preserve">قد تطور </w:t>
      </w:r>
      <w:r w:rsidRPr="00944B67">
        <w:rPr>
          <w:rFonts w:hint="cs"/>
          <w:rtl/>
          <w:lang w:bidi="ar-EG"/>
        </w:rPr>
        <w:t>نسقها</w:t>
      </w:r>
      <w:r w:rsidRPr="00944B67">
        <w:rPr>
          <w:rtl/>
          <w:lang w:bidi="ar-EG"/>
        </w:rPr>
        <w:t xml:space="preserve"> ووظيفتها بناءً على توجيهات الأعضاء على النحو المنصوص عليه مؤخرا</w:t>
      </w:r>
      <w:r w:rsidRPr="00944B67">
        <w:rPr>
          <w:rFonts w:hint="cs"/>
          <w:rtl/>
          <w:lang w:bidi="ar-EG"/>
        </w:rPr>
        <w:t>ً</w:t>
      </w:r>
      <w:r w:rsidRPr="00944B67">
        <w:rPr>
          <w:rtl/>
          <w:lang w:bidi="ar-EG"/>
        </w:rPr>
        <w:t xml:space="preserve"> بموجب القرار</w:t>
      </w:r>
      <w:r w:rsidR="00295FC0">
        <w:rPr>
          <w:rFonts w:hint="cs"/>
          <w:rtl/>
          <w:lang w:bidi="ar-EG"/>
        </w:rPr>
        <w:t> </w:t>
      </w:r>
      <w:r w:rsidR="00295FC0">
        <w:rPr>
          <w:lang w:bidi="ar-EG"/>
        </w:rPr>
        <w:t>25</w:t>
      </w:r>
      <w:r w:rsidRPr="00944B67">
        <w:rPr>
          <w:rtl/>
          <w:lang w:bidi="ar-EG"/>
        </w:rPr>
        <w:t xml:space="preserve"> الصادر عن مؤتمر المندوبين المفوضين لعام</w:t>
      </w:r>
      <w:r w:rsidR="00295FC0">
        <w:rPr>
          <w:rFonts w:hint="cs"/>
          <w:rtl/>
          <w:lang w:bidi="ar-EG"/>
        </w:rPr>
        <w:t> </w:t>
      </w:r>
      <w:r w:rsidR="00295FC0">
        <w:rPr>
          <w:lang w:bidi="ar-EG"/>
        </w:rPr>
        <w:t>2018</w:t>
      </w:r>
      <w:r w:rsidRPr="00944B67">
        <w:rPr>
          <w:rtl/>
          <w:lang w:bidi="ar-EG"/>
        </w:rPr>
        <w:t>.</w:t>
      </w:r>
      <w:r w:rsidRPr="00944B67">
        <w:rPr>
          <w:rFonts w:hint="cs"/>
          <w:rtl/>
          <w:lang w:bidi="ar-EG"/>
        </w:rPr>
        <w:t xml:space="preserve"> و</w:t>
      </w:r>
      <w:r w:rsidRPr="00944B67">
        <w:rPr>
          <w:rtl/>
          <w:lang w:bidi="ar-EG"/>
        </w:rPr>
        <w:t xml:space="preserve">في هذا السياق، يُدعى الفريق الاستشاري لتنمية الاتصالات إلى تقديم </w:t>
      </w:r>
      <w:r w:rsidRPr="00944B67">
        <w:rPr>
          <w:rFonts w:hint="cs"/>
          <w:rtl/>
          <w:lang w:bidi="ar-EG"/>
        </w:rPr>
        <w:t>إرشادات</w:t>
      </w:r>
      <w:r w:rsidRPr="00944B67">
        <w:rPr>
          <w:rtl/>
          <w:lang w:bidi="ar-EG"/>
        </w:rPr>
        <w:t xml:space="preserve"> حسب الاقتضاء لضمان أن </w:t>
      </w:r>
      <w:r w:rsidRPr="00944B67">
        <w:rPr>
          <w:rFonts w:hint="cs"/>
          <w:rtl/>
          <w:lang w:bidi="ar-EG"/>
        </w:rPr>
        <w:t xml:space="preserve">يقدم </w:t>
      </w:r>
      <w:r w:rsidRPr="00944B67">
        <w:rPr>
          <w:rFonts w:hint="cs"/>
          <w:rtl/>
        </w:rPr>
        <w:t>ال</w:t>
      </w:r>
      <w:r w:rsidRPr="00944B67">
        <w:rPr>
          <w:rtl/>
        </w:rPr>
        <w:t xml:space="preserve">منتدى الإقليمي </w:t>
      </w:r>
      <w:r w:rsidRPr="00944B67">
        <w:rPr>
          <w:rFonts w:hint="cs"/>
          <w:rtl/>
        </w:rPr>
        <w:t xml:space="preserve">للتنمية </w:t>
      </w:r>
      <w:r w:rsidRPr="00944B67">
        <w:rPr>
          <w:rtl/>
          <w:lang w:bidi="ar-EG"/>
        </w:rPr>
        <w:t>أفضل قيمة ممكنة لقطاع التنمية، مع المساهمة في تنفيذ خطوط عمل القمة العالمية لمجتمع المعلومات وتحقيق أهداف التنمية المستدامة.</w:t>
      </w:r>
    </w:p>
    <w:p w:rsidR="00CB30F8" w:rsidRDefault="0057026E" w:rsidP="0012112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86" w:rsidRDefault="00482586" w:rsidP="00E07379">
      <w:pPr>
        <w:spacing w:before="0" w:line="240" w:lineRule="auto"/>
      </w:pPr>
      <w:r>
        <w:separator/>
      </w:r>
    </w:p>
  </w:endnote>
  <w:endnote w:type="continuationSeparator" w:id="0">
    <w:p w:rsidR="00482586" w:rsidRDefault="004825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52D3F" w:rsidRDefault="00CE6AED" w:rsidP="00AA5885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452D3F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295FC0">
      <w:rPr>
        <w:noProof/>
        <w:lang w:val="es-ES"/>
      </w:rPr>
      <w:t>P:\ARA\ITU-D\CONF-D\TDAG19\000\014A.docx</w:t>
    </w:r>
    <w:r>
      <w:rPr>
        <w:noProof/>
      </w:rPr>
      <w:fldChar w:fldCharType="end"/>
    </w:r>
    <w:r w:rsidR="00BD0C50" w:rsidRPr="00452D3F">
      <w:rPr>
        <w:lang w:val="es-ES"/>
      </w:rPr>
      <w:t xml:space="preserve">   (</w:t>
    </w:r>
    <w:r w:rsidR="00AA5885" w:rsidRPr="00452D3F">
      <w:rPr>
        <w:lang w:val="es-ES"/>
      </w:rPr>
      <w:t>449216</w:t>
    </w:r>
    <w:r w:rsidR="00BD0C50" w:rsidRPr="00452D3F">
      <w:rPr>
        <w:lang w:val="es-ES"/>
      </w:rPr>
      <w:t>)</w:t>
    </w:r>
    <w:r w:rsidR="00BD0C50" w:rsidRPr="00452D3F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37056">
      <w:rPr>
        <w:noProof/>
      </w:rPr>
      <w:t>13.03.19</w:t>
    </w:r>
    <w:r w:rsidR="00BD0C50" w:rsidRPr="00665956">
      <w:fldChar w:fldCharType="end"/>
    </w:r>
    <w:r w:rsidR="00BD0C50" w:rsidRPr="00452D3F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95FC0">
      <w:rPr>
        <w:noProof/>
      </w:rPr>
      <w:t>13.03.19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437056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437056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437056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437056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437056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437056" w:rsidRDefault="00437056" w:rsidP="00437056">
          <w:pPr>
            <w:spacing w:after="60" w:line="260" w:lineRule="exact"/>
            <w:rPr>
              <w:rFonts w:hint="cs"/>
              <w:sz w:val="20"/>
              <w:szCs w:val="26"/>
              <w:rtl/>
              <w:lang w:val="en-GB" w:bidi="ar-EG"/>
            </w:rPr>
          </w:pPr>
          <w:r>
            <w:rPr>
              <w:rFonts w:hint="cs"/>
              <w:sz w:val="20"/>
              <w:szCs w:val="26"/>
              <w:rtl/>
            </w:rPr>
            <w:t xml:space="preserve">السيد </w:t>
          </w:r>
          <w:proofErr w:type="spellStart"/>
          <w:r w:rsidRPr="00437056">
            <w:rPr>
              <w:sz w:val="20"/>
              <w:szCs w:val="26"/>
              <w:lang w:bidi="ar-EG"/>
            </w:rPr>
            <w:t>Jaroslaw</w:t>
          </w:r>
          <w:proofErr w:type="spellEnd"/>
          <w:r w:rsidRPr="00437056">
            <w:rPr>
              <w:sz w:val="20"/>
              <w:szCs w:val="26"/>
              <w:lang w:bidi="ar-EG"/>
            </w:rPr>
            <w:t xml:space="preserve"> Ponder</w:t>
          </w:r>
          <w:r>
            <w:rPr>
              <w:rFonts w:hint="cs"/>
              <w:sz w:val="20"/>
              <w:szCs w:val="26"/>
              <w:rtl/>
              <w:lang w:val="en-GB" w:bidi="ar-EG"/>
            </w:rPr>
            <w:t>، رئيس مكتب الاتحاد لمنطقة أوروبا</w:t>
          </w:r>
        </w:p>
      </w:tc>
    </w:tr>
    <w:tr w:rsidR="00A72045" w:rsidRPr="00437056" w:rsidTr="00765718">
      <w:tc>
        <w:tcPr>
          <w:tcW w:w="1298" w:type="dxa"/>
        </w:tcPr>
        <w:p w:rsidR="00A72045" w:rsidRPr="00437056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437056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437056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437056" w:rsidRDefault="00924127" w:rsidP="00437056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437056">
            <w:rPr>
              <w:sz w:val="20"/>
              <w:szCs w:val="26"/>
            </w:rPr>
            <w:t>+41</w:t>
          </w:r>
          <w:r w:rsidR="00437056">
            <w:rPr>
              <w:sz w:val="20"/>
              <w:szCs w:val="26"/>
            </w:rPr>
            <w:t> </w:t>
          </w:r>
          <w:r w:rsidRPr="00437056">
            <w:rPr>
              <w:sz w:val="20"/>
              <w:szCs w:val="26"/>
            </w:rPr>
            <w:t>22</w:t>
          </w:r>
          <w:r w:rsidR="00437056">
            <w:rPr>
              <w:sz w:val="20"/>
              <w:szCs w:val="26"/>
            </w:rPr>
            <w:t> </w:t>
          </w:r>
          <w:r w:rsidRPr="00437056">
            <w:rPr>
              <w:sz w:val="20"/>
              <w:szCs w:val="26"/>
            </w:rPr>
            <w:t>730</w:t>
          </w:r>
          <w:r w:rsidR="00437056">
            <w:rPr>
              <w:sz w:val="20"/>
              <w:szCs w:val="26"/>
            </w:rPr>
            <w:t> </w:t>
          </w:r>
          <w:r w:rsidRPr="00437056">
            <w:rPr>
              <w:sz w:val="20"/>
              <w:szCs w:val="26"/>
            </w:rPr>
            <w:t>6065</w:t>
          </w:r>
        </w:p>
      </w:tc>
    </w:tr>
    <w:tr w:rsidR="00A72045" w:rsidRPr="00437056" w:rsidTr="00765718">
      <w:tc>
        <w:tcPr>
          <w:tcW w:w="1298" w:type="dxa"/>
        </w:tcPr>
        <w:p w:rsidR="00A72045" w:rsidRPr="00437056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437056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437056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437056" w:rsidRDefault="00641489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924127" w:rsidRPr="00437056">
              <w:rPr>
                <w:rStyle w:val="Hyperlink"/>
                <w:sz w:val="20"/>
                <w:szCs w:val="26"/>
              </w:rPr>
              <w:t>jaroslaw.ponder@itu.int</w:t>
            </w:r>
          </w:hyperlink>
          <w:hyperlink r:id="rId2" w:history="1"/>
        </w:p>
      </w:tc>
    </w:tr>
  </w:tbl>
  <w:p w:rsidR="00A72045" w:rsidRPr="00CE6AED" w:rsidRDefault="00641489" w:rsidP="00CE6AED">
    <w:pPr>
      <w:bidi w:val="0"/>
      <w:spacing w:before="240" w:line="240" w:lineRule="auto"/>
      <w:jc w:val="center"/>
      <w:rPr>
        <w:rFonts w:eastAsiaTheme="minorEastAsia"/>
        <w:sz w:val="10"/>
        <w:szCs w:val="18"/>
        <w:rtl/>
        <w:lang w:val="ru-RU" w:eastAsia="zh-CN"/>
      </w:rPr>
    </w:pPr>
    <w:hyperlink r:id="rId3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86" w:rsidRDefault="00482586" w:rsidP="00E07379">
      <w:pPr>
        <w:spacing w:before="0" w:line="240" w:lineRule="auto"/>
      </w:pPr>
      <w:r>
        <w:separator/>
      </w:r>
    </w:p>
  </w:footnote>
  <w:footnote w:type="continuationSeparator" w:id="0">
    <w:p w:rsidR="00482586" w:rsidRDefault="004825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AA5885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AA5885">
      <w:rPr>
        <w:rFonts w:eastAsiaTheme="minorEastAsia" w:cs="Calibri"/>
        <w:sz w:val="20"/>
        <w:szCs w:val="20"/>
        <w:lang w:eastAsia="zh-CN"/>
      </w:rPr>
      <w:t>14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641489">
      <w:rPr>
        <w:rFonts w:eastAsiaTheme="minorEastAsia" w:cs="Calibri"/>
        <w:noProof/>
        <w:sz w:val="20"/>
        <w:szCs w:val="20"/>
        <w:rtl/>
        <w:lang w:val="en-GB" w:eastAsia="zh-CN"/>
      </w:rPr>
      <w:t>3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F"/>
    <w:rsid w:val="000124CC"/>
    <w:rsid w:val="00041F8B"/>
    <w:rsid w:val="00044792"/>
    <w:rsid w:val="00046444"/>
    <w:rsid w:val="0006023B"/>
    <w:rsid w:val="00072730"/>
    <w:rsid w:val="0007345E"/>
    <w:rsid w:val="0008638B"/>
    <w:rsid w:val="00090574"/>
    <w:rsid w:val="00092FC2"/>
    <w:rsid w:val="000A1677"/>
    <w:rsid w:val="000B407F"/>
    <w:rsid w:val="000B5EA0"/>
    <w:rsid w:val="000C13C2"/>
    <w:rsid w:val="000D4C64"/>
    <w:rsid w:val="000F0B1C"/>
    <w:rsid w:val="000F17A7"/>
    <w:rsid w:val="000F1D42"/>
    <w:rsid w:val="000F4D07"/>
    <w:rsid w:val="00102A03"/>
    <w:rsid w:val="001040A3"/>
    <w:rsid w:val="00121124"/>
    <w:rsid w:val="00173915"/>
    <w:rsid w:val="0022345D"/>
    <w:rsid w:val="00225854"/>
    <w:rsid w:val="0023283D"/>
    <w:rsid w:val="002334F5"/>
    <w:rsid w:val="00252E0C"/>
    <w:rsid w:val="00276881"/>
    <w:rsid w:val="00281312"/>
    <w:rsid w:val="002916BE"/>
    <w:rsid w:val="00295FC0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5F36"/>
    <w:rsid w:val="003A1741"/>
    <w:rsid w:val="003C106D"/>
    <w:rsid w:val="003C475F"/>
    <w:rsid w:val="003E4132"/>
    <w:rsid w:val="003F678F"/>
    <w:rsid w:val="003F7FC6"/>
    <w:rsid w:val="0042686F"/>
    <w:rsid w:val="004367CE"/>
    <w:rsid w:val="00437056"/>
    <w:rsid w:val="00443869"/>
    <w:rsid w:val="00452D3F"/>
    <w:rsid w:val="0046396F"/>
    <w:rsid w:val="004712C6"/>
    <w:rsid w:val="0048258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67082"/>
    <w:rsid w:val="0057026E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2EEA"/>
    <w:rsid w:val="005F692D"/>
    <w:rsid w:val="00606660"/>
    <w:rsid w:val="006157A3"/>
    <w:rsid w:val="00620E60"/>
    <w:rsid w:val="0063315A"/>
    <w:rsid w:val="00641489"/>
    <w:rsid w:val="006435A5"/>
    <w:rsid w:val="0065591D"/>
    <w:rsid w:val="00662C5A"/>
    <w:rsid w:val="00670AF5"/>
    <w:rsid w:val="006A1DA5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C57F0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5BE"/>
    <w:rsid w:val="008513CB"/>
    <w:rsid w:val="008654C9"/>
    <w:rsid w:val="00874D9C"/>
    <w:rsid w:val="00895A80"/>
    <w:rsid w:val="008A1810"/>
    <w:rsid w:val="008B43AE"/>
    <w:rsid w:val="008B5B5D"/>
    <w:rsid w:val="008F63C5"/>
    <w:rsid w:val="00917694"/>
    <w:rsid w:val="00924127"/>
    <w:rsid w:val="00924724"/>
    <w:rsid w:val="009263CD"/>
    <w:rsid w:val="00930E6D"/>
    <w:rsid w:val="00944B67"/>
    <w:rsid w:val="00972CA2"/>
    <w:rsid w:val="00982B28"/>
    <w:rsid w:val="00984EA5"/>
    <w:rsid w:val="00992593"/>
    <w:rsid w:val="009975CE"/>
    <w:rsid w:val="009C17E1"/>
    <w:rsid w:val="009C35ED"/>
    <w:rsid w:val="009E0C59"/>
    <w:rsid w:val="009F1C12"/>
    <w:rsid w:val="009F257B"/>
    <w:rsid w:val="00A10C12"/>
    <w:rsid w:val="00A124CB"/>
    <w:rsid w:val="00A2167A"/>
    <w:rsid w:val="00A25A43"/>
    <w:rsid w:val="00A3295B"/>
    <w:rsid w:val="00A4239E"/>
    <w:rsid w:val="00A42AE5"/>
    <w:rsid w:val="00A52B61"/>
    <w:rsid w:val="00A64820"/>
    <w:rsid w:val="00A71DD6"/>
    <w:rsid w:val="00A72045"/>
    <w:rsid w:val="00A723C7"/>
    <w:rsid w:val="00A80E11"/>
    <w:rsid w:val="00A97F94"/>
    <w:rsid w:val="00AA5885"/>
    <w:rsid w:val="00AB1309"/>
    <w:rsid w:val="00AC2C52"/>
    <w:rsid w:val="00AC62EB"/>
    <w:rsid w:val="00AD1503"/>
    <w:rsid w:val="00AD2A5A"/>
    <w:rsid w:val="00AE7244"/>
    <w:rsid w:val="00AF3FEE"/>
    <w:rsid w:val="00B011F3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E6AED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1623"/>
    <w:rsid w:val="00E32189"/>
    <w:rsid w:val="00E340BF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74051"/>
    <w:rsid w:val="00F84366"/>
    <w:rsid w:val="00F85089"/>
    <w:rsid w:val="00F85564"/>
    <w:rsid w:val="00F86CFA"/>
    <w:rsid w:val="00F87032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1606A40-F28C-4738-B011-28037DFD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BC4CA-AA5F-4A34-979C-B0B3D13F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19</cp:revision>
  <cp:lastPrinted>2019-03-13T14:24:00Z</cp:lastPrinted>
  <dcterms:created xsi:type="dcterms:W3CDTF">2019-03-13T14:11:00Z</dcterms:created>
  <dcterms:modified xsi:type="dcterms:W3CDTF">2019-03-13T16:58:00Z</dcterms:modified>
  <cp:category>Conference document</cp:category>
</cp:coreProperties>
</file>