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DB5ED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DB5ED7" w:rsidRDefault="00D372A5" w:rsidP="00770267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DB5ED7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DB5ED7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DB5ED7" w:rsidRDefault="004E7861" w:rsidP="00770267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B5ED7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DB5ED7" w:rsidRDefault="004E7861" w:rsidP="00770267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DB5ED7">
              <w:rPr>
                <w:noProof/>
                <w:color w:val="3399FF"/>
                <w:lang w:val="es-ES_tradnl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DB5ED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DB5ED7" w:rsidRDefault="004B7893" w:rsidP="00770267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DB5ED7" w:rsidRDefault="004B7893" w:rsidP="00770267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DB5ED7" w:rsidTr="004B7893">
        <w:trPr>
          <w:cantSplit/>
        </w:trPr>
        <w:tc>
          <w:tcPr>
            <w:tcW w:w="6663" w:type="dxa"/>
          </w:tcPr>
          <w:p w:rsidR="004B7893" w:rsidRPr="00DB5ED7" w:rsidRDefault="004B7893" w:rsidP="00770267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DB5ED7" w:rsidRDefault="005637B9" w:rsidP="00770267">
            <w:pPr>
              <w:spacing w:before="0"/>
              <w:rPr>
                <w:bCs/>
                <w:lang w:val="es-ES_tradnl"/>
              </w:rPr>
            </w:pPr>
            <w:r w:rsidRPr="00DB5ED7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DB5ED7">
              <w:rPr>
                <w:b/>
                <w:bCs/>
                <w:lang w:val="es-ES_tradnl"/>
              </w:rPr>
              <w:t>TDAG</w:t>
            </w:r>
            <w:r w:rsidR="00602B27" w:rsidRPr="00DB5ED7">
              <w:rPr>
                <w:b/>
                <w:bCs/>
                <w:lang w:val="es-ES_tradnl"/>
              </w:rPr>
              <w:t>-</w:t>
            </w:r>
            <w:r w:rsidRPr="00DB5ED7">
              <w:rPr>
                <w:b/>
                <w:bCs/>
                <w:lang w:val="es-ES_tradnl"/>
              </w:rPr>
              <w:t>1</w:t>
            </w:r>
            <w:r w:rsidR="004E7861" w:rsidRPr="00DB5ED7">
              <w:rPr>
                <w:b/>
                <w:bCs/>
                <w:lang w:val="es-ES_tradnl"/>
              </w:rPr>
              <w:t>9</w:t>
            </w:r>
            <w:r w:rsidRPr="00DB5ED7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296323" w:rsidRPr="00DB5ED7">
              <w:rPr>
                <w:b/>
                <w:bCs/>
                <w:lang w:val="es-ES_tradnl"/>
              </w:rPr>
              <w:t>16</w:t>
            </w:r>
            <w:r w:rsidRPr="00DB5ED7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DB5ED7" w:rsidTr="004B7893">
        <w:trPr>
          <w:cantSplit/>
        </w:trPr>
        <w:tc>
          <w:tcPr>
            <w:tcW w:w="6663" w:type="dxa"/>
          </w:tcPr>
          <w:p w:rsidR="004B7893" w:rsidRPr="00DB5ED7" w:rsidRDefault="004B7893" w:rsidP="0077026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DB5ED7" w:rsidRDefault="00296323" w:rsidP="00770267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DB5ED7">
              <w:rPr>
                <w:b/>
                <w:bCs/>
                <w:szCs w:val="28"/>
                <w:lang w:val="es-ES_tradnl"/>
              </w:rPr>
              <w:t>25 de enero de</w:t>
            </w:r>
            <w:r w:rsidR="00BC7208" w:rsidRPr="00DB5ED7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DB5ED7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DB5ED7" w:rsidTr="004B7893">
        <w:trPr>
          <w:cantSplit/>
        </w:trPr>
        <w:tc>
          <w:tcPr>
            <w:tcW w:w="6663" w:type="dxa"/>
          </w:tcPr>
          <w:p w:rsidR="004B7893" w:rsidRPr="00DB5ED7" w:rsidRDefault="004B7893" w:rsidP="0077026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DB5ED7" w:rsidRDefault="005637B9" w:rsidP="00770267">
            <w:pPr>
              <w:spacing w:before="0"/>
              <w:rPr>
                <w:szCs w:val="24"/>
                <w:lang w:val="es-ES_tradnl"/>
              </w:rPr>
            </w:pPr>
            <w:r w:rsidRPr="00DB5ED7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DB5ED7">
              <w:rPr>
                <w:b/>
                <w:lang w:val="es-ES_tradnl"/>
              </w:rPr>
              <w:t xml:space="preserve"> </w:t>
            </w:r>
            <w:r w:rsidR="00296323" w:rsidRPr="00DB5ED7">
              <w:rPr>
                <w:b/>
                <w:lang w:val="es-ES_tradnl"/>
              </w:rPr>
              <w:t>inglés</w:t>
            </w:r>
          </w:p>
        </w:tc>
      </w:tr>
      <w:tr w:rsidR="004B7893" w:rsidRPr="00DB5ED7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DB5ED7" w:rsidRDefault="00904021" w:rsidP="00770267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DB5ED7">
              <w:rPr>
                <w:rFonts w:ascii="Calibri" w:hAnsi="Calibri"/>
                <w:lang w:val="es-ES_tradnl"/>
              </w:rPr>
              <w:t>Directora de la Oficina de Desarrollo de las Telecomunicaciones</w:t>
            </w:r>
          </w:p>
        </w:tc>
      </w:tr>
      <w:tr w:rsidR="004B7893" w:rsidRPr="00DB5ED7" w:rsidTr="004B7893">
        <w:trPr>
          <w:cantSplit/>
        </w:trPr>
        <w:tc>
          <w:tcPr>
            <w:tcW w:w="9888" w:type="dxa"/>
            <w:gridSpan w:val="2"/>
          </w:tcPr>
          <w:p w:rsidR="004B7893" w:rsidRPr="00DB5ED7" w:rsidRDefault="00864332" w:rsidP="00770267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DB5ED7">
              <w:rPr>
                <w:lang w:val="es-ES_tradnl"/>
              </w:rPr>
              <w:t>Programa político y reglamentario</w:t>
            </w:r>
            <w:r w:rsidR="00904021" w:rsidRPr="00DB5ED7">
              <w:rPr>
                <w:lang w:val="es-ES_tradnl"/>
              </w:rPr>
              <w:t xml:space="preserve"> DEL </w:t>
            </w:r>
            <w:r w:rsidR="00180785" w:rsidRPr="00DB5ED7">
              <w:rPr>
                <w:lang w:val="es-ES_tradnl"/>
              </w:rPr>
              <w:t>UIT</w:t>
            </w:r>
            <w:r w:rsidR="00904021" w:rsidRPr="00DB5ED7">
              <w:rPr>
                <w:lang w:val="es-ES_tradnl"/>
              </w:rPr>
              <w:t>-D</w:t>
            </w:r>
          </w:p>
        </w:tc>
      </w:tr>
      <w:tr w:rsidR="004B7893" w:rsidRPr="00DB5ED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DB5ED7" w:rsidRDefault="004B7893" w:rsidP="00770267">
            <w:pPr>
              <w:rPr>
                <w:lang w:val="es-ES_tradnl"/>
              </w:rPr>
            </w:pPr>
          </w:p>
        </w:tc>
      </w:tr>
      <w:tr w:rsidR="004B7893" w:rsidRPr="00DB5ED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DB5ED7" w:rsidRDefault="004B7893" w:rsidP="00A34A7A">
            <w:pPr>
              <w:spacing w:before="240"/>
              <w:rPr>
                <w:b/>
                <w:bCs/>
                <w:lang w:val="es-ES_tradnl"/>
              </w:rPr>
            </w:pPr>
            <w:r w:rsidRPr="00DB5ED7">
              <w:rPr>
                <w:b/>
                <w:bCs/>
                <w:lang w:val="es-ES_tradnl"/>
              </w:rPr>
              <w:t>Resumen:</w:t>
            </w:r>
          </w:p>
          <w:p w:rsidR="004B7893" w:rsidRPr="00DB5ED7" w:rsidRDefault="004B10C1" w:rsidP="00A34A7A">
            <w:pPr>
              <w:rPr>
                <w:szCs w:val="24"/>
                <w:lang w:val="es-ES_tradnl"/>
              </w:rPr>
            </w:pPr>
            <w:r w:rsidRPr="00DB5ED7">
              <w:rPr>
                <w:szCs w:val="24"/>
                <w:lang w:val="es-ES_tradnl"/>
              </w:rPr>
              <w:t xml:space="preserve">En este documento se ofrece una </w:t>
            </w:r>
            <w:r w:rsidR="00180785" w:rsidRPr="00DB5ED7">
              <w:rPr>
                <w:szCs w:val="24"/>
                <w:lang w:val="es-ES_tradnl"/>
              </w:rPr>
              <w:t>visió</w:t>
            </w:r>
            <w:r w:rsidRPr="00DB5ED7">
              <w:rPr>
                <w:szCs w:val="24"/>
                <w:lang w:val="es-ES_tradnl"/>
              </w:rPr>
              <w:t xml:space="preserve">n general de las actividades más importantes </w:t>
            </w:r>
            <w:r w:rsidR="00180785" w:rsidRPr="00DB5ED7">
              <w:rPr>
                <w:szCs w:val="24"/>
                <w:lang w:val="es-ES_tradnl"/>
              </w:rPr>
              <w:t>ejecutadas en el marco del programa político y reglamentario del UIT-D</w:t>
            </w:r>
            <w:r w:rsidR="009E784F" w:rsidRPr="00DB5ED7">
              <w:rPr>
                <w:szCs w:val="24"/>
                <w:lang w:val="es-ES_tradnl"/>
              </w:rPr>
              <w:t xml:space="preserve"> en 2018</w:t>
            </w:r>
            <w:r w:rsidR="00180785" w:rsidRPr="00DB5ED7">
              <w:rPr>
                <w:szCs w:val="24"/>
                <w:lang w:val="es-ES_tradnl"/>
              </w:rPr>
              <w:t>, entre las que figuran el</w:t>
            </w:r>
            <w:r w:rsidR="00180785" w:rsidRPr="00DB5ED7">
              <w:rPr>
                <w:color w:val="000000"/>
                <w:lang w:val="es-ES_tradnl"/>
              </w:rPr>
              <w:t xml:space="preserve"> Simposio Mundial para Organismos Reguladores (GSR</w:t>
            </w:r>
            <w:r w:rsidR="00180785" w:rsidRPr="00DB5ED7">
              <w:rPr>
                <w:szCs w:val="24"/>
                <w:lang w:val="es-ES_tradnl"/>
              </w:rPr>
              <w:t xml:space="preserve">); los </w:t>
            </w:r>
            <w:r w:rsidR="00180785" w:rsidRPr="00DB5ED7">
              <w:rPr>
                <w:color w:val="000000"/>
                <w:lang w:val="es-ES_tradnl"/>
              </w:rPr>
              <w:t>Diálogos Económicos Regionales</w:t>
            </w:r>
            <w:r w:rsidR="00180785" w:rsidRPr="00DB5ED7">
              <w:rPr>
                <w:szCs w:val="24"/>
                <w:lang w:val="es-ES_tradnl"/>
              </w:rPr>
              <w:t>;</w:t>
            </w:r>
            <w:r w:rsidR="00296323" w:rsidRPr="00DB5ED7">
              <w:rPr>
                <w:szCs w:val="24"/>
                <w:lang w:val="es-ES_tradnl"/>
              </w:rPr>
              <w:t xml:space="preserve"> </w:t>
            </w:r>
            <w:r w:rsidR="00180785" w:rsidRPr="00DB5ED7">
              <w:rPr>
                <w:szCs w:val="24"/>
                <w:lang w:val="es-ES_tradnl"/>
              </w:rPr>
              <w:t xml:space="preserve">el informe </w:t>
            </w:r>
            <w:r w:rsidR="00180785" w:rsidRPr="00DB5ED7">
              <w:rPr>
                <w:rFonts w:cs="Segoe UI"/>
                <w:i/>
                <w:iCs/>
                <w:lang w:val="es-ES_tradnl"/>
              </w:rPr>
              <w:t>Global ICT Regulatory Outlook</w:t>
            </w:r>
            <w:r w:rsidR="00180785" w:rsidRPr="00DB5ED7">
              <w:rPr>
                <w:rFonts w:cs="Segoe UI"/>
                <w:lang w:val="es-ES_tradnl"/>
              </w:rPr>
              <w:t>;</w:t>
            </w:r>
            <w:r w:rsidR="00296323" w:rsidRPr="00DB5ED7">
              <w:rPr>
                <w:szCs w:val="24"/>
                <w:lang w:val="es-ES_tradnl"/>
              </w:rPr>
              <w:t xml:space="preserve"> </w:t>
            </w:r>
            <w:r w:rsidR="00180785" w:rsidRPr="00DB5ED7">
              <w:rPr>
                <w:szCs w:val="24"/>
                <w:lang w:val="es-ES_tradnl"/>
              </w:rPr>
              <w:t xml:space="preserve">informes analíticos sobre </w:t>
            </w:r>
            <w:r w:rsidR="00296323" w:rsidRPr="00DB5ED7">
              <w:rPr>
                <w:szCs w:val="24"/>
                <w:lang w:val="es-ES_tradnl"/>
              </w:rPr>
              <w:t xml:space="preserve">5G, </w:t>
            </w:r>
            <w:r w:rsidR="00180785" w:rsidRPr="00DB5ED7">
              <w:rPr>
                <w:szCs w:val="24"/>
                <w:lang w:val="es-ES_tradnl"/>
              </w:rPr>
              <w:t>inteligencia a</w:t>
            </w:r>
            <w:r w:rsidR="00296323" w:rsidRPr="00DB5ED7">
              <w:rPr>
                <w:szCs w:val="24"/>
                <w:lang w:val="es-ES_tradnl"/>
              </w:rPr>
              <w:t xml:space="preserve">rtificial </w:t>
            </w:r>
            <w:r w:rsidR="00180785" w:rsidRPr="00DB5ED7">
              <w:rPr>
                <w:szCs w:val="24"/>
                <w:lang w:val="es-ES_tradnl"/>
              </w:rPr>
              <w:t>e identidad digital;</w:t>
            </w:r>
            <w:r w:rsidR="00296323" w:rsidRPr="00DB5ED7">
              <w:rPr>
                <w:szCs w:val="24"/>
                <w:lang w:val="es-ES_tradnl"/>
              </w:rPr>
              <w:t xml:space="preserve"> </w:t>
            </w:r>
            <w:r w:rsidR="00180785" w:rsidRPr="00DB5ED7">
              <w:rPr>
                <w:szCs w:val="24"/>
                <w:lang w:val="es-ES_tradnl"/>
              </w:rPr>
              <w:t>el estudio econométrico sobre el impacto de la banda ancha, la digitalización y la regulación de las TIC; varios portales temáticos en línea; y diferentes actividades de asistencia directa</w:t>
            </w:r>
            <w:r w:rsidR="00296323" w:rsidRPr="00DB5ED7">
              <w:rPr>
                <w:szCs w:val="24"/>
                <w:lang w:val="es-ES_tradnl"/>
              </w:rPr>
              <w:t>.</w:t>
            </w:r>
          </w:p>
          <w:p w:rsidR="004B7893" w:rsidRPr="00DB5ED7" w:rsidRDefault="004B05C5" w:rsidP="00A34A7A">
            <w:pPr>
              <w:rPr>
                <w:b/>
                <w:bCs/>
                <w:lang w:val="es-ES_tradnl"/>
              </w:rPr>
            </w:pPr>
            <w:r w:rsidRPr="00DB5ED7">
              <w:rPr>
                <w:b/>
                <w:bCs/>
                <w:lang w:val="es-ES_tradnl"/>
              </w:rPr>
              <w:t>Acción solicitada:</w:t>
            </w:r>
          </w:p>
          <w:p w:rsidR="004B7893" w:rsidRPr="00DB5ED7" w:rsidRDefault="00864332" w:rsidP="00A34A7A">
            <w:pPr>
              <w:rPr>
                <w:b/>
                <w:bCs/>
                <w:lang w:val="es-ES_tradnl"/>
              </w:rPr>
            </w:pPr>
            <w:r w:rsidRPr="00DB5ED7">
              <w:rPr>
                <w:rFonts w:cstheme="minorHAnsi"/>
                <w:color w:val="000000"/>
                <w:szCs w:val="24"/>
                <w:lang w:val="es-ES_tradnl"/>
              </w:rPr>
              <w:t>Se invita al GADT a que tome nota del presente informe y formule los comentarios que estime oportunos.</w:t>
            </w:r>
          </w:p>
        </w:tc>
      </w:tr>
    </w:tbl>
    <w:p w:rsidR="00296323" w:rsidRPr="00DB5ED7" w:rsidRDefault="00296323" w:rsidP="007702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</w:p>
    <w:p w:rsidR="00296323" w:rsidRPr="00DB5ED7" w:rsidRDefault="00296323" w:rsidP="007702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  <w:r w:rsidRPr="00DB5ED7">
        <w:rPr>
          <w:lang w:val="es-ES_tradnl"/>
        </w:rPr>
        <w:br w:type="page"/>
      </w:r>
    </w:p>
    <w:p w:rsidR="000725A1" w:rsidRPr="00DB5ED7" w:rsidRDefault="00864332" w:rsidP="00DB5ED7">
      <w:pPr>
        <w:pStyle w:val="Heading1"/>
        <w:rPr>
          <w:lang w:val="es-ES_tradnl"/>
        </w:rPr>
      </w:pPr>
      <w:r w:rsidRPr="00DB5ED7">
        <w:rPr>
          <w:lang w:val="es-ES_tradnl"/>
        </w:rPr>
        <w:lastRenderedPageBreak/>
        <w:t>1.</w:t>
      </w:r>
      <w:r w:rsidRPr="00DB5ED7">
        <w:rPr>
          <w:lang w:val="es-ES_tradnl"/>
        </w:rPr>
        <w:tab/>
      </w:r>
      <w:r w:rsidR="001E1CD4" w:rsidRPr="00DB5ED7">
        <w:rPr>
          <w:lang w:val="es-ES_tradnl"/>
        </w:rPr>
        <w:t>Antecedentes</w:t>
      </w:r>
    </w:p>
    <w:p w:rsidR="00864332" w:rsidRPr="00DB5ED7" w:rsidRDefault="007B7605" w:rsidP="00DB5ED7">
      <w:pPr>
        <w:rPr>
          <w:szCs w:val="24"/>
          <w:lang w:val="es-ES_tradnl"/>
        </w:rPr>
      </w:pPr>
      <w:r w:rsidRPr="00DB5ED7">
        <w:rPr>
          <w:szCs w:val="24"/>
          <w:lang w:val="es-ES_tradnl" w:eastAsia="zh-CN"/>
        </w:rPr>
        <w:t xml:space="preserve">Los Miembros del UIT </w:t>
      </w:r>
      <w:r w:rsidR="005F6FC4" w:rsidRPr="00DB5ED7">
        <w:rPr>
          <w:szCs w:val="24"/>
          <w:lang w:val="es-ES_tradnl" w:eastAsia="zh-CN"/>
        </w:rPr>
        <w:t xml:space="preserve">presentes </w:t>
      </w:r>
      <w:r w:rsidRPr="00DB5ED7">
        <w:rPr>
          <w:szCs w:val="24"/>
          <w:lang w:val="es-ES_tradnl" w:eastAsia="zh-CN"/>
        </w:rPr>
        <w:t xml:space="preserve">en las </w:t>
      </w:r>
      <w:r w:rsidRPr="00DB5ED7">
        <w:rPr>
          <w:color w:val="000000"/>
          <w:lang w:val="es-ES_tradnl"/>
        </w:rPr>
        <w:t>Conferencias Mundiales de Desarrollo de las Telecomunicaciones (CMDT</w:t>
      </w:r>
      <w:r w:rsidR="00864332" w:rsidRPr="00DB5ED7">
        <w:rPr>
          <w:szCs w:val="24"/>
          <w:lang w:val="es-ES_tradnl" w:eastAsia="zh-CN"/>
        </w:rPr>
        <w:t xml:space="preserve">-14 </w:t>
      </w:r>
      <w:r w:rsidRPr="00DB5ED7">
        <w:rPr>
          <w:szCs w:val="24"/>
          <w:lang w:val="es-ES_tradnl" w:eastAsia="zh-CN"/>
        </w:rPr>
        <w:t xml:space="preserve">y </w:t>
      </w:r>
      <w:r w:rsidRPr="00DB5ED7">
        <w:rPr>
          <w:color w:val="000000"/>
          <w:lang w:val="es-ES_tradnl"/>
        </w:rPr>
        <w:t>CMDT</w:t>
      </w:r>
      <w:r w:rsidR="00864332" w:rsidRPr="00DB5ED7">
        <w:rPr>
          <w:szCs w:val="24"/>
          <w:lang w:val="es-ES_tradnl" w:eastAsia="zh-CN"/>
        </w:rPr>
        <w:t xml:space="preserve">-17) </w:t>
      </w:r>
      <w:r w:rsidRPr="00DB5ED7">
        <w:rPr>
          <w:szCs w:val="24"/>
          <w:lang w:val="es-ES_tradnl" w:eastAsia="zh-CN"/>
        </w:rPr>
        <w:t xml:space="preserve">y en las Conferencias de Plenipotenciarios </w:t>
      </w:r>
      <w:r w:rsidR="00864332" w:rsidRPr="00DB5ED7">
        <w:rPr>
          <w:szCs w:val="24"/>
          <w:lang w:val="es-ES_tradnl" w:eastAsia="zh-CN"/>
        </w:rPr>
        <w:t xml:space="preserve">(PP-14 </w:t>
      </w:r>
      <w:r w:rsidRPr="00DB5ED7">
        <w:rPr>
          <w:szCs w:val="24"/>
          <w:lang w:val="es-ES_tradnl" w:eastAsia="zh-CN"/>
        </w:rPr>
        <w:t xml:space="preserve">y </w:t>
      </w:r>
      <w:r w:rsidR="00A4071B">
        <w:rPr>
          <w:szCs w:val="24"/>
          <w:lang w:val="es-ES_tradnl" w:eastAsia="zh-CN"/>
        </w:rPr>
        <w:t>PP</w:t>
      </w:r>
      <w:r w:rsidR="00A4071B">
        <w:rPr>
          <w:szCs w:val="24"/>
          <w:lang w:val="es-ES_tradnl" w:eastAsia="zh-CN"/>
        </w:rPr>
        <w:noBreakHyphen/>
      </w:r>
      <w:r w:rsidR="00864332" w:rsidRPr="00DB5ED7">
        <w:rPr>
          <w:szCs w:val="24"/>
          <w:lang w:val="es-ES_tradnl" w:eastAsia="zh-CN"/>
        </w:rPr>
        <w:t xml:space="preserve">18) </w:t>
      </w:r>
      <w:r w:rsidR="00360DC3" w:rsidRPr="00DB5ED7">
        <w:rPr>
          <w:szCs w:val="24"/>
          <w:lang w:val="es-ES_tradnl" w:eastAsia="zh-CN"/>
        </w:rPr>
        <w:t xml:space="preserve">señalaron </w:t>
      </w:r>
      <w:r w:rsidR="00F97C3D" w:rsidRPr="00DB5ED7">
        <w:rPr>
          <w:szCs w:val="24"/>
          <w:lang w:val="es-ES_tradnl" w:eastAsia="zh-CN"/>
        </w:rPr>
        <w:t xml:space="preserve">la necesidad de reconocer y entender los reglamentos y las políticas nacionales </w:t>
      </w:r>
      <w:r w:rsidR="009817B8" w:rsidRPr="00DB5ED7">
        <w:rPr>
          <w:szCs w:val="24"/>
          <w:lang w:val="es-ES_tradnl" w:eastAsia="zh-CN"/>
        </w:rPr>
        <w:t xml:space="preserve">sobre </w:t>
      </w:r>
      <w:r w:rsidR="00F97C3D" w:rsidRPr="00DB5ED7">
        <w:rPr>
          <w:szCs w:val="24"/>
          <w:lang w:val="es-ES_tradnl" w:eastAsia="zh-CN"/>
        </w:rPr>
        <w:t>telecomunicaciones</w:t>
      </w:r>
      <w:r w:rsidR="00F42BBC" w:rsidRPr="00DB5ED7">
        <w:rPr>
          <w:szCs w:val="24"/>
          <w:lang w:val="es-ES_tradnl" w:eastAsia="zh-CN"/>
        </w:rPr>
        <w:t>/TIC</w:t>
      </w:r>
      <w:r w:rsidR="00F97C3D" w:rsidRPr="00DB5ED7">
        <w:rPr>
          <w:szCs w:val="24"/>
          <w:lang w:val="es-ES_tradnl" w:eastAsia="zh-CN"/>
        </w:rPr>
        <w:t xml:space="preserve"> a fin de </w:t>
      </w:r>
      <w:r w:rsidR="000044E0" w:rsidRPr="00DB5ED7">
        <w:rPr>
          <w:szCs w:val="24"/>
          <w:lang w:val="es-ES_tradnl" w:eastAsia="zh-CN"/>
        </w:rPr>
        <w:t xml:space="preserve">permitir el desarrollo de mercados mundiales que puedan contribuir </w:t>
      </w:r>
      <w:r w:rsidR="00F97C3D" w:rsidRPr="00DB5ED7">
        <w:rPr>
          <w:szCs w:val="24"/>
          <w:lang w:val="es-ES_tradnl" w:eastAsia="zh-CN"/>
        </w:rPr>
        <w:t>el desarrollo armonioso de los servicios de telecomunicaciones</w:t>
      </w:r>
      <w:r w:rsidR="00864332" w:rsidRPr="00DB5ED7">
        <w:rPr>
          <w:szCs w:val="24"/>
          <w:lang w:val="es-ES_tradnl"/>
        </w:rPr>
        <w:t xml:space="preserve">. </w:t>
      </w:r>
      <w:r w:rsidR="00F97C3D" w:rsidRPr="00DB5ED7">
        <w:rPr>
          <w:szCs w:val="24"/>
          <w:lang w:val="es-ES_tradnl"/>
        </w:rPr>
        <w:t>Este es uno de los Objetivos de Desarrollo Sostenible (ODS) de las Naciones Unidas, en concreto, el ODS 9</w:t>
      </w:r>
      <w:r w:rsidR="00864332" w:rsidRPr="00DB5ED7">
        <w:rPr>
          <w:szCs w:val="24"/>
          <w:lang w:val="es-ES_tradnl"/>
        </w:rPr>
        <w:t xml:space="preserve">: </w:t>
      </w:r>
      <w:r w:rsidR="005F3C61">
        <w:rPr>
          <w:szCs w:val="24"/>
          <w:lang w:val="es-ES_tradnl"/>
        </w:rPr>
        <w:t>"</w:t>
      </w:r>
      <w:r w:rsidR="00F97C3D" w:rsidRPr="00DB5ED7">
        <w:rPr>
          <w:szCs w:val="24"/>
          <w:lang w:val="es-ES_tradnl"/>
        </w:rPr>
        <w:t>Construir infraestructuras resilientes, promover la industrialización inclusiva y sostenible y fomentar la innovación</w:t>
      </w:r>
      <w:r w:rsidR="005F3C61">
        <w:rPr>
          <w:szCs w:val="24"/>
          <w:lang w:val="es-ES_tradnl"/>
        </w:rPr>
        <w:t>"</w:t>
      </w:r>
      <w:r w:rsidR="00864332" w:rsidRPr="00DB5ED7">
        <w:rPr>
          <w:szCs w:val="24"/>
          <w:lang w:val="es-ES_tradnl"/>
        </w:rPr>
        <w:t>.</w:t>
      </w:r>
    </w:p>
    <w:p w:rsidR="00864332" w:rsidRPr="00DB5ED7" w:rsidRDefault="008F77DC" w:rsidP="00DB5ED7">
      <w:pPr>
        <w:rPr>
          <w:szCs w:val="24"/>
          <w:lang w:val="es-ES_tradnl" w:eastAsia="zh-CN"/>
        </w:rPr>
      </w:pPr>
      <w:r w:rsidRPr="00DB5ED7">
        <w:rPr>
          <w:szCs w:val="24"/>
          <w:lang w:val="es-ES_tradnl" w:eastAsia="zh-CN"/>
        </w:rPr>
        <w:t>Dado que</w:t>
      </w:r>
      <w:r w:rsidR="00870CB3" w:rsidRPr="00DB5ED7">
        <w:rPr>
          <w:szCs w:val="24"/>
          <w:lang w:val="es-ES_tradnl" w:eastAsia="zh-CN"/>
        </w:rPr>
        <w:t xml:space="preserve"> la UIT, y el UIT-D en particular, es un organismo de las Naciones Unidas especializado en el </w:t>
      </w:r>
      <w:r w:rsidRPr="00DB5ED7">
        <w:rPr>
          <w:szCs w:val="24"/>
          <w:lang w:val="es-ES_tradnl" w:eastAsia="zh-CN"/>
        </w:rPr>
        <w:t xml:space="preserve">campo de </w:t>
      </w:r>
      <w:r w:rsidR="00B806BA" w:rsidRPr="00DB5ED7">
        <w:rPr>
          <w:szCs w:val="24"/>
          <w:lang w:val="es-ES_tradnl" w:eastAsia="zh-CN"/>
        </w:rPr>
        <w:t xml:space="preserve">las </w:t>
      </w:r>
      <w:r w:rsidRPr="00DB5ED7">
        <w:rPr>
          <w:szCs w:val="24"/>
          <w:lang w:val="es-ES_tradnl" w:eastAsia="zh-CN"/>
        </w:rPr>
        <w:t>telecomunicaciones</w:t>
      </w:r>
      <w:r w:rsidR="00B806BA" w:rsidRPr="00DB5ED7">
        <w:rPr>
          <w:szCs w:val="24"/>
          <w:lang w:val="es-ES_tradnl" w:eastAsia="zh-CN"/>
        </w:rPr>
        <w:t>/TIC</w:t>
      </w:r>
      <w:r w:rsidR="00870CB3" w:rsidRPr="00DB5ED7">
        <w:rPr>
          <w:szCs w:val="24"/>
          <w:lang w:val="es-ES_tradnl" w:eastAsia="zh-CN"/>
        </w:rPr>
        <w:t xml:space="preserve">, la BDT </w:t>
      </w:r>
      <w:r w:rsidR="00DA6479" w:rsidRPr="00DB5ED7">
        <w:rPr>
          <w:szCs w:val="24"/>
          <w:lang w:val="es-ES_tradnl" w:eastAsia="zh-CN"/>
        </w:rPr>
        <w:t xml:space="preserve">ha trabajado de manera </w:t>
      </w:r>
      <w:r w:rsidR="00870CB3" w:rsidRPr="00DB5ED7">
        <w:rPr>
          <w:szCs w:val="24"/>
          <w:lang w:val="es-ES_tradnl" w:eastAsia="zh-CN"/>
        </w:rPr>
        <w:t>proa</w:t>
      </w:r>
      <w:r w:rsidR="00DA6479" w:rsidRPr="00DB5ED7">
        <w:rPr>
          <w:szCs w:val="24"/>
          <w:lang w:val="es-ES_tradnl" w:eastAsia="zh-CN"/>
        </w:rPr>
        <w:t xml:space="preserve">ctiva en el logro de </w:t>
      </w:r>
      <w:r w:rsidR="00870CB3" w:rsidRPr="00DB5ED7">
        <w:rPr>
          <w:szCs w:val="24"/>
          <w:lang w:val="es-ES_tradnl" w:eastAsia="zh-CN"/>
        </w:rPr>
        <w:t xml:space="preserve">objetivos, estrategias y acciones concretas en el ecosistema convergente de las TIC </w:t>
      </w:r>
      <w:r w:rsidR="00DA6479" w:rsidRPr="00DB5ED7">
        <w:rPr>
          <w:szCs w:val="24"/>
          <w:lang w:val="es-ES_tradnl" w:eastAsia="zh-CN"/>
        </w:rPr>
        <w:t xml:space="preserve">con miras a fomentar un entorno normativo y reglamentario propicio para el desarrollo de </w:t>
      </w:r>
      <w:r w:rsidR="00094F1B" w:rsidRPr="00DB5ED7">
        <w:rPr>
          <w:szCs w:val="24"/>
          <w:lang w:val="es-ES_tradnl" w:eastAsia="zh-CN"/>
        </w:rPr>
        <w:t xml:space="preserve">las </w:t>
      </w:r>
      <w:r w:rsidR="00D5168D" w:rsidRPr="00DB5ED7">
        <w:rPr>
          <w:szCs w:val="24"/>
          <w:lang w:val="es-ES_tradnl" w:eastAsia="zh-CN"/>
        </w:rPr>
        <w:t>TIC/</w:t>
      </w:r>
      <w:r w:rsidR="00DA6479" w:rsidRPr="00DB5ED7">
        <w:rPr>
          <w:szCs w:val="24"/>
          <w:lang w:val="es-ES_tradnl" w:eastAsia="zh-CN"/>
        </w:rPr>
        <w:t>telecomunicaciones</w:t>
      </w:r>
      <w:r w:rsidR="00864332" w:rsidRPr="00DB5ED7">
        <w:rPr>
          <w:szCs w:val="24"/>
          <w:lang w:val="es-ES_tradnl" w:eastAsia="zh-CN"/>
        </w:rPr>
        <w:t>.</w:t>
      </w:r>
    </w:p>
    <w:p w:rsidR="00864332" w:rsidRPr="00DB5ED7" w:rsidRDefault="00864332" w:rsidP="00DB5ED7">
      <w:pPr>
        <w:pStyle w:val="Heading1"/>
        <w:rPr>
          <w:lang w:val="es-ES_tradnl" w:eastAsia="zh-CN"/>
        </w:rPr>
      </w:pPr>
      <w:r w:rsidRPr="00DB5ED7">
        <w:rPr>
          <w:lang w:val="es-ES_tradnl" w:eastAsia="zh-CN"/>
        </w:rPr>
        <w:t>2.</w:t>
      </w:r>
      <w:r w:rsidRPr="00DB5ED7">
        <w:rPr>
          <w:lang w:val="es-ES_tradnl" w:eastAsia="zh-CN"/>
        </w:rPr>
        <w:tab/>
      </w:r>
      <w:r w:rsidR="00870CB3" w:rsidRPr="00DB5ED7">
        <w:rPr>
          <w:lang w:val="es-ES_tradnl"/>
        </w:rPr>
        <w:t>Objetivos y estrategias</w:t>
      </w:r>
    </w:p>
    <w:p w:rsidR="00864332" w:rsidRPr="00DB5ED7" w:rsidRDefault="00F56242" w:rsidP="00DB5ED7">
      <w:pPr>
        <w:rPr>
          <w:szCs w:val="24"/>
          <w:lang w:val="es-ES_tradnl" w:eastAsia="zh-CN"/>
        </w:rPr>
      </w:pPr>
      <w:r w:rsidRPr="00DB5ED7">
        <w:rPr>
          <w:szCs w:val="24"/>
          <w:lang w:val="es-ES_tradnl" w:eastAsia="zh-CN"/>
        </w:rPr>
        <w:t xml:space="preserve">De acuerdo con la </w:t>
      </w:r>
      <w:r w:rsidRPr="00DB5ED7">
        <w:rPr>
          <w:color w:val="000000"/>
          <w:lang w:val="es-ES_tradnl"/>
        </w:rPr>
        <w:t>CMDT</w:t>
      </w:r>
      <w:r w:rsidRPr="00DB5ED7">
        <w:rPr>
          <w:szCs w:val="24"/>
          <w:lang w:val="es-ES_tradnl" w:eastAsia="zh-CN"/>
        </w:rPr>
        <w:t>-</w:t>
      </w:r>
      <w:r w:rsidR="00864332" w:rsidRPr="00DB5ED7">
        <w:rPr>
          <w:szCs w:val="24"/>
          <w:lang w:val="es-ES_tradnl" w:eastAsia="zh-CN"/>
        </w:rPr>
        <w:t>1</w:t>
      </w:r>
      <w:r w:rsidRPr="00DB5ED7">
        <w:rPr>
          <w:szCs w:val="24"/>
          <w:lang w:val="es-ES_tradnl" w:eastAsia="zh-CN"/>
        </w:rPr>
        <w:t xml:space="preserve">4 y la </w:t>
      </w:r>
      <w:r w:rsidRPr="00DB5ED7">
        <w:rPr>
          <w:color w:val="000000"/>
          <w:lang w:val="es-ES_tradnl"/>
        </w:rPr>
        <w:t>CMDT</w:t>
      </w:r>
      <w:r w:rsidR="00864332" w:rsidRPr="00DB5ED7">
        <w:rPr>
          <w:szCs w:val="24"/>
          <w:lang w:val="es-ES_tradnl"/>
        </w:rPr>
        <w:t xml:space="preserve">-17, </w:t>
      </w:r>
      <w:r w:rsidRPr="00DB5ED7">
        <w:rPr>
          <w:szCs w:val="24"/>
          <w:lang w:val="es-ES_tradnl"/>
        </w:rPr>
        <w:t>los objetivos princi</w:t>
      </w:r>
      <w:r w:rsidR="00A66C37" w:rsidRPr="00DB5ED7">
        <w:rPr>
          <w:szCs w:val="24"/>
          <w:lang w:val="es-ES_tradnl"/>
        </w:rPr>
        <w:t>pale</w:t>
      </w:r>
      <w:r w:rsidRPr="00DB5ED7">
        <w:rPr>
          <w:szCs w:val="24"/>
          <w:lang w:val="es-ES_tradnl"/>
        </w:rPr>
        <w:t>s del programa político y reglamentario del UIT</w:t>
      </w:r>
      <w:r w:rsidR="0097503E" w:rsidRPr="00DB5ED7">
        <w:rPr>
          <w:szCs w:val="24"/>
          <w:lang w:val="es-ES_tradnl"/>
        </w:rPr>
        <w:t>-D</w:t>
      </w:r>
      <w:r w:rsidRPr="00DB5ED7">
        <w:rPr>
          <w:szCs w:val="24"/>
          <w:lang w:val="es-ES_tradnl"/>
        </w:rPr>
        <w:t xml:space="preserve"> son prestar</w:t>
      </w:r>
      <w:r w:rsidR="00A66C37" w:rsidRPr="00DB5ED7">
        <w:rPr>
          <w:szCs w:val="24"/>
          <w:lang w:val="es-ES_tradnl"/>
        </w:rPr>
        <w:t xml:space="preserve"> </w:t>
      </w:r>
      <w:r w:rsidRPr="00DB5ED7">
        <w:rPr>
          <w:szCs w:val="24"/>
          <w:lang w:val="es-ES_tradnl"/>
        </w:rPr>
        <w:t xml:space="preserve">asistencia a los Miembros en forma de productos, servicios y herramientas a fin de aumentar su capacidad para </w:t>
      </w:r>
      <w:r w:rsidR="00CF3927" w:rsidRPr="00DB5ED7">
        <w:rPr>
          <w:szCs w:val="24"/>
          <w:lang w:val="es-ES_tradnl"/>
        </w:rPr>
        <w:t>fortalecer</w:t>
      </w:r>
      <w:r w:rsidRPr="00DB5ED7">
        <w:rPr>
          <w:szCs w:val="24"/>
          <w:lang w:val="es-ES_tradnl"/>
        </w:rPr>
        <w:t xml:space="preserve"> los marcos pol</w:t>
      </w:r>
      <w:r w:rsidR="0076738F" w:rsidRPr="00DB5ED7">
        <w:rPr>
          <w:szCs w:val="24"/>
          <w:lang w:val="es-ES_tradnl"/>
        </w:rPr>
        <w:t>í</w:t>
      </w:r>
      <w:r w:rsidRPr="00DB5ED7">
        <w:rPr>
          <w:szCs w:val="24"/>
          <w:lang w:val="es-ES_tradnl"/>
        </w:rPr>
        <w:t>tico, jurídico y regl</w:t>
      </w:r>
      <w:r w:rsidR="0076738F" w:rsidRPr="00DB5ED7">
        <w:rPr>
          <w:szCs w:val="24"/>
          <w:lang w:val="es-ES_tradnl"/>
        </w:rPr>
        <w:t>a</w:t>
      </w:r>
      <w:r w:rsidRPr="00DB5ED7">
        <w:rPr>
          <w:szCs w:val="24"/>
          <w:lang w:val="es-ES_tradnl"/>
        </w:rPr>
        <w:t xml:space="preserve">mentario en materia de </w:t>
      </w:r>
      <w:r w:rsidR="009817B8" w:rsidRPr="00DB5ED7">
        <w:rPr>
          <w:szCs w:val="24"/>
          <w:lang w:val="es-ES_tradnl"/>
        </w:rPr>
        <w:t>TIC/</w:t>
      </w:r>
      <w:r w:rsidRPr="00DB5ED7">
        <w:rPr>
          <w:szCs w:val="24"/>
          <w:lang w:val="es-ES_tradnl"/>
        </w:rPr>
        <w:t>telecomunicaciones</w:t>
      </w:r>
      <w:r w:rsidR="009817B8" w:rsidRPr="00DB5ED7">
        <w:rPr>
          <w:szCs w:val="24"/>
          <w:lang w:val="es-ES_tradnl"/>
        </w:rPr>
        <w:t xml:space="preserve"> </w:t>
      </w:r>
      <w:r w:rsidR="00CF3927" w:rsidRPr="00DB5ED7">
        <w:rPr>
          <w:szCs w:val="24"/>
          <w:lang w:val="es-ES_tradnl"/>
        </w:rPr>
        <w:t xml:space="preserve">que son </w:t>
      </w:r>
      <w:r w:rsidRPr="00DB5ED7">
        <w:rPr>
          <w:szCs w:val="24"/>
          <w:lang w:val="es-ES_tradnl"/>
        </w:rPr>
        <w:t xml:space="preserve">propicios para el desarrollo de las </w:t>
      </w:r>
      <w:r w:rsidR="009817B8" w:rsidRPr="00DB5ED7">
        <w:rPr>
          <w:szCs w:val="24"/>
          <w:lang w:val="es-ES_tradnl"/>
        </w:rPr>
        <w:t>TIC/telecomunicaciones</w:t>
      </w:r>
      <w:r w:rsidR="00864332" w:rsidRPr="00DB5ED7">
        <w:rPr>
          <w:szCs w:val="24"/>
          <w:lang w:val="es-ES_tradnl" w:eastAsia="ko-KR"/>
        </w:rPr>
        <w:t>.</w:t>
      </w:r>
    </w:p>
    <w:p w:rsidR="00864332" w:rsidRPr="00DB5ED7" w:rsidRDefault="00522A99" w:rsidP="00DB5ED7">
      <w:pPr>
        <w:rPr>
          <w:szCs w:val="24"/>
          <w:lang w:val="es-ES_tradnl"/>
        </w:rPr>
      </w:pPr>
      <w:r w:rsidRPr="00DB5ED7">
        <w:rPr>
          <w:szCs w:val="24"/>
          <w:lang w:val="es-ES_tradnl" w:eastAsia="ko-KR"/>
        </w:rPr>
        <w:t>El producto</w:t>
      </w:r>
      <w:r w:rsidR="00864332" w:rsidRPr="00DB5ED7">
        <w:rPr>
          <w:szCs w:val="24"/>
          <w:lang w:val="es-ES_tradnl" w:eastAsia="ko-KR"/>
        </w:rPr>
        <w:t xml:space="preserve"> 3.1 </w:t>
      </w:r>
      <w:r w:rsidRPr="00DB5ED7">
        <w:rPr>
          <w:szCs w:val="24"/>
          <w:lang w:val="es-ES_tradnl" w:eastAsia="ko-KR"/>
        </w:rPr>
        <w:t xml:space="preserve">del </w:t>
      </w:r>
      <w:r w:rsidR="00870CB3" w:rsidRPr="00DB5ED7">
        <w:rPr>
          <w:szCs w:val="24"/>
          <w:lang w:val="es-ES_tradnl" w:eastAsia="ko-KR"/>
        </w:rPr>
        <w:t xml:space="preserve">Plan de Acción de Buenos Aires (BaAP) </w:t>
      </w:r>
      <w:r w:rsidRPr="00DB5ED7">
        <w:rPr>
          <w:szCs w:val="24"/>
          <w:lang w:val="es-ES_tradnl" w:eastAsia="ko-KR"/>
        </w:rPr>
        <w:t>indica algunas expectativas sobre cómo cumplir el objetivo de la CMDT</w:t>
      </w:r>
      <w:r w:rsidR="00864332" w:rsidRPr="00DB5ED7">
        <w:rPr>
          <w:szCs w:val="24"/>
          <w:lang w:val="es-ES_tradnl" w:eastAsia="ko-KR"/>
        </w:rPr>
        <w:t xml:space="preserve">-17, </w:t>
      </w:r>
      <w:r w:rsidRPr="00DB5ED7">
        <w:rPr>
          <w:szCs w:val="24"/>
          <w:lang w:val="es-ES_tradnl" w:eastAsia="ko-KR"/>
        </w:rPr>
        <w:t>en concreto, mediante productos y servicios relacion</w:t>
      </w:r>
      <w:r w:rsidR="007552BB" w:rsidRPr="00DB5ED7">
        <w:rPr>
          <w:szCs w:val="24"/>
          <w:lang w:val="es-ES_tradnl" w:eastAsia="ko-KR"/>
        </w:rPr>
        <w:t>a</w:t>
      </w:r>
      <w:r w:rsidRPr="00DB5ED7">
        <w:rPr>
          <w:szCs w:val="24"/>
          <w:lang w:val="es-ES_tradnl" w:eastAsia="ko-KR"/>
        </w:rPr>
        <w:t>dos con la política y la reglamentaci</w:t>
      </w:r>
      <w:r w:rsidR="009817B8" w:rsidRPr="00DB5ED7">
        <w:rPr>
          <w:szCs w:val="24"/>
          <w:lang w:val="es-ES_tradnl" w:eastAsia="ko-KR"/>
        </w:rPr>
        <w:t xml:space="preserve">ón sobre </w:t>
      </w:r>
      <w:r w:rsidRPr="00DB5ED7">
        <w:rPr>
          <w:szCs w:val="24"/>
          <w:lang w:val="es-ES_tradnl" w:eastAsia="ko-KR"/>
        </w:rPr>
        <w:t>telecomunicaciones</w:t>
      </w:r>
      <w:r w:rsidR="002D2D11" w:rsidRPr="00DB5ED7">
        <w:rPr>
          <w:szCs w:val="24"/>
          <w:lang w:val="es-ES_tradnl" w:eastAsia="ko-KR"/>
        </w:rPr>
        <w:t>/TIC</w:t>
      </w:r>
      <w:r w:rsidRPr="00DB5ED7">
        <w:rPr>
          <w:szCs w:val="24"/>
          <w:lang w:val="es-ES_tradnl" w:eastAsia="ko-KR"/>
        </w:rPr>
        <w:t xml:space="preserve">, como </w:t>
      </w:r>
      <w:r w:rsidRPr="00DB5ED7">
        <w:rPr>
          <w:szCs w:val="24"/>
          <w:lang w:val="es-ES_tradnl"/>
        </w:rPr>
        <w:t>estudios de evaluación y otras publicaciones, además de otras plataformas de intercambio de información</w:t>
      </w:r>
      <w:r w:rsidR="00864332" w:rsidRPr="00DB5ED7">
        <w:rPr>
          <w:szCs w:val="24"/>
          <w:lang w:val="es-ES_tradnl"/>
        </w:rPr>
        <w:t>.</w:t>
      </w:r>
    </w:p>
    <w:p w:rsidR="00864332" w:rsidRPr="00DB5ED7" w:rsidRDefault="00864332" w:rsidP="00DB5ED7">
      <w:pPr>
        <w:pStyle w:val="Heading1"/>
        <w:rPr>
          <w:lang w:val="es-ES_tradnl"/>
        </w:rPr>
      </w:pPr>
      <w:r w:rsidRPr="00DB5ED7">
        <w:rPr>
          <w:lang w:val="es-ES_tradnl"/>
        </w:rPr>
        <w:t>3.</w:t>
      </w:r>
      <w:r w:rsidRPr="00DB5ED7">
        <w:rPr>
          <w:lang w:val="es-ES_tradnl"/>
        </w:rPr>
        <w:tab/>
      </w:r>
      <w:r w:rsidR="00870CB3" w:rsidRPr="00DB5ED7">
        <w:rPr>
          <w:szCs w:val="28"/>
          <w:lang w:val="es-ES_tradnl"/>
        </w:rPr>
        <w:t>Principales actividades y resultados</w:t>
      </w:r>
    </w:p>
    <w:p w:rsidR="00864332" w:rsidRPr="00DB5ED7" w:rsidRDefault="002C0D10" w:rsidP="00DB5ED7">
      <w:pPr>
        <w:rPr>
          <w:rFonts w:ascii="Calibri" w:hAnsi="Calibri" w:cs="Calibri"/>
          <w:szCs w:val="24"/>
          <w:lang w:val="es-ES_tradnl"/>
        </w:rPr>
      </w:pPr>
      <w:r w:rsidRPr="00DB5ED7">
        <w:rPr>
          <w:szCs w:val="24"/>
          <w:lang w:val="es-ES_tradnl"/>
        </w:rPr>
        <w:t>E</w:t>
      </w:r>
      <w:r w:rsidR="00864332" w:rsidRPr="00DB5ED7">
        <w:rPr>
          <w:szCs w:val="24"/>
          <w:lang w:val="es-ES_tradnl"/>
        </w:rPr>
        <w:t xml:space="preserve">n 2018, </w:t>
      </w:r>
      <w:r w:rsidRPr="00DB5ED7">
        <w:rPr>
          <w:szCs w:val="24"/>
          <w:lang w:val="es-ES_tradnl"/>
        </w:rPr>
        <w:t xml:space="preserve">la </w:t>
      </w:r>
      <w:r w:rsidR="00864332" w:rsidRPr="00DB5ED7">
        <w:rPr>
          <w:szCs w:val="24"/>
          <w:lang w:val="es-ES_tradnl"/>
        </w:rPr>
        <w:t xml:space="preserve">BDT </w:t>
      </w:r>
      <w:r w:rsidRPr="00DB5ED7">
        <w:rPr>
          <w:szCs w:val="24"/>
          <w:lang w:val="es-ES_tradnl"/>
        </w:rPr>
        <w:t>puso en marcha varias medidas clave para impulsar diálogos inclusivos con la comunidad de TIC m</w:t>
      </w:r>
      <w:r w:rsidR="00364FFA" w:rsidRPr="00DB5ED7">
        <w:rPr>
          <w:szCs w:val="24"/>
          <w:lang w:val="es-ES_tradnl"/>
        </w:rPr>
        <w:t xml:space="preserve">ás amplia y </w:t>
      </w:r>
      <w:r w:rsidR="009528D7" w:rsidRPr="00DB5ED7">
        <w:rPr>
          <w:szCs w:val="24"/>
          <w:lang w:val="es-ES_tradnl"/>
        </w:rPr>
        <w:t xml:space="preserve">en </w:t>
      </w:r>
      <w:r w:rsidR="00364FFA" w:rsidRPr="00DB5ED7">
        <w:rPr>
          <w:szCs w:val="24"/>
          <w:lang w:val="es-ES_tradnl"/>
        </w:rPr>
        <w:t xml:space="preserve">los </w:t>
      </w:r>
      <w:r w:rsidRPr="00DB5ED7">
        <w:rPr>
          <w:szCs w:val="24"/>
          <w:lang w:val="es-ES_tradnl"/>
        </w:rPr>
        <w:t>sectores, y para establecer alianzas amplias. La BDT también proporcionó datos políticos y reglamentarios actualizados, investigación y análisis, y desarrolló instrumentos a favor de un entorno reglamentario, jurídico y político eficaz para el sector de las TIC</w:t>
      </w:r>
      <w:r w:rsidR="00864332" w:rsidRPr="00DB5ED7">
        <w:rPr>
          <w:rFonts w:ascii="Calibri" w:hAnsi="Calibri" w:cs="Calibri"/>
          <w:szCs w:val="24"/>
          <w:lang w:val="es-ES_tradnl"/>
        </w:rPr>
        <w:t>.</w:t>
      </w:r>
    </w:p>
    <w:p w:rsidR="00864332" w:rsidRPr="00DB5ED7" w:rsidRDefault="00864332" w:rsidP="00DB5ED7">
      <w:pPr>
        <w:pStyle w:val="Heading2"/>
        <w:rPr>
          <w:rFonts w:ascii="Calibri" w:hAnsi="Calibri" w:cs="Calibri"/>
          <w:lang w:val="es-ES_tradnl"/>
        </w:rPr>
      </w:pPr>
      <w:r w:rsidRPr="00DB5ED7">
        <w:rPr>
          <w:rFonts w:ascii="Calibri" w:hAnsi="Calibri" w:cs="Calibri"/>
          <w:lang w:val="es-ES_tradnl"/>
        </w:rPr>
        <w:t>3.1</w:t>
      </w:r>
      <w:r w:rsidRPr="00DB5ED7">
        <w:rPr>
          <w:rFonts w:ascii="Calibri" w:hAnsi="Calibri" w:cs="Calibri"/>
          <w:lang w:val="es-ES_tradnl"/>
        </w:rPr>
        <w:tab/>
      </w:r>
      <w:r w:rsidR="002055C8" w:rsidRPr="00DB5ED7">
        <w:rPr>
          <w:rFonts w:ascii="Calibri" w:hAnsi="Calibri" w:cs="Calibri"/>
          <w:lang w:val="es-ES_tradnl"/>
        </w:rPr>
        <w:t>Productos de intercambio de conocimientos y diálogos estratégicos par</w:t>
      </w:r>
      <w:r w:rsidR="009817B8" w:rsidRPr="00DB5ED7">
        <w:rPr>
          <w:rFonts w:ascii="Calibri" w:hAnsi="Calibri" w:cs="Calibri"/>
          <w:lang w:val="es-ES_tradnl"/>
        </w:rPr>
        <w:t>a favorecer un entorno de TIC</w:t>
      </w:r>
      <w:r w:rsidR="001447AA" w:rsidRPr="00DB5ED7">
        <w:rPr>
          <w:rFonts w:ascii="Calibri" w:hAnsi="Calibri" w:cs="Calibri"/>
          <w:lang w:val="es-ES_tradnl"/>
        </w:rPr>
        <w:t>/</w:t>
      </w:r>
      <w:r w:rsidR="002055C8" w:rsidRPr="00DB5ED7">
        <w:rPr>
          <w:rFonts w:ascii="Calibri" w:hAnsi="Calibri" w:cs="Calibri"/>
          <w:lang w:val="es-ES_tradnl"/>
        </w:rPr>
        <w:t>telecomunicaciones propicio para la transformación digital</w:t>
      </w:r>
    </w:p>
    <w:p w:rsidR="00864332" w:rsidRPr="00DB5ED7" w:rsidRDefault="00021EF9" w:rsidP="00DB5ED7">
      <w:pPr>
        <w:rPr>
          <w:rFonts w:eastAsiaTheme="minorHAnsi"/>
          <w:lang w:val="es-ES_tradnl"/>
        </w:rPr>
      </w:pPr>
      <w:r w:rsidRPr="00DB5ED7">
        <w:rPr>
          <w:rFonts w:eastAsiaTheme="minorHAnsi"/>
          <w:lang w:val="es-ES_tradnl"/>
        </w:rPr>
        <w:t>La BDT convocó</w:t>
      </w:r>
      <w:r w:rsidR="00BF04C0" w:rsidRPr="00DB5ED7">
        <w:rPr>
          <w:rFonts w:eastAsiaTheme="minorHAnsi"/>
          <w:lang w:val="es-ES_tradnl"/>
        </w:rPr>
        <w:t xml:space="preserve"> </w:t>
      </w:r>
      <w:r w:rsidR="00465F0A" w:rsidRPr="00DB5ED7">
        <w:rPr>
          <w:rFonts w:eastAsiaTheme="minorHAnsi"/>
          <w:lang w:val="es-ES_tradnl"/>
        </w:rPr>
        <w:t xml:space="preserve">foros regionales y mundiales </w:t>
      </w:r>
      <w:r w:rsidR="004E44CD" w:rsidRPr="00DB5ED7">
        <w:rPr>
          <w:rFonts w:eastAsiaTheme="minorHAnsi"/>
          <w:lang w:val="es-ES_tradnl"/>
        </w:rPr>
        <w:t xml:space="preserve">para </w:t>
      </w:r>
      <w:r w:rsidR="00826D4F" w:rsidRPr="00DB5ED7">
        <w:rPr>
          <w:rFonts w:eastAsiaTheme="minorHAnsi"/>
          <w:lang w:val="es-ES_tradnl"/>
        </w:rPr>
        <w:t>que los Miembros de Sector y otras partes interesadas nacionales e internacionales pudieran d</w:t>
      </w:r>
      <w:r w:rsidR="004E44CD" w:rsidRPr="00DB5ED7">
        <w:rPr>
          <w:rFonts w:eastAsiaTheme="minorHAnsi"/>
          <w:lang w:val="es-ES_tradnl"/>
        </w:rPr>
        <w:t>ebatir</w:t>
      </w:r>
      <w:r w:rsidR="00EC053D" w:rsidRPr="00DB5ED7">
        <w:rPr>
          <w:rFonts w:eastAsiaTheme="minorHAnsi"/>
          <w:lang w:val="es-ES_tradnl"/>
        </w:rPr>
        <w:t xml:space="preserve"> </w:t>
      </w:r>
      <w:r w:rsidR="00490B9D" w:rsidRPr="00DB5ED7">
        <w:rPr>
          <w:rFonts w:eastAsiaTheme="minorHAnsi"/>
          <w:lang w:val="es-ES_tradnl"/>
        </w:rPr>
        <w:t xml:space="preserve">sobre </w:t>
      </w:r>
      <w:r w:rsidR="00465F0A" w:rsidRPr="00DB5ED7">
        <w:rPr>
          <w:rFonts w:eastAsiaTheme="minorHAnsi"/>
          <w:lang w:val="es-ES_tradnl"/>
        </w:rPr>
        <w:t>las tendenci</w:t>
      </w:r>
      <w:r w:rsidR="009365A6" w:rsidRPr="00DB5ED7">
        <w:rPr>
          <w:rFonts w:eastAsiaTheme="minorHAnsi"/>
          <w:lang w:val="es-ES_tradnl"/>
        </w:rPr>
        <w:t xml:space="preserve">as globales </w:t>
      </w:r>
      <w:r w:rsidR="00D02C81" w:rsidRPr="00DB5ED7">
        <w:rPr>
          <w:rFonts w:eastAsiaTheme="minorHAnsi"/>
          <w:lang w:val="es-ES_tradnl"/>
        </w:rPr>
        <w:t xml:space="preserve">en materia de </w:t>
      </w:r>
      <w:r w:rsidR="009365A6" w:rsidRPr="00DB5ED7">
        <w:rPr>
          <w:rFonts w:eastAsiaTheme="minorHAnsi"/>
          <w:lang w:val="es-ES_tradnl"/>
        </w:rPr>
        <w:t>reglamentació</w:t>
      </w:r>
      <w:r w:rsidR="00D02C81" w:rsidRPr="00DB5ED7">
        <w:rPr>
          <w:rFonts w:eastAsiaTheme="minorHAnsi"/>
          <w:lang w:val="es-ES_tradnl"/>
        </w:rPr>
        <w:t>n</w:t>
      </w:r>
      <w:r w:rsidR="00465F0A" w:rsidRPr="00DB5ED7">
        <w:rPr>
          <w:rFonts w:eastAsiaTheme="minorHAnsi"/>
          <w:lang w:val="es-ES_tradnl"/>
        </w:rPr>
        <w:t>, mediante la organización del Simposio Mundial pa</w:t>
      </w:r>
      <w:r w:rsidR="00132042" w:rsidRPr="00DB5ED7">
        <w:rPr>
          <w:rFonts w:eastAsiaTheme="minorHAnsi"/>
          <w:lang w:val="es-ES_tradnl"/>
        </w:rPr>
        <w:t>ra Organismos Reguladores (GSR)</w:t>
      </w:r>
      <w:r w:rsidR="00465F0A" w:rsidRPr="00DB5ED7">
        <w:rPr>
          <w:rFonts w:eastAsiaTheme="minorHAnsi"/>
          <w:lang w:val="es-ES_tradnl"/>
        </w:rPr>
        <w:t xml:space="preserve"> y de diálogos estratégicos sobre asuntos políticos, jurídicos, reglamentarios, económicos y financieros y </w:t>
      </w:r>
      <w:r w:rsidR="008D11B4" w:rsidRPr="00DB5ED7">
        <w:rPr>
          <w:rFonts w:eastAsiaTheme="minorHAnsi"/>
          <w:lang w:val="es-ES_tradnl"/>
        </w:rPr>
        <w:t xml:space="preserve">sobre </w:t>
      </w:r>
      <w:r w:rsidR="00465F0A" w:rsidRPr="00DB5ED7">
        <w:rPr>
          <w:rFonts w:eastAsiaTheme="minorHAnsi"/>
          <w:lang w:val="es-ES_tradnl"/>
        </w:rPr>
        <w:t>desarrollo del mercado.</w:t>
      </w:r>
    </w:p>
    <w:p w:rsidR="00864332" w:rsidRPr="00DB5ED7" w:rsidRDefault="00A440C3" w:rsidP="00DB5ED7">
      <w:pPr>
        <w:rPr>
          <w:rFonts w:ascii="Calibri" w:hAnsi="Calibri" w:cs="Calibri"/>
          <w:highlight w:val="yellow"/>
          <w:lang w:val="es-ES_tradnl"/>
        </w:rPr>
      </w:pPr>
      <w:r w:rsidRPr="00DB5ED7">
        <w:rPr>
          <w:rFonts w:ascii="Calibri" w:hAnsi="Calibri" w:cs="Calibri"/>
          <w:lang w:val="es-ES_tradnl"/>
        </w:rPr>
        <w:t>La</w:t>
      </w:r>
      <w:r w:rsidR="00864332" w:rsidRPr="00DB5ED7">
        <w:rPr>
          <w:rFonts w:ascii="Calibri" w:hAnsi="Calibri" w:cs="Calibri"/>
          <w:lang w:val="es-ES_tradnl"/>
        </w:rPr>
        <w:t xml:space="preserve"> 18</w:t>
      </w:r>
      <w:r w:rsidRPr="00DB5ED7">
        <w:rPr>
          <w:rFonts w:ascii="Calibri" w:hAnsi="Calibri" w:cs="Calibri"/>
          <w:lang w:val="es-ES_tradnl"/>
        </w:rPr>
        <w:t xml:space="preserve">ª edición del Simposio Mundial para Organismos Reguladores </w:t>
      </w:r>
      <w:r w:rsidR="00864332" w:rsidRPr="00DB5ED7">
        <w:rPr>
          <w:rFonts w:ascii="Calibri" w:hAnsi="Calibri" w:cs="Calibri"/>
          <w:lang w:val="es-ES_tradnl"/>
        </w:rPr>
        <w:t xml:space="preserve">(GSR) </w:t>
      </w:r>
      <w:r w:rsidR="00A4071B">
        <w:rPr>
          <w:rFonts w:ascii="Calibri" w:hAnsi="Calibri" w:cs="Calibri"/>
          <w:lang w:val="es-ES_tradnl"/>
        </w:rPr>
        <w:t>se celebró en Ginebra del </w:t>
      </w:r>
      <w:r w:rsidR="00864332" w:rsidRPr="00DB5ED7">
        <w:rPr>
          <w:rFonts w:ascii="Calibri" w:hAnsi="Calibri" w:cs="Calibri"/>
          <w:lang w:val="es-ES_tradnl"/>
        </w:rPr>
        <w:t xml:space="preserve">9 </w:t>
      </w:r>
      <w:r w:rsidRPr="00DB5ED7">
        <w:rPr>
          <w:rFonts w:ascii="Calibri" w:hAnsi="Calibri" w:cs="Calibri"/>
          <w:lang w:val="es-ES_tradnl"/>
        </w:rPr>
        <w:t xml:space="preserve">al </w:t>
      </w:r>
      <w:r w:rsidR="00864332" w:rsidRPr="00DB5ED7">
        <w:rPr>
          <w:rFonts w:ascii="Calibri" w:hAnsi="Calibri" w:cs="Calibri"/>
          <w:lang w:val="es-ES_tradnl"/>
        </w:rPr>
        <w:t xml:space="preserve">12 </w:t>
      </w:r>
      <w:r w:rsidRPr="00DB5ED7">
        <w:rPr>
          <w:rFonts w:ascii="Calibri" w:hAnsi="Calibri" w:cs="Calibri"/>
          <w:lang w:val="es-ES_tradnl"/>
        </w:rPr>
        <w:t xml:space="preserve">de julio con el tema </w:t>
      </w:r>
      <w:r w:rsidR="005F3C61">
        <w:rPr>
          <w:rFonts w:ascii="Calibri" w:hAnsi="Calibri" w:cs="Calibri"/>
          <w:lang w:val="es-ES_tradnl"/>
        </w:rPr>
        <w:t>"</w:t>
      </w:r>
      <w:r w:rsidR="006C7C79" w:rsidRPr="00DB5ED7">
        <w:rPr>
          <w:rFonts w:ascii="Calibri" w:hAnsi="Calibri" w:cs="Calibri"/>
          <w:lang w:val="es-ES_tradnl"/>
        </w:rPr>
        <w:t>Nuevas fronteras reglamentarias</w:t>
      </w:r>
      <w:r w:rsidR="005F3C61">
        <w:rPr>
          <w:rFonts w:ascii="Calibri" w:hAnsi="Calibri" w:cs="Calibri"/>
          <w:lang w:val="es-ES_tradnl"/>
        </w:rPr>
        <w:t>"</w:t>
      </w:r>
      <w:r w:rsidRPr="00DB5ED7">
        <w:rPr>
          <w:rFonts w:ascii="Calibri" w:hAnsi="Calibri" w:cs="Calibri"/>
          <w:lang w:val="es-ES_tradnl"/>
        </w:rPr>
        <w:t xml:space="preserve"> y contó con </w:t>
      </w:r>
      <w:r w:rsidR="006C7C79" w:rsidRPr="00DB5ED7">
        <w:rPr>
          <w:rFonts w:ascii="Calibri" w:hAnsi="Calibri" w:cs="Calibri"/>
          <w:lang w:val="es-ES_tradnl"/>
        </w:rPr>
        <w:t xml:space="preserve">más de 600 participantes, entre los que se encontraban ministros, jefes de organismos reguladores </w:t>
      </w:r>
      <w:r w:rsidRPr="00DB5ED7">
        <w:rPr>
          <w:rFonts w:ascii="Calibri" w:hAnsi="Calibri" w:cs="Calibri"/>
          <w:lang w:val="es-ES_tradnl"/>
        </w:rPr>
        <w:t xml:space="preserve">de TIC </w:t>
      </w:r>
      <w:r w:rsidR="006C7C79" w:rsidRPr="00DB5ED7">
        <w:rPr>
          <w:rFonts w:ascii="Calibri" w:hAnsi="Calibri" w:cs="Calibri"/>
          <w:lang w:val="es-ES_tradnl"/>
        </w:rPr>
        <w:t xml:space="preserve">y ejecutivos de la industria de más de 125 países. </w:t>
      </w:r>
      <w:r w:rsidR="00B81CB7" w:rsidRPr="00DB5ED7">
        <w:rPr>
          <w:rFonts w:ascii="Calibri" w:hAnsi="Calibri" w:cs="Calibri"/>
          <w:lang w:val="es-ES_tradnl"/>
        </w:rPr>
        <w:t xml:space="preserve">El </w:t>
      </w:r>
      <w:r w:rsidR="00864332" w:rsidRPr="00DB5ED7">
        <w:rPr>
          <w:rFonts w:ascii="Calibri" w:hAnsi="Calibri" w:cs="Calibri"/>
          <w:lang w:val="es-ES_tradnl"/>
        </w:rPr>
        <w:t xml:space="preserve">GSR </w:t>
      </w:r>
      <w:r w:rsidR="00B81CB7" w:rsidRPr="00DB5ED7">
        <w:rPr>
          <w:rFonts w:ascii="Calibri" w:hAnsi="Calibri" w:cs="Calibri"/>
          <w:lang w:val="es-ES_tradnl"/>
        </w:rPr>
        <w:t xml:space="preserve">fue también una plataforma para el </w:t>
      </w:r>
      <w:r w:rsidR="00B81CB7" w:rsidRPr="00DB5ED7">
        <w:rPr>
          <w:rFonts w:ascii="Calibri" w:hAnsi="Calibri" w:cs="Calibri"/>
          <w:lang w:val="es-ES_tradnl"/>
        </w:rPr>
        <w:lastRenderedPageBreak/>
        <w:t>intercambio de conocimientos entre asociaciones reglamentarias nacionales y directores generales del sector privado</w:t>
      </w:r>
      <w:r w:rsidR="00864332" w:rsidRPr="00DB5ED7">
        <w:rPr>
          <w:rFonts w:ascii="Calibri" w:hAnsi="Calibri" w:cs="Calibri"/>
          <w:lang w:val="es-ES_tradnl"/>
        </w:rPr>
        <w:t xml:space="preserve">. </w:t>
      </w:r>
      <w:r w:rsidR="006C7C79" w:rsidRPr="00DB5ED7">
        <w:rPr>
          <w:rFonts w:ascii="Calibri" w:hAnsi="Calibri" w:cs="Calibri"/>
          <w:lang w:val="es-ES_tradnl"/>
        </w:rPr>
        <w:t xml:space="preserve">Durante </w:t>
      </w:r>
      <w:r w:rsidR="00B81CB7" w:rsidRPr="00DB5ED7">
        <w:rPr>
          <w:rFonts w:ascii="Calibri" w:hAnsi="Calibri" w:cs="Calibri"/>
          <w:lang w:val="es-ES_tradnl"/>
        </w:rPr>
        <w:t xml:space="preserve">el Simposio, los participantes acordaron que </w:t>
      </w:r>
      <w:r w:rsidR="006C7C79" w:rsidRPr="00DB5ED7">
        <w:rPr>
          <w:rFonts w:ascii="Calibri" w:hAnsi="Calibri" w:cs="Calibri"/>
          <w:lang w:val="es-ES_tradnl"/>
        </w:rPr>
        <w:t>los gobiernos, el sector privado y todas las partes interesadas en la economía digital deben buscar sinergias y aprovechar sus condiciones v</w:t>
      </w:r>
      <w:r w:rsidR="00B81CB7" w:rsidRPr="00DB5ED7">
        <w:rPr>
          <w:rFonts w:ascii="Calibri" w:hAnsi="Calibri" w:cs="Calibri"/>
          <w:lang w:val="es-ES_tradnl"/>
        </w:rPr>
        <w:t>irtudes y recursos para lograr el</w:t>
      </w:r>
      <w:r w:rsidR="006C7C79" w:rsidRPr="00DB5ED7">
        <w:rPr>
          <w:rFonts w:ascii="Calibri" w:hAnsi="Calibri" w:cs="Calibri"/>
          <w:lang w:val="es-ES_tradnl"/>
        </w:rPr>
        <w:t xml:space="preserve"> desarrollo digital sostenible</w:t>
      </w:r>
      <w:r w:rsidR="00B81CB7" w:rsidRPr="00DB5ED7">
        <w:rPr>
          <w:rFonts w:ascii="Calibri" w:hAnsi="Calibri" w:cs="Calibri"/>
          <w:lang w:val="es-ES_tradnl"/>
        </w:rPr>
        <w:t xml:space="preserve"> para todos</w:t>
      </w:r>
      <w:r w:rsidR="006C7C79" w:rsidRPr="00DB5ED7">
        <w:rPr>
          <w:rFonts w:ascii="Calibri" w:hAnsi="Calibri" w:cs="Calibri"/>
          <w:lang w:val="es-ES_tradnl"/>
        </w:rPr>
        <w:t>. El evento culminó con la adopción por los reguladores de las TIC de un conjunto de directrices sobre prácticas idóneas en materia de nuevas fronteras reglamentarias para lograr la transformación digital.</w:t>
      </w:r>
    </w:p>
    <w:p w:rsidR="00864332" w:rsidRPr="00DB5ED7" w:rsidRDefault="00BD6A05" w:rsidP="00DB5ED7">
      <w:pPr>
        <w:rPr>
          <w:rFonts w:ascii="Calibri" w:hAnsi="Calibri" w:cs="Calibri"/>
          <w:lang w:val="es-ES_tradnl"/>
        </w:rPr>
      </w:pPr>
      <w:r w:rsidRPr="00DB5ED7">
        <w:rPr>
          <w:rFonts w:ascii="Calibri" w:hAnsi="Calibri" w:cs="Calibri"/>
          <w:lang w:val="es-ES_tradnl"/>
        </w:rPr>
        <w:t>La</w:t>
      </w:r>
      <w:r w:rsidR="00864332" w:rsidRPr="00DB5ED7">
        <w:rPr>
          <w:rFonts w:ascii="Calibri" w:hAnsi="Calibri" w:cs="Calibri"/>
          <w:lang w:val="es-ES_tradnl"/>
        </w:rPr>
        <w:t xml:space="preserve"> 19</w:t>
      </w:r>
      <w:r w:rsidRPr="00DB5ED7">
        <w:rPr>
          <w:rFonts w:ascii="Calibri" w:hAnsi="Calibri" w:cs="Calibri"/>
          <w:lang w:val="es-ES_tradnl"/>
        </w:rPr>
        <w:t xml:space="preserve">ª edición del </w:t>
      </w:r>
      <w:r w:rsidR="00864332" w:rsidRPr="00DB5ED7">
        <w:rPr>
          <w:rFonts w:ascii="Calibri" w:hAnsi="Calibri" w:cs="Calibri"/>
          <w:lang w:val="es-ES_tradnl"/>
        </w:rPr>
        <w:t xml:space="preserve">GSR </w:t>
      </w:r>
      <w:r w:rsidRPr="00DB5ED7">
        <w:rPr>
          <w:rFonts w:ascii="Calibri" w:hAnsi="Calibri" w:cs="Calibri"/>
          <w:lang w:val="es-ES_tradnl"/>
        </w:rPr>
        <w:t xml:space="preserve">se celebrará del </w:t>
      </w:r>
      <w:r w:rsidR="00864332" w:rsidRPr="00DB5ED7">
        <w:rPr>
          <w:rFonts w:ascii="Calibri" w:hAnsi="Calibri" w:cs="Calibri"/>
          <w:lang w:val="es-ES_tradnl"/>
        </w:rPr>
        <w:t xml:space="preserve">9 </w:t>
      </w:r>
      <w:r w:rsidRPr="00DB5ED7">
        <w:rPr>
          <w:rFonts w:ascii="Calibri" w:hAnsi="Calibri" w:cs="Calibri"/>
          <w:lang w:val="es-ES_tradnl"/>
        </w:rPr>
        <w:t xml:space="preserve">al </w:t>
      </w:r>
      <w:r w:rsidR="00864332" w:rsidRPr="00DB5ED7">
        <w:rPr>
          <w:rFonts w:ascii="Calibri" w:hAnsi="Calibri" w:cs="Calibri"/>
          <w:lang w:val="es-ES_tradnl"/>
        </w:rPr>
        <w:t xml:space="preserve">12 </w:t>
      </w:r>
      <w:r w:rsidRPr="00DB5ED7">
        <w:rPr>
          <w:rFonts w:ascii="Calibri" w:hAnsi="Calibri" w:cs="Calibri"/>
          <w:lang w:val="es-ES_tradnl"/>
        </w:rPr>
        <w:t xml:space="preserve">de julio de </w:t>
      </w:r>
      <w:r w:rsidR="00864332" w:rsidRPr="00DB5ED7">
        <w:rPr>
          <w:rFonts w:ascii="Calibri" w:hAnsi="Calibri" w:cs="Calibri"/>
          <w:lang w:val="es-ES_tradnl"/>
        </w:rPr>
        <w:t xml:space="preserve">2019 </w:t>
      </w:r>
      <w:r w:rsidRPr="00DB5ED7">
        <w:rPr>
          <w:rFonts w:ascii="Calibri" w:hAnsi="Calibri" w:cs="Calibri"/>
          <w:lang w:val="es-ES_tradnl"/>
        </w:rPr>
        <w:t>en Port Vila (</w:t>
      </w:r>
      <w:r w:rsidR="00864332" w:rsidRPr="00DB5ED7">
        <w:rPr>
          <w:rFonts w:ascii="Calibri" w:hAnsi="Calibri" w:cs="Calibri"/>
          <w:lang w:val="es-ES_tradnl"/>
        </w:rPr>
        <w:t>Vanuatu</w:t>
      </w:r>
      <w:r w:rsidRPr="00DB5ED7">
        <w:rPr>
          <w:rFonts w:ascii="Calibri" w:hAnsi="Calibri" w:cs="Calibri"/>
          <w:lang w:val="es-ES_tradnl"/>
        </w:rPr>
        <w:t>),</w:t>
      </w:r>
      <w:r w:rsidR="00864332" w:rsidRPr="00DB5ED7">
        <w:rPr>
          <w:rFonts w:ascii="Calibri" w:hAnsi="Calibri" w:cs="Calibri"/>
          <w:lang w:val="es-ES_tradnl"/>
        </w:rPr>
        <w:t xml:space="preserve"> </w:t>
      </w:r>
      <w:r w:rsidRPr="00DB5ED7">
        <w:rPr>
          <w:rFonts w:ascii="Calibri" w:hAnsi="Calibri" w:cs="Calibri"/>
          <w:lang w:val="es-ES_tradnl"/>
        </w:rPr>
        <w:t>bajo los auspicios del Regulador de Telecomunicaciones, Radiocomunicaciones y Radiodifusión</w:t>
      </w:r>
      <w:r w:rsidR="00864332" w:rsidRPr="00DB5ED7">
        <w:rPr>
          <w:rFonts w:ascii="Calibri" w:hAnsi="Calibri" w:cs="Calibri"/>
          <w:lang w:val="es-ES_tradnl"/>
        </w:rPr>
        <w:t xml:space="preserve"> (TRBR) </w:t>
      </w:r>
      <w:r w:rsidRPr="00DB5ED7">
        <w:rPr>
          <w:rFonts w:ascii="Calibri" w:hAnsi="Calibri" w:cs="Calibri"/>
          <w:lang w:val="es-ES_tradnl"/>
        </w:rPr>
        <w:t xml:space="preserve">y el Gobierno de </w:t>
      </w:r>
      <w:r w:rsidR="00864332" w:rsidRPr="00DB5ED7">
        <w:rPr>
          <w:rFonts w:ascii="Calibri" w:hAnsi="Calibri" w:cs="Calibri"/>
          <w:lang w:val="es-ES_tradnl"/>
        </w:rPr>
        <w:t>Vanuatu.</w:t>
      </w:r>
    </w:p>
    <w:p w:rsidR="00864332" w:rsidRPr="00DB5ED7" w:rsidRDefault="00F7684F" w:rsidP="00DB5ED7">
      <w:pPr>
        <w:rPr>
          <w:rFonts w:ascii="Calibri" w:hAnsi="Calibri" w:cs="Calibri"/>
          <w:lang w:val="es-ES_tradnl"/>
        </w:rPr>
      </w:pPr>
      <w:r w:rsidRPr="00DB5ED7">
        <w:rPr>
          <w:rFonts w:ascii="Calibri" w:hAnsi="Calibri" w:cs="Calibri"/>
          <w:lang w:val="es-ES_tradnl"/>
        </w:rPr>
        <w:t xml:space="preserve">Los </w:t>
      </w:r>
      <w:r w:rsidRPr="00DB5ED7">
        <w:rPr>
          <w:color w:val="000000"/>
          <w:lang w:val="es-ES_tradnl"/>
        </w:rPr>
        <w:t>Diálogos Económicos Regionales</w:t>
      </w:r>
      <w:r w:rsidR="00864332" w:rsidRPr="00DB5ED7">
        <w:rPr>
          <w:rFonts w:ascii="Calibri" w:hAnsi="Calibri" w:cs="Calibri"/>
          <w:lang w:val="es-ES_tradnl"/>
        </w:rPr>
        <w:t xml:space="preserve"> </w:t>
      </w:r>
      <w:r w:rsidR="00EB2675" w:rsidRPr="00DB5ED7">
        <w:rPr>
          <w:rFonts w:ascii="Calibri" w:hAnsi="Calibri" w:cs="Calibri"/>
          <w:lang w:val="es-ES_tradnl"/>
        </w:rPr>
        <w:t>(RED</w:t>
      </w:r>
      <w:r w:rsidR="00864332" w:rsidRPr="00DB5ED7">
        <w:rPr>
          <w:rFonts w:ascii="Calibri" w:hAnsi="Calibri" w:cs="Calibri"/>
          <w:lang w:val="es-ES_tradnl"/>
        </w:rPr>
        <w:t xml:space="preserve">) </w:t>
      </w:r>
      <w:r w:rsidRPr="00DB5ED7">
        <w:rPr>
          <w:rFonts w:ascii="Calibri" w:hAnsi="Calibri" w:cs="Calibri"/>
          <w:lang w:val="es-ES_tradnl"/>
        </w:rPr>
        <w:t xml:space="preserve">son foros de alto nivel para debatir </w:t>
      </w:r>
      <w:r w:rsidR="007E47B2" w:rsidRPr="00DB5ED7">
        <w:rPr>
          <w:rFonts w:ascii="Calibri" w:hAnsi="Calibri" w:cs="Calibri"/>
          <w:lang w:val="es-ES_tradnl"/>
        </w:rPr>
        <w:t>sobre</w:t>
      </w:r>
      <w:r w:rsidRPr="00DB5ED7">
        <w:rPr>
          <w:rFonts w:ascii="Calibri" w:hAnsi="Calibri" w:cs="Calibri"/>
          <w:lang w:val="es-ES_tradnl"/>
        </w:rPr>
        <w:t xml:space="preserve"> reglamentación económica y finanzas. En </w:t>
      </w:r>
      <w:r w:rsidR="00864332" w:rsidRPr="00DB5ED7">
        <w:rPr>
          <w:rFonts w:ascii="Calibri" w:hAnsi="Calibri" w:cs="Calibri"/>
          <w:lang w:val="es-ES_tradnl"/>
        </w:rPr>
        <w:t>2018</w:t>
      </w:r>
      <w:r w:rsidRPr="00DB5ED7">
        <w:rPr>
          <w:rFonts w:ascii="Calibri" w:hAnsi="Calibri" w:cs="Calibri"/>
          <w:lang w:val="es-ES_tradnl"/>
        </w:rPr>
        <w:t xml:space="preserve"> se celebraron dos </w:t>
      </w:r>
      <w:r w:rsidR="00864332" w:rsidRPr="00DB5ED7">
        <w:rPr>
          <w:rFonts w:ascii="Calibri" w:hAnsi="Calibri" w:cs="Calibri"/>
          <w:lang w:val="es-ES_tradnl"/>
        </w:rPr>
        <w:t>RED</w:t>
      </w:r>
      <w:r w:rsidR="006D25D5" w:rsidRPr="00DB5ED7">
        <w:rPr>
          <w:rFonts w:ascii="Calibri" w:hAnsi="Calibri" w:cs="Calibri"/>
          <w:lang w:val="es-ES_tradnl"/>
        </w:rPr>
        <w:t>,</w:t>
      </w:r>
      <w:r w:rsidRPr="00DB5ED7">
        <w:rPr>
          <w:rFonts w:ascii="Calibri" w:hAnsi="Calibri" w:cs="Calibri"/>
          <w:lang w:val="es-ES_tradnl"/>
        </w:rPr>
        <w:t xml:space="preserve"> el primero en África </w:t>
      </w:r>
      <w:r w:rsidR="00864332" w:rsidRPr="00DB5ED7">
        <w:rPr>
          <w:rFonts w:ascii="Calibri" w:hAnsi="Calibri" w:cs="Calibri"/>
          <w:lang w:val="es-ES_tradnl"/>
        </w:rPr>
        <w:t xml:space="preserve">(Burkina Faso, </w:t>
      </w:r>
      <w:r w:rsidRPr="00DB5ED7">
        <w:rPr>
          <w:rFonts w:ascii="Calibri" w:hAnsi="Calibri" w:cs="Calibri"/>
          <w:lang w:val="es-ES_tradnl"/>
        </w:rPr>
        <w:t xml:space="preserve">del </w:t>
      </w:r>
      <w:r w:rsidR="00864332" w:rsidRPr="00DB5ED7">
        <w:rPr>
          <w:rFonts w:ascii="Calibri" w:hAnsi="Calibri" w:cs="Calibri"/>
          <w:lang w:val="es-ES_tradnl"/>
        </w:rPr>
        <w:t>8</w:t>
      </w:r>
      <w:r w:rsidRPr="00DB5ED7">
        <w:rPr>
          <w:rFonts w:ascii="Calibri" w:hAnsi="Calibri" w:cs="Calibri"/>
          <w:lang w:val="es-ES_tradnl"/>
        </w:rPr>
        <w:t xml:space="preserve"> al </w:t>
      </w:r>
      <w:r w:rsidR="00864332" w:rsidRPr="00DB5ED7">
        <w:rPr>
          <w:rFonts w:ascii="Calibri" w:hAnsi="Calibri" w:cs="Calibri"/>
          <w:lang w:val="es-ES_tradnl"/>
        </w:rPr>
        <w:t xml:space="preserve">12 </w:t>
      </w:r>
      <w:r w:rsidRPr="00DB5ED7">
        <w:rPr>
          <w:rFonts w:ascii="Calibri" w:hAnsi="Calibri" w:cs="Calibri"/>
          <w:lang w:val="es-ES_tradnl"/>
        </w:rPr>
        <w:t>de octubre</w:t>
      </w:r>
      <w:r w:rsidR="00864332" w:rsidRPr="00DB5ED7">
        <w:rPr>
          <w:rFonts w:ascii="Calibri" w:hAnsi="Calibri" w:cs="Calibri"/>
          <w:lang w:val="es-ES_tradnl"/>
        </w:rPr>
        <w:t xml:space="preserve">) </w:t>
      </w:r>
      <w:r w:rsidRPr="00DB5ED7">
        <w:rPr>
          <w:rFonts w:ascii="Calibri" w:hAnsi="Calibri" w:cs="Calibri"/>
          <w:lang w:val="es-ES_tradnl"/>
        </w:rPr>
        <w:t xml:space="preserve">y el </w:t>
      </w:r>
      <w:r w:rsidR="00D127DE" w:rsidRPr="00DB5ED7">
        <w:rPr>
          <w:rFonts w:ascii="Calibri" w:hAnsi="Calibri" w:cs="Calibri"/>
          <w:lang w:val="es-ES_tradnl"/>
        </w:rPr>
        <w:t>s</w:t>
      </w:r>
      <w:r w:rsidRPr="00DB5ED7">
        <w:rPr>
          <w:rFonts w:ascii="Calibri" w:hAnsi="Calibri" w:cs="Calibri"/>
          <w:lang w:val="es-ES_tradnl"/>
        </w:rPr>
        <w:t>egundo en América (Mé</w:t>
      </w:r>
      <w:r w:rsidR="00864332" w:rsidRPr="00DB5ED7">
        <w:rPr>
          <w:rFonts w:ascii="Calibri" w:hAnsi="Calibri" w:cs="Calibri"/>
          <w:lang w:val="es-ES_tradnl"/>
        </w:rPr>
        <w:t xml:space="preserve">xico, </w:t>
      </w:r>
      <w:r w:rsidRPr="00DB5ED7">
        <w:rPr>
          <w:rFonts w:ascii="Calibri" w:hAnsi="Calibri" w:cs="Calibri"/>
          <w:lang w:val="es-ES_tradnl"/>
        </w:rPr>
        <w:t xml:space="preserve">del </w:t>
      </w:r>
      <w:r w:rsidR="00864332" w:rsidRPr="00DB5ED7">
        <w:rPr>
          <w:rFonts w:ascii="Calibri" w:hAnsi="Calibri" w:cs="Calibri"/>
          <w:lang w:val="es-ES_tradnl"/>
        </w:rPr>
        <w:t>4</w:t>
      </w:r>
      <w:r w:rsidRPr="00DB5ED7">
        <w:rPr>
          <w:rFonts w:ascii="Calibri" w:hAnsi="Calibri" w:cs="Calibri"/>
          <w:lang w:val="es-ES_tradnl"/>
        </w:rPr>
        <w:t xml:space="preserve"> al </w:t>
      </w:r>
      <w:r w:rsidR="00864332" w:rsidRPr="00DB5ED7">
        <w:rPr>
          <w:rFonts w:ascii="Calibri" w:hAnsi="Calibri" w:cs="Calibri"/>
          <w:lang w:val="es-ES_tradnl"/>
        </w:rPr>
        <w:t xml:space="preserve">6 </w:t>
      </w:r>
      <w:r w:rsidRPr="00DB5ED7">
        <w:rPr>
          <w:rFonts w:ascii="Calibri" w:hAnsi="Calibri" w:cs="Calibri"/>
          <w:lang w:val="es-ES_tradnl"/>
        </w:rPr>
        <w:t>de septiembre</w:t>
      </w:r>
      <w:r w:rsidR="00864332" w:rsidRPr="00DB5ED7">
        <w:rPr>
          <w:rFonts w:ascii="Calibri" w:hAnsi="Calibri" w:cs="Calibri"/>
          <w:lang w:val="es-ES_tradnl"/>
        </w:rPr>
        <w:t xml:space="preserve">), </w:t>
      </w:r>
      <w:r w:rsidRPr="00DB5ED7">
        <w:rPr>
          <w:rFonts w:ascii="Calibri" w:hAnsi="Calibri" w:cs="Calibri"/>
          <w:lang w:val="es-ES_tradnl"/>
        </w:rPr>
        <w:t xml:space="preserve">con el objetivo de examinar las implicaciones económicas de las tecnologías futuras </w:t>
      </w:r>
      <w:r w:rsidR="00864332" w:rsidRPr="00DB5ED7">
        <w:rPr>
          <w:rFonts w:ascii="Calibri" w:hAnsi="Calibri" w:cs="Calibri"/>
          <w:lang w:val="es-ES_tradnl"/>
        </w:rPr>
        <w:t>(</w:t>
      </w:r>
      <w:r w:rsidRPr="00DB5ED7">
        <w:rPr>
          <w:rFonts w:ascii="Calibri" w:hAnsi="Calibri" w:cs="Calibri"/>
          <w:lang w:val="es-ES_tradnl"/>
        </w:rPr>
        <w:t xml:space="preserve">el </w:t>
      </w:r>
      <w:r w:rsidR="00864332" w:rsidRPr="00DB5ED7">
        <w:rPr>
          <w:rFonts w:ascii="Calibri" w:hAnsi="Calibri" w:cs="Calibri"/>
          <w:lang w:val="es-ES_tradnl"/>
        </w:rPr>
        <w:t xml:space="preserve">Internet </w:t>
      </w:r>
      <w:r w:rsidRPr="00DB5ED7">
        <w:rPr>
          <w:rFonts w:ascii="Calibri" w:hAnsi="Calibri" w:cs="Calibri"/>
          <w:lang w:val="es-ES_tradnl"/>
        </w:rPr>
        <w:t>de las cosas (IoT)</w:t>
      </w:r>
      <w:r w:rsidR="00301983" w:rsidRPr="00DB5ED7">
        <w:rPr>
          <w:rFonts w:ascii="Calibri" w:hAnsi="Calibri" w:cs="Calibri"/>
          <w:lang w:val="es-ES_tradnl"/>
        </w:rPr>
        <w:t xml:space="preserve"> y</w:t>
      </w:r>
      <w:r w:rsidRPr="00DB5ED7">
        <w:rPr>
          <w:rFonts w:ascii="Calibri" w:hAnsi="Calibri" w:cs="Calibri"/>
          <w:lang w:val="es-ES_tradnl"/>
        </w:rPr>
        <w:t xml:space="preserve"> la comunicación </w:t>
      </w:r>
      <w:r w:rsidRPr="00DB5ED7">
        <w:rPr>
          <w:color w:val="000000"/>
          <w:lang w:val="es-ES_tradnl"/>
        </w:rPr>
        <w:t xml:space="preserve">máquina a máquina </w:t>
      </w:r>
      <w:r w:rsidR="00864332" w:rsidRPr="00DB5ED7">
        <w:rPr>
          <w:rFonts w:ascii="Calibri" w:hAnsi="Calibri" w:cs="Calibri"/>
          <w:lang w:val="es-ES_tradnl"/>
        </w:rPr>
        <w:t>(M2M)</w:t>
      </w:r>
      <w:r w:rsidR="00301983" w:rsidRPr="00DB5ED7">
        <w:rPr>
          <w:rFonts w:ascii="Calibri" w:hAnsi="Calibri" w:cs="Calibri"/>
          <w:lang w:val="es-ES_tradnl"/>
        </w:rPr>
        <w:t>,</w:t>
      </w:r>
      <w:r w:rsidR="00864332" w:rsidRPr="00DB5ED7">
        <w:rPr>
          <w:rFonts w:ascii="Calibri" w:hAnsi="Calibri" w:cs="Calibri"/>
          <w:lang w:val="es-ES_tradnl"/>
        </w:rPr>
        <w:t xml:space="preserve"> </w:t>
      </w:r>
      <w:r w:rsidRPr="00DB5ED7">
        <w:rPr>
          <w:rFonts w:ascii="Calibri" w:hAnsi="Calibri" w:cs="Calibri"/>
          <w:lang w:val="es-ES_tradnl"/>
        </w:rPr>
        <w:t>la computación en la nube</w:t>
      </w:r>
      <w:r w:rsidR="00864332" w:rsidRPr="00DB5ED7">
        <w:rPr>
          <w:rFonts w:ascii="Calibri" w:hAnsi="Calibri" w:cs="Calibri"/>
          <w:lang w:val="es-ES_tradnl"/>
        </w:rPr>
        <w:t xml:space="preserve">, </w:t>
      </w:r>
      <w:r w:rsidRPr="00DB5ED7">
        <w:rPr>
          <w:rFonts w:ascii="Calibri" w:hAnsi="Calibri" w:cs="Calibri"/>
          <w:lang w:val="es-ES_tradnl"/>
        </w:rPr>
        <w:t>los macrodatos y las cadenas de bloques</w:t>
      </w:r>
      <w:r w:rsidR="00864332" w:rsidRPr="00DB5ED7">
        <w:rPr>
          <w:rFonts w:ascii="Calibri" w:hAnsi="Calibri" w:cs="Calibri"/>
          <w:lang w:val="es-ES_tradnl"/>
        </w:rPr>
        <w:t xml:space="preserve">) </w:t>
      </w:r>
      <w:r w:rsidRPr="00DB5ED7">
        <w:rPr>
          <w:rFonts w:ascii="Calibri" w:hAnsi="Calibri" w:cs="Calibri"/>
          <w:lang w:val="es-ES_tradnl"/>
        </w:rPr>
        <w:t xml:space="preserve">y su aplicación en cada región. También se </w:t>
      </w:r>
      <w:r w:rsidR="00C96F94" w:rsidRPr="00DB5ED7">
        <w:rPr>
          <w:rFonts w:ascii="Calibri" w:hAnsi="Calibri" w:cs="Calibri"/>
          <w:lang w:val="es-ES_tradnl"/>
        </w:rPr>
        <w:t>analizaron</w:t>
      </w:r>
      <w:r w:rsidRPr="00DB5ED7">
        <w:rPr>
          <w:rFonts w:ascii="Calibri" w:hAnsi="Calibri" w:cs="Calibri"/>
          <w:lang w:val="es-ES_tradnl"/>
        </w:rPr>
        <w:t xml:space="preserve"> las oportunidades y los desafíos existentes y </w:t>
      </w:r>
      <w:r w:rsidR="00470A67" w:rsidRPr="00DB5ED7">
        <w:rPr>
          <w:rFonts w:ascii="Calibri" w:hAnsi="Calibri" w:cs="Calibri"/>
          <w:lang w:val="es-ES_tradnl"/>
        </w:rPr>
        <w:t>nuevos</w:t>
      </w:r>
      <w:r w:rsidRPr="00DB5ED7">
        <w:rPr>
          <w:rFonts w:ascii="Calibri" w:hAnsi="Calibri" w:cs="Calibri"/>
          <w:lang w:val="es-ES_tradnl"/>
        </w:rPr>
        <w:t xml:space="preserve"> y se exploraron las oportunidades de creación de un entorno propicio para la competitividad y el crecimiento de las TIC en las regiones</w:t>
      </w:r>
      <w:r w:rsidR="00864332" w:rsidRPr="00DB5ED7">
        <w:rPr>
          <w:rFonts w:ascii="Calibri" w:hAnsi="Calibri" w:cs="Calibri"/>
          <w:lang w:val="es-ES_tradnl"/>
        </w:rPr>
        <w:t xml:space="preserve">. </w:t>
      </w:r>
    </w:p>
    <w:p w:rsidR="00864332" w:rsidRPr="00DB5ED7" w:rsidRDefault="00D127DE" w:rsidP="00DB5ED7">
      <w:pPr>
        <w:rPr>
          <w:rFonts w:ascii="Calibri" w:hAnsi="Calibri" w:cs="Calibri"/>
          <w:lang w:val="es-ES_tradnl"/>
        </w:rPr>
      </w:pPr>
      <w:r w:rsidRPr="00DB5ED7">
        <w:rPr>
          <w:rFonts w:ascii="Calibri" w:hAnsi="Calibri" w:cs="Calibri"/>
          <w:lang w:val="es-ES_tradnl"/>
        </w:rPr>
        <w:t xml:space="preserve">A fin de mejorar la sinergia entre las Comisiones de Estudio del UIT-D y los diálogos estratégicos, la BDT también organizó reuniones de intercambio de conocimientos entre expertos en paralelo a los </w:t>
      </w:r>
      <w:r w:rsidR="00864332" w:rsidRPr="00DB5ED7">
        <w:rPr>
          <w:rFonts w:ascii="Calibri" w:hAnsi="Calibri" w:cs="Calibri"/>
          <w:lang w:val="es-ES_tradnl"/>
        </w:rPr>
        <w:t xml:space="preserve">RED, </w:t>
      </w:r>
      <w:r w:rsidRPr="00DB5ED7">
        <w:rPr>
          <w:rFonts w:ascii="Calibri" w:hAnsi="Calibri" w:cs="Calibri"/>
          <w:lang w:val="es-ES_tradnl"/>
        </w:rPr>
        <w:t>con aportaciones de expertos internacionales que participaban en la labor de la Comisión de Estudio 1 del UIT relativa a la Cuestión</w:t>
      </w:r>
      <w:r w:rsidR="00864332" w:rsidRPr="00DB5ED7">
        <w:rPr>
          <w:rFonts w:ascii="Calibri" w:hAnsi="Calibri" w:cs="Calibri"/>
          <w:lang w:val="es-ES_tradnl"/>
        </w:rPr>
        <w:t> 4/1 (</w:t>
      </w:r>
      <w:r w:rsidRPr="00DB5ED7">
        <w:rPr>
          <w:color w:val="000000"/>
          <w:lang w:val="es-ES_tradnl"/>
        </w:rPr>
        <w:t>Políticas económicas y métodos de determinación de costos de los servicios relativos a las redes nacionales de telecomunicaciones/TIC</w:t>
      </w:r>
      <w:r w:rsidR="00864332" w:rsidRPr="00DB5ED7">
        <w:rPr>
          <w:rFonts w:ascii="Calibri" w:hAnsi="Calibri" w:cs="Calibri"/>
          <w:lang w:val="es-ES_tradnl"/>
        </w:rPr>
        <w:t xml:space="preserve">) </w:t>
      </w:r>
      <w:r w:rsidR="00C20962" w:rsidRPr="00DB5ED7">
        <w:rPr>
          <w:rFonts w:ascii="Calibri" w:hAnsi="Calibri" w:cs="Calibri"/>
          <w:lang w:val="es-ES_tradnl"/>
        </w:rPr>
        <w:t xml:space="preserve">y la Cuestión </w:t>
      </w:r>
      <w:r w:rsidR="00864332" w:rsidRPr="00DB5ED7">
        <w:rPr>
          <w:rFonts w:ascii="Calibri" w:hAnsi="Calibri" w:cs="Calibri"/>
          <w:lang w:val="es-ES_tradnl"/>
        </w:rPr>
        <w:t>6/1 (</w:t>
      </w:r>
      <w:r w:rsidRPr="00DB5ED7">
        <w:rPr>
          <w:color w:val="000000"/>
          <w:lang w:val="es-ES_tradnl"/>
        </w:rPr>
        <w:t>Información, protección y derechos del consumidor: leyes, reglamentación, fundamentos económicos, redes de consumidores</w:t>
      </w:r>
      <w:r w:rsidR="00864332" w:rsidRPr="00DB5ED7">
        <w:rPr>
          <w:rFonts w:ascii="Calibri" w:hAnsi="Calibri" w:cs="Calibri"/>
          <w:lang w:val="es-ES_tradnl"/>
        </w:rPr>
        <w:t>).</w:t>
      </w:r>
    </w:p>
    <w:p w:rsidR="00864332" w:rsidRPr="00DB5ED7" w:rsidRDefault="00C745D0" w:rsidP="00DB5ED7">
      <w:pPr>
        <w:rPr>
          <w:rFonts w:ascii="Calibri" w:hAnsi="Calibri" w:cs="Calibri"/>
          <w:lang w:val="es-ES_tradnl"/>
        </w:rPr>
      </w:pPr>
      <w:r w:rsidRPr="00DB5ED7">
        <w:rPr>
          <w:rFonts w:cstheme="minorHAnsi"/>
          <w:lang w:val="es-ES_tradnl"/>
        </w:rPr>
        <w:t xml:space="preserve">La BDT </w:t>
      </w:r>
      <w:r w:rsidR="00465F0A" w:rsidRPr="00DB5ED7">
        <w:rPr>
          <w:rFonts w:cstheme="minorHAnsi"/>
          <w:lang w:val="es-ES_tradnl"/>
        </w:rPr>
        <w:t>prosiguió sus labores de concienciación y capacitación a través de diversos cursos de f</w:t>
      </w:r>
      <w:r w:rsidR="00CF0E71" w:rsidRPr="00DB5ED7">
        <w:rPr>
          <w:rFonts w:cstheme="minorHAnsi"/>
          <w:lang w:val="es-ES_tradnl"/>
        </w:rPr>
        <w:t xml:space="preserve">ormación, talleres, seminarios </w:t>
      </w:r>
      <w:r w:rsidR="00AB7093" w:rsidRPr="00DB5ED7">
        <w:rPr>
          <w:rFonts w:cstheme="minorHAnsi"/>
          <w:lang w:val="es-ES_tradnl"/>
        </w:rPr>
        <w:t xml:space="preserve">y </w:t>
      </w:r>
      <w:r w:rsidR="00465F0A" w:rsidRPr="00DB5ED7">
        <w:rPr>
          <w:rFonts w:cstheme="minorHAnsi"/>
          <w:lang w:val="es-ES_tradnl"/>
        </w:rPr>
        <w:t>conferencias centrados en el desarrollo de las TIC, la infraestructura de banda ancha, las aplicaciones y los servicios, la 5G, la itinerancia móvil internacional (IMI), la modelización de costos</w:t>
      </w:r>
      <w:r w:rsidR="00CF0E71" w:rsidRPr="00DB5ED7">
        <w:rPr>
          <w:rFonts w:cstheme="minorHAnsi"/>
          <w:lang w:val="es-ES_tradnl"/>
        </w:rPr>
        <w:t xml:space="preserve"> y la fijación de precios</w:t>
      </w:r>
      <w:r w:rsidR="00465F0A" w:rsidRPr="00DB5ED7">
        <w:rPr>
          <w:rFonts w:cstheme="minorHAnsi"/>
          <w:lang w:val="es-ES_tradnl"/>
        </w:rPr>
        <w:t xml:space="preserve">, el desarrollo de infraestructura, la colaboración política y reglamentaria en materia de servicios financieros digitales e integración financiera digital y la economía digital. </w:t>
      </w:r>
      <w:r w:rsidR="008348F8" w:rsidRPr="00DB5ED7">
        <w:rPr>
          <w:rFonts w:cstheme="minorHAnsi"/>
          <w:lang w:val="es-ES_tradnl"/>
        </w:rPr>
        <w:t>Se organizaron varios cursos de formación sobre los enfoques de cálculo de costos y fijación de precios para los servicios de comunicación digitales</w:t>
      </w:r>
      <w:r w:rsidR="008348F8" w:rsidRPr="00DB5ED7">
        <w:rPr>
          <w:rFonts w:ascii="Calibri" w:hAnsi="Calibri" w:cs="Calibri"/>
          <w:lang w:val="es-ES_tradnl"/>
        </w:rPr>
        <w:t xml:space="preserve"> </w:t>
      </w:r>
      <w:r w:rsidR="00864332" w:rsidRPr="00DB5ED7">
        <w:rPr>
          <w:rFonts w:ascii="Calibri" w:hAnsi="Calibri" w:cs="Calibri"/>
          <w:lang w:val="es-ES_tradnl"/>
        </w:rPr>
        <w:t>(</w:t>
      </w:r>
      <w:r w:rsidR="008348F8" w:rsidRPr="00DB5ED7">
        <w:rPr>
          <w:rFonts w:ascii="Calibri" w:hAnsi="Calibri" w:cs="Calibri"/>
          <w:lang w:val="es-ES_tradnl"/>
        </w:rPr>
        <w:t>Á</w:t>
      </w:r>
      <w:r w:rsidR="00864332" w:rsidRPr="00DB5ED7">
        <w:rPr>
          <w:rFonts w:ascii="Calibri" w:hAnsi="Calibri" w:cs="Calibri"/>
          <w:lang w:val="es-ES_tradnl"/>
        </w:rPr>
        <w:t xml:space="preserve">frica, </w:t>
      </w:r>
      <w:r w:rsidR="008348F8" w:rsidRPr="00DB5ED7">
        <w:rPr>
          <w:rFonts w:ascii="Calibri" w:hAnsi="Calibri" w:cs="Calibri"/>
          <w:lang w:val="es-ES_tradnl"/>
        </w:rPr>
        <w:t>Estados Árabes y Asia-Pacífico</w:t>
      </w:r>
      <w:r w:rsidR="00864332" w:rsidRPr="00DB5ED7">
        <w:rPr>
          <w:rFonts w:ascii="Calibri" w:hAnsi="Calibri" w:cs="Calibri"/>
          <w:lang w:val="es-ES_tradnl"/>
        </w:rPr>
        <w:t xml:space="preserve">). </w:t>
      </w:r>
      <w:r w:rsidR="008348F8" w:rsidRPr="00DB5ED7">
        <w:rPr>
          <w:rFonts w:ascii="Calibri" w:hAnsi="Calibri" w:cs="Calibri"/>
          <w:lang w:val="es-ES_tradnl"/>
        </w:rPr>
        <w:t>E</w:t>
      </w:r>
      <w:r w:rsidR="00864332" w:rsidRPr="00DB5ED7">
        <w:rPr>
          <w:rFonts w:ascii="Calibri" w:hAnsi="Calibri" w:cs="Calibri"/>
          <w:lang w:val="es-ES_tradnl"/>
        </w:rPr>
        <w:t xml:space="preserve">n 2018, </w:t>
      </w:r>
      <w:r w:rsidR="00D4601C" w:rsidRPr="00DB5ED7">
        <w:rPr>
          <w:rFonts w:ascii="Calibri" w:hAnsi="Calibri" w:cs="Calibri"/>
          <w:lang w:val="es-ES_tradnl"/>
        </w:rPr>
        <w:t>estos talleres ofrecieron conocimientos prácticos a los reguladores y los miembros de la industria sobre las metodologías cambiantes de cálculo de costos, financiación y fijación de precios reglamentari</w:t>
      </w:r>
      <w:r w:rsidR="00BF4856" w:rsidRPr="00DB5ED7">
        <w:rPr>
          <w:rFonts w:ascii="Calibri" w:hAnsi="Calibri" w:cs="Calibri"/>
          <w:lang w:val="es-ES_tradnl"/>
        </w:rPr>
        <w:t>a</w:t>
      </w:r>
      <w:r w:rsidR="00D4601C" w:rsidRPr="00DB5ED7">
        <w:rPr>
          <w:rFonts w:ascii="Calibri" w:hAnsi="Calibri" w:cs="Calibri"/>
          <w:lang w:val="es-ES_tradnl"/>
        </w:rPr>
        <w:t xml:space="preserve"> y sobre los enfoques de los servicios digitales, con inclusión de los servicios superpuestos </w:t>
      </w:r>
      <w:r w:rsidR="00864332" w:rsidRPr="00DB5ED7">
        <w:rPr>
          <w:rFonts w:ascii="Calibri" w:hAnsi="Calibri" w:cs="Calibri"/>
          <w:lang w:val="es-ES_tradnl"/>
        </w:rPr>
        <w:t xml:space="preserve">(OTT). </w:t>
      </w:r>
    </w:p>
    <w:p w:rsidR="00864332" w:rsidRPr="00DB5ED7" w:rsidRDefault="006E6C9F" w:rsidP="00DB5ED7">
      <w:pPr>
        <w:rPr>
          <w:rFonts w:ascii="Calibri" w:hAnsi="Calibri" w:cs="Calibri"/>
          <w:lang w:val="es-ES_tradnl"/>
        </w:rPr>
      </w:pPr>
      <w:r w:rsidRPr="00DB5ED7">
        <w:rPr>
          <w:rFonts w:ascii="Calibri" w:hAnsi="Calibri" w:cs="Calibri"/>
          <w:lang w:val="es-ES_tradnl"/>
        </w:rPr>
        <w:t xml:space="preserve">La </w:t>
      </w:r>
      <w:r w:rsidR="00864332" w:rsidRPr="00DB5ED7">
        <w:rPr>
          <w:rFonts w:ascii="Calibri" w:hAnsi="Calibri" w:cs="Calibri"/>
          <w:lang w:val="es-ES_tradnl"/>
        </w:rPr>
        <w:t>BDT</w:t>
      </w:r>
      <w:r w:rsidRPr="00DB5ED7">
        <w:rPr>
          <w:rFonts w:ascii="Calibri" w:hAnsi="Calibri" w:cs="Calibri"/>
          <w:lang w:val="es-ES_tradnl"/>
        </w:rPr>
        <w:t>, en coordinación con las Oficinas Regionales,</w:t>
      </w:r>
      <w:r w:rsidR="00864332" w:rsidRPr="00DB5ED7">
        <w:rPr>
          <w:rFonts w:ascii="Calibri" w:hAnsi="Calibri" w:cs="Calibri"/>
          <w:lang w:val="es-ES_tradnl"/>
        </w:rPr>
        <w:t xml:space="preserve"> </w:t>
      </w:r>
      <w:r w:rsidRPr="00DB5ED7">
        <w:rPr>
          <w:rFonts w:ascii="Calibri" w:hAnsi="Calibri" w:cs="Calibri"/>
          <w:lang w:val="es-ES_tradnl"/>
        </w:rPr>
        <w:t xml:space="preserve">prestó asistencia directa </w:t>
      </w:r>
      <w:r w:rsidR="006C13BA" w:rsidRPr="00DB5ED7">
        <w:rPr>
          <w:rFonts w:ascii="Calibri" w:hAnsi="Calibri" w:cs="Calibri"/>
          <w:lang w:val="es-ES_tradnl"/>
        </w:rPr>
        <w:t xml:space="preserve">sobre </w:t>
      </w:r>
      <w:r w:rsidRPr="00DB5ED7">
        <w:rPr>
          <w:rFonts w:ascii="Calibri" w:hAnsi="Calibri" w:cs="Calibri"/>
          <w:lang w:val="es-ES_tradnl"/>
        </w:rPr>
        <w:t xml:space="preserve">asuntos económicos y reglamentarios específicos a varios países como </w:t>
      </w:r>
      <w:r w:rsidR="00864332" w:rsidRPr="00DB5ED7">
        <w:rPr>
          <w:rFonts w:ascii="Calibri" w:hAnsi="Calibri" w:cs="Calibri"/>
          <w:lang w:val="es-ES_tradnl"/>
        </w:rPr>
        <w:t xml:space="preserve">Bangladesh, Bolivia, China, </w:t>
      </w:r>
      <w:r w:rsidRPr="00DB5ED7">
        <w:rPr>
          <w:rFonts w:ascii="Calibri" w:hAnsi="Calibri" w:cs="Calibri"/>
          <w:lang w:val="es-ES_tradnl"/>
        </w:rPr>
        <w:t>las Comoras</w:t>
      </w:r>
      <w:r w:rsidR="00864332" w:rsidRPr="00DB5ED7">
        <w:rPr>
          <w:rFonts w:ascii="Calibri" w:hAnsi="Calibri" w:cs="Calibri"/>
          <w:lang w:val="es-ES_tradnl"/>
        </w:rPr>
        <w:t xml:space="preserve">, </w:t>
      </w:r>
      <w:r w:rsidRPr="00DB5ED7">
        <w:rPr>
          <w:rFonts w:ascii="Calibri" w:hAnsi="Calibri" w:cs="Calibri"/>
          <w:lang w:val="es-ES_tradnl"/>
        </w:rPr>
        <w:t xml:space="preserve">el </w:t>
      </w:r>
      <w:r w:rsidR="00864332" w:rsidRPr="00DB5ED7">
        <w:rPr>
          <w:rFonts w:ascii="Calibri" w:hAnsi="Calibri" w:cs="Calibri"/>
          <w:lang w:val="es-ES_tradnl"/>
        </w:rPr>
        <w:t>Ecuador, Eg</w:t>
      </w:r>
      <w:r w:rsidRPr="00DB5ED7">
        <w:rPr>
          <w:rFonts w:ascii="Calibri" w:hAnsi="Calibri" w:cs="Calibri"/>
          <w:lang w:val="es-ES_tradnl"/>
        </w:rPr>
        <w:t>ipto</w:t>
      </w:r>
      <w:r w:rsidR="00864332" w:rsidRPr="00DB5ED7">
        <w:rPr>
          <w:rFonts w:ascii="Calibri" w:hAnsi="Calibri" w:cs="Calibri"/>
          <w:lang w:val="es-ES_tradnl"/>
        </w:rPr>
        <w:t xml:space="preserve">, </w:t>
      </w:r>
      <w:r w:rsidRPr="00DB5ED7">
        <w:rPr>
          <w:rFonts w:ascii="Calibri" w:hAnsi="Calibri" w:cs="Calibri"/>
          <w:lang w:val="es-ES_tradnl"/>
        </w:rPr>
        <w:t>la India, Mé</w:t>
      </w:r>
      <w:r w:rsidR="00864332" w:rsidRPr="00DB5ED7">
        <w:rPr>
          <w:rFonts w:ascii="Calibri" w:hAnsi="Calibri" w:cs="Calibri"/>
          <w:lang w:val="es-ES_tradnl"/>
        </w:rPr>
        <w:t>xico, Mongolia, Nicaragua</w:t>
      </w:r>
      <w:r w:rsidR="00D629A4" w:rsidRPr="00DB5ED7">
        <w:rPr>
          <w:rFonts w:ascii="Calibri" w:hAnsi="Calibri" w:cs="Calibri"/>
          <w:lang w:val="es-ES_tradnl"/>
        </w:rPr>
        <w:t>, el Pakistá</w:t>
      </w:r>
      <w:r w:rsidR="00864332" w:rsidRPr="00DB5ED7">
        <w:rPr>
          <w:rFonts w:ascii="Calibri" w:hAnsi="Calibri" w:cs="Calibri"/>
          <w:lang w:val="es-ES_tradnl"/>
        </w:rPr>
        <w:t>n, Panam</w:t>
      </w:r>
      <w:r w:rsidR="004B1413" w:rsidRPr="00DB5ED7">
        <w:rPr>
          <w:rFonts w:ascii="Calibri" w:hAnsi="Calibri" w:cs="Calibri"/>
          <w:lang w:val="es-ES_tradnl"/>
        </w:rPr>
        <w:t>á</w:t>
      </w:r>
      <w:r w:rsidR="00864332" w:rsidRPr="00DB5ED7">
        <w:rPr>
          <w:rFonts w:ascii="Calibri" w:hAnsi="Calibri" w:cs="Calibri"/>
          <w:lang w:val="es-ES_tradnl"/>
        </w:rPr>
        <w:t xml:space="preserve">, Paraguay </w:t>
      </w:r>
      <w:r w:rsidR="00D629A4" w:rsidRPr="00DB5ED7">
        <w:rPr>
          <w:rFonts w:ascii="Calibri" w:hAnsi="Calibri" w:cs="Calibri"/>
          <w:lang w:val="es-ES_tradnl"/>
        </w:rPr>
        <w:t>y el Sudá</w:t>
      </w:r>
      <w:r w:rsidR="00864332" w:rsidRPr="00DB5ED7">
        <w:rPr>
          <w:rFonts w:ascii="Calibri" w:hAnsi="Calibri" w:cs="Calibri"/>
          <w:lang w:val="es-ES_tradnl"/>
        </w:rPr>
        <w:t xml:space="preserve">n. </w:t>
      </w:r>
    </w:p>
    <w:p w:rsidR="00864332" w:rsidRPr="00DB5ED7" w:rsidRDefault="005237C5" w:rsidP="00DB5ED7">
      <w:pPr>
        <w:rPr>
          <w:lang w:val="es-ES_tradnl"/>
        </w:rPr>
      </w:pPr>
      <w:r w:rsidRPr="00DB5ED7">
        <w:rPr>
          <w:lang w:val="es-ES_tradnl"/>
        </w:rPr>
        <w:t>Basándose en estos resultados</w:t>
      </w:r>
      <w:r w:rsidR="00864332" w:rsidRPr="00DB5ED7">
        <w:rPr>
          <w:lang w:val="es-ES_tradnl"/>
        </w:rPr>
        <w:t xml:space="preserve">, </w:t>
      </w:r>
      <w:r w:rsidRPr="00DB5ED7">
        <w:rPr>
          <w:lang w:val="es-ES_tradnl"/>
        </w:rPr>
        <w:t xml:space="preserve">la </w:t>
      </w:r>
      <w:r w:rsidR="00864332" w:rsidRPr="00DB5ED7">
        <w:rPr>
          <w:lang w:val="es-ES_tradnl"/>
        </w:rPr>
        <w:t xml:space="preserve">BDT </w:t>
      </w:r>
      <w:r w:rsidRPr="00DB5ED7">
        <w:rPr>
          <w:lang w:val="es-ES_tradnl"/>
        </w:rPr>
        <w:t>está desarrollando investigaciones y análisis, materiales y programas de capacitación adicionales para ayudar a los Estados Miembros a incrementar sus capacidades y conocimientos políticos y reglamentarios con miras a acelerar la transformación digital</w:t>
      </w:r>
      <w:r w:rsidR="00864332" w:rsidRPr="00DB5ED7">
        <w:rPr>
          <w:lang w:val="es-ES_tradnl"/>
        </w:rPr>
        <w:t>.</w:t>
      </w:r>
    </w:p>
    <w:p w:rsidR="00864332" w:rsidRPr="00DB5ED7" w:rsidRDefault="00864332" w:rsidP="00DB5ED7">
      <w:pPr>
        <w:pStyle w:val="Heading2"/>
        <w:rPr>
          <w:lang w:val="es-ES_tradnl"/>
        </w:rPr>
      </w:pPr>
      <w:r w:rsidRPr="00DB5ED7">
        <w:rPr>
          <w:lang w:val="es-ES_tradnl"/>
        </w:rPr>
        <w:lastRenderedPageBreak/>
        <w:t>3.2</w:t>
      </w:r>
      <w:r w:rsidRPr="00DB5ED7">
        <w:rPr>
          <w:lang w:val="es-ES_tradnl"/>
        </w:rPr>
        <w:tab/>
      </w:r>
      <w:r w:rsidR="009817B8" w:rsidRPr="00DB5ED7">
        <w:rPr>
          <w:lang w:val="es-ES_tradnl"/>
        </w:rPr>
        <w:t>Datos</w:t>
      </w:r>
      <w:r w:rsidRPr="00DB5ED7">
        <w:rPr>
          <w:lang w:val="es-ES_tradnl"/>
        </w:rPr>
        <w:t xml:space="preserve">, </w:t>
      </w:r>
      <w:r w:rsidR="009817B8" w:rsidRPr="00DB5ED7">
        <w:rPr>
          <w:lang w:val="es-ES_tradnl"/>
        </w:rPr>
        <w:t>investigaci</w:t>
      </w:r>
      <w:r w:rsidR="00D711CE" w:rsidRPr="00DB5ED7">
        <w:rPr>
          <w:lang w:val="es-ES_tradnl"/>
        </w:rPr>
        <w:t>o</w:t>
      </w:r>
      <w:r w:rsidR="009817B8" w:rsidRPr="00DB5ED7">
        <w:rPr>
          <w:lang w:val="es-ES_tradnl"/>
        </w:rPr>
        <w:t>n</w:t>
      </w:r>
      <w:r w:rsidR="00D711CE" w:rsidRPr="00DB5ED7">
        <w:rPr>
          <w:lang w:val="es-ES_tradnl"/>
        </w:rPr>
        <w:t>es</w:t>
      </w:r>
      <w:r w:rsidR="009817B8" w:rsidRPr="00DB5ED7">
        <w:rPr>
          <w:lang w:val="es-ES_tradnl"/>
        </w:rPr>
        <w:t xml:space="preserve"> y análisis sobre entornos políticos y reglamentarios de TIC/telecomunicaciones propicios</w:t>
      </w:r>
      <w:r w:rsidRPr="00DB5ED7">
        <w:rPr>
          <w:lang w:val="es-ES_tradnl"/>
        </w:rPr>
        <w:t xml:space="preserve"> </w:t>
      </w:r>
    </w:p>
    <w:p w:rsidR="00864332" w:rsidRPr="00DB5ED7" w:rsidRDefault="00864332" w:rsidP="00DB5ED7">
      <w:pPr>
        <w:rPr>
          <w:rFonts w:ascii="Calibri" w:hAnsi="Calibri" w:cs="Calibri"/>
          <w:szCs w:val="24"/>
          <w:lang w:val="es-ES_tradnl"/>
        </w:rPr>
      </w:pPr>
      <w:r w:rsidRPr="00DB5ED7">
        <w:rPr>
          <w:noProof/>
          <w:szCs w:val="24"/>
          <w:highlight w:val="cyan"/>
          <w:lang w:val="es-ES_tradnl" w:eastAsia="zh-CN"/>
        </w:rPr>
        <w:drawing>
          <wp:anchor distT="0" distB="0" distL="114300" distR="114300" simplePos="0" relativeHeight="251659264" behindDoc="0" locked="0" layoutInCell="1" allowOverlap="1" wp14:anchorId="74FD3AD4" wp14:editId="31C6D592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332865" cy="177800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1CE" w:rsidRPr="00DB5ED7">
        <w:rPr>
          <w:szCs w:val="24"/>
          <w:lang w:val="es-ES_tradnl"/>
        </w:rPr>
        <w:t>La BDT</w:t>
      </w:r>
      <w:r w:rsidR="00465F0A" w:rsidRPr="00DB5ED7">
        <w:rPr>
          <w:szCs w:val="24"/>
          <w:lang w:val="es-ES_tradnl"/>
        </w:rPr>
        <w:t xml:space="preserve"> </w:t>
      </w:r>
      <w:r w:rsidR="00D711CE" w:rsidRPr="00DB5ED7">
        <w:rPr>
          <w:szCs w:val="24"/>
          <w:lang w:val="es-ES_tradnl"/>
        </w:rPr>
        <w:t xml:space="preserve">continuó proporcionando datos, investigaciones, </w:t>
      </w:r>
      <w:r w:rsidR="00465F0A" w:rsidRPr="00DB5ED7">
        <w:rPr>
          <w:szCs w:val="24"/>
          <w:lang w:val="es-ES_tradnl"/>
        </w:rPr>
        <w:t xml:space="preserve">análisis y herramientas </w:t>
      </w:r>
      <w:r w:rsidR="00D711CE" w:rsidRPr="00DB5ED7">
        <w:rPr>
          <w:szCs w:val="24"/>
          <w:lang w:val="es-ES_tradnl"/>
        </w:rPr>
        <w:t xml:space="preserve">de calidad </w:t>
      </w:r>
      <w:r w:rsidR="00465F0A" w:rsidRPr="00DB5ED7">
        <w:rPr>
          <w:szCs w:val="24"/>
          <w:lang w:val="es-ES_tradnl"/>
        </w:rPr>
        <w:t xml:space="preserve">(documentos de debate del GSR, publicaciones, bases de datos) para </w:t>
      </w:r>
      <w:r w:rsidR="00B92131" w:rsidRPr="00DB5ED7">
        <w:rPr>
          <w:szCs w:val="24"/>
          <w:lang w:val="es-ES_tradnl"/>
        </w:rPr>
        <w:t>ayudar</w:t>
      </w:r>
      <w:r w:rsidR="00465F0A" w:rsidRPr="00DB5ED7">
        <w:rPr>
          <w:szCs w:val="24"/>
          <w:lang w:val="es-ES_tradnl"/>
        </w:rPr>
        <w:t xml:space="preserve"> a sus Miembros en la</w:t>
      </w:r>
      <w:r w:rsidR="00C00523" w:rsidRPr="00DB5ED7">
        <w:rPr>
          <w:szCs w:val="24"/>
          <w:lang w:val="es-ES_tradnl"/>
        </w:rPr>
        <w:t xml:space="preserve"> </w:t>
      </w:r>
      <w:r w:rsidR="00465F0A" w:rsidRPr="00DB5ED7">
        <w:rPr>
          <w:szCs w:val="24"/>
          <w:lang w:val="es-ES_tradnl"/>
        </w:rPr>
        <w:t xml:space="preserve">implementación </w:t>
      </w:r>
      <w:r w:rsidR="00C00523" w:rsidRPr="00DB5ED7">
        <w:rPr>
          <w:szCs w:val="24"/>
          <w:lang w:val="es-ES_tradnl"/>
        </w:rPr>
        <w:t>y</w:t>
      </w:r>
      <w:r w:rsidR="00465F0A" w:rsidRPr="00DB5ED7">
        <w:rPr>
          <w:szCs w:val="24"/>
          <w:lang w:val="es-ES_tradnl"/>
        </w:rPr>
        <w:t xml:space="preserve"> revisión de estrategias, políticas</w:t>
      </w:r>
      <w:r w:rsidR="00627468" w:rsidRPr="00DB5ED7">
        <w:rPr>
          <w:szCs w:val="24"/>
          <w:lang w:val="es-ES_tradnl"/>
        </w:rPr>
        <w:t xml:space="preserve"> y</w:t>
      </w:r>
      <w:r w:rsidR="00465F0A" w:rsidRPr="00DB5ED7">
        <w:rPr>
          <w:szCs w:val="24"/>
          <w:lang w:val="es-ES_tradnl"/>
        </w:rPr>
        <w:t xml:space="preserve"> marcos </w:t>
      </w:r>
      <w:r w:rsidR="00627468" w:rsidRPr="00DB5ED7">
        <w:rPr>
          <w:szCs w:val="24"/>
          <w:lang w:val="es-ES_tradnl"/>
        </w:rPr>
        <w:t>jurídicos</w:t>
      </w:r>
      <w:r w:rsidR="00465F0A" w:rsidRPr="00DB5ED7">
        <w:rPr>
          <w:szCs w:val="24"/>
          <w:lang w:val="es-ES_tradnl"/>
        </w:rPr>
        <w:t xml:space="preserve"> y reglamentarios, así como para avanzar hacia una toma de decisiones basada en evidencias.</w:t>
      </w:r>
      <w:r w:rsidRPr="00DB5ED7">
        <w:rPr>
          <w:rFonts w:ascii="Calibri" w:hAnsi="Calibri" w:cs="Calibri"/>
          <w:szCs w:val="24"/>
          <w:lang w:val="es-ES_tradnl"/>
        </w:rPr>
        <w:t xml:space="preserve"> </w:t>
      </w:r>
      <w:r w:rsidR="00E527CD" w:rsidRPr="00DB5ED7">
        <w:rPr>
          <w:rFonts w:ascii="Calibri" w:hAnsi="Calibri" w:cs="Calibri"/>
          <w:szCs w:val="24"/>
          <w:lang w:val="es-ES_tradnl"/>
        </w:rPr>
        <w:t xml:space="preserve">Entre las publicaciones figuraban </w:t>
      </w:r>
      <w:r w:rsidR="00A473C2" w:rsidRPr="00DB5ED7">
        <w:rPr>
          <w:rFonts w:ascii="Calibri" w:hAnsi="Calibri" w:cs="Calibri"/>
          <w:szCs w:val="24"/>
          <w:lang w:val="es-ES_tradnl"/>
        </w:rPr>
        <w:t xml:space="preserve">los </w:t>
      </w:r>
      <w:r w:rsidR="00E527CD" w:rsidRPr="00DB5ED7">
        <w:rPr>
          <w:rFonts w:ascii="Calibri" w:hAnsi="Calibri" w:cs="Calibri"/>
          <w:szCs w:val="24"/>
          <w:lang w:val="es-ES_tradnl"/>
        </w:rPr>
        <w:t xml:space="preserve">informes de la UIT </w:t>
      </w:r>
      <w:r w:rsidR="00A473C2" w:rsidRPr="00DB5ED7">
        <w:rPr>
          <w:rFonts w:ascii="Calibri" w:hAnsi="Calibri" w:cs="Calibri"/>
          <w:szCs w:val="24"/>
          <w:lang w:val="es-ES_tradnl"/>
        </w:rPr>
        <w:t>siguientes</w:t>
      </w:r>
      <w:r w:rsidRPr="00DB5ED7">
        <w:rPr>
          <w:rFonts w:ascii="Calibri" w:hAnsi="Calibri" w:cs="Calibri"/>
          <w:szCs w:val="24"/>
          <w:lang w:val="es-ES_tradnl"/>
        </w:rPr>
        <w:t>: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E527CD" w:rsidRPr="00DB5ED7">
        <w:rPr>
          <w:i/>
          <w:iCs/>
          <w:lang w:val="es-ES_tradnl"/>
        </w:rPr>
        <w:t xml:space="preserve">Global ICT Regulatory Outlook </w:t>
      </w:r>
      <w:r w:rsidR="00A473C2" w:rsidRPr="00DB5ED7">
        <w:rPr>
          <w:i/>
          <w:iCs/>
          <w:lang w:val="es-ES_tradnl"/>
        </w:rPr>
        <w:t>2018</w:t>
      </w:r>
      <w:r w:rsidR="00864332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Pr="002254FB">
        <w:rPr>
          <w:i/>
          <w:iCs/>
          <w:lang w:val="es-ES_tradnl"/>
        </w:rPr>
        <w:t>Sentando las bases para la 5G: Oportunidades y desafíos</w:t>
      </w:r>
      <w:r w:rsidR="00864332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A473C2" w:rsidRPr="00DB5ED7">
        <w:rPr>
          <w:i/>
          <w:iCs/>
          <w:lang w:val="es-ES_tradnl"/>
        </w:rPr>
        <w:t>The economic contribution of broadband, digitization and ICT regulation</w:t>
      </w:r>
      <w:r w:rsidR="00F21A50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864332" w:rsidRPr="00DB5ED7">
        <w:rPr>
          <w:i/>
          <w:iCs/>
          <w:lang w:val="es-ES_tradnl"/>
        </w:rPr>
        <w:t>Regulatory challenges and opportunities in the new ICT ecosystem</w:t>
      </w:r>
      <w:r w:rsidR="00864332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864332" w:rsidRPr="00DB5ED7">
        <w:rPr>
          <w:i/>
          <w:iCs/>
          <w:lang w:val="es-ES_tradnl"/>
        </w:rPr>
        <w:t xml:space="preserve">Digital identity in the ICT ecosystem: </w:t>
      </w:r>
      <w:r w:rsidR="00A473C2" w:rsidRPr="00DB5ED7">
        <w:rPr>
          <w:i/>
          <w:iCs/>
          <w:lang w:val="es-ES_tradnl"/>
        </w:rPr>
        <w:t>A</w:t>
      </w:r>
      <w:r w:rsidR="00864332" w:rsidRPr="00DB5ED7">
        <w:rPr>
          <w:i/>
          <w:iCs/>
          <w:lang w:val="es-ES_tradnl"/>
        </w:rPr>
        <w:t>n overview</w:t>
      </w:r>
      <w:r w:rsidR="00864332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3778A5" w:rsidRPr="00DB5ED7">
        <w:rPr>
          <w:i/>
          <w:iCs/>
          <w:lang w:val="es-ES_tradnl"/>
        </w:rPr>
        <w:t>Artificial Intelligence (AI) for Development Series</w:t>
      </w:r>
      <w:r w:rsidR="00A473C2" w:rsidRPr="00DB5ED7">
        <w:rPr>
          <w:lang w:val="es-ES_tradnl"/>
        </w:rPr>
        <w:t>, que se divide en cuatro documentos de debate para el GSR</w:t>
      </w:r>
      <w:r w:rsidR="00864332" w:rsidRPr="00DB5ED7">
        <w:rPr>
          <w:lang w:val="es-ES_tradnl"/>
        </w:rPr>
        <w:t xml:space="preserve">: </w:t>
      </w:r>
      <w:r w:rsidR="00864332" w:rsidRPr="00A4071B">
        <w:rPr>
          <w:lang w:val="es-ES_tradnl"/>
        </w:rPr>
        <w:t>a)</w:t>
      </w:r>
      <w:r w:rsidR="00864332" w:rsidRPr="00DB5ED7">
        <w:rPr>
          <w:i/>
          <w:iCs/>
          <w:lang w:val="es-ES_tradnl"/>
        </w:rPr>
        <w:t xml:space="preserve"> Introductory module</w:t>
      </w:r>
      <w:r w:rsidR="00864332" w:rsidRPr="00DB5ED7">
        <w:rPr>
          <w:lang w:val="es-ES_tradnl"/>
        </w:rPr>
        <w:t xml:space="preserve">; </w:t>
      </w:r>
      <w:r w:rsidR="00864332" w:rsidRPr="00A4071B">
        <w:rPr>
          <w:lang w:val="es-ES_tradnl"/>
        </w:rPr>
        <w:t>b)</w:t>
      </w:r>
      <w:r w:rsidR="00864332" w:rsidRPr="00DB5ED7">
        <w:rPr>
          <w:i/>
          <w:iCs/>
          <w:lang w:val="es-ES_tradnl"/>
        </w:rPr>
        <w:t xml:space="preserve"> Setting the Stage for AI Governance: Interfaces, Infrastructures, and Institutions for Policymakers and Regulators</w:t>
      </w:r>
      <w:r w:rsidR="00864332" w:rsidRPr="00DB5ED7">
        <w:rPr>
          <w:lang w:val="es-ES_tradnl"/>
        </w:rPr>
        <w:t xml:space="preserve">; </w:t>
      </w:r>
      <w:r w:rsidR="00864332" w:rsidRPr="00A4071B">
        <w:rPr>
          <w:lang w:val="es-ES_tradnl"/>
        </w:rPr>
        <w:t>c)</w:t>
      </w:r>
      <w:r w:rsidR="00864332" w:rsidRPr="00DB5ED7">
        <w:rPr>
          <w:i/>
          <w:iCs/>
          <w:lang w:val="es-ES_tradnl"/>
        </w:rPr>
        <w:t xml:space="preserve"> AI, ethics and society</w:t>
      </w:r>
      <w:r w:rsidR="00864332" w:rsidRPr="00DB5ED7">
        <w:rPr>
          <w:lang w:val="es-ES_tradnl"/>
        </w:rPr>
        <w:t xml:space="preserve">; </w:t>
      </w:r>
      <w:r w:rsidR="003778A5" w:rsidRPr="00DB5ED7">
        <w:rPr>
          <w:lang w:val="es-ES_tradnl"/>
        </w:rPr>
        <w:t xml:space="preserve">y </w:t>
      </w:r>
      <w:r w:rsidR="00864332" w:rsidRPr="00A4071B">
        <w:rPr>
          <w:lang w:val="es-ES_tradnl"/>
        </w:rPr>
        <w:t>d)</w:t>
      </w:r>
      <w:r w:rsidR="00864332" w:rsidRPr="00DB5ED7">
        <w:rPr>
          <w:i/>
          <w:iCs/>
          <w:lang w:val="es-ES_tradnl"/>
        </w:rPr>
        <w:t xml:space="preserve"> AI, IoT and security aspects</w:t>
      </w:r>
      <w:r w:rsidR="00864332" w:rsidRPr="00DB5ED7">
        <w:rPr>
          <w:lang w:val="es-ES_tradnl"/>
        </w:rPr>
        <w:t>;</w:t>
      </w:r>
    </w:p>
    <w:p w:rsidR="00864332" w:rsidRPr="00DB5ED7" w:rsidRDefault="00082135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3778A5" w:rsidRPr="00DB5ED7">
        <w:rPr>
          <w:lang w:val="es-ES_tradnl"/>
        </w:rPr>
        <w:t xml:space="preserve">Una serie de estudios por países sobre el uso de las TIC y el ecosistema digital en países seleccionados de la región de América, preparados para el </w:t>
      </w:r>
      <w:r w:rsidR="00864332" w:rsidRPr="00DB5ED7">
        <w:rPr>
          <w:lang w:val="es-ES_tradnl"/>
        </w:rPr>
        <w:t>Ecua</w:t>
      </w:r>
      <w:r w:rsidR="003778A5" w:rsidRPr="00DB5ED7">
        <w:rPr>
          <w:lang w:val="es-ES_tradnl"/>
        </w:rPr>
        <w:t>dor, Nicaragua, Panamá, Bolivia y el</w:t>
      </w:r>
      <w:r w:rsidR="00864332" w:rsidRPr="00DB5ED7">
        <w:rPr>
          <w:lang w:val="es-ES_tradnl"/>
        </w:rPr>
        <w:t xml:space="preserve"> Paraguay.</w:t>
      </w:r>
    </w:p>
    <w:p w:rsidR="00864332" w:rsidRPr="00DB5ED7" w:rsidRDefault="003778A5" w:rsidP="00DB5ED7">
      <w:pPr>
        <w:rPr>
          <w:rFonts w:ascii="Calibri" w:hAnsi="Calibri" w:cs="Calibri"/>
          <w:szCs w:val="24"/>
          <w:lang w:val="es-ES_tradnl"/>
        </w:rPr>
      </w:pPr>
      <w:r w:rsidRPr="00DB5ED7">
        <w:rPr>
          <w:rFonts w:ascii="Calibri" w:hAnsi="Calibri" w:cs="Calibri"/>
          <w:szCs w:val="24"/>
          <w:lang w:val="es-ES_tradnl"/>
        </w:rPr>
        <w:t xml:space="preserve">La BDT continuó supervisando las tendencias reglamentarias y de mercado del sector de las TIC a través de las encuestas </w:t>
      </w:r>
      <w:r w:rsidR="0097675D" w:rsidRPr="00DB5ED7">
        <w:rPr>
          <w:rFonts w:ascii="Calibri" w:hAnsi="Calibri" w:cs="Calibri"/>
          <w:szCs w:val="24"/>
          <w:lang w:val="es-ES_tradnl"/>
        </w:rPr>
        <w:t xml:space="preserve">de la UIT sobre </w:t>
      </w:r>
      <w:r w:rsidRPr="00DB5ED7">
        <w:rPr>
          <w:rFonts w:ascii="Calibri" w:hAnsi="Calibri" w:cs="Calibri"/>
          <w:szCs w:val="24"/>
          <w:lang w:val="es-ES_tradnl"/>
        </w:rPr>
        <w:t xml:space="preserve">reglamentación y </w:t>
      </w:r>
      <w:r w:rsidRPr="00DB5ED7">
        <w:rPr>
          <w:color w:val="000000"/>
          <w:lang w:val="es-ES_tradnl"/>
        </w:rPr>
        <w:t>sobre políticas tarifarias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, </w:t>
      </w:r>
      <w:r w:rsidR="0097675D" w:rsidRPr="00DB5ED7">
        <w:rPr>
          <w:rFonts w:ascii="Calibri" w:hAnsi="Calibri" w:cs="Calibri"/>
          <w:szCs w:val="24"/>
          <w:lang w:val="es-ES_tradnl"/>
        </w:rPr>
        <w:t xml:space="preserve">cuyos resultados actualizados se publican anualmente en la plataforma ICTEye de la UIT y en el </w:t>
      </w:r>
      <w:r w:rsidR="0097675D" w:rsidRPr="00DB5ED7">
        <w:rPr>
          <w:color w:val="000000"/>
          <w:lang w:val="es-ES_tradnl"/>
        </w:rPr>
        <w:t>Rastreador de reglamentación de las TIC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. </w:t>
      </w:r>
    </w:p>
    <w:p w:rsidR="00864332" w:rsidRPr="00DB5ED7" w:rsidRDefault="0097675D" w:rsidP="00DB5ED7">
      <w:pPr>
        <w:rPr>
          <w:rFonts w:ascii="Calibri" w:hAnsi="Calibri" w:cs="Calibri"/>
          <w:szCs w:val="24"/>
          <w:lang w:val="es-ES_tradnl"/>
        </w:rPr>
      </w:pPr>
      <w:r w:rsidRPr="00DB5ED7">
        <w:rPr>
          <w:rFonts w:ascii="Calibri" w:hAnsi="Calibri" w:cs="Calibri"/>
          <w:szCs w:val="24"/>
          <w:lang w:val="es-ES_tradnl"/>
        </w:rPr>
        <w:t xml:space="preserve">La 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BDT </w:t>
      </w:r>
      <w:r w:rsidRPr="00DB5ED7">
        <w:rPr>
          <w:rFonts w:ascii="Calibri" w:hAnsi="Calibri" w:cs="Calibri"/>
          <w:szCs w:val="24"/>
          <w:lang w:val="es-ES_tradnl"/>
        </w:rPr>
        <w:t xml:space="preserve">también ha estado desarrollando </w:t>
      </w:r>
      <w:r w:rsidR="00F176E2" w:rsidRPr="00DB5ED7">
        <w:rPr>
          <w:rFonts w:ascii="Calibri" w:hAnsi="Calibri" w:cs="Calibri"/>
          <w:szCs w:val="24"/>
          <w:lang w:val="es-ES_tradnl"/>
        </w:rPr>
        <w:t xml:space="preserve">nuevas </w:t>
      </w:r>
      <w:r w:rsidRPr="00DB5ED7">
        <w:rPr>
          <w:rFonts w:ascii="Calibri" w:hAnsi="Calibri" w:cs="Calibri"/>
          <w:szCs w:val="24"/>
          <w:lang w:val="es-ES_tradnl"/>
        </w:rPr>
        <w:t xml:space="preserve">herramientas y plataformas de intercambio de conocimientos </w:t>
      </w:r>
      <w:r w:rsidR="00864332" w:rsidRPr="00DB5ED7">
        <w:rPr>
          <w:rFonts w:ascii="Calibri" w:hAnsi="Calibri" w:cs="Calibri"/>
          <w:szCs w:val="24"/>
          <w:lang w:val="es-ES_tradnl"/>
        </w:rPr>
        <w:t>(</w:t>
      </w:r>
      <w:r w:rsidRPr="00DB5ED7">
        <w:rPr>
          <w:rFonts w:ascii="Calibri" w:hAnsi="Calibri" w:cs="Calibri"/>
          <w:szCs w:val="24"/>
          <w:lang w:val="es-ES_tradnl"/>
        </w:rPr>
        <w:t xml:space="preserve">como el </w:t>
      </w:r>
      <w:r w:rsidRPr="00DB5ED7">
        <w:rPr>
          <w:color w:val="000000"/>
          <w:lang w:val="es-ES_tradnl"/>
        </w:rPr>
        <w:t xml:space="preserve">Portal de Recursos de Itinerancia Móvil Internacional (IMR) de la UIT, </w:t>
      </w:r>
      <w:r w:rsidRPr="00DB5ED7">
        <w:rPr>
          <w:rFonts w:ascii="Calibri" w:hAnsi="Calibri" w:cs="Calibri"/>
          <w:szCs w:val="24"/>
          <w:lang w:val="es-ES_tradnl"/>
        </w:rPr>
        <w:t xml:space="preserve">el </w:t>
      </w:r>
      <w:r w:rsidRPr="00DB5ED7">
        <w:rPr>
          <w:rFonts w:cs="Segoe UI"/>
          <w:lang w:val="es-ES_tradnl"/>
        </w:rPr>
        <w:t>Portal del Ecosistema Digital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, </w:t>
      </w:r>
      <w:r w:rsidRPr="00DB5ED7">
        <w:rPr>
          <w:rFonts w:ascii="Calibri" w:hAnsi="Calibri" w:cs="Calibri"/>
          <w:szCs w:val="24"/>
          <w:lang w:val="es-ES_tradnl"/>
        </w:rPr>
        <w:t xml:space="preserve">el </w:t>
      </w:r>
      <w:r w:rsidRPr="00DB5ED7">
        <w:rPr>
          <w:rFonts w:cs="Segoe UI"/>
          <w:lang w:val="es-ES_tradnl"/>
        </w:rPr>
        <w:t>Portal de desarrollo de infraestructura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, </w:t>
      </w:r>
      <w:r w:rsidRPr="00DB5ED7">
        <w:rPr>
          <w:rFonts w:ascii="Calibri" w:hAnsi="Calibri" w:cs="Calibri"/>
          <w:szCs w:val="24"/>
          <w:lang w:val="es-ES_tradnl"/>
        </w:rPr>
        <w:t>el portal de calidad de servicio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, </w:t>
      </w:r>
      <w:r w:rsidRPr="00DB5ED7">
        <w:rPr>
          <w:rFonts w:ascii="Calibri" w:hAnsi="Calibri" w:cs="Calibri"/>
          <w:szCs w:val="24"/>
          <w:lang w:val="es-ES_tradnl"/>
        </w:rPr>
        <w:t>y un portal sobre asociaciones de reglamentación regionales</w:t>
      </w:r>
      <w:r w:rsidR="00864332" w:rsidRPr="00DB5ED7">
        <w:rPr>
          <w:rFonts w:ascii="Calibri" w:hAnsi="Calibri" w:cs="Calibri"/>
          <w:szCs w:val="24"/>
          <w:lang w:val="es-ES_tradnl"/>
        </w:rPr>
        <w:t xml:space="preserve"> Portal)</w:t>
      </w:r>
      <w:r w:rsidR="00465F0A" w:rsidRPr="00DB5ED7">
        <w:rPr>
          <w:rFonts w:eastAsiaTheme="minorHAnsi" w:cstheme="minorBidi"/>
          <w:szCs w:val="24"/>
          <w:lang w:val="es-ES_tradnl"/>
        </w:rPr>
        <w:t xml:space="preserve"> </w:t>
      </w:r>
      <w:r w:rsidRPr="00DB5ED7">
        <w:rPr>
          <w:rFonts w:eastAsiaTheme="minorHAnsi" w:cstheme="minorBidi"/>
          <w:szCs w:val="24"/>
          <w:lang w:val="es-ES_tradnl"/>
        </w:rPr>
        <w:t xml:space="preserve">con miras a </w:t>
      </w:r>
      <w:r w:rsidR="00465F0A" w:rsidRPr="00DB5ED7">
        <w:rPr>
          <w:rFonts w:eastAsiaTheme="minorHAnsi" w:cstheme="minorBidi"/>
          <w:szCs w:val="24"/>
          <w:lang w:val="es-ES_tradnl"/>
        </w:rPr>
        <w:t xml:space="preserve">facilitar un dialogo integrador y una mejor cooperación </w:t>
      </w:r>
      <w:r w:rsidR="006A4CE8" w:rsidRPr="00DB5ED7">
        <w:rPr>
          <w:rFonts w:eastAsiaTheme="minorHAnsi" w:cstheme="minorBidi"/>
          <w:szCs w:val="24"/>
          <w:lang w:val="es-ES_tradnl"/>
        </w:rPr>
        <w:t xml:space="preserve">y </w:t>
      </w:r>
      <w:r w:rsidR="00484E8C" w:rsidRPr="00DB5ED7">
        <w:rPr>
          <w:rFonts w:eastAsiaTheme="minorHAnsi" w:cstheme="minorBidi"/>
          <w:szCs w:val="24"/>
          <w:lang w:val="es-ES_tradnl"/>
        </w:rPr>
        <w:t>seguir sensibilizando</w:t>
      </w:r>
      <w:r w:rsidR="00465F0A" w:rsidRPr="00DB5ED7">
        <w:rPr>
          <w:rFonts w:eastAsiaTheme="minorHAnsi" w:cstheme="minorBidi"/>
          <w:szCs w:val="24"/>
          <w:lang w:val="es-ES_tradnl"/>
        </w:rPr>
        <w:t>, a nivel nacional y regional, sobre la importancia de un entorno propicio.</w:t>
      </w:r>
    </w:p>
    <w:p w:rsidR="00864332" w:rsidRPr="00DB5ED7" w:rsidRDefault="00864332" w:rsidP="00DB5ED7">
      <w:pPr>
        <w:rPr>
          <w:szCs w:val="24"/>
          <w:lang w:val="es-ES_tradnl"/>
        </w:rPr>
      </w:pPr>
      <w:r w:rsidRPr="00DB5ED7">
        <w:rPr>
          <w:rFonts w:ascii="Calibri" w:hAnsi="Calibri" w:cs="Calibri"/>
          <w:noProof/>
          <w:szCs w:val="24"/>
          <w:lang w:val="es-ES_tradnl" w:eastAsia="zh-CN"/>
        </w:rPr>
        <w:drawing>
          <wp:inline distT="0" distB="0" distL="0" distR="0" wp14:anchorId="33FC13F0" wp14:editId="6895A61E">
            <wp:extent cx="5867400" cy="5982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03" cy="62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332" w:rsidRPr="00DB5ED7" w:rsidRDefault="00864332" w:rsidP="00DB5ED7">
      <w:pPr>
        <w:pStyle w:val="Heading1"/>
        <w:rPr>
          <w:rFonts w:ascii="Calibri" w:hAnsi="Calibri" w:cs="Calibri"/>
          <w:lang w:val="es-ES_tradnl"/>
        </w:rPr>
      </w:pPr>
      <w:r w:rsidRPr="00DB5ED7">
        <w:rPr>
          <w:lang w:val="es-ES_tradnl"/>
        </w:rPr>
        <w:t>4.</w:t>
      </w:r>
      <w:r w:rsidRPr="00DB5ED7">
        <w:rPr>
          <w:lang w:val="es-ES_tradnl"/>
        </w:rPr>
        <w:tab/>
      </w:r>
      <w:r w:rsidR="00EE4EF3" w:rsidRPr="00DB5ED7">
        <w:rPr>
          <w:lang w:val="es-ES_tradnl"/>
        </w:rPr>
        <w:t>Acciones futuras</w:t>
      </w:r>
    </w:p>
    <w:p w:rsidR="00864332" w:rsidRPr="00DB5ED7" w:rsidRDefault="00EE4EF3" w:rsidP="00DB5ED7">
      <w:pPr>
        <w:rPr>
          <w:rStyle w:val="Strong"/>
          <w:b w:val="0"/>
          <w:bCs w:val="0"/>
          <w:szCs w:val="24"/>
          <w:lang w:val="es-ES_tradnl"/>
        </w:rPr>
      </w:pPr>
      <w:r w:rsidRPr="00DB5ED7">
        <w:rPr>
          <w:szCs w:val="24"/>
          <w:lang w:val="es-ES_tradnl"/>
        </w:rPr>
        <w:t xml:space="preserve">La </w:t>
      </w:r>
      <w:r w:rsidR="00864332" w:rsidRPr="00DB5ED7">
        <w:rPr>
          <w:szCs w:val="24"/>
          <w:lang w:val="es-ES_tradnl"/>
        </w:rPr>
        <w:t xml:space="preserve">BDT </w:t>
      </w:r>
      <w:r w:rsidRPr="00DB5ED7">
        <w:rPr>
          <w:szCs w:val="24"/>
          <w:lang w:val="es-ES_tradnl"/>
        </w:rPr>
        <w:t xml:space="preserve">reforzará </w:t>
      </w:r>
      <w:r w:rsidR="00F00179" w:rsidRPr="00DB5ED7">
        <w:rPr>
          <w:szCs w:val="24"/>
          <w:lang w:val="es-ES_tradnl"/>
        </w:rPr>
        <w:t xml:space="preserve">sus </w:t>
      </w:r>
      <w:r w:rsidRPr="00DB5ED7">
        <w:rPr>
          <w:szCs w:val="24"/>
          <w:lang w:val="es-ES_tradnl"/>
        </w:rPr>
        <w:t>actividades</w:t>
      </w:r>
      <w:r w:rsidR="00F00179" w:rsidRPr="00DB5ED7">
        <w:rPr>
          <w:szCs w:val="24"/>
          <w:lang w:val="es-ES_tradnl"/>
        </w:rPr>
        <w:t>, para lo cual, entre otras cosas</w:t>
      </w:r>
      <w:r w:rsidR="00864332" w:rsidRPr="00DB5ED7">
        <w:rPr>
          <w:szCs w:val="24"/>
          <w:lang w:val="es-ES_tradnl"/>
        </w:rPr>
        <w:t>:</w:t>
      </w:r>
    </w:p>
    <w:p w:rsidR="00864332" w:rsidRPr="00DB5ED7" w:rsidRDefault="001E1CD4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F00179" w:rsidRPr="00DB5ED7">
        <w:rPr>
          <w:lang w:val="es-ES_tradnl"/>
        </w:rPr>
        <w:t xml:space="preserve">Continuará creando capacidad en asuntos políticos, reglamentarios y de mercado </w:t>
      </w:r>
      <w:r w:rsidR="004928CA" w:rsidRPr="00DB5ED7">
        <w:rPr>
          <w:lang w:val="es-ES_tradnl"/>
        </w:rPr>
        <w:t xml:space="preserve">y </w:t>
      </w:r>
      <w:r w:rsidR="00F00179" w:rsidRPr="00DB5ED7">
        <w:rPr>
          <w:lang w:val="es-ES_tradnl"/>
        </w:rPr>
        <w:t>en la toma de decisiones basada en evidencias por medio de talleres nacionales y regionales sobre creació</w:t>
      </w:r>
      <w:bookmarkStart w:id="6" w:name="_GoBack"/>
      <w:bookmarkEnd w:id="6"/>
      <w:r w:rsidR="00F00179" w:rsidRPr="00DB5ED7">
        <w:rPr>
          <w:lang w:val="es-ES_tradnl"/>
        </w:rPr>
        <w:t>n de capacidad</w:t>
      </w:r>
      <w:r w:rsidR="00864332" w:rsidRPr="00DB5ED7">
        <w:rPr>
          <w:lang w:val="es-ES_tradnl"/>
        </w:rPr>
        <w:t>;</w:t>
      </w:r>
    </w:p>
    <w:p w:rsidR="00864332" w:rsidRPr="00DB5ED7" w:rsidRDefault="001E1CD4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F00179" w:rsidRPr="00DB5ED7">
        <w:rPr>
          <w:lang w:val="es-ES_tradnl"/>
        </w:rPr>
        <w:t xml:space="preserve">Desarrollará </w:t>
      </w:r>
      <w:r w:rsidR="00A4071B">
        <w:rPr>
          <w:lang w:val="es-ES_tradnl"/>
        </w:rPr>
        <w:t xml:space="preserve">y ejecutará </w:t>
      </w:r>
      <w:r w:rsidR="00F00179" w:rsidRPr="00DB5ED7">
        <w:rPr>
          <w:lang w:val="es-ES_tradnl"/>
        </w:rPr>
        <w:t>nuevas herramientas, investigaciones y análisis, y proporcionará datos</w:t>
      </w:r>
      <w:r w:rsidRPr="00DB5ED7">
        <w:rPr>
          <w:lang w:val="es-ES_tradnl"/>
        </w:rPr>
        <w:t xml:space="preserve"> para </w:t>
      </w:r>
      <w:r w:rsidR="00F00179" w:rsidRPr="00DB5ED7">
        <w:rPr>
          <w:lang w:val="es-ES_tradnl"/>
        </w:rPr>
        <w:t xml:space="preserve">ayudar </w:t>
      </w:r>
      <w:r w:rsidRPr="00DB5ED7">
        <w:rPr>
          <w:lang w:val="es-ES_tradnl"/>
        </w:rPr>
        <w:t xml:space="preserve">a sus Miembros en la definición, elaboración, implementación o </w:t>
      </w:r>
      <w:r w:rsidRPr="00DB5ED7">
        <w:rPr>
          <w:lang w:val="es-ES_tradnl"/>
        </w:rPr>
        <w:lastRenderedPageBreak/>
        <w:t>rev</w:t>
      </w:r>
      <w:r w:rsidR="00B86030" w:rsidRPr="00DB5ED7">
        <w:rPr>
          <w:lang w:val="es-ES_tradnl"/>
        </w:rPr>
        <w:t xml:space="preserve">isión de estrategias y </w:t>
      </w:r>
      <w:r w:rsidRPr="00DB5ED7">
        <w:rPr>
          <w:lang w:val="es-ES_tradnl"/>
        </w:rPr>
        <w:t xml:space="preserve">marcos </w:t>
      </w:r>
      <w:r w:rsidR="00B86030" w:rsidRPr="00DB5ED7">
        <w:rPr>
          <w:lang w:val="es-ES_tradnl"/>
        </w:rPr>
        <w:t xml:space="preserve">políticos, </w:t>
      </w:r>
      <w:r w:rsidR="00F00179" w:rsidRPr="00DB5ED7">
        <w:rPr>
          <w:lang w:val="es-ES_tradnl"/>
        </w:rPr>
        <w:t xml:space="preserve">jurídicos </w:t>
      </w:r>
      <w:r w:rsidRPr="00DB5ED7">
        <w:rPr>
          <w:lang w:val="es-ES_tradnl"/>
        </w:rPr>
        <w:t>y reglamentarios transparentes, coherentes y con visión de futuro, así como para avanzar hacia una toma de decisiones basada en evidencias</w:t>
      </w:r>
      <w:r w:rsidR="00864332" w:rsidRPr="00DB5ED7">
        <w:rPr>
          <w:lang w:val="es-ES_tradnl"/>
        </w:rPr>
        <w:t>;</w:t>
      </w:r>
    </w:p>
    <w:p w:rsidR="00864332" w:rsidRPr="00DB5ED7" w:rsidRDefault="001E1CD4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864332" w:rsidRPr="00DB5ED7">
        <w:rPr>
          <w:lang w:val="es-ES_tradnl"/>
        </w:rPr>
        <w:t>Optimiz</w:t>
      </w:r>
      <w:r w:rsidR="00146EE4" w:rsidRPr="00DB5ED7">
        <w:rPr>
          <w:lang w:val="es-ES_tradnl"/>
        </w:rPr>
        <w:t xml:space="preserve">ará las plataformas de análisis de datos existentes, como el </w:t>
      </w:r>
      <w:r w:rsidR="00864332" w:rsidRPr="00DB5ED7">
        <w:rPr>
          <w:lang w:val="es-ES_tradnl"/>
        </w:rPr>
        <w:t xml:space="preserve">ICTEye </w:t>
      </w:r>
      <w:r w:rsidR="00146EE4" w:rsidRPr="00DB5ED7">
        <w:rPr>
          <w:lang w:val="es-ES_tradnl"/>
        </w:rPr>
        <w:t>y el</w:t>
      </w:r>
      <w:r w:rsidR="00146EE4" w:rsidRPr="00DB5ED7">
        <w:rPr>
          <w:color w:val="000000"/>
          <w:lang w:val="es-ES_tradnl"/>
        </w:rPr>
        <w:t xml:space="preserve"> Rastreador de reglamentación de las TIC</w:t>
      </w:r>
      <w:r w:rsidR="00864332" w:rsidRPr="00DB5ED7">
        <w:rPr>
          <w:lang w:val="es-ES_tradnl"/>
        </w:rPr>
        <w:t>;</w:t>
      </w:r>
    </w:p>
    <w:p w:rsidR="00864332" w:rsidRPr="00DB5ED7" w:rsidRDefault="001E1CD4" w:rsidP="00DB5ED7">
      <w:pPr>
        <w:pStyle w:val="enumlev1"/>
        <w:rPr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146EE4" w:rsidRPr="00DB5ED7">
        <w:rPr>
          <w:lang w:val="es-ES_tradnl"/>
        </w:rPr>
        <w:t>Desarrollará iniciativas y proyectos reglamentarios nuevos para la BDT y sus Miembros</w:t>
      </w:r>
      <w:r w:rsidR="00864332" w:rsidRPr="00DB5ED7">
        <w:rPr>
          <w:lang w:val="es-ES_tradnl"/>
        </w:rPr>
        <w:t>;</w:t>
      </w:r>
    </w:p>
    <w:p w:rsidR="00864332" w:rsidRPr="00DB5ED7" w:rsidRDefault="001E1CD4" w:rsidP="00A4071B">
      <w:pPr>
        <w:pStyle w:val="enumlev1"/>
        <w:rPr>
          <w:iCs/>
          <w:lang w:val="es-ES_tradnl"/>
        </w:rPr>
      </w:pPr>
      <w:r w:rsidRPr="00DB5ED7">
        <w:rPr>
          <w:lang w:val="es-ES_tradnl"/>
        </w:rPr>
        <w:t>–</w:t>
      </w:r>
      <w:r w:rsidRPr="00DB5ED7">
        <w:rPr>
          <w:lang w:val="es-ES_tradnl"/>
        </w:rPr>
        <w:tab/>
      </w:r>
      <w:r w:rsidR="00146EE4" w:rsidRPr="00DB5ED7">
        <w:rPr>
          <w:lang w:val="es-ES_tradnl"/>
        </w:rPr>
        <w:t>Mejorará el uso de la comunicación electr</w:t>
      </w:r>
      <w:r w:rsidR="00180435" w:rsidRPr="00DB5ED7">
        <w:rPr>
          <w:lang w:val="es-ES_tradnl"/>
        </w:rPr>
        <w:t>ónica y</w:t>
      </w:r>
      <w:r w:rsidR="00146EE4" w:rsidRPr="00DB5ED7">
        <w:rPr>
          <w:lang w:val="es-ES_tradnl"/>
        </w:rPr>
        <w:t xml:space="preserve"> la</w:t>
      </w:r>
      <w:r w:rsidR="00723B10" w:rsidRPr="00DB5ED7">
        <w:rPr>
          <w:lang w:val="es-ES_tradnl"/>
        </w:rPr>
        <w:t xml:space="preserve"> difusión de la</w:t>
      </w:r>
      <w:r w:rsidR="00146EE4" w:rsidRPr="00DB5ED7">
        <w:rPr>
          <w:lang w:val="es-ES_tradnl"/>
        </w:rPr>
        <w:t xml:space="preserve">s actividades para contribuir a la toma de decisiones basada en evidencias y al establecimiento de </w:t>
      </w:r>
      <w:r w:rsidR="00B86030" w:rsidRPr="00DB5ED7">
        <w:rPr>
          <w:lang w:val="es-ES_tradnl"/>
        </w:rPr>
        <w:t>estrategias y</w:t>
      </w:r>
      <w:r w:rsidR="00146EE4" w:rsidRPr="00DB5ED7">
        <w:rPr>
          <w:lang w:val="es-ES_tradnl"/>
        </w:rPr>
        <w:t xml:space="preserve"> marcos </w:t>
      </w:r>
      <w:r w:rsidR="00B86030" w:rsidRPr="00DB5ED7">
        <w:rPr>
          <w:lang w:val="es-ES_tradnl"/>
        </w:rPr>
        <w:t xml:space="preserve">políticos, </w:t>
      </w:r>
      <w:r w:rsidR="00146EE4" w:rsidRPr="00DB5ED7">
        <w:rPr>
          <w:lang w:val="es-ES_tradnl"/>
        </w:rPr>
        <w:t>jurídicos y reglamentarios.</w:t>
      </w:r>
    </w:p>
    <w:p w:rsidR="00864332" w:rsidRPr="00DB5ED7" w:rsidRDefault="00864332" w:rsidP="00DB5ED7">
      <w:pPr>
        <w:pStyle w:val="Reasons"/>
        <w:rPr>
          <w:lang w:val="es-ES_tradnl"/>
        </w:rPr>
      </w:pPr>
    </w:p>
    <w:p w:rsidR="00770267" w:rsidRPr="00DB5ED7" w:rsidRDefault="00864332" w:rsidP="00DB5ED7">
      <w:pPr>
        <w:jc w:val="center"/>
        <w:rPr>
          <w:lang w:val="es-ES_tradnl"/>
        </w:rPr>
      </w:pPr>
      <w:r w:rsidRPr="00DB5ED7">
        <w:rPr>
          <w:lang w:val="es-ES_tradnl"/>
        </w:rPr>
        <w:t>______________</w:t>
      </w:r>
    </w:p>
    <w:sectPr w:rsidR="00770267" w:rsidRPr="00DB5ED7" w:rsidSect="004B7893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23" w:rsidRDefault="00296323" w:rsidP="0088106F">
      <w:r>
        <w:separator/>
      </w:r>
    </w:p>
  </w:endnote>
  <w:endnote w:type="continuationSeparator" w:id="0">
    <w:p w:rsidR="00296323" w:rsidRDefault="00296323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864332" w:rsidRDefault="00864332" w:rsidP="00864332">
    <w:pPr>
      <w:pStyle w:val="Footer"/>
      <w:rPr>
        <w:lang w:val="en-US"/>
      </w:rPr>
    </w:pPr>
    <w:r>
      <w:fldChar w:fldCharType="begin"/>
    </w:r>
    <w:r w:rsidRPr="00864332">
      <w:rPr>
        <w:lang w:val="en-US"/>
      </w:rPr>
      <w:instrText xml:space="preserve"> FILENAME \p  \* MERGEFORMAT </w:instrText>
    </w:r>
    <w:r>
      <w:fldChar w:fldCharType="separate"/>
    </w:r>
    <w:r w:rsidR="005F3C61">
      <w:rPr>
        <w:lang w:val="en-US"/>
      </w:rPr>
      <w:t>P:\ESP\ITU-D\CONF-D\TDAG19\000\016S.docx</w:t>
    </w:r>
    <w:r>
      <w:fldChar w:fldCharType="end"/>
    </w:r>
    <w:r>
      <w:rPr>
        <w:lang w:val="en-US"/>
      </w:rPr>
      <w:t xml:space="preserve"> (449221</w:t>
    </w:r>
    <w:r w:rsidRPr="00864332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F4190F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D1BD4" w:rsidP="005F3C6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576F6" w:rsidP="00EE455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7" w:name="OrgName"/>
          <w:bookmarkEnd w:id="7"/>
          <w:r w:rsidRPr="00A4071B">
            <w:rPr>
              <w:sz w:val="18"/>
              <w:szCs w:val="18"/>
              <w:lang w:val="es-ES_tradnl"/>
            </w:rPr>
            <w:t>Sr.</w:t>
          </w:r>
          <w:r w:rsidR="00296323" w:rsidRPr="00A4071B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="00296323" w:rsidRPr="00A4071B">
            <w:rPr>
              <w:sz w:val="18"/>
              <w:szCs w:val="18"/>
              <w:lang w:val="es-ES_tradnl"/>
            </w:rPr>
            <w:t>Kemal</w:t>
          </w:r>
          <w:proofErr w:type="spellEnd"/>
          <w:r w:rsidR="00296323" w:rsidRPr="00A4071B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="00296323" w:rsidRPr="00A4071B">
            <w:rPr>
              <w:sz w:val="18"/>
              <w:szCs w:val="18"/>
              <w:lang w:val="es-ES_tradnl"/>
            </w:rPr>
            <w:t>Huseinovic</w:t>
          </w:r>
          <w:proofErr w:type="spellEnd"/>
          <w:r w:rsidR="00296323" w:rsidRPr="00A4071B">
            <w:rPr>
              <w:sz w:val="18"/>
              <w:szCs w:val="18"/>
              <w:lang w:val="es-ES_tradnl"/>
            </w:rPr>
            <w:t xml:space="preserve">, </w:t>
          </w:r>
          <w:r w:rsidRPr="00A4071B">
            <w:rPr>
              <w:sz w:val="18"/>
              <w:szCs w:val="18"/>
              <w:lang w:val="es-ES_tradnl"/>
            </w:rPr>
            <w:t>Jefe, Departamento IEE</w:t>
          </w:r>
          <w:r w:rsidR="00296323" w:rsidRPr="00A4071B">
            <w:rPr>
              <w:sz w:val="18"/>
              <w:szCs w:val="18"/>
              <w:lang w:val="es-ES_tradnl"/>
            </w:rPr>
            <w:t>, BDT</w:t>
          </w:r>
        </w:p>
      </w:tc>
    </w:tr>
    <w:tr w:rsidR="009D1BD4" w:rsidRPr="009576F6" w:rsidTr="004E3CF5">
      <w:tc>
        <w:tcPr>
          <w:tcW w:w="1134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9D1BD4" w:rsidRPr="00A4071B" w:rsidRDefault="00296323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8" w:name="PhoneNo"/>
          <w:bookmarkEnd w:id="8"/>
          <w:r w:rsidRPr="00A4071B">
            <w:rPr>
              <w:sz w:val="18"/>
              <w:szCs w:val="18"/>
              <w:lang w:val="es-ES_tradnl"/>
            </w:rPr>
            <w:t>+41 22 730 5421</w:t>
          </w:r>
        </w:p>
      </w:tc>
    </w:tr>
    <w:tr w:rsidR="009D1BD4" w:rsidRPr="009576F6" w:rsidTr="004E3CF5">
      <w:tc>
        <w:tcPr>
          <w:tcW w:w="1134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Correo-e: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:rsidR="009D1BD4" w:rsidRPr="00A4071B" w:rsidRDefault="00296323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rStyle w:val="Hyperlink"/>
              <w:sz w:val="18"/>
              <w:szCs w:val="18"/>
              <w:lang w:val="es-ES_tradnl"/>
            </w:rPr>
            <w:fldChar w:fldCharType="begin"/>
          </w:r>
          <w:r w:rsidRPr="00A4071B">
            <w:rPr>
              <w:rStyle w:val="Hyperlink"/>
              <w:sz w:val="18"/>
              <w:szCs w:val="18"/>
              <w:lang w:val="es-ES_tradnl"/>
            </w:rPr>
            <w:instrText xml:space="preserve"> HYPERLINK "mailto:Kemal.huseinovic@itu.int" </w:instrText>
          </w:r>
          <w:r w:rsidRPr="00A4071B">
            <w:rPr>
              <w:rStyle w:val="Hyperlink"/>
              <w:sz w:val="18"/>
              <w:szCs w:val="18"/>
              <w:lang w:val="es-ES_tradnl"/>
            </w:rPr>
            <w:fldChar w:fldCharType="separate"/>
          </w:r>
          <w:r w:rsidRPr="00A4071B">
            <w:rPr>
              <w:rStyle w:val="Hyperlink"/>
              <w:sz w:val="18"/>
              <w:szCs w:val="18"/>
              <w:lang w:val="es-ES_tradnl"/>
            </w:rPr>
            <w:t>Kemal.huseinovic@itu.int</w:t>
          </w:r>
          <w:r w:rsidRPr="00A4071B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:rsidR="006E4AB3" w:rsidRPr="00E25C2C" w:rsidRDefault="00A4071B" w:rsidP="00E25C2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225D2E" w:rsidRPr="00EB2675">
        <w:rPr>
          <w:rFonts w:ascii="Calibri" w:hAnsi="Calibri"/>
          <w:color w:val="0000FF"/>
          <w:sz w:val="18"/>
          <w:szCs w:val="18"/>
          <w:u w:val="single"/>
          <w:lang w:val="en-US"/>
        </w:rPr>
        <w:t>GADT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23" w:rsidRDefault="00296323" w:rsidP="0088106F">
      <w:r>
        <w:separator/>
      </w:r>
    </w:p>
  </w:footnote>
  <w:footnote w:type="continuationSeparator" w:id="0">
    <w:p w:rsidR="00296323" w:rsidRDefault="00296323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57055B" w:rsidRDefault="009A6FC4" w:rsidP="0057055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="00296323">
      <w:rPr>
        <w:sz w:val="22"/>
        <w:szCs w:val="22"/>
        <w:lang w:val="en-US"/>
      </w:rPr>
      <w:t>/16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4071B">
      <w:rPr>
        <w:noProof/>
        <w:sz w:val="22"/>
        <w:szCs w:val="22"/>
        <w:lang w:val="en-US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363C0C"/>
    <w:multiLevelType w:val="hybridMultilevel"/>
    <w:tmpl w:val="9D0C6E3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3"/>
    <w:rsid w:val="000044E0"/>
    <w:rsid w:val="000135AE"/>
    <w:rsid w:val="00021EF9"/>
    <w:rsid w:val="0002200A"/>
    <w:rsid w:val="00024E28"/>
    <w:rsid w:val="00033D49"/>
    <w:rsid w:val="000725A1"/>
    <w:rsid w:val="0007548E"/>
    <w:rsid w:val="00082135"/>
    <w:rsid w:val="00094F1B"/>
    <w:rsid w:val="000C0AA7"/>
    <w:rsid w:val="000C3C90"/>
    <w:rsid w:val="000E7A0A"/>
    <w:rsid w:val="00112142"/>
    <w:rsid w:val="00132042"/>
    <w:rsid w:val="001447AA"/>
    <w:rsid w:val="00146EE4"/>
    <w:rsid w:val="00180435"/>
    <w:rsid w:val="00180785"/>
    <w:rsid w:val="00194CB2"/>
    <w:rsid w:val="001C608A"/>
    <w:rsid w:val="001E1CD4"/>
    <w:rsid w:val="002055C8"/>
    <w:rsid w:val="00213302"/>
    <w:rsid w:val="00221C14"/>
    <w:rsid w:val="002254FB"/>
    <w:rsid w:val="00225D2E"/>
    <w:rsid w:val="00241CB9"/>
    <w:rsid w:val="00293D04"/>
    <w:rsid w:val="00296323"/>
    <w:rsid w:val="002A7FAB"/>
    <w:rsid w:val="002C0D10"/>
    <w:rsid w:val="002D2D11"/>
    <w:rsid w:val="002D4BE6"/>
    <w:rsid w:val="002D6772"/>
    <w:rsid w:val="00301983"/>
    <w:rsid w:val="00302736"/>
    <w:rsid w:val="0033649F"/>
    <w:rsid w:val="00360762"/>
    <w:rsid w:val="00360DC3"/>
    <w:rsid w:val="00364FFA"/>
    <w:rsid w:val="003778A5"/>
    <w:rsid w:val="00390391"/>
    <w:rsid w:val="003D4CFB"/>
    <w:rsid w:val="003E683C"/>
    <w:rsid w:val="0045103B"/>
    <w:rsid w:val="00465F0A"/>
    <w:rsid w:val="00470A67"/>
    <w:rsid w:val="0047451F"/>
    <w:rsid w:val="00482632"/>
    <w:rsid w:val="00484E8C"/>
    <w:rsid w:val="00490B9D"/>
    <w:rsid w:val="004928CA"/>
    <w:rsid w:val="004A45F1"/>
    <w:rsid w:val="004B05C5"/>
    <w:rsid w:val="004B10C1"/>
    <w:rsid w:val="004B1413"/>
    <w:rsid w:val="004B7893"/>
    <w:rsid w:val="004E44CD"/>
    <w:rsid w:val="004E7861"/>
    <w:rsid w:val="00522A99"/>
    <w:rsid w:val="005237C5"/>
    <w:rsid w:val="00535C50"/>
    <w:rsid w:val="005557A3"/>
    <w:rsid w:val="005637B9"/>
    <w:rsid w:val="005643DC"/>
    <w:rsid w:val="0057055B"/>
    <w:rsid w:val="00572E02"/>
    <w:rsid w:val="005F3C61"/>
    <w:rsid w:val="005F6FC4"/>
    <w:rsid w:val="00602B27"/>
    <w:rsid w:val="00627468"/>
    <w:rsid w:val="006339E7"/>
    <w:rsid w:val="00635A62"/>
    <w:rsid w:val="006A4CE8"/>
    <w:rsid w:val="006C13BA"/>
    <w:rsid w:val="006C7C79"/>
    <w:rsid w:val="006D25D5"/>
    <w:rsid w:val="006E4AB3"/>
    <w:rsid w:val="006E6C9F"/>
    <w:rsid w:val="006F39EB"/>
    <w:rsid w:val="00723B10"/>
    <w:rsid w:val="007552BB"/>
    <w:rsid w:val="0076738F"/>
    <w:rsid w:val="00770267"/>
    <w:rsid w:val="007B7605"/>
    <w:rsid w:val="007C3061"/>
    <w:rsid w:val="007E2E35"/>
    <w:rsid w:val="007E471D"/>
    <w:rsid w:val="007E47B2"/>
    <w:rsid w:val="00826D4F"/>
    <w:rsid w:val="008348F8"/>
    <w:rsid w:val="00835A77"/>
    <w:rsid w:val="0086253D"/>
    <w:rsid w:val="00864332"/>
    <w:rsid w:val="00870CB3"/>
    <w:rsid w:val="0088106F"/>
    <w:rsid w:val="008C1852"/>
    <w:rsid w:val="008D11B4"/>
    <w:rsid w:val="008D789A"/>
    <w:rsid w:val="008F77DC"/>
    <w:rsid w:val="00904021"/>
    <w:rsid w:val="00917B12"/>
    <w:rsid w:val="009365A6"/>
    <w:rsid w:val="009528D7"/>
    <w:rsid w:val="009576F6"/>
    <w:rsid w:val="0097503E"/>
    <w:rsid w:val="009752D2"/>
    <w:rsid w:val="0097675D"/>
    <w:rsid w:val="009817B8"/>
    <w:rsid w:val="00991B13"/>
    <w:rsid w:val="009952F6"/>
    <w:rsid w:val="009A6FC4"/>
    <w:rsid w:val="009D1BD4"/>
    <w:rsid w:val="009E784F"/>
    <w:rsid w:val="009F6E14"/>
    <w:rsid w:val="00A33516"/>
    <w:rsid w:val="00A34A7A"/>
    <w:rsid w:val="00A4071B"/>
    <w:rsid w:val="00A440C3"/>
    <w:rsid w:val="00A45949"/>
    <w:rsid w:val="00A473C2"/>
    <w:rsid w:val="00A66C37"/>
    <w:rsid w:val="00A87DD9"/>
    <w:rsid w:val="00AB7093"/>
    <w:rsid w:val="00AE1BA7"/>
    <w:rsid w:val="00AF563E"/>
    <w:rsid w:val="00B70837"/>
    <w:rsid w:val="00B806BA"/>
    <w:rsid w:val="00B81CB7"/>
    <w:rsid w:val="00B85FA1"/>
    <w:rsid w:val="00B86030"/>
    <w:rsid w:val="00B92131"/>
    <w:rsid w:val="00BC7208"/>
    <w:rsid w:val="00BD6A05"/>
    <w:rsid w:val="00BF04C0"/>
    <w:rsid w:val="00BF4856"/>
    <w:rsid w:val="00C00523"/>
    <w:rsid w:val="00C10891"/>
    <w:rsid w:val="00C20962"/>
    <w:rsid w:val="00C56E0E"/>
    <w:rsid w:val="00C745D0"/>
    <w:rsid w:val="00C96F94"/>
    <w:rsid w:val="00CA200C"/>
    <w:rsid w:val="00CF0E71"/>
    <w:rsid w:val="00CF3927"/>
    <w:rsid w:val="00D02C81"/>
    <w:rsid w:val="00D05452"/>
    <w:rsid w:val="00D127DE"/>
    <w:rsid w:val="00D16175"/>
    <w:rsid w:val="00D372A5"/>
    <w:rsid w:val="00D4601C"/>
    <w:rsid w:val="00D5168D"/>
    <w:rsid w:val="00D629A4"/>
    <w:rsid w:val="00D711CE"/>
    <w:rsid w:val="00DA6479"/>
    <w:rsid w:val="00DB5ED7"/>
    <w:rsid w:val="00DE3FDF"/>
    <w:rsid w:val="00DE53AE"/>
    <w:rsid w:val="00E17138"/>
    <w:rsid w:val="00E204A0"/>
    <w:rsid w:val="00E25C2C"/>
    <w:rsid w:val="00E3302D"/>
    <w:rsid w:val="00E3519F"/>
    <w:rsid w:val="00E50DF5"/>
    <w:rsid w:val="00E51C72"/>
    <w:rsid w:val="00E527CD"/>
    <w:rsid w:val="00E827C2"/>
    <w:rsid w:val="00E968DF"/>
    <w:rsid w:val="00EB2675"/>
    <w:rsid w:val="00EB6D19"/>
    <w:rsid w:val="00EC053D"/>
    <w:rsid w:val="00ED2681"/>
    <w:rsid w:val="00EE4554"/>
    <w:rsid w:val="00EE4EF3"/>
    <w:rsid w:val="00F00179"/>
    <w:rsid w:val="00F01E28"/>
    <w:rsid w:val="00F12690"/>
    <w:rsid w:val="00F176E2"/>
    <w:rsid w:val="00F21A50"/>
    <w:rsid w:val="00F4190F"/>
    <w:rsid w:val="00F42BBC"/>
    <w:rsid w:val="00F56242"/>
    <w:rsid w:val="00F56EB7"/>
    <w:rsid w:val="00F7684F"/>
    <w:rsid w:val="00F97C3D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3FE2AD0-14ED-4C48-BEE9-5847A6B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86433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864332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8643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0CB3"/>
    <w:rPr>
      <w:color w:val="800080" w:themeColor="followedHyperlink"/>
      <w:u w:val="single"/>
    </w:rPr>
  </w:style>
  <w:style w:type="character" w:customStyle="1" w:styleId="preferred">
    <w:name w:val="preferred"/>
    <w:basedOn w:val="DefaultParagraphFont"/>
    <w:rsid w:val="00F7684F"/>
  </w:style>
  <w:style w:type="paragraph" w:customStyle="1" w:styleId="Default">
    <w:name w:val="Default"/>
    <w:rsid w:val="00377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2C0A-BA96-4126-8240-ABAEE3DA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27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9</cp:revision>
  <cp:lastPrinted>2019-01-29T08:11:00Z</cp:lastPrinted>
  <dcterms:created xsi:type="dcterms:W3CDTF">2019-01-29T07:50:00Z</dcterms:created>
  <dcterms:modified xsi:type="dcterms:W3CDTF">2019-01-29T10:21:00Z</dcterms:modified>
</cp:coreProperties>
</file>