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4E7861" w:rsidTr="00D92762">
        <w:trPr>
          <w:cantSplit/>
          <w:trHeight w:val="1134"/>
        </w:trPr>
        <w:tc>
          <w:tcPr>
            <w:tcW w:w="6663" w:type="dxa"/>
            <w:tcBorders>
              <w:bottom w:val="single" w:sz="12" w:space="0" w:color="auto"/>
            </w:tcBorders>
          </w:tcPr>
          <w:p w:rsidR="00D372A5" w:rsidRDefault="00D372A5" w:rsidP="00D75D50">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rsidR="00D372A5" w:rsidRPr="00560C51" w:rsidRDefault="004E7861" w:rsidP="00D75D50">
            <w:pPr>
              <w:spacing w:before="100" w:after="120"/>
              <w:rPr>
                <w:rFonts w:ascii="Verdana" w:hAnsi="Verdana"/>
                <w:sz w:val="28"/>
                <w:szCs w:val="28"/>
                <w:lang w:val="es-ES_tradnl"/>
              </w:rPr>
            </w:pPr>
            <w:r w:rsidRPr="00656B29">
              <w:rPr>
                <w:b/>
                <w:bCs/>
                <w:sz w:val="26"/>
                <w:szCs w:val="26"/>
                <w:lang w:val="es-ES_tradnl"/>
              </w:rPr>
              <w:t>2</w:t>
            </w:r>
            <w:r>
              <w:rPr>
                <w:b/>
                <w:bCs/>
                <w:sz w:val="26"/>
                <w:szCs w:val="26"/>
                <w:lang w:val="es-ES_tradnl"/>
              </w:rPr>
              <w:t>4</w:t>
            </w:r>
            <w:r w:rsidRPr="00656B29">
              <w:rPr>
                <w:b/>
                <w:bCs/>
                <w:sz w:val="26"/>
                <w:szCs w:val="26"/>
                <w:lang w:val="es-ES_tradnl"/>
              </w:rPr>
              <w:t xml:space="preserve">ª reunión, Ginebra, </w:t>
            </w:r>
            <w:r>
              <w:rPr>
                <w:b/>
                <w:bCs/>
                <w:sz w:val="26"/>
                <w:szCs w:val="26"/>
                <w:lang w:val="es-ES_tradnl"/>
              </w:rPr>
              <w:t>3</w:t>
            </w:r>
            <w:r w:rsidRPr="00656B29">
              <w:rPr>
                <w:b/>
                <w:bCs/>
                <w:sz w:val="26"/>
                <w:szCs w:val="26"/>
                <w:lang w:val="es-ES_tradnl"/>
              </w:rPr>
              <w:t>-</w:t>
            </w:r>
            <w:r>
              <w:rPr>
                <w:b/>
                <w:bCs/>
                <w:sz w:val="26"/>
                <w:szCs w:val="26"/>
                <w:lang w:val="es-ES_tradnl"/>
              </w:rPr>
              <w:t>5 de abril de 2019</w:t>
            </w:r>
          </w:p>
        </w:tc>
        <w:tc>
          <w:tcPr>
            <w:tcW w:w="3225" w:type="dxa"/>
            <w:tcBorders>
              <w:bottom w:val="single" w:sz="12" w:space="0" w:color="auto"/>
            </w:tcBorders>
          </w:tcPr>
          <w:p w:rsidR="00D372A5" w:rsidRPr="00560C51" w:rsidRDefault="004E7861" w:rsidP="00D75D50">
            <w:pPr>
              <w:spacing w:before="40" w:after="80"/>
              <w:ind w:right="142"/>
              <w:jc w:val="right"/>
              <w:rPr>
                <w:lang w:val="es-ES_tradnl"/>
              </w:rPr>
            </w:pPr>
            <w:r w:rsidRPr="008E52B1">
              <w:rPr>
                <w:noProof/>
                <w:color w:val="3399FF"/>
                <w:lang w:val="en-GB" w:eastAsia="zh-CN"/>
              </w:rPr>
              <w:drawing>
                <wp:inline distT="0" distB="0" distL="0" distR="0" wp14:anchorId="3180C089" wp14:editId="3367253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4E7861" w:rsidTr="004B7893">
        <w:trPr>
          <w:cantSplit/>
        </w:trPr>
        <w:tc>
          <w:tcPr>
            <w:tcW w:w="6663" w:type="dxa"/>
            <w:tcBorders>
              <w:top w:val="single" w:sz="12" w:space="0" w:color="auto"/>
            </w:tcBorders>
          </w:tcPr>
          <w:p w:rsidR="004B7893" w:rsidRPr="00560C51" w:rsidRDefault="004B7893" w:rsidP="00D75D50">
            <w:pPr>
              <w:spacing w:before="0"/>
              <w:rPr>
                <w:rFonts w:cs="Arial"/>
                <w:b/>
                <w:bCs/>
                <w:sz w:val="20"/>
                <w:lang w:val="es-ES_tradnl"/>
              </w:rPr>
            </w:pPr>
          </w:p>
        </w:tc>
        <w:tc>
          <w:tcPr>
            <w:tcW w:w="3225" w:type="dxa"/>
            <w:tcBorders>
              <w:top w:val="single" w:sz="12" w:space="0" w:color="auto"/>
            </w:tcBorders>
          </w:tcPr>
          <w:p w:rsidR="004B7893" w:rsidRPr="00560C51" w:rsidRDefault="004B7893" w:rsidP="00D75D50">
            <w:pPr>
              <w:spacing w:before="0"/>
              <w:rPr>
                <w:b/>
                <w:bCs/>
                <w:sz w:val="20"/>
                <w:lang w:val="es-ES_tradnl"/>
              </w:rPr>
            </w:pPr>
          </w:p>
        </w:tc>
      </w:tr>
      <w:tr w:rsidR="004B7893" w:rsidRPr="00560C51" w:rsidTr="004B7893">
        <w:trPr>
          <w:cantSplit/>
        </w:trPr>
        <w:tc>
          <w:tcPr>
            <w:tcW w:w="6663" w:type="dxa"/>
          </w:tcPr>
          <w:p w:rsidR="004B7893" w:rsidRPr="00560C51" w:rsidRDefault="004B7893" w:rsidP="00D75D50">
            <w:pPr>
              <w:pStyle w:val="Committee"/>
              <w:spacing w:before="0"/>
              <w:rPr>
                <w:b w:val="0"/>
                <w:lang w:val="es-ES_tradnl"/>
              </w:rPr>
            </w:pPr>
          </w:p>
        </w:tc>
        <w:tc>
          <w:tcPr>
            <w:tcW w:w="3225" w:type="dxa"/>
          </w:tcPr>
          <w:p w:rsidR="004B7893" w:rsidRPr="00560C51" w:rsidRDefault="005637B9" w:rsidP="00D75D50">
            <w:pPr>
              <w:spacing w:before="0"/>
              <w:rPr>
                <w:bCs/>
                <w:lang w:val="es-ES_tradnl"/>
              </w:rPr>
            </w:pPr>
            <w:r w:rsidRPr="00560C51">
              <w:rPr>
                <w:b/>
                <w:bCs/>
                <w:lang w:val="es-ES_tradnl"/>
              </w:rPr>
              <w:t xml:space="preserve">Documento </w:t>
            </w:r>
            <w:bookmarkStart w:id="0" w:name="DocRef1"/>
            <w:bookmarkEnd w:id="0"/>
            <w:r>
              <w:rPr>
                <w:b/>
                <w:bCs/>
                <w:lang w:val="es-ES_tradnl"/>
              </w:rPr>
              <w:t>TDAG</w:t>
            </w:r>
            <w:r w:rsidR="00602B27">
              <w:rPr>
                <w:b/>
                <w:bCs/>
                <w:lang w:val="es-ES_tradnl"/>
              </w:rPr>
              <w:t>-</w:t>
            </w:r>
            <w:r>
              <w:rPr>
                <w:b/>
                <w:bCs/>
                <w:lang w:val="es-ES_tradnl"/>
              </w:rPr>
              <w:t>1</w:t>
            </w:r>
            <w:r w:rsidR="004E7861">
              <w:rPr>
                <w:b/>
                <w:bCs/>
                <w:lang w:val="es-ES_tradnl"/>
              </w:rPr>
              <w:t>9</w:t>
            </w:r>
            <w:r w:rsidRPr="00560C51">
              <w:rPr>
                <w:b/>
                <w:bCs/>
                <w:lang w:val="es-ES_tradnl"/>
              </w:rPr>
              <w:t>/</w:t>
            </w:r>
            <w:bookmarkStart w:id="1" w:name="DocNo1"/>
            <w:bookmarkEnd w:id="1"/>
            <w:r w:rsidR="00E76E54">
              <w:rPr>
                <w:b/>
                <w:bCs/>
                <w:lang w:val="es-ES_tradnl"/>
              </w:rPr>
              <w:t>17</w:t>
            </w:r>
            <w:r>
              <w:rPr>
                <w:b/>
                <w:bCs/>
                <w:lang w:val="es-ES_tradnl"/>
              </w:rPr>
              <w:t>-S</w:t>
            </w:r>
          </w:p>
        </w:tc>
      </w:tr>
      <w:tr w:rsidR="004B7893" w:rsidRPr="00560C51" w:rsidTr="004B7893">
        <w:trPr>
          <w:cantSplit/>
        </w:trPr>
        <w:tc>
          <w:tcPr>
            <w:tcW w:w="6663" w:type="dxa"/>
          </w:tcPr>
          <w:p w:rsidR="004B7893" w:rsidRPr="00560C51" w:rsidRDefault="004B7893" w:rsidP="00D75D50">
            <w:pPr>
              <w:spacing w:before="0"/>
              <w:rPr>
                <w:b/>
                <w:bCs/>
                <w:smallCaps/>
                <w:lang w:val="es-ES_tradnl"/>
              </w:rPr>
            </w:pPr>
          </w:p>
        </w:tc>
        <w:tc>
          <w:tcPr>
            <w:tcW w:w="3225" w:type="dxa"/>
          </w:tcPr>
          <w:p w:rsidR="004B7893" w:rsidRPr="00360762" w:rsidRDefault="00E76E54" w:rsidP="00D75D50">
            <w:pPr>
              <w:spacing w:before="0"/>
              <w:rPr>
                <w:b/>
                <w:lang w:val="es-ES_tradnl"/>
              </w:rPr>
            </w:pPr>
            <w:bookmarkStart w:id="2" w:name="CreationDate"/>
            <w:bookmarkEnd w:id="2"/>
            <w:r>
              <w:rPr>
                <w:b/>
                <w:bCs/>
                <w:szCs w:val="28"/>
              </w:rPr>
              <w:t>25</w:t>
            </w:r>
            <w:r w:rsidR="00BC7208" w:rsidRPr="008F5D48">
              <w:rPr>
                <w:b/>
                <w:bCs/>
                <w:szCs w:val="28"/>
              </w:rPr>
              <w:t xml:space="preserve"> </w:t>
            </w:r>
            <w:r>
              <w:rPr>
                <w:b/>
                <w:bCs/>
                <w:szCs w:val="28"/>
              </w:rPr>
              <w:t>de enero de</w:t>
            </w:r>
            <w:r w:rsidR="00BC7208" w:rsidRPr="008F5D48">
              <w:rPr>
                <w:b/>
                <w:bCs/>
                <w:szCs w:val="28"/>
              </w:rPr>
              <w:t xml:space="preserve"> 201</w:t>
            </w:r>
            <w:r w:rsidR="004E7861">
              <w:rPr>
                <w:b/>
                <w:bCs/>
                <w:szCs w:val="28"/>
              </w:rPr>
              <w:t>9</w:t>
            </w:r>
          </w:p>
        </w:tc>
      </w:tr>
      <w:tr w:rsidR="004B7893" w:rsidRPr="00560C51" w:rsidTr="004B7893">
        <w:trPr>
          <w:cantSplit/>
        </w:trPr>
        <w:tc>
          <w:tcPr>
            <w:tcW w:w="6663" w:type="dxa"/>
          </w:tcPr>
          <w:p w:rsidR="004B7893" w:rsidRPr="00560C51" w:rsidRDefault="004B7893" w:rsidP="00D75D50">
            <w:pPr>
              <w:spacing w:before="0"/>
              <w:rPr>
                <w:b/>
                <w:bCs/>
                <w:smallCaps/>
                <w:lang w:val="es-ES_tradnl"/>
              </w:rPr>
            </w:pPr>
          </w:p>
        </w:tc>
        <w:tc>
          <w:tcPr>
            <w:tcW w:w="3225" w:type="dxa"/>
          </w:tcPr>
          <w:p w:rsidR="004B7893" w:rsidRPr="007F1CC7" w:rsidRDefault="005637B9" w:rsidP="00D75D50">
            <w:pPr>
              <w:spacing w:before="0"/>
              <w:rPr>
                <w:szCs w:val="24"/>
              </w:rPr>
            </w:pPr>
            <w:r w:rsidRPr="00560C51">
              <w:rPr>
                <w:b/>
                <w:lang w:val="es-ES_tradnl"/>
              </w:rPr>
              <w:t>Original:</w:t>
            </w:r>
            <w:bookmarkStart w:id="3" w:name="Original"/>
            <w:bookmarkEnd w:id="3"/>
            <w:r>
              <w:rPr>
                <w:b/>
                <w:lang w:val="es-ES_tradnl"/>
              </w:rPr>
              <w:t xml:space="preserve"> </w:t>
            </w:r>
            <w:r w:rsidR="00E76E54">
              <w:rPr>
                <w:b/>
                <w:lang w:val="es-ES_tradnl"/>
              </w:rPr>
              <w:t>inglés</w:t>
            </w:r>
          </w:p>
        </w:tc>
      </w:tr>
      <w:tr w:rsidR="004B7893" w:rsidRPr="00445C9B" w:rsidTr="004B7893">
        <w:trPr>
          <w:cantSplit/>
          <w:trHeight w:val="852"/>
        </w:trPr>
        <w:tc>
          <w:tcPr>
            <w:tcW w:w="9888" w:type="dxa"/>
            <w:gridSpan w:val="2"/>
          </w:tcPr>
          <w:p w:rsidR="004B7893" w:rsidRPr="00560C51" w:rsidRDefault="00547C98" w:rsidP="00D75D50">
            <w:pPr>
              <w:pStyle w:val="Source"/>
              <w:rPr>
                <w:szCs w:val="28"/>
                <w:lang w:val="es-ES_tradnl"/>
              </w:rPr>
            </w:pPr>
            <w:bookmarkStart w:id="4" w:name="Source"/>
            <w:bookmarkEnd w:id="4"/>
            <w:r w:rsidRPr="00F812C8">
              <w:rPr>
                <w:bCs/>
                <w:szCs w:val="28"/>
                <w:lang w:val="es-ES_tradnl"/>
              </w:rPr>
              <w:t>Director</w:t>
            </w:r>
            <w:r w:rsidR="00D36AAC">
              <w:rPr>
                <w:bCs/>
                <w:szCs w:val="28"/>
                <w:lang w:val="es-ES_tradnl"/>
              </w:rPr>
              <w:t>a</w:t>
            </w:r>
            <w:r w:rsidRPr="00F812C8">
              <w:rPr>
                <w:bCs/>
                <w:szCs w:val="28"/>
                <w:lang w:val="es-ES_tradnl"/>
              </w:rPr>
              <w:t xml:space="preserve"> de la Oficina de Desarrollo de las Telecomunicaciones</w:t>
            </w:r>
          </w:p>
        </w:tc>
      </w:tr>
      <w:tr w:rsidR="004B7893" w:rsidRPr="00445C9B" w:rsidTr="004B7893">
        <w:trPr>
          <w:cantSplit/>
        </w:trPr>
        <w:tc>
          <w:tcPr>
            <w:tcW w:w="9888" w:type="dxa"/>
            <w:gridSpan w:val="2"/>
          </w:tcPr>
          <w:p w:rsidR="004B7893" w:rsidRPr="00ED3B81" w:rsidRDefault="00C754DE" w:rsidP="008F6FB8">
            <w:pPr>
              <w:pStyle w:val="Title1"/>
              <w:rPr>
                <w:bCs/>
                <w:szCs w:val="28"/>
                <w:lang w:val="es-ES"/>
              </w:rPr>
            </w:pPr>
            <w:bookmarkStart w:id="5" w:name="Title"/>
            <w:bookmarkEnd w:id="5"/>
            <w:r w:rsidRPr="00ED3B81">
              <w:rPr>
                <w:szCs w:val="28"/>
                <w:lang w:val="es-ES"/>
              </w:rPr>
              <w:t xml:space="preserve">INFORME AL GADT SOBRE LA LABOR DEL GRUPO SOBRE </w:t>
            </w:r>
            <w:r w:rsidR="008F6FB8">
              <w:rPr>
                <w:szCs w:val="28"/>
                <w:lang w:val="es-ES"/>
              </w:rPr>
              <w:br/>
            </w:r>
            <w:r w:rsidRPr="00ED3B81">
              <w:rPr>
                <w:szCs w:val="28"/>
                <w:lang w:val="es-ES"/>
              </w:rPr>
              <w:t>INICIATIVAS DE CAPACITACIÓN (GIC)</w:t>
            </w:r>
          </w:p>
        </w:tc>
      </w:tr>
      <w:tr w:rsidR="004B7893" w:rsidRPr="00445C9B" w:rsidTr="004B7893">
        <w:trPr>
          <w:cantSplit/>
        </w:trPr>
        <w:tc>
          <w:tcPr>
            <w:tcW w:w="9888" w:type="dxa"/>
            <w:gridSpan w:val="2"/>
            <w:tcBorders>
              <w:bottom w:val="single" w:sz="4" w:space="0" w:color="auto"/>
            </w:tcBorders>
          </w:tcPr>
          <w:p w:rsidR="004B7893" w:rsidRPr="00ED3B81" w:rsidRDefault="004B7893" w:rsidP="00D75D50">
            <w:pPr>
              <w:rPr>
                <w:lang w:val="es-ES"/>
              </w:rPr>
            </w:pPr>
          </w:p>
        </w:tc>
      </w:tr>
      <w:tr w:rsidR="004B7893" w:rsidRPr="00445C9B"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1C1E1A" w:rsidRDefault="004B7893" w:rsidP="00D75D50">
            <w:pPr>
              <w:spacing w:before="240"/>
              <w:rPr>
                <w:b/>
                <w:bCs/>
                <w:lang w:val="es-ES_tradnl"/>
              </w:rPr>
            </w:pPr>
            <w:r w:rsidRPr="001C1E1A">
              <w:rPr>
                <w:b/>
                <w:bCs/>
                <w:lang w:val="es-ES_tradnl"/>
              </w:rPr>
              <w:t>Resumen:</w:t>
            </w:r>
          </w:p>
          <w:p w:rsidR="004B7893" w:rsidRPr="001C1E1A" w:rsidRDefault="001C1E1A" w:rsidP="00D75D50">
            <w:pPr>
              <w:rPr>
                <w:b/>
                <w:bCs/>
                <w:lang w:val="es-ES_tradnl"/>
              </w:rPr>
            </w:pPr>
            <w:r w:rsidRPr="00F812C8">
              <w:rPr>
                <w:szCs w:val="24"/>
                <w:lang w:val="es-ES_tradnl"/>
              </w:rPr>
              <w:t>El presente documento trata de los trabajos emprendidos por el Grupo sobre Iniciativas de Capacitación (GIC). El Grupo fue creado en virtud de la Resolución 40, adoptada por la Conferencia Mundial de Desarrollo de las Telecomunicaciones de 2010 (CMDT-10) y revisada por la CMDT</w:t>
            </w:r>
            <w:r>
              <w:rPr>
                <w:szCs w:val="24"/>
                <w:lang w:val="es-ES_tradnl"/>
              </w:rPr>
              <w:noBreakHyphen/>
            </w:r>
            <w:r w:rsidRPr="00F812C8">
              <w:rPr>
                <w:szCs w:val="24"/>
                <w:lang w:val="es-ES_tradnl"/>
              </w:rPr>
              <w:t>17, con objeto de prestar asesoramiento a</w:t>
            </w:r>
            <w:r w:rsidR="00D36AAC">
              <w:rPr>
                <w:szCs w:val="24"/>
                <w:lang w:val="es-ES_tradnl"/>
              </w:rPr>
              <w:t xml:space="preserve"> </w:t>
            </w:r>
            <w:r w:rsidRPr="00F812C8">
              <w:rPr>
                <w:szCs w:val="24"/>
                <w:lang w:val="es-ES_tradnl"/>
              </w:rPr>
              <w:t>l</w:t>
            </w:r>
            <w:r w:rsidR="00D36AAC">
              <w:rPr>
                <w:szCs w:val="24"/>
                <w:lang w:val="es-ES_tradnl"/>
              </w:rPr>
              <w:t>a</w:t>
            </w:r>
            <w:r w:rsidRPr="00F812C8">
              <w:rPr>
                <w:szCs w:val="24"/>
                <w:lang w:val="es-ES_tradnl"/>
              </w:rPr>
              <w:t xml:space="preserve"> Director</w:t>
            </w:r>
            <w:r w:rsidR="00D36AAC">
              <w:rPr>
                <w:szCs w:val="24"/>
                <w:lang w:val="es-ES_tradnl"/>
              </w:rPr>
              <w:t>a</w:t>
            </w:r>
            <w:r w:rsidRPr="00F812C8">
              <w:rPr>
                <w:szCs w:val="24"/>
                <w:lang w:val="es-ES_tradnl"/>
              </w:rPr>
              <w:t xml:space="preserve"> de la Oficina de Desarrollo de las Telecomunicaciones (BDT) sobre cuestiones relacionadas con la capacitación.</w:t>
            </w:r>
          </w:p>
          <w:p w:rsidR="004B7893" w:rsidRPr="001C1E1A" w:rsidRDefault="001C1E1A" w:rsidP="00D75D50">
            <w:pPr>
              <w:rPr>
                <w:b/>
                <w:bCs/>
                <w:lang w:val="es-ES_tradnl"/>
              </w:rPr>
            </w:pPr>
            <w:r>
              <w:rPr>
                <w:b/>
                <w:bCs/>
                <w:lang w:val="es-ES_tradnl"/>
              </w:rPr>
              <w:t>Acción solicitada:</w:t>
            </w:r>
          </w:p>
          <w:p w:rsidR="004B7893" w:rsidRPr="001C1E1A" w:rsidRDefault="00CB37DD" w:rsidP="00D75D50">
            <w:pPr>
              <w:rPr>
                <w:b/>
                <w:bCs/>
                <w:lang w:val="es-ES_tradnl"/>
              </w:rPr>
            </w:pPr>
            <w:r w:rsidRPr="00F812C8">
              <w:rPr>
                <w:szCs w:val="24"/>
                <w:lang w:val="es-ES_tradnl"/>
              </w:rPr>
              <w:t>Se invita al GADT a tomar nota del Informe y a formular los comentarios que estime convenientes.</w:t>
            </w:r>
          </w:p>
          <w:p w:rsidR="004B7893" w:rsidRPr="001C1E1A" w:rsidRDefault="004B7893" w:rsidP="00D75D50">
            <w:pPr>
              <w:rPr>
                <w:b/>
                <w:bCs/>
                <w:lang w:val="es-ES_tradnl"/>
              </w:rPr>
            </w:pPr>
            <w:r w:rsidRPr="001C1E1A">
              <w:rPr>
                <w:b/>
                <w:bCs/>
                <w:lang w:val="es-ES_tradnl"/>
              </w:rPr>
              <w:t>Referencias:</w:t>
            </w:r>
          </w:p>
          <w:p w:rsidR="00CB37DD" w:rsidRPr="00F812C8" w:rsidRDefault="00CB37DD" w:rsidP="00D75D50">
            <w:pPr>
              <w:rPr>
                <w:lang w:val="es-ES_tradnl"/>
              </w:rPr>
            </w:pPr>
            <w:r w:rsidRPr="00F812C8">
              <w:rPr>
                <w:lang w:val="es-ES_tradnl"/>
              </w:rPr>
              <w:t>Resolución 40 (Rev. Buenos Aires, 2017) de la CMDT, Grupo sobre Iniciativas de Capacitación</w:t>
            </w:r>
            <w:r w:rsidR="008F6FB8">
              <w:rPr>
                <w:lang w:val="es-ES_tradnl"/>
              </w:rPr>
              <w:t>.</w:t>
            </w:r>
          </w:p>
          <w:p w:rsidR="00CB37DD" w:rsidRPr="00F812C8" w:rsidRDefault="00CB37DD" w:rsidP="00D75D50">
            <w:pPr>
              <w:rPr>
                <w:lang w:val="es-ES_tradnl"/>
              </w:rPr>
            </w:pPr>
            <w:r w:rsidRPr="00F812C8">
              <w:rPr>
                <w:lang w:val="es-ES_tradnl"/>
              </w:rPr>
              <w:t>Resolución 73 (Rev. Buenos Aires, 2017) de la CMDT-14, Centros de Excelencia de la UIT</w:t>
            </w:r>
            <w:r w:rsidR="008F6FB8">
              <w:rPr>
                <w:lang w:val="es-ES_tradnl"/>
              </w:rPr>
              <w:t>.</w:t>
            </w:r>
          </w:p>
          <w:p w:rsidR="004B7893" w:rsidRPr="001C1E1A" w:rsidRDefault="00CB37DD" w:rsidP="00D75D50">
            <w:pPr>
              <w:spacing w:after="120"/>
              <w:rPr>
                <w:b/>
                <w:bCs/>
                <w:lang w:val="es-ES_tradnl"/>
              </w:rPr>
            </w:pPr>
            <w:r w:rsidRPr="00F812C8">
              <w:rPr>
                <w:lang w:val="es-ES_tradnl"/>
              </w:rPr>
              <w:t xml:space="preserve">Resolución 169 (Rev. </w:t>
            </w:r>
            <w:r>
              <w:rPr>
                <w:lang w:val="es-ES_tradnl"/>
              </w:rPr>
              <w:t>Dubái</w:t>
            </w:r>
            <w:r w:rsidRPr="00F812C8">
              <w:rPr>
                <w:lang w:val="es-ES_tradnl"/>
              </w:rPr>
              <w:t>, 201</w:t>
            </w:r>
            <w:r>
              <w:rPr>
                <w:lang w:val="es-ES_tradnl"/>
              </w:rPr>
              <w:t>8</w:t>
            </w:r>
            <w:r w:rsidRPr="00F812C8">
              <w:rPr>
                <w:lang w:val="es-ES_tradnl"/>
              </w:rPr>
              <w:t>) de la PP, Admisión de Instituciones Académicas para participar en los trabajos de la Unión</w:t>
            </w:r>
            <w:r w:rsidR="008F6FB8">
              <w:rPr>
                <w:lang w:val="es-ES_tradnl"/>
              </w:rPr>
              <w:t>.</w:t>
            </w:r>
          </w:p>
        </w:tc>
      </w:tr>
    </w:tbl>
    <w:p w:rsidR="000725A1" w:rsidRPr="000738AE" w:rsidRDefault="000725A1" w:rsidP="00D75D50">
      <w:pPr>
        <w:tabs>
          <w:tab w:val="clear" w:pos="794"/>
          <w:tab w:val="clear" w:pos="1191"/>
          <w:tab w:val="clear" w:pos="1588"/>
          <w:tab w:val="clear" w:pos="1985"/>
        </w:tabs>
        <w:overflowPunct/>
        <w:autoSpaceDE/>
        <w:autoSpaceDN/>
        <w:adjustRightInd/>
        <w:spacing w:before="0" w:after="200"/>
        <w:textAlignment w:val="auto"/>
        <w:rPr>
          <w:lang w:val="es-ES"/>
        </w:rPr>
      </w:pPr>
    </w:p>
    <w:p w:rsidR="002B3C29" w:rsidRPr="000738AE" w:rsidRDefault="002B3C29" w:rsidP="00D75D50">
      <w:pPr>
        <w:tabs>
          <w:tab w:val="clear" w:pos="794"/>
          <w:tab w:val="clear" w:pos="1191"/>
          <w:tab w:val="clear" w:pos="1588"/>
          <w:tab w:val="clear" w:pos="1985"/>
        </w:tabs>
        <w:overflowPunct/>
        <w:autoSpaceDE/>
        <w:autoSpaceDN/>
        <w:adjustRightInd/>
        <w:spacing w:before="0" w:after="200"/>
        <w:textAlignment w:val="auto"/>
        <w:rPr>
          <w:lang w:val="es-ES"/>
        </w:rPr>
      </w:pPr>
      <w:r w:rsidRPr="000738AE">
        <w:rPr>
          <w:lang w:val="es-ES"/>
        </w:rPr>
        <w:br w:type="page"/>
      </w:r>
    </w:p>
    <w:p w:rsidR="002B3C29" w:rsidRPr="00363602" w:rsidRDefault="00363602" w:rsidP="00D75D50">
      <w:pPr>
        <w:tabs>
          <w:tab w:val="clear" w:pos="794"/>
          <w:tab w:val="clear" w:pos="1191"/>
          <w:tab w:val="clear" w:pos="1588"/>
          <w:tab w:val="clear" w:pos="1985"/>
        </w:tabs>
        <w:overflowPunct/>
        <w:autoSpaceDE/>
        <w:autoSpaceDN/>
        <w:adjustRightInd/>
        <w:spacing w:before="0" w:after="200"/>
        <w:textAlignment w:val="auto"/>
        <w:rPr>
          <w:lang w:val="es-ES_tradnl"/>
        </w:rPr>
      </w:pPr>
      <w:r w:rsidRPr="00F812C8">
        <w:rPr>
          <w:lang w:val="es-ES_tradnl"/>
        </w:rPr>
        <w:lastRenderedPageBreak/>
        <w:t>El Grupo sobre Iniciativas de Capacitación (GIC) se creó en virtud de la Resolución 40, adoptada por la Conferencia Mundial de Desarrollo de las Telecomunicaciones de 2010 (CMDT-10) y revisada por la CMDT-17, con el fin de asesorar al Director de la Oficina de Desarrollo de las Telecomunicaciones (BDT) sobre temas relacionados con la capacitación.</w:t>
      </w:r>
    </w:p>
    <w:p w:rsidR="00C754DE" w:rsidRPr="00C754DE" w:rsidRDefault="008F6FB8" w:rsidP="008F6FB8">
      <w:pPr>
        <w:pStyle w:val="Heading1"/>
        <w:rPr>
          <w:lang w:val="es-ES"/>
        </w:rPr>
      </w:pPr>
      <w:r>
        <w:rPr>
          <w:lang w:val="es-ES"/>
        </w:rPr>
        <w:t>1</w:t>
      </w:r>
      <w:r>
        <w:rPr>
          <w:lang w:val="es-ES"/>
        </w:rPr>
        <w:tab/>
      </w:r>
      <w:r w:rsidR="00C754DE" w:rsidRPr="00C754DE">
        <w:rPr>
          <w:lang w:val="es-ES"/>
        </w:rPr>
        <w:t>Informe de la 6ª reunión del GIC (27-28 de febrero de 2018)</w:t>
      </w:r>
    </w:p>
    <w:p w:rsidR="00C754DE" w:rsidRPr="00C754DE" w:rsidRDefault="00C754DE" w:rsidP="008F6FB8">
      <w:pPr>
        <w:rPr>
          <w:lang w:val="es-ES"/>
        </w:rPr>
      </w:pPr>
      <w:r w:rsidRPr="00C754DE">
        <w:rPr>
          <w:lang w:val="es-ES"/>
        </w:rPr>
        <w:t>La 6ª reunión del GIC se celebró e</w:t>
      </w:r>
      <w:r w:rsidR="00B53D9C">
        <w:rPr>
          <w:lang w:val="es-ES"/>
        </w:rPr>
        <w:t>n Ginebra los días 27 y 28 de febr</w:t>
      </w:r>
      <w:r w:rsidRPr="00C754DE">
        <w:rPr>
          <w:lang w:val="es-ES"/>
        </w:rPr>
        <w:t>ero de 2018. En la reunión se abordaron las siguientes cuestiones:</w:t>
      </w:r>
    </w:p>
    <w:p w:rsidR="00C754DE" w:rsidRPr="00C754DE" w:rsidRDefault="008F6FB8" w:rsidP="00D36AAC">
      <w:pPr>
        <w:pStyle w:val="enumlev1"/>
        <w:rPr>
          <w:lang w:val="es-ES"/>
        </w:rPr>
      </w:pPr>
      <w:r w:rsidRPr="008F6FB8">
        <w:rPr>
          <w:lang w:val="es-ES"/>
        </w:rPr>
        <w:t>–</w:t>
      </w:r>
      <w:r>
        <w:rPr>
          <w:lang w:val="es-ES"/>
        </w:rPr>
        <w:tab/>
      </w:r>
      <w:r w:rsidR="00C754DE" w:rsidRPr="00C754DE">
        <w:rPr>
          <w:lang w:val="es-ES"/>
        </w:rPr>
        <w:t xml:space="preserve">Temas </w:t>
      </w:r>
      <w:r w:rsidR="00D36AAC">
        <w:rPr>
          <w:lang w:val="es-ES"/>
        </w:rPr>
        <w:t>por tratar en el futuro</w:t>
      </w:r>
      <w:r w:rsidR="00C754DE" w:rsidRPr="00C754DE">
        <w:rPr>
          <w:lang w:val="es-ES"/>
        </w:rPr>
        <w:t>, resultados de la CMDT-17 y examen del documento sobre los procesos y procedimientos operativos para la red</w:t>
      </w:r>
      <w:r>
        <w:rPr>
          <w:lang w:val="es-ES"/>
        </w:rPr>
        <w:t xml:space="preserve"> de Centros de Excelencia de la </w:t>
      </w:r>
      <w:r w:rsidR="00C754DE" w:rsidRPr="00C754DE">
        <w:rPr>
          <w:lang w:val="es-ES"/>
        </w:rPr>
        <w:t xml:space="preserve">UIT. </w:t>
      </w:r>
    </w:p>
    <w:p w:rsidR="00C754DE" w:rsidRPr="00C754DE" w:rsidRDefault="008F6FB8" w:rsidP="008F6FB8">
      <w:pPr>
        <w:pStyle w:val="enumlev1"/>
        <w:rPr>
          <w:lang w:val="es-ES"/>
        </w:rPr>
      </w:pPr>
      <w:r w:rsidRPr="008F6FB8">
        <w:rPr>
          <w:lang w:val="es-ES"/>
        </w:rPr>
        <w:t>–</w:t>
      </w:r>
      <w:r>
        <w:rPr>
          <w:lang w:val="es-ES"/>
        </w:rPr>
        <w:tab/>
      </w:r>
      <w:r w:rsidR="00C754DE" w:rsidRPr="00C754DE">
        <w:rPr>
          <w:lang w:val="es-ES"/>
        </w:rPr>
        <w:t xml:space="preserve">En relación con el documento revisado sobre los procesos y procedimientos operativos para la red de Centros de Excelencia de la UIT presentado por la Secretaría, tras un breve debate en el Grupo, el documento fue aprobado, considerándose una base sólida para la puesta en marcha del siguiente ciclo de la red de centros de excelencia. En lo referente a la selección de nuevos </w:t>
      </w:r>
      <w:r w:rsidR="00D36AAC" w:rsidRPr="00C754DE">
        <w:rPr>
          <w:lang w:val="es-ES"/>
        </w:rPr>
        <w:t xml:space="preserve">Centros </w:t>
      </w:r>
      <w:r w:rsidR="00C754DE" w:rsidRPr="00C754DE">
        <w:rPr>
          <w:lang w:val="es-ES"/>
        </w:rPr>
        <w:t xml:space="preserve">de </w:t>
      </w:r>
      <w:r w:rsidR="00D36AAC" w:rsidRPr="00C754DE">
        <w:rPr>
          <w:lang w:val="es-ES"/>
        </w:rPr>
        <w:t xml:space="preserve">Excelencia </w:t>
      </w:r>
      <w:r w:rsidR="00C754DE" w:rsidRPr="00C754DE">
        <w:rPr>
          <w:lang w:val="es-ES"/>
        </w:rPr>
        <w:t>para la siguiente ronda, el Grupo aprobó los plazos propuestos para completar ese proceso.</w:t>
      </w:r>
    </w:p>
    <w:p w:rsidR="00C754DE" w:rsidRPr="00C754DE" w:rsidRDefault="008F6FB8" w:rsidP="008F6FB8">
      <w:pPr>
        <w:pStyle w:val="enumlev1"/>
        <w:rPr>
          <w:lang w:val="es-ES"/>
        </w:rPr>
      </w:pPr>
      <w:r w:rsidRPr="008F6FB8">
        <w:rPr>
          <w:lang w:val="es-ES"/>
        </w:rPr>
        <w:t>–</w:t>
      </w:r>
      <w:r>
        <w:rPr>
          <w:lang w:val="es-ES"/>
        </w:rPr>
        <w:tab/>
      </w:r>
      <w:r w:rsidR="00C754DE" w:rsidRPr="00C754DE">
        <w:rPr>
          <w:lang w:val="es-ES"/>
        </w:rPr>
        <w:t>Expiración del mandato de los miembros del GIC: el Grupo señaló que, dado que el primer mandato de los miembros del GIC expiraba en diciembre de 2018, se daría inicio al proceso de convocatoria de candidaturas para los próximos cuatro años.</w:t>
      </w:r>
    </w:p>
    <w:p w:rsidR="00C754DE" w:rsidRPr="00C754DE" w:rsidRDefault="008F6FB8" w:rsidP="008F6FB8">
      <w:pPr>
        <w:pStyle w:val="enumlev1"/>
        <w:rPr>
          <w:lang w:val="es-ES"/>
        </w:rPr>
      </w:pPr>
      <w:r w:rsidRPr="008F6FB8">
        <w:rPr>
          <w:lang w:val="es-ES"/>
        </w:rPr>
        <w:t>–</w:t>
      </w:r>
      <w:r>
        <w:rPr>
          <w:lang w:val="es-ES"/>
        </w:rPr>
        <w:tab/>
      </w:r>
      <w:r w:rsidR="00C754DE" w:rsidRPr="00C754DE">
        <w:rPr>
          <w:lang w:val="es-ES"/>
        </w:rPr>
        <w:t>Intercambio de experiencias regionales: de las ponencias presentadas por el Grupo en relación con sus regiones respectivas y de los debates subsiguientes se desprendieron las siguientes cuestiones:</w:t>
      </w:r>
    </w:p>
    <w:p w:rsidR="00C754DE" w:rsidRPr="00C754DE" w:rsidRDefault="008F6FB8" w:rsidP="008F6FB8">
      <w:pPr>
        <w:pStyle w:val="enumlev2"/>
        <w:rPr>
          <w:lang w:val="es-ES"/>
        </w:rPr>
      </w:pPr>
      <w:r w:rsidRPr="008F6FB8">
        <w:rPr>
          <w:lang w:val="es-ES"/>
        </w:rPr>
        <w:t>•</w:t>
      </w:r>
      <w:r>
        <w:rPr>
          <w:lang w:val="es-ES"/>
        </w:rPr>
        <w:tab/>
      </w:r>
      <w:r w:rsidR="00C754DE" w:rsidRPr="00C754DE">
        <w:rPr>
          <w:lang w:val="es-ES"/>
        </w:rPr>
        <w:t xml:space="preserve">A pesar de las importantes diferencias entre las regiones en lo tocante a la cuestión de la capacitación, se observa que la mayor parte de las tendencias emergentes en materia de TIC son de alcance mundial. </w:t>
      </w:r>
    </w:p>
    <w:p w:rsidR="00C754DE" w:rsidRPr="00C754DE" w:rsidRDefault="008F6FB8" w:rsidP="008F6FB8">
      <w:pPr>
        <w:pStyle w:val="enumlev2"/>
        <w:rPr>
          <w:lang w:val="es-ES"/>
        </w:rPr>
      </w:pPr>
      <w:r w:rsidRPr="008F6FB8">
        <w:rPr>
          <w:lang w:val="es-ES"/>
        </w:rPr>
        <w:t>•</w:t>
      </w:r>
      <w:r>
        <w:rPr>
          <w:lang w:val="es-ES"/>
        </w:rPr>
        <w:tab/>
      </w:r>
      <w:r w:rsidR="00C754DE" w:rsidRPr="00C754DE">
        <w:rPr>
          <w:lang w:val="es-ES"/>
        </w:rPr>
        <w:t>La demanda de trabajadores con competencias digitales aumenta en todas las regiones y la mayoría de los países carece de la capacidad necesaria para desarrollar las competencias necesarias al ritmo exigido por la transformación digital.</w:t>
      </w:r>
    </w:p>
    <w:p w:rsidR="00C754DE" w:rsidRPr="00C754DE" w:rsidRDefault="008F6FB8" w:rsidP="008F6FB8">
      <w:pPr>
        <w:pStyle w:val="enumlev2"/>
        <w:rPr>
          <w:lang w:val="es-ES"/>
        </w:rPr>
      </w:pPr>
      <w:r w:rsidRPr="008F6FB8">
        <w:rPr>
          <w:lang w:val="es-ES"/>
        </w:rPr>
        <w:t>•</w:t>
      </w:r>
      <w:r>
        <w:rPr>
          <w:lang w:val="es-ES"/>
        </w:rPr>
        <w:tab/>
      </w:r>
      <w:r w:rsidR="00C754DE" w:rsidRPr="00C754DE">
        <w:rPr>
          <w:lang w:val="es-ES"/>
        </w:rPr>
        <w:t xml:space="preserve">Los grupos de beneficiarios de las actividades de capacitación deben ampliarse para incluir a profesionales (por ejemplo, directivos de nivel medio y superior), jóvenes y estudiantes, investigadores, PYME, comunidades insuficientemente atendidas y demás usuarios de las TIC. En particular, hay un creciente número de </w:t>
      </w:r>
      <w:r>
        <w:rPr>
          <w:lang w:val="es-ES"/>
        </w:rPr>
        <w:t>"</w:t>
      </w:r>
      <w:r w:rsidR="00C754DE" w:rsidRPr="00C754DE">
        <w:rPr>
          <w:lang w:val="es-ES"/>
        </w:rPr>
        <w:t>nativos digitales</w:t>
      </w:r>
      <w:r>
        <w:rPr>
          <w:lang w:val="es-ES"/>
        </w:rPr>
        <w:t>"</w:t>
      </w:r>
      <w:r w:rsidR="00C754DE" w:rsidRPr="00C754DE">
        <w:rPr>
          <w:lang w:val="es-ES"/>
        </w:rPr>
        <w:t xml:space="preserve"> que son la punta de lanza de los innovadores avances en materia de TIC. </w:t>
      </w:r>
    </w:p>
    <w:p w:rsidR="00C754DE" w:rsidRPr="00C754DE" w:rsidRDefault="008F6FB8" w:rsidP="008F6FB8">
      <w:pPr>
        <w:pStyle w:val="enumlev2"/>
        <w:rPr>
          <w:lang w:val="es-ES"/>
        </w:rPr>
      </w:pPr>
      <w:r w:rsidRPr="008F6FB8">
        <w:rPr>
          <w:lang w:val="es-ES"/>
        </w:rPr>
        <w:t>•</w:t>
      </w:r>
      <w:r>
        <w:rPr>
          <w:lang w:val="es-ES"/>
        </w:rPr>
        <w:tab/>
      </w:r>
      <w:r w:rsidR="00C754DE" w:rsidRPr="00C754DE">
        <w:rPr>
          <w:lang w:val="es-ES"/>
        </w:rPr>
        <w:t xml:space="preserve">La capacitación debe poder ajustarse a las necesidades específicas y prioridades de los diferentes grupos de beneficiarios. A ese respecto, es importante recabar comentarios de los usuarios de tecnología y contar con el firme compromiso de las partes interesadas, de los responsables de formulación de políticas y los reguladores, con el fin de poder analizar las necesidades y prioridades en materia de capacitación. </w:t>
      </w:r>
    </w:p>
    <w:p w:rsidR="00C754DE" w:rsidRPr="00C754DE" w:rsidRDefault="008F6FB8" w:rsidP="008F6FB8">
      <w:pPr>
        <w:pStyle w:val="enumlev2"/>
        <w:rPr>
          <w:lang w:val="es-ES"/>
        </w:rPr>
      </w:pPr>
      <w:r w:rsidRPr="008F6FB8">
        <w:rPr>
          <w:lang w:val="es-ES"/>
        </w:rPr>
        <w:t>•</w:t>
      </w:r>
      <w:r>
        <w:rPr>
          <w:lang w:val="es-ES"/>
        </w:rPr>
        <w:tab/>
      </w:r>
      <w:r w:rsidR="00C754DE" w:rsidRPr="00C754DE">
        <w:rPr>
          <w:lang w:val="es-ES"/>
        </w:rPr>
        <w:t>Los cursos de formación deben ser más interdisciplinarios, abordando al mismo tiempo los aspectos técnicos, comerciales y reglamentarios.</w:t>
      </w:r>
    </w:p>
    <w:p w:rsidR="00C754DE" w:rsidRPr="00C754DE" w:rsidRDefault="008F6FB8" w:rsidP="008F6FB8">
      <w:pPr>
        <w:pStyle w:val="enumlev2"/>
        <w:rPr>
          <w:lang w:val="es-ES"/>
        </w:rPr>
      </w:pPr>
      <w:r w:rsidRPr="008F6FB8">
        <w:rPr>
          <w:lang w:val="es-ES"/>
        </w:rPr>
        <w:t>•</w:t>
      </w:r>
      <w:r>
        <w:rPr>
          <w:lang w:val="es-ES"/>
        </w:rPr>
        <w:tab/>
      </w:r>
      <w:r w:rsidR="00C754DE" w:rsidRPr="00C754DE">
        <w:rPr>
          <w:lang w:val="es-ES"/>
        </w:rPr>
        <w:t xml:space="preserve">Al abordar los temas elegidos se deberá tener en cuenta el impacto que se desea lograr. La formación de los trabajadores para las necesidades futuras del mercado de trabajo deberá centrarse en la transformación digital y la economía digital, incluidas las cuestiones relativas a la IA, el análisis de los macrodatos y la ciencia de datos, </w:t>
      </w:r>
      <w:r w:rsidR="00C754DE" w:rsidRPr="00C754DE">
        <w:rPr>
          <w:lang w:val="es-ES"/>
        </w:rPr>
        <w:lastRenderedPageBreak/>
        <w:t>la</w:t>
      </w:r>
      <w:r w:rsidR="00795099">
        <w:rPr>
          <w:lang w:val="es-ES"/>
        </w:rPr>
        <w:t> </w:t>
      </w:r>
      <w:r w:rsidR="00C754DE" w:rsidRPr="00C754DE">
        <w:rPr>
          <w:lang w:val="es-ES"/>
        </w:rPr>
        <w:t>IoT, la computación en la nube y la ciberseguridad. Además, es importante impartir formación a los usuarios de las TIC centrada en las aplicaciones y soluciones de las TIC y en los aspectos no técnicos de la economía y la sociedad digitales.</w:t>
      </w:r>
    </w:p>
    <w:p w:rsidR="002B3C29" w:rsidRPr="00795099" w:rsidRDefault="00BE1B15" w:rsidP="00795099">
      <w:pPr>
        <w:tabs>
          <w:tab w:val="clear" w:pos="794"/>
          <w:tab w:val="clear" w:pos="1191"/>
          <w:tab w:val="clear" w:pos="1588"/>
          <w:tab w:val="clear" w:pos="1985"/>
        </w:tabs>
        <w:overflowPunct/>
        <w:autoSpaceDE/>
        <w:autoSpaceDN/>
        <w:adjustRightInd/>
        <w:textAlignment w:val="auto"/>
        <w:rPr>
          <w:lang w:val="es-ES_tradnl"/>
        </w:rPr>
      </w:pPr>
      <w:r w:rsidRPr="008F6FB8">
        <w:rPr>
          <w:lang w:val="es-ES_tradnl"/>
        </w:rPr>
        <w:t xml:space="preserve">El Informe </w:t>
      </w:r>
      <w:r w:rsidR="00C754DE" w:rsidRPr="008F6FB8">
        <w:rPr>
          <w:lang w:val="es-ES_tradnl"/>
        </w:rPr>
        <w:t>completo</w:t>
      </w:r>
      <w:r w:rsidRPr="008F6FB8">
        <w:rPr>
          <w:lang w:val="es-ES_tradnl"/>
        </w:rPr>
        <w:t xml:space="preserve"> de esta reunión puede consultarse en el sitio web de la </w:t>
      </w:r>
      <w:hyperlink r:id="rId9" w:history="1">
        <w:r w:rsidRPr="00795099">
          <w:rPr>
            <w:rStyle w:val="Hyperlink"/>
            <w:lang w:val="es-ES_tradnl"/>
          </w:rPr>
          <w:t>Academia de la UIT</w:t>
        </w:r>
      </w:hyperlink>
      <w:r w:rsidR="00795099">
        <w:rPr>
          <w:lang w:val="es-ES_tradnl"/>
        </w:rPr>
        <w:t>.</w:t>
      </w:r>
    </w:p>
    <w:p w:rsidR="00C754DE" w:rsidRPr="00C754DE" w:rsidRDefault="008F6FB8" w:rsidP="008F6FB8">
      <w:pPr>
        <w:pStyle w:val="Heading1"/>
        <w:rPr>
          <w:lang w:val="es-ES"/>
        </w:rPr>
      </w:pPr>
      <w:r>
        <w:rPr>
          <w:lang w:val="es-ES"/>
        </w:rPr>
        <w:t>2</w:t>
      </w:r>
      <w:r>
        <w:rPr>
          <w:lang w:val="es-ES"/>
        </w:rPr>
        <w:tab/>
      </w:r>
      <w:r w:rsidR="00C754DE" w:rsidRPr="00C754DE">
        <w:rPr>
          <w:lang w:val="es-ES"/>
        </w:rPr>
        <w:t>Nombramiento de los miembros del GIC</w:t>
      </w:r>
    </w:p>
    <w:p w:rsidR="00C754DE" w:rsidRPr="00C754DE" w:rsidRDefault="00C754DE" w:rsidP="00D75D50">
      <w:pPr>
        <w:tabs>
          <w:tab w:val="clear" w:pos="794"/>
          <w:tab w:val="clear" w:pos="1191"/>
          <w:tab w:val="clear" w:pos="1588"/>
          <w:tab w:val="clear" w:pos="1985"/>
          <w:tab w:val="left" w:pos="1134"/>
          <w:tab w:val="left" w:pos="1871"/>
          <w:tab w:val="left" w:pos="2268"/>
        </w:tabs>
        <w:rPr>
          <w:lang w:val="es-ES"/>
        </w:rPr>
      </w:pPr>
      <w:r w:rsidRPr="00C754DE">
        <w:rPr>
          <w:lang w:val="es-ES"/>
        </w:rPr>
        <w:t>Según el mandato del GIC, los miembros del</w:t>
      </w:r>
      <w:r w:rsidR="00795099">
        <w:rPr>
          <w:lang w:val="es-ES"/>
        </w:rPr>
        <w:t xml:space="preserve"> Grupo desempeñará</w:t>
      </w:r>
      <w:r w:rsidRPr="00C754DE">
        <w:rPr>
          <w:lang w:val="es-ES"/>
        </w:rPr>
        <w:t xml:space="preserve">n sus funciones durante un mandato (de cuatro años), en consonancia con el ciclo de la CMDT, y podrán cumplir otro mandato, tras el cual no podrán volver a ser reelegidos. </w:t>
      </w:r>
    </w:p>
    <w:p w:rsidR="00C754DE" w:rsidRPr="00C754DE" w:rsidRDefault="00C754DE" w:rsidP="00D75D50">
      <w:pPr>
        <w:tabs>
          <w:tab w:val="clear" w:pos="794"/>
          <w:tab w:val="clear" w:pos="1191"/>
          <w:tab w:val="clear" w:pos="1588"/>
          <w:tab w:val="clear" w:pos="1985"/>
          <w:tab w:val="left" w:pos="1134"/>
          <w:tab w:val="left" w:pos="1871"/>
          <w:tab w:val="left" w:pos="2268"/>
        </w:tabs>
        <w:rPr>
          <w:lang w:val="es-ES"/>
        </w:rPr>
      </w:pPr>
      <w:r w:rsidRPr="00C754DE">
        <w:rPr>
          <w:lang w:val="es-ES"/>
        </w:rPr>
        <w:t xml:space="preserve">El primer/segundo mandato de algunos de los miembros del GIC expiró a finales de 2018. Por consiguiente, el Director de la BDT lanzó una convocatoria de candidaturas, invitando a las organizaciones de telecomunicaciones regionales a coordinarse y seleccionar candidatos de sus regiones y proponer los nombres de dos candidatos. </w:t>
      </w:r>
    </w:p>
    <w:p w:rsidR="00C754DE" w:rsidRPr="00C754DE" w:rsidRDefault="00C754DE" w:rsidP="00D75D50">
      <w:pPr>
        <w:tabs>
          <w:tab w:val="clear" w:pos="794"/>
          <w:tab w:val="clear" w:pos="1191"/>
          <w:tab w:val="clear" w:pos="1588"/>
          <w:tab w:val="clear" w:pos="1985"/>
          <w:tab w:val="left" w:pos="1134"/>
          <w:tab w:val="left" w:pos="1871"/>
          <w:tab w:val="left" w:pos="2268"/>
        </w:tabs>
        <w:rPr>
          <w:lang w:val="es-ES"/>
        </w:rPr>
      </w:pPr>
      <w:r w:rsidRPr="00C754DE">
        <w:rPr>
          <w:lang w:val="es-ES"/>
        </w:rPr>
        <w:t xml:space="preserve">En virtud de la Resolución 40, el GIC debe estar integrado por </w:t>
      </w:r>
      <w:r w:rsidR="008F6FB8">
        <w:rPr>
          <w:lang w:val="es-ES"/>
        </w:rPr>
        <w:t>"</w:t>
      </w:r>
      <w:r w:rsidRPr="00C754DE">
        <w:rPr>
          <w:lang w:val="es-ES"/>
        </w:rPr>
        <w:t>dos expertos en capacitación que representen a cada una de las seis regiones</w:t>
      </w:r>
      <w:r w:rsidR="008F6FB8">
        <w:rPr>
          <w:lang w:val="es-ES"/>
        </w:rPr>
        <w:t>"</w:t>
      </w:r>
      <w:r w:rsidRPr="00C754DE">
        <w:rPr>
          <w:lang w:val="es-ES"/>
        </w:rPr>
        <w:t>, que estén familiarizados con los avances en el sector de las TIC y con las necesidades de sus regiones en lo que atañe a la capacitación.</w:t>
      </w:r>
    </w:p>
    <w:p w:rsidR="00C754DE" w:rsidRPr="00C754DE" w:rsidRDefault="00C754DE" w:rsidP="00D75D50">
      <w:pPr>
        <w:tabs>
          <w:tab w:val="clear" w:pos="794"/>
          <w:tab w:val="clear" w:pos="1191"/>
          <w:tab w:val="clear" w:pos="1588"/>
          <w:tab w:val="clear" w:pos="1985"/>
          <w:tab w:val="left" w:pos="1134"/>
          <w:tab w:val="left" w:pos="1871"/>
          <w:tab w:val="left" w:pos="2268"/>
        </w:tabs>
        <w:rPr>
          <w:lang w:val="es-ES"/>
        </w:rPr>
      </w:pPr>
      <w:r w:rsidRPr="00C754DE">
        <w:rPr>
          <w:lang w:val="es-ES"/>
        </w:rPr>
        <w:t xml:space="preserve">Todas las organizaciones de telecomunicaciones regionales finalizaron el proceso de presentación de candidaturas. La nueva lista de miembros del GIC figura en el Anexo 1. </w:t>
      </w:r>
    </w:p>
    <w:p w:rsidR="00C754DE" w:rsidRPr="008F6FB8" w:rsidRDefault="008F6FB8" w:rsidP="008F6FB8">
      <w:pPr>
        <w:pStyle w:val="Heading1"/>
        <w:rPr>
          <w:lang w:val="es-ES"/>
        </w:rPr>
      </w:pPr>
      <w:r>
        <w:rPr>
          <w:lang w:val="es-ES"/>
        </w:rPr>
        <w:t>3</w:t>
      </w:r>
      <w:r>
        <w:rPr>
          <w:lang w:val="es-ES"/>
        </w:rPr>
        <w:tab/>
      </w:r>
      <w:r w:rsidR="00C754DE" w:rsidRPr="008F6FB8">
        <w:rPr>
          <w:lang w:val="es-ES"/>
        </w:rPr>
        <w:t>7ª reunión del GIC</w:t>
      </w:r>
    </w:p>
    <w:p w:rsidR="00C754DE" w:rsidRPr="00C754DE" w:rsidRDefault="00C754DE" w:rsidP="00445C9B">
      <w:pPr>
        <w:tabs>
          <w:tab w:val="clear" w:pos="794"/>
          <w:tab w:val="clear" w:pos="1191"/>
          <w:tab w:val="clear" w:pos="1588"/>
          <w:tab w:val="clear" w:pos="1985"/>
          <w:tab w:val="left" w:pos="1134"/>
          <w:tab w:val="left" w:pos="1871"/>
          <w:tab w:val="left" w:pos="2268"/>
        </w:tabs>
        <w:rPr>
          <w:lang w:val="es-ES"/>
        </w:rPr>
      </w:pPr>
      <w:r w:rsidRPr="00C754DE">
        <w:rPr>
          <w:lang w:val="es-ES"/>
        </w:rPr>
        <w:t xml:space="preserve">La 7ª reunión del GIC tendrá lugar en Ginebra, los días </w:t>
      </w:r>
      <w:bookmarkStart w:id="6" w:name="_GoBack"/>
      <w:bookmarkEnd w:id="6"/>
      <w:r w:rsidRPr="00445C9B">
        <w:rPr>
          <w:lang w:val="es-ES"/>
        </w:rPr>
        <w:t xml:space="preserve">19 y 20 de marzo </w:t>
      </w:r>
      <w:r w:rsidRPr="00C754DE">
        <w:rPr>
          <w:lang w:val="es-ES"/>
        </w:rPr>
        <w:t xml:space="preserve">de 2019. </w:t>
      </w:r>
    </w:p>
    <w:p w:rsidR="008F6FB8" w:rsidRPr="00445C9B" w:rsidRDefault="008F6FB8" w:rsidP="00411C49">
      <w:pPr>
        <w:pStyle w:val="Reasons"/>
        <w:rPr>
          <w:lang w:val="es-ES"/>
        </w:rPr>
      </w:pPr>
    </w:p>
    <w:p w:rsidR="008F6FB8" w:rsidRDefault="008F6FB8">
      <w:pPr>
        <w:jc w:val="center"/>
      </w:pPr>
      <w:r>
        <w:t>______________</w:t>
      </w:r>
    </w:p>
    <w:p w:rsidR="00D432CA" w:rsidRPr="008F6FB8" w:rsidRDefault="00D432CA" w:rsidP="00D75D50">
      <w:pPr>
        <w:tabs>
          <w:tab w:val="clear" w:pos="794"/>
          <w:tab w:val="clear" w:pos="1191"/>
          <w:tab w:val="clear" w:pos="1588"/>
          <w:tab w:val="clear" w:pos="1985"/>
        </w:tabs>
        <w:overflowPunct/>
        <w:autoSpaceDE/>
        <w:autoSpaceDN/>
        <w:adjustRightInd/>
        <w:spacing w:before="0" w:after="200"/>
        <w:textAlignment w:val="auto"/>
        <w:rPr>
          <w:lang w:val="es-ES_tradnl"/>
        </w:rPr>
      </w:pPr>
    </w:p>
    <w:sectPr w:rsidR="00D432CA" w:rsidRPr="008F6FB8" w:rsidSect="004B7893">
      <w:headerReference w:type="default" r:id="rId10"/>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E54" w:rsidRDefault="00E76E54" w:rsidP="0088106F">
      <w:r>
        <w:separator/>
      </w:r>
    </w:p>
  </w:endnote>
  <w:endnote w:type="continuationSeparator" w:id="0">
    <w:p w:rsidR="00E76E54" w:rsidRDefault="00E76E54"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Default="00795099" w:rsidP="00D75D50">
    <w:pPr>
      <w:pStyle w:val="Footer"/>
    </w:pPr>
    <w:fldSimple w:instr=" FILENAME \p  \* MERGEFORMAT ">
      <w:r w:rsidR="00057EBD">
        <w:t>P:\ESP\ITU-D\CONF-D\TDAG19\000\017S.docx</w:t>
      </w:r>
    </w:fldSimple>
    <w:r w:rsidR="00D75D50">
      <w:t xml:space="preserve"> (449222)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9D1BD4" w:rsidRPr="00445C9B" w:rsidTr="00057EBD">
      <w:trPr>
        <w:trHeight w:val="553"/>
      </w:trPr>
      <w:tc>
        <w:tcPr>
          <w:tcW w:w="1134" w:type="dxa"/>
          <w:tcBorders>
            <w:top w:val="single" w:sz="4" w:space="0" w:color="000000"/>
          </w:tcBorders>
          <w:shd w:val="clear" w:color="auto" w:fill="auto"/>
        </w:tcPr>
        <w:p w:rsidR="009D1BD4" w:rsidRPr="004D495C" w:rsidRDefault="009D1BD4" w:rsidP="009D1BD4">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52" w:type="dxa"/>
          <w:tcBorders>
            <w:top w:val="single" w:sz="4" w:space="0" w:color="000000"/>
          </w:tcBorders>
          <w:shd w:val="clear" w:color="auto" w:fill="auto"/>
        </w:tcPr>
        <w:p w:rsidR="009D1BD4" w:rsidRPr="004D495C" w:rsidRDefault="009D1BD4" w:rsidP="009D1BD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9D1BD4" w:rsidRPr="00057EBD" w:rsidRDefault="00D75D50" w:rsidP="00057EBD">
          <w:pPr>
            <w:pStyle w:val="FirstFooter"/>
            <w:tabs>
              <w:tab w:val="left" w:pos="2302"/>
            </w:tabs>
            <w:rPr>
              <w:sz w:val="18"/>
              <w:szCs w:val="18"/>
              <w:lang w:val="es-ES_tradnl"/>
            </w:rPr>
          </w:pPr>
          <w:bookmarkStart w:id="7" w:name="OrgName"/>
          <w:bookmarkEnd w:id="7"/>
          <w:r w:rsidRPr="00057EBD">
            <w:rPr>
              <w:sz w:val="18"/>
              <w:szCs w:val="18"/>
              <w:lang w:val="es-ES_tradnl"/>
            </w:rPr>
            <w:t xml:space="preserve">Sr. Cosmas Zavazava, </w:t>
          </w:r>
          <w:r w:rsidR="00057EBD" w:rsidRPr="00057EBD">
            <w:rPr>
              <w:sz w:val="18"/>
              <w:szCs w:val="18"/>
              <w:lang w:val="es-ES_tradnl"/>
            </w:rPr>
            <w:t xml:space="preserve">Jefe del Departamento de Proyectos y Gestión del Conocimiento </w:t>
          </w:r>
          <w:r w:rsidRPr="00057EBD">
            <w:rPr>
              <w:sz w:val="18"/>
              <w:szCs w:val="18"/>
              <w:lang w:val="es-ES_tradnl"/>
            </w:rPr>
            <w:t xml:space="preserve">(PKM), </w:t>
          </w:r>
          <w:r w:rsidR="00057EBD">
            <w:rPr>
              <w:sz w:val="18"/>
              <w:szCs w:val="18"/>
              <w:lang w:val="es-ES_tradnl"/>
            </w:rPr>
            <w:t xml:space="preserve">Oficina de Desarrollo de las </w:t>
          </w:r>
          <w:r w:rsidRPr="00057EBD">
            <w:rPr>
              <w:sz w:val="18"/>
              <w:szCs w:val="18"/>
              <w:lang w:val="es-ES_tradnl"/>
            </w:rPr>
            <w:t>Telecom</w:t>
          </w:r>
          <w:r w:rsidR="00057EBD">
            <w:rPr>
              <w:sz w:val="18"/>
              <w:szCs w:val="18"/>
              <w:lang w:val="es-ES_tradnl"/>
            </w:rPr>
            <w:t>unicaciones</w:t>
          </w:r>
        </w:p>
      </w:tc>
    </w:tr>
    <w:tr w:rsidR="009D1BD4" w:rsidRPr="00D75D50" w:rsidTr="004E3CF5">
      <w:tc>
        <w:tcPr>
          <w:tcW w:w="1134" w:type="dxa"/>
          <w:shd w:val="clear" w:color="auto" w:fill="auto"/>
        </w:tcPr>
        <w:p w:rsidR="009D1BD4" w:rsidRPr="00057EBD" w:rsidRDefault="009D1BD4" w:rsidP="009D1BD4">
          <w:pPr>
            <w:pStyle w:val="FirstFooter"/>
            <w:tabs>
              <w:tab w:val="left" w:pos="1559"/>
              <w:tab w:val="left" w:pos="3828"/>
            </w:tabs>
            <w:rPr>
              <w:sz w:val="20"/>
              <w:lang w:val="es-ES_tradnl"/>
            </w:rPr>
          </w:pPr>
        </w:p>
      </w:tc>
      <w:tc>
        <w:tcPr>
          <w:tcW w:w="2552" w:type="dxa"/>
          <w:shd w:val="clear" w:color="auto" w:fill="auto"/>
        </w:tcPr>
        <w:p w:rsidR="009D1BD4" w:rsidRPr="004D495C" w:rsidRDefault="009D1BD4" w:rsidP="009D1BD4">
          <w:pPr>
            <w:pStyle w:val="FirstFooter"/>
            <w:tabs>
              <w:tab w:val="left" w:pos="2302"/>
            </w:tabs>
            <w:rPr>
              <w:sz w:val="18"/>
              <w:szCs w:val="18"/>
              <w:lang w:val="en-US"/>
            </w:rPr>
          </w:pPr>
          <w:proofErr w:type="spellStart"/>
          <w:r>
            <w:rPr>
              <w:sz w:val="18"/>
              <w:szCs w:val="18"/>
              <w:lang w:val="en-US"/>
            </w:rPr>
            <w:t>Teléfono</w:t>
          </w:r>
          <w:proofErr w:type="spellEnd"/>
          <w:r w:rsidRPr="004D495C">
            <w:rPr>
              <w:sz w:val="18"/>
              <w:szCs w:val="18"/>
              <w:lang w:val="en-US"/>
            </w:rPr>
            <w:t>:</w:t>
          </w:r>
        </w:p>
      </w:tc>
      <w:tc>
        <w:tcPr>
          <w:tcW w:w="6237" w:type="dxa"/>
          <w:shd w:val="clear" w:color="auto" w:fill="auto"/>
        </w:tcPr>
        <w:p w:rsidR="009D1BD4" w:rsidRPr="00050E06" w:rsidRDefault="00D75D50" w:rsidP="009D1BD4">
          <w:pPr>
            <w:pStyle w:val="FirstFooter"/>
            <w:tabs>
              <w:tab w:val="left" w:pos="2302"/>
            </w:tabs>
            <w:rPr>
              <w:sz w:val="18"/>
              <w:szCs w:val="18"/>
              <w:lang w:val="en-US"/>
            </w:rPr>
          </w:pPr>
          <w:bookmarkStart w:id="8" w:name="PhoneNo"/>
          <w:bookmarkEnd w:id="8"/>
          <w:r w:rsidRPr="006F6E5C">
            <w:rPr>
              <w:sz w:val="18"/>
              <w:szCs w:val="18"/>
              <w:lang w:val="en-US"/>
            </w:rPr>
            <w:t>+41 22 7305447</w:t>
          </w:r>
        </w:p>
      </w:tc>
    </w:tr>
    <w:tr w:rsidR="009D1BD4" w:rsidRPr="00D75D50" w:rsidTr="004E3CF5">
      <w:tc>
        <w:tcPr>
          <w:tcW w:w="1134" w:type="dxa"/>
          <w:shd w:val="clear" w:color="auto" w:fill="auto"/>
        </w:tcPr>
        <w:p w:rsidR="009D1BD4" w:rsidRPr="004D495C" w:rsidRDefault="009D1BD4" w:rsidP="009D1BD4">
          <w:pPr>
            <w:pStyle w:val="FirstFooter"/>
            <w:tabs>
              <w:tab w:val="left" w:pos="1559"/>
              <w:tab w:val="left" w:pos="3828"/>
            </w:tabs>
            <w:rPr>
              <w:sz w:val="20"/>
              <w:lang w:val="en-US"/>
            </w:rPr>
          </w:pPr>
        </w:p>
      </w:tc>
      <w:tc>
        <w:tcPr>
          <w:tcW w:w="2552" w:type="dxa"/>
          <w:shd w:val="clear" w:color="auto" w:fill="auto"/>
        </w:tcPr>
        <w:p w:rsidR="009D1BD4" w:rsidRPr="004D495C" w:rsidRDefault="009D1BD4" w:rsidP="009D1BD4">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9" w:name="Email"/>
      <w:bookmarkEnd w:id="9"/>
      <w:tc>
        <w:tcPr>
          <w:tcW w:w="6237" w:type="dxa"/>
          <w:shd w:val="clear" w:color="auto" w:fill="auto"/>
        </w:tcPr>
        <w:p w:rsidR="009D1BD4" w:rsidRPr="00050E06" w:rsidRDefault="00D75D50" w:rsidP="009D1BD4">
          <w:pPr>
            <w:pStyle w:val="FirstFooter"/>
            <w:tabs>
              <w:tab w:val="left" w:pos="2302"/>
            </w:tabs>
            <w:rPr>
              <w:sz w:val="18"/>
              <w:szCs w:val="18"/>
              <w:lang w:val="en-US"/>
            </w:rPr>
          </w:pPr>
          <w:r>
            <w:rPr>
              <w:rStyle w:val="Hyperlink"/>
              <w:sz w:val="18"/>
              <w:szCs w:val="18"/>
              <w:lang w:val="en-US"/>
            </w:rPr>
            <w:fldChar w:fldCharType="begin"/>
          </w:r>
          <w:r>
            <w:rPr>
              <w:rStyle w:val="Hyperlink"/>
              <w:sz w:val="18"/>
              <w:szCs w:val="18"/>
              <w:lang w:val="en-US"/>
            </w:rPr>
            <w:instrText xml:space="preserve"> HYPERLINK "mailto:cosmas.zavazava@itu.int" </w:instrText>
          </w:r>
          <w:r>
            <w:rPr>
              <w:rStyle w:val="Hyperlink"/>
              <w:sz w:val="18"/>
              <w:szCs w:val="18"/>
              <w:lang w:val="en-US"/>
            </w:rPr>
            <w:fldChar w:fldCharType="separate"/>
          </w:r>
          <w:r w:rsidRPr="00C77B30">
            <w:rPr>
              <w:rStyle w:val="Hyperlink"/>
              <w:sz w:val="18"/>
              <w:szCs w:val="18"/>
              <w:lang w:val="en-US"/>
            </w:rPr>
            <w:t>cosmas.zavazava@itu.int</w:t>
          </w:r>
          <w:r>
            <w:rPr>
              <w:rStyle w:val="Hyperlink"/>
              <w:sz w:val="18"/>
              <w:szCs w:val="18"/>
              <w:lang w:val="en-US"/>
            </w:rPr>
            <w:fldChar w:fldCharType="end"/>
          </w:r>
        </w:p>
      </w:tc>
    </w:tr>
  </w:tbl>
  <w:p w:rsidR="006E4AB3" w:rsidRPr="00547C98" w:rsidRDefault="00445C9B" w:rsidP="00D75D50">
    <w:pPr>
      <w:pStyle w:val="Footer"/>
      <w:spacing w:before="120"/>
      <w:jc w:val="center"/>
      <w:rPr>
        <w:lang w:val="en-US"/>
      </w:rPr>
    </w:pPr>
    <w:hyperlink r:id="rId1" w:history="1">
      <w:r w:rsidR="00D75D50"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E54" w:rsidRDefault="00E76E54" w:rsidP="0088106F">
      <w:r>
        <w:separator/>
      </w:r>
    </w:p>
  </w:footnote>
  <w:footnote w:type="continuationSeparator" w:id="0">
    <w:p w:rsidR="00E76E54" w:rsidRDefault="00E76E54"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445C9B" w:rsidRDefault="009A6FC4" w:rsidP="004E7861">
    <w:pPr>
      <w:tabs>
        <w:tab w:val="clear" w:pos="794"/>
        <w:tab w:val="clear" w:pos="1191"/>
        <w:tab w:val="clear" w:pos="1588"/>
        <w:tab w:val="clear" w:pos="1985"/>
        <w:tab w:val="center" w:pos="4536"/>
        <w:tab w:val="right" w:pos="9639"/>
      </w:tabs>
      <w:ind w:right="1"/>
      <w:rPr>
        <w:smallCaps/>
        <w:spacing w:val="24"/>
        <w:sz w:val="22"/>
        <w:szCs w:val="22"/>
        <w:lang w:val="es-ES"/>
      </w:rPr>
    </w:pPr>
    <w:r w:rsidRPr="00972BCD">
      <w:rPr>
        <w:sz w:val="22"/>
        <w:szCs w:val="22"/>
      </w:rPr>
      <w:tab/>
    </w:r>
    <w:r w:rsidRPr="00445C9B">
      <w:rPr>
        <w:sz w:val="22"/>
        <w:szCs w:val="22"/>
        <w:lang w:val="es-ES"/>
      </w:rPr>
      <w:t>ITU-D/TDAG</w:t>
    </w:r>
    <w:r w:rsidR="00602B27" w:rsidRPr="00445C9B">
      <w:rPr>
        <w:sz w:val="22"/>
        <w:szCs w:val="22"/>
        <w:lang w:val="es-ES"/>
      </w:rPr>
      <w:t>-</w:t>
    </w:r>
    <w:r w:rsidRPr="00445C9B">
      <w:rPr>
        <w:sz w:val="22"/>
        <w:szCs w:val="22"/>
        <w:lang w:val="es-ES"/>
      </w:rPr>
      <w:t>1</w:t>
    </w:r>
    <w:r w:rsidR="004E7861" w:rsidRPr="00445C9B">
      <w:rPr>
        <w:sz w:val="22"/>
        <w:szCs w:val="22"/>
        <w:lang w:val="es-ES"/>
      </w:rPr>
      <w:t>9</w:t>
    </w:r>
    <w:r w:rsidR="00D75D50" w:rsidRPr="00445C9B">
      <w:rPr>
        <w:sz w:val="22"/>
        <w:szCs w:val="22"/>
        <w:lang w:val="es-ES"/>
      </w:rPr>
      <w:t>/17</w:t>
    </w:r>
    <w:r w:rsidRPr="00445C9B">
      <w:rPr>
        <w:sz w:val="22"/>
        <w:szCs w:val="22"/>
        <w:lang w:val="es-ES"/>
      </w:rPr>
      <w:t>-S</w:t>
    </w:r>
    <w:r w:rsidRPr="00445C9B">
      <w:rPr>
        <w:sz w:val="22"/>
        <w:szCs w:val="22"/>
        <w:lang w:val="es-ES"/>
      </w:rPr>
      <w:tab/>
    </w:r>
    <w:r w:rsidRPr="00877904">
      <w:rPr>
        <w:rStyle w:val="PageNumber"/>
        <w:sz w:val="22"/>
        <w:szCs w:val="22"/>
        <w:lang w:val="es-ES_tradnl"/>
      </w:rPr>
      <w:t>Página</w:t>
    </w:r>
    <w:r w:rsidRPr="00445C9B">
      <w:rPr>
        <w:sz w:val="22"/>
        <w:szCs w:val="22"/>
        <w:lang w:val="es-ES"/>
      </w:rPr>
      <w:t xml:space="preserve"> </w:t>
    </w:r>
    <w:r w:rsidRPr="00972BCD">
      <w:rPr>
        <w:sz w:val="22"/>
        <w:szCs w:val="22"/>
      </w:rPr>
      <w:fldChar w:fldCharType="begin"/>
    </w:r>
    <w:r w:rsidRPr="00445C9B">
      <w:rPr>
        <w:sz w:val="22"/>
        <w:szCs w:val="22"/>
        <w:lang w:val="es-ES"/>
      </w:rPr>
      <w:instrText xml:space="preserve"> PAGE </w:instrText>
    </w:r>
    <w:r w:rsidRPr="00972BCD">
      <w:rPr>
        <w:sz w:val="22"/>
        <w:szCs w:val="22"/>
      </w:rPr>
      <w:fldChar w:fldCharType="separate"/>
    </w:r>
    <w:r w:rsidR="00445C9B">
      <w:rPr>
        <w:noProof/>
        <w:sz w:val="22"/>
        <w:szCs w:val="22"/>
        <w:lang w:val="es-ES"/>
      </w:rPr>
      <w:t>3</w:t>
    </w:r>
    <w:r w:rsidRPr="00972BCD">
      <w:rPr>
        <w:sz w:val="22"/>
        <w:szCs w:val="22"/>
      </w:rPr>
      <w:fldChar w:fldCharType="end"/>
    </w:r>
  </w:p>
  <w:p w:rsidR="009A6FC4" w:rsidRPr="00445C9B" w:rsidRDefault="009A6FC4" w:rsidP="009A6FC4">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C92C90"/>
    <w:multiLevelType w:val="hybridMultilevel"/>
    <w:tmpl w:val="A0F677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A223E7"/>
    <w:multiLevelType w:val="hybridMultilevel"/>
    <w:tmpl w:val="3CB2015A"/>
    <w:lvl w:ilvl="0" w:tplc="9CDC48F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7EB654C"/>
    <w:multiLevelType w:val="hybridMultilevel"/>
    <w:tmpl w:val="EC4CD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54"/>
    <w:rsid w:val="000135AE"/>
    <w:rsid w:val="00033D49"/>
    <w:rsid w:val="00057EBD"/>
    <w:rsid w:val="000725A1"/>
    <w:rsid w:val="000738AE"/>
    <w:rsid w:val="000C0AA7"/>
    <w:rsid w:val="000E7A0A"/>
    <w:rsid w:val="00194CB2"/>
    <w:rsid w:val="001C1E1A"/>
    <w:rsid w:val="00213302"/>
    <w:rsid w:val="00221C14"/>
    <w:rsid w:val="00225D2E"/>
    <w:rsid w:val="00241CB9"/>
    <w:rsid w:val="002A7FAB"/>
    <w:rsid w:val="002B3C29"/>
    <w:rsid w:val="002D4BE6"/>
    <w:rsid w:val="002D6772"/>
    <w:rsid w:val="00302736"/>
    <w:rsid w:val="0033649F"/>
    <w:rsid w:val="00360762"/>
    <w:rsid w:val="00363602"/>
    <w:rsid w:val="00390391"/>
    <w:rsid w:val="003D4CFB"/>
    <w:rsid w:val="00400667"/>
    <w:rsid w:val="00445C9B"/>
    <w:rsid w:val="00482632"/>
    <w:rsid w:val="004B7893"/>
    <w:rsid w:val="004E7861"/>
    <w:rsid w:val="005157B8"/>
    <w:rsid w:val="00535C50"/>
    <w:rsid w:val="00547C98"/>
    <w:rsid w:val="005557A3"/>
    <w:rsid w:val="005637B9"/>
    <w:rsid w:val="005643DC"/>
    <w:rsid w:val="00602B27"/>
    <w:rsid w:val="006339E7"/>
    <w:rsid w:val="00635A62"/>
    <w:rsid w:val="006E4AB3"/>
    <w:rsid w:val="006F39EB"/>
    <w:rsid w:val="00795099"/>
    <w:rsid w:val="007C3061"/>
    <w:rsid w:val="007E471D"/>
    <w:rsid w:val="00835A77"/>
    <w:rsid w:val="00852BF3"/>
    <w:rsid w:val="0088106F"/>
    <w:rsid w:val="008C1852"/>
    <w:rsid w:val="008D789A"/>
    <w:rsid w:val="008F6FB8"/>
    <w:rsid w:val="00917B12"/>
    <w:rsid w:val="009752D2"/>
    <w:rsid w:val="00991B13"/>
    <w:rsid w:val="009952F6"/>
    <w:rsid w:val="009A6FC4"/>
    <w:rsid w:val="009D1BD4"/>
    <w:rsid w:val="00A33516"/>
    <w:rsid w:val="00A87DD9"/>
    <w:rsid w:val="00AE1BA7"/>
    <w:rsid w:val="00AF563E"/>
    <w:rsid w:val="00B53D9C"/>
    <w:rsid w:val="00BC7208"/>
    <w:rsid w:val="00BE1B15"/>
    <w:rsid w:val="00C754DE"/>
    <w:rsid w:val="00CB37DD"/>
    <w:rsid w:val="00D16175"/>
    <w:rsid w:val="00D36AAC"/>
    <w:rsid w:val="00D372A5"/>
    <w:rsid w:val="00D432CA"/>
    <w:rsid w:val="00D75D50"/>
    <w:rsid w:val="00E17138"/>
    <w:rsid w:val="00E204A0"/>
    <w:rsid w:val="00E3519F"/>
    <w:rsid w:val="00E51C72"/>
    <w:rsid w:val="00E76E54"/>
    <w:rsid w:val="00E827C2"/>
    <w:rsid w:val="00EB6D19"/>
    <w:rsid w:val="00ED2681"/>
    <w:rsid w:val="00ED3B81"/>
    <w:rsid w:val="00F01E28"/>
    <w:rsid w:val="00F1269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5B47103-F0A9-4AF0-A828-B5C67B1F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aliases w:val="List Paragraph1,Recommendation,List Paragraph11"/>
    <w:basedOn w:val="Normal"/>
    <w:link w:val="ListParagraphChar"/>
    <w:uiPriority w:val="34"/>
    <w:qFormat/>
    <w:rsid w:val="005157B8"/>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aliases w:val="List Paragraph1 Char,Recommendation Char,List Paragraph11 Char"/>
    <w:basedOn w:val="DefaultParagraphFont"/>
    <w:link w:val="ListParagraph"/>
    <w:uiPriority w:val="34"/>
    <w:rsid w:val="005157B8"/>
    <w:rPr>
      <w:rFonts w:eastAsia="Times New Roman" w:cs="Times New Roman"/>
      <w:sz w:val="24"/>
      <w:szCs w:val="20"/>
      <w:lang w:val="en-GB" w:eastAsia="en-US"/>
    </w:rPr>
  </w:style>
  <w:style w:type="paragraph" w:styleId="BalloonText">
    <w:name w:val="Balloon Text"/>
    <w:basedOn w:val="Normal"/>
    <w:link w:val="BalloonTextChar"/>
    <w:uiPriority w:val="99"/>
    <w:semiHidden/>
    <w:unhideWhenUsed/>
    <w:rsid w:val="00C754D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4DE"/>
    <w:rPr>
      <w:rFonts w:ascii="Segoe UI" w:eastAsia="Times New Roman" w:hAnsi="Segoe UI" w:cs="Segoe UI"/>
      <w:sz w:val="18"/>
      <w:szCs w:val="18"/>
      <w:lang w:eastAsia="en-US"/>
    </w:rPr>
  </w:style>
  <w:style w:type="character" w:styleId="FollowedHyperlink">
    <w:name w:val="FollowedHyperlink"/>
    <w:basedOn w:val="DefaultParagraphFont"/>
    <w:uiPriority w:val="99"/>
    <w:semiHidden/>
    <w:unhideWhenUsed/>
    <w:rsid w:val="007950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ademy.itu.int/index.php?option=com_content&amp;view=article&amp;id=176&amp;lang=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o\AppData\Roaming\Microsoft\Templates\POOL%20S%20-%20ITU\PS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234AC-F571-4A11-8997-79ED1B07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PS_TDAG19.dotx</Template>
  <TotalTime>27</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BDT</cp:lastModifiedBy>
  <cp:revision>10</cp:revision>
  <cp:lastPrinted>2019-02-15T16:10:00Z</cp:lastPrinted>
  <dcterms:created xsi:type="dcterms:W3CDTF">2019-02-15T15:57:00Z</dcterms:created>
  <dcterms:modified xsi:type="dcterms:W3CDTF">2019-02-18T08:08:00Z</dcterms:modified>
</cp:coreProperties>
</file>