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175C4C" w:rsidRPr="001D2542" w:rsidTr="00940EE4">
        <w:trPr>
          <w:cantSplit/>
          <w:trHeight w:val="1134"/>
        </w:trPr>
        <w:tc>
          <w:tcPr>
            <w:tcW w:w="6804" w:type="dxa"/>
          </w:tcPr>
          <w:p w:rsidR="00175C4C" w:rsidRPr="001D2542" w:rsidRDefault="00175C4C" w:rsidP="00940EE4">
            <w:pPr>
              <w:spacing w:before="20" w:after="48" w:line="240" w:lineRule="atLeast"/>
              <w:ind w:left="34"/>
              <w:rPr>
                <w:b/>
                <w:bCs/>
                <w:sz w:val="32"/>
                <w:szCs w:val="32"/>
                <w:lang w:eastAsia="zh-CN"/>
              </w:rPr>
            </w:pPr>
            <w:r w:rsidRPr="001D2542">
              <w:rPr>
                <w:rFonts w:ascii="SimSun" w:hAnsi="SimSun" w:cs="SimSun" w:hint="eastAsia"/>
                <w:b/>
                <w:bCs/>
                <w:sz w:val="32"/>
                <w:szCs w:val="22"/>
                <w:lang w:eastAsia="zh-CN"/>
              </w:rPr>
              <w:t>电信发展顾问组</w:t>
            </w:r>
            <w:r w:rsidRPr="001D2542">
              <w:rPr>
                <w:rFonts w:cs="SimSun" w:hint="eastAsia"/>
                <w:b/>
                <w:bCs/>
                <w:sz w:val="32"/>
                <w:szCs w:val="22"/>
                <w:lang w:eastAsia="zh-CN"/>
              </w:rPr>
              <w:t>（</w:t>
            </w:r>
            <w:r w:rsidRPr="001D2542">
              <w:rPr>
                <w:rFonts w:cstheme="minorHAnsi"/>
                <w:b/>
                <w:bCs/>
                <w:sz w:val="32"/>
                <w:szCs w:val="22"/>
                <w:lang w:eastAsia="zh-CN"/>
              </w:rPr>
              <w:t>TDAG</w:t>
            </w:r>
            <w:r w:rsidRPr="001D2542">
              <w:rPr>
                <w:rFonts w:cs="SimSun" w:hint="eastAsia"/>
                <w:b/>
                <w:bCs/>
                <w:sz w:val="32"/>
                <w:szCs w:val="22"/>
                <w:lang w:eastAsia="zh-CN"/>
              </w:rPr>
              <w:t>）</w:t>
            </w:r>
          </w:p>
          <w:p w:rsidR="00175C4C" w:rsidRPr="001D2542" w:rsidRDefault="00175C4C" w:rsidP="00940EE4">
            <w:pPr>
              <w:spacing w:after="48" w:line="240" w:lineRule="atLeast"/>
              <w:ind w:left="34"/>
              <w:rPr>
                <w:b/>
                <w:bCs/>
                <w:szCs w:val="24"/>
                <w:lang w:eastAsia="zh-CN"/>
              </w:rPr>
            </w:pPr>
            <w:r w:rsidRPr="001D2542">
              <w:rPr>
                <w:b/>
                <w:bCs/>
                <w:szCs w:val="24"/>
                <w:lang w:val="fr-CH" w:eastAsia="zh-CN"/>
              </w:rPr>
              <w:t>第</w:t>
            </w:r>
            <w:r w:rsidRPr="001D2542">
              <w:rPr>
                <w:b/>
                <w:bCs/>
                <w:szCs w:val="24"/>
                <w:lang w:val="fr-CH" w:eastAsia="zh-CN"/>
              </w:rPr>
              <w:t>24</w:t>
            </w:r>
            <w:r w:rsidRPr="001D2542">
              <w:rPr>
                <w:b/>
                <w:bCs/>
                <w:szCs w:val="24"/>
                <w:lang w:val="fr-CH" w:eastAsia="zh-CN"/>
              </w:rPr>
              <w:t>次会议，</w:t>
            </w:r>
            <w:r w:rsidRPr="001D2542">
              <w:rPr>
                <w:b/>
                <w:bCs/>
                <w:szCs w:val="24"/>
                <w:lang w:val="fr-CH" w:eastAsia="zh-CN"/>
              </w:rPr>
              <w:t>2019</w:t>
            </w:r>
            <w:r w:rsidRPr="001D2542">
              <w:rPr>
                <w:b/>
                <w:bCs/>
                <w:szCs w:val="24"/>
                <w:lang w:val="fr-CH" w:eastAsia="zh-CN"/>
              </w:rPr>
              <w:t>年</w:t>
            </w:r>
            <w:r w:rsidRPr="001D2542">
              <w:rPr>
                <w:b/>
                <w:bCs/>
                <w:szCs w:val="24"/>
                <w:lang w:val="fr-CH" w:eastAsia="zh-CN"/>
              </w:rPr>
              <w:t>4</w:t>
            </w:r>
            <w:r w:rsidRPr="001D2542">
              <w:rPr>
                <w:b/>
                <w:bCs/>
                <w:szCs w:val="24"/>
                <w:lang w:val="fr-CH" w:eastAsia="zh-CN"/>
              </w:rPr>
              <w:t>月</w:t>
            </w:r>
            <w:r w:rsidRPr="001D2542">
              <w:rPr>
                <w:b/>
                <w:bCs/>
                <w:szCs w:val="24"/>
                <w:lang w:eastAsia="zh-CN"/>
              </w:rPr>
              <w:t>3-5</w:t>
            </w:r>
            <w:r w:rsidRPr="001D2542">
              <w:rPr>
                <w:b/>
                <w:bCs/>
                <w:szCs w:val="24"/>
                <w:lang w:eastAsia="zh-CN"/>
              </w:rPr>
              <w:t>日，日内瓦</w:t>
            </w:r>
          </w:p>
        </w:tc>
        <w:tc>
          <w:tcPr>
            <w:tcW w:w="3227" w:type="dxa"/>
          </w:tcPr>
          <w:p w:rsidR="00175C4C" w:rsidRPr="001D2542" w:rsidRDefault="00175C4C" w:rsidP="00940EE4">
            <w:pPr>
              <w:spacing w:before="0" w:line="240" w:lineRule="atLeast"/>
              <w:jc w:val="right"/>
              <w:rPr>
                <w:rFonts w:cstheme="minorHAnsi"/>
              </w:rPr>
            </w:pPr>
            <w:bookmarkStart w:id="0" w:name="ditulogo"/>
            <w:bookmarkEnd w:id="0"/>
            <w:r w:rsidRPr="001D2542">
              <w:rPr>
                <w:noProof/>
                <w:color w:val="3399FF"/>
                <w:lang w:eastAsia="zh-CN"/>
              </w:rPr>
              <w:drawing>
                <wp:inline distT="0" distB="0" distL="0" distR="0" wp14:anchorId="63E69CB3" wp14:editId="21167857">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175C4C" w:rsidRPr="001D2542" w:rsidTr="00940EE4">
        <w:trPr>
          <w:cantSplit/>
        </w:trPr>
        <w:tc>
          <w:tcPr>
            <w:tcW w:w="6804" w:type="dxa"/>
            <w:tcBorders>
              <w:top w:val="single" w:sz="12" w:space="0" w:color="auto"/>
            </w:tcBorders>
          </w:tcPr>
          <w:p w:rsidR="00175C4C" w:rsidRPr="001D2542" w:rsidRDefault="00175C4C" w:rsidP="00940EE4">
            <w:pPr>
              <w:spacing w:before="0" w:after="48" w:line="240" w:lineRule="atLeast"/>
              <w:rPr>
                <w:rFonts w:cstheme="minorHAnsi"/>
                <w:b/>
                <w:smallCaps/>
                <w:sz w:val="20"/>
              </w:rPr>
            </w:pPr>
            <w:bookmarkStart w:id="1" w:name="dhead"/>
          </w:p>
        </w:tc>
        <w:tc>
          <w:tcPr>
            <w:tcW w:w="3227" w:type="dxa"/>
            <w:tcBorders>
              <w:top w:val="single" w:sz="12" w:space="0" w:color="auto"/>
            </w:tcBorders>
          </w:tcPr>
          <w:p w:rsidR="00175C4C" w:rsidRPr="001D2542" w:rsidRDefault="00175C4C" w:rsidP="00940EE4">
            <w:pPr>
              <w:spacing w:before="0" w:line="240" w:lineRule="atLeast"/>
              <w:rPr>
                <w:rFonts w:cstheme="minorHAnsi"/>
                <w:sz w:val="20"/>
              </w:rPr>
            </w:pPr>
          </w:p>
        </w:tc>
      </w:tr>
      <w:tr w:rsidR="00175C4C" w:rsidRPr="001D2542" w:rsidTr="00743281">
        <w:trPr>
          <w:cantSplit/>
          <w:trHeight w:val="351"/>
        </w:trPr>
        <w:tc>
          <w:tcPr>
            <w:tcW w:w="6804" w:type="dxa"/>
            <w:shd w:val="clear" w:color="auto" w:fill="auto"/>
          </w:tcPr>
          <w:p w:rsidR="00175C4C" w:rsidRPr="001D2542" w:rsidRDefault="00175C4C" w:rsidP="00743281">
            <w:pPr>
              <w:pStyle w:val="Committee"/>
              <w:spacing w:before="0"/>
            </w:pPr>
            <w:bookmarkStart w:id="2" w:name="dnum" w:colFirst="1" w:colLast="1"/>
            <w:bookmarkStart w:id="3" w:name="dmeeting" w:colFirst="0" w:colLast="0"/>
            <w:bookmarkEnd w:id="1"/>
          </w:p>
        </w:tc>
        <w:tc>
          <w:tcPr>
            <w:tcW w:w="3227" w:type="dxa"/>
          </w:tcPr>
          <w:p w:rsidR="00175C4C" w:rsidRPr="001D2542" w:rsidRDefault="00175C4C" w:rsidP="00743281">
            <w:pPr>
              <w:tabs>
                <w:tab w:val="left" w:pos="851"/>
              </w:tabs>
              <w:spacing w:before="0"/>
              <w:rPr>
                <w:rFonts w:cstheme="minorHAnsi"/>
                <w:szCs w:val="24"/>
                <w:lang w:val="es-ES_tradnl"/>
              </w:rPr>
            </w:pPr>
            <w:r w:rsidRPr="001D2542">
              <w:rPr>
                <w:rFonts w:hint="eastAsia"/>
                <w:b/>
                <w:bCs/>
                <w:szCs w:val="24"/>
                <w:lang w:val="es-ES_tradnl" w:eastAsia="zh-CN"/>
              </w:rPr>
              <w:t>文件</w:t>
            </w:r>
            <w:r w:rsidRPr="001D2542">
              <w:rPr>
                <w:b/>
                <w:bCs/>
                <w:szCs w:val="24"/>
                <w:lang w:val="es-ES_tradnl"/>
              </w:rPr>
              <w:t xml:space="preserve"> </w:t>
            </w:r>
            <w:bookmarkStart w:id="4" w:name="DocRef1"/>
            <w:bookmarkEnd w:id="4"/>
            <w:r w:rsidRPr="001D2542">
              <w:rPr>
                <w:b/>
                <w:bCs/>
                <w:szCs w:val="24"/>
                <w:lang w:val="es-ES_tradnl"/>
              </w:rPr>
              <w:t>TDAG-19/</w:t>
            </w:r>
            <w:r w:rsidR="008E2D9B" w:rsidRPr="001D2542">
              <w:rPr>
                <w:rFonts w:hint="eastAsia"/>
                <w:b/>
                <w:bCs/>
                <w:szCs w:val="24"/>
                <w:lang w:val="es-ES_tradnl" w:eastAsia="zh-CN"/>
              </w:rPr>
              <w:t>1</w:t>
            </w:r>
            <w:r w:rsidR="00743281">
              <w:rPr>
                <w:b/>
                <w:bCs/>
                <w:szCs w:val="24"/>
                <w:lang w:val="es-ES_tradnl" w:eastAsia="zh-CN"/>
              </w:rPr>
              <w:t>7</w:t>
            </w:r>
            <w:r w:rsidR="008449DE">
              <w:rPr>
                <w:b/>
                <w:bCs/>
                <w:szCs w:val="24"/>
                <w:lang w:val="es-ES_tradnl" w:eastAsia="zh-CN"/>
              </w:rPr>
              <w:t>(Rev.1)</w:t>
            </w:r>
            <w:r w:rsidRPr="001D2542">
              <w:rPr>
                <w:b/>
                <w:bCs/>
                <w:szCs w:val="24"/>
                <w:lang w:val="es-ES_tradnl"/>
              </w:rPr>
              <w:t>-C</w:t>
            </w:r>
          </w:p>
        </w:tc>
      </w:tr>
      <w:tr w:rsidR="00175C4C" w:rsidRPr="001D2542" w:rsidTr="00940EE4">
        <w:trPr>
          <w:cantSplit/>
          <w:trHeight w:val="23"/>
        </w:trPr>
        <w:tc>
          <w:tcPr>
            <w:tcW w:w="6804" w:type="dxa"/>
            <w:shd w:val="clear" w:color="auto" w:fill="auto"/>
          </w:tcPr>
          <w:p w:rsidR="00175C4C" w:rsidRPr="001D2542" w:rsidRDefault="00175C4C" w:rsidP="00940EE4">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175C4C" w:rsidRPr="001D2542" w:rsidRDefault="00175C4C" w:rsidP="008449DE">
            <w:pPr>
              <w:spacing w:before="0"/>
              <w:rPr>
                <w:rFonts w:cstheme="minorHAnsi"/>
                <w:szCs w:val="24"/>
                <w:lang w:eastAsia="zh-CN"/>
              </w:rPr>
            </w:pPr>
            <w:r w:rsidRPr="001D2542">
              <w:rPr>
                <w:b/>
                <w:bCs/>
                <w:szCs w:val="24"/>
                <w:lang w:val="fr-FR"/>
              </w:rPr>
              <w:t>2019</w:t>
            </w:r>
            <w:r w:rsidRPr="001D2542">
              <w:rPr>
                <w:rFonts w:hint="eastAsia"/>
                <w:b/>
                <w:bCs/>
                <w:szCs w:val="24"/>
                <w:lang w:val="fr-FR" w:eastAsia="zh-CN"/>
              </w:rPr>
              <w:t>年</w:t>
            </w:r>
            <w:r w:rsidR="008449DE">
              <w:rPr>
                <w:b/>
                <w:bCs/>
                <w:szCs w:val="24"/>
                <w:lang w:val="fr-FR" w:eastAsia="zh-CN"/>
              </w:rPr>
              <w:t>4</w:t>
            </w:r>
            <w:r w:rsidRPr="001D2542">
              <w:rPr>
                <w:b/>
                <w:bCs/>
                <w:szCs w:val="24"/>
                <w:lang w:val="fr-FR" w:eastAsia="zh-CN"/>
              </w:rPr>
              <w:t>月</w:t>
            </w:r>
            <w:r w:rsidR="00743281">
              <w:rPr>
                <w:rFonts w:hint="eastAsia"/>
                <w:b/>
                <w:bCs/>
                <w:szCs w:val="24"/>
                <w:lang w:val="fr-FR" w:eastAsia="zh-CN"/>
              </w:rPr>
              <w:t>2</w:t>
            </w:r>
            <w:r w:rsidRPr="001D2542">
              <w:rPr>
                <w:b/>
                <w:bCs/>
                <w:szCs w:val="24"/>
                <w:lang w:val="fr-FR" w:eastAsia="zh-CN"/>
              </w:rPr>
              <w:t>日</w:t>
            </w:r>
          </w:p>
        </w:tc>
      </w:tr>
      <w:tr w:rsidR="00175C4C" w:rsidRPr="001D2542" w:rsidTr="00940EE4">
        <w:trPr>
          <w:cantSplit/>
          <w:trHeight w:val="23"/>
        </w:trPr>
        <w:tc>
          <w:tcPr>
            <w:tcW w:w="6804" w:type="dxa"/>
            <w:shd w:val="clear" w:color="auto" w:fill="auto"/>
          </w:tcPr>
          <w:p w:rsidR="00175C4C" w:rsidRPr="001D2542" w:rsidRDefault="00175C4C" w:rsidP="00940EE4">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175C4C" w:rsidRPr="001D2542" w:rsidRDefault="00175C4C" w:rsidP="00743281">
            <w:pPr>
              <w:tabs>
                <w:tab w:val="left" w:pos="993"/>
              </w:tabs>
              <w:spacing w:before="0"/>
              <w:rPr>
                <w:rFonts w:cstheme="minorHAnsi"/>
                <w:b/>
                <w:szCs w:val="24"/>
              </w:rPr>
            </w:pPr>
            <w:r w:rsidRPr="001D2542">
              <w:rPr>
                <w:rFonts w:hint="eastAsia"/>
                <w:b/>
                <w:bCs/>
                <w:szCs w:val="24"/>
                <w:lang w:val="fr-FR" w:eastAsia="zh-CN"/>
              </w:rPr>
              <w:t>原文</w:t>
            </w:r>
            <w:r w:rsidRPr="001D2542">
              <w:rPr>
                <w:b/>
                <w:bCs/>
                <w:szCs w:val="24"/>
                <w:lang w:val="fr-FR" w:eastAsia="zh-CN"/>
              </w:rPr>
              <w:t>：</w:t>
            </w:r>
            <w:r w:rsidRPr="001D2542">
              <w:rPr>
                <w:rFonts w:hint="eastAsia"/>
                <w:b/>
                <w:bCs/>
                <w:szCs w:val="24"/>
                <w:lang w:val="fr-FR" w:eastAsia="zh-CN"/>
              </w:rPr>
              <w:t>英文</w:t>
            </w:r>
          </w:p>
        </w:tc>
      </w:tr>
      <w:tr w:rsidR="008E2D9B" w:rsidRPr="001D2542" w:rsidTr="00940EE4">
        <w:trPr>
          <w:cantSplit/>
          <w:trHeight w:val="23"/>
        </w:trPr>
        <w:tc>
          <w:tcPr>
            <w:tcW w:w="10031" w:type="dxa"/>
            <w:gridSpan w:val="2"/>
            <w:shd w:val="clear" w:color="auto" w:fill="auto"/>
          </w:tcPr>
          <w:p w:rsidR="008E2D9B" w:rsidRPr="00CA07C4" w:rsidRDefault="008449DE" w:rsidP="008E2D9B">
            <w:pPr>
              <w:pStyle w:val="Source"/>
              <w:spacing w:before="240" w:after="240"/>
              <w:jc w:val="center"/>
              <w:rPr>
                <w:sz w:val="28"/>
                <w:szCs w:val="28"/>
                <w:lang w:eastAsia="zh-CN"/>
              </w:rPr>
            </w:pPr>
            <w:r w:rsidRPr="00CA07C4">
              <w:rPr>
                <w:rFonts w:hint="eastAsia"/>
                <w:b w:val="0"/>
                <w:sz w:val="28"/>
                <w:szCs w:val="28"/>
                <w:lang w:eastAsia="zh-CN"/>
              </w:rPr>
              <w:t>能力建设</w:t>
            </w:r>
            <w:r w:rsidRPr="00CA07C4">
              <w:rPr>
                <w:b w:val="0"/>
                <w:sz w:val="28"/>
                <w:szCs w:val="28"/>
                <w:lang w:eastAsia="zh-CN"/>
              </w:rPr>
              <w:t>举措组（</w:t>
            </w:r>
            <w:r w:rsidRPr="00CA07C4">
              <w:rPr>
                <w:rFonts w:hint="eastAsia"/>
                <w:b w:val="0"/>
                <w:sz w:val="28"/>
                <w:szCs w:val="28"/>
                <w:lang w:eastAsia="zh-CN"/>
              </w:rPr>
              <w:t>GCBI</w:t>
            </w:r>
            <w:r w:rsidRPr="00CA07C4">
              <w:rPr>
                <w:b w:val="0"/>
                <w:sz w:val="28"/>
                <w:szCs w:val="28"/>
                <w:lang w:eastAsia="zh-CN"/>
              </w:rPr>
              <w:t>）</w:t>
            </w:r>
            <w:r w:rsidRPr="008449DE">
              <w:rPr>
                <w:rFonts w:hint="eastAsia"/>
                <w:b w:val="0"/>
                <w:sz w:val="28"/>
                <w:szCs w:val="28"/>
                <w:lang w:eastAsia="zh-CN"/>
              </w:rPr>
              <w:t>主席</w:t>
            </w:r>
          </w:p>
        </w:tc>
      </w:tr>
      <w:tr w:rsidR="008E2D9B" w:rsidRPr="001D2542" w:rsidTr="00E859E2">
        <w:trPr>
          <w:cantSplit/>
          <w:trHeight w:val="23"/>
        </w:trPr>
        <w:tc>
          <w:tcPr>
            <w:tcW w:w="10031" w:type="dxa"/>
            <w:gridSpan w:val="2"/>
            <w:shd w:val="clear" w:color="auto" w:fill="auto"/>
            <w:vAlign w:val="center"/>
          </w:tcPr>
          <w:p w:rsidR="008E2D9B" w:rsidRPr="00CA07C4" w:rsidRDefault="00743281" w:rsidP="00EB04E4">
            <w:pPr>
              <w:pStyle w:val="Title1"/>
              <w:spacing w:after="120"/>
              <w:jc w:val="center"/>
              <w:rPr>
                <w:b w:val="0"/>
                <w:sz w:val="28"/>
                <w:szCs w:val="28"/>
                <w:lang w:eastAsia="zh-CN"/>
              </w:rPr>
            </w:pPr>
            <w:r w:rsidRPr="00CA07C4">
              <w:rPr>
                <w:rFonts w:hint="eastAsia"/>
                <w:b w:val="0"/>
                <w:sz w:val="28"/>
                <w:szCs w:val="28"/>
                <w:lang w:eastAsia="zh-CN"/>
              </w:rPr>
              <w:t>能力建设</w:t>
            </w:r>
            <w:r w:rsidRPr="00CA07C4">
              <w:rPr>
                <w:b w:val="0"/>
                <w:sz w:val="28"/>
                <w:szCs w:val="28"/>
                <w:lang w:eastAsia="zh-CN"/>
              </w:rPr>
              <w:t>举措组（</w:t>
            </w:r>
            <w:r w:rsidRPr="00CA07C4">
              <w:rPr>
                <w:rFonts w:hint="eastAsia"/>
                <w:b w:val="0"/>
                <w:sz w:val="28"/>
                <w:szCs w:val="28"/>
                <w:lang w:eastAsia="zh-CN"/>
              </w:rPr>
              <w:t>GCBI</w:t>
            </w:r>
            <w:r w:rsidRPr="00CA07C4">
              <w:rPr>
                <w:b w:val="0"/>
                <w:sz w:val="28"/>
                <w:szCs w:val="28"/>
                <w:lang w:eastAsia="zh-CN"/>
              </w:rPr>
              <w:t>）向</w:t>
            </w:r>
            <w:r w:rsidRPr="00CA07C4">
              <w:rPr>
                <w:b w:val="0"/>
                <w:sz w:val="28"/>
                <w:szCs w:val="28"/>
                <w:lang w:eastAsia="zh-CN"/>
              </w:rPr>
              <w:br/>
            </w:r>
            <w:r w:rsidRPr="00CA07C4">
              <w:rPr>
                <w:b w:val="0"/>
                <w:sz w:val="28"/>
                <w:szCs w:val="28"/>
                <w:lang w:eastAsia="zh-CN"/>
              </w:rPr>
              <w:t>电信发展顾问组</w:t>
            </w:r>
            <w:r w:rsidRPr="00CA07C4">
              <w:rPr>
                <w:rFonts w:hint="eastAsia"/>
                <w:b w:val="0"/>
                <w:sz w:val="28"/>
                <w:szCs w:val="28"/>
                <w:lang w:eastAsia="zh-CN"/>
              </w:rPr>
              <w:t>（</w:t>
            </w:r>
            <w:r w:rsidRPr="00CA07C4">
              <w:rPr>
                <w:rFonts w:hint="eastAsia"/>
                <w:b w:val="0"/>
                <w:sz w:val="28"/>
                <w:szCs w:val="28"/>
                <w:lang w:eastAsia="zh-CN"/>
              </w:rPr>
              <w:t>TDAG</w:t>
            </w:r>
            <w:r w:rsidRPr="00CA07C4">
              <w:rPr>
                <w:rFonts w:hint="eastAsia"/>
                <w:b w:val="0"/>
                <w:sz w:val="28"/>
                <w:szCs w:val="28"/>
                <w:lang w:eastAsia="zh-CN"/>
              </w:rPr>
              <w:t>）</w:t>
            </w:r>
            <w:r w:rsidRPr="00CA07C4">
              <w:rPr>
                <w:b w:val="0"/>
                <w:sz w:val="28"/>
                <w:szCs w:val="28"/>
                <w:lang w:eastAsia="zh-CN"/>
              </w:rPr>
              <w:t>提交的</w:t>
            </w:r>
            <w:r w:rsidR="00BA1EB3">
              <w:rPr>
                <w:rFonts w:hint="eastAsia"/>
                <w:b w:val="0"/>
                <w:sz w:val="28"/>
                <w:szCs w:val="28"/>
                <w:lang w:eastAsia="zh-CN"/>
              </w:rPr>
              <w:t>工作</w:t>
            </w:r>
            <w:r w:rsidRPr="00CA07C4">
              <w:rPr>
                <w:b w:val="0"/>
                <w:sz w:val="28"/>
                <w:szCs w:val="28"/>
                <w:lang w:eastAsia="zh-CN"/>
              </w:rPr>
              <w:t>报告</w:t>
            </w:r>
          </w:p>
        </w:tc>
      </w:tr>
      <w:tr w:rsidR="00175C4C" w:rsidRPr="001D2542" w:rsidTr="00940EE4">
        <w:trPr>
          <w:cantSplit/>
          <w:trHeight w:val="23"/>
        </w:trPr>
        <w:tc>
          <w:tcPr>
            <w:tcW w:w="10031" w:type="dxa"/>
            <w:gridSpan w:val="2"/>
            <w:tcBorders>
              <w:bottom w:val="single" w:sz="4" w:space="0" w:color="auto"/>
            </w:tcBorders>
            <w:shd w:val="clear" w:color="auto" w:fill="auto"/>
          </w:tcPr>
          <w:p w:rsidR="00175C4C" w:rsidRPr="008449DE" w:rsidRDefault="00175C4C" w:rsidP="00175C4C">
            <w:pPr>
              <w:pStyle w:val="Title1"/>
              <w:spacing w:before="120" w:after="120"/>
              <w:rPr>
                <w:caps/>
                <w:szCs w:val="28"/>
                <w:lang w:eastAsia="zh-CN"/>
              </w:rPr>
            </w:pPr>
          </w:p>
        </w:tc>
      </w:tr>
      <w:tr w:rsidR="00175C4C" w:rsidRPr="001D2542" w:rsidTr="00940EE4">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rsidR="00175C4C" w:rsidRPr="001D2542" w:rsidRDefault="00175C4C" w:rsidP="00175C4C">
            <w:pPr>
              <w:spacing w:before="240"/>
              <w:rPr>
                <w:b/>
                <w:bCs/>
                <w:lang w:eastAsia="zh-CN"/>
              </w:rPr>
            </w:pPr>
            <w:r w:rsidRPr="001D2542">
              <w:rPr>
                <w:rFonts w:hint="eastAsia"/>
                <w:b/>
                <w:bCs/>
                <w:lang w:eastAsia="zh-CN"/>
              </w:rPr>
              <w:t>概要</w:t>
            </w:r>
            <w:r w:rsidRPr="001D2542">
              <w:rPr>
                <w:b/>
                <w:bCs/>
                <w:lang w:eastAsia="zh-CN"/>
              </w:rPr>
              <w:t>：</w:t>
            </w:r>
          </w:p>
          <w:p w:rsidR="00175C4C" w:rsidRPr="001D2542" w:rsidRDefault="00743281" w:rsidP="00EB04E4">
            <w:pPr>
              <w:ind w:firstLineChars="200" w:firstLine="480"/>
              <w:rPr>
                <w:b/>
                <w:bCs/>
                <w:lang w:eastAsia="zh-CN"/>
              </w:rPr>
            </w:pPr>
            <w:r>
              <w:rPr>
                <w:rFonts w:hint="eastAsia"/>
                <w:szCs w:val="24"/>
                <w:lang w:eastAsia="zh-CN"/>
              </w:rPr>
              <w:t>本文件包含能力建设举措组（</w:t>
            </w:r>
            <w:r>
              <w:rPr>
                <w:szCs w:val="24"/>
                <w:lang w:eastAsia="zh-CN"/>
              </w:rPr>
              <w:t>GCBI</w:t>
            </w:r>
            <w:r>
              <w:rPr>
                <w:rFonts w:hint="eastAsia"/>
                <w:szCs w:val="24"/>
                <w:lang w:eastAsia="zh-CN"/>
              </w:rPr>
              <w:t>）开展的工作。该组是根据</w:t>
            </w:r>
            <w:r>
              <w:rPr>
                <w:szCs w:val="24"/>
                <w:lang w:eastAsia="zh-CN"/>
              </w:rPr>
              <w:t>2010</w:t>
            </w:r>
            <w:r>
              <w:rPr>
                <w:rFonts w:hint="eastAsia"/>
                <w:szCs w:val="24"/>
                <w:lang w:eastAsia="zh-CN"/>
              </w:rPr>
              <w:t>年世界电信发展大会（</w:t>
            </w:r>
            <w:r>
              <w:rPr>
                <w:szCs w:val="24"/>
                <w:lang w:eastAsia="zh-CN"/>
              </w:rPr>
              <w:t>WTDC-10</w:t>
            </w:r>
            <w:r>
              <w:rPr>
                <w:rFonts w:hint="eastAsia"/>
                <w:szCs w:val="24"/>
                <w:lang w:eastAsia="zh-CN"/>
              </w:rPr>
              <w:t>）通过、并经</w:t>
            </w:r>
            <w:r>
              <w:rPr>
                <w:szCs w:val="24"/>
                <w:lang w:eastAsia="zh-CN"/>
              </w:rPr>
              <w:t>2017</w:t>
            </w:r>
            <w:r>
              <w:rPr>
                <w:rFonts w:hint="eastAsia"/>
                <w:szCs w:val="24"/>
                <w:lang w:eastAsia="zh-CN"/>
              </w:rPr>
              <w:t>年世界电信发展大会（</w:t>
            </w:r>
            <w:r>
              <w:rPr>
                <w:szCs w:val="24"/>
                <w:lang w:eastAsia="zh-CN"/>
              </w:rPr>
              <w:t>WTDC-17</w:t>
            </w:r>
            <w:r>
              <w:rPr>
                <w:rFonts w:hint="eastAsia"/>
                <w:szCs w:val="24"/>
                <w:lang w:eastAsia="zh-CN"/>
              </w:rPr>
              <w:t>）修订的第</w:t>
            </w:r>
            <w:r>
              <w:rPr>
                <w:szCs w:val="24"/>
                <w:lang w:eastAsia="zh-CN"/>
              </w:rPr>
              <w:t>40</w:t>
            </w:r>
            <w:r>
              <w:rPr>
                <w:rFonts w:hint="eastAsia"/>
                <w:szCs w:val="24"/>
                <w:lang w:eastAsia="zh-CN"/>
              </w:rPr>
              <w:t>号决议成立的，旨在就能力建设事宜向电信发展局（</w:t>
            </w:r>
            <w:r>
              <w:rPr>
                <w:szCs w:val="24"/>
                <w:lang w:eastAsia="zh-CN"/>
              </w:rPr>
              <w:t>BDT</w:t>
            </w:r>
            <w:r>
              <w:rPr>
                <w:rFonts w:hint="eastAsia"/>
                <w:szCs w:val="24"/>
                <w:lang w:eastAsia="zh-CN"/>
              </w:rPr>
              <w:t>）主任提出建议。</w:t>
            </w:r>
          </w:p>
          <w:p w:rsidR="00175C4C" w:rsidRPr="001D2542" w:rsidRDefault="00175C4C" w:rsidP="00175C4C">
            <w:pPr>
              <w:rPr>
                <w:b/>
                <w:bCs/>
                <w:lang w:eastAsia="zh-CN"/>
              </w:rPr>
            </w:pPr>
            <w:r w:rsidRPr="001D2542">
              <w:rPr>
                <w:rFonts w:hint="eastAsia"/>
                <w:b/>
                <w:bCs/>
                <w:lang w:eastAsia="zh-CN"/>
              </w:rPr>
              <w:t>需</w:t>
            </w:r>
            <w:r w:rsidRPr="001D2542">
              <w:rPr>
                <w:b/>
                <w:bCs/>
                <w:lang w:eastAsia="zh-CN"/>
              </w:rPr>
              <w:t>采取</w:t>
            </w:r>
            <w:r w:rsidRPr="001D2542">
              <w:rPr>
                <w:rFonts w:hint="eastAsia"/>
                <w:b/>
                <w:bCs/>
                <w:lang w:eastAsia="zh-CN"/>
              </w:rPr>
              <w:t>的</w:t>
            </w:r>
            <w:r w:rsidRPr="001D2542">
              <w:rPr>
                <w:b/>
                <w:bCs/>
                <w:lang w:eastAsia="zh-CN"/>
              </w:rPr>
              <w:t>行动：</w:t>
            </w:r>
          </w:p>
          <w:p w:rsidR="00175C4C" w:rsidRPr="001D2542" w:rsidRDefault="00743281" w:rsidP="00EB04E4">
            <w:pPr>
              <w:ind w:firstLineChars="200" w:firstLine="480"/>
              <w:rPr>
                <w:b/>
                <w:bCs/>
                <w:lang w:eastAsia="zh-CN"/>
              </w:rPr>
            </w:pPr>
            <w:r>
              <w:rPr>
                <w:rFonts w:hint="eastAsia"/>
                <w:szCs w:val="24"/>
                <w:lang w:eastAsia="zh-CN"/>
              </w:rPr>
              <w:t>请</w:t>
            </w:r>
            <w:r>
              <w:rPr>
                <w:szCs w:val="24"/>
                <w:lang w:eastAsia="zh-CN"/>
              </w:rPr>
              <w:t>TDAG</w:t>
            </w:r>
            <w:r>
              <w:rPr>
                <w:rFonts w:hint="eastAsia"/>
                <w:szCs w:val="24"/>
                <w:lang w:eastAsia="zh-CN"/>
              </w:rPr>
              <w:t>将此</w:t>
            </w:r>
            <w:r w:rsidR="00EB04E4">
              <w:rPr>
                <w:rFonts w:hint="eastAsia"/>
                <w:szCs w:val="24"/>
                <w:lang w:eastAsia="zh-CN"/>
              </w:rPr>
              <w:t>文件</w:t>
            </w:r>
            <w:r>
              <w:rPr>
                <w:rFonts w:hint="eastAsia"/>
                <w:szCs w:val="24"/>
                <w:lang w:eastAsia="zh-CN"/>
              </w:rPr>
              <w:t>记录在案并提供适当指导。</w:t>
            </w:r>
          </w:p>
          <w:p w:rsidR="00175C4C" w:rsidRPr="001D2542" w:rsidRDefault="00175C4C" w:rsidP="00175C4C">
            <w:pPr>
              <w:spacing w:after="120"/>
              <w:rPr>
                <w:b/>
                <w:bCs/>
                <w:lang w:eastAsia="zh-CN"/>
              </w:rPr>
            </w:pPr>
            <w:r w:rsidRPr="001D2542">
              <w:rPr>
                <w:rFonts w:hint="eastAsia"/>
                <w:b/>
                <w:bCs/>
                <w:lang w:eastAsia="zh-CN"/>
              </w:rPr>
              <w:t>参考文件</w:t>
            </w:r>
            <w:r w:rsidRPr="001D2542">
              <w:rPr>
                <w:b/>
                <w:bCs/>
                <w:lang w:eastAsia="zh-CN"/>
              </w:rPr>
              <w:t>：</w:t>
            </w:r>
          </w:p>
          <w:p w:rsidR="008E2D9B" w:rsidRDefault="00743281" w:rsidP="008E2D9B">
            <w:pPr>
              <w:spacing w:after="120"/>
              <w:ind w:firstLineChars="200" w:firstLine="480"/>
              <w:rPr>
                <w:lang w:eastAsia="zh-CN"/>
              </w:rPr>
            </w:pPr>
            <w:r>
              <w:rPr>
                <w:lang w:eastAsia="zh-CN"/>
              </w:rPr>
              <w:t>WTDC</w:t>
            </w:r>
            <w:r>
              <w:rPr>
                <w:rFonts w:hint="eastAsia"/>
                <w:lang w:eastAsia="zh-CN"/>
              </w:rPr>
              <w:t>有关能力建设举措组的第</w:t>
            </w:r>
            <w:r>
              <w:rPr>
                <w:lang w:eastAsia="zh-CN"/>
              </w:rPr>
              <w:t>40</w:t>
            </w:r>
            <w:r>
              <w:rPr>
                <w:rFonts w:hint="eastAsia"/>
                <w:lang w:eastAsia="zh-CN"/>
              </w:rPr>
              <w:t>号决议（</w:t>
            </w:r>
            <w:r>
              <w:rPr>
                <w:lang w:eastAsia="zh-CN"/>
              </w:rPr>
              <w:t>2017</w:t>
            </w:r>
            <w:r>
              <w:rPr>
                <w:rFonts w:hint="eastAsia"/>
                <w:lang w:eastAsia="zh-CN"/>
              </w:rPr>
              <w:t>年，布宜诺斯艾利斯，修订版）</w:t>
            </w:r>
          </w:p>
          <w:p w:rsidR="00743281" w:rsidRDefault="00743281" w:rsidP="008E2D9B">
            <w:pPr>
              <w:spacing w:after="120"/>
              <w:ind w:firstLineChars="200" w:firstLine="480"/>
              <w:rPr>
                <w:lang w:eastAsia="zh-CN"/>
              </w:rPr>
            </w:pPr>
            <w:r>
              <w:rPr>
                <w:lang w:eastAsia="zh-CN"/>
              </w:rPr>
              <w:t>WTDC-14</w:t>
            </w:r>
            <w:r>
              <w:rPr>
                <w:rFonts w:hint="eastAsia"/>
                <w:lang w:eastAsia="zh-CN"/>
              </w:rPr>
              <w:t>有关国际电联高级培训中心的第</w:t>
            </w:r>
            <w:r>
              <w:rPr>
                <w:lang w:eastAsia="zh-CN"/>
              </w:rPr>
              <w:t>73</w:t>
            </w:r>
            <w:r>
              <w:rPr>
                <w:rFonts w:hint="eastAsia"/>
                <w:lang w:eastAsia="zh-CN"/>
              </w:rPr>
              <w:t>号决议（</w:t>
            </w:r>
            <w:r>
              <w:rPr>
                <w:lang w:eastAsia="zh-CN"/>
              </w:rPr>
              <w:t>2017</w:t>
            </w:r>
            <w:r>
              <w:rPr>
                <w:rFonts w:hint="eastAsia"/>
                <w:lang w:eastAsia="zh-CN"/>
              </w:rPr>
              <w:t>年，布宜诺斯艾利斯，修订版）</w:t>
            </w:r>
          </w:p>
          <w:p w:rsidR="00743281" w:rsidRPr="001D2542" w:rsidRDefault="00743281" w:rsidP="00743281">
            <w:pPr>
              <w:spacing w:after="120"/>
              <w:ind w:firstLineChars="200" w:firstLine="480"/>
              <w:rPr>
                <w:lang w:eastAsia="zh-CN"/>
              </w:rPr>
            </w:pPr>
            <w:r>
              <w:rPr>
                <w:rFonts w:hint="eastAsia"/>
                <w:lang w:eastAsia="zh-CN"/>
              </w:rPr>
              <w:t>全权代表大会有关接纳学术机构参加国际电联工作的第</w:t>
            </w:r>
            <w:r>
              <w:rPr>
                <w:lang w:eastAsia="zh-CN"/>
              </w:rPr>
              <w:t>169</w:t>
            </w:r>
            <w:r>
              <w:rPr>
                <w:rFonts w:hint="eastAsia"/>
                <w:lang w:eastAsia="zh-CN"/>
              </w:rPr>
              <w:t>号决议（</w:t>
            </w:r>
            <w:r>
              <w:rPr>
                <w:lang w:eastAsia="zh-CN"/>
              </w:rPr>
              <w:t>2018</w:t>
            </w:r>
            <w:r>
              <w:rPr>
                <w:rFonts w:hint="eastAsia"/>
                <w:lang w:eastAsia="zh-CN"/>
              </w:rPr>
              <w:t>年，迪拜，修订版）</w:t>
            </w:r>
          </w:p>
        </w:tc>
      </w:tr>
      <w:bookmarkEnd w:id="7"/>
      <w:bookmarkEnd w:id="8"/>
    </w:tbl>
    <w:p w:rsidR="00175C4C" w:rsidRPr="001D2542" w:rsidRDefault="00175C4C" w:rsidP="00175C4C">
      <w:pPr>
        <w:overflowPunct/>
        <w:autoSpaceDE/>
        <w:autoSpaceDN/>
        <w:adjustRightInd/>
        <w:spacing w:before="0"/>
        <w:textAlignment w:val="auto"/>
        <w:rPr>
          <w:szCs w:val="24"/>
          <w:lang w:eastAsia="zh-CN"/>
        </w:rPr>
      </w:pPr>
    </w:p>
    <w:p w:rsidR="008E2D9B" w:rsidRPr="001D2542" w:rsidRDefault="008E2D9B">
      <w:pPr>
        <w:tabs>
          <w:tab w:val="clear" w:pos="794"/>
          <w:tab w:val="clear" w:pos="1191"/>
          <w:tab w:val="clear" w:pos="1588"/>
          <w:tab w:val="clear" w:pos="1985"/>
        </w:tabs>
        <w:overflowPunct/>
        <w:autoSpaceDE/>
        <w:autoSpaceDN/>
        <w:adjustRightInd/>
        <w:spacing w:before="0"/>
        <w:textAlignment w:val="auto"/>
        <w:rPr>
          <w:szCs w:val="24"/>
          <w:lang w:eastAsia="zh-CN"/>
        </w:rPr>
      </w:pPr>
      <w:r w:rsidRPr="001D2542">
        <w:rPr>
          <w:szCs w:val="24"/>
          <w:lang w:eastAsia="zh-CN"/>
        </w:rPr>
        <w:br w:type="page"/>
      </w:r>
    </w:p>
    <w:p w:rsidR="00743281" w:rsidRPr="00743281" w:rsidRDefault="00743281" w:rsidP="00743281">
      <w:pPr>
        <w:ind w:firstLineChars="200" w:firstLine="480"/>
        <w:rPr>
          <w:lang w:eastAsia="zh-CN"/>
        </w:rPr>
      </w:pPr>
      <w:r w:rsidRPr="00743281">
        <w:rPr>
          <w:rFonts w:hint="eastAsia"/>
          <w:lang w:eastAsia="zh-CN"/>
        </w:rPr>
        <w:lastRenderedPageBreak/>
        <w:t>能力建设举措组（</w:t>
      </w:r>
      <w:r w:rsidRPr="00743281">
        <w:rPr>
          <w:lang w:eastAsia="zh-CN"/>
        </w:rPr>
        <w:t>GCBI</w:t>
      </w:r>
      <w:r w:rsidRPr="00743281">
        <w:rPr>
          <w:rFonts w:hint="eastAsia"/>
          <w:lang w:eastAsia="zh-CN"/>
        </w:rPr>
        <w:t>）是根据</w:t>
      </w:r>
      <w:r w:rsidRPr="00743281">
        <w:rPr>
          <w:lang w:eastAsia="zh-CN"/>
        </w:rPr>
        <w:t>2010</w:t>
      </w:r>
      <w:r w:rsidRPr="00743281">
        <w:rPr>
          <w:rFonts w:hint="eastAsia"/>
          <w:lang w:eastAsia="zh-CN"/>
        </w:rPr>
        <w:t>年世界电信发展大会（</w:t>
      </w:r>
      <w:r w:rsidRPr="00743281">
        <w:rPr>
          <w:lang w:eastAsia="zh-CN"/>
        </w:rPr>
        <w:t>WTDC-10</w:t>
      </w:r>
      <w:r w:rsidRPr="00743281">
        <w:rPr>
          <w:rFonts w:hint="eastAsia"/>
          <w:lang w:eastAsia="zh-CN"/>
        </w:rPr>
        <w:t>）通过、并经</w:t>
      </w:r>
      <w:r w:rsidRPr="00743281">
        <w:rPr>
          <w:lang w:eastAsia="zh-CN"/>
        </w:rPr>
        <w:t>2017</w:t>
      </w:r>
      <w:r w:rsidRPr="00743281">
        <w:rPr>
          <w:rFonts w:hint="eastAsia"/>
          <w:lang w:eastAsia="zh-CN"/>
        </w:rPr>
        <w:t>年世界电信发展大会（</w:t>
      </w:r>
      <w:r w:rsidRPr="00743281">
        <w:rPr>
          <w:lang w:eastAsia="zh-CN"/>
        </w:rPr>
        <w:t>WTDC-17</w:t>
      </w:r>
      <w:r w:rsidRPr="00743281">
        <w:rPr>
          <w:rFonts w:hint="eastAsia"/>
          <w:lang w:eastAsia="zh-CN"/>
        </w:rPr>
        <w:t>）修订的第</w:t>
      </w:r>
      <w:r w:rsidRPr="00743281">
        <w:rPr>
          <w:lang w:eastAsia="zh-CN"/>
        </w:rPr>
        <w:t>40</w:t>
      </w:r>
      <w:r w:rsidRPr="00743281">
        <w:rPr>
          <w:rFonts w:hint="eastAsia"/>
          <w:lang w:eastAsia="zh-CN"/>
        </w:rPr>
        <w:t>号决议成立的，旨在就能力建设事宜向电信发展局（</w:t>
      </w:r>
      <w:r w:rsidRPr="00743281">
        <w:rPr>
          <w:lang w:eastAsia="zh-CN"/>
        </w:rPr>
        <w:t>BDT</w:t>
      </w:r>
      <w:r w:rsidRPr="00743281">
        <w:rPr>
          <w:rFonts w:hint="eastAsia"/>
          <w:lang w:eastAsia="zh-CN"/>
        </w:rPr>
        <w:t>）主任提出建议。</w:t>
      </w:r>
    </w:p>
    <w:p w:rsidR="008E2D9B" w:rsidRPr="001D2542" w:rsidRDefault="008E2D9B" w:rsidP="00CA07C4">
      <w:pPr>
        <w:pStyle w:val="Heading1"/>
        <w:rPr>
          <w:lang w:eastAsia="zh-CN"/>
        </w:rPr>
      </w:pPr>
      <w:r w:rsidRPr="001D2542">
        <w:rPr>
          <w:rFonts w:hint="eastAsia"/>
          <w:lang w:eastAsia="zh-CN"/>
        </w:rPr>
        <w:t>1</w:t>
      </w:r>
      <w:r w:rsidRPr="001D2542">
        <w:rPr>
          <w:lang w:eastAsia="zh-CN"/>
        </w:rPr>
        <w:tab/>
      </w:r>
      <w:r w:rsidR="008A7038">
        <w:rPr>
          <w:rFonts w:hint="eastAsia"/>
          <w:bCs/>
          <w:lang w:eastAsia="zh-CN"/>
        </w:rPr>
        <w:t>第</w:t>
      </w:r>
      <w:r w:rsidR="008A7038">
        <w:rPr>
          <w:rFonts w:hint="eastAsia"/>
          <w:bCs/>
          <w:lang w:eastAsia="zh-CN"/>
        </w:rPr>
        <w:t>6</w:t>
      </w:r>
      <w:r w:rsidR="008A7038">
        <w:rPr>
          <w:rFonts w:hint="eastAsia"/>
          <w:bCs/>
          <w:lang w:eastAsia="zh-CN"/>
        </w:rPr>
        <w:t>次</w:t>
      </w:r>
      <w:r w:rsidR="008A7038">
        <w:rPr>
          <w:bCs/>
          <w:lang w:eastAsia="zh-CN"/>
        </w:rPr>
        <w:t>GCBI</w:t>
      </w:r>
      <w:r w:rsidR="008A7038">
        <w:rPr>
          <w:rFonts w:hint="eastAsia"/>
          <w:bCs/>
          <w:lang w:eastAsia="zh-CN"/>
        </w:rPr>
        <w:t>会议</w:t>
      </w:r>
      <w:r w:rsidR="008A7038">
        <w:rPr>
          <w:bCs/>
          <w:lang w:eastAsia="zh-CN"/>
        </w:rPr>
        <w:t>的报告</w:t>
      </w:r>
      <w:r w:rsidR="00CA07C4">
        <w:rPr>
          <w:bCs/>
          <w:lang w:eastAsia="zh-CN"/>
        </w:rPr>
        <w:t>（</w:t>
      </w:r>
      <w:r w:rsidR="008A7038">
        <w:rPr>
          <w:bCs/>
          <w:lang w:eastAsia="zh-CN"/>
        </w:rPr>
        <w:t>2018</w:t>
      </w:r>
      <w:r w:rsidR="008A7038">
        <w:rPr>
          <w:rFonts w:hint="eastAsia"/>
          <w:bCs/>
          <w:lang w:eastAsia="zh-CN"/>
        </w:rPr>
        <w:t>年</w:t>
      </w:r>
      <w:r w:rsidR="008A7038">
        <w:rPr>
          <w:rFonts w:hint="eastAsia"/>
          <w:bCs/>
          <w:lang w:eastAsia="zh-CN"/>
        </w:rPr>
        <w:t>2</w:t>
      </w:r>
      <w:r w:rsidR="008A7038">
        <w:rPr>
          <w:rFonts w:hint="eastAsia"/>
          <w:bCs/>
          <w:lang w:eastAsia="zh-CN"/>
        </w:rPr>
        <w:t>月</w:t>
      </w:r>
      <w:r w:rsidR="008A7038">
        <w:rPr>
          <w:bCs/>
          <w:lang w:eastAsia="zh-CN"/>
        </w:rPr>
        <w:t>27-28</w:t>
      </w:r>
      <w:r w:rsidR="008A7038">
        <w:rPr>
          <w:rFonts w:hint="eastAsia"/>
          <w:bCs/>
          <w:lang w:eastAsia="zh-CN"/>
        </w:rPr>
        <w:t>日</w:t>
      </w:r>
      <w:r w:rsidR="00CA07C4">
        <w:rPr>
          <w:bCs/>
          <w:lang w:eastAsia="zh-CN"/>
        </w:rPr>
        <w:t>）</w:t>
      </w:r>
    </w:p>
    <w:p w:rsidR="00743281" w:rsidRDefault="008A7038" w:rsidP="00CA07C4">
      <w:pPr>
        <w:spacing w:after="120"/>
        <w:ind w:firstLineChars="200" w:firstLine="480"/>
        <w:rPr>
          <w:lang w:eastAsia="zh-CN"/>
        </w:rPr>
      </w:pPr>
      <w:r>
        <w:rPr>
          <w:rFonts w:hint="eastAsia"/>
          <w:lang w:eastAsia="zh-CN"/>
        </w:rPr>
        <w:t>第</w:t>
      </w:r>
      <w:r>
        <w:rPr>
          <w:rFonts w:hint="eastAsia"/>
          <w:lang w:eastAsia="zh-CN"/>
        </w:rPr>
        <w:t>6</w:t>
      </w:r>
      <w:r>
        <w:rPr>
          <w:rFonts w:hint="eastAsia"/>
          <w:lang w:eastAsia="zh-CN"/>
        </w:rPr>
        <w:t>次</w:t>
      </w:r>
      <w:r w:rsidR="00743281">
        <w:rPr>
          <w:lang w:eastAsia="zh-CN"/>
        </w:rPr>
        <w:t>GCBI</w:t>
      </w:r>
      <w:r>
        <w:rPr>
          <w:rFonts w:hint="eastAsia"/>
          <w:lang w:eastAsia="zh-CN"/>
        </w:rPr>
        <w:t>会议</w:t>
      </w:r>
      <w:r>
        <w:rPr>
          <w:lang w:eastAsia="zh-CN"/>
        </w:rPr>
        <w:t>于</w:t>
      </w:r>
      <w:r>
        <w:rPr>
          <w:rFonts w:hint="eastAsia"/>
          <w:lang w:eastAsia="zh-CN"/>
        </w:rPr>
        <w:t>2018</w:t>
      </w:r>
      <w:r>
        <w:rPr>
          <w:rFonts w:hint="eastAsia"/>
          <w:lang w:eastAsia="zh-CN"/>
        </w:rPr>
        <w:t>年</w:t>
      </w:r>
      <w:r>
        <w:rPr>
          <w:rFonts w:hint="eastAsia"/>
          <w:lang w:eastAsia="zh-CN"/>
        </w:rPr>
        <w:t>2</w:t>
      </w:r>
      <w:r>
        <w:rPr>
          <w:rFonts w:hint="eastAsia"/>
          <w:lang w:eastAsia="zh-CN"/>
        </w:rPr>
        <w:t>月</w:t>
      </w:r>
      <w:r>
        <w:rPr>
          <w:rFonts w:hint="eastAsia"/>
          <w:lang w:eastAsia="zh-CN"/>
        </w:rPr>
        <w:t>27</w:t>
      </w:r>
      <w:r>
        <w:rPr>
          <w:lang w:eastAsia="zh-CN"/>
        </w:rPr>
        <w:t>-28</w:t>
      </w:r>
      <w:r>
        <w:rPr>
          <w:rFonts w:hint="eastAsia"/>
          <w:lang w:eastAsia="zh-CN"/>
        </w:rPr>
        <w:t>日</w:t>
      </w:r>
      <w:r>
        <w:rPr>
          <w:lang w:eastAsia="zh-CN"/>
        </w:rPr>
        <w:t>在日内瓦</w:t>
      </w:r>
      <w:r>
        <w:rPr>
          <w:rFonts w:hint="eastAsia"/>
          <w:lang w:eastAsia="zh-CN"/>
        </w:rPr>
        <w:t>举行</w:t>
      </w:r>
      <w:r>
        <w:rPr>
          <w:lang w:eastAsia="zh-CN"/>
        </w:rPr>
        <w:t>。</w:t>
      </w:r>
      <w:r>
        <w:rPr>
          <w:rFonts w:hint="eastAsia"/>
          <w:lang w:eastAsia="zh-CN"/>
        </w:rPr>
        <w:t>该组</w:t>
      </w:r>
      <w:r>
        <w:rPr>
          <w:lang w:eastAsia="zh-CN"/>
        </w:rPr>
        <w:t>讨论了：</w:t>
      </w:r>
    </w:p>
    <w:p w:rsidR="00743281" w:rsidRPr="00CA07C4" w:rsidRDefault="00743281" w:rsidP="00CA07C4">
      <w:pPr>
        <w:pStyle w:val="enumlev1"/>
        <w:rPr>
          <w:lang w:eastAsia="zh-CN"/>
        </w:rPr>
      </w:pPr>
      <w:r w:rsidRPr="00CA07C4">
        <w:rPr>
          <w:lang w:eastAsia="zh-CN"/>
        </w:rPr>
        <w:t>–</w:t>
      </w:r>
      <w:r w:rsidRPr="00CA07C4">
        <w:rPr>
          <w:lang w:eastAsia="zh-CN"/>
        </w:rPr>
        <w:tab/>
      </w:r>
      <w:r w:rsidR="000E2266" w:rsidRPr="00CA07C4">
        <w:rPr>
          <w:rFonts w:hint="eastAsia"/>
          <w:lang w:eastAsia="zh-CN"/>
        </w:rPr>
        <w:t>未来工作的议程主题、</w:t>
      </w:r>
      <w:r w:rsidR="000E2266" w:rsidRPr="00CA07C4">
        <w:rPr>
          <w:lang w:eastAsia="zh-CN"/>
        </w:rPr>
        <w:t>WTDC-17</w:t>
      </w:r>
      <w:r w:rsidR="000E2266" w:rsidRPr="00CA07C4">
        <w:rPr>
          <w:rFonts w:hint="eastAsia"/>
          <w:lang w:eastAsia="zh-CN"/>
        </w:rPr>
        <w:t>的成果以及国际电联高级</w:t>
      </w:r>
      <w:r w:rsidR="000E2266" w:rsidRPr="00CA07C4">
        <w:rPr>
          <w:lang w:eastAsia="zh-CN"/>
        </w:rPr>
        <w:t>培训</w:t>
      </w:r>
      <w:r w:rsidR="000E2266" w:rsidRPr="00CA07C4">
        <w:rPr>
          <w:rFonts w:hint="eastAsia"/>
          <w:lang w:eastAsia="zh-CN"/>
        </w:rPr>
        <w:t>中心</w:t>
      </w:r>
      <w:r w:rsidR="00CA07C4">
        <w:rPr>
          <w:lang w:eastAsia="zh-CN"/>
        </w:rPr>
        <w:t>（</w:t>
      </w:r>
      <w:proofErr w:type="spellStart"/>
      <w:r w:rsidR="000E2266" w:rsidRPr="00CA07C4">
        <w:rPr>
          <w:lang w:eastAsia="zh-CN"/>
        </w:rPr>
        <w:t>CoE</w:t>
      </w:r>
      <w:proofErr w:type="spellEnd"/>
      <w:r w:rsidR="00CA07C4">
        <w:rPr>
          <w:lang w:eastAsia="zh-CN"/>
        </w:rPr>
        <w:t>）</w:t>
      </w:r>
      <w:r w:rsidR="000E2266" w:rsidRPr="00CA07C4">
        <w:rPr>
          <w:rFonts w:hint="eastAsia"/>
          <w:lang w:eastAsia="zh-CN"/>
        </w:rPr>
        <w:t>网络的业务流程和程序</w:t>
      </w:r>
      <w:r w:rsidR="00CA07C4">
        <w:rPr>
          <w:lang w:eastAsia="zh-CN"/>
        </w:rPr>
        <w:t>（</w:t>
      </w:r>
      <w:r w:rsidR="000E2266" w:rsidRPr="00CA07C4">
        <w:rPr>
          <w:lang w:eastAsia="zh-CN"/>
        </w:rPr>
        <w:t>OPP</w:t>
      </w:r>
      <w:r w:rsidR="00CA07C4">
        <w:rPr>
          <w:lang w:eastAsia="zh-CN"/>
        </w:rPr>
        <w:t>）</w:t>
      </w:r>
      <w:r w:rsidR="000E2266" w:rsidRPr="00CA07C4">
        <w:rPr>
          <w:rFonts w:hint="eastAsia"/>
          <w:lang w:eastAsia="zh-CN"/>
        </w:rPr>
        <w:t>文件。</w:t>
      </w:r>
    </w:p>
    <w:p w:rsidR="00743281" w:rsidRPr="00CA07C4" w:rsidRDefault="00743281" w:rsidP="00CA07C4">
      <w:pPr>
        <w:pStyle w:val="enumlev1"/>
        <w:rPr>
          <w:lang w:eastAsia="zh-CN"/>
        </w:rPr>
      </w:pPr>
      <w:r w:rsidRPr="00CA07C4">
        <w:rPr>
          <w:lang w:eastAsia="zh-CN"/>
        </w:rPr>
        <w:t>–</w:t>
      </w:r>
      <w:r w:rsidRPr="00CA07C4">
        <w:rPr>
          <w:lang w:eastAsia="zh-CN"/>
        </w:rPr>
        <w:tab/>
      </w:r>
      <w:r w:rsidR="000E2266" w:rsidRPr="00CA07C4">
        <w:rPr>
          <w:rFonts w:hint="eastAsia"/>
          <w:lang w:eastAsia="zh-CN"/>
        </w:rPr>
        <w:t>关于秘书处介绍的高级</w:t>
      </w:r>
      <w:r w:rsidR="000E2266" w:rsidRPr="00CA07C4">
        <w:rPr>
          <w:lang w:eastAsia="zh-CN"/>
        </w:rPr>
        <w:t>培训</w:t>
      </w:r>
      <w:r w:rsidR="000E2266" w:rsidRPr="00CA07C4">
        <w:rPr>
          <w:rFonts w:hint="eastAsia"/>
          <w:lang w:eastAsia="zh-CN"/>
        </w:rPr>
        <w:t>中心网络</w:t>
      </w:r>
      <w:r w:rsidR="000E2266" w:rsidRPr="00CA07C4">
        <w:rPr>
          <w:lang w:eastAsia="zh-CN"/>
        </w:rPr>
        <w:t>OPP</w:t>
      </w:r>
      <w:r w:rsidR="000E2266" w:rsidRPr="00CA07C4">
        <w:rPr>
          <w:rFonts w:hint="eastAsia"/>
          <w:lang w:eastAsia="zh-CN"/>
        </w:rPr>
        <w:t>的修订文件，在</w:t>
      </w:r>
      <w:r w:rsidR="000E2266" w:rsidRPr="00CA07C4">
        <w:rPr>
          <w:lang w:eastAsia="zh-CN"/>
        </w:rPr>
        <w:t>GCBI</w:t>
      </w:r>
      <w:r w:rsidR="000E2266" w:rsidRPr="00CA07C4">
        <w:rPr>
          <w:rFonts w:hint="eastAsia"/>
          <w:lang w:eastAsia="zh-CN"/>
        </w:rPr>
        <w:t>详细讨论后，该文件获得通过，并被认为是实施</w:t>
      </w:r>
      <w:proofErr w:type="spellStart"/>
      <w:r w:rsidR="000E2266" w:rsidRPr="00CA07C4">
        <w:rPr>
          <w:lang w:eastAsia="zh-CN"/>
        </w:rPr>
        <w:t>CoE</w:t>
      </w:r>
      <w:proofErr w:type="spellEnd"/>
      <w:r w:rsidR="000E2266" w:rsidRPr="00CA07C4">
        <w:rPr>
          <w:rFonts w:hint="eastAsia"/>
          <w:lang w:eastAsia="zh-CN"/>
        </w:rPr>
        <w:t>网络下一个周期的良好基础。在为下一轮选择新的</w:t>
      </w:r>
      <w:proofErr w:type="spellStart"/>
      <w:r w:rsidR="000E2266" w:rsidRPr="00CA07C4">
        <w:rPr>
          <w:rFonts w:hint="eastAsia"/>
          <w:lang w:eastAsia="zh-CN"/>
        </w:rPr>
        <w:t>CoE</w:t>
      </w:r>
      <w:proofErr w:type="spellEnd"/>
      <w:r w:rsidR="000E2266" w:rsidRPr="00CA07C4">
        <w:rPr>
          <w:rFonts w:hint="eastAsia"/>
          <w:lang w:eastAsia="zh-CN"/>
        </w:rPr>
        <w:t>方面，该小组批准了实施整个过程的拟议时间表。</w:t>
      </w:r>
    </w:p>
    <w:p w:rsidR="00743281" w:rsidRPr="00CA07C4" w:rsidRDefault="00743281" w:rsidP="00CA07C4">
      <w:pPr>
        <w:pStyle w:val="enumlev1"/>
        <w:rPr>
          <w:lang w:eastAsia="zh-CN"/>
        </w:rPr>
      </w:pPr>
      <w:r w:rsidRPr="00CA07C4">
        <w:rPr>
          <w:lang w:eastAsia="zh-CN"/>
        </w:rPr>
        <w:t>–</w:t>
      </w:r>
      <w:r w:rsidRPr="00CA07C4">
        <w:rPr>
          <w:lang w:eastAsia="zh-CN"/>
        </w:rPr>
        <w:tab/>
      </w:r>
      <w:proofErr w:type="spellStart"/>
      <w:r w:rsidR="000E2266" w:rsidRPr="00CA07C4">
        <w:rPr>
          <w:lang w:eastAsia="zh-CN"/>
        </w:rPr>
        <w:t>GCBl</w:t>
      </w:r>
      <w:proofErr w:type="spellEnd"/>
      <w:r w:rsidR="000E2266" w:rsidRPr="00CA07C4">
        <w:rPr>
          <w:rFonts w:hint="eastAsia"/>
          <w:lang w:eastAsia="zh-CN"/>
        </w:rPr>
        <w:t>成员的任期：该小组注意到，</w:t>
      </w:r>
      <w:proofErr w:type="spellStart"/>
      <w:r w:rsidR="000E2266" w:rsidRPr="00CA07C4">
        <w:rPr>
          <w:lang w:eastAsia="zh-CN"/>
        </w:rPr>
        <w:t>GCBl</w:t>
      </w:r>
      <w:proofErr w:type="spellEnd"/>
      <w:r w:rsidR="000E2266" w:rsidRPr="00CA07C4">
        <w:rPr>
          <w:rFonts w:hint="eastAsia"/>
          <w:lang w:eastAsia="zh-CN"/>
        </w:rPr>
        <w:t>成员的第一</w:t>
      </w:r>
      <w:r w:rsidR="00EB04E4" w:rsidRPr="00CA07C4">
        <w:rPr>
          <w:rFonts w:hint="eastAsia"/>
          <w:lang w:eastAsia="zh-CN"/>
        </w:rPr>
        <w:t>届</w:t>
      </w:r>
      <w:r w:rsidR="000E2266" w:rsidRPr="00CA07C4">
        <w:rPr>
          <w:rFonts w:hint="eastAsia"/>
          <w:lang w:eastAsia="zh-CN"/>
        </w:rPr>
        <w:t>任期将于</w:t>
      </w:r>
      <w:r w:rsidR="000E2266" w:rsidRPr="00CA07C4">
        <w:rPr>
          <w:lang w:eastAsia="zh-CN"/>
        </w:rPr>
        <w:t>2018</w:t>
      </w:r>
      <w:r w:rsidR="000E2266" w:rsidRPr="00CA07C4">
        <w:rPr>
          <w:rFonts w:hint="eastAsia"/>
          <w:lang w:eastAsia="zh-CN"/>
        </w:rPr>
        <w:t>年</w:t>
      </w:r>
      <w:r w:rsidR="000E2266" w:rsidRPr="00CA07C4">
        <w:rPr>
          <w:lang w:eastAsia="zh-CN"/>
        </w:rPr>
        <w:t>12</w:t>
      </w:r>
      <w:r w:rsidR="000E2266" w:rsidRPr="00CA07C4">
        <w:rPr>
          <w:rFonts w:hint="eastAsia"/>
          <w:lang w:eastAsia="zh-CN"/>
        </w:rPr>
        <w:t>月结束，对未来四年提名的征集即将</w:t>
      </w:r>
      <w:r w:rsidR="000E2266" w:rsidRPr="00CA07C4">
        <w:rPr>
          <w:lang w:eastAsia="zh-CN"/>
        </w:rPr>
        <w:t>启动</w:t>
      </w:r>
      <w:r w:rsidR="000E2266" w:rsidRPr="00CA07C4">
        <w:rPr>
          <w:rFonts w:hint="eastAsia"/>
          <w:lang w:eastAsia="zh-CN"/>
        </w:rPr>
        <w:t>。</w:t>
      </w:r>
    </w:p>
    <w:p w:rsidR="000E2266" w:rsidRPr="00CA07C4" w:rsidRDefault="00743281" w:rsidP="00CA07C4">
      <w:pPr>
        <w:pStyle w:val="enumlev1"/>
        <w:rPr>
          <w:lang w:eastAsia="zh-CN"/>
        </w:rPr>
      </w:pPr>
      <w:r w:rsidRPr="00CA07C4">
        <w:rPr>
          <w:lang w:eastAsia="zh-CN"/>
        </w:rPr>
        <w:t>–</w:t>
      </w:r>
      <w:r w:rsidRPr="00CA07C4">
        <w:rPr>
          <w:lang w:eastAsia="zh-CN"/>
        </w:rPr>
        <w:tab/>
      </w:r>
      <w:r w:rsidR="000E2266" w:rsidRPr="00CA07C4">
        <w:rPr>
          <w:rFonts w:hint="eastAsia"/>
          <w:lang w:eastAsia="zh-CN"/>
        </w:rPr>
        <w:t>区域经验交流</w:t>
      </w:r>
      <w:r w:rsidR="00CA07C4">
        <w:rPr>
          <w:rFonts w:hint="eastAsia"/>
          <w:lang w:eastAsia="zh-CN"/>
        </w:rPr>
        <w:t>：</w:t>
      </w:r>
      <w:r w:rsidR="000E2266" w:rsidRPr="00CA07C4">
        <w:rPr>
          <w:rFonts w:hint="eastAsia"/>
          <w:lang w:eastAsia="zh-CN"/>
        </w:rPr>
        <w:t>该小组就各自区域作了介绍，介绍和随后的讨论中出现了以下问题</w:t>
      </w:r>
      <w:r w:rsidR="00CA07C4" w:rsidRPr="00CA07C4">
        <w:rPr>
          <w:rFonts w:hint="eastAsia"/>
          <w:lang w:eastAsia="zh-CN"/>
        </w:rPr>
        <w:t>：</w:t>
      </w:r>
    </w:p>
    <w:p w:rsidR="00743281" w:rsidRPr="00CA07C4" w:rsidRDefault="00743281" w:rsidP="00CA07C4">
      <w:pPr>
        <w:pStyle w:val="enumlev2"/>
        <w:rPr>
          <w:lang w:eastAsia="zh-CN"/>
        </w:rPr>
      </w:pPr>
      <w:r>
        <w:rPr>
          <w:lang w:eastAsia="zh-CN"/>
        </w:rPr>
        <w:t>•</w:t>
      </w:r>
      <w:r>
        <w:rPr>
          <w:lang w:eastAsia="zh-CN"/>
        </w:rPr>
        <w:tab/>
      </w:r>
      <w:r w:rsidR="000E2266" w:rsidRPr="00CA07C4">
        <w:rPr>
          <w:rFonts w:hint="eastAsia"/>
          <w:lang w:eastAsia="zh-CN"/>
        </w:rPr>
        <w:t>虽然各区域在能力建设问题上存在重大差异，但大多数新出现的</w:t>
      </w:r>
      <w:r w:rsidR="00EB04E4" w:rsidRPr="00CA07C4">
        <w:rPr>
          <w:rFonts w:hint="eastAsia"/>
          <w:lang w:eastAsia="zh-CN"/>
        </w:rPr>
        <w:t>ICT</w:t>
      </w:r>
      <w:r w:rsidR="000E2266" w:rsidRPr="00CA07C4">
        <w:rPr>
          <w:rFonts w:hint="eastAsia"/>
          <w:lang w:eastAsia="zh-CN"/>
        </w:rPr>
        <w:t>趋势是全球性的。</w:t>
      </w:r>
    </w:p>
    <w:p w:rsidR="00743281" w:rsidRPr="00CA07C4" w:rsidRDefault="00743281" w:rsidP="00CA07C4">
      <w:pPr>
        <w:pStyle w:val="enumlev2"/>
        <w:rPr>
          <w:lang w:eastAsia="zh-CN"/>
        </w:rPr>
      </w:pPr>
      <w:r w:rsidRPr="00CA07C4">
        <w:rPr>
          <w:lang w:eastAsia="zh-CN"/>
        </w:rPr>
        <w:t>•</w:t>
      </w:r>
      <w:r w:rsidRPr="00CA07C4">
        <w:rPr>
          <w:lang w:eastAsia="zh-CN"/>
        </w:rPr>
        <w:tab/>
      </w:r>
      <w:r w:rsidR="000E2266" w:rsidRPr="00CA07C4">
        <w:rPr>
          <w:rFonts w:hint="eastAsia"/>
          <w:lang w:eastAsia="zh-CN"/>
        </w:rPr>
        <w:t>所有地区和多数</w:t>
      </w:r>
      <w:r w:rsidR="000E2266" w:rsidRPr="00CA07C4">
        <w:rPr>
          <w:lang w:eastAsia="zh-CN"/>
        </w:rPr>
        <w:t>国家</w:t>
      </w:r>
      <w:r w:rsidR="000E2266" w:rsidRPr="00CA07C4">
        <w:rPr>
          <w:rFonts w:hint="eastAsia"/>
          <w:lang w:eastAsia="zh-CN"/>
        </w:rPr>
        <w:t>对数字技术工人的需求都在增加；各国无法按照数字转型的速度开发所需技能。</w:t>
      </w:r>
    </w:p>
    <w:p w:rsidR="00743281" w:rsidRPr="00CA07C4" w:rsidRDefault="00743281" w:rsidP="00CA07C4">
      <w:pPr>
        <w:pStyle w:val="enumlev2"/>
        <w:rPr>
          <w:lang w:eastAsia="zh-CN"/>
        </w:rPr>
      </w:pPr>
      <w:r w:rsidRPr="00CA07C4">
        <w:rPr>
          <w:lang w:eastAsia="zh-CN"/>
        </w:rPr>
        <w:t>•</w:t>
      </w:r>
      <w:r w:rsidRPr="00CA07C4">
        <w:rPr>
          <w:lang w:eastAsia="zh-CN"/>
        </w:rPr>
        <w:tab/>
      </w:r>
      <w:r w:rsidR="000E2266" w:rsidRPr="00CA07C4">
        <w:rPr>
          <w:rFonts w:hint="eastAsia"/>
          <w:lang w:eastAsia="zh-CN"/>
        </w:rPr>
        <w:t>能力建设活动的目标受众必须广泛，包括专业人员</w:t>
      </w:r>
      <w:r w:rsidR="00CA07C4" w:rsidRPr="00CA07C4">
        <w:rPr>
          <w:lang w:eastAsia="zh-CN"/>
        </w:rPr>
        <w:t>（</w:t>
      </w:r>
      <w:r w:rsidR="000E2266" w:rsidRPr="00CA07C4">
        <w:rPr>
          <w:rFonts w:hint="eastAsia"/>
          <w:lang w:eastAsia="zh-CN"/>
        </w:rPr>
        <w:t>如中级和高级管理人员</w:t>
      </w:r>
      <w:r w:rsidR="00CA07C4" w:rsidRPr="00CA07C4">
        <w:rPr>
          <w:lang w:eastAsia="zh-CN"/>
        </w:rPr>
        <w:t>）</w:t>
      </w:r>
      <w:r w:rsidR="000E2266" w:rsidRPr="00CA07C4">
        <w:rPr>
          <w:rFonts w:hint="eastAsia"/>
          <w:lang w:eastAsia="zh-CN"/>
        </w:rPr>
        <w:t>、年轻人和学生、研究人员、中小企业</w:t>
      </w:r>
      <w:r w:rsidR="00CA07C4" w:rsidRPr="00CA07C4">
        <w:rPr>
          <w:rFonts w:hint="eastAsia"/>
          <w:lang w:eastAsia="zh-CN"/>
        </w:rPr>
        <w:t>（</w:t>
      </w:r>
      <w:r w:rsidR="000E2266" w:rsidRPr="00CA07C4">
        <w:rPr>
          <w:rFonts w:hint="eastAsia"/>
          <w:lang w:eastAsia="zh-CN"/>
        </w:rPr>
        <w:t>SME</w:t>
      </w:r>
      <w:r w:rsidR="00CA07C4" w:rsidRPr="00CA07C4">
        <w:rPr>
          <w:rFonts w:hint="eastAsia"/>
          <w:lang w:eastAsia="zh-CN"/>
        </w:rPr>
        <w:t>）</w:t>
      </w:r>
      <w:r w:rsidR="000E2266" w:rsidRPr="00CA07C4">
        <w:rPr>
          <w:rFonts w:hint="eastAsia"/>
          <w:lang w:eastAsia="zh-CN"/>
        </w:rPr>
        <w:t>、服务不足的社区和其他</w:t>
      </w:r>
      <w:r w:rsidR="000E2266" w:rsidRPr="00CA07C4">
        <w:rPr>
          <w:rFonts w:hint="eastAsia"/>
          <w:lang w:eastAsia="zh-CN"/>
        </w:rPr>
        <w:t>ICT</w:t>
      </w:r>
      <w:r w:rsidR="000E2266" w:rsidRPr="00CA07C4">
        <w:rPr>
          <w:rFonts w:hint="eastAsia"/>
          <w:lang w:eastAsia="zh-CN"/>
        </w:rPr>
        <w:t>用户。特别值得</w:t>
      </w:r>
      <w:r w:rsidR="000E2266" w:rsidRPr="00CA07C4">
        <w:rPr>
          <w:lang w:eastAsia="zh-CN"/>
        </w:rPr>
        <w:t>一提的</w:t>
      </w:r>
      <w:r w:rsidR="000E2266" w:rsidRPr="00CA07C4">
        <w:rPr>
          <w:rFonts w:hint="eastAsia"/>
          <w:lang w:eastAsia="zh-CN"/>
        </w:rPr>
        <w:t>是，越来越多的</w:t>
      </w:r>
      <w:r w:rsidR="00CA07C4" w:rsidRPr="00CA07C4">
        <w:rPr>
          <w:rFonts w:ascii="SimSun" w:eastAsia="SimSun" w:hAnsi="SimSun"/>
          <w:lang w:eastAsia="zh-CN"/>
        </w:rPr>
        <w:t>“</w:t>
      </w:r>
      <w:r w:rsidR="000E2266" w:rsidRPr="00CA07C4">
        <w:rPr>
          <w:rFonts w:hint="eastAsia"/>
          <w:lang w:eastAsia="zh-CN"/>
        </w:rPr>
        <w:t>数字原生代</w:t>
      </w:r>
      <w:r w:rsidR="00CA07C4" w:rsidRPr="00CA07C4">
        <w:rPr>
          <w:rFonts w:ascii="SimSun" w:eastAsia="SimSun" w:hAnsi="SimSun"/>
          <w:lang w:eastAsia="zh-CN"/>
        </w:rPr>
        <w:t>”</w:t>
      </w:r>
      <w:r w:rsidR="000E2266" w:rsidRPr="00CA07C4">
        <w:rPr>
          <w:rFonts w:hint="eastAsia"/>
          <w:lang w:eastAsia="zh-CN"/>
        </w:rPr>
        <w:t>正在引领创新</w:t>
      </w:r>
      <w:r w:rsidR="000E2266" w:rsidRPr="00CA07C4">
        <w:rPr>
          <w:rFonts w:hint="eastAsia"/>
          <w:lang w:eastAsia="zh-CN"/>
        </w:rPr>
        <w:t>ICT</w:t>
      </w:r>
      <w:r w:rsidR="000E2266" w:rsidRPr="00CA07C4">
        <w:rPr>
          <w:rFonts w:hint="eastAsia"/>
          <w:lang w:eastAsia="zh-CN"/>
        </w:rPr>
        <w:t>的发展。</w:t>
      </w:r>
    </w:p>
    <w:p w:rsidR="00743281" w:rsidRPr="00CA07C4" w:rsidRDefault="00743281" w:rsidP="00CA07C4">
      <w:pPr>
        <w:pStyle w:val="enumlev2"/>
        <w:rPr>
          <w:lang w:eastAsia="zh-CN"/>
        </w:rPr>
      </w:pPr>
      <w:r w:rsidRPr="00CA07C4">
        <w:rPr>
          <w:lang w:eastAsia="zh-CN"/>
        </w:rPr>
        <w:t>•</w:t>
      </w:r>
      <w:r w:rsidRPr="00CA07C4">
        <w:rPr>
          <w:lang w:eastAsia="zh-CN"/>
        </w:rPr>
        <w:tab/>
      </w:r>
      <w:r w:rsidR="000E2266" w:rsidRPr="00CA07C4">
        <w:rPr>
          <w:rFonts w:hint="eastAsia"/>
          <w:lang w:eastAsia="zh-CN"/>
        </w:rPr>
        <w:t>能力建设应根据不同目标群体的具体需要和优先事项进行定制。在这方面，利益攸关方以及决策者和监管机构以外的技术用户的强有力参与和反馈对于分析能力建设需求和优先事项非常重要。</w:t>
      </w:r>
    </w:p>
    <w:p w:rsidR="00743281" w:rsidRPr="00CA07C4" w:rsidRDefault="00743281" w:rsidP="00D326D0">
      <w:pPr>
        <w:pStyle w:val="enumlev2"/>
        <w:rPr>
          <w:lang w:eastAsia="zh-CN"/>
        </w:rPr>
      </w:pPr>
      <w:r w:rsidRPr="00CA07C4">
        <w:rPr>
          <w:lang w:eastAsia="zh-CN"/>
        </w:rPr>
        <w:t>•</w:t>
      </w:r>
      <w:r w:rsidRPr="00CA07C4">
        <w:rPr>
          <w:lang w:eastAsia="zh-CN"/>
        </w:rPr>
        <w:tab/>
      </w:r>
      <w:r w:rsidR="000E2266" w:rsidRPr="00CA07C4">
        <w:rPr>
          <w:rFonts w:hint="eastAsia"/>
          <w:lang w:eastAsia="zh-CN"/>
        </w:rPr>
        <w:t>培训应该采取更跨学科的方法，其中</w:t>
      </w:r>
      <w:r w:rsidR="00EB04E4" w:rsidRPr="00CA07C4">
        <w:rPr>
          <w:rFonts w:hint="eastAsia"/>
          <w:lang w:eastAsia="zh-CN"/>
        </w:rPr>
        <w:t>每</w:t>
      </w:r>
      <w:r w:rsidR="000E2266" w:rsidRPr="00CA07C4">
        <w:rPr>
          <w:rFonts w:hint="eastAsia"/>
          <w:lang w:eastAsia="zh-CN"/>
        </w:rPr>
        <w:t>门课程</w:t>
      </w:r>
      <w:r w:rsidR="00EB04E4" w:rsidRPr="00CA07C4">
        <w:rPr>
          <w:rFonts w:hint="eastAsia"/>
          <w:lang w:eastAsia="zh-CN"/>
        </w:rPr>
        <w:t>都</w:t>
      </w:r>
      <w:r w:rsidR="000E2266" w:rsidRPr="00CA07C4">
        <w:rPr>
          <w:rFonts w:hint="eastAsia"/>
          <w:lang w:eastAsia="zh-CN"/>
        </w:rPr>
        <w:t>结合了技术、商业和监管方面。</w:t>
      </w:r>
    </w:p>
    <w:p w:rsidR="00743281" w:rsidRPr="00CA07C4" w:rsidRDefault="00743281" w:rsidP="00CA07C4">
      <w:pPr>
        <w:pStyle w:val="enumlev2"/>
        <w:rPr>
          <w:lang w:eastAsia="zh-CN"/>
        </w:rPr>
      </w:pPr>
      <w:r w:rsidRPr="00CA07C4">
        <w:rPr>
          <w:lang w:eastAsia="zh-CN"/>
        </w:rPr>
        <w:t>•</w:t>
      </w:r>
      <w:r w:rsidRPr="00CA07C4">
        <w:rPr>
          <w:lang w:eastAsia="zh-CN"/>
        </w:rPr>
        <w:tab/>
      </w:r>
      <w:r w:rsidR="000E2266" w:rsidRPr="00CA07C4">
        <w:rPr>
          <w:rFonts w:hint="eastAsia"/>
          <w:lang w:eastAsia="zh-CN"/>
        </w:rPr>
        <w:t>将要交付的主题应该考虑到应该实现的预期影响。针对未来劳动力市场需求对员工进行培训的重点应该是数字转型和数字经济，包括人工智能</w:t>
      </w:r>
      <w:r w:rsidR="00CA07C4" w:rsidRPr="00CA07C4">
        <w:rPr>
          <w:lang w:eastAsia="zh-CN"/>
        </w:rPr>
        <w:t>（</w:t>
      </w:r>
      <w:r w:rsidR="000E2266" w:rsidRPr="00CA07C4">
        <w:rPr>
          <w:rFonts w:hint="eastAsia"/>
          <w:lang w:eastAsia="zh-CN"/>
        </w:rPr>
        <w:t>AI</w:t>
      </w:r>
      <w:r w:rsidR="00CA07C4" w:rsidRPr="00CA07C4">
        <w:rPr>
          <w:lang w:eastAsia="zh-CN"/>
        </w:rPr>
        <w:t>）</w:t>
      </w:r>
      <w:r w:rsidR="000E2266" w:rsidRPr="00CA07C4">
        <w:rPr>
          <w:rFonts w:hint="eastAsia"/>
          <w:lang w:eastAsia="zh-CN"/>
        </w:rPr>
        <w:t>、大数据分析和数据科学、</w:t>
      </w:r>
      <w:proofErr w:type="spellStart"/>
      <w:r w:rsidR="000E2266" w:rsidRPr="00CA07C4">
        <w:rPr>
          <w:lang w:eastAsia="zh-CN"/>
        </w:rPr>
        <w:t>loT</w:t>
      </w:r>
      <w:proofErr w:type="spellEnd"/>
      <w:r w:rsidR="000E2266" w:rsidRPr="00CA07C4">
        <w:rPr>
          <w:rFonts w:hint="eastAsia"/>
          <w:lang w:eastAsia="zh-CN"/>
        </w:rPr>
        <w:t>、云计算和网络安全等主题。此外，需要对</w:t>
      </w:r>
      <w:r w:rsidR="000E2266" w:rsidRPr="00CA07C4">
        <w:rPr>
          <w:rFonts w:hint="eastAsia"/>
          <w:lang w:eastAsia="zh-CN"/>
        </w:rPr>
        <w:t>ICT</w:t>
      </w:r>
      <w:r w:rsidR="000E2266" w:rsidRPr="00CA07C4">
        <w:rPr>
          <w:rFonts w:hint="eastAsia"/>
          <w:lang w:eastAsia="zh-CN"/>
        </w:rPr>
        <w:t>用户进行培训</w:t>
      </w:r>
      <w:r w:rsidR="00CA07C4">
        <w:rPr>
          <w:rFonts w:hint="eastAsia"/>
          <w:lang w:eastAsia="zh-CN"/>
        </w:rPr>
        <w:t>，</w:t>
      </w:r>
      <w:r w:rsidR="000E2266" w:rsidRPr="00CA07C4">
        <w:rPr>
          <w:rFonts w:hint="eastAsia"/>
          <w:lang w:eastAsia="zh-CN"/>
        </w:rPr>
        <w:t>重点是</w:t>
      </w:r>
      <w:r w:rsidR="000E2266" w:rsidRPr="00CA07C4">
        <w:rPr>
          <w:rFonts w:hint="eastAsia"/>
          <w:lang w:eastAsia="zh-CN"/>
        </w:rPr>
        <w:t>ICT</w:t>
      </w:r>
      <w:r w:rsidR="000E2266" w:rsidRPr="00CA07C4">
        <w:rPr>
          <w:rFonts w:hint="eastAsia"/>
          <w:lang w:eastAsia="zh-CN"/>
        </w:rPr>
        <w:t>应用和解决方案以及数字经济和社会的非技术方面。</w:t>
      </w:r>
    </w:p>
    <w:p w:rsidR="00743281" w:rsidRPr="00816C86" w:rsidRDefault="00743281" w:rsidP="00743281">
      <w:pPr>
        <w:ind w:firstLineChars="200" w:firstLine="480"/>
        <w:rPr>
          <w:rFonts w:ascii="Calibri" w:hAnsi="Calibri"/>
          <w:b/>
          <w:color w:val="800000"/>
          <w:sz w:val="22"/>
          <w:highlight w:val="cyan"/>
          <w:lang w:eastAsia="zh-CN"/>
        </w:rPr>
      </w:pPr>
      <w:r>
        <w:rPr>
          <w:rFonts w:hint="eastAsia"/>
          <w:szCs w:val="24"/>
          <w:lang w:eastAsia="zh-CN"/>
        </w:rPr>
        <w:t>本会议</w:t>
      </w:r>
      <w:r>
        <w:rPr>
          <w:szCs w:val="24"/>
          <w:lang w:eastAsia="zh-CN"/>
        </w:rPr>
        <w:t>的最后报告可查阅国际电联学</w:t>
      </w:r>
      <w:r>
        <w:rPr>
          <w:rFonts w:hint="eastAsia"/>
          <w:szCs w:val="24"/>
          <w:lang w:eastAsia="zh-CN"/>
        </w:rPr>
        <w:t>院</w:t>
      </w:r>
      <w:hyperlink r:id="rId9" w:history="1">
        <w:r w:rsidRPr="00743281">
          <w:rPr>
            <w:rStyle w:val="Hyperlink"/>
            <w:szCs w:val="24"/>
            <w:lang w:eastAsia="zh-CN"/>
          </w:rPr>
          <w:t>网</w:t>
        </w:r>
        <w:bookmarkStart w:id="9" w:name="_GoBack"/>
        <w:bookmarkEnd w:id="9"/>
        <w:r w:rsidRPr="00743281">
          <w:rPr>
            <w:rStyle w:val="Hyperlink"/>
            <w:szCs w:val="24"/>
            <w:lang w:eastAsia="zh-CN"/>
          </w:rPr>
          <w:t>站</w:t>
        </w:r>
      </w:hyperlink>
      <w:r>
        <w:rPr>
          <w:rFonts w:hint="eastAsia"/>
          <w:szCs w:val="24"/>
          <w:lang w:eastAsia="zh-CN"/>
        </w:rPr>
        <w:t>。</w:t>
      </w:r>
    </w:p>
    <w:p w:rsidR="00743281" w:rsidRPr="00620EC5" w:rsidRDefault="00743281" w:rsidP="000E2266">
      <w:pPr>
        <w:pStyle w:val="Heading1"/>
        <w:rPr>
          <w:lang w:eastAsia="zh-CN"/>
        </w:rPr>
      </w:pPr>
      <w:r>
        <w:rPr>
          <w:rFonts w:hint="eastAsia"/>
          <w:lang w:eastAsia="zh-CN"/>
        </w:rPr>
        <w:t>2</w:t>
      </w:r>
      <w:r>
        <w:rPr>
          <w:lang w:eastAsia="zh-CN"/>
        </w:rPr>
        <w:tab/>
      </w:r>
      <w:r w:rsidR="000E2266">
        <w:rPr>
          <w:rFonts w:hint="eastAsia"/>
          <w:lang w:eastAsia="zh-CN"/>
        </w:rPr>
        <w:t>提名</w:t>
      </w:r>
      <w:r w:rsidR="000E2266">
        <w:rPr>
          <w:lang w:eastAsia="zh-CN"/>
        </w:rPr>
        <w:t>新的</w:t>
      </w:r>
      <w:r w:rsidR="000E2266">
        <w:rPr>
          <w:lang w:eastAsia="zh-CN"/>
        </w:rPr>
        <w:t>GCBI</w:t>
      </w:r>
      <w:r w:rsidR="000E2266">
        <w:rPr>
          <w:rFonts w:hint="eastAsia"/>
          <w:lang w:eastAsia="zh-CN"/>
        </w:rPr>
        <w:t>成员</w:t>
      </w:r>
    </w:p>
    <w:p w:rsidR="00743281" w:rsidRPr="00CA07C4" w:rsidRDefault="000E2266" w:rsidP="00CA07C4">
      <w:pPr>
        <w:ind w:firstLineChars="200" w:firstLine="480"/>
        <w:rPr>
          <w:lang w:eastAsia="zh-CN"/>
        </w:rPr>
      </w:pPr>
      <w:r w:rsidRPr="00CA07C4">
        <w:rPr>
          <w:rFonts w:hint="eastAsia"/>
          <w:lang w:eastAsia="zh-CN"/>
        </w:rPr>
        <w:t>根据</w:t>
      </w:r>
      <w:r w:rsidRPr="00CA07C4">
        <w:rPr>
          <w:lang w:eastAsia="zh-CN"/>
        </w:rPr>
        <w:t>GCBI</w:t>
      </w:r>
      <w:r w:rsidRPr="00CA07C4">
        <w:rPr>
          <w:rFonts w:hint="eastAsia"/>
          <w:lang w:eastAsia="zh-CN"/>
        </w:rPr>
        <w:t>职权范围，成员须按照世界</w:t>
      </w:r>
      <w:r w:rsidRPr="00CA07C4">
        <w:rPr>
          <w:lang w:eastAsia="zh-CN"/>
        </w:rPr>
        <w:t>电信发展大会</w:t>
      </w:r>
      <w:r w:rsidR="00CA07C4" w:rsidRPr="00CA07C4">
        <w:rPr>
          <w:lang w:eastAsia="zh-CN"/>
        </w:rPr>
        <w:t>（</w:t>
      </w:r>
      <w:r w:rsidRPr="00CA07C4">
        <w:rPr>
          <w:lang w:eastAsia="zh-CN"/>
        </w:rPr>
        <w:t>WTDC</w:t>
      </w:r>
      <w:r w:rsidR="00CA07C4" w:rsidRPr="00CA07C4">
        <w:rPr>
          <w:lang w:eastAsia="zh-CN"/>
        </w:rPr>
        <w:t>）</w:t>
      </w:r>
      <w:r w:rsidRPr="00CA07C4">
        <w:rPr>
          <w:rFonts w:hint="eastAsia"/>
          <w:lang w:eastAsia="zh-CN"/>
        </w:rPr>
        <w:t>周期任职一个任期</w:t>
      </w:r>
      <w:r w:rsidR="00CA07C4" w:rsidRPr="00CA07C4">
        <w:rPr>
          <w:rFonts w:hint="eastAsia"/>
          <w:lang w:eastAsia="zh-CN"/>
        </w:rPr>
        <w:t>（</w:t>
      </w:r>
      <w:r w:rsidRPr="00CA07C4">
        <w:rPr>
          <w:rFonts w:hint="eastAsia"/>
          <w:lang w:eastAsia="zh-CN"/>
        </w:rPr>
        <w:t>一个四年期</w:t>
      </w:r>
      <w:r w:rsidR="00CA07C4" w:rsidRPr="00CA07C4">
        <w:rPr>
          <w:rFonts w:hint="eastAsia"/>
          <w:lang w:eastAsia="zh-CN"/>
        </w:rPr>
        <w:t>）</w:t>
      </w:r>
      <w:r w:rsidRPr="00CA07C4">
        <w:rPr>
          <w:rFonts w:hint="eastAsia"/>
          <w:lang w:eastAsia="zh-CN"/>
        </w:rPr>
        <w:t>，并可任职另一个任期，此后他们可能不再有资格获得任命。</w:t>
      </w:r>
    </w:p>
    <w:p w:rsidR="00743281" w:rsidRPr="00CA07C4" w:rsidRDefault="000E2266" w:rsidP="00CA07C4">
      <w:pPr>
        <w:ind w:firstLineChars="200" w:firstLine="480"/>
        <w:rPr>
          <w:lang w:eastAsia="zh-CN"/>
        </w:rPr>
      </w:pPr>
      <w:r w:rsidRPr="00CA07C4">
        <w:rPr>
          <w:rFonts w:hint="eastAsia"/>
          <w:lang w:eastAsia="zh-CN"/>
        </w:rPr>
        <w:t>对于一些</w:t>
      </w:r>
      <w:r w:rsidRPr="00CA07C4">
        <w:rPr>
          <w:lang w:eastAsia="zh-CN"/>
        </w:rPr>
        <w:t>GCBI</w:t>
      </w:r>
      <w:r w:rsidRPr="00CA07C4">
        <w:rPr>
          <w:rFonts w:hint="eastAsia"/>
          <w:lang w:eastAsia="zh-CN"/>
        </w:rPr>
        <w:t>成员来说，第一届或第二届任期将于</w:t>
      </w:r>
      <w:r w:rsidRPr="00CA07C4">
        <w:rPr>
          <w:lang w:eastAsia="zh-CN"/>
        </w:rPr>
        <w:t>2018</w:t>
      </w:r>
      <w:r w:rsidRPr="00CA07C4">
        <w:rPr>
          <w:rFonts w:hint="eastAsia"/>
          <w:lang w:eastAsia="zh-CN"/>
        </w:rPr>
        <w:t>年结束。因此，电信发展局主任发起了一项提名呼吁，邀请区域电信组织通过协调从其区域挑选候选人，并提名两个候选人选。</w:t>
      </w:r>
    </w:p>
    <w:p w:rsidR="0076725B" w:rsidRPr="00CA07C4" w:rsidRDefault="000E2266" w:rsidP="00D326D0">
      <w:pPr>
        <w:ind w:firstLineChars="200" w:firstLine="480"/>
        <w:rPr>
          <w:lang w:eastAsia="zh-CN"/>
        </w:rPr>
      </w:pPr>
      <w:r w:rsidRPr="00CA07C4">
        <w:rPr>
          <w:rFonts w:hint="eastAsia"/>
          <w:lang w:eastAsia="zh-CN"/>
        </w:rPr>
        <w:t>根据第</w:t>
      </w:r>
      <w:r w:rsidRPr="00CA07C4">
        <w:rPr>
          <w:lang w:eastAsia="zh-CN"/>
        </w:rPr>
        <w:t>40</w:t>
      </w:r>
      <w:r w:rsidRPr="00CA07C4">
        <w:rPr>
          <w:rFonts w:hint="eastAsia"/>
          <w:lang w:eastAsia="zh-CN"/>
        </w:rPr>
        <w:t>号决议，</w:t>
      </w:r>
      <w:r w:rsidRPr="00CA07C4">
        <w:rPr>
          <w:lang w:eastAsia="zh-CN"/>
        </w:rPr>
        <w:t>GCBI</w:t>
      </w:r>
      <w:r w:rsidRPr="00CA07C4">
        <w:rPr>
          <w:rFonts w:hint="eastAsia"/>
          <w:lang w:eastAsia="zh-CN"/>
        </w:rPr>
        <w:t>将由</w:t>
      </w:r>
      <w:r w:rsidR="00D326D0">
        <w:rPr>
          <w:rFonts w:hint="eastAsia"/>
          <w:lang w:eastAsia="zh-CN"/>
        </w:rPr>
        <w:t>“</w:t>
      </w:r>
      <w:r w:rsidR="00EB04E4" w:rsidRPr="00CA07C4">
        <w:rPr>
          <w:rFonts w:hint="eastAsia"/>
          <w:lang w:eastAsia="zh-CN"/>
        </w:rPr>
        <w:t>代表六个区域中</w:t>
      </w:r>
      <w:r w:rsidR="00EB04E4" w:rsidRPr="00CA07C4">
        <w:rPr>
          <w:lang w:eastAsia="zh-CN"/>
        </w:rPr>
        <w:t>每个区域的</w:t>
      </w:r>
      <w:r w:rsidR="00CB5E53" w:rsidRPr="00CA07C4">
        <w:rPr>
          <w:rFonts w:hint="eastAsia"/>
          <w:lang w:eastAsia="zh-CN"/>
        </w:rPr>
        <w:t>两位</w:t>
      </w:r>
      <w:r w:rsidR="00CB5E53" w:rsidRPr="00CA07C4">
        <w:rPr>
          <w:lang w:eastAsia="zh-CN"/>
        </w:rPr>
        <w:t>能力</w:t>
      </w:r>
      <w:r w:rsidRPr="00CA07C4">
        <w:rPr>
          <w:lang w:eastAsia="zh-CN"/>
        </w:rPr>
        <w:t>建设</w:t>
      </w:r>
      <w:r w:rsidR="00CB5E53" w:rsidRPr="00CA07C4">
        <w:rPr>
          <w:rFonts w:hint="eastAsia"/>
          <w:lang w:eastAsia="zh-CN"/>
        </w:rPr>
        <w:t>得力</w:t>
      </w:r>
      <w:r w:rsidRPr="00CA07C4">
        <w:rPr>
          <w:lang w:eastAsia="zh-CN"/>
        </w:rPr>
        <w:t>专家</w:t>
      </w:r>
      <w:r w:rsidR="00D326D0">
        <w:rPr>
          <w:rFonts w:hint="eastAsia"/>
          <w:lang w:eastAsia="zh-CN"/>
        </w:rPr>
        <w:t>”</w:t>
      </w:r>
      <w:r w:rsidRPr="00CA07C4">
        <w:rPr>
          <w:rFonts w:hint="eastAsia"/>
          <w:lang w:eastAsia="zh-CN"/>
        </w:rPr>
        <w:t>组成。</w:t>
      </w:r>
      <w:r w:rsidR="00CB5E53" w:rsidRPr="00CA07C4">
        <w:rPr>
          <w:rFonts w:hint="eastAsia"/>
          <w:lang w:eastAsia="zh-CN"/>
        </w:rPr>
        <w:t>他们</w:t>
      </w:r>
      <w:r w:rsidRPr="00CA07C4">
        <w:rPr>
          <w:rFonts w:hint="eastAsia"/>
          <w:lang w:eastAsia="zh-CN"/>
        </w:rPr>
        <w:t>熟悉</w:t>
      </w:r>
      <w:r w:rsidR="0076725B" w:rsidRPr="00CA07C4">
        <w:rPr>
          <w:rFonts w:hint="eastAsia"/>
          <w:lang w:eastAsia="zh-CN"/>
        </w:rPr>
        <w:t>ICT</w:t>
      </w:r>
      <w:r w:rsidR="0076725B" w:rsidRPr="00CA07C4">
        <w:rPr>
          <w:rFonts w:hint="eastAsia"/>
          <w:lang w:eastAsia="zh-CN"/>
        </w:rPr>
        <w:t>行业</w:t>
      </w:r>
      <w:r w:rsidRPr="00CA07C4">
        <w:rPr>
          <w:rFonts w:hint="eastAsia"/>
          <w:lang w:eastAsia="zh-CN"/>
        </w:rPr>
        <w:t>的发展及其所在区域在能力建设方面的需求。</w:t>
      </w:r>
    </w:p>
    <w:p w:rsidR="00743281" w:rsidRPr="00CA07C4" w:rsidRDefault="000E2266" w:rsidP="00CA07C4">
      <w:pPr>
        <w:ind w:firstLineChars="200" w:firstLine="480"/>
        <w:rPr>
          <w:lang w:eastAsia="zh-CN"/>
        </w:rPr>
      </w:pPr>
      <w:r w:rsidRPr="00CA07C4">
        <w:rPr>
          <w:rFonts w:hint="eastAsia"/>
          <w:lang w:eastAsia="zh-CN"/>
        </w:rPr>
        <w:lastRenderedPageBreak/>
        <w:t>所有区域电信组织都完成了提名过程，</w:t>
      </w:r>
      <w:r w:rsidRPr="00CA07C4">
        <w:rPr>
          <w:lang w:eastAsia="zh-CN"/>
        </w:rPr>
        <w:t>GCBI</w:t>
      </w:r>
      <w:r w:rsidRPr="00CA07C4">
        <w:rPr>
          <w:rFonts w:hint="eastAsia"/>
          <w:lang w:eastAsia="zh-CN"/>
        </w:rPr>
        <w:t>成员的新名单载于附件</w:t>
      </w:r>
      <w:r w:rsidRPr="00CA07C4">
        <w:rPr>
          <w:lang w:eastAsia="zh-CN"/>
        </w:rPr>
        <w:t>1</w:t>
      </w:r>
      <w:r w:rsidRPr="00CA07C4">
        <w:rPr>
          <w:rFonts w:hint="eastAsia"/>
          <w:lang w:eastAsia="zh-CN"/>
        </w:rPr>
        <w:t>。</w:t>
      </w:r>
    </w:p>
    <w:p w:rsidR="00743281" w:rsidRPr="00620EC5" w:rsidRDefault="00743281" w:rsidP="0076725B">
      <w:pPr>
        <w:pStyle w:val="Heading1"/>
        <w:rPr>
          <w:lang w:eastAsia="zh-CN"/>
        </w:rPr>
      </w:pPr>
      <w:r>
        <w:rPr>
          <w:rFonts w:hint="eastAsia"/>
          <w:lang w:eastAsia="zh-CN"/>
        </w:rPr>
        <w:t>3</w:t>
      </w:r>
      <w:r>
        <w:rPr>
          <w:lang w:eastAsia="zh-CN"/>
        </w:rPr>
        <w:tab/>
      </w:r>
      <w:r w:rsidR="0076725B">
        <w:rPr>
          <w:rFonts w:hint="eastAsia"/>
          <w:lang w:eastAsia="zh-CN"/>
        </w:rPr>
        <w:t>第</w:t>
      </w:r>
      <w:r w:rsidR="0076725B">
        <w:rPr>
          <w:rFonts w:hint="eastAsia"/>
          <w:lang w:eastAsia="zh-CN"/>
        </w:rPr>
        <w:t>7</w:t>
      </w:r>
      <w:r w:rsidR="0076725B">
        <w:rPr>
          <w:rFonts w:hint="eastAsia"/>
          <w:lang w:eastAsia="zh-CN"/>
        </w:rPr>
        <w:t>次</w:t>
      </w:r>
      <w:r w:rsidR="0076725B">
        <w:rPr>
          <w:lang w:eastAsia="zh-CN"/>
        </w:rPr>
        <w:t>GCBI</w:t>
      </w:r>
      <w:r w:rsidR="0076725B">
        <w:rPr>
          <w:rFonts w:hint="eastAsia"/>
          <w:lang w:eastAsia="zh-CN"/>
        </w:rPr>
        <w:t>会议</w:t>
      </w:r>
    </w:p>
    <w:p w:rsidR="00743281" w:rsidRDefault="0076725B" w:rsidP="00CA07C4">
      <w:pPr>
        <w:ind w:firstLineChars="200" w:firstLine="480"/>
        <w:rPr>
          <w:lang w:eastAsia="zh-CN"/>
        </w:rPr>
      </w:pPr>
      <w:r>
        <w:rPr>
          <w:rFonts w:hint="eastAsia"/>
          <w:lang w:eastAsia="zh-CN"/>
        </w:rPr>
        <w:t>第</w:t>
      </w:r>
      <w:r>
        <w:rPr>
          <w:rFonts w:hint="eastAsia"/>
          <w:lang w:eastAsia="zh-CN"/>
        </w:rPr>
        <w:t>7</w:t>
      </w:r>
      <w:r>
        <w:rPr>
          <w:rFonts w:hint="eastAsia"/>
          <w:lang w:eastAsia="zh-CN"/>
        </w:rPr>
        <w:t>次</w:t>
      </w:r>
      <w:r w:rsidR="00743281">
        <w:rPr>
          <w:lang w:eastAsia="zh-CN"/>
        </w:rPr>
        <w:t>GCBI</w:t>
      </w:r>
      <w:r>
        <w:rPr>
          <w:rFonts w:hint="eastAsia"/>
          <w:lang w:eastAsia="zh-CN"/>
        </w:rPr>
        <w:t>会议</w:t>
      </w:r>
      <w:r>
        <w:rPr>
          <w:lang w:eastAsia="zh-CN"/>
        </w:rPr>
        <w:t>将月</w:t>
      </w:r>
      <w:r>
        <w:rPr>
          <w:rFonts w:hint="eastAsia"/>
          <w:lang w:eastAsia="zh-CN"/>
        </w:rPr>
        <w:t>2019</w:t>
      </w:r>
      <w:r>
        <w:rPr>
          <w:rFonts w:hint="eastAsia"/>
          <w:lang w:eastAsia="zh-CN"/>
        </w:rPr>
        <w:t>年</w:t>
      </w:r>
      <w:r>
        <w:rPr>
          <w:rFonts w:hint="eastAsia"/>
          <w:lang w:eastAsia="zh-CN"/>
        </w:rPr>
        <w:t>3</w:t>
      </w:r>
      <w:r>
        <w:rPr>
          <w:rFonts w:hint="eastAsia"/>
          <w:lang w:eastAsia="zh-CN"/>
        </w:rPr>
        <w:t>月</w:t>
      </w:r>
      <w:r>
        <w:rPr>
          <w:rFonts w:hint="eastAsia"/>
          <w:lang w:eastAsia="zh-CN"/>
        </w:rPr>
        <w:t>19</w:t>
      </w:r>
      <w:r>
        <w:rPr>
          <w:lang w:eastAsia="zh-CN"/>
        </w:rPr>
        <w:t>-20</w:t>
      </w:r>
      <w:r>
        <w:rPr>
          <w:rFonts w:hint="eastAsia"/>
          <w:lang w:eastAsia="zh-CN"/>
        </w:rPr>
        <w:t>日</w:t>
      </w:r>
      <w:r w:rsidR="00CA07C4">
        <w:rPr>
          <w:lang w:eastAsia="zh-CN"/>
        </w:rPr>
        <w:t>（</w:t>
      </w:r>
      <w:r>
        <w:rPr>
          <w:rFonts w:hint="eastAsia"/>
          <w:lang w:eastAsia="zh-CN"/>
        </w:rPr>
        <w:t>待确定</w:t>
      </w:r>
      <w:r w:rsidR="00CA07C4">
        <w:rPr>
          <w:lang w:eastAsia="zh-CN"/>
        </w:rPr>
        <w:t>）</w:t>
      </w:r>
      <w:r>
        <w:rPr>
          <w:rFonts w:hint="eastAsia"/>
          <w:lang w:eastAsia="zh-CN"/>
        </w:rPr>
        <w:t>在</w:t>
      </w:r>
      <w:r>
        <w:rPr>
          <w:lang w:eastAsia="zh-CN"/>
        </w:rPr>
        <w:t>日内瓦召开。</w:t>
      </w:r>
    </w:p>
    <w:p w:rsidR="00743281" w:rsidRDefault="00743281" w:rsidP="00743281">
      <w:pPr>
        <w:rPr>
          <w:lang w:eastAsia="zh-CN"/>
        </w:rPr>
      </w:pPr>
    </w:p>
    <w:p w:rsidR="003C58BF" w:rsidRPr="00175C4C" w:rsidRDefault="00175C4C" w:rsidP="001D2542">
      <w:pPr>
        <w:tabs>
          <w:tab w:val="left" w:pos="2835"/>
        </w:tabs>
        <w:jc w:val="center"/>
        <w:rPr>
          <w:lang w:eastAsia="zh-CN"/>
        </w:rPr>
      </w:pPr>
      <w:r w:rsidRPr="001D2542">
        <w:t>______________</w:t>
      </w:r>
    </w:p>
    <w:sectPr w:rsidR="003C58BF" w:rsidRPr="00175C4C" w:rsidSect="00CA07C4">
      <w:headerReference w:type="default" r:id="rId10"/>
      <w:footerReference w:type="default" r:id="rId11"/>
      <w:footerReference w:type="first" r:id="rId12"/>
      <w:pgSz w:w="11907" w:h="16834" w:code="9"/>
      <w:pgMar w:top="1418" w:right="1134" w:bottom="1418" w:left="1134" w:header="720"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D9B" w:rsidRDefault="008E2D9B">
      <w:r>
        <w:separator/>
      </w:r>
    </w:p>
  </w:endnote>
  <w:endnote w:type="continuationSeparator" w:id="0">
    <w:p w:rsidR="008E2D9B" w:rsidRDefault="008E2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777265" w:rsidRDefault="00721657" w:rsidP="002F3EAA">
    <w:pPr>
      <w:pStyle w:val="Footer"/>
      <w:rPr>
        <w:caps w:val="0"/>
        <w:sz w:val="18"/>
        <w:szCs w:val="18"/>
        <w:lang w:val="en-GB"/>
      </w:rPr>
    </w:pPr>
    <w:r w:rsidRPr="003125C3">
      <w:rPr>
        <w:caps w:val="0"/>
        <w:sz w:val="18"/>
        <w:szCs w:val="18"/>
      </w:rPr>
      <w:fldChar w:fldCharType="begin"/>
    </w:r>
    <w:r w:rsidRPr="003125C3">
      <w:rPr>
        <w:caps w:val="0"/>
        <w:sz w:val="18"/>
        <w:szCs w:val="18"/>
        <w:lang w:val="en-US"/>
      </w:rPr>
      <w:instrText xml:space="preserve"> FILENAME \p \* MERGEFORMAT </w:instrText>
    </w:r>
    <w:r w:rsidRPr="003125C3">
      <w:rPr>
        <w:caps w:val="0"/>
        <w:sz w:val="18"/>
        <w:szCs w:val="18"/>
      </w:rPr>
      <w:fldChar w:fldCharType="separate"/>
    </w:r>
    <w:r w:rsidR="004D5016">
      <w:rPr>
        <w:caps w:val="0"/>
        <w:sz w:val="18"/>
        <w:szCs w:val="18"/>
        <w:lang w:val="en-US"/>
      </w:rPr>
      <w:t>P:\CHI\ITU-D\CONF-D\TDAG19\000\017REV1C.DOCX</w:t>
    </w:r>
    <w:r w:rsidRPr="003125C3">
      <w:rPr>
        <w:caps w:val="0"/>
        <w:sz w:val="18"/>
        <w:szCs w:val="18"/>
        <w:lang w:val="en-US"/>
      </w:rPr>
      <w:fldChar w:fldCharType="end"/>
    </w:r>
    <w:r w:rsidR="000D5042">
      <w:rPr>
        <w:caps w:val="0"/>
        <w:sz w:val="18"/>
        <w:szCs w:val="18"/>
        <w:lang w:val="en-US"/>
      </w:rPr>
      <w:t xml:space="preserve"> (4</w:t>
    </w:r>
    <w:r w:rsidR="002F3EAA">
      <w:rPr>
        <w:caps w:val="0"/>
        <w:sz w:val="18"/>
        <w:szCs w:val="18"/>
        <w:lang w:val="en-US"/>
      </w:rPr>
      <w:t>53028</w:t>
    </w:r>
    <w:r w:rsidR="000D5042">
      <w:rPr>
        <w:caps w:val="0"/>
        <w:sz w:val="18"/>
        <w:szCs w:val="18"/>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8E2D9B" w:rsidRPr="004D495C" w:rsidTr="008E2D9B">
      <w:tc>
        <w:tcPr>
          <w:tcW w:w="1526" w:type="dxa"/>
          <w:tcBorders>
            <w:top w:val="single" w:sz="4" w:space="0" w:color="000000"/>
          </w:tcBorders>
          <w:shd w:val="clear" w:color="auto" w:fill="auto"/>
        </w:tcPr>
        <w:p w:rsidR="008E2D9B" w:rsidRPr="004D495C" w:rsidRDefault="008E2D9B" w:rsidP="008E2D9B">
          <w:pPr>
            <w:pStyle w:val="FirstFooter"/>
            <w:tabs>
              <w:tab w:val="left" w:pos="1559"/>
              <w:tab w:val="left" w:pos="3828"/>
            </w:tabs>
            <w:rPr>
              <w:sz w:val="18"/>
              <w:szCs w:val="18"/>
              <w:lang w:eastAsia="zh-CN"/>
            </w:rPr>
          </w:pPr>
          <w:r>
            <w:rPr>
              <w:rFonts w:hint="eastAsia"/>
              <w:sz w:val="18"/>
              <w:szCs w:val="18"/>
              <w:lang w:val="en-US" w:eastAsia="zh-CN"/>
            </w:rPr>
            <w:t>联系人：</w:t>
          </w:r>
        </w:p>
      </w:tc>
      <w:tc>
        <w:tcPr>
          <w:tcW w:w="2410" w:type="dxa"/>
          <w:tcBorders>
            <w:top w:val="single" w:sz="4" w:space="0" w:color="000000"/>
          </w:tcBorders>
          <w:shd w:val="clear" w:color="auto" w:fill="auto"/>
        </w:tcPr>
        <w:p w:rsidR="008E2D9B" w:rsidRPr="004D495C" w:rsidRDefault="008E2D9B" w:rsidP="008E2D9B">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87" w:type="dxa"/>
          <w:tcBorders>
            <w:top w:val="single" w:sz="4" w:space="0" w:color="000000"/>
          </w:tcBorders>
        </w:tcPr>
        <w:p w:rsidR="008E2D9B" w:rsidRPr="004C0022" w:rsidRDefault="008E2D9B" w:rsidP="008E2D9B">
          <w:pPr>
            <w:pStyle w:val="FirstFooter"/>
            <w:tabs>
              <w:tab w:val="left" w:pos="2302"/>
            </w:tabs>
            <w:ind w:left="2302" w:hanging="2302"/>
            <w:rPr>
              <w:sz w:val="18"/>
              <w:szCs w:val="18"/>
              <w:lang w:val="en-US" w:eastAsia="zh-CN"/>
            </w:rPr>
          </w:pPr>
          <w:r w:rsidRPr="004C0022">
            <w:rPr>
              <w:rFonts w:hint="eastAsia"/>
              <w:sz w:val="18"/>
              <w:szCs w:val="18"/>
              <w:lang w:eastAsia="zh-CN"/>
            </w:rPr>
            <w:t>电信发展局项目和知识管理部（</w:t>
          </w:r>
          <w:r w:rsidRPr="004C0022">
            <w:rPr>
              <w:sz w:val="18"/>
              <w:szCs w:val="18"/>
              <w:lang w:eastAsia="zh-CN"/>
            </w:rPr>
            <w:t>PKM</w:t>
          </w:r>
          <w:r w:rsidRPr="004C0022">
            <w:rPr>
              <w:rFonts w:hint="eastAsia"/>
              <w:sz w:val="18"/>
              <w:szCs w:val="18"/>
              <w:lang w:eastAsia="zh-CN"/>
            </w:rPr>
            <w:t>）</w:t>
          </w:r>
          <w:r>
            <w:rPr>
              <w:rFonts w:hint="eastAsia"/>
              <w:sz w:val="18"/>
              <w:szCs w:val="18"/>
              <w:lang w:eastAsia="zh-CN"/>
            </w:rPr>
            <w:t>负责人</w:t>
          </w:r>
          <w:r w:rsidRPr="004C0022">
            <w:rPr>
              <w:sz w:val="18"/>
              <w:szCs w:val="18"/>
              <w:lang w:val="en-US" w:eastAsia="zh-CN"/>
            </w:rPr>
            <w:t xml:space="preserve">Cosmas </w:t>
          </w:r>
          <w:proofErr w:type="spellStart"/>
          <w:r w:rsidRPr="004C0022">
            <w:rPr>
              <w:sz w:val="18"/>
              <w:szCs w:val="18"/>
              <w:lang w:val="en-US" w:eastAsia="zh-CN"/>
            </w:rPr>
            <w:t>Zavazava</w:t>
          </w:r>
          <w:proofErr w:type="spellEnd"/>
          <w:r w:rsidRPr="004C0022">
            <w:rPr>
              <w:rFonts w:hint="eastAsia"/>
              <w:sz w:val="18"/>
              <w:szCs w:val="18"/>
              <w:lang w:val="en-US" w:eastAsia="zh-CN"/>
            </w:rPr>
            <w:t>先生</w:t>
          </w:r>
        </w:p>
      </w:tc>
      <w:bookmarkStart w:id="11" w:name="OrgName"/>
      <w:bookmarkEnd w:id="11"/>
    </w:tr>
    <w:tr w:rsidR="008E2D9B" w:rsidRPr="004D495C" w:rsidTr="008E2D9B">
      <w:tc>
        <w:tcPr>
          <w:tcW w:w="1526" w:type="dxa"/>
          <w:shd w:val="clear" w:color="auto" w:fill="auto"/>
        </w:tcPr>
        <w:p w:rsidR="008E2D9B" w:rsidRPr="004D495C" w:rsidRDefault="008E2D9B" w:rsidP="008E2D9B">
          <w:pPr>
            <w:pStyle w:val="FirstFooter"/>
            <w:tabs>
              <w:tab w:val="left" w:pos="1559"/>
              <w:tab w:val="left" w:pos="3828"/>
            </w:tabs>
            <w:rPr>
              <w:sz w:val="20"/>
              <w:lang w:val="en-US" w:eastAsia="zh-CN"/>
            </w:rPr>
          </w:pPr>
        </w:p>
      </w:tc>
      <w:tc>
        <w:tcPr>
          <w:tcW w:w="2410" w:type="dxa"/>
          <w:shd w:val="clear" w:color="auto" w:fill="auto"/>
        </w:tcPr>
        <w:p w:rsidR="008E2D9B" w:rsidRPr="004D495C" w:rsidRDefault="008E2D9B" w:rsidP="008E2D9B">
          <w:pPr>
            <w:pStyle w:val="FirstFooter"/>
            <w:tabs>
              <w:tab w:val="left" w:pos="2302"/>
            </w:tabs>
            <w:rPr>
              <w:sz w:val="18"/>
              <w:szCs w:val="18"/>
              <w:lang w:val="en-US"/>
            </w:rPr>
          </w:pPr>
          <w:r w:rsidRPr="00952839">
            <w:rPr>
              <w:rFonts w:ascii="SimSun" w:eastAsia="SimSun" w:hAnsi="SimSun"/>
              <w:sz w:val="18"/>
              <w:szCs w:val="18"/>
              <w:lang w:eastAsia="zh-CN"/>
            </w:rPr>
            <w:t>电话号码</w:t>
          </w:r>
          <w:r>
            <w:rPr>
              <w:rFonts w:ascii="SimSun" w:eastAsia="SimSun" w:hAnsi="SimSun" w:hint="eastAsia"/>
              <w:sz w:val="18"/>
              <w:szCs w:val="18"/>
              <w:lang w:eastAsia="zh-CN"/>
            </w:rPr>
            <w:t>：</w:t>
          </w:r>
        </w:p>
      </w:tc>
      <w:tc>
        <w:tcPr>
          <w:tcW w:w="5987" w:type="dxa"/>
        </w:tcPr>
        <w:p w:rsidR="008E2D9B" w:rsidRPr="004C0022" w:rsidRDefault="008E2D9B" w:rsidP="008E2D9B">
          <w:pPr>
            <w:pStyle w:val="FirstFooter"/>
            <w:tabs>
              <w:tab w:val="left" w:pos="2302"/>
            </w:tabs>
            <w:rPr>
              <w:sz w:val="18"/>
              <w:szCs w:val="18"/>
              <w:highlight w:val="yellow"/>
              <w:lang w:val="en-US"/>
            </w:rPr>
          </w:pPr>
          <w:r w:rsidRPr="004C0022">
            <w:rPr>
              <w:sz w:val="18"/>
              <w:szCs w:val="18"/>
              <w:lang w:val="en-US"/>
            </w:rPr>
            <w:t>+41 22 7305447</w:t>
          </w:r>
        </w:p>
      </w:tc>
      <w:bookmarkStart w:id="12" w:name="PhoneNo"/>
      <w:bookmarkEnd w:id="12"/>
    </w:tr>
    <w:tr w:rsidR="008E2D9B" w:rsidRPr="004D495C" w:rsidTr="008E2D9B">
      <w:tc>
        <w:tcPr>
          <w:tcW w:w="1526" w:type="dxa"/>
          <w:shd w:val="clear" w:color="auto" w:fill="auto"/>
        </w:tcPr>
        <w:p w:rsidR="008E2D9B" w:rsidRPr="004D495C" w:rsidRDefault="008E2D9B" w:rsidP="008E2D9B">
          <w:pPr>
            <w:pStyle w:val="FirstFooter"/>
            <w:tabs>
              <w:tab w:val="left" w:pos="1559"/>
              <w:tab w:val="left" w:pos="3828"/>
            </w:tabs>
            <w:rPr>
              <w:sz w:val="20"/>
              <w:lang w:val="en-US"/>
            </w:rPr>
          </w:pPr>
        </w:p>
      </w:tc>
      <w:tc>
        <w:tcPr>
          <w:tcW w:w="2410" w:type="dxa"/>
          <w:shd w:val="clear" w:color="auto" w:fill="auto"/>
        </w:tcPr>
        <w:p w:rsidR="008E2D9B" w:rsidRPr="004D495C" w:rsidRDefault="008E2D9B" w:rsidP="008E2D9B">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87" w:type="dxa"/>
        </w:tcPr>
        <w:p w:rsidR="008E2D9B" w:rsidRPr="004C0022" w:rsidRDefault="004D5016" w:rsidP="008E2D9B">
          <w:pPr>
            <w:pStyle w:val="FirstFooter"/>
            <w:tabs>
              <w:tab w:val="left" w:pos="2302"/>
            </w:tabs>
            <w:rPr>
              <w:sz w:val="18"/>
              <w:szCs w:val="18"/>
              <w:highlight w:val="yellow"/>
              <w:lang w:val="en-US"/>
            </w:rPr>
          </w:pPr>
          <w:hyperlink r:id="rId1" w:history="1">
            <w:r w:rsidR="008E2D9B" w:rsidRPr="004C0022">
              <w:rPr>
                <w:rStyle w:val="Hyperlink"/>
                <w:sz w:val="18"/>
                <w:szCs w:val="18"/>
                <w:lang w:val="en-US"/>
              </w:rPr>
              <w:t>cosmas.zavazava@itu.int</w:t>
            </w:r>
          </w:hyperlink>
        </w:p>
      </w:tc>
      <w:bookmarkStart w:id="13" w:name="Email"/>
      <w:bookmarkEnd w:id="13"/>
    </w:tr>
  </w:tbl>
  <w:p w:rsidR="00175C4C" w:rsidRDefault="00175C4C" w:rsidP="00175C4C">
    <w:pPr>
      <w:pStyle w:val="Footer"/>
      <w:jc w:val="center"/>
    </w:pPr>
  </w:p>
  <w:p w:rsidR="00175C4C" w:rsidRPr="0059420B" w:rsidRDefault="004D5016" w:rsidP="00175C4C">
    <w:pPr>
      <w:pStyle w:val="Footer"/>
      <w:jc w:val="center"/>
    </w:pPr>
    <w:hyperlink r:id="rId2" w:history="1">
      <w:r w:rsidR="00175C4C">
        <w:rPr>
          <w:rStyle w:val="Hyperlink"/>
          <w:caps w:val="0"/>
          <w:noProof w:val="0"/>
          <w:sz w:val="18"/>
          <w:szCs w:val="18"/>
          <w:lang w:val="en-US"/>
        </w:rPr>
        <w:t>TDAG</w:t>
      </w:r>
    </w:hyperlink>
  </w:p>
  <w:p w:rsidR="003A5AFE" w:rsidRPr="00175C4C" w:rsidRDefault="003A5AFE" w:rsidP="00175C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D9B" w:rsidRDefault="008E2D9B">
      <w:r>
        <w:t>____________________</w:t>
      </w:r>
    </w:p>
  </w:footnote>
  <w:footnote w:type="continuationSeparator" w:id="0">
    <w:p w:rsidR="008E2D9B" w:rsidRDefault="008E2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C4C" w:rsidRPr="00946C01" w:rsidRDefault="00175C4C" w:rsidP="00743281">
    <w:pPr>
      <w:tabs>
        <w:tab w:val="clear" w:pos="794"/>
        <w:tab w:val="clear" w:pos="1191"/>
        <w:tab w:val="clear" w:pos="1588"/>
        <w:tab w:val="clear" w:pos="1985"/>
        <w:tab w:val="center" w:pos="4820"/>
        <w:tab w:val="right" w:pos="10206"/>
      </w:tabs>
      <w:ind w:right="1"/>
      <w:rPr>
        <w:rFonts w:ascii="Calibri" w:eastAsia="SimSun" w:hAnsi="Calibri"/>
        <w:smallCaps/>
        <w:spacing w:val="24"/>
        <w:sz w:val="18"/>
        <w:szCs w:val="18"/>
      </w:rPr>
    </w:pPr>
    <w:r w:rsidRPr="00175C4C">
      <w:rPr>
        <w:rFonts w:ascii="Calibri" w:eastAsia="SimSun" w:hAnsi="Calibri"/>
        <w:sz w:val="18"/>
        <w:szCs w:val="18"/>
      </w:rPr>
      <w:tab/>
    </w:r>
    <w:r w:rsidRPr="00946C01">
      <w:rPr>
        <w:rFonts w:ascii="Calibri" w:eastAsia="SimSun" w:hAnsi="Calibri"/>
        <w:sz w:val="18"/>
        <w:szCs w:val="18"/>
      </w:rPr>
      <w:t>TDAG-19/</w:t>
    </w:r>
    <w:bookmarkStart w:id="10" w:name="DocNo2"/>
    <w:bookmarkEnd w:id="10"/>
    <w:r w:rsidR="001D2542" w:rsidRPr="00946C01">
      <w:rPr>
        <w:rFonts w:ascii="Calibri" w:eastAsia="SimSun" w:hAnsi="Calibri"/>
        <w:sz w:val="18"/>
        <w:szCs w:val="18"/>
      </w:rPr>
      <w:t>1</w:t>
    </w:r>
    <w:r w:rsidR="00743281" w:rsidRPr="00946C01">
      <w:rPr>
        <w:rFonts w:ascii="Calibri" w:eastAsia="SimSun" w:hAnsi="Calibri"/>
        <w:sz w:val="18"/>
        <w:szCs w:val="18"/>
      </w:rPr>
      <w:t>7</w:t>
    </w:r>
    <w:r w:rsidR="00946C01" w:rsidRPr="00946C01">
      <w:rPr>
        <w:rFonts w:ascii="Calibri" w:eastAsia="SimSun" w:hAnsi="Calibri"/>
        <w:sz w:val="18"/>
        <w:szCs w:val="18"/>
      </w:rPr>
      <w:t>(Rev.</w:t>
    </w:r>
    <w:r w:rsidR="00946C01">
      <w:rPr>
        <w:rFonts w:ascii="Calibri" w:eastAsia="SimSun" w:hAnsi="Calibri"/>
        <w:sz w:val="18"/>
        <w:szCs w:val="18"/>
      </w:rPr>
      <w:t>1)</w:t>
    </w:r>
    <w:r w:rsidRPr="00946C01">
      <w:rPr>
        <w:rFonts w:ascii="Calibri" w:eastAsia="SimSun" w:hAnsi="Calibri"/>
        <w:sz w:val="18"/>
        <w:szCs w:val="18"/>
      </w:rPr>
      <w:t>-C</w:t>
    </w:r>
    <w:r w:rsidRPr="00946C01">
      <w:rPr>
        <w:rFonts w:ascii="Calibri" w:eastAsia="SimSun" w:hAnsi="Calibri"/>
        <w:sz w:val="18"/>
        <w:szCs w:val="18"/>
      </w:rPr>
      <w:tab/>
    </w:r>
    <w:r w:rsidRPr="00175C4C">
      <w:rPr>
        <w:rFonts w:ascii="Calibri" w:eastAsia="SimSun" w:hAnsi="Calibri"/>
        <w:sz w:val="18"/>
        <w:szCs w:val="18"/>
      </w:rPr>
      <w:fldChar w:fldCharType="begin"/>
    </w:r>
    <w:r w:rsidRPr="00946C01">
      <w:rPr>
        <w:rFonts w:ascii="Calibri" w:eastAsia="SimSun" w:hAnsi="Calibri"/>
        <w:sz w:val="18"/>
        <w:szCs w:val="18"/>
      </w:rPr>
      <w:instrText xml:space="preserve"> PAGE </w:instrText>
    </w:r>
    <w:r w:rsidRPr="00175C4C">
      <w:rPr>
        <w:rFonts w:ascii="Calibri" w:eastAsia="SimSun" w:hAnsi="Calibri"/>
        <w:sz w:val="18"/>
        <w:szCs w:val="18"/>
      </w:rPr>
      <w:fldChar w:fldCharType="separate"/>
    </w:r>
    <w:r w:rsidR="004D5016">
      <w:rPr>
        <w:rFonts w:ascii="Calibri" w:eastAsia="SimSun" w:hAnsi="Calibri"/>
        <w:noProof/>
        <w:sz w:val="18"/>
        <w:szCs w:val="18"/>
      </w:rPr>
      <w:t>3</w:t>
    </w:r>
    <w:r w:rsidRPr="00175C4C">
      <w:rPr>
        <w:rFonts w:ascii="Calibri" w:eastAsia="SimSun" w:hAnsi="Calibri"/>
        <w:sz w:val="18"/>
        <w:szCs w:val="18"/>
      </w:rPr>
      <w:fldChar w:fldCharType="end"/>
    </w:r>
  </w:p>
  <w:p w:rsidR="00721657" w:rsidRPr="00946C01" w:rsidRDefault="00721657" w:rsidP="00175C4C">
    <w:pPr>
      <w:pStyle w:val="Header"/>
      <w:rPr>
        <w:rStyle w:val="PageNumbe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0518D"/>
    <w:multiLevelType w:val="hybridMultilevel"/>
    <w:tmpl w:val="864822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C92C90"/>
    <w:multiLevelType w:val="hybridMultilevel"/>
    <w:tmpl w:val="A0F677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A223E7"/>
    <w:multiLevelType w:val="hybridMultilevel"/>
    <w:tmpl w:val="3CB2015A"/>
    <w:lvl w:ilvl="0" w:tplc="9CDC48F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EB654C"/>
    <w:multiLevelType w:val="hybridMultilevel"/>
    <w:tmpl w:val="EC4CD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9B"/>
    <w:rsid w:val="00002716"/>
    <w:rsid w:val="00005791"/>
    <w:rsid w:val="0002520B"/>
    <w:rsid w:val="00037A9E"/>
    <w:rsid w:val="00037F91"/>
    <w:rsid w:val="000539F1"/>
    <w:rsid w:val="00055A2A"/>
    <w:rsid w:val="000615C1"/>
    <w:rsid w:val="0009225C"/>
    <w:rsid w:val="000A17C4"/>
    <w:rsid w:val="000A346A"/>
    <w:rsid w:val="000B2352"/>
    <w:rsid w:val="000C7B84"/>
    <w:rsid w:val="000D261B"/>
    <w:rsid w:val="000D5042"/>
    <w:rsid w:val="000D58A3"/>
    <w:rsid w:val="000E2266"/>
    <w:rsid w:val="000E3ED4"/>
    <w:rsid w:val="000F6644"/>
    <w:rsid w:val="00100833"/>
    <w:rsid w:val="00113EE8"/>
    <w:rsid w:val="0011455A"/>
    <w:rsid w:val="00114A65"/>
    <w:rsid w:val="00141699"/>
    <w:rsid w:val="00147000"/>
    <w:rsid w:val="00163091"/>
    <w:rsid w:val="001645CB"/>
    <w:rsid w:val="00166305"/>
    <w:rsid w:val="001703C6"/>
    <w:rsid w:val="00173781"/>
    <w:rsid w:val="00175C4C"/>
    <w:rsid w:val="00175CAE"/>
    <w:rsid w:val="001828DB"/>
    <w:rsid w:val="001850FE"/>
    <w:rsid w:val="00185135"/>
    <w:rsid w:val="0019037C"/>
    <w:rsid w:val="001905A9"/>
    <w:rsid w:val="00191273"/>
    <w:rsid w:val="001942A7"/>
    <w:rsid w:val="0019587B"/>
    <w:rsid w:val="001A163D"/>
    <w:rsid w:val="001A441E"/>
    <w:rsid w:val="001B357F"/>
    <w:rsid w:val="001C3702"/>
    <w:rsid w:val="001C4656"/>
    <w:rsid w:val="001D2542"/>
    <w:rsid w:val="001F1B3F"/>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1DB4"/>
    <w:rsid w:val="00262908"/>
    <w:rsid w:val="002650F4"/>
    <w:rsid w:val="002715FD"/>
    <w:rsid w:val="00285B33"/>
    <w:rsid w:val="002C1EC7"/>
    <w:rsid w:val="002C7EA3"/>
    <w:rsid w:val="002D20AE"/>
    <w:rsid w:val="002D6C61"/>
    <w:rsid w:val="002E2104"/>
    <w:rsid w:val="002E4DA2"/>
    <w:rsid w:val="002E6963"/>
    <w:rsid w:val="002F05D8"/>
    <w:rsid w:val="002F2DE0"/>
    <w:rsid w:val="002F3EAA"/>
    <w:rsid w:val="002F5E25"/>
    <w:rsid w:val="003125C3"/>
    <w:rsid w:val="00312AE6"/>
    <w:rsid w:val="00317D1A"/>
    <w:rsid w:val="003211FF"/>
    <w:rsid w:val="00327247"/>
    <w:rsid w:val="00327A9D"/>
    <w:rsid w:val="0033130E"/>
    <w:rsid w:val="00360B73"/>
    <w:rsid w:val="0038365A"/>
    <w:rsid w:val="00386A89"/>
    <w:rsid w:val="0039648E"/>
    <w:rsid w:val="003A5AFE"/>
    <w:rsid w:val="003A5D5F"/>
    <w:rsid w:val="003A7FFE"/>
    <w:rsid w:val="003B0A63"/>
    <w:rsid w:val="003B50E1"/>
    <w:rsid w:val="003C1746"/>
    <w:rsid w:val="003C58BF"/>
    <w:rsid w:val="003D451D"/>
    <w:rsid w:val="003F2DD8"/>
    <w:rsid w:val="003F50B2"/>
    <w:rsid w:val="00401BFF"/>
    <w:rsid w:val="004122C5"/>
    <w:rsid w:val="00413B78"/>
    <w:rsid w:val="00416DDE"/>
    <w:rsid w:val="0044411E"/>
    <w:rsid w:val="00453435"/>
    <w:rsid w:val="00466398"/>
    <w:rsid w:val="0049128B"/>
    <w:rsid w:val="00493B49"/>
    <w:rsid w:val="00495501"/>
    <w:rsid w:val="004A070A"/>
    <w:rsid w:val="004A320E"/>
    <w:rsid w:val="004A4E9C"/>
    <w:rsid w:val="004B1A3C"/>
    <w:rsid w:val="004C5C6B"/>
    <w:rsid w:val="004D2CC3"/>
    <w:rsid w:val="004D35CB"/>
    <w:rsid w:val="004D5016"/>
    <w:rsid w:val="004E20E5"/>
    <w:rsid w:val="004E64EA"/>
    <w:rsid w:val="004E7828"/>
    <w:rsid w:val="004F46AA"/>
    <w:rsid w:val="004F6A70"/>
    <w:rsid w:val="00502ABF"/>
    <w:rsid w:val="00504DB0"/>
    <w:rsid w:val="0054420E"/>
    <w:rsid w:val="00544D1B"/>
    <w:rsid w:val="00545DC0"/>
    <w:rsid w:val="00545F6C"/>
    <w:rsid w:val="00554989"/>
    <w:rsid w:val="0055720C"/>
    <w:rsid w:val="0056423B"/>
    <w:rsid w:val="00573424"/>
    <w:rsid w:val="0057402F"/>
    <w:rsid w:val="005849D6"/>
    <w:rsid w:val="00585367"/>
    <w:rsid w:val="00592518"/>
    <w:rsid w:val="00592E87"/>
    <w:rsid w:val="00594C4D"/>
    <w:rsid w:val="005A33B0"/>
    <w:rsid w:val="005A3E62"/>
    <w:rsid w:val="005B725F"/>
    <w:rsid w:val="005C2DC2"/>
    <w:rsid w:val="005C304A"/>
    <w:rsid w:val="005D57C8"/>
    <w:rsid w:val="005D7761"/>
    <w:rsid w:val="005E0278"/>
    <w:rsid w:val="005E3CA0"/>
    <w:rsid w:val="005E44B1"/>
    <w:rsid w:val="005E67B0"/>
    <w:rsid w:val="005E7047"/>
    <w:rsid w:val="005E777F"/>
    <w:rsid w:val="005F1CA7"/>
    <w:rsid w:val="005F43DD"/>
    <w:rsid w:val="005F51A9"/>
    <w:rsid w:val="005F7416"/>
    <w:rsid w:val="00600C11"/>
    <w:rsid w:val="00606B89"/>
    <w:rsid w:val="00625FB8"/>
    <w:rsid w:val="006261BD"/>
    <w:rsid w:val="00636284"/>
    <w:rsid w:val="0064734E"/>
    <w:rsid w:val="00650137"/>
    <w:rsid w:val="006509D7"/>
    <w:rsid w:val="0065521B"/>
    <w:rsid w:val="00671EF6"/>
    <w:rsid w:val="0067205B"/>
    <w:rsid w:val="006748F8"/>
    <w:rsid w:val="00680489"/>
    <w:rsid w:val="006A7710"/>
    <w:rsid w:val="006A7A61"/>
    <w:rsid w:val="006B2FFB"/>
    <w:rsid w:val="006C10A2"/>
    <w:rsid w:val="006C1F18"/>
    <w:rsid w:val="006D40D5"/>
    <w:rsid w:val="006F009A"/>
    <w:rsid w:val="006F3D93"/>
    <w:rsid w:val="007019B1"/>
    <w:rsid w:val="00703E66"/>
    <w:rsid w:val="00717FED"/>
    <w:rsid w:val="00721657"/>
    <w:rsid w:val="00727B1A"/>
    <w:rsid w:val="00743281"/>
    <w:rsid w:val="00745F13"/>
    <w:rsid w:val="00752258"/>
    <w:rsid w:val="00762880"/>
    <w:rsid w:val="0076725B"/>
    <w:rsid w:val="00772290"/>
    <w:rsid w:val="00777265"/>
    <w:rsid w:val="007805E7"/>
    <w:rsid w:val="0078222A"/>
    <w:rsid w:val="00787D48"/>
    <w:rsid w:val="007A4E50"/>
    <w:rsid w:val="007B18A7"/>
    <w:rsid w:val="007B250E"/>
    <w:rsid w:val="007C27FC"/>
    <w:rsid w:val="007C51FF"/>
    <w:rsid w:val="007D50E4"/>
    <w:rsid w:val="008028CE"/>
    <w:rsid w:val="0080332E"/>
    <w:rsid w:val="008141E0"/>
    <w:rsid w:val="00816EE1"/>
    <w:rsid w:val="00816F88"/>
    <w:rsid w:val="00822323"/>
    <w:rsid w:val="00823118"/>
    <w:rsid w:val="00833024"/>
    <w:rsid w:val="008449DE"/>
    <w:rsid w:val="00844A56"/>
    <w:rsid w:val="00852081"/>
    <w:rsid w:val="008717AC"/>
    <w:rsid w:val="00874DFD"/>
    <w:rsid w:val="00883086"/>
    <w:rsid w:val="008879FD"/>
    <w:rsid w:val="00894C37"/>
    <w:rsid w:val="008A00EA"/>
    <w:rsid w:val="008A3F93"/>
    <w:rsid w:val="008A6236"/>
    <w:rsid w:val="008A6E1C"/>
    <w:rsid w:val="008A7038"/>
    <w:rsid w:val="008A72FD"/>
    <w:rsid w:val="008B2EDF"/>
    <w:rsid w:val="008B54CB"/>
    <w:rsid w:val="008B5A3D"/>
    <w:rsid w:val="008C2B02"/>
    <w:rsid w:val="008C4010"/>
    <w:rsid w:val="008C4FDF"/>
    <w:rsid w:val="008C6B1F"/>
    <w:rsid w:val="008D5E4F"/>
    <w:rsid w:val="008E2D9B"/>
    <w:rsid w:val="008F14F5"/>
    <w:rsid w:val="008F71C1"/>
    <w:rsid w:val="00902D41"/>
    <w:rsid w:val="00914004"/>
    <w:rsid w:val="00915C8E"/>
    <w:rsid w:val="00922EC1"/>
    <w:rsid w:val="009301F1"/>
    <w:rsid w:val="009359B8"/>
    <w:rsid w:val="009431F8"/>
    <w:rsid w:val="00946C01"/>
    <w:rsid w:val="00947A35"/>
    <w:rsid w:val="00966CB5"/>
    <w:rsid w:val="00975786"/>
    <w:rsid w:val="00981CB7"/>
    <w:rsid w:val="00983E1F"/>
    <w:rsid w:val="00993F46"/>
    <w:rsid w:val="00997358"/>
    <w:rsid w:val="009A452B"/>
    <w:rsid w:val="009B050C"/>
    <w:rsid w:val="009B087F"/>
    <w:rsid w:val="009C110B"/>
    <w:rsid w:val="009C5441"/>
    <w:rsid w:val="009D119F"/>
    <w:rsid w:val="009D6820"/>
    <w:rsid w:val="009F3940"/>
    <w:rsid w:val="009F3EB2"/>
    <w:rsid w:val="009F6EB1"/>
    <w:rsid w:val="00A20267"/>
    <w:rsid w:val="00A3158C"/>
    <w:rsid w:val="00A33E32"/>
    <w:rsid w:val="00A53E7C"/>
    <w:rsid w:val="00A60087"/>
    <w:rsid w:val="00A67D34"/>
    <w:rsid w:val="00A705E8"/>
    <w:rsid w:val="00A9392C"/>
    <w:rsid w:val="00A9462B"/>
    <w:rsid w:val="00A97D59"/>
    <w:rsid w:val="00AA193B"/>
    <w:rsid w:val="00AA3E09"/>
    <w:rsid w:val="00AA4BEF"/>
    <w:rsid w:val="00AB4962"/>
    <w:rsid w:val="00AB740F"/>
    <w:rsid w:val="00AC7221"/>
    <w:rsid w:val="00AD0A21"/>
    <w:rsid w:val="00AE5961"/>
    <w:rsid w:val="00AF4971"/>
    <w:rsid w:val="00AF7A41"/>
    <w:rsid w:val="00B01046"/>
    <w:rsid w:val="00B310F9"/>
    <w:rsid w:val="00B37866"/>
    <w:rsid w:val="00B412FB"/>
    <w:rsid w:val="00B4576B"/>
    <w:rsid w:val="00B46350"/>
    <w:rsid w:val="00B83D5E"/>
    <w:rsid w:val="00B8460A"/>
    <w:rsid w:val="00B8650D"/>
    <w:rsid w:val="00B879B4"/>
    <w:rsid w:val="00B90F07"/>
    <w:rsid w:val="00B97BB9"/>
    <w:rsid w:val="00BA0009"/>
    <w:rsid w:val="00BA1EB3"/>
    <w:rsid w:val="00BA4D75"/>
    <w:rsid w:val="00BB1863"/>
    <w:rsid w:val="00BB25EE"/>
    <w:rsid w:val="00BB363A"/>
    <w:rsid w:val="00BC10A0"/>
    <w:rsid w:val="00BC7BA2"/>
    <w:rsid w:val="00BD426B"/>
    <w:rsid w:val="00BD79F0"/>
    <w:rsid w:val="00BE2B4D"/>
    <w:rsid w:val="00C015F8"/>
    <w:rsid w:val="00C07E26"/>
    <w:rsid w:val="00C1011C"/>
    <w:rsid w:val="00C177C5"/>
    <w:rsid w:val="00C4038C"/>
    <w:rsid w:val="00C42BA2"/>
    <w:rsid w:val="00C44066"/>
    <w:rsid w:val="00C44E13"/>
    <w:rsid w:val="00C60A41"/>
    <w:rsid w:val="00C62DE8"/>
    <w:rsid w:val="00C62DFB"/>
    <w:rsid w:val="00C66F4D"/>
    <w:rsid w:val="00C86600"/>
    <w:rsid w:val="00C87BCA"/>
    <w:rsid w:val="00C94506"/>
    <w:rsid w:val="00C954BC"/>
    <w:rsid w:val="00CA07C4"/>
    <w:rsid w:val="00CA1F0B"/>
    <w:rsid w:val="00CB110F"/>
    <w:rsid w:val="00CB2A2E"/>
    <w:rsid w:val="00CB338A"/>
    <w:rsid w:val="00CB5E53"/>
    <w:rsid w:val="00CB79C5"/>
    <w:rsid w:val="00CC411F"/>
    <w:rsid w:val="00CC4B75"/>
    <w:rsid w:val="00CC732E"/>
    <w:rsid w:val="00CD7207"/>
    <w:rsid w:val="00CE0DBE"/>
    <w:rsid w:val="00CE5E4D"/>
    <w:rsid w:val="00CF02C4"/>
    <w:rsid w:val="00CF167F"/>
    <w:rsid w:val="00CF30C0"/>
    <w:rsid w:val="00CF72E5"/>
    <w:rsid w:val="00D01F54"/>
    <w:rsid w:val="00D10FC7"/>
    <w:rsid w:val="00D20E99"/>
    <w:rsid w:val="00D21C83"/>
    <w:rsid w:val="00D326D0"/>
    <w:rsid w:val="00D35BDD"/>
    <w:rsid w:val="00D63006"/>
    <w:rsid w:val="00D72301"/>
    <w:rsid w:val="00D91B97"/>
    <w:rsid w:val="00D93ACC"/>
    <w:rsid w:val="00D93C08"/>
    <w:rsid w:val="00D95DAC"/>
    <w:rsid w:val="00DB1171"/>
    <w:rsid w:val="00DB1519"/>
    <w:rsid w:val="00DB2840"/>
    <w:rsid w:val="00DD66B4"/>
    <w:rsid w:val="00DE1972"/>
    <w:rsid w:val="00DE27AB"/>
    <w:rsid w:val="00DF2AB3"/>
    <w:rsid w:val="00DF7250"/>
    <w:rsid w:val="00DF7AE9"/>
    <w:rsid w:val="00E00CAA"/>
    <w:rsid w:val="00E03EBF"/>
    <w:rsid w:val="00E05209"/>
    <w:rsid w:val="00E2258E"/>
    <w:rsid w:val="00E260C2"/>
    <w:rsid w:val="00E32596"/>
    <w:rsid w:val="00E368F7"/>
    <w:rsid w:val="00E36EB8"/>
    <w:rsid w:val="00E37FB8"/>
    <w:rsid w:val="00E40B07"/>
    <w:rsid w:val="00E42326"/>
    <w:rsid w:val="00E43544"/>
    <w:rsid w:val="00E44D89"/>
    <w:rsid w:val="00E477EA"/>
    <w:rsid w:val="00E63B14"/>
    <w:rsid w:val="00E83810"/>
    <w:rsid w:val="00E86933"/>
    <w:rsid w:val="00E97298"/>
    <w:rsid w:val="00E97753"/>
    <w:rsid w:val="00E97E58"/>
    <w:rsid w:val="00EA2BC2"/>
    <w:rsid w:val="00EA7DE7"/>
    <w:rsid w:val="00EB04E4"/>
    <w:rsid w:val="00EB7A8A"/>
    <w:rsid w:val="00ED6F3E"/>
    <w:rsid w:val="00EE3A64"/>
    <w:rsid w:val="00EF01CF"/>
    <w:rsid w:val="00F03590"/>
    <w:rsid w:val="00F03622"/>
    <w:rsid w:val="00F077FD"/>
    <w:rsid w:val="00F204F3"/>
    <w:rsid w:val="00F238B3"/>
    <w:rsid w:val="00F25586"/>
    <w:rsid w:val="00F2651D"/>
    <w:rsid w:val="00F31498"/>
    <w:rsid w:val="00F32FEF"/>
    <w:rsid w:val="00F42E13"/>
    <w:rsid w:val="00F42F1C"/>
    <w:rsid w:val="00F43B44"/>
    <w:rsid w:val="00F440E5"/>
    <w:rsid w:val="00F448F6"/>
    <w:rsid w:val="00F52741"/>
    <w:rsid w:val="00F53D8A"/>
    <w:rsid w:val="00F626F7"/>
    <w:rsid w:val="00F9211C"/>
    <w:rsid w:val="00F93D2E"/>
    <w:rsid w:val="00FA095D"/>
    <w:rsid w:val="00FA1136"/>
    <w:rsid w:val="00FA6C8B"/>
    <w:rsid w:val="00FB4139"/>
    <w:rsid w:val="00FB476E"/>
    <w:rsid w:val="00FC0D90"/>
    <w:rsid w:val="00FC7D8C"/>
    <w:rsid w:val="00FD3980"/>
    <w:rsid w:val="00FD431E"/>
    <w:rsid w:val="00FD5A2C"/>
    <w:rsid w:val="00FE0D47"/>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DED5F0E-9BBC-4A70-8E5E-6B4D5D59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AD0A21"/>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link w:val="SourceChar"/>
    <w:qFormat/>
    <w:rsid w:val="001A163D"/>
    <w:rPr>
      <w:b/>
    </w:rPr>
  </w:style>
  <w:style w:type="paragraph" w:customStyle="1" w:styleId="Title1">
    <w:name w:val="Title 1"/>
    <w:basedOn w:val="Source"/>
    <w:next w:val="Title2"/>
    <w:link w:val="Title1Char"/>
    <w:qFormat/>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
    <w:basedOn w:val="DefaultParagraphFont"/>
    <w:uiPriority w:val="99"/>
    <w:qFormat/>
    <w:rsid w:val="00BA0009"/>
    <w:rPr>
      <w:color w:val="0000FF" w:themeColor="hyperlink"/>
      <w:u w:val="single"/>
    </w:rPr>
  </w:style>
  <w:style w:type="character" w:customStyle="1" w:styleId="SourceChar">
    <w:name w:val="Source Char"/>
    <w:link w:val="Source"/>
    <w:locked/>
    <w:rsid w:val="008E2D9B"/>
    <w:rPr>
      <w:rFonts w:asciiTheme="minorHAnsi" w:hAnsiTheme="minorHAnsi"/>
      <w:b/>
      <w:sz w:val="24"/>
      <w:lang w:val="en-GB" w:eastAsia="en-US"/>
    </w:rPr>
  </w:style>
  <w:style w:type="character" w:customStyle="1" w:styleId="Title1Char">
    <w:name w:val="Title 1 Char"/>
    <w:link w:val="Title1"/>
    <w:locked/>
    <w:rsid w:val="008E2D9B"/>
    <w:rPr>
      <w:rFonts w:asciiTheme="minorHAnsi" w:hAnsiTheme="minorHAnsi" w:cs="Times New Roman Bold"/>
      <w:b/>
      <w:sz w:val="24"/>
      <w:lang w:val="en-GB" w:eastAsia="en-US"/>
    </w:rPr>
  </w:style>
  <w:style w:type="paragraph" w:styleId="ListParagraph">
    <w:name w:val="List Paragraph"/>
    <w:aliases w:val="List Paragraph1,Recommendation,List Paragraph11"/>
    <w:basedOn w:val="Normal"/>
    <w:link w:val="ListParagraphChar"/>
    <w:uiPriority w:val="34"/>
    <w:qFormat/>
    <w:rsid w:val="008E2D9B"/>
    <w:pPr>
      <w:tabs>
        <w:tab w:val="clear" w:pos="794"/>
        <w:tab w:val="clear" w:pos="1191"/>
        <w:tab w:val="clear" w:pos="1588"/>
        <w:tab w:val="clear" w:pos="1985"/>
        <w:tab w:val="left" w:pos="1134"/>
        <w:tab w:val="left" w:pos="1871"/>
        <w:tab w:val="left" w:pos="2268"/>
      </w:tabs>
      <w:ind w:left="720"/>
      <w:contextualSpacing/>
    </w:pPr>
    <w:rPr>
      <w:rFonts w:eastAsia="Times New Roman"/>
    </w:rPr>
  </w:style>
  <w:style w:type="character" w:customStyle="1" w:styleId="ListParagraphChar">
    <w:name w:val="List Paragraph Char"/>
    <w:aliases w:val="List Paragraph1 Char,Recommendation Char,List Paragraph11 Char"/>
    <w:basedOn w:val="DefaultParagraphFont"/>
    <w:link w:val="ListParagraph"/>
    <w:uiPriority w:val="34"/>
    <w:rsid w:val="008E2D9B"/>
    <w:rPr>
      <w:rFonts w:asciiTheme="minorHAnsi" w:eastAsia="Times New Roman" w:hAnsiTheme="minorHAnsi"/>
      <w:sz w:val="24"/>
      <w:lang w:val="en-GB" w:eastAsia="en-US"/>
    </w:rPr>
  </w:style>
  <w:style w:type="character" w:styleId="FollowedHyperlink">
    <w:name w:val="FollowedHyperlink"/>
    <w:basedOn w:val="DefaultParagraphFont"/>
    <w:semiHidden/>
    <w:unhideWhenUsed/>
    <w:rsid w:val="001D25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09423">
      <w:bodyDiv w:val="1"/>
      <w:marLeft w:val="0"/>
      <w:marRight w:val="0"/>
      <w:marTop w:val="0"/>
      <w:marBottom w:val="0"/>
      <w:divBdr>
        <w:top w:val="none" w:sz="0" w:space="0" w:color="auto"/>
        <w:left w:val="none" w:sz="0" w:space="0" w:color="auto"/>
        <w:bottom w:val="none" w:sz="0" w:space="0" w:color="auto"/>
        <w:right w:val="none" w:sz="0" w:space="0" w:color="auto"/>
      </w:divBdr>
      <w:divsChild>
        <w:div w:id="1130125132">
          <w:marLeft w:val="0"/>
          <w:marRight w:val="0"/>
          <w:marTop w:val="0"/>
          <w:marBottom w:val="0"/>
          <w:divBdr>
            <w:top w:val="none" w:sz="0" w:space="0" w:color="auto"/>
            <w:left w:val="none" w:sz="0" w:space="0" w:color="auto"/>
            <w:bottom w:val="none" w:sz="0" w:space="0" w:color="auto"/>
            <w:right w:val="none" w:sz="0" w:space="0" w:color="auto"/>
          </w:divBdr>
          <w:divsChild>
            <w:div w:id="638268521">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52891860">
                      <w:marLeft w:val="0"/>
                      <w:marRight w:val="0"/>
                      <w:marTop w:val="0"/>
                      <w:marBottom w:val="0"/>
                      <w:divBdr>
                        <w:top w:val="none" w:sz="0" w:space="0" w:color="auto"/>
                        <w:left w:val="none" w:sz="0" w:space="0" w:color="auto"/>
                        <w:bottom w:val="none" w:sz="0" w:space="0" w:color="auto"/>
                        <w:right w:val="none" w:sz="0" w:space="0" w:color="auto"/>
                      </w:divBdr>
                      <w:divsChild>
                        <w:div w:id="1787771448">
                          <w:marLeft w:val="0"/>
                          <w:marRight w:val="0"/>
                          <w:marTop w:val="45"/>
                          <w:marBottom w:val="0"/>
                          <w:divBdr>
                            <w:top w:val="none" w:sz="0" w:space="0" w:color="auto"/>
                            <w:left w:val="none" w:sz="0" w:space="0" w:color="auto"/>
                            <w:bottom w:val="none" w:sz="0" w:space="0" w:color="auto"/>
                            <w:right w:val="none" w:sz="0" w:space="0" w:color="auto"/>
                          </w:divBdr>
                          <w:divsChild>
                            <w:div w:id="1954709322">
                              <w:marLeft w:val="0"/>
                              <w:marRight w:val="0"/>
                              <w:marTop w:val="0"/>
                              <w:marBottom w:val="0"/>
                              <w:divBdr>
                                <w:top w:val="none" w:sz="0" w:space="0" w:color="auto"/>
                                <w:left w:val="none" w:sz="0" w:space="0" w:color="auto"/>
                                <w:bottom w:val="none" w:sz="0" w:space="0" w:color="auto"/>
                                <w:right w:val="none" w:sz="0" w:space="0" w:color="auto"/>
                              </w:divBdr>
                              <w:divsChild>
                                <w:div w:id="1657372530">
                                  <w:marLeft w:val="2070"/>
                                  <w:marRight w:val="3810"/>
                                  <w:marTop w:val="0"/>
                                  <w:marBottom w:val="0"/>
                                  <w:divBdr>
                                    <w:top w:val="none" w:sz="0" w:space="0" w:color="auto"/>
                                    <w:left w:val="none" w:sz="0" w:space="0" w:color="auto"/>
                                    <w:bottom w:val="none" w:sz="0" w:space="0" w:color="auto"/>
                                    <w:right w:val="none" w:sz="0" w:space="0" w:color="auto"/>
                                  </w:divBdr>
                                  <w:divsChild>
                                    <w:div w:id="972634742">
                                      <w:marLeft w:val="0"/>
                                      <w:marRight w:val="0"/>
                                      <w:marTop w:val="0"/>
                                      <w:marBottom w:val="0"/>
                                      <w:divBdr>
                                        <w:top w:val="none" w:sz="0" w:space="0" w:color="auto"/>
                                        <w:left w:val="none" w:sz="0" w:space="0" w:color="auto"/>
                                        <w:bottom w:val="none" w:sz="0" w:space="0" w:color="auto"/>
                                        <w:right w:val="none" w:sz="0" w:space="0" w:color="auto"/>
                                      </w:divBdr>
                                      <w:divsChild>
                                        <w:div w:id="1503396625">
                                          <w:marLeft w:val="0"/>
                                          <w:marRight w:val="0"/>
                                          <w:marTop w:val="0"/>
                                          <w:marBottom w:val="0"/>
                                          <w:divBdr>
                                            <w:top w:val="none" w:sz="0" w:space="0" w:color="auto"/>
                                            <w:left w:val="none" w:sz="0" w:space="0" w:color="auto"/>
                                            <w:bottom w:val="none" w:sz="0" w:space="0" w:color="auto"/>
                                            <w:right w:val="none" w:sz="0" w:space="0" w:color="auto"/>
                                          </w:divBdr>
                                          <w:divsChild>
                                            <w:div w:id="1091269826">
                                              <w:marLeft w:val="0"/>
                                              <w:marRight w:val="0"/>
                                              <w:marTop w:val="0"/>
                                              <w:marBottom w:val="0"/>
                                              <w:divBdr>
                                                <w:top w:val="none" w:sz="0" w:space="0" w:color="auto"/>
                                                <w:left w:val="none" w:sz="0" w:space="0" w:color="auto"/>
                                                <w:bottom w:val="none" w:sz="0" w:space="0" w:color="auto"/>
                                                <w:right w:val="none" w:sz="0" w:space="0" w:color="auto"/>
                                              </w:divBdr>
                                              <w:divsChild>
                                                <w:div w:id="829902872">
                                                  <w:marLeft w:val="0"/>
                                                  <w:marRight w:val="0"/>
                                                  <w:marTop w:val="0"/>
                                                  <w:marBottom w:val="0"/>
                                                  <w:divBdr>
                                                    <w:top w:val="none" w:sz="0" w:space="0" w:color="auto"/>
                                                    <w:left w:val="none" w:sz="0" w:space="0" w:color="auto"/>
                                                    <w:bottom w:val="none" w:sz="0" w:space="0" w:color="auto"/>
                                                    <w:right w:val="none" w:sz="0" w:space="0" w:color="auto"/>
                                                  </w:divBdr>
                                                  <w:divsChild>
                                                    <w:div w:id="1628774573">
                                                      <w:marLeft w:val="0"/>
                                                      <w:marRight w:val="0"/>
                                                      <w:marTop w:val="0"/>
                                                      <w:marBottom w:val="0"/>
                                                      <w:divBdr>
                                                        <w:top w:val="none" w:sz="0" w:space="0" w:color="auto"/>
                                                        <w:left w:val="none" w:sz="0" w:space="0" w:color="auto"/>
                                                        <w:bottom w:val="none" w:sz="0" w:space="0" w:color="auto"/>
                                                        <w:right w:val="none" w:sz="0" w:space="0" w:color="auto"/>
                                                      </w:divBdr>
                                                      <w:divsChild>
                                                        <w:div w:id="1759134897">
                                                          <w:marLeft w:val="0"/>
                                                          <w:marRight w:val="0"/>
                                                          <w:marTop w:val="0"/>
                                                          <w:marBottom w:val="345"/>
                                                          <w:divBdr>
                                                            <w:top w:val="none" w:sz="0" w:space="0" w:color="auto"/>
                                                            <w:left w:val="none" w:sz="0" w:space="0" w:color="auto"/>
                                                            <w:bottom w:val="none" w:sz="0" w:space="0" w:color="auto"/>
                                                            <w:right w:val="none" w:sz="0" w:space="0" w:color="auto"/>
                                                          </w:divBdr>
                                                          <w:divsChild>
                                                            <w:div w:id="99499192">
                                                              <w:marLeft w:val="0"/>
                                                              <w:marRight w:val="0"/>
                                                              <w:marTop w:val="0"/>
                                                              <w:marBottom w:val="0"/>
                                                              <w:divBdr>
                                                                <w:top w:val="none" w:sz="0" w:space="0" w:color="auto"/>
                                                                <w:left w:val="none" w:sz="0" w:space="0" w:color="auto"/>
                                                                <w:bottom w:val="none" w:sz="0" w:space="0" w:color="auto"/>
                                                                <w:right w:val="none" w:sz="0" w:space="0" w:color="auto"/>
                                                              </w:divBdr>
                                                              <w:divsChild>
                                                                <w:div w:id="312762395">
                                                                  <w:marLeft w:val="0"/>
                                                                  <w:marRight w:val="0"/>
                                                                  <w:marTop w:val="0"/>
                                                                  <w:marBottom w:val="0"/>
                                                                  <w:divBdr>
                                                                    <w:top w:val="none" w:sz="0" w:space="0" w:color="auto"/>
                                                                    <w:left w:val="none" w:sz="0" w:space="0" w:color="auto"/>
                                                                    <w:bottom w:val="none" w:sz="0" w:space="0" w:color="auto"/>
                                                                    <w:right w:val="none" w:sz="0" w:space="0" w:color="auto"/>
                                                                  </w:divBdr>
                                                                  <w:divsChild>
                                                                    <w:div w:id="1511601226">
                                                                      <w:marLeft w:val="0"/>
                                                                      <w:marRight w:val="0"/>
                                                                      <w:marTop w:val="0"/>
                                                                      <w:marBottom w:val="0"/>
                                                                      <w:divBdr>
                                                                        <w:top w:val="none" w:sz="0" w:space="0" w:color="auto"/>
                                                                        <w:left w:val="none" w:sz="0" w:space="0" w:color="auto"/>
                                                                        <w:bottom w:val="none" w:sz="0" w:space="0" w:color="auto"/>
                                                                        <w:right w:val="none" w:sz="0" w:space="0" w:color="auto"/>
                                                                      </w:divBdr>
                                                                      <w:divsChild>
                                                                        <w:div w:id="1235049567">
                                                                          <w:marLeft w:val="0"/>
                                                                          <w:marRight w:val="0"/>
                                                                          <w:marTop w:val="0"/>
                                                                          <w:marBottom w:val="0"/>
                                                                          <w:divBdr>
                                                                            <w:top w:val="none" w:sz="0" w:space="0" w:color="auto"/>
                                                                            <w:left w:val="none" w:sz="0" w:space="0" w:color="auto"/>
                                                                            <w:bottom w:val="none" w:sz="0" w:space="0" w:color="auto"/>
                                                                            <w:right w:val="none" w:sz="0" w:space="0" w:color="auto"/>
                                                                          </w:divBdr>
                                                                          <w:divsChild>
                                                                            <w:div w:id="1321160214">
                                                                              <w:marLeft w:val="0"/>
                                                                              <w:marRight w:val="0"/>
                                                                              <w:marTop w:val="0"/>
                                                                              <w:marBottom w:val="0"/>
                                                                              <w:divBdr>
                                                                                <w:top w:val="none" w:sz="0" w:space="0" w:color="auto"/>
                                                                                <w:left w:val="none" w:sz="0" w:space="0" w:color="auto"/>
                                                                                <w:bottom w:val="none" w:sz="0" w:space="0" w:color="auto"/>
                                                                                <w:right w:val="none" w:sz="0" w:space="0" w:color="auto"/>
                                                                              </w:divBdr>
                                                                              <w:divsChild>
                                                                                <w:div w:id="290139171">
                                                                                  <w:marLeft w:val="0"/>
                                                                                  <w:marRight w:val="0"/>
                                                                                  <w:marTop w:val="0"/>
                                                                                  <w:marBottom w:val="0"/>
                                                                                  <w:divBdr>
                                                                                    <w:top w:val="none" w:sz="0" w:space="0" w:color="auto"/>
                                                                                    <w:left w:val="none" w:sz="0" w:space="0" w:color="auto"/>
                                                                                    <w:bottom w:val="none" w:sz="0" w:space="0" w:color="auto"/>
                                                                                    <w:right w:val="none" w:sz="0" w:space="0" w:color="auto"/>
                                                                                  </w:divBdr>
                                                                                  <w:divsChild>
                                                                                    <w:div w:id="539704565">
                                                                                      <w:marLeft w:val="0"/>
                                                                                      <w:marRight w:val="0"/>
                                                                                      <w:marTop w:val="0"/>
                                                                                      <w:marBottom w:val="0"/>
                                                                                      <w:divBdr>
                                                                                        <w:top w:val="none" w:sz="0" w:space="0" w:color="auto"/>
                                                                                        <w:left w:val="none" w:sz="0" w:space="0" w:color="auto"/>
                                                                                        <w:bottom w:val="none" w:sz="0" w:space="0" w:color="auto"/>
                                                                                        <w:right w:val="none" w:sz="0" w:space="0" w:color="auto"/>
                                                                                      </w:divBdr>
                                                                                      <w:divsChild>
                                                                                        <w:div w:id="988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352156">
      <w:bodyDiv w:val="1"/>
      <w:marLeft w:val="0"/>
      <w:marRight w:val="0"/>
      <w:marTop w:val="0"/>
      <w:marBottom w:val="0"/>
      <w:divBdr>
        <w:top w:val="none" w:sz="0" w:space="0" w:color="auto"/>
        <w:left w:val="none" w:sz="0" w:space="0" w:color="auto"/>
        <w:bottom w:val="none" w:sz="0" w:space="0" w:color="auto"/>
        <w:right w:val="none" w:sz="0" w:space="0" w:color="auto"/>
      </w:divBdr>
      <w:divsChild>
        <w:div w:id="1039359035">
          <w:marLeft w:val="0"/>
          <w:marRight w:val="0"/>
          <w:marTop w:val="0"/>
          <w:marBottom w:val="0"/>
          <w:divBdr>
            <w:top w:val="none" w:sz="0" w:space="0" w:color="auto"/>
            <w:left w:val="none" w:sz="0" w:space="0" w:color="auto"/>
            <w:bottom w:val="none" w:sz="0" w:space="0" w:color="auto"/>
            <w:right w:val="none" w:sz="0" w:space="0" w:color="auto"/>
          </w:divBdr>
          <w:divsChild>
            <w:div w:id="2001273831">
              <w:marLeft w:val="0"/>
              <w:marRight w:val="0"/>
              <w:marTop w:val="0"/>
              <w:marBottom w:val="0"/>
              <w:divBdr>
                <w:top w:val="none" w:sz="0" w:space="0" w:color="auto"/>
                <w:left w:val="none" w:sz="0" w:space="0" w:color="auto"/>
                <w:bottom w:val="none" w:sz="0" w:space="0" w:color="auto"/>
                <w:right w:val="none" w:sz="0" w:space="0" w:color="auto"/>
              </w:divBdr>
              <w:divsChild>
                <w:div w:id="1829443859">
                  <w:marLeft w:val="0"/>
                  <w:marRight w:val="0"/>
                  <w:marTop w:val="0"/>
                  <w:marBottom w:val="0"/>
                  <w:divBdr>
                    <w:top w:val="none" w:sz="0" w:space="0" w:color="auto"/>
                    <w:left w:val="none" w:sz="0" w:space="0" w:color="auto"/>
                    <w:bottom w:val="none" w:sz="0" w:space="0" w:color="auto"/>
                    <w:right w:val="none" w:sz="0" w:space="0" w:color="auto"/>
                  </w:divBdr>
                  <w:divsChild>
                    <w:div w:id="1915042463">
                      <w:marLeft w:val="0"/>
                      <w:marRight w:val="0"/>
                      <w:marTop w:val="0"/>
                      <w:marBottom w:val="0"/>
                      <w:divBdr>
                        <w:top w:val="none" w:sz="0" w:space="0" w:color="auto"/>
                        <w:left w:val="none" w:sz="0" w:space="0" w:color="auto"/>
                        <w:bottom w:val="none" w:sz="0" w:space="0" w:color="auto"/>
                        <w:right w:val="none" w:sz="0" w:space="0" w:color="auto"/>
                      </w:divBdr>
                      <w:divsChild>
                        <w:div w:id="1991016023">
                          <w:marLeft w:val="0"/>
                          <w:marRight w:val="0"/>
                          <w:marTop w:val="45"/>
                          <w:marBottom w:val="0"/>
                          <w:divBdr>
                            <w:top w:val="none" w:sz="0" w:space="0" w:color="auto"/>
                            <w:left w:val="none" w:sz="0" w:space="0" w:color="auto"/>
                            <w:bottom w:val="none" w:sz="0" w:space="0" w:color="auto"/>
                            <w:right w:val="none" w:sz="0" w:space="0" w:color="auto"/>
                          </w:divBdr>
                          <w:divsChild>
                            <w:div w:id="825363954">
                              <w:marLeft w:val="0"/>
                              <w:marRight w:val="0"/>
                              <w:marTop w:val="0"/>
                              <w:marBottom w:val="0"/>
                              <w:divBdr>
                                <w:top w:val="none" w:sz="0" w:space="0" w:color="auto"/>
                                <w:left w:val="none" w:sz="0" w:space="0" w:color="auto"/>
                                <w:bottom w:val="none" w:sz="0" w:space="0" w:color="auto"/>
                                <w:right w:val="none" w:sz="0" w:space="0" w:color="auto"/>
                              </w:divBdr>
                              <w:divsChild>
                                <w:div w:id="1676879566">
                                  <w:marLeft w:val="2070"/>
                                  <w:marRight w:val="3810"/>
                                  <w:marTop w:val="0"/>
                                  <w:marBottom w:val="0"/>
                                  <w:divBdr>
                                    <w:top w:val="none" w:sz="0" w:space="0" w:color="auto"/>
                                    <w:left w:val="none" w:sz="0" w:space="0" w:color="auto"/>
                                    <w:bottom w:val="none" w:sz="0" w:space="0" w:color="auto"/>
                                    <w:right w:val="none" w:sz="0" w:space="0" w:color="auto"/>
                                  </w:divBdr>
                                  <w:divsChild>
                                    <w:div w:id="2043431880">
                                      <w:marLeft w:val="0"/>
                                      <w:marRight w:val="0"/>
                                      <w:marTop w:val="0"/>
                                      <w:marBottom w:val="0"/>
                                      <w:divBdr>
                                        <w:top w:val="none" w:sz="0" w:space="0" w:color="auto"/>
                                        <w:left w:val="none" w:sz="0" w:space="0" w:color="auto"/>
                                        <w:bottom w:val="none" w:sz="0" w:space="0" w:color="auto"/>
                                        <w:right w:val="none" w:sz="0" w:space="0" w:color="auto"/>
                                      </w:divBdr>
                                      <w:divsChild>
                                        <w:div w:id="533225922">
                                          <w:marLeft w:val="0"/>
                                          <w:marRight w:val="0"/>
                                          <w:marTop w:val="0"/>
                                          <w:marBottom w:val="0"/>
                                          <w:divBdr>
                                            <w:top w:val="none" w:sz="0" w:space="0" w:color="auto"/>
                                            <w:left w:val="none" w:sz="0" w:space="0" w:color="auto"/>
                                            <w:bottom w:val="none" w:sz="0" w:space="0" w:color="auto"/>
                                            <w:right w:val="none" w:sz="0" w:space="0" w:color="auto"/>
                                          </w:divBdr>
                                          <w:divsChild>
                                            <w:div w:id="1282571647">
                                              <w:marLeft w:val="0"/>
                                              <w:marRight w:val="0"/>
                                              <w:marTop w:val="0"/>
                                              <w:marBottom w:val="0"/>
                                              <w:divBdr>
                                                <w:top w:val="none" w:sz="0" w:space="0" w:color="auto"/>
                                                <w:left w:val="none" w:sz="0" w:space="0" w:color="auto"/>
                                                <w:bottom w:val="none" w:sz="0" w:space="0" w:color="auto"/>
                                                <w:right w:val="none" w:sz="0" w:space="0" w:color="auto"/>
                                              </w:divBdr>
                                              <w:divsChild>
                                                <w:div w:id="341857701">
                                                  <w:marLeft w:val="0"/>
                                                  <w:marRight w:val="0"/>
                                                  <w:marTop w:val="0"/>
                                                  <w:marBottom w:val="0"/>
                                                  <w:divBdr>
                                                    <w:top w:val="none" w:sz="0" w:space="0" w:color="auto"/>
                                                    <w:left w:val="none" w:sz="0" w:space="0" w:color="auto"/>
                                                    <w:bottom w:val="none" w:sz="0" w:space="0" w:color="auto"/>
                                                    <w:right w:val="none" w:sz="0" w:space="0" w:color="auto"/>
                                                  </w:divBdr>
                                                  <w:divsChild>
                                                    <w:div w:id="2111925006">
                                                      <w:marLeft w:val="0"/>
                                                      <w:marRight w:val="0"/>
                                                      <w:marTop w:val="0"/>
                                                      <w:marBottom w:val="0"/>
                                                      <w:divBdr>
                                                        <w:top w:val="none" w:sz="0" w:space="0" w:color="auto"/>
                                                        <w:left w:val="none" w:sz="0" w:space="0" w:color="auto"/>
                                                        <w:bottom w:val="none" w:sz="0" w:space="0" w:color="auto"/>
                                                        <w:right w:val="none" w:sz="0" w:space="0" w:color="auto"/>
                                                      </w:divBdr>
                                                      <w:divsChild>
                                                        <w:div w:id="967468756">
                                                          <w:marLeft w:val="0"/>
                                                          <w:marRight w:val="0"/>
                                                          <w:marTop w:val="0"/>
                                                          <w:marBottom w:val="345"/>
                                                          <w:divBdr>
                                                            <w:top w:val="none" w:sz="0" w:space="0" w:color="auto"/>
                                                            <w:left w:val="none" w:sz="0" w:space="0" w:color="auto"/>
                                                            <w:bottom w:val="none" w:sz="0" w:space="0" w:color="auto"/>
                                                            <w:right w:val="none" w:sz="0" w:space="0" w:color="auto"/>
                                                          </w:divBdr>
                                                          <w:divsChild>
                                                            <w:div w:id="1529173800">
                                                              <w:marLeft w:val="0"/>
                                                              <w:marRight w:val="0"/>
                                                              <w:marTop w:val="0"/>
                                                              <w:marBottom w:val="0"/>
                                                              <w:divBdr>
                                                                <w:top w:val="none" w:sz="0" w:space="0" w:color="auto"/>
                                                                <w:left w:val="none" w:sz="0" w:space="0" w:color="auto"/>
                                                                <w:bottom w:val="none" w:sz="0" w:space="0" w:color="auto"/>
                                                                <w:right w:val="none" w:sz="0" w:space="0" w:color="auto"/>
                                                              </w:divBdr>
                                                              <w:divsChild>
                                                                <w:div w:id="360664489">
                                                                  <w:marLeft w:val="0"/>
                                                                  <w:marRight w:val="0"/>
                                                                  <w:marTop w:val="0"/>
                                                                  <w:marBottom w:val="0"/>
                                                                  <w:divBdr>
                                                                    <w:top w:val="none" w:sz="0" w:space="0" w:color="auto"/>
                                                                    <w:left w:val="none" w:sz="0" w:space="0" w:color="auto"/>
                                                                    <w:bottom w:val="none" w:sz="0" w:space="0" w:color="auto"/>
                                                                    <w:right w:val="none" w:sz="0" w:space="0" w:color="auto"/>
                                                                  </w:divBdr>
                                                                  <w:divsChild>
                                                                    <w:div w:id="926233891">
                                                                      <w:marLeft w:val="0"/>
                                                                      <w:marRight w:val="0"/>
                                                                      <w:marTop w:val="0"/>
                                                                      <w:marBottom w:val="0"/>
                                                                      <w:divBdr>
                                                                        <w:top w:val="none" w:sz="0" w:space="0" w:color="auto"/>
                                                                        <w:left w:val="none" w:sz="0" w:space="0" w:color="auto"/>
                                                                        <w:bottom w:val="none" w:sz="0" w:space="0" w:color="auto"/>
                                                                        <w:right w:val="none" w:sz="0" w:space="0" w:color="auto"/>
                                                                      </w:divBdr>
                                                                      <w:divsChild>
                                                                        <w:div w:id="1723014351">
                                                                          <w:marLeft w:val="0"/>
                                                                          <w:marRight w:val="0"/>
                                                                          <w:marTop w:val="0"/>
                                                                          <w:marBottom w:val="0"/>
                                                                          <w:divBdr>
                                                                            <w:top w:val="none" w:sz="0" w:space="0" w:color="auto"/>
                                                                            <w:left w:val="none" w:sz="0" w:space="0" w:color="auto"/>
                                                                            <w:bottom w:val="none" w:sz="0" w:space="0" w:color="auto"/>
                                                                            <w:right w:val="none" w:sz="0" w:space="0" w:color="auto"/>
                                                                          </w:divBdr>
                                                                          <w:divsChild>
                                                                            <w:div w:id="844445446">
                                                                              <w:marLeft w:val="0"/>
                                                                              <w:marRight w:val="0"/>
                                                                              <w:marTop w:val="0"/>
                                                                              <w:marBottom w:val="0"/>
                                                                              <w:divBdr>
                                                                                <w:top w:val="none" w:sz="0" w:space="0" w:color="auto"/>
                                                                                <w:left w:val="none" w:sz="0" w:space="0" w:color="auto"/>
                                                                                <w:bottom w:val="none" w:sz="0" w:space="0" w:color="auto"/>
                                                                                <w:right w:val="none" w:sz="0" w:space="0" w:color="auto"/>
                                                                              </w:divBdr>
                                                                              <w:divsChild>
                                                                                <w:div w:id="943921518">
                                                                                  <w:marLeft w:val="0"/>
                                                                                  <w:marRight w:val="0"/>
                                                                                  <w:marTop w:val="0"/>
                                                                                  <w:marBottom w:val="0"/>
                                                                                  <w:divBdr>
                                                                                    <w:top w:val="none" w:sz="0" w:space="0" w:color="auto"/>
                                                                                    <w:left w:val="none" w:sz="0" w:space="0" w:color="auto"/>
                                                                                    <w:bottom w:val="none" w:sz="0" w:space="0" w:color="auto"/>
                                                                                    <w:right w:val="none" w:sz="0" w:space="0" w:color="auto"/>
                                                                                  </w:divBdr>
                                                                                  <w:divsChild>
                                                                                    <w:div w:id="612906166">
                                                                                      <w:marLeft w:val="0"/>
                                                                                      <w:marRight w:val="0"/>
                                                                                      <w:marTop w:val="0"/>
                                                                                      <w:marBottom w:val="0"/>
                                                                                      <w:divBdr>
                                                                                        <w:top w:val="none" w:sz="0" w:space="0" w:color="auto"/>
                                                                                        <w:left w:val="none" w:sz="0" w:space="0" w:color="auto"/>
                                                                                        <w:bottom w:val="none" w:sz="0" w:space="0" w:color="auto"/>
                                                                                        <w:right w:val="none" w:sz="0" w:space="0" w:color="auto"/>
                                                                                      </w:divBdr>
                                                                                      <w:divsChild>
                                                                                        <w:div w:id="10853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ademy.itu.int/index.php?option=com_content&amp;view=article&amp;id=226&amp;catid=2&amp;lang=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DAG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0866C-2338-444C-BF0C-C1B3404B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PC_TDAG19.dotx</Template>
  <TotalTime>2</TotalTime>
  <Pages>3</Pages>
  <Words>1393</Words>
  <Characters>414</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 Bingyue</dc:creator>
  <cp:lastModifiedBy>Yuan, Tianxiang</cp:lastModifiedBy>
  <cp:revision>3</cp:revision>
  <cp:lastPrinted>2019-01-30T13:36:00Z</cp:lastPrinted>
  <dcterms:created xsi:type="dcterms:W3CDTF">2019-04-02T12:01:00Z</dcterms:created>
  <dcterms:modified xsi:type="dcterms:W3CDTF">2019-04-02T12:02:00Z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