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D93981" w:rsidRPr="00F97AA3" w:rsidTr="00AE02DD">
        <w:trPr>
          <w:cantSplit/>
          <w:trHeight w:val="1134"/>
        </w:trPr>
        <w:tc>
          <w:tcPr>
            <w:tcW w:w="7251" w:type="dxa"/>
          </w:tcPr>
          <w:p w:rsidR="0021438F" w:rsidRPr="00F97AA3" w:rsidRDefault="00F97B3F" w:rsidP="006E6213">
            <w:pPr>
              <w:tabs>
                <w:tab w:val="left" w:pos="1871"/>
                <w:tab w:val="left" w:pos="2268"/>
              </w:tabs>
              <w:spacing w:before="20" w:after="48"/>
              <w:ind w:left="34"/>
              <w:rPr>
                <w:b/>
                <w:bCs/>
                <w:sz w:val="32"/>
                <w:szCs w:val="32"/>
                <w:lang w:val="fr-FR"/>
              </w:rPr>
            </w:pPr>
            <w:r w:rsidRPr="00F97AA3">
              <w:rPr>
                <w:b/>
                <w:bCs/>
                <w:sz w:val="32"/>
                <w:szCs w:val="32"/>
                <w:lang w:val="fr-FR"/>
              </w:rPr>
              <w:t xml:space="preserve">Groupe consultatif pour le développement </w:t>
            </w:r>
            <w:r w:rsidRPr="00F97AA3">
              <w:rPr>
                <w:b/>
                <w:bCs/>
                <w:sz w:val="32"/>
                <w:szCs w:val="32"/>
                <w:lang w:val="fr-FR"/>
              </w:rPr>
              <w:br/>
              <w:t>des télécommunications (GCDT)</w:t>
            </w:r>
          </w:p>
          <w:p w:rsidR="0021438F" w:rsidRPr="00F97AA3" w:rsidRDefault="00F97B3F" w:rsidP="006E6213">
            <w:pPr>
              <w:tabs>
                <w:tab w:val="clear" w:pos="1191"/>
                <w:tab w:val="clear" w:pos="1588"/>
                <w:tab w:val="clear" w:pos="1985"/>
              </w:tabs>
              <w:spacing w:before="100" w:after="120"/>
              <w:ind w:left="34"/>
              <w:rPr>
                <w:rFonts w:ascii="Verdana" w:hAnsi="Verdana"/>
                <w:sz w:val="28"/>
                <w:szCs w:val="28"/>
                <w:lang w:val="fr-FR"/>
              </w:rPr>
            </w:pPr>
            <w:r w:rsidRPr="00F97AA3">
              <w:rPr>
                <w:b/>
                <w:bCs/>
                <w:sz w:val="26"/>
                <w:szCs w:val="26"/>
                <w:lang w:val="fr-FR"/>
              </w:rPr>
              <w:t>24ème réunion, Genève, 3-5 avril 2019</w:t>
            </w:r>
          </w:p>
        </w:tc>
        <w:tc>
          <w:tcPr>
            <w:tcW w:w="2996" w:type="dxa"/>
          </w:tcPr>
          <w:p w:rsidR="0021438F" w:rsidRPr="00F97AA3" w:rsidRDefault="00F97B3F" w:rsidP="006E6213">
            <w:pPr>
              <w:spacing w:before="0"/>
              <w:ind w:right="142"/>
              <w:jc w:val="right"/>
              <w:rPr>
                <w:lang w:val="fr-FR"/>
              </w:rPr>
            </w:pPr>
            <w:r w:rsidRPr="00F97AA3">
              <w:rPr>
                <w:noProof/>
                <w:color w:val="3399FF"/>
                <w:lang w:eastAsia="zh-CN"/>
              </w:rPr>
              <w:drawing>
                <wp:inline distT="0" distB="0" distL="0" distR="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8206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r w:rsidR="00D93981" w:rsidRPr="00F97AA3" w:rsidTr="000C61E9">
        <w:trPr>
          <w:cantSplit/>
        </w:trPr>
        <w:tc>
          <w:tcPr>
            <w:tcW w:w="7251" w:type="dxa"/>
            <w:tcBorders>
              <w:top w:val="single" w:sz="12" w:space="0" w:color="auto"/>
            </w:tcBorders>
          </w:tcPr>
          <w:p w:rsidR="00683C32" w:rsidRPr="00F97AA3" w:rsidRDefault="008A2E37" w:rsidP="006E6213">
            <w:pPr>
              <w:spacing w:before="0"/>
              <w:rPr>
                <w:rFonts w:cs="Arial"/>
                <w:b/>
                <w:bCs/>
                <w:sz w:val="20"/>
                <w:lang w:val="fr-FR"/>
              </w:rPr>
            </w:pPr>
          </w:p>
        </w:tc>
        <w:tc>
          <w:tcPr>
            <w:tcW w:w="2996" w:type="dxa"/>
            <w:tcBorders>
              <w:top w:val="single" w:sz="12" w:space="0" w:color="auto"/>
            </w:tcBorders>
          </w:tcPr>
          <w:p w:rsidR="00683C32" w:rsidRPr="00F97AA3" w:rsidRDefault="008A2E37" w:rsidP="006E6213">
            <w:pPr>
              <w:spacing w:before="0"/>
              <w:rPr>
                <w:b/>
                <w:bCs/>
                <w:sz w:val="20"/>
                <w:lang w:val="fr-FR"/>
              </w:rPr>
            </w:pPr>
          </w:p>
        </w:tc>
      </w:tr>
      <w:tr w:rsidR="00D93981" w:rsidRPr="00F97AA3" w:rsidTr="000C61E9">
        <w:trPr>
          <w:cantSplit/>
        </w:trPr>
        <w:tc>
          <w:tcPr>
            <w:tcW w:w="7251" w:type="dxa"/>
          </w:tcPr>
          <w:p w:rsidR="00683C32" w:rsidRPr="00F97AA3" w:rsidRDefault="008A2E37" w:rsidP="006E6213">
            <w:pPr>
              <w:pStyle w:val="Committee"/>
              <w:spacing w:before="0"/>
              <w:rPr>
                <w:b w:val="0"/>
                <w:szCs w:val="24"/>
                <w:lang w:val="fr-FR"/>
              </w:rPr>
            </w:pPr>
          </w:p>
        </w:tc>
        <w:tc>
          <w:tcPr>
            <w:tcW w:w="2996" w:type="dxa"/>
          </w:tcPr>
          <w:p w:rsidR="00683C32" w:rsidRPr="00F97AA3" w:rsidRDefault="006E79DD" w:rsidP="006E6213">
            <w:pPr>
              <w:spacing w:before="0"/>
              <w:rPr>
                <w:bCs/>
                <w:szCs w:val="24"/>
                <w:lang w:val="fr-FR"/>
              </w:rPr>
            </w:pPr>
            <w:r>
              <w:rPr>
                <w:b/>
                <w:bCs/>
                <w:szCs w:val="28"/>
                <w:lang w:val="fr-FR"/>
              </w:rPr>
              <w:t>Révision 1 du</w:t>
            </w:r>
            <w:r>
              <w:rPr>
                <w:b/>
                <w:bCs/>
                <w:szCs w:val="28"/>
                <w:lang w:val="fr-FR"/>
              </w:rPr>
              <w:br/>
            </w:r>
            <w:r w:rsidR="00F97B3F" w:rsidRPr="00F97AA3">
              <w:rPr>
                <w:b/>
                <w:bCs/>
                <w:szCs w:val="28"/>
                <w:lang w:val="fr-FR"/>
              </w:rPr>
              <w:t>Document TDAG-19/17-F</w:t>
            </w:r>
          </w:p>
        </w:tc>
      </w:tr>
      <w:tr w:rsidR="00D93981" w:rsidRPr="00F97AA3" w:rsidTr="000C61E9">
        <w:trPr>
          <w:cantSplit/>
        </w:trPr>
        <w:tc>
          <w:tcPr>
            <w:tcW w:w="7251" w:type="dxa"/>
          </w:tcPr>
          <w:p w:rsidR="00683C32" w:rsidRPr="00F97AA3" w:rsidRDefault="008A2E37" w:rsidP="006E6213">
            <w:pPr>
              <w:spacing w:before="0"/>
              <w:rPr>
                <w:b/>
                <w:bCs/>
                <w:smallCaps/>
                <w:szCs w:val="24"/>
                <w:lang w:val="fr-FR"/>
              </w:rPr>
            </w:pPr>
          </w:p>
        </w:tc>
        <w:tc>
          <w:tcPr>
            <w:tcW w:w="2996" w:type="dxa"/>
          </w:tcPr>
          <w:p w:rsidR="00683C32" w:rsidRPr="00F97AA3" w:rsidRDefault="006E79DD" w:rsidP="006E6213">
            <w:pPr>
              <w:spacing w:before="0"/>
              <w:rPr>
                <w:b/>
                <w:szCs w:val="24"/>
                <w:lang w:val="fr-FR"/>
              </w:rPr>
            </w:pPr>
            <w:bookmarkStart w:id="0" w:name="CreationDate"/>
            <w:bookmarkEnd w:id="0"/>
            <w:r>
              <w:rPr>
                <w:b/>
                <w:bCs/>
                <w:szCs w:val="28"/>
                <w:lang w:val="fr-FR"/>
              </w:rPr>
              <w:t>2 avril</w:t>
            </w:r>
            <w:r w:rsidR="00F97B3F" w:rsidRPr="00F97AA3">
              <w:rPr>
                <w:b/>
                <w:bCs/>
                <w:szCs w:val="28"/>
                <w:lang w:val="fr-FR"/>
              </w:rPr>
              <w:t xml:space="preserve"> 2019</w:t>
            </w:r>
          </w:p>
        </w:tc>
      </w:tr>
      <w:tr w:rsidR="00D93981" w:rsidRPr="00F97AA3" w:rsidTr="000C61E9">
        <w:trPr>
          <w:cantSplit/>
        </w:trPr>
        <w:tc>
          <w:tcPr>
            <w:tcW w:w="7251" w:type="dxa"/>
          </w:tcPr>
          <w:p w:rsidR="00683C32" w:rsidRPr="00F97AA3" w:rsidRDefault="008A2E37" w:rsidP="006E6213">
            <w:pPr>
              <w:spacing w:before="0"/>
              <w:rPr>
                <w:b/>
                <w:bCs/>
                <w:smallCaps/>
                <w:szCs w:val="24"/>
                <w:lang w:val="fr-FR"/>
              </w:rPr>
            </w:pPr>
          </w:p>
        </w:tc>
        <w:tc>
          <w:tcPr>
            <w:tcW w:w="2996" w:type="dxa"/>
          </w:tcPr>
          <w:p w:rsidR="00514D2F" w:rsidRPr="00F97AA3" w:rsidRDefault="00F97B3F" w:rsidP="006E6213">
            <w:pPr>
              <w:spacing w:before="0"/>
              <w:rPr>
                <w:szCs w:val="24"/>
                <w:lang w:val="fr-FR"/>
              </w:rPr>
            </w:pPr>
            <w:r w:rsidRPr="00F97AA3">
              <w:rPr>
                <w:b/>
                <w:bCs/>
                <w:szCs w:val="24"/>
                <w:lang w:val="fr-FR"/>
              </w:rPr>
              <w:t xml:space="preserve">Original: </w:t>
            </w:r>
            <w:bookmarkStart w:id="1" w:name="Original"/>
            <w:bookmarkEnd w:id="1"/>
            <w:r w:rsidRPr="00F97AA3">
              <w:rPr>
                <w:b/>
                <w:bCs/>
                <w:szCs w:val="24"/>
                <w:lang w:val="fr-FR"/>
              </w:rPr>
              <w:t>anglais</w:t>
            </w:r>
          </w:p>
        </w:tc>
      </w:tr>
      <w:tr w:rsidR="00D93981" w:rsidRPr="00F97AA3" w:rsidTr="000C61E9">
        <w:trPr>
          <w:cantSplit/>
          <w:trHeight w:val="852"/>
        </w:trPr>
        <w:tc>
          <w:tcPr>
            <w:tcW w:w="10247" w:type="dxa"/>
            <w:gridSpan w:val="2"/>
          </w:tcPr>
          <w:p w:rsidR="00A13162" w:rsidRPr="00F97AA3" w:rsidRDefault="006E79DD" w:rsidP="006E6213">
            <w:pPr>
              <w:pStyle w:val="Source"/>
              <w:rPr>
                <w:lang w:val="fr-FR"/>
              </w:rPr>
            </w:pPr>
            <w:bookmarkStart w:id="2" w:name="Source"/>
            <w:bookmarkEnd w:id="2"/>
            <w:r>
              <w:rPr>
                <w:lang w:val="fr-FR"/>
              </w:rPr>
              <w:t>Président du Groupe sur les initiatives pour le renforcement des capacités (GCBI)</w:t>
            </w:r>
          </w:p>
        </w:tc>
      </w:tr>
      <w:tr w:rsidR="00D93981" w:rsidRPr="00F97AA3" w:rsidTr="000C61E9">
        <w:trPr>
          <w:cantSplit/>
        </w:trPr>
        <w:tc>
          <w:tcPr>
            <w:tcW w:w="10247" w:type="dxa"/>
            <w:gridSpan w:val="2"/>
          </w:tcPr>
          <w:p w:rsidR="00AC6F14" w:rsidRPr="00F97AA3" w:rsidRDefault="00F97B3F" w:rsidP="006E6213">
            <w:pPr>
              <w:pStyle w:val="Title1"/>
              <w:rPr>
                <w:lang w:val="fr-FR"/>
              </w:rPr>
            </w:pPr>
            <w:bookmarkStart w:id="3" w:name="Title"/>
            <w:bookmarkEnd w:id="3"/>
            <w:r w:rsidRPr="00F97AA3">
              <w:rPr>
                <w:lang w:val="fr-FR"/>
              </w:rPr>
              <w:t xml:space="preserve">RAPPORT SUR LES TRAVAUX DU GROUPE SUR LES INITIATIVES </w:t>
            </w:r>
            <w:r w:rsidR="006E6213">
              <w:rPr>
                <w:lang w:val="fr-FR"/>
              </w:rPr>
              <w:br/>
            </w:r>
            <w:r w:rsidRPr="00F97AA3">
              <w:rPr>
                <w:lang w:val="fr-FR"/>
              </w:rPr>
              <w:t>POUR</w:t>
            </w:r>
            <w:r w:rsidR="006E6213">
              <w:rPr>
                <w:lang w:val="fr-FR"/>
              </w:rPr>
              <w:t xml:space="preserve"> </w:t>
            </w:r>
            <w:r w:rsidRPr="00F97AA3">
              <w:rPr>
                <w:lang w:val="fr-FR"/>
              </w:rPr>
              <w:t>LE RENFORCEMENT DES CAPACITÉS (GCBI) AU GCDT</w:t>
            </w:r>
          </w:p>
        </w:tc>
      </w:tr>
      <w:tr w:rsidR="00D93981" w:rsidRPr="00F97AA3" w:rsidTr="000C61E9">
        <w:trPr>
          <w:cantSplit/>
        </w:trPr>
        <w:tc>
          <w:tcPr>
            <w:tcW w:w="10247" w:type="dxa"/>
            <w:gridSpan w:val="2"/>
            <w:tcBorders>
              <w:bottom w:val="single" w:sz="4" w:space="0" w:color="auto"/>
            </w:tcBorders>
          </w:tcPr>
          <w:p w:rsidR="00A721F4" w:rsidRPr="00F97AA3" w:rsidRDefault="008A2E37" w:rsidP="006E6213">
            <w:pPr>
              <w:rPr>
                <w:lang w:val="fr-FR"/>
              </w:rPr>
            </w:pPr>
          </w:p>
        </w:tc>
      </w:tr>
      <w:tr w:rsidR="00D93981" w:rsidRPr="00F97AA3"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F97AA3" w:rsidRDefault="00F97B3F" w:rsidP="006E6213">
            <w:pPr>
              <w:rPr>
                <w:b/>
                <w:bCs/>
                <w:szCs w:val="24"/>
                <w:lang w:val="fr-FR"/>
              </w:rPr>
            </w:pPr>
            <w:r w:rsidRPr="00F97AA3">
              <w:rPr>
                <w:b/>
                <w:bCs/>
                <w:szCs w:val="24"/>
                <w:lang w:val="fr-FR"/>
              </w:rPr>
              <w:t>Résumé:</w:t>
            </w:r>
          </w:p>
          <w:p w:rsidR="00A721F4" w:rsidRPr="00F97AA3" w:rsidRDefault="00F97B3F" w:rsidP="006E6213">
            <w:pPr>
              <w:rPr>
                <w:szCs w:val="24"/>
                <w:lang w:val="fr-FR"/>
              </w:rPr>
            </w:pPr>
            <w:r w:rsidRPr="00F97AA3">
              <w:rPr>
                <w:color w:val="000000"/>
                <w:lang w:val="fr-FR"/>
              </w:rPr>
              <w:t xml:space="preserve">Le présent document traite des travaux entrepris par le Groupe sur les initiatives pour le renforcement des capacités (GCBI). </w:t>
            </w:r>
            <w:r w:rsidRPr="00F97AA3">
              <w:rPr>
                <w:szCs w:val="24"/>
                <w:lang w:val="fr-FR"/>
              </w:rPr>
              <w:t xml:space="preserve">Ce Groupe a été </w:t>
            </w:r>
            <w:r w:rsidR="006E6213">
              <w:rPr>
                <w:szCs w:val="24"/>
                <w:lang w:val="fr-FR"/>
              </w:rPr>
              <w:t>créé</w:t>
            </w:r>
            <w:r w:rsidRPr="00F97AA3">
              <w:rPr>
                <w:szCs w:val="24"/>
                <w:lang w:val="fr-FR"/>
              </w:rPr>
              <w:t xml:space="preserve"> en application de la Résolution 40, adoptée par la Conférence mondiale de développement des télécommunications de 2010 (CMDT-10) et </w:t>
            </w:r>
            <w:r w:rsidR="006E6213">
              <w:rPr>
                <w:szCs w:val="24"/>
                <w:lang w:val="fr-FR"/>
              </w:rPr>
              <w:t>révis</w:t>
            </w:r>
            <w:r w:rsidRPr="00F97AA3">
              <w:rPr>
                <w:szCs w:val="24"/>
                <w:lang w:val="fr-FR"/>
              </w:rPr>
              <w:t>ée par la</w:t>
            </w:r>
            <w:r w:rsidR="006E6213">
              <w:rPr>
                <w:szCs w:val="24"/>
                <w:lang w:val="fr-FR"/>
              </w:rPr>
              <w:t> </w:t>
            </w:r>
            <w:r w:rsidRPr="00F97AA3">
              <w:rPr>
                <w:szCs w:val="24"/>
                <w:lang w:val="fr-FR"/>
              </w:rPr>
              <w:t>CMDT-17, en vue de donner des avis au Directeur du Bureau de développement des télécommunications (BDT) sur les questions liées au renforcement des capacités.</w:t>
            </w:r>
          </w:p>
          <w:p w:rsidR="00A721F4" w:rsidRPr="00F97AA3" w:rsidRDefault="00F97B3F" w:rsidP="006E6213">
            <w:pPr>
              <w:rPr>
                <w:b/>
                <w:bCs/>
                <w:szCs w:val="24"/>
                <w:lang w:val="fr-FR"/>
              </w:rPr>
            </w:pPr>
            <w:r w:rsidRPr="00F97AA3">
              <w:rPr>
                <w:b/>
                <w:bCs/>
                <w:szCs w:val="24"/>
                <w:lang w:val="fr-FR"/>
              </w:rPr>
              <w:t>Suite à donner:</w:t>
            </w:r>
          </w:p>
          <w:p w:rsidR="00A721F4" w:rsidRPr="00F97AA3" w:rsidRDefault="00F97B3F" w:rsidP="006E6213">
            <w:pPr>
              <w:rPr>
                <w:szCs w:val="24"/>
                <w:lang w:val="fr-FR"/>
              </w:rPr>
            </w:pPr>
            <w:r w:rsidRPr="00F97AA3">
              <w:rPr>
                <w:color w:val="000000"/>
                <w:lang w:val="fr-FR"/>
              </w:rPr>
              <w:t>Le GCDT est invité à prendre note du présent document et à fournir les indications qu'il jugera utiles</w:t>
            </w:r>
            <w:r w:rsidRPr="00F97AA3">
              <w:rPr>
                <w:szCs w:val="24"/>
                <w:lang w:val="fr-FR"/>
              </w:rPr>
              <w:t>.</w:t>
            </w:r>
          </w:p>
          <w:p w:rsidR="00A721F4" w:rsidRPr="00F97AA3" w:rsidRDefault="00F97B3F" w:rsidP="006E6213">
            <w:pPr>
              <w:rPr>
                <w:b/>
                <w:bCs/>
                <w:szCs w:val="24"/>
                <w:lang w:val="fr-FR"/>
              </w:rPr>
            </w:pPr>
            <w:r w:rsidRPr="00F97AA3">
              <w:rPr>
                <w:b/>
                <w:bCs/>
                <w:szCs w:val="24"/>
                <w:lang w:val="fr-FR"/>
              </w:rPr>
              <w:t>Références:</w:t>
            </w:r>
          </w:p>
          <w:p w:rsidR="00076943" w:rsidRPr="00F97AA3" w:rsidRDefault="00F97B3F" w:rsidP="006E6213">
            <w:pPr>
              <w:rPr>
                <w:lang w:val="fr-FR"/>
              </w:rPr>
            </w:pPr>
            <w:r w:rsidRPr="00F97AA3">
              <w:rPr>
                <w:lang w:val="fr-FR"/>
              </w:rPr>
              <w:t>Résolution 40 (Rév. Buenos Aires, 2017) de la CMDT, intitulée "Groupe sur les initiatives pour le renforcement des capacités"</w:t>
            </w:r>
          </w:p>
          <w:p w:rsidR="00076943" w:rsidRPr="00F97AA3" w:rsidRDefault="00F97B3F" w:rsidP="006E6213">
            <w:pPr>
              <w:rPr>
                <w:lang w:val="fr-FR"/>
              </w:rPr>
            </w:pPr>
            <w:r w:rsidRPr="00F97AA3">
              <w:rPr>
                <w:lang w:val="fr-FR"/>
              </w:rPr>
              <w:t>Résolution 73 (Rév. Buenos Aires, 2017) de la CMDT, intitulée "Centres d'excellence de l'UIT"</w:t>
            </w:r>
          </w:p>
          <w:p w:rsidR="00A721F4" w:rsidRPr="00F97AA3" w:rsidRDefault="00F97B3F" w:rsidP="006E6213">
            <w:pPr>
              <w:spacing w:after="120"/>
              <w:rPr>
                <w:lang w:val="fr-FR"/>
              </w:rPr>
            </w:pPr>
            <w:r w:rsidRPr="00F97AA3">
              <w:rPr>
                <w:lang w:val="fr-FR"/>
              </w:rPr>
              <w:t>Résolution 169 (Rév. Dubaï, 2018) de la Conférence de plénipotentiaires, intitulée "Admission d'établissements universitaires à participer aux travaux de l'Union"</w:t>
            </w:r>
          </w:p>
        </w:tc>
      </w:tr>
    </w:tbl>
    <w:p w:rsidR="00076943" w:rsidRPr="00F97AA3" w:rsidRDefault="00F97B3F" w:rsidP="006E6213">
      <w:pPr>
        <w:tabs>
          <w:tab w:val="clear" w:pos="794"/>
          <w:tab w:val="clear" w:pos="1191"/>
          <w:tab w:val="clear" w:pos="1588"/>
          <w:tab w:val="clear" w:pos="1985"/>
        </w:tabs>
        <w:spacing w:after="120"/>
        <w:jc w:val="center"/>
        <w:rPr>
          <w:lang w:val="fr-FR"/>
        </w:rPr>
      </w:pPr>
      <w:bookmarkStart w:id="4" w:name="Proposal"/>
      <w:bookmarkEnd w:id="4"/>
      <w:r w:rsidRPr="00F97AA3">
        <w:rPr>
          <w:lang w:val="fr-FR"/>
        </w:rPr>
        <w:br w:type="page"/>
      </w:r>
    </w:p>
    <w:p w:rsidR="00836BDB" w:rsidRPr="00F97AA3" w:rsidRDefault="00F97B3F" w:rsidP="006E6213">
      <w:pPr>
        <w:tabs>
          <w:tab w:val="clear" w:pos="794"/>
          <w:tab w:val="clear" w:pos="1191"/>
          <w:tab w:val="clear" w:pos="1588"/>
          <w:tab w:val="clear" w:pos="1985"/>
        </w:tabs>
        <w:spacing w:after="120"/>
        <w:rPr>
          <w:lang w:val="fr-FR"/>
        </w:rPr>
      </w:pPr>
      <w:r w:rsidRPr="00F97AA3">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CMDT-17, en vue de donner des avis au Directeur du Bureau de développement des télécommunications (BDT) sur les questions relatives au renforcement des capacités.</w:t>
      </w:r>
    </w:p>
    <w:p w:rsidR="00076943" w:rsidRPr="00040A53" w:rsidRDefault="00F97B3F" w:rsidP="006E6213">
      <w:pPr>
        <w:pStyle w:val="Heading1"/>
        <w:rPr>
          <w:bCs/>
          <w:szCs w:val="28"/>
          <w:lang w:val="fr-FR"/>
        </w:rPr>
      </w:pPr>
      <w:r w:rsidRPr="00040A53">
        <w:rPr>
          <w:bCs/>
          <w:szCs w:val="28"/>
          <w:lang w:val="fr-FR"/>
        </w:rPr>
        <w:t>1</w:t>
      </w:r>
      <w:r w:rsidRPr="00040A53">
        <w:rPr>
          <w:bCs/>
          <w:szCs w:val="28"/>
          <w:lang w:val="fr-FR"/>
        </w:rPr>
        <w:tab/>
      </w:r>
      <w:r w:rsidR="00B05D34" w:rsidRPr="00040A53">
        <w:rPr>
          <w:bCs/>
          <w:szCs w:val="28"/>
          <w:lang w:val="fr-FR"/>
        </w:rPr>
        <w:t xml:space="preserve">Rapport </w:t>
      </w:r>
      <w:r w:rsidR="00FA17D7" w:rsidRPr="00040A53">
        <w:rPr>
          <w:bCs/>
          <w:szCs w:val="28"/>
          <w:lang w:val="fr-FR"/>
        </w:rPr>
        <w:t>de</w:t>
      </w:r>
      <w:r w:rsidR="00B05D34" w:rsidRPr="00040A53">
        <w:rPr>
          <w:bCs/>
          <w:szCs w:val="28"/>
          <w:lang w:val="fr-FR"/>
        </w:rPr>
        <w:t xml:space="preserve"> la 6ème réunion du Groupe GCBI (27-28 février 2018)</w:t>
      </w:r>
    </w:p>
    <w:p w:rsidR="00076943" w:rsidRPr="00F97AA3" w:rsidRDefault="00E10CAD" w:rsidP="006E6213">
      <w:pPr>
        <w:rPr>
          <w:lang w:val="fr-FR"/>
        </w:rPr>
      </w:pPr>
      <w:r w:rsidRPr="00F97AA3">
        <w:rPr>
          <w:lang w:val="fr-FR"/>
        </w:rPr>
        <w:t>Le Groupe GCBI a tenu sa 6ème réunion les 27 et 28 février 2018 à Genève.</w:t>
      </w:r>
      <w:r w:rsidR="00F97B3F" w:rsidRPr="00F97AA3">
        <w:rPr>
          <w:lang w:val="fr-FR"/>
        </w:rPr>
        <w:t xml:space="preserve"> </w:t>
      </w:r>
      <w:r w:rsidR="00FE07A9" w:rsidRPr="00F97AA3">
        <w:rPr>
          <w:lang w:val="fr-FR"/>
        </w:rPr>
        <w:t>Il a examiné les éléments suivants:</w:t>
      </w:r>
    </w:p>
    <w:p w:rsidR="00076943" w:rsidRPr="00F97AA3" w:rsidRDefault="00F97B3F" w:rsidP="006E6213">
      <w:pPr>
        <w:pStyle w:val="enumlev1"/>
        <w:rPr>
          <w:lang w:val="fr-FR"/>
        </w:rPr>
      </w:pPr>
      <w:r w:rsidRPr="00F97AA3">
        <w:rPr>
          <w:lang w:val="fr-FR"/>
        </w:rPr>
        <w:t>–</w:t>
      </w:r>
      <w:r w:rsidRPr="00F97AA3">
        <w:rPr>
          <w:lang w:val="fr-FR"/>
        </w:rPr>
        <w:tab/>
      </w:r>
      <w:r w:rsidR="00FA17D7" w:rsidRPr="00F97AA3">
        <w:rPr>
          <w:lang w:val="fr-FR"/>
        </w:rPr>
        <w:t>T</w:t>
      </w:r>
      <w:r w:rsidR="0009785C" w:rsidRPr="00F97AA3">
        <w:rPr>
          <w:lang w:val="fr-FR"/>
        </w:rPr>
        <w:t>hèmes de travail futurs</w:t>
      </w:r>
      <w:r w:rsidR="00FA17D7" w:rsidRPr="00F97AA3">
        <w:rPr>
          <w:lang w:val="fr-FR"/>
        </w:rPr>
        <w:t xml:space="preserve"> du groupe</w:t>
      </w:r>
      <w:r w:rsidR="0009785C" w:rsidRPr="00F97AA3">
        <w:rPr>
          <w:lang w:val="fr-FR"/>
        </w:rPr>
        <w:t>, résultats de la CMDT-17 et révision du document relatif aux processus et procédures opérationnels applicables au réseau de</w:t>
      </w:r>
      <w:r w:rsidR="00FA17D7" w:rsidRPr="00F97AA3">
        <w:rPr>
          <w:lang w:val="fr-FR"/>
        </w:rPr>
        <w:t>s</w:t>
      </w:r>
      <w:r w:rsidR="0009785C" w:rsidRPr="00F97AA3">
        <w:rPr>
          <w:lang w:val="fr-FR"/>
        </w:rPr>
        <w:t xml:space="preserve"> Centres d'excellence de l'UIT.</w:t>
      </w:r>
      <w:r w:rsidRPr="00F97AA3">
        <w:rPr>
          <w:lang w:val="fr-FR"/>
        </w:rPr>
        <w:t xml:space="preserve"> </w:t>
      </w:r>
    </w:p>
    <w:p w:rsidR="00076943" w:rsidRPr="00F97AA3" w:rsidRDefault="00F97B3F" w:rsidP="006E6213">
      <w:pPr>
        <w:pStyle w:val="enumlev1"/>
        <w:rPr>
          <w:lang w:val="fr-FR"/>
        </w:rPr>
      </w:pPr>
      <w:r w:rsidRPr="00F97AA3">
        <w:rPr>
          <w:lang w:val="fr-FR"/>
        </w:rPr>
        <w:t>–</w:t>
      </w:r>
      <w:r w:rsidRPr="00F97AA3">
        <w:rPr>
          <w:lang w:val="fr-FR"/>
        </w:rPr>
        <w:tab/>
      </w:r>
      <w:r w:rsidR="002F0618" w:rsidRPr="00F97AA3">
        <w:rPr>
          <w:lang w:val="fr-FR"/>
        </w:rPr>
        <w:t xml:space="preserve">En ce qui concerne le document </w:t>
      </w:r>
      <w:r w:rsidR="006E6213">
        <w:rPr>
          <w:lang w:val="fr-FR"/>
        </w:rPr>
        <w:t xml:space="preserve">révisé </w:t>
      </w:r>
      <w:r w:rsidR="002F0618" w:rsidRPr="00F97AA3">
        <w:rPr>
          <w:lang w:val="fr-FR"/>
        </w:rPr>
        <w:t>relatif aux processus et procédures opérationnels applicables au réseau de</w:t>
      </w:r>
      <w:r w:rsidR="00FA17D7" w:rsidRPr="00F97AA3">
        <w:rPr>
          <w:lang w:val="fr-FR"/>
        </w:rPr>
        <w:t>s</w:t>
      </w:r>
      <w:r w:rsidR="002F0618" w:rsidRPr="00F97AA3">
        <w:rPr>
          <w:lang w:val="fr-FR"/>
        </w:rPr>
        <w:t xml:space="preserve"> Centres d'excellence qui a été présenté au Secrétariat, après un examen détaillé par le Groupe GCBI, ledit document a été adopté et considéré comme un bon point de départ pour la mise en </w:t>
      </w:r>
      <w:r w:rsidR="006E6213">
        <w:rPr>
          <w:lang w:val="fr-FR"/>
        </w:rPr>
        <w:t>oe</w:t>
      </w:r>
      <w:r w:rsidR="002F0618" w:rsidRPr="00F97AA3">
        <w:rPr>
          <w:lang w:val="fr-FR"/>
        </w:rPr>
        <w:t>uvre du réseau des Centres d'excellence pour le prochain cycle d'études.</w:t>
      </w:r>
      <w:r w:rsidRPr="00F97AA3">
        <w:rPr>
          <w:lang w:val="fr-FR"/>
        </w:rPr>
        <w:t xml:space="preserve"> </w:t>
      </w:r>
      <w:r w:rsidR="00F951B8" w:rsidRPr="00F97AA3">
        <w:rPr>
          <w:lang w:val="fr-FR"/>
        </w:rPr>
        <w:t xml:space="preserve">Pour ce qui est de la sélection de nouveaux Centres d'excellence pour le prochain cycle d'études, le groupe a approuvé le calendrier proposé pour la mise en </w:t>
      </w:r>
      <w:r w:rsidR="006E6213">
        <w:rPr>
          <w:lang w:val="fr-FR"/>
        </w:rPr>
        <w:t>oe</w:t>
      </w:r>
      <w:r w:rsidR="00F951B8" w:rsidRPr="00F97AA3">
        <w:rPr>
          <w:lang w:val="fr-FR"/>
        </w:rPr>
        <w:t xml:space="preserve">uvre de </w:t>
      </w:r>
      <w:r w:rsidR="00FA17D7" w:rsidRPr="00F97AA3">
        <w:rPr>
          <w:lang w:val="fr-FR"/>
        </w:rPr>
        <w:t>l'ensemble</w:t>
      </w:r>
      <w:r w:rsidR="00F951B8" w:rsidRPr="00F97AA3">
        <w:rPr>
          <w:lang w:val="fr-FR"/>
        </w:rPr>
        <w:t xml:space="preserve"> du processus.</w:t>
      </w:r>
    </w:p>
    <w:p w:rsidR="00076943" w:rsidRPr="00F97AA3" w:rsidRDefault="00F97B3F" w:rsidP="00040A53">
      <w:pPr>
        <w:pStyle w:val="enumlev1"/>
        <w:rPr>
          <w:lang w:val="fr-FR"/>
        </w:rPr>
      </w:pPr>
      <w:r w:rsidRPr="00F97AA3">
        <w:rPr>
          <w:lang w:val="fr-FR"/>
        </w:rPr>
        <w:t>–</w:t>
      </w:r>
      <w:r w:rsidRPr="00F97AA3">
        <w:rPr>
          <w:lang w:val="fr-FR"/>
        </w:rPr>
        <w:tab/>
      </w:r>
      <w:r w:rsidR="00023BDE" w:rsidRPr="00F97AA3">
        <w:rPr>
          <w:lang w:val="fr-FR"/>
        </w:rPr>
        <w:t>Fin du mandat des membres du Groupe GCBI:</w:t>
      </w:r>
      <w:r w:rsidRPr="00F97AA3">
        <w:rPr>
          <w:lang w:val="fr-FR"/>
        </w:rPr>
        <w:t xml:space="preserve"> </w:t>
      </w:r>
      <w:r w:rsidR="00040A53">
        <w:rPr>
          <w:lang w:val="fr-FR"/>
        </w:rPr>
        <w:t>l</w:t>
      </w:r>
      <w:r w:rsidR="00B83DDB" w:rsidRPr="00F97AA3">
        <w:rPr>
          <w:lang w:val="fr-FR"/>
        </w:rPr>
        <w:t>e groupe a pris note que le premier mandat des membres du Groupe GCBI arriverait à</w:t>
      </w:r>
      <w:r w:rsidR="00FA17D7" w:rsidRPr="00F97AA3">
        <w:rPr>
          <w:lang w:val="fr-FR"/>
        </w:rPr>
        <w:t xml:space="preserve"> son</w:t>
      </w:r>
      <w:r w:rsidR="00B83DDB" w:rsidRPr="00F97AA3">
        <w:rPr>
          <w:lang w:val="fr-FR"/>
        </w:rPr>
        <w:t xml:space="preserve"> terme en décembre 2018 et que l'appel à candidatures pour les quatre prochaines années serait </w:t>
      </w:r>
      <w:r w:rsidR="00FA17D7" w:rsidRPr="00F97AA3">
        <w:rPr>
          <w:lang w:val="fr-FR"/>
        </w:rPr>
        <w:t>lancé</w:t>
      </w:r>
      <w:r w:rsidR="00B83DDB" w:rsidRPr="00F97AA3">
        <w:rPr>
          <w:lang w:val="fr-FR"/>
        </w:rPr>
        <w:t>.</w:t>
      </w:r>
    </w:p>
    <w:p w:rsidR="00076943" w:rsidRPr="00F97AA3" w:rsidRDefault="00F97B3F" w:rsidP="00040A53">
      <w:pPr>
        <w:pStyle w:val="enumlev1"/>
        <w:rPr>
          <w:rFonts w:ascii="Calibri" w:eastAsia="SimSun" w:hAnsi="Calibri" w:cs="Traditional Arabic"/>
          <w:lang w:val="fr-FR"/>
        </w:rPr>
      </w:pPr>
      <w:r w:rsidRPr="00F97AA3">
        <w:rPr>
          <w:rFonts w:ascii="Calibri" w:eastAsia="SimSun" w:hAnsi="Calibri" w:cs="Traditional Arabic"/>
          <w:lang w:val="fr-FR"/>
        </w:rPr>
        <w:t>–</w:t>
      </w:r>
      <w:r w:rsidRPr="00F97AA3">
        <w:rPr>
          <w:rFonts w:ascii="Calibri" w:eastAsia="SimSun" w:hAnsi="Calibri" w:cs="Traditional Arabic"/>
          <w:lang w:val="fr-FR"/>
        </w:rPr>
        <w:tab/>
      </w:r>
      <w:r w:rsidR="006E6213">
        <w:rPr>
          <w:rFonts w:ascii="Calibri" w:eastAsia="SimSun" w:hAnsi="Calibri" w:cs="Traditional Arabic"/>
          <w:lang w:val="fr-FR"/>
        </w:rPr>
        <w:t>E</w:t>
      </w:r>
      <w:r w:rsidR="00B96113" w:rsidRPr="00F97AA3">
        <w:rPr>
          <w:rFonts w:ascii="Calibri" w:eastAsia="SimSun" w:hAnsi="Calibri" w:cs="Traditional Arabic"/>
          <w:lang w:val="fr-FR"/>
        </w:rPr>
        <w:t>change</w:t>
      </w:r>
      <w:r w:rsidR="00E748F1" w:rsidRPr="00F97AA3">
        <w:rPr>
          <w:rFonts w:ascii="Calibri" w:eastAsia="SimSun" w:hAnsi="Calibri" w:cs="Traditional Arabic"/>
          <w:lang w:val="fr-FR"/>
        </w:rPr>
        <w:t xml:space="preserve"> de données d'expérience au niveau régional:</w:t>
      </w:r>
      <w:r w:rsidRPr="00F97AA3">
        <w:rPr>
          <w:rFonts w:ascii="Calibri" w:eastAsia="SimSun" w:hAnsi="Calibri" w:cs="Traditional Arabic"/>
          <w:lang w:val="fr-FR"/>
        </w:rPr>
        <w:t xml:space="preserve"> </w:t>
      </w:r>
      <w:r w:rsidR="00040A53">
        <w:rPr>
          <w:rFonts w:ascii="Calibri" w:eastAsia="SimSun" w:hAnsi="Calibri" w:cs="Traditional Arabic"/>
          <w:lang w:val="fr-FR"/>
        </w:rPr>
        <w:t>l</w:t>
      </w:r>
      <w:r w:rsidR="00A43376" w:rsidRPr="00F97AA3">
        <w:rPr>
          <w:rFonts w:ascii="Calibri" w:eastAsia="SimSun" w:hAnsi="Calibri" w:cs="Traditional Arabic"/>
          <w:lang w:val="fr-FR"/>
        </w:rPr>
        <w:t xml:space="preserve">es membres du groupe ont présenté des exposés sur leur région respective. </w:t>
      </w:r>
      <w:r w:rsidR="00FA17D7" w:rsidRPr="00F97AA3">
        <w:rPr>
          <w:rFonts w:ascii="Calibri" w:eastAsia="SimSun" w:hAnsi="Calibri" w:cs="Traditional Arabic"/>
          <w:lang w:val="fr-FR"/>
        </w:rPr>
        <w:t>C</w:t>
      </w:r>
      <w:r w:rsidR="00A43376" w:rsidRPr="00F97AA3">
        <w:rPr>
          <w:rFonts w:ascii="Calibri" w:eastAsia="SimSun" w:hAnsi="Calibri" w:cs="Traditional Arabic"/>
          <w:lang w:val="fr-FR"/>
        </w:rPr>
        <w:t xml:space="preserve">es exposés </w:t>
      </w:r>
      <w:r w:rsidR="00FA17D7" w:rsidRPr="00F97AA3">
        <w:rPr>
          <w:rFonts w:ascii="Calibri" w:eastAsia="SimSun" w:hAnsi="Calibri" w:cs="Traditional Arabic"/>
          <w:lang w:val="fr-FR"/>
        </w:rPr>
        <w:t xml:space="preserve">ainsi que les </w:t>
      </w:r>
      <w:r w:rsidR="00A43376" w:rsidRPr="00F97AA3">
        <w:rPr>
          <w:rFonts w:ascii="Calibri" w:eastAsia="SimSun" w:hAnsi="Calibri" w:cs="Traditional Arabic"/>
          <w:lang w:val="fr-FR"/>
        </w:rPr>
        <w:t xml:space="preserve">débats </w:t>
      </w:r>
      <w:r w:rsidR="006E6213">
        <w:rPr>
          <w:rFonts w:ascii="Calibri" w:eastAsia="SimSun" w:hAnsi="Calibri" w:cs="Traditional Arabic"/>
          <w:lang w:val="fr-FR"/>
        </w:rPr>
        <w:t>qui ont suivi</w:t>
      </w:r>
      <w:r w:rsidR="00FA17D7" w:rsidRPr="00F97AA3">
        <w:rPr>
          <w:rFonts w:ascii="Calibri" w:eastAsia="SimSun" w:hAnsi="Calibri" w:cs="Traditional Arabic"/>
          <w:lang w:val="fr-FR"/>
        </w:rPr>
        <w:t xml:space="preserve"> ont fait ressortir les éléments suivants</w:t>
      </w:r>
      <w:r w:rsidR="00A43376" w:rsidRPr="00F97AA3">
        <w:rPr>
          <w:rFonts w:ascii="Calibri" w:eastAsia="SimSun" w:hAnsi="Calibri" w:cs="Traditional Arabic"/>
          <w:lang w:val="fr-FR"/>
        </w:rPr>
        <w:t>:</w:t>
      </w:r>
    </w:p>
    <w:p w:rsidR="00076943" w:rsidRPr="006E6213" w:rsidRDefault="006E6213" w:rsidP="006E6213">
      <w:pPr>
        <w:pStyle w:val="enumlev2"/>
        <w:rPr>
          <w:rFonts w:eastAsia="SimSun"/>
        </w:rPr>
      </w:pPr>
      <w:r w:rsidRPr="006E6213">
        <w:rPr>
          <w:rFonts w:eastAsia="SimSun"/>
        </w:rPr>
        <w:t>•</w:t>
      </w:r>
      <w:r>
        <w:rPr>
          <w:rFonts w:eastAsia="SimSun"/>
        </w:rPr>
        <w:tab/>
      </w:r>
      <w:r w:rsidR="00936B58" w:rsidRPr="006E6213">
        <w:rPr>
          <w:rFonts w:eastAsia="SimSun"/>
        </w:rPr>
        <w:t>Bien qu'il existe d'importante</w:t>
      </w:r>
      <w:r w:rsidR="00FA17D7" w:rsidRPr="006E6213">
        <w:rPr>
          <w:rFonts w:eastAsia="SimSun"/>
        </w:rPr>
        <w:t>s différences entre les régions en ce qui concerne le</w:t>
      </w:r>
      <w:r w:rsidR="00936B58" w:rsidRPr="006E6213">
        <w:rPr>
          <w:rFonts w:eastAsia="SimSun"/>
        </w:rPr>
        <w:t xml:space="preserve"> renforcement des capacités, la plupart des tendances en matière de TIC ont une portée mondiale.</w:t>
      </w:r>
      <w:r w:rsidR="00F97B3F" w:rsidRPr="006E6213">
        <w:rPr>
          <w:rFonts w:eastAsia="SimSun"/>
        </w:rPr>
        <w:t xml:space="preserve"> </w:t>
      </w:r>
    </w:p>
    <w:p w:rsidR="00076943" w:rsidRPr="006E6213" w:rsidRDefault="006E6213" w:rsidP="006E6213">
      <w:pPr>
        <w:pStyle w:val="enumlev2"/>
        <w:rPr>
          <w:rFonts w:eastAsia="SimSun"/>
        </w:rPr>
      </w:pPr>
      <w:r w:rsidRPr="006E6213">
        <w:rPr>
          <w:rFonts w:eastAsia="SimSun"/>
        </w:rPr>
        <w:t>•</w:t>
      </w:r>
      <w:r>
        <w:rPr>
          <w:rFonts w:eastAsia="SimSun"/>
        </w:rPr>
        <w:tab/>
      </w:r>
      <w:r w:rsidR="00FA17D7" w:rsidRPr="006E6213">
        <w:rPr>
          <w:rFonts w:eastAsia="SimSun"/>
        </w:rPr>
        <w:t>La</w:t>
      </w:r>
      <w:r w:rsidR="00A86D8C" w:rsidRPr="006E6213">
        <w:rPr>
          <w:rFonts w:eastAsia="SimSun"/>
        </w:rPr>
        <w:t xml:space="preserve"> demande en personnel compétent dans le domaine du numérique </w:t>
      </w:r>
      <w:r w:rsidR="00FA17D7" w:rsidRPr="006E6213">
        <w:rPr>
          <w:rFonts w:eastAsia="SimSun"/>
        </w:rPr>
        <w:t xml:space="preserve">augmente </w:t>
      </w:r>
      <w:r w:rsidR="00A86D8C" w:rsidRPr="006E6213">
        <w:rPr>
          <w:rFonts w:eastAsia="SimSun"/>
        </w:rPr>
        <w:t xml:space="preserve">dans toutes les régions et la plupart des pays ne peuvent pas développer les compétences requises </w:t>
      </w:r>
      <w:r w:rsidR="00FA17D7" w:rsidRPr="006E6213">
        <w:rPr>
          <w:rFonts w:eastAsia="SimSun"/>
        </w:rPr>
        <w:t>au rythme imposé</w:t>
      </w:r>
      <w:r w:rsidR="00A86D8C" w:rsidRPr="006E6213">
        <w:rPr>
          <w:rFonts w:eastAsia="SimSun"/>
        </w:rPr>
        <w:t xml:space="preserve"> par la transformation numérique.</w:t>
      </w:r>
    </w:p>
    <w:p w:rsidR="00076943" w:rsidRPr="006E6213" w:rsidRDefault="006E6213" w:rsidP="006E6213">
      <w:pPr>
        <w:pStyle w:val="enumlev2"/>
        <w:rPr>
          <w:rFonts w:eastAsia="SimSun"/>
        </w:rPr>
      </w:pPr>
      <w:r w:rsidRPr="006E6213">
        <w:rPr>
          <w:rFonts w:eastAsia="SimSun"/>
        </w:rPr>
        <w:t>•</w:t>
      </w:r>
      <w:r>
        <w:rPr>
          <w:rFonts w:eastAsia="SimSun"/>
        </w:rPr>
        <w:tab/>
      </w:r>
      <w:r w:rsidR="00B34C5F" w:rsidRPr="006E6213">
        <w:rPr>
          <w:rFonts w:eastAsia="SimSun"/>
        </w:rPr>
        <w:t xml:space="preserve">Les activités relatives au renforcement des capacités doivent être destinées à un public large, </w:t>
      </w:r>
      <w:r w:rsidR="00B96113" w:rsidRPr="006E6213">
        <w:rPr>
          <w:rFonts w:eastAsia="SimSun"/>
        </w:rPr>
        <w:t>comprenant</w:t>
      </w:r>
      <w:r w:rsidR="00B34C5F" w:rsidRPr="006E6213">
        <w:rPr>
          <w:rFonts w:eastAsia="SimSun"/>
        </w:rPr>
        <w:t xml:space="preserve"> des professionnels (par exemple, des cadres </w:t>
      </w:r>
      <w:r w:rsidR="00B96113" w:rsidRPr="006E6213">
        <w:rPr>
          <w:rFonts w:eastAsia="SimSun"/>
        </w:rPr>
        <w:t>intermédiaires</w:t>
      </w:r>
      <w:r w:rsidR="00B34C5F" w:rsidRPr="006E6213">
        <w:rPr>
          <w:rFonts w:eastAsia="SimSun"/>
        </w:rPr>
        <w:t xml:space="preserve"> et supérieurs), des jeunes et des étudiants, des chercheurs, des P</w:t>
      </w:r>
      <w:r w:rsidR="00B96113" w:rsidRPr="006E6213">
        <w:rPr>
          <w:rFonts w:eastAsia="SimSun"/>
        </w:rPr>
        <w:t>ME, des communautés mal desservi</w:t>
      </w:r>
      <w:r w:rsidR="00B34C5F" w:rsidRPr="006E6213">
        <w:rPr>
          <w:rFonts w:eastAsia="SimSun"/>
        </w:rPr>
        <w:t>es ainsi que d'autres utilisateurs des TIC.</w:t>
      </w:r>
      <w:r w:rsidR="00F97B3F" w:rsidRPr="006E6213">
        <w:rPr>
          <w:rFonts w:eastAsia="SimSun"/>
        </w:rPr>
        <w:t xml:space="preserve"> </w:t>
      </w:r>
      <w:r w:rsidR="00FA17D7" w:rsidRPr="006E6213">
        <w:rPr>
          <w:rFonts w:eastAsia="SimSun"/>
        </w:rPr>
        <w:t>Il est à noter en particulier que</w:t>
      </w:r>
      <w:r w:rsidR="00F97B3F" w:rsidRPr="006E6213">
        <w:rPr>
          <w:rFonts w:eastAsia="SimSun"/>
        </w:rPr>
        <w:t xml:space="preserve"> les "jeunes nés avec le numérique" sont de plus en plus nombreux et constituent le fer de lance des progrès réalisés dans le domaine des TIC. </w:t>
      </w:r>
    </w:p>
    <w:p w:rsidR="00076943" w:rsidRPr="006E6213" w:rsidRDefault="006E6213" w:rsidP="00040A53">
      <w:pPr>
        <w:pStyle w:val="enumlev2"/>
        <w:rPr>
          <w:rFonts w:eastAsia="SimSun"/>
        </w:rPr>
      </w:pPr>
      <w:r w:rsidRPr="006E6213">
        <w:rPr>
          <w:rFonts w:eastAsia="SimSun"/>
        </w:rPr>
        <w:t>•</w:t>
      </w:r>
      <w:r>
        <w:rPr>
          <w:rFonts w:eastAsia="SimSun"/>
        </w:rPr>
        <w:tab/>
      </w:r>
      <w:r w:rsidR="00EF1676" w:rsidRPr="006E6213">
        <w:rPr>
          <w:rFonts w:eastAsia="SimSun"/>
        </w:rPr>
        <w:t>Le renforcement des capacité</w:t>
      </w:r>
      <w:r w:rsidR="00FA17D7" w:rsidRPr="006E6213">
        <w:rPr>
          <w:rFonts w:eastAsia="SimSun"/>
        </w:rPr>
        <w:t>s</w:t>
      </w:r>
      <w:r w:rsidR="00EF1676" w:rsidRPr="006E6213">
        <w:rPr>
          <w:rFonts w:eastAsia="SimSun"/>
        </w:rPr>
        <w:t xml:space="preserve"> devrait être adapté afin de répondre aux besoins et aux priorités spécifiques des différents groupes cibles.</w:t>
      </w:r>
      <w:r w:rsidR="00F97B3F" w:rsidRPr="006E6213">
        <w:rPr>
          <w:rFonts w:eastAsia="SimSun"/>
        </w:rPr>
        <w:t xml:space="preserve"> </w:t>
      </w:r>
      <w:r w:rsidR="00040A53">
        <w:rPr>
          <w:rFonts w:eastAsia="SimSun"/>
        </w:rPr>
        <w:t>A</w:t>
      </w:r>
      <w:r w:rsidR="007B2361" w:rsidRPr="006E6213">
        <w:rPr>
          <w:rFonts w:eastAsia="SimSun"/>
        </w:rPr>
        <w:t xml:space="preserve"> ce propos, une participation forte des parties prenantes et les commentaires d'utilisateurs des technologies autres que les décideurs et les régulateurs forment un élément important pour l'analyse des besoins et des priorités en matière de renforc</w:t>
      </w:r>
      <w:r w:rsidR="00B96113" w:rsidRPr="006E6213">
        <w:rPr>
          <w:rFonts w:eastAsia="SimSun"/>
        </w:rPr>
        <w:t>e</w:t>
      </w:r>
      <w:r w:rsidR="007B2361" w:rsidRPr="006E6213">
        <w:rPr>
          <w:rFonts w:eastAsia="SimSun"/>
        </w:rPr>
        <w:t>ment des capacités.</w:t>
      </w:r>
      <w:r w:rsidR="00F97B3F" w:rsidRPr="006E6213">
        <w:rPr>
          <w:rFonts w:eastAsia="SimSun"/>
        </w:rPr>
        <w:t xml:space="preserve"> </w:t>
      </w:r>
    </w:p>
    <w:p w:rsidR="00076943" w:rsidRPr="006E6213" w:rsidRDefault="006E6213" w:rsidP="006E6213">
      <w:pPr>
        <w:pStyle w:val="enumlev2"/>
        <w:rPr>
          <w:rFonts w:eastAsia="SimSun"/>
        </w:rPr>
      </w:pPr>
      <w:r w:rsidRPr="006E6213">
        <w:rPr>
          <w:rFonts w:eastAsia="SimSun"/>
        </w:rPr>
        <w:t>•</w:t>
      </w:r>
      <w:r>
        <w:rPr>
          <w:rFonts w:eastAsia="SimSun"/>
        </w:rPr>
        <w:tab/>
      </w:r>
      <w:r w:rsidR="009F7094" w:rsidRPr="006E6213">
        <w:rPr>
          <w:rFonts w:eastAsia="SimSun"/>
        </w:rPr>
        <w:t xml:space="preserve">La formation devrait suivre une approche plus interdisciplinaire, </w:t>
      </w:r>
      <w:r w:rsidR="00FA17D7" w:rsidRPr="006E6213">
        <w:rPr>
          <w:rFonts w:eastAsia="SimSun"/>
        </w:rPr>
        <w:t>en abordant</w:t>
      </w:r>
      <w:r w:rsidR="009F7094" w:rsidRPr="006E6213">
        <w:rPr>
          <w:rFonts w:eastAsia="SimSun"/>
        </w:rPr>
        <w:t xml:space="preserve"> </w:t>
      </w:r>
      <w:r w:rsidR="00FA17D7" w:rsidRPr="006E6213">
        <w:rPr>
          <w:rFonts w:eastAsia="SimSun"/>
        </w:rPr>
        <w:t xml:space="preserve">lors d'un même cours </w:t>
      </w:r>
      <w:r w:rsidR="009F7094" w:rsidRPr="006E6213">
        <w:rPr>
          <w:rFonts w:eastAsia="SimSun"/>
        </w:rPr>
        <w:t>les aspects techniques, commerciaux et réglementaires.</w:t>
      </w:r>
    </w:p>
    <w:p w:rsidR="00076943" w:rsidRPr="006E6213" w:rsidRDefault="006E6213" w:rsidP="006E6213">
      <w:pPr>
        <w:pStyle w:val="enumlev2"/>
        <w:rPr>
          <w:rFonts w:eastAsia="SimSun"/>
        </w:rPr>
      </w:pPr>
      <w:r w:rsidRPr="006E6213">
        <w:rPr>
          <w:rFonts w:eastAsia="SimSun"/>
        </w:rPr>
        <w:lastRenderedPageBreak/>
        <w:t>•</w:t>
      </w:r>
      <w:r>
        <w:rPr>
          <w:rFonts w:eastAsia="SimSun"/>
        </w:rPr>
        <w:tab/>
      </w:r>
      <w:r w:rsidR="004E7739" w:rsidRPr="006E6213">
        <w:rPr>
          <w:rFonts w:eastAsia="SimSun"/>
        </w:rPr>
        <w:t xml:space="preserve">Les sujets abordés devraient tenir compte des effets </w:t>
      </w:r>
      <w:r w:rsidR="00FA17D7" w:rsidRPr="006E6213">
        <w:rPr>
          <w:rFonts w:eastAsia="SimSun"/>
        </w:rPr>
        <w:t>que l'on souhaite obtenir</w:t>
      </w:r>
      <w:r w:rsidR="004E7739" w:rsidRPr="006E6213">
        <w:rPr>
          <w:rFonts w:eastAsia="SimSun"/>
        </w:rPr>
        <w:t>.</w:t>
      </w:r>
      <w:r w:rsidR="00F97B3F" w:rsidRPr="006E6213">
        <w:rPr>
          <w:rFonts w:eastAsia="SimSun"/>
        </w:rPr>
        <w:t xml:space="preserve"> </w:t>
      </w:r>
      <w:r w:rsidR="003255BD" w:rsidRPr="006E6213">
        <w:rPr>
          <w:rFonts w:eastAsia="SimSun"/>
        </w:rPr>
        <w:t xml:space="preserve">La formation des </w:t>
      </w:r>
      <w:r>
        <w:rPr>
          <w:rFonts w:eastAsia="SimSun"/>
        </w:rPr>
        <w:t>professionnel</w:t>
      </w:r>
      <w:r w:rsidR="003255BD" w:rsidRPr="006E6213">
        <w:rPr>
          <w:rFonts w:eastAsia="SimSun"/>
        </w:rPr>
        <w:t>s en vue de répondre aux besoins du marché du travail futur devrait être centrée sur la transformation numérique et l'écon</w:t>
      </w:r>
      <w:r w:rsidR="00FA17D7" w:rsidRPr="006E6213">
        <w:rPr>
          <w:rFonts w:eastAsia="SimSun"/>
        </w:rPr>
        <w:t>omie numérique</w:t>
      </w:r>
      <w:r w:rsidR="003255BD" w:rsidRPr="006E6213">
        <w:rPr>
          <w:rFonts w:eastAsia="SimSun"/>
        </w:rPr>
        <w:t xml:space="preserve"> et comprendre des sujets relatifs à l'intelligence artificielle, l'analyse des mégadonnées et la science des données, l'Internet des objets, l'informatique en nuage et la cybersécurité.</w:t>
      </w:r>
      <w:r w:rsidR="00F97B3F" w:rsidRPr="006E6213">
        <w:rPr>
          <w:rFonts w:eastAsia="SimSun"/>
        </w:rPr>
        <w:t xml:space="preserve"> </w:t>
      </w:r>
      <w:r w:rsidR="00507CEB" w:rsidRPr="006E6213">
        <w:rPr>
          <w:rFonts w:eastAsia="SimSun"/>
        </w:rPr>
        <w:t>En outre, il est nécessaire de proposer une formation destinée aux utilisateurs des TIC axée sur les applications et solutions TIC ainsi que sur les aspects non techniques de l'économie et de la société numériques.</w:t>
      </w:r>
    </w:p>
    <w:p w:rsidR="00076943" w:rsidRPr="006E6213" w:rsidRDefault="00F654EC" w:rsidP="006E6213">
      <w:pPr>
        <w:rPr>
          <w:rStyle w:val="Hyperlink"/>
          <w:color w:val="auto"/>
          <w:lang w:val="fr-FR"/>
        </w:rPr>
      </w:pPr>
      <w:r w:rsidRPr="00F97AA3">
        <w:rPr>
          <w:lang w:val="fr-FR"/>
        </w:rPr>
        <w:t xml:space="preserve">Le rapport complet de la réunion est disponible sur le </w:t>
      </w:r>
      <w:hyperlink r:id="rId9" w:history="1">
        <w:r w:rsidRPr="00F97AA3">
          <w:rPr>
            <w:rStyle w:val="Hyperlink"/>
            <w:lang w:val="fr-FR"/>
          </w:rPr>
          <w:t>site web</w:t>
        </w:r>
      </w:hyperlink>
      <w:r w:rsidRPr="00F97AA3">
        <w:rPr>
          <w:lang w:val="fr-FR"/>
        </w:rPr>
        <w:t xml:space="preserve"> de l'Académie de l'UIT.</w:t>
      </w:r>
    </w:p>
    <w:p w:rsidR="0085750F" w:rsidRPr="00040A53" w:rsidRDefault="00F97B3F" w:rsidP="006E6213">
      <w:pPr>
        <w:pStyle w:val="Heading1"/>
        <w:rPr>
          <w:bCs/>
          <w:szCs w:val="28"/>
          <w:lang w:val="fr-FR"/>
        </w:rPr>
      </w:pPr>
      <w:r w:rsidRPr="00040A53">
        <w:rPr>
          <w:bCs/>
          <w:szCs w:val="28"/>
          <w:lang w:val="fr-FR"/>
        </w:rPr>
        <w:t>2</w:t>
      </w:r>
      <w:r w:rsidRPr="00040A53">
        <w:rPr>
          <w:bCs/>
          <w:szCs w:val="28"/>
          <w:lang w:val="fr-FR"/>
        </w:rPr>
        <w:tab/>
      </w:r>
      <w:r w:rsidR="00287393" w:rsidRPr="00040A53">
        <w:rPr>
          <w:bCs/>
          <w:szCs w:val="28"/>
          <w:lang w:val="fr-FR"/>
        </w:rPr>
        <w:t>Désignation des nouveaux membres du Groupe GCBI</w:t>
      </w:r>
    </w:p>
    <w:p w:rsidR="0085750F" w:rsidRPr="00F97AA3" w:rsidRDefault="00A45D6C" w:rsidP="006E6213">
      <w:pPr>
        <w:rPr>
          <w:lang w:val="fr-FR"/>
        </w:rPr>
      </w:pPr>
      <w:r w:rsidRPr="00F97AA3">
        <w:rPr>
          <w:lang w:val="fr-FR"/>
        </w:rPr>
        <w:t xml:space="preserve">Conformément au mandat du Groupe GCBI, les membres sont désignés pour </w:t>
      </w:r>
      <w:r w:rsidR="00A4707F" w:rsidRPr="00F97AA3">
        <w:rPr>
          <w:lang w:val="fr-FR"/>
        </w:rPr>
        <w:t xml:space="preserve">une période </w:t>
      </w:r>
      <w:r w:rsidR="006E6213">
        <w:rPr>
          <w:lang w:val="fr-FR"/>
        </w:rPr>
        <w:t>de quatre ans</w:t>
      </w:r>
      <w:r w:rsidRPr="00F97AA3">
        <w:rPr>
          <w:lang w:val="fr-FR"/>
        </w:rPr>
        <w:t>, aligné</w:t>
      </w:r>
      <w:r w:rsidR="00A4707F" w:rsidRPr="00F97AA3">
        <w:rPr>
          <w:lang w:val="fr-FR"/>
        </w:rPr>
        <w:t>e</w:t>
      </w:r>
      <w:r w:rsidRPr="00F97AA3">
        <w:rPr>
          <w:lang w:val="fr-FR"/>
        </w:rPr>
        <w:t xml:space="preserve"> sur le cycle des CMDT</w:t>
      </w:r>
      <w:r w:rsidR="00A4707F" w:rsidRPr="00F97AA3">
        <w:rPr>
          <w:lang w:val="fr-FR"/>
        </w:rPr>
        <w:t>.</w:t>
      </w:r>
      <w:r w:rsidRPr="00F97AA3">
        <w:rPr>
          <w:lang w:val="fr-FR"/>
        </w:rPr>
        <w:t xml:space="preserve"> </w:t>
      </w:r>
      <w:r w:rsidR="00A4707F" w:rsidRPr="00F97AA3">
        <w:rPr>
          <w:lang w:val="fr-FR"/>
        </w:rPr>
        <w:t>Ils</w:t>
      </w:r>
      <w:r w:rsidRPr="00F97AA3">
        <w:rPr>
          <w:lang w:val="fr-FR"/>
        </w:rPr>
        <w:t xml:space="preserve"> peuvent accomplir un </w:t>
      </w:r>
      <w:r w:rsidR="00A4707F" w:rsidRPr="00F97AA3">
        <w:rPr>
          <w:lang w:val="fr-FR"/>
        </w:rPr>
        <w:t>second mandat</w:t>
      </w:r>
      <w:r w:rsidRPr="00F97AA3">
        <w:rPr>
          <w:lang w:val="fr-FR"/>
        </w:rPr>
        <w:t xml:space="preserve">, au terme duquel </w:t>
      </w:r>
      <w:r w:rsidR="00F97AA3" w:rsidRPr="00F97AA3">
        <w:rPr>
          <w:lang w:val="fr-FR"/>
        </w:rPr>
        <w:t>ils ne pourront</w:t>
      </w:r>
      <w:r w:rsidRPr="00F97AA3">
        <w:rPr>
          <w:lang w:val="fr-FR"/>
        </w:rPr>
        <w:t xml:space="preserve"> plus être </w:t>
      </w:r>
      <w:r w:rsidR="006E6213">
        <w:rPr>
          <w:lang w:val="fr-FR"/>
        </w:rPr>
        <w:t>membres</w:t>
      </w:r>
      <w:r w:rsidRPr="00F97AA3">
        <w:rPr>
          <w:lang w:val="fr-FR"/>
        </w:rPr>
        <w:t>.</w:t>
      </w:r>
      <w:r w:rsidR="00F97B3F" w:rsidRPr="00F97AA3">
        <w:rPr>
          <w:lang w:val="fr-FR"/>
        </w:rPr>
        <w:t xml:space="preserve"> </w:t>
      </w:r>
    </w:p>
    <w:p w:rsidR="0085750F" w:rsidRPr="00F97AA3" w:rsidRDefault="003D290F" w:rsidP="006E6213">
      <w:pPr>
        <w:rPr>
          <w:lang w:val="fr-FR"/>
        </w:rPr>
      </w:pPr>
      <w:r w:rsidRPr="00F97AA3">
        <w:rPr>
          <w:lang w:val="fr-FR"/>
        </w:rPr>
        <w:t>Un certain nombre de m</w:t>
      </w:r>
      <w:bookmarkStart w:id="5" w:name="_GoBack"/>
      <w:bookmarkEnd w:id="5"/>
      <w:r w:rsidRPr="00F97AA3">
        <w:rPr>
          <w:lang w:val="fr-FR"/>
        </w:rPr>
        <w:t>embres du Groupe GCBI sont arrivés au terme de leur premier ou second mandat en 2018.</w:t>
      </w:r>
      <w:r w:rsidR="00F97B3F" w:rsidRPr="00F97AA3">
        <w:rPr>
          <w:lang w:val="fr-FR"/>
        </w:rPr>
        <w:t xml:space="preserve"> </w:t>
      </w:r>
      <w:r w:rsidR="0052154E" w:rsidRPr="00F97AA3">
        <w:rPr>
          <w:lang w:val="fr-FR"/>
        </w:rPr>
        <w:t xml:space="preserve">Par conséquent, le Directeur du BDT a </w:t>
      </w:r>
      <w:r w:rsidR="00A4707F" w:rsidRPr="00F97AA3">
        <w:rPr>
          <w:lang w:val="fr-FR"/>
        </w:rPr>
        <w:t>lancé</w:t>
      </w:r>
      <w:r w:rsidR="0052154E" w:rsidRPr="00F97AA3">
        <w:rPr>
          <w:lang w:val="fr-FR"/>
        </w:rPr>
        <w:t xml:space="preserve"> u</w:t>
      </w:r>
      <w:r w:rsidR="00B96113" w:rsidRPr="00F97AA3">
        <w:rPr>
          <w:lang w:val="fr-FR"/>
        </w:rPr>
        <w:t>n appel à candidatu</w:t>
      </w:r>
      <w:r w:rsidR="0052154E" w:rsidRPr="00F97AA3">
        <w:rPr>
          <w:lang w:val="fr-FR"/>
        </w:rPr>
        <w:t>r</w:t>
      </w:r>
      <w:r w:rsidR="00B96113" w:rsidRPr="00F97AA3">
        <w:rPr>
          <w:lang w:val="fr-FR"/>
        </w:rPr>
        <w:t>e</w:t>
      </w:r>
      <w:r w:rsidR="0052154E" w:rsidRPr="00F97AA3">
        <w:rPr>
          <w:lang w:val="fr-FR"/>
        </w:rPr>
        <w:t xml:space="preserve">s, invitant les organisations régionales de télécommunication à se </w:t>
      </w:r>
      <w:r w:rsidR="00A4707F" w:rsidRPr="00F97AA3">
        <w:rPr>
          <w:lang w:val="fr-FR"/>
        </w:rPr>
        <w:t>mettre d'accord sur la sélection de</w:t>
      </w:r>
      <w:r w:rsidR="0052154E" w:rsidRPr="00F97AA3">
        <w:rPr>
          <w:lang w:val="fr-FR"/>
        </w:rPr>
        <w:t xml:space="preserve"> candidats de leur région et </w:t>
      </w:r>
      <w:r w:rsidR="006E6213">
        <w:rPr>
          <w:lang w:val="fr-FR"/>
        </w:rPr>
        <w:t>à</w:t>
      </w:r>
      <w:r w:rsidR="0052154E" w:rsidRPr="00F97AA3">
        <w:rPr>
          <w:lang w:val="fr-FR"/>
        </w:rPr>
        <w:t xml:space="preserve"> proposer le nom de deux </w:t>
      </w:r>
      <w:r w:rsidR="00A4707F" w:rsidRPr="00F97AA3">
        <w:rPr>
          <w:lang w:val="fr-FR"/>
        </w:rPr>
        <w:t>d'entre eux</w:t>
      </w:r>
      <w:r w:rsidR="0052154E" w:rsidRPr="00F97AA3">
        <w:rPr>
          <w:lang w:val="fr-FR"/>
        </w:rPr>
        <w:t>.</w:t>
      </w:r>
      <w:r w:rsidR="00F97B3F" w:rsidRPr="00F97AA3">
        <w:rPr>
          <w:lang w:val="fr-FR"/>
        </w:rPr>
        <w:t xml:space="preserve"> </w:t>
      </w:r>
    </w:p>
    <w:p w:rsidR="0085750F" w:rsidRPr="00F97AA3" w:rsidRDefault="00DA2D3B" w:rsidP="006E6213">
      <w:pPr>
        <w:rPr>
          <w:lang w:val="fr-FR"/>
        </w:rPr>
      </w:pPr>
      <w:r w:rsidRPr="00F97AA3">
        <w:rPr>
          <w:lang w:val="fr-FR"/>
        </w:rPr>
        <w:t xml:space="preserve">Conformément à la Résolution 40, le Groupe GCBI doit être composé de "deux experts en renforcement des </w:t>
      </w:r>
      <w:r w:rsidR="00B96113" w:rsidRPr="00F97AA3">
        <w:rPr>
          <w:lang w:val="fr-FR"/>
        </w:rPr>
        <w:t>capacités</w:t>
      </w:r>
      <w:r w:rsidRPr="00F97AA3">
        <w:rPr>
          <w:lang w:val="fr-FR"/>
        </w:rPr>
        <w:t xml:space="preserve"> représentant chacune des six régions", qui sont au courant des progrès réalisés dans le secteur des TIC et des besoin</w:t>
      </w:r>
      <w:r w:rsidR="00A4707F" w:rsidRPr="00F97AA3">
        <w:rPr>
          <w:lang w:val="fr-FR"/>
        </w:rPr>
        <w:t>s</w:t>
      </w:r>
      <w:r w:rsidRPr="00F97AA3">
        <w:rPr>
          <w:lang w:val="fr-FR"/>
        </w:rPr>
        <w:t xml:space="preserve"> de leur région en matière de renforcement des capacités.</w:t>
      </w:r>
    </w:p>
    <w:p w:rsidR="0085750F" w:rsidRPr="00F97AA3" w:rsidRDefault="00FC6067" w:rsidP="006E6213">
      <w:pPr>
        <w:rPr>
          <w:lang w:val="fr-FR"/>
        </w:rPr>
      </w:pPr>
      <w:r w:rsidRPr="00F97AA3">
        <w:rPr>
          <w:lang w:val="fr-FR"/>
        </w:rPr>
        <w:t>Toutes les organisations régionales de télécommunication ont mené la procédure de désignation à son terme</w:t>
      </w:r>
      <w:r w:rsidR="00A4707F" w:rsidRPr="00F97AA3">
        <w:rPr>
          <w:lang w:val="fr-FR"/>
        </w:rPr>
        <w:t>.</w:t>
      </w:r>
      <w:r w:rsidRPr="00F97AA3">
        <w:rPr>
          <w:lang w:val="fr-FR"/>
        </w:rPr>
        <w:t xml:space="preserve"> </w:t>
      </w:r>
      <w:r w:rsidR="00A4707F" w:rsidRPr="00F97AA3">
        <w:rPr>
          <w:lang w:val="fr-FR"/>
        </w:rPr>
        <w:t xml:space="preserve">La </w:t>
      </w:r>
      <w:r w:rsidRPr="00F97AA3">
        <w:rPr>
          <w:lang w:val="fr-FR"/>
        </w:rPr>
        <w:t>nouvelle liste des membres du Groupe GCBI est reproduite dans l'Annexe 1.</w:t>
      </w:r>
      <w:r w:rsidR="00F97B3F" w:rsidRPr="00F97AA3">
        <w:rPr>
          <w:lang w:val="fr-FR"/>
        </w:rPr>
        <w:t xml:space="preserve"> </w:t>
      </w:r>
    </w:p>
    <w:p w:rsidR="0085750F" w:rsidRPr="00040A53" w:rsidRDefault="00F97B3F" w:rsidP="006E6213">
      <w:pPr>
        <w:pStyle w:val="Heading1"/>
        <w:rPr>
          <w:szCs w:val="28"/>
          <w:lang w:val="fr-FR"/>
        </w:rPr>
      </w:pPr>
      <w:r w:rsidRPr="00040A53">
        <w:rPr>
          <w:bCs/>
          <w:szCs w:val="28"/>
          <w:lang w:val="fr-FR"/>
        </w:rPr>
        <w:t>3</w:t>
      </w:r>
      <w:r w:rsidRPr="00040A53">
        <w:rPr>
          <w:bCs/>
          <w:szCs w:val="28"/>
          <w:lang w:val="fr-FR"/>
        </w:rPr>
        <w:tab/>
      </w:r>
      <w:r w:rsidR="00FD68D0" w:rsidRPr="00040A53">
        <w:rPr>
          <w:bCs/>
          <w:szCs w:val="28"/>
          <w:lang w:val="fr-FR"/>
        </w:rPr>
        <w:t>7ème réunion du Groupe GCBI</w:t>
      </w:r>
    </w:p>
    <w:p w:rsidR="0085750F" w:rsidRPr="00F97AA3" w:rsidRDefault="00CB76B5" w:rsidP="00D11CD8">
      <w:pPr>
        <w:rPr>
          <w:lang w:val="fr-FR"/>
        </w:rPr>
      </w:pPr>
      <w:r w:rsidRPr="00F97AA3">
        <w:rPr>
          <w:lang w:val="fr-FR"/>
        </w:rPr>
        <w:t xml:space="preserve">La 7ème réunion du Groupe GCBI aura </w:t>
      </w:r>
      <w:r w:rsidRPr="00D11CD8">
        <w:rPr>
          <w:lang w:val="fr-FR"/>
        </w:rPr>
        <w:t xml:space="preserve">lieu les 19 et 20 mars </w:t>
      </w:r>
      <w:r w:rsidRPr="00F97AA3">
        <w:rPr>
          <w:lang w:val="fr-FR"/>
        </w:rPr>
        <w:t>2019 à Genève.</w:t>
      </w:r>
    </w:p>
    <w:p w:rsidR="0052014A" w:rsidRPr="00F97AA3" w:rsidRDefault="008A2E37" w:rsidP="006E6213">
      <w:pPr>
        <w:pStyle w:val="Reasons"/>
        <w:rPr>
          <w:lang w:val="fr-FR"/>
        </w:rPr>
      </w:pPr>
    </w:p>
    <w:p w:rsidR="0052014A" w:rsidRPr="00F97AA3" w:rsidRDefault="00F97B3F" w:rsidP="006E6213">
      <w:pPr>
        <w:jc w:val="center"/>
        <w:rPr>
          <w:lang w:val="fr-FR"/>
        </w:rPr>
      </w:pPr>
      <w:r w:rsidRPr="00F97AA3">
        <w:rPr>
          <w:lang w:val="fr-FR"/>
        </w:rPr>
        <w:t>______________</w:t>
      </w:r>
    </w:p>
    <w:sectPr w:rsidR="0052014A" w:rsidRPr="00F97AA3"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A7" w:rsidRDefault="00F97B3F">
      <w:pPr>
        <w:spacing w:before="0"/>
      </w:pPr>
      <w:r>
        <w:separator/>
      </w:r>
    </w:p>
  </w:endnote>
  <w:endnote w:type="continuationSeparator" w:id="0">
    <w:p w:rsidR="002112A7" w:rsidRDefault="00F97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6E6213" w:rsidRDefault="00F97B3F" w:rsidP="00A56DD7">
    <w:pPr>
      <w:pStyle w:val="Footer"/>
      <w:rPr>
        <w:lang w:val="es-ES"/>
      </w:rPr>
    </w:pPr>
    <w:r w:rsidRPr="0052014A">
      <w:fldChar w:fldCharType="begin"/>
    </w:r>
    <w:r w:rsidRPr="006E6213">
      <w:rPr>
        <w:lang w:val="es-ES"/>
      </w:rPr>
      <w:instrText xml:space="preserve"> FILENAME \p  \* MERGEFORMAT </w:instrText>
    </w:r>
    <w:r w:rsidRPr="0052014A">
      <w:fldChar w:fldCharType="separate"/>
    </w:r>
    <w:r w:rsidR="00A56DD7">
      <w:rPr>
        <w:lang w:val="es-ES"/>
      </w:rPr>
      <w:t>P:\FRA\ITU-D\CONF-D\TDAG19\000\017REV1F.DOCX</w:t>
    </w:r>
    <w:r w:rsidRPr="0052014A">
      <w:fldChar w:fldCharType="end"/>
    </w:r>
    <w:r w:rsidRPr="006E6213">
      <w:rPr>
        <w:lang w:val="es-ES"/>
      </w:rPr>
      <w:t xml:space="preserve"> (4</w:t>
    </w:r>
    <w:r w:rsidR="00A56DD7">
      <w:rPr>
        <w:lang w:val="es-ES"/>
      </w:rPr>
      <w:t>53028</w:t>
    </w:r>
    <w:r w:rsidRPr="006E6213">
      <w:rPr>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93981" w:rsidTr="00AE02DD">
      <w:tc>
        <w:tcPr>
          <w:tcW w:w="1526" w:type="dxa"/>
          <w:tcBorders>
            <w:top w:val="single" w:sz="4" w:space="0" w:color="000000"/>
          </w:tcBorders>
          <w:shd w:val="clear" w:color="auto" w:fill="auto"/>
        </w:tcPr>
        <w:p w:rsidR="00A454E1" w:rsidRPr="00B96113" w:rsidRDefault="00F97B3F" w:rsidP="00A454E1">
          <w:pPr>
            <w:pStyle w:val="FirstFooter"/>
            <w:tabs>
              <w:tab w:val="left" w:pos="1559"/>
              <w:tab w:val="left" w:pos="3828"/>
            </w:tabs>
            <w:rPr>
              <w:sz w:val="18"/>
              <w:szCs w:val="18"/>
            </w:rPr>
          </w:pPr>
          <w:r w:rsidRPr="00B96113">
            <w:rPr>
              <w:sz w:val="18"/>
              <w:szCs w:val="18"/>
              <w:lang w:val="en-US"/>
            </w:rPr>
            <w:t>Contact:</w:t>
          </w:r>
        </w:p>
      </w:tc>
      <w:tc>
        <w:tcPr>
          <w:tcW w:w="2410" w:type="dxa"/>
          <w:tcBorders>
            <w:top w:val="single" w:sz="4" w:space="0" w:color="000000"/>
          </w:tcBorders>
          <w:shd w:val="clear" w:color="auto" w:fill="auto"/>
        </w:tcPr>
        <w:p w:rsidR="00A454E1" w:rsidRPr="00B96113" w:rsidRDefault="00F97B3F" w:rsidP="00A454E1">
          <w:pPr>
            <w:pStyle w:val="FirstFooter"/>
            <w:tabs>
              <w:tab w:val="left" w:pos="2302"/>
            </w:tabs>
            <w:ind w:left="2302" w:hanging="2302"/>
            <w:rPr>
              <w:sz w:val="18"/>
              <w:szCs w:val="18"/>
              <w:lang w:val="en-US"/>
            </w:rPr>
          </w:pPr>
          <w:r w:rsidRPr="00B96113">
            <w:rPr>
              <w:sz w:val="18"/>
              <w:szCs w:val="18"/>
              <w:lang w:val="en-US"/>
            </w:rPr>
            <w:t>Nom/Organisation/Entité:</w:t>
          </w:r>
        </w:p>
      </w:tc>
      <w:tc>
        <w:tcPr>
          <w:tcW w:w="5987" w:type="dxa"/>
          <w:tcBorders>
            <w:top w:val="single" w:sz="4" w:space="0" w:color="000000"/>
          </w:tcBorders>
          <w:shd w:val="clear" w:color="auto" w:fill="auto"/>
        </w:tcPr>
        <w:p w:rsidR="00A454E1" w:rsidRPr="00B96113" w:rsidRDefault="00F97B3F" w:rsidP="006E6213">
          <w:pPr>
            <w:pStyle w:val="FirstFooter"/>
            <w:ind w:left="2" w:hanging="2"/>
            <w:rPr>
              <w:sz w:val="18"/>
              <w:szCs w:val="18"/>
              <w:lang w:val="fr-CH"/>
            </w:rPr>
          </w:pPr>
          <w:bookmarkStart w:id="6" w:name="OrgName"/>
          <w:bookmarkEnd w:id="6"/>
          <w:r w:rsidRPr="00B96113">
            <w:rPr>
              <w:sz w:val="18"/>
              <w:szCs w:val="18"/>
              <w:lang w:val="fr-CH"/>
            </w:rPr>
            <w:t>M.</w:t>
          </w:r>
          <w:r w:rsidRPr="003F6FCC">
            <w:rPr>
              <w:sz w:val="18"/>
              <w:szCs w:val="18"/>
              <w:lang w:val="fr-CH"/>
            </w:rPr>
            <w:t xml:space="preserve"> Cosmas Zavazava, Chef du Département de la gestion des projets et des </w:t>
          </w:r>
          <w:r w:rsidRPr="00B96113">
            <w:rPr>
              <w:sz w:val="18"/>
              <w:szCs w:val="24"/>
              <w:lang w:val="fr-CH"/>
            </w:rPr>
            <w:t>connaissances (PKM), Bureau de développement des télécommunications</w:t>
          </w:r>
        </w:p>
      </w:tc>
    </w:tr>
    <w:tr w:rsidR="00D93981" w:rsidTr="00AE02DD">
      <w:tc>
        <w:tcPr>
          <w:tcW w:w="1526" w:type="dxa"/>
          <w:shd w:val="clear" w:color="auto" w:fill="auto"/>
        </w:tcPr>
        <w:p w:rsidR="00A454E1" w:rsidRPr="00076943" w:rsidRDefault="008A2E37" w:rsidP="00A454E1">
          <w:pPr>
            <w:pStyle w:val="FirstFooter"/>
            <w:tabs>
              <w:tab w:val="left" w:pos="1559"/>
              <w:tab w:val="left" w:pos="3828"/>
            </w:tabs>
            <w:rPr>
              <w:sz w:val="20"/>
              <w:lang w:val="fr-CH"/>
            </w:rPr>
          </w:pPr>
        </w:p>
      </w:tc>
      <w:tc>
        <w:tcPr>
          <w:tcW w:w="2410" w:type="dxa"/>
          <w:shd w:val="clear" w:color="auto" w:fill="auto"/>
        </w:tcPr>
        <w:p w:rsidR="00A454E1" w:rsidRPr="00B96113" w:rsidRDefault="00F97B3F" w:rsidP="00A454E1">
          <w:pPr>
            <w:pStyle w:val="FirstFooter"/>
            <w:tabs>
              <w:tab w:val="left" w:pos="2302"/>
            </w:tabs>
            <w:rPr>
              <w:sz w:val="18"/>
              <w:szCs w:val="18"/>
              <w:lang w:val="en-US"/>
            </w:rPr>
          </w:pPr>
          <w:r w:rsidRPr="00B96113">
            <w:rPr>
              <w:sz w:val="18"/>
              <w:szCs w:val="18"/>
              <w:lang w:val="en-US"/>
            </w:rPr>
            <w:t>Numéro de téléphone:</w:t>
          </w:r>
        </w:p>
      </w:tc>
      <w:tc>
        <w:tcPr>
          <w:tcW w:w="5987" w:type="dxa"/>
          <w:shd w:val="clear" w:color="auto" w:fill="auto"/>
        </w:tcPr>
        <w:p w:rsidR="00A454E1" w:rsidRPr="00E5653A" w:rsidRDefault="00F97B3F" w:rsidP="00A454E1">
          <w:pPr>
            <w:pStyle w:val="FirstFooter"/>
            <w:tabs>
              <w:tab w:val="left" w:pos="2302"/>
            </w:tabs>
            <w:rPr>
              <w:sz w:val="18"/>
              <w:szCs w:val="18"/>
              <w:lang w:val="en-US"/>
            </w:rPr>
          </w:pPr>
          <w:bookmarkStart w:id="7" w:name="PhoneNo"/>
          <w:bookmarkEnd w:id="7"/>
          <w:r w:rsidRPr="006F6E5C">
            <w:rPr>
              <w:sz w:val="18"/>
              <w:szCs w:val="18"/>
              <w:lang w:val="en-US"/>
            </w:rPr>
            <w:t>+41 22 730</w:t>
          </w:r>
          <w:r w:rsidR="00040A53">
            <w:rPr>
              <w:sz w:val="18"/>
              <w:szCs w:val="18"/>
              <w:lang w:val="en-US"/>
            </w:rPr>
            <w:t xml:space="preserve"> </w:t>
          </w:r>
          <w:r w:rsidRPr="006F6E5C">
            <w:rPr>
              <w:sz w:val="18"/>
              <w:szCs w:val="18"/>
              <w:lang w:val="en-US"/>
            </w:rPr>
            <w:t>5447</w:t>
          </w:r>
        </w:p>
      </w:tc>
    </w:tr>
    <w:tr w:rsidR="00D93981" w:rsidTr="00AE02DD">
      <w:tc>
        <w:tcPr>
          <w:tcW w:w="1526" w:type="dxa"/>
          <w:shd w:val="clear" w:color="auto" w:fill="auto"/>
        </w:tcPr>
        <w:p w:rsidR="00A454E1" w:rsidRPr="004D495C" w:rsidRDefault="008A2E37" w:rsidP="00A454E1">
          <w:pPr>
            <w:pStyle w:val="FirstFooter"/>
            <w:tabs>
              <w:tab w:val="left" w:pos="1559"/>
              <w:tab w:val="left" w:pos="3828"/>
            </w:tabs>
            <w:rPr>
              <w:sz w:val="20"/>
              <w:lang w:val="en-US"/>
            </w:rPr>
          </w:pPr>
        </w:p>
      </w:tc>
      <w:tc>
        <w:tcPr>
          <w:tcW w:w="2410" w:type="dxa"/>
          <w:shd w:val="clear" w:color="auto" w:fill="auto"/>
        </w:tcPr>
        <w:p w:rsidR="00A454E1" w:rsidRPr="00B96113" w:rsidRDefault="00F97B3F" w:rsidP="00A454E1">
          <w:pPr>
            <w:pStyle w:val="FirstFooter"/>
            <w:tabs>
              <w:tab w:val="left" w:pos="2302"/>
            </w:tabs>
            <w:rPr>
              <w:sz w:val="18"/>
              <w:szCs w:val="18"/>
              <w:lang w:val="en-US"/>
            </w:rPr>
          </w:pPr>
          <w:r w:rsidRPr="00B96113">
            <w:rPr>
              <w:sz w:val="18"/>
              <w:szCs w:val="18"/>
              <w:lang w:val="en-US"/>
            </w:rPr>
            <w:t>Courriel:</w:t>
          </w:r>
        </w:p>
      </w:tc>
      <w:bookmarkStart w:id="8" w:name="Email"/>
      <w:bookmarkEnd w:id="8"/>
      <w:tc>
        <w:tcPr>
          <w:tcW w:w="5987" w:type="dxa"/>
          <w:shd w:val="clear" w:color="auto" w:fill="auto"/>
        </w:tcPr>
        <w:p w:rsidR="00A454E1" w:rsidRPr="00B96113" w:rsidRDefault="00F97B3F" w:rsidP="00A454E1">
          <w:pPr>
            <w:pStyle w:val="FirstFooter"/>
            <w:tabs>
              <w:tab w:val="left" w:pos="2302"/>
            </w:tabs>
            <w:rPr>
              <w:sz w:val="18"/>
              <w:szCs w:val="18"/>
              <w:lang w:val="en-US"/>
            </w:rPr>
          </w:pPr>
          <w:r w:rsidRPr="00B96113">
            <w:rPr>
              <w:rStyle w:val="Hyperlink"/>
              <w:sz w:val="18"/>
              <w:szCs w:val="18"/>
              <w:lang w:val="en-US"/>
            </w:rPr>
            <w:fldChar w:fldCharType="begin"/>
          </w:r>
          <w:r>
            <w:rPr>
              <w:rStyle w:val="Hyperlink"/>
              <w:sz w:val="18"/>
              <w:szCs w:val="18"/>
              <w:lang w:val="en-US"/>
            </w:rPr>
            <w:instrText xml:space="preserve"> HYPERLINK "mailto:cosmas.zavazava@itu.int" </w:instrText>
          </w:r>
          <w:r w:rsidRPr="00B96113">
            <w:rPr>
              <w:rStyle w:val="Hyperlink"/>
              <w:sz w:val="18"/>
              <w:szCs w:val="18"/>
              <w:lang w:val="en-US"/>
            </w:rPr>
            <w:fldChar w:fldCharType="separate"/>
          </w:r>
          <w:r w:rsidRPr="00B96113">
            <w:rPr>
              <w:rStyle w:val="Hyperlink"/>
              <w:sz w:val="18"/>
              <w:szCs w:val="18"/>
              <w:lang w:val="en-US"/>
            </w:rPr>
            <w:t>cosmas.zavazava@itu.int</w:t>
          </w:r>
          <w:r w:rsidRPr="00B96113">
            <w:rPr>
              <w:rStyle w:val="Hyperlink"/>
              <w:sz w:val="18"/>
              <w:szCs w:val="18"/>
              <w:lang w:val="en-US"/>
            </w:rPr>
            <w:fldChar w:fldCharType="end"/>
          </w:r>
        </w:p>
      </w:tc>
    </w:tr>
  </w:tbl>
  <w:p w:rsidR="00721657" w:rsidRPr="00B96113" w:rsidRDefault="008A2E37" w:rsidP="00040A53">
    <w:pPr>
      <w:pStyle w:val="Footer"/>
      <w:spacing w:before="240"/>
      <w:jc w:val="center"/>
    </w:pPr>
    <w:hyperlink r:id="rId1" w:history="1">
      <w:r w:rsidR="00F97B3F" w:rsidRPr="00B96113">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A7" w:rsidRDefault="00F97B3F">
      <w:pPr>
        <w:spacing w:before="0"/>
      </w:pPr>
      <w:r>
        <w:separator/>
      </w:r>
    </w:p>
  </w:footnote>
  <w:footnote w:type="continuationSeparator" w:id="0">
    <w:p w:rsidR="002112A7" w:rsidRDefault="00F97B3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F97B3F" w:rsidP="00076943">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ITU-D/TDAG-19/17</w:t>
    </w:r>
    <w:r w:rsidR="00A56DD7">
      <w:rPr>
        <w:sz w:val="22"/>
        <w:szCs w:val="22"/>
        <w:lang w:val="de-CH"/>
      </w:rPr>
      <w:t>(Rév.1)</w:t>
    </w:r>
    <w:r w:rsidRPr="006D271A">
      <w:rPr>
        <w:sz w:val="22"/>
        <w:szCs w:val="22"/>
        <w:lang w:val="de-CH"/>
      </w:rPr>
      <w:t>-F</w:t>
    </w:r>
    <w:r w:rsidRPr="006D271A">
      <w:rPr>
        <w:sz w:val="22"/>
        <w:szCs w:val="22"/>
        <w:lang w:val="de-CH"/>
      </w:rPr>
      <w:tab/>
    </w:r>
    <w:r w:rsidRPr="00B96113">
      <w:rPr>
        <w:sz w:val="22"/>
        <w:szCs w:val="22"/>
        <w:lang w:val="de-CH"/>
      </w:rPr>
      <w:t>Page</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A2E37">
      <w:rPr>
        <w:noProof/>
        <w:sz w:val="22"/>
        <w:szCs w:val="22"/>
        <w:lang w:val="de-CH"/>
      </w:rPr>
      <w:t>3</w:t>
    </w:r>
    <w:r w:rsidRPr="00972BCD">
      <w:rPr>
        <w:sz w:val="22"/>
        <w:szCs w:val="22"/>
      </w:rPr>
      <w:fldChar w:fldCharType="end"/>
    </w:r>
  </w:p>
  <w:p w:rsidR="00721657" w:rsidRPr="00A525CC" w:rsidRDefault="008A2E3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75B62"/>
    <w:multiLevelType w:val="hybridMultilevel"/>
    <w:tmpl w:val="FF283B50"/>
    <w:lvl w:ilvl="0" w:tplc="0F162502">
      <w:start w:val="1"/>
      <w:numFmt w:val="bullet"/>
      <w:lvlText w:val=""/>
      <w:lvlJc w:val="left"/>
      <w:pPr>
        <w:ind w:left="1514" w:hanging="360"/>
      </w:pPr>
      <w:rPr>
        <w:rFonts w:ascii="Symbol" w:hAnsi="Symbol" w:hint="default"/>
      </w:rPr>
    </w:lvl>
    <w:lvl w:ilvl="1" w:tplc="427CF06C" w:tentative="1">
      <w:start w:val="1"/>
      <w:numFmt w:val="bullet"/>
      <w:lvlText w:val="o"/>
      <w:lvlJc w:val="left"/>
      <w:pPr>
        <w:ind w:left="2234" w:hanging="360"/>
      </w:pPr>
      <w:rPr>
        <w:rFonts w:ascii="Courier New" w:hAnsi="Courier New" w:cs="Courier New" w:hint="default"/>
      </w:rPr>
    </w:lvl>
    <w:lvl w:ilvl="2" w:tplc="F0E4F1FC" w:tentative="1">
      <w:start w:val="1"/>
      <w:numFmt w:val="bullet"/>
      <w:lvlText w:val=""/>
      <w:lvlJc w:val="left"/>
      <w:pPr>
        <w:ind w:left="2954" w:hanging="360"/>
      </w:pPr>
      <w:rPr>
        <w:rFonts w:ascii="Wingdings" w:hAnsi="Wingdings" w:hint="default"/>
      </w:rPr>
    </w:lvl>
    <w:lvl w:ilvl="3" w:tplc="DC425E1A" w:tentative="1">
      <w:start w:val="1"/>
      <w:numFmt w:val="bullet"/>
      <w:lvlText w:val=""/>
      <w:lvlJc w:val="left"/>
      <w:pPr>
        <w:ind w:left="3674" w:hanging="360"/>
      </w:pPr>
      <w:rPr>
        <w:rFonts w:ascii="Symbol" w:hAnsi="Symbol" w:hint="default"/>
      </w:rPr>
    </w:lvl>
    <w:lvl w:ilvl="4" w:tplc="9BC8E106" w:tentative="1">
      <w:start w:val="1"/>
      <w:numFmt w:val="bullet"/>
      <w:lvlText w:val="o"/>
      <w:lvlJc w:val="left"/>
      <w:pPr>
        <w:ind w:left="4394" w:hanging="360"/>
      </w:pPr>
      <w:rPr>
        <w:rFonts w:ascii="Courier New" w:hAnsi="Courier New" w:cs="Courier New" w:hint="default"/>
      </w:rPr>
    </w:lvl>
    <w:lvl w:ilvl="5" w:tplc="304412FE" w:tentative="1">
      <w:start w:val="1"/>
      <w:numFmt w:val="bullet"/>
      <w:lvlText w:val=""/>
      <w:lvlJc w:val="left"/>
      <w:pPr>
        <w:ind w:left="5114" w:hanging="360"/>
      </w:pPr>
      <w:rPr>
        <w:rFonts w:ascii="Wingdings" w:hAnsi="Wingdings" w:hint="default"/>
      </w:rPr>
    </w:lvl>
    <w:lvl w:ilvl="6" w:tplc="0C02019E" w:tentative="1">
      <w:start w:val="1"/>
      <w:numFmt w:val="bullet"/>
      <w:lvlText w:val=""/>
      <w:lvlJc w:val="left"/>
      <w:pPr>
        <w:ind w:left="5834" w:hanging="360"/>
      </w:pPr>
      <w:rPr>
        <w:rFonts w:ascii="Symbol" w:hAnsi="Symbol" w:hint="default"/>
      </w:rPr>
    </w:lvl>
    <w:lvl w:ilvl="7" w:tplc="4E8A5BFA" w:tentative="1">
      <w:start w:val="1"/>
      <w:numFmt w:val="bullet"/>
      <w:lvlText w:val="o"/>
      <w:lvlJc w:val="left"/>
      <w:pPr>
        <w:ind w:left="6554" w:hanging="360"/>
      </w:pPr>
      <w:rPr>
        <w:rFonts w:ascii="Courier New" w:hAnsi="Courier New" w:cs="Courier New" w:hint="default"/>
      </w:rPr>
    </w:lvl>
    <w:lvl w:ilvl="8" w:tplc="FE4AF9DA" w:tentative="1">
      <w:start w:val="1"/>
      <w:numFmt w:val="bullet"/>
      <w:lvlText w:val=""/>
      <w:lvlJc w:val="left"/>
      <w:pPr>
        <w:ind w:left="7274" w:hanging="360"/>
      </w:pPr>
      <w:rPr>
        <w:rFonts w:ascii="Wingdings" w:hAnsi="Wingdings" w:hint="default"/>
      </w:rPr>
    </w:lvl>
  </w:abstractNum>
  <w:abstractNum w:abstractNumId="1" w15:restartNumberingAfterBreak="0">
    <w:nsid w:val="5AC92C90"/>
    <w:multiLevelType w:val="hybridMultilevel"/>
    <w:tmpl w:val="A0F67760"/>
    <w:lvl w:ilvl="0" w:tplc="F6164D4E">
      <w:start w:val="1"/>
      <w:numFmt w:val="bullet"/>
      <w:lvlText w:val=""/>
      <w:lvlJc w:val="left"/>
      <w:pPr>
        <w:ind w:left="720" w:hanging="360"/>
      </w:pPr>
      <w:rPr>
        <w:rFonts w:ascii="Symbol" w:hAnsi="Symbol" w:hint="default"/>
      </w:rPr>
    </w:lvl>
    <w:lvl w:ilvl="1" w:tplc="1A524646">
      <w:start w:val="1"/>
      <w:numFmt w:val="bullet"/>
      <w:lvlText w:val=""/>
      <w:lvlJc w:val="left"/>
      <w:pPr>
        <w:ind w:left="1440" w:hanging="360"/>
      </w:pPr>
      <w:rPr>
        <w:rFonts w:ascii="Symbol" w:hAnsi="Symbol" w:hint="default"/>
      </w:rPr>
    </w:lvl>
    <w:lvl w:ilvl="2" w:tplc="65A4D90E" w:tentative="1">
      <w:start w:val="1"/>
      <w:numFmt w:val="bullet"/>
      <w:lvlText w:val=""/>
      <w:lvlJc w:val="left"/>
      <w:pPr>
        <w:ind w:left="2160" w:hanging="360"/>
      </w:pPr>
      <w:rPr>
        <w:rFonts w:ascii="Wingdings" w:hAnsi="Wingdings" w:hint="default"/>
      </w:rPr>
    </w:lvl>
    <w:lvl w:ilvl="3" w:tplc="71DEE51A" w:tentative="1">
      <w:start w:val="1"/>
      <w:numFmt w:val="bullet"/>
      <w:lvlText w:val=""/>
      <w:lvlJc w:val="left"/>
      <w:pPr>
        <w:ind w:left="2880" w:hanging="360"/>
      </w:pPr>
      <w:rPr>
        <w:rFonts w:ascii="Symbol" w:hAnsi="Symbol" w:hint="default"/>
      </w:rPr>
    </w:lvl>
    <w:lvl w:ilvl="4" w:tplc="BB24E6C4" w:tentative="1">
      <w:start w:val="1"/>
      <w:numFmt w:val="bullet"/>
      <w:lvlText w:val="o"/>
      <w:lvlJc w:val="left"/>
      <w:pPr>
        <w:ind w:left="3600" w:hanging="360"/>
      </w:pPr>
      <w:rPr>
        <w:rFonts w:ascii="Courier New" w:hAnsi="Courier New" w:cs="Courier New" w:hint="default"/>
      </w:rPr>
    </w:lvl>
    <w:lvl w:ilvl="5" w:tplc="6D6898B0" w:tentative="1">
      <w:start w:val="1"/>
      <w:numFmt w:val="bullet"/>
      <w:lvlText w:val=""/>
      <w:lvlJc w:val="left"/>
      <w:pPr>
        <w:ind w:left="4320" w:hanging="360"/>
      </w:pPr>
      <w:rPr>
        <w:rFonts w:ascii="Wingdings" w:hAnsi="Wingdings" w:hint="default"/>
      </w:rPr>
    </w:lvl>
    <w:lvl w:ilvl="6" w:tplc="41AE2E28" w:tentative="1">
      <w:start w:val="1"/>
      <w:numFmt w:val="bullet"/>
      <w:lvlText w:val=""/>
      <w:lvlJc w:val="left"/>
      <w:pPr>
        <w:ind w:left="5040" w:hanging="360"/>
      </w:pPr>
      <w:rPr>
        <w:rFonts w:ascii="Symbol" w:hAnsi="Symbol" w:hint="default"/>
      </w:rPr>
    </w:lvl>
    <w:lvl w:ilvl="7" w:tplc="0C50AA2E" w:tentative="1">
      <w:start w:val="1"/>
      <w:numFmt w:val="bullet"/>
      <w:lvlText w:val="o"/>
      <w:lvlJc w:val="left"/>
      <w:pPr>
        <w:ind w:left="5760" w:hanging="360"/>
      </w:pPr>
      <w:rPr>
        <w:rFonts w:ascii="Courier New" w:hAnsi="Courier New" w:cs="Courier New" w:hint="default"/>
      </w:rPr>
    </w:lvl>
    <w:lvl w:ilvl="8" w:tplc="58A64E7C"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E5187070">
      <w:start w:val="1"/>
      <w:numFmt w:val="bullet"/>
      <w:lvlText w:val="-"/>
      <w:lvlJc w:val="left"/>
      <w:pPr>
        <w:ind w:left="2340" w:hanging="360"/>
      </w:pPr>
      <w:rPr>
        <w:rFonts w:ascii="Calibri" w:eastAsia="Times New Roman" w:hAnsi="Calibri" w:cs="Times New Roman" w:hint="default"/>
      </w:rPr>
    </w:lvl>
    <w:lvl w:ilvl="1" w:tplc="F760B476" w:tentative="1">
      <w:start w:val="1"/>
      <w:numFmt w:val="bullet"/>
      <w:lvlText w:val="o"/>
      <w:lvlJc w:val="left"/>
      <w:pPr>
        <w:ind w:left="3060" w:hanging="360"/>
      </w:pPr>
      <w:rPr>
        <w:rFonts w:ascii="Courier New" w:hAnsi="Courier New" w:cs="Courier New" w:hint="default"/>
      </w:rPr>
    </w:lvl>
    <w:lvl w:ilvl="2" w:tplc="A68CD2AA" w:tentative="1">
      <w:start w:val="1"/>
      <w:numFmt w:val="bullet"/>
      <w:lvlText w:val=""/>
      <w:lvlJc w:val="left"/>
      <w:pPr>
        <w:ind w:left="3780" w:hanging="360"/>
      </w:pPr>
      <w:rPr>
        <w:rFonts w:ascii="Wingdings" w:hAnsi="Wingdings" w:hint="default"/>
      </w:rPr>
    </w:lvl>
    <w:lvl w:ilvl="3" w:tplc="5A5C11AA" w:tentative="1">
      <w:start w:val="1"/>
      <w:numFmt w:val="bullet"/>
      <w:lvlText w:val=""/>
      <w:lvlJc w:val="left"/>
      <w:pPr>
        <w:ind w:left="4500" w:hanging="360"/>
      </w:pPr>
      <w:rPr>
        <w:rFonts w:ascii="Symbol" w:hAnsi="Symbol" w:hint="default"/>
      </w:rPr>
    </w:lvl>
    <w:lvl w:ilvl="4" w:tplc="ECA86E76" w:tentative="1">
      <w:start w:val="1"/>
      <w:numFmt w:val="bullet"/>
      <w:lvlText w:val="o"/>
      <w:lvlJc w:val="left"/>
      <w:pPr>
        <w:ind w:left="5220" w:hanging="360"/>
      </w:pPr>
      <w:rPr>
        <w:rFonts w:ascii="Courier New" w:hAnsi="Courier New" w:cs="Courier New" w:hint="default"/>
      </w:rPr>
    </w:lvl>
    <w:lvl w:ilvl="5" w:tplc="1D62BA7C" w:tentative="1">
      <w:start w:val="1"/>
      <w:numFmt w:val="bullet"/>
      <w:lvlText w:val=""/>
      <w:lvlJc w:val="left"/>
      <w:pPr>
        <w:ind w:left="5940" w:hanging="360"/>
      </w:pPr>
      <w:rPr>
        <w:rFonts w:ascii="Wingdings" w:hAnsi="Wingdings" w:hint="default"/>
      </w:rPr>
    </w:lvl>
    <w:lvl w:ilvl="6" w:tplc="E13C6C8E" w:tentative="1">
      <w:start w:val="1"/>
      <w:numFmt w:val="bullet"/>
      <w:lvlText w:val=""/>
      <w:lvlJc w:val="left"/>
      <w:pPr>
        <w:ind w:left="6660" w:hanging="360"/>
      </w:pPr>
      <w:rPr>
        <w:rFonts w:ascii="Symbol" w:hAnsi="Symbol" w:hint="default"/>
      </w:rPr>
    </w:lvl>
    <w:lvl w:ilvl="7" w:tplc="EDB842E0" w:tentative="1">
      <w:start w:val="1"/>
      <w:numFmt w:val="bullet"/>
      <w:lvlText w:val="o"/>
      <w:lvlJc w:val="left"/>
      <w:pPr>
        <w:ind w:left="7380" w:hanging="360"/>
      </w:pPr>
      <w:rPr>
        <w:rFonts w:ascii="Courier New" w:hAnsi="Courier New" w:cs="Courier New" w:hint="default"/>
      </w:rPr>
    </w:lvl>
    <w:lvl w:ilvl="8" w:tplc="D8C2239A" w:tentative="1">
      <w:start w:val="1"/>
      <w:numFmt w:val="bullet"/>
      <w:lvlText w:val=""/>
      <w:lvlJc w:val="left"/>
      <w:pPr>
        <w:ind w:left="8100" w:hanging="360"/>
      </w:pPr>
      <w:rPr>
        <w:rFonts w:ascii="Wingdings" w:hAnsi="Wingdings" w:hint="default"/>
      </w:rPr>
    </w:lvl>
  </w:abstractNum>
  <w:abstractNum w:abstractNumId="3" w15:restartNumberingAfterBreak="0">
    <w:nsid w:val="66A223E7"/>
    <w:multiLevelType w:val="hybridMultilevel"/>
    <w:tmpl w:val="3CB2015A"/>
    <w:lvl w:ilvl="0" w:tplc="319A3086">
      <w:start w:val="1"/>
      <w:numFmt w:val="bullet"/>
      <w:lvlText w:val=""/>
      <w:lvlJc w:val="left"/>
      <w:pPr>
        <w:ind w:left="360" w:hanging="360"/>
      </w:pPr>
      <w:rPr>
        <w:rFonts w:ascii="Symbol" w:hAnsi="Symbol" w:hint="default"/>
      </w:rPr>
    </w:lvl>
    <w:lvl w:ilvl="1" w:tplc="0F70A0CA">
      <w:start w:val="1"/>
      <w:numFmt w:val="bullet"/>
      <w:lvlText w:val="o"/>
      <w:lvlJc w:val="left"/>
      <w:pPr>
        <w:ind w:left="1080" w:hanging="360"/>
      </w:pPr>
      <w:rPr>
        <w:rFonts w:ascii="Courier New" w:hAnsi="Courier New" w:cs="Courier New" w:hint="default"/>
      </w:rPr>
    </w:lvl>
    <w:lvl w:ilvl="2" w:tplc="F54271CE" w:tentative="1">
      <w:start w:val="1"/>
      <w:numFmt w:val="bullet"/>
      <w:lvlText w:val=""/>
      <w:lvlJc w:val="left"/>
      <w:pPr>
        <w:ind w:left="1800" w:hanging="360"/>
      </w:pPr>
      <w:rPr>
        <w:rFonts w:ascii="Wingdings" w:hAnsi="Wingdings" w:hint="default"/>
      </w:rPr>
    </w:lvl>
    <w:lvl w:ilvl="3" w:tplc="4846F67C" w:tentative="1">
      <w:start w:val="1"/>
      <w:numFmt w:val="bullet"/>
      <w:lvlText w:val=""/>
      <w:lvlJc w:val="left"/>
      <w:pPr>
        <w:ind w:left="2520" w:hanging="360"/>
      </w:pPr>
      <w:rPr>
        <w:rFonts w:ascii="Symbol" w:hAnsi="Symbol" w:hint="default"/>
      </w:rPr>
    </w:lvl>
    <w:lvl w:ilvl="4" w:tplc="9FDC34CE" w:tentative="1">
      <w:start w:val="1"/>
      <w:numFmt w:val="bullet"/>
      <w:lvlText w:val="o"/>
      <w:lvlJc w:val="left"/>
      <w:pPr>
        <w:ind w:left="3240" w:hanging="360"/>
      </w:pPr>
      <w:rPr>
        <w:rFonts w:ascii="Courier New" w:hAnsi="Courier New" w:cs="Courier New" w:hint="default"/>
      </w:rPr>
    </w:lvl>
    <w:lvl w:ilvl="5" w:tplc="12FCAD30" w:tentative="1">
      <w:start w:val="1"/>
      <w:numFmt w:val="bullet"/>
      <w:lvlText w:val=""/>
      <w:lvlJc w:val="left"/>
      <w:pPr>
        <w:ind w:left="3960" w:hanging="360"/>
      </w:pPr>
      <w:rPr>
        <w:rFonts w:ascii="Wingdings" w:hAnsi="Wingdings" w:hint="default"/>
      </w:rPr>
    </w:lvl>
    <w:lvl w:ilvl="6" w:tplc="93C678D8" w:tentative="1">
      <w:start w:val="1"/>
      <w:numFmt w:val="bullet"/>
      <w:lvlText w:val=""/>
      <w:lvlJc w:val="left"/>
      <w:pPr>
        <w:ind w:left="4680" w:hanging="360"/>
      </w:pPr>
      <w:rPr>
        <w:rFonts w:ascii="Symbol" w:hAnsi="Symbol" w:hint="default"/>
      </w:rPr>
    </w:lvl>
    <w:lvl w:ilvl="7" w:tplc="989875DE" w:tentative="1">
      <w:start w:val="1"/>
      <w:numFmt w:val="bullet"/>
      <w:lvlText w:val="o"/>
      <w:lvlJc w:val="left"/>
      <w:pPr>
        <w:ind w:left="5400" w:hanging="360"/>
      </w:pPr>
      <w:rPr>
        <w:rFonts w:ascii="Courier New" w:hAnsi="Courier New" w:cs="Courier New" w:hint="default"/>
      </w:rPr>
    </w:lvl>
    <w:lvl w:ilvl="8" w:tplc="57B2C098"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81"/>
    <w:rsid w:val="00010714"/>
    <w:rsid w:val="000121C6"/>
    <w:rsid w:val="00023BDE"/>
    <w:rsid w:val="00040A53"/>
    <w:rsid w:val="00044EE5"/>
    <w:rsid w:val="0009785C"/>
    <w:rsid w:val="00192EE7"/>
    <w:rsid w:val="0019604F"/>
    <w:rsid w:val="002112A7"/>
    <w:rsid w:val="00275688"/>
    <w:rsid w:val="00287393"/>
    <w:rsid w:val="002F0618"/>
    <w:rsid w:val="003255BD"/>
    <w:rsid w:val="003D290F"/>
    <w:rsid w:val="00432CCA"/>
    <w:rsid w:val="004E7739"/>
    <w:rsid w:val="004F4593"/>
    <w:rsid w:val="00507CEB"/>
    <w:rsid w:val="0052154E"/>
    <w:rsid w:val="006E6213"/>
    <w:rsid w:val="006E79DD"/>
    <w:rsid w:val="007B2361"/>
    <w:rsid w:val="008A2E37"/>
    <w:rsid w:val="008B1D69"/>
    <w:rsid w:val="00936B58"/>
    <w:rsid w:val="009D1143"/>
    <w:rsid w:val="009F7094"/>
    <w:rsid w:val="00A43376"/>
    <w:rsid w:val="00A45D6C"/>
    <w:rsid w:val="00A4707F"/>
    <w:rsid w:val="00A56DD7"/>
    <w:rsid w:val="00A7068E"/>
    <w:rsid w:val="00A86D8C"/>
    <w:rsid w:val="00AD113D"/>
    <w:rsid w:val="00B05D34"/>
    <w:rsid w:val="00B34C5F"/>
    <w:rsid w:val="00B83DDB"/>
    <w:rsid w:val="00B96113"/>
    <w:rsid w:val="00CB76B5"/>
    <w:rsid w:val="00D11CD8"/>
    <w:rsid w:val="00D349AF"/>
    <w:rsid w:val="00D54CBA"/>
    <w:rsid w:val="00D93981"/>
    <w:rsid w:val="00DA2D3B"/>
    <w:rsid w:val="00E10CAD"/>
    <w:rsid w:val="00E748F1"/>
    <w:rsid w:val="00EF1676"/>
    <w:rsid w:val="00F654EC"/>
    <w:rsid w:val="00F951B8"/>
    <w:rsid w:val="00F972FF"/>
    <w:rsid w:val="00F97AA3"/>
    <w:rsid w:val="00F97B3F"/>
    <w:rsid w:val="00FA17D7"/>
    <w:rsid w:val="00FC6067"/>
    <w:rsid w:val="00FD68D0"/>
    <w:rsid w:val="00FE07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57724D-CB76-425E-A641-87AE0852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076943"/>
    <w:rPr>
      <w:rFonts w:asciiTheme="minorHAnsi" w:hAnsiTheme="minorHAnsi"/>
      <w:sz w:val="24"/>
      <w:lang w:val="fr-CH" w:eastAsia="en-US"/>
    </w:rPr>
  </w:style>
  <w:style w:type="character" w:styleId="FollowedHyperlink">
    <w:name w:val="FollowedHyperlink"/>
    <w:basedOn w:val="DefaultParagraphFont"/>
    <w:semiHidden/>
    <w:unhideWhenUsed/>
    <w:rsid w:val="00520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ndex.php?option=com_content&amp;view=article&amp;id=226&amp;catid=2&amp;lang=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at\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141D-4A59-4358-AF6E-97D418F0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4</TotalTime>
  <Pages>3</Pages>
  <Words>1021</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Rossat, Christine</dc:creator>
  <cp:lastModifiedBy>Royer, Veronique</cp:lastModifiedBy>
  <cp:revision>9</cp:revision>
  <cp:lastPrinted>2014-11-04T09:22:00Z</cp:lastPrinted>
  <dcterms:created xsi:type="dcterms:W3CDTF">2019-04-02T08:21:00Z</dcterms:created>
  <dcterms:modified xsi:type="dcterms:W3CDTF">2019-04-02T08:44:00Z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