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01787E" w:rsidTr="00D92762">
        <w:trPr>
          <w:cantSplit/>
          <w:trHeight w:val="1134"/>
        </w:trPr>
        <w:tc>
          <w:tcPr>
            <w:tcW w:w="6663" w:type="dxa"/>
            <w:tcBorders>
              <w:bottom w:val="single" w:sz="12" w:space="0" w:color="auto"/>
            </w:tcBorders>
          </w:tcPr>
          <w:p w:rsidR="00D372A5" w:rsidRPr="0001787E" w:rsidRDefault="00D372A5" w:rsidP="00BC7208">
            <w:pPr>
              <w:rPr>
                <w:b/>
                <w:bCs/>
                <w:sz w:val="32"/>
                <w:szCs w:val="32"/>
                <w:lang w:val="es-ES"/>
              </w:rPr>
            </w:pPr>
            <w:bookmarkStart w:id="0" w:name="_GoBack"/>
            <w:bookmarkEnd w:id="0"/>
            <w:r w:rsidRPr="0001787E">
              <w:rPr>
                <w:rFonts w:cstheme="minorHAnsi"/>
                <w:b/>
                <w:bCs/>
                <w:sz w:val="32"/>
                <w:szCs w:val="32"/>
                <w:lang w:val="es-ES"/>
              </w:rPr>
              <w:t>Grupo Asesor de Desarrollo de las Telecomunicaciones (GADT</w:t>
            </w:r>
            <w:r w:rsidRPr="0001787E">
              <w:rPr>
                <w:b/>
                <w:bCs/>
                <w:sz w:val="32"/>
                <w:szCs w:val="32"/>
                <w:lang w:val="es-ES"/>
              </w:rPr>
              <w:t>)</w:t>
            </w:r>
          </w:p>
          <w:p w:rsidR="00D372A5" w:rsidRPr="0001787E" w:rsidRDefault="004E7861" w:rsidP="000725A1">
            <w:pPr>
              <w:spacing w:before="100" w:after="120"/>
              <w:rPr>
                <w:rFonts w:ascii="Verdana" w:hAnsi="Verdana"/>
                <w:sz w:val="28"/>
                <w:szCs w:val="28"/>
                <w:lang w:val="es-ES"/>
              </w:rPr>
            </w:pPr>
            <w:r w:rsidRPr="0001787E">
              <w:rPr>
                <w:b/>
                <w:bCs/>
                <w:sz w:val="26"/>
                <w:szCs w:val="26"/>
                <w:lang w:val="es-ES"/>
              </w:rPr>
              <w:t>24ª reunión, Ginebra, 3-5 de abril de 2019</w:t>
            </w:r>
          </w:p>
        </w:tc>
        <w:tc>
          <w:tcPr>
            <w:tcW w:w="3225" w:type="dxa"/>
            <w:tcBorders>
              <w:bottom w:val="single" w:sz="12" w:space="0" w:color="auto"/>
            </w:tcBorders>
          </w:tcPr>
          <w:p w:rsidR="00D372A5" w:rsidRPr="0001787E" w:rsidRDefault="004E7861" w:rsidP="004E7861">
            <w:pPr>
              <w:spacing w:before="40" w:after="80"/>
              <w:ind w:right="142"/>
              <w:jc w:val="right"/>
              <w:rPr>
                <w:lang w:val="es-ES"/>
              </w:rPr>
            </w:pPr>
            <w:r w:rsidRPr="0001787E">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01787E" w:rsidTr="004B7893">
        <w:trPr>
          <w:cantSplit/>
        </w:trPr>
        <w:tc>
          <w:tcPr>
            <w:tcW w:w="6663" w:type="dxa"/>
            <w:tcBorders>
              <w:top w:val="single" w:sz="12" w:space="0" w:color="auto"/>
            </w:tcBorders>
          </w:tcPr>
          <w:p w:rsidR="004B7893" w:rsidRPr="0001787E" w:rsidRDefault="004B7893" w:rsidP="004B7893">
            <w:pPr>
              <w:spacing w:before="0"/>
              <w:rPr>
                <w:rFonts w:cs="Arial"/>
                <w:b/>
                <w:bCs/>
                <w:sz w:val="20"/>
                <w:lang w:val="es-ES"/>
              </w:rPr>
            </w:pPr>
          </w:p>
        </w:tc>
        <w:tc>
          <w:tcPr>
            <w:tcW w:w="3225" w:type="dxa"/>
            <w:tcBorders>
              <w:top w:val="single" w:sz="12" w:space="0" w:color="auto"/>
            </w:tcBorders>
          </w:tcPr>
          <w:p w:rsidR="004B7893" w:rsidRPr="0001787E" w:rsidRDefault="004B7893" w:rsidP="004B7893">
            <w:pPr>
              <w:spacing w:before="0"/>
              <w:rPr>
                <w:b/>
                <w:bCs/>
                <w:sz w:val="20"/>
                <w:lang w:val="es-ES"/>
              </w:rPr>
            </w:pPr>
          </w:p>
        </w:tc>
      </w:tr>
      <w:tr w:rsidR="004B7893" w:rsidRPr="0001787E" w:rsidTr="004B7893">
        <w:trPr>
          <w:cantSplit/>
        </w:trPr>
        <w:tc>
          <w:tcPr>
            <w:tcW w:w="6663" w:type="dxa"/>
          </w:tcPr>
          <w:p w:rsidR="004B7893" w:rsidRPr="0001787E" w:rsidRDefault="004B7893" w:rsidP="004B7893">
            <w:pPr>
              <w:pStyle w:val="Committee"/>
              <w:spacing w:before="0"/>
              <w:rPr>
                <w:b w:val="0"/>
                <w:lang w:val="es-ES"/>
              </w:rPr>
            </w:pPr>
          </w:p>
        </w:tc>
        <w:tc>
          <w:tcPr>
            <w:tcW w:w="3225" w:type="dxa"/>
          </w:tcPr>
          <w:p w:rsidR="004B7893" w:rsidRPr="0001787E" w:rsidRDefault="005637B9" w:rsidP="004A5BFD">
            <w:pPr>
              <w:spacing w:before="0"/>
              <w:rPr>
                <w:bCs/>
                <w:lang w:val="es-ES"/>
              </w:rPr>
            </w:pPr>
            <w:r w:rsidRPr="0001787E">
              <w:rPr>
                <w:b/>
                <w:bCs/>
                <w:lang w:val="es-ES"/>
              </w:rPr>
              <w:t xml:space="preserve">Documento </w:t>
            </w:r>
            <w:bookmarkStart w:id="1" w:name="DocRef1"/>
            <w:bookmarkEnd w:id="1"/>
            <w:r w:rsidRPr="0001787E">
              <w:rPr>
                <w:b/>
                <w:bCs/>
                <w:lang w:val="es-ES"/>
              </w:rPr>
              <w:t>TDAG</w:t>
            </w:r>
            <w:r w:rsidR="00602B27" w:rsidRPr="0001787E">
              <w:rPr>
                <w:b/>
                <w:bCs/>
                <w:lang w:val="es-ES"/>
              </w:rPr>
              <w:t>-</w:t>
            </w:r>
            <w:r w:rsidRPr="0001787E">
              <w:rPr>
                <w:b/>
                <w:bCs/>
                <w:lang w:val="es-ES"/>
              </w:rPr>
              <w:t>1</w:t>
            </w:r>
            <w:r w:rsidR="004E7861" w:rsidRPr="0001787E">
              <w:rPr>
                <w:b/>
                <w:bCs/>
                <w:lang w:val="es-ES"/>
              </w:rPr>
              <w:t>9</w:t>
            </w:r>
            <w:r w:rsidRPr="0001787E">
              <w:rPr>
                <w:b/>
                <w:bCs/>
                <w:lang w:val="es-ES"/>
              </w:rPr>
              <w:t>/</w:t>
            </w:r>
            <w:bookmarkStart w:id="2" w:name="DocNo1"/>
            <w:bookmarkEnd w:id="2"/>
            <w:r w:rsidR="004A5BFD" w:rsidRPr="0001787E">
              <w:rPr>
                <w:b/>
                <w:bCs/>
                <w:lang w:val="es-ES"/>
              </w:rPr>
              <w:t>19</w:t>
            </w:r>
            <w:r w:rsidRPr="0001787E">
              <w:rPr>
                <w:b/>
                <w:bCs/>
                <w:lang w:val="es-ES"/>
              </w:rPr>
              <w:t>-S</w:t>
            </w:r>
          </w:p>
        </w:tc>
      </w:tr>
      <w:tr w:rsidR="004B7893" w:rsidRPr="0001787E" w:rsidTr="004B7893">
        <w:trPr>
          <w:cantSplit/>
        </w:trPr>
        <w:tc>
          <w:tcPr>
            <w:tcW w:w="6663" w:type="dxa"/>
          </w:tcPr>
          <w:p w:rsidR="004B7893" w:rsidRPr="0001787E" w:rsidRDefault="004B7893" w:rsidP="004B7893">
            <w:pPr>
              <w:spacing w:before="0"/>
              <w:rPr>
                <w:b/>
                <w:bCs/>
                <w:smallCaps/>
                <w:lang w:val="es-ES"/>
              </w:rPr>
            </w:pPr>
          </w:p>
        </w:tc>
        <w:tc>
          <w:tcPr>
            <w:tcW w:w="3225" w:type="dxa"/>
          </w:tcPr>
          <w:p w:rsidR="004B7893" w:rsidRPr="0001787E" w:rsidRDefault="004A5BFD" w:rsidP="00FC1BE0">
            <w:pPr>
              <w:spacing w:before="0"/>
              <w:rPr>
                <w:b/>
                <w:lang w:val="es-ES"/>
              </w:rPr>
            </w:pPr>
            <w:bookmarkStart w:id="3" w:name="CreationDate"/>
            <w:bookmarkEnd w:id="3"/>
            <w:r w:rsidRPr="0001787E">
              <w:rPr>
                <w:b/>
                <w:bCs/>
                <w:szCs w:val="28"/>
                <w:lang w:val="es-ES"/>
              </w:rPr>
              <w:t xml:space="preserve">23 </w:t>
            </w:r>
            <w:r w:rsidR="00FC1BE0" w:rsidRPr="0001787E">
              <w:rPr>
                <w:b/>
                <w:bCs/>
                <w:szCs w:val="28"/>
                <w:lang w:val="es-ES"/>
              </w:rPr>
              <w:t>de enero</w:t>
            </w:r>
            <w:r w:rsidRPr="0001787E">
              <w:rPr>
                <w:b/>
                <w:bCs/>
                <w:szCs w:val="28"/>
                <w:lang w:val="es-ES"/>
              </w:rPr>
              <w:t xml:space="preserve"> de </w:t>
            </w:r>
            <w:r w:rsidR="00BC7208" w:rsidRPr="0001787E">
              <w:rPr>
                <w:b/>
                <w:bCs/>
                <w:szCs w:val="28"/>
                <w:lang w:val="es-ES"/>
              </w:rPr>
              <w:t>201</w:t>
            </w:r>
            <w:r w:rsidR="004E7861" w:rsidRPr="0001787E">
              <w:rPr>
                <w:b/>
                <w:bCs/>
                <w:szCs w:val="28"/>
                <w:lang w:val="es-ES"/>
              </w:rPr>
              <w:t>9</w:t>
            </w:r>
          </w:p>
        </w:tc>
      </w:tr>
      <w:tr w:rsidR="004B7893" w:rsidRPr="0001787E" w:rsidTr="004B7893">
        <w:trPr>
          <w:cantSplit/>
        </w:trPr>
        <w:tc>
          <w:tcPr>
            <w:tcW w:w="6663" w:type="dxa"/>
          </w:tcPr>
          <w:p w:rsidR="004B7893" w:rsidRPr="0001787E" w:rsidRDefault="004B7893" w:rsidP="004B7893">
            <w:pPr>
              <w:spacing w:before="0"/>
              <w:rPr>
                <w:b/>
                <w:bCs/>
                <w:smallCaps/>
                <w:lang w:val="es-ES"/>
              </w:rPr>
            </w:pPr>
          </w:p>
        </w:tc>
        <w:tc>
          <w:tcPr>
            <w:tcW w:w="3225" w:type="dxa"/>
          </w:tcPr>
          <w:p w:rsidR="004B7893" w:rsidRPr="0001787E" w:rsidRDefault="005637B9" w:rsidP="004B7893">
            <w:pPr>
              <w:spacing w:before="0"/>
              <w:rPr>
                <w:szCs w:val="24"/>
                <w:lang w:val="es-ES"/>
              </w:rPr>
            </w:pPr>
            <w:r w:rsidRPr="0001787E">
              <w:rPr>
                <w:b/>
                <w:lang w:val="es-ES"/>
              </w:rPr>
              <w:t>Original:</w:t>
            </w:r>
            <w:bookmarkStart w:id="4" w:name="Original"/>
            <w:bookmarkEnd w:id="4"/>
            <w:r w:rsidRPr="0001787E">
              <w:rPr>
                <w:b/>
                <w:lang w:val="es-ES"/>
              </w:rPr>
              <w:t xml:space="preserve"> </w:t>
            </w:r>
            <w:r w:rsidR="004A5BFD" w:rsidRPr="0001787E">
              <w:rPr>
                <w:b/>
                <w:lang w:val="es-ES"/>
              </w:rPr>
              <w:t>inglés</w:t>
            </w:r>
          </w:p>
        </w:tc>
      </w:tr>
      <w:tr w:rsidR="004B7893" w:rsidRPr="007C27ED" w:rsidTr="004B7893">
        <w:trPr>
          <w:cantSplit/>
          <w:trHeight w:val="852"/>
        </w:trPr>
        <w:tc>
          <w:tcPr>
            <w:tcW w:w="9888" w:type="dxa"/>
            <w:gridSpan w:val="2"/>
          </w:tcPr>
          <w:p w:rsidR="004B7893" w:rsidRPr="0001787E" w:rsidRDefault="004A5BFD" w:rsidP="00596EFE">
            <w:pPr>
              <w:pStyle w:val="Source"/>
              <w:rPr>
                <w:szCs w:val="28"/>
                <w:lang w:val="es-ES"/>
              </w:rPr>
            </w:pPr>
            <w:bookmarkStart w:id="5" w:name="Source"/>
            <w:bookmarkEnd w:id="5"/>
            <w:r w:rsidRPr="0001787E">
              <w:rPr>
                <w:lang w:val="es-ES"/>
              </w:rPr>
              <w:t xml:space="preserve">Director, </w:t>
            </w:r>
            <w:r w:rsidR="00596EFE" w:rsidRPr="0001787E">
              <w:rPr>
                <w:lang w:val="es-ES"/>
              </w:rPr>
              <w:t>Oficina de Desarrollo de las Telecomun</w:t>
            </w:r>
            <w:r w:rsidR="00896F67" w:rsidRPr="0001787E">
              <w:rPr>
                <w:lang w:val="es-ES"/>
              </w:rPr>
              <w:t>i</w:t>
            </w:r>
            <w:r w:rsidR="00596EFE" w:rsidRPr="0001787E">
              <w:rPr>
                <w:lang w:val="es-ES"/>
              </w:rPr>
              <w:t>caciones</w:t>
            </w:r>
          </w:p>
        </w:tc>
      </w:tr>
      <w:tr w:rsidR="004B7893" w:rsidRPr="007C27ED" w:rsidTr="004B7893">
        <w:trPr>
          <w:cantSplit/>
        </w:trPr>
        <w:tc>
          <w:tcPr>
            <w:tcW w:w="9888" w:type="dxa"/>
            <w:gridSpan w:val="2"/>
          </w:tcPr>
          <w:p w:rsidR="004B7893" w:rsidRPr="0001787E" w:rsidRDefault="00596EFE" w:rsidP="00596EFE">
            <w:pPr>
              <w:pStyle w:val="Title1"/>
              <w:rPr>
                <w:bCs/>
                <w:szCs w:val="28"/>
                <w:lang w:val="es-ES"/>
              </w:rPr>
            </w:pPr>
            <w:bookmarkStart w:id="6" w:name="Title"/>
            <w:bookmarkEnd w:id="6"/>
            <w:r w:rsidRPr="0001787E">
              <w:rPr>
                <w:szCs w:val="28"/>
                <w:lang w:val="es-ES"/>
              </w:rPr>
              <w:t xml:space="preserve">Informe sobre datos y estadísticas de TIC de </w:t>
            </w:r>
            <w:r w:rsidR="004A5BFD" w:rsidRPr="0001787E">
              <w:rPr>
                <w:szCs w:val="28"/>
                <w:lang w:val="es-ES"/>
              </w:rPr>
              <w:t>2018</w:t>
            </w:r>
          </w:p>
        </w:tc>
      </w:tr>
      <w:tr w:rsidR="004B7893" w:rsidRPr="007C27ED" w:rsidTr="004B7893">
        <w:trPr>
          <w:cantSplit/>
        </w:trPr>
        <w:tc>
          <w:tcPr>
            <w:tcW w:w="9888" w:type="dxa"/>
            <w:gridSpan w:val="2"/>
            <w:tcBorders>
              <w:bottom w:val="single" w:sz="4" w:space="0" w:color="auto"/>
            </w:tcBorders>
          </w:tcPr>
          <w:p w:rsidR="004B7893" w:rsidRPr="0001787E" w:rsidRDefault="004B7893" w:rsidP="00BC7208">
            <w:pPr>
              <w:rPr>
                <w:lang w:val="es-ES"/>
              </w:rPr>
            </w:pPr>
          </w:p>
        </w:tc>
      </w:tr>
      <w:tr w:rsidR="004B7893" w:rsidRPr="007C27E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01787E" w:rsidRDefault="004B7893" w:rsidP="004B7893">
            <w:pPr>
              <w:spacing w:before="240"/>
              <w:rPr>
                <w:b/>
                <w:bCs/>
                <w:lang w:val="es-ES"/>
              </w:rPr>
            </w:pPr>
            <w:r w:rsidRPr="0001787E">
              <w:rPr>
                <w:b/>
                <w:bCs/>
                <w:lang w:val="es-ES"/>
              </w:rPr>
              <w:t>Resumen:</w:t>
            </w:r>
          </w:p>
          <w:p w:rsidR="004B7893" w:rsidRPr="0001787E" w:rsidRDefault="00596EFE" w:rsidP="00D46D62">
            <w:pPr>
              <w:rPr>
                <w:b/>
                <w:bCs/>
                <w:lang w:val="es-ES"/>
              </w:rPr>
            </w:pPr>
            <w:r w:rsidRPr="0001787E">
              <w:rPr>
                <w:lang w:val="es-ES"/>
              </w:rPr>
              <w:t xml:space="preserve">En este documento se </w:t>
            </w:r>
            <w:r w:rsidR="00953B40" w:rsidRPr="0001787E">
              <w:rPr>
                <w:lang w:val="es-ES"/>
              </w:rPr>
              <w:t xml:space="preserve">ofrece </w:t>
            </w:r>
            <w:r w:rsidRPr="0001787E">
              <w:rPr>
                <w:lang w:val="es-ES"/>
              </w:rPr>
              <w:t xml:space="preserve">un resumen de la labor sobre datos y estadísticas de TIC realizada durante el período posterior a la última reunión del </w:t>
            </w:r>
            <w:r w:rsidRPr="0001787E">
              <w:rPr>
                <w:color w:val="000000"/>
                <w:lang w:val="es-ES"/>
              </w:rPr>
              <w:t>GADT</w:t>
            </w:r>
            <w:r w:rsidRPr="0001787E">
              <w:rPr>
                <w:lang w:val="es-ES"/>
              </w:rPr>
              <w:t xml:space="preserve"> en </w:t>
            </w:r>
            <w:r w:rsidR="004A5BFD" w:rsidRPr="0001787E">
              <w:rPr>
                <w:lang w:val="es-ES"/>
              </w:rPr>
              <w:t xml:space="preserve">2018. </w:t>
            </w:r>
            <w:r w:rsidR="00DE27C7" w:rsidRPr="0001787E">
              <w:rPr>
                <w:lang w:val="es-ES"/>
              </w:rPr>
              <w:t>E</w:t>
            </w:r>
            <w:r w:rsidRPr="0001787E">
              <w:rPr>
                <w:lang w:val="es-ES"/>
              </w:rPr>
              <w:t xml:space="preserve">l informe abarca la recopilación y </w:t>
            </w:r>
            <w:r w:rsidR="00D706B8" w:rsidRPr="0001787E">
              <w:rPr>
                <w:lang w:val="es-ES"/>
              </w:rPr>
              <w:t>difusión</w:t>
            </w:r>
            <w:r w:rsidRPr="0001787E">
              <w:rPr>
                <w:lang w:val="es-ES"/>
              </w:rPr>
              <w:t xml:space="preserve"> de datos, la elaboración de metodologías, el análisis de datos y la c</w:t>
            </w:r>
            <w:r w:rsidR="00D46D62">
              <w:rPr>
                <w:lang w:val="es-ES"/>
              </w:rPr>
              <w:t>apacitación</w:t>
            </w:r>
            <w:r w:rsidR="004A5BFD" w:rsidRPr="0001787E">
              <w:rPr>
                <w:lang w:val="es-ES"/>
              </w:rPr>
              <w:t>.</w:t>
            </w:r>
          </w:p>
          <w:p w:rsidR="004B7893" w:rsidRPr="007C27ED" w:rsidRDefault="004B7893" w:rsidP="004B7893">
            <w:pPr>
              <w:rPr>
                <w:b/>
                <w:bCs/>
                <w:lang w:val="es-ES"/>
              </w:rPr>
            </w:pPr>
            <w:r w:rsidRPr="007C27ED">
              <w:rPr>
                <w:b/>
                <w:bCs/>
                <w:lang w:val="es-ES"/>
              </w:rPr>
              <w:t>Acción solicitada:</w:t>
            </w:r>
          </w:p>
          <w:p w:rsidR="004B7893" w:rsidRPr="0001787E" w:rsidRDefault="00D80780" w:rsidP="00596EFE">
            <w:pPr>
              <w:rPr>
                <w:szCs w:val="24"/>
                <w:lang w:val="es-ES"/>
              </w:rPr>
            </w:pPr>
            <w:r w:rsidRPr="007C27ED">
              <w:rPr>
                <w:rFonts w:cstheme="minorHAnsi"/>
                <w:color w:val="000000"/>
                <w:szCs w:val="24"/>
                <w:lang w:val="es-ES"/>
              </w:rPr>
              <w:t>Se invita al GADT a que tome nota del presente informe y formule los comentarios que estime oportunos</w:t>
            </w:r>
            <w:r w:rsidRPr="0001787E">
              <w:rPr>
                <w:rFonts w:cstheme="minorHAnsi"/>
                <w:color w:val="000000"/>
                <w:szCs w:val="24"/>
                <w:lang w:val="es-ES"/>
              </w:rPr>
              <w:t>.</w:t>
            </w:r>
          </w:p>
          <w:p w:rsidR="004B7893" w:rsidRPr="0001787E" w:rsidRDefault="004B7893" w:rsidP="004B7893">
            <w:pPr>
              <w:rPr>
                <w:b/>
                <w:bCs/>
                <w:lang w:val="es-ES"/>
              </w:rPr>
            </w:pPr>
            <w:r w:rsidRPr="0001787E">
              <w:rPr>
                <w:b/>
                <w:bCs/>
                <w:lang w:val="es-ES"/>
              </w:rPr>
              <w:t>Referencias:</w:t>
            </w:r>
          </w:p>
          <w:p w:rsidR="004B7893" w:rsidRPr="0001787E" w:rsidRDefault="00E03CD7" w:rsidP="00AE40F2">
            <w:pPr>
              <w:spacing w:after="120"/>
              <w:rPr>
                <w:b/>
                <w:bCs/>
                <w:lang w:val="es-ES"/>
              </w:rPr>
            </w:pPr>
            <w:r w:rsidRPr="0001787E">
              <w:rPr>
                <w:lang w:val="es-ES"/>
              </w:rPr>
              <w:t>Resolución</w:t>
            </w:r>
            <w:r w:rsidR="004A5BFD" w:rsidRPr="0001787E">
              <w:rPr>
                <w:lang w:val="es-ES"/>
              </w:rPr>
              <w:t xml:space="preserve"> 8 (Rev. Buenos Aires, 2017)</w:t>
            </w:r>
            <w:r w:rsidRPr="0001787E">
              <w:rPr>
                <w:lang w:val="es-ES"/>
              </w:rPr>
              <w:t xml:space="preserve"> de la </w:t>
            </w:r>
            <w:r w:rsidRPr="0001787E">
              <w:rPr>
                <w:color w:val="000000"/>
                <w:lang w:val="es-ES"/>
              </w:rPr>
              <w:t>CMDT</w:t>
            </w:r>
            <w:r w:rsidR="004A5BFD" w:rsidRPr="0001787E">
              <w:rPr>
                <w:lang w:val="es-ES"/>
              </w:rPr>
              <w:t xml:space="preserve">; </w:t>
            </w:r>
            <w:r w:rsidRPr="0001787E">
              <w:rPr>
                <w:lang w:val="es-ES"/>
              </w:rPr>
              <w:t>Resolución 131 (Rev. Dubá</w:t>
            </w:r>
            <w:r w:rsidR="004A5BFD" w:rsidRPr="0001787E">
              <w:rPr>
                <w:lang w:val="es-ES"/>
              </w:rPr>
              <w:t>i, 2018)</w:t>
            </w:r>
            <w:r w:rsidRPr="0001787E">
              <w:rPr>
                <w:lang w:val="es-ES"/>
              </w:rPr>
              <w:t xml:space="preserve"> de la PP</w:t>
            </w:r>
            <w:r w:rsidR="004A5BFD" w:rsidRPr="0001787E">
              <w:rPr>
                <w:lang w:val="es-ES"/>
              </w:rPr>
              <w:t>.</w:t>
            </w:r>
          </w:p>
        </w:tc>
      </w:tr>
    </w:tbl>
    <w:p w:rsidR="00991B13" w:rsidRPr="0001787E" w:rsidRDefault="00991B13" w:rsidP="00991B13">
      <w:pPr>
        <w:rPr>
          <w:lang w:val="es-ES"/>
        </w:rPr>
      </w:pPr>
    </w:p>
    <w:p w:rsidR="004A5BFD" w:rsidRPr="0001787E" w:rsidRDefault="004A5BFD" w:rsidP="00991B13">
      <w:pPr>
        <w:rPr>
          <w:lang w:val="es-ES"/>
        </w:rPr>
      </w:pPr>
    </w:p>
    <w:p w:rsidR="004A5BFD" w:rsidRPr="0001787E" w:rsidRDefault="004A5BFD" w:rsidP="00A77152">
      <w:pPr>
        <w:pStyle w:val="Heading1"/>
        <w:rPr>
          <w:lang w:val="es-ES"/>
        </w:rPr>
      </w:pPr>
      <w:r w:rsidRPr="0001787E">
        <w:rPr>
          <w:lang w:val="es-ES"/>
        </w:rPr>
        <w:br w:type="page"/>
      </w:r>
      <w:r w:rsidRPr="0001787E">
        <w:rPr>
          <w:lang w:val="es-ES"/>
        </w:rPr>
        <w:lastRenderedPageBreak/>
        <w:t>1</w:t>
      </w:r>
      <w:r w:rsidRPr="0001787E">
        <w:rPr>
          <w:lang w:val="es-ES"/>
        </w:rPr>
        <w:tab/>
      </w:r>
      <w:r w:rsidR="00A77152" w:rsidRPr="0001787E">
        <w:rPr>
          <w:lang w:val="es-ES"/>
        </w:rPr>
        <w:t>Introducción</w:t>
      </w:r>
    </w:p>
    <w:p w:rsidR="004A5BFD" w:rsidRPr="0001787E" w:rsidRDefault="00A77152" w:rsidP="00E75FAC">
      <w:pPr>
        <w:rPr>
          <w:lang w:val="es-ES"/>
        </w:rPr>
      </w:pPr>
      <w:r w:rsidRPr="0001787E">
        <w:rPr>
          <w:lang w:val="es-ES"/>
        </w:rPr>
        <w:t xml:space="preserve">El informe se basa en la labor de la UIT </w:t>
      </w:r>
      <w:r w:rsidR="00C00454" w:rsidRPr="0001787E">
        <w:rPr>
          <w:lang w:val="es-ES"/>
        </w:rPr>
        <w:t>sobre</w:t>
      </w:r>
      <w:r w:rsidRPr="0001787E">
        <w:rPr>
          <w:lang w:val="es-ES"/>
        </w:rPr>
        <w:t xml:space="preserve"> elaboración y recopilación de estadísticas de</w:t>
      </w:r>
      <w:r w:rsidR="00E75FAC">
        <w:rPr>
          <w:lang w:val="es-ES"/>
        </w:rPr>
        <w:t> </w:t>
      </w:r>
      <w:r w:rsidRPr="0001787E">
        <w:rPr>
          <w:lang w:val="es-ES"/>
        </w:rPr>
        <w:t xml:space="preserve">TIC comparables </w:t>
      </w:r>
      <w:r w:rsidR="00D34C51" w:rsidRPr="0001787E">
        <w:rPr>
          <w:lang w:val="es-ES"/>
        </w:rPr>
        <w:t xml:space="preserve">a escala </w:t>
      </w:r>
      <w:r w:rsidRPr="0001787E">
        <w:rPr>
          <w:lang w:val="es-ES"/>
        </w:rPr>
        <w:t xml:space="preserve">internacional, que comprende, entre otras cosas, la recopilación y </w:t>
      </w:r>
      <w:r w:rsidR="00D706B8" w:rsidRPr="0001787E">
        <w:rPr>
          <w:lang w:val="es-ES"/>
        </w:rPr>
        <w:t>difusión</w:t>
      </w:r>
      <w:r w:rsidRPr="0001787E">
        <w:rPr>
          <w:lang w:val="es-ES"/>
        </w:rPr>
        <w:t xml:space="preserve"> de datos, la elaboración de metodologías, el análisis de datos y la c</w:t>
      </w:r>
      <w:r w:rsidR="00D46D62">
        <w:rPr>
          <w:lang w:val="es-ES"/>
        </w:rPr>
        <w:t>apacitación</w:t>
      </w:r>
      <w:r w:rsidR="00E75FAC">
        <w:rPr>
          <w:lang w:val="es-ES"/>
        </w:rPr>
        <w:t>.</w:t>
      </w:r>
    </w:p>
    <w:p w:rsidR="004A5BFD" w:rsidRPr="0001787E" w:rsidRDefault="004A5BFD" w:rsidP="00D53C1A">
      <w:pPr>
        <w:pStyle w:val="Heading1"/>
        <w:rPr>
          <w:b w:val="0"/>
          <w:bCs/>
          <w:lang w:val="es-ES"/>
        </w:rPr>
      </w:pPr>
      <w:r w:rsidRPr="0001787E">
        <w:rPr>
          <w:bCs/>
          <w:lang w:val="es-ES"/>
        </w:rPr>
        <w:t>2</w:t>
      </w:r>
      <w:r w:rsidRPr="0001787E">
        <w:rPr>
          <w:bCs/>
          <w:lang w:val="es-ES"/>
        </w:rPr>
        <w:tab/>
      </w:r>
      <w:r w:rsidR="00D53C1A" w:rsidRPr="0001787E">
        <w:rPr>
          <w:bCs/>
          <w:lang w:val="es-ES"/>
        </w:rPr>
        <w:t>Recopilación y difusión de datos</w:t>
      </w:r>
    </w:p>
    <w:p w:rsidR="004A5BFD" w:rsidRPr="0001787E" w:rsidRDefault="00D34C51" w:rsidP="009126D3">
      <w:pPr>
        <w:rPr>
          <w:lang w:val="es-ES"/>
        </w:rPr>
      </w:pPr>
      <w:r w:rsidRPr="0001787E">
        <w:rPr>
          <w:lang w:val="es-ES"/>
        </w:rPr>
        <w:t xml:space="preserve">La UIT continuó recopilando estadísticas de TIC comparables a escala internacional a través de tres cuestionarios, a saber, el cuestionario sobre </w:t>
      </w:r>
      <w:r w:rsidRPr="0001787E">
        <w:rPr>
          <w:color w:val="000000"/>
          <w:lang w:val="es-ES"/>
        </w:rPr>
        <w:t xml:space="preserve">indicadores mundiales de telecomunicaciones, el </w:t>
      </w:r>
      <w:r w:rsidR="00E71C31" w:rsidRPr="0001787E">
        <w:rPr>
          <w:lang w:val="es-ES"/>
        </w:rPr>
        <w:t>cuestio</w:t>
      </w:r>
      <w:r w:rsidRPr="0001787E">
        <w:rPr>
          <w:lang w:val="es-ES"/>
        </w:rPr>
        <w:t>n</w:t>
      </w:r>
      <w:r w:rsidR="00E71C31" w:rsidRPr="0001787E">
        <w:rPr>
          <w:lang w:val="es-ES"/>
        </w:rPr>
        <w:t>a</w:t>
      </w:r>
      <w:r w:rsidRPr="0001787E">
        <w:rPr>
          <w:lang w:val="es-ES"/>
        </w:rPr>
        <w:t xml:space="preserve">rio </w:t>
      </w:r>
      <w:r w:rsidR="00DE0A35" w:rsidRPr="0001787E">
        <w:rPr>
          <w:lang w:val="es-ES"/>
        </w:rPr>
        <w:t xml:space="preserve">para la medición del </w:t>
      </w:r>
      <w:r w:rsidRPr="0001787E">
        <w:rPr>
          <w:lang w:val="es-ES"/>
        </w:rPr>
        <w:t xml:space="preserve">acceso a las TIC y </w:t>
      </w:r>
      <w:r w:rsidR="00DE0A35" w:rsidRPr="0001787E">
        <w:rPr>
          <w:lang w:val="es-ES"/>
        </w:rPr>
        <w:t xml:space="preserve">de </w:t>
      </w:r>
      <w:r w:rsidRPr="0001787E">
        <w:rPr>
          <w:lang w:val="es-ES"/>
        </w:rPr>
        <w:t xml:space="preserve">su utilización por los hogares y sus miembros </w:t>
      </w:r>
      <w:r w:rsidR="00E71C31" w:rsidRPr="0001787E">
        <w:rPr>
          <w:lang w:val="es-ES"/>
        </w:rPr>
        <w:t>(</w:t>
      </w:r>
      <w:r w:rsidR="00DE0A35" w:rsidRPr="0001787E">
        <w:rPr>
          <w:lang w:val="es-ES"/>
        </w:rPr>
        <w:t xml:space="preserve">encuesta en los </w:t>
      </w:r>
      <w:r w:rsidR="00E71C31" w:rsidRPr="0001787E">
        <w:rPr>
          <w:lang w:val="es-ES"/>
        </w:rPr>
        <w:t>hogares</w:t>
      </w:r>
      <w:r w:rsidR="004A5BFD" w:rsidRPr="0001787E">
        <w:rPr>
          <w:lang w:val="es-ES"/>
        </w:rPr>
        <w:t xml:space="preserve">) </w:t>
      </w:r>
      <w:r w:rsidR="00E71C31" w:rsidRPr="0001787E">
        <w:rPr>
          <w:lang w:val="es-ES"/>
        </w:rPr>
        <w:t xml:space="preserve">y el cuestionario sobre la cesta de precios </w:t>
      </w:r>
      <w:r w:rsidR="0025402F" w:rsidRPr="0001787E">
        <w:rPr>
          <w:lang w:val="es-ES"/>
        </w:rPr>
        <w:t>de las TIC</w:t>
      </w:r>
      <w:r w:rsidR="004A5BFD" w:rsidRPr="0001787E">
        <w:rPr>
          <w:lang w:val="es-ES"/>
        </w:rPr>
        <w:t xml:space="preserve">. </w:t>
      </w:r>
      <w:r w:rsidR="006F61E8" w:rsidRPr="0001787E">
        <w:rPr>
          <w:lang w:val="es-ES"/>
        </w:rPr>
        <w:t xml:space="preserve">Estos datos se divulgan dos veces al año a través de la </w:t>
      </w:r>
      <w:r w:rsidR="006F61E8" w:rsidRPr="0001787E">
        <w:rPr>
          <w:color w:val="000000"/>
          <w:lang w:val="es-ES"/>
        </w:rPr>
        <w:t>Base de Datos sobre Indicadores de Telecomunicaciones Mundiales de la UIT</w:t>
      </w:r>
      <w:r w:rsidR="006F61E8" w:rsidRPr="0001787E">
        <w:rPr>
          <w:lang w:val="es-ES"/>
        </w:rPr>
        <w:t xml:space="preserve"> que</w:t>
      </w:r>
      <w:r w:rsidR="004A5BFD" w:rsidRPr="0001787E">
        <w:rPr>
          <w:lang w:val="es-ES"/>
        </w:rPr>
        <w:t xml:space="preserve">, </w:t>
      </w:r>
      <w:r w:rsidR="006F61E8" w:rsidRPr="0001787E">
        <w:rPr>
          <w:lang w:val="es-ES"/>
        </w:rPr>
        <w:t>e</w:t>
      </w:r>
      <w:r w:rsidR="004A5BFD" w:rsidRPr="0001787E">
        <w:rPr>
          <w:lang w:val="es-ES"/>
        </w:rPr>
        <w:t xml:space="preserve">n 2018, </w:t>
      </w:r>
      <w:r w:rsidR="006F61E8" w:rsidRPr="0001787E">
        <w:rPr>
          <w:lang w:val="es-ES"/>
        </w:rPr>
        <w:t>se publicó en enero y julio</w:t>
      </w:r>
      <w:r w:rsidR="004A5BFD" w:rsidRPr="009126D3">
        <w:rPr>
          <w:lang w:val="es-ES"/>
        </w:rPr>
        <w:t>.</w:t>
      </w:r>
      <w:r w:rsidR="00C25986" w:rsidRPr="009126D3">
        <w:rPr>
          <w:rFonts w:eastAsia="PMingLiU-ExtB"/>
          <w:szCs w:val="24"/>
          <w:lang w:val="es-ES"/>
        </w:rPr>
        <w:t xml:space="preserve"> La</w:t>
      </w:r>
      <w:r w:rsidR="00DE0A35" w:rsidRPr="009126D3">
        <w:rPr>
          <w:rFonts w:eastAsia="PMingLiU-ExtB"/>
          <w:szCs w:val="24"/>
          <w:lang w:val="es-ES"/>
        </w:rPr>
        <w:t xml:space="preserve"> edición de julio iba acompañada de la publicación conjunta UIT/Banco Mundial</w:t>
      </w:r>
      <w:r w:rsidR="00C25986" w:rsidRPr="009126D3">
        <w:rPr>
          <w:rFonts w:eastAsia="PMingLiU-ExtB"/>
          <w:szCs w:val="24"/>
          <w:lang w:val="es-ES"/>
        </w:rPr>
        <w:t xml:space="preserve"> </w:t>
      </w:r>
      <w:r w:rsidR="009126D3">
        <w:rPr>
          <w:rFonts w:eastAsia="PMingLiU-ExtB"/>
          <w:szCs w:val="24"/>
          <w:lang w:val="es-ES"/>
        </w:rPr>
        <w:t>"</w:t>
      </w:r>
      <w:hyperlink r:id="rId9" w:history="1">
        <w:r w:rsidR="004A5BFD" w:rsidRPr="009126D3">
          <w:rPr>
            <w:rStyle w:val="Hyperlink"/>
            <w:lang w:val="es-ES"/>
          </w:rPr>
          <w:t>The Little Data Book on Information and Communication Technology 2018</w:t>
        </w:r>
      </w:hyperlink>
      <w:r w:rsidR="009126D3">
        <w:rPr>
          <w:lang w:val="es-ES"/>
        </w:rPr>
        <w:t>"</w:t>
      </w:r>
      <w:r w:rsidR="004A5BFD" w:rsidRPr="009126D3">
        <w:rPr>
          <w:lang w:val="es-ES"/>
        </w:rPr>
        <w:t xml:space="preserve">. </w:t>
      </w:r>
      <w:r w:rsidR="00DE0A35" w:rsidRPr="009126D3">
        <w:rPr>
          <w:lang w:val="es-ES"/>
        </w:rPr>
        <w:t xml:space="preserve">A finales de </w:t>
      </w:r>
      <w:r w:rsidR="004A5BFD" w:rsidRPr="009126D3">
        <w:rPr>
          <w:lang w:val="es-ES"/>
        </w:rPr>
        <w:t>2018</w:t>
      </w:r>
      <w:r w:rsidR="00DE0A35" w:rsidRPr="009126D3">
        <w:rPr>
          <w:lang w:val="es-ES"/>
        </w:rPr>
        <w:t xml:space="preserve"> se publicaron estimaciones mundiales y regionales sobre los principales indicadores de TIC</w:t>
      </w:r>
      <w:r w:rsidR="00AD4A8A" w:rsidRPr="009126D3">
        <w:rPr>
          <w:lang w:val="es-ES"/>
        </w:rPr>
        <w:t xml:space="preserve">, incluido </w:t>
      </w:r>
      <w:r w:rsidR="00DE0A35" w:rsidRPr="009126D3">
        <w:rPr>
          <w:lang w:val="es-ES"/>
        </w:rPr>
        <w:t xml:space="preserve">el porcentaje de población que utilizaba </w:t>
      </w:r>
      <w:r w:rsidR="004A5BFD" w:rsidRPr="009126D3">
        <w:rPr>
          <w:lang w:val="es-ES"/>
        </w:rPr>
        <w:t>Internet</w:t>
      </w:r>
      <w:r w:rsidR="00DE0A35" w:rsidRPr="009126D3">
        <w:rPr>
          <w:lang w:val="es-ES"/>
        </w:rPr>
        <w:t xml:space="preserve">, </w:t>
      </w:r>
      <w:r w:rsidR="00AD4A8A" w:rsidRPr="009126D3">
        <w:rPr>
          <w:lang w:val="es-ES"/>
        </w:rPr>
        <w:t xml:space="preserve">que en ese momento </w:t>
      </w:r>
      <w:r w:rsidR="00DE0A35" w:rsidRPr="009126D3">
        <w:rPr>
          <w:lang w:val="es-ES"/>
        </w:rPr>
        <w:t>superaba el 50</w:t>
      </w:r>
      <w:r w:rsidR="004A5BFD" w:rsidRPr="009126D3">
        <w:rPr>
          <w:lang w:val="es-ES"/>
        </w:rPr>
        <w:t>%</w:t>
      </w:r>
      <w:r w:rsidR="00DE0A35" w:rsidRPr="009126D3">
        <w:rPr>
          <w:lang w:val="es-ES"/>
        </w:rPr>
        <w:t>.</w:t>
      </w:r>
      <w:r w:rsidR="004A5BFD" w:rsidRPr="009126D3">
        <w:rPr>
          <w:lang w:val="es-ES"/>
        </w:rPr>
        <w:t xml:space="preserve"> </w:t>
      </w:r>
      <w:r w:rsidR="00FC1BE0" w:rsidRPr="009126D3">
        <w:rPr>
          <w:rFonts w:eastAsia="PMingLiU-ExtB"/>
          <w:szCs w:val="24"/>
          <w:lang w:val="es-ES"/>
        </w:rPr>
        <w:t>Con estos datos los usuarios podrán tomar con conocimiento de causa decisiones sobre TIC basadas en estadísticas comparables a escala internacional</w:t>
      </w:r>
      <w:bookmarkStart w:id="7" w:name="lt_pId400"/>
      <w:r w:rsidR="00FC1BE0" w:rsidRPr="009126D3">
        <w:rPr>
          <w:rFonts w:eastAsia="PMingLiU-ExtB"/>
          <w:szCs w:val="24"/>
          <w:lang w:val="es-ES"/>
        </w:rPr>
        <w:t>.</w:t>
      </w:r>
      <w:bookmarkEnd w:id="7"/>
    </w:p>
    <w:p w:rsidR="004A5BFD" w:rsidRPr="0001787E" w:rsidRDefault="004A5BFD" w:rsidP="00424332">
      <w:pPr>
        <w:pStyle w:val="Heading1"/>
        <w:rPr>
          <w:b w:val="0"/>
          <w:bCs/>
          <w:lang w:val="es-ES"/>
        </w:rPr>
      </w:pPr>
      <w:r w:rsidRPr="0001787E">
        <w:rPr>
          <w:bCs/>
          <w:lang w:val="es-ES"/>
        </w:rPr>
        <w:t>3</w:t>
      </w:r>
      <w:r w:rsidRPr="0001787E">
        <w:rPr>
          <w:bCs/>
          <w:lang w:val="es-ES"/>
        </w:rPr>
        <w:tab/>
      </w:r>
      <w:r w:rsidR="00424332" w:rsidRPr="0001787E">
        <w:rPr>
          <w:bCs/>
          <w:lang w:val="es-ES"/>
        </w:rPr>
        <w:t>Elaboración de metodologías</w:t>
      </w:r>
    </w:p>
    <w:p w:rsidR="004A5BFD" w:rsidRPr="00721D17" w:rsidRDefault="00E03B6B" w:rsidP="005D0ADF">
      <w:pPr>
        <w:rPr>
          <w:sz w:val="20"/>
          <w:lang w:val="es-ES"/>
        </w:rPr>
      </w:pPr>
      <w:r w:rsidRPr="00721D17">
        <w:rPr>
          <w:szCs w:val="24"/>
          <w:lang w:val="es-ES"/>
        </w:rPr>
        <w:t>En este ámbito, la labor se orientaba principalmente a garantizar que se disponía de</w:t>
      </w:r>
      <w:r w:rsidR="00322BF4" w:rsidRPr="00721D17">
        <w:rPr>
          <w:szCs w:val="24"/>
          <w:lang w:val="es-ES"/>
        </w:rPr>
        <w:t xml:space="preserve"> metodologías y normas </w:t>
      </w:r>
      <w:r w:rsidR="00322BF4" w:rsidRPr="005D0ADF">
        <w:rPr>
          <w:rFonts w:eastAsia="PMingLiU-ExtB"/>
          <w:szCs w:val="24"/>
          <w:lang w:val="es-ES"/>
        </w:rPr>
        <w:t>internacionales</w:t>
      </w:r>
      <w:r w:rsidR="00322BF4" w:rsidRPr="00721D17">
        <w:rPr>
          <w:szCs w:val="24"/>
          <w:lang w:val="es-ES"/>
        </w:rPr>
        <w:t xml:space="preserve"> </w:t>
      </w:r>
      <w:r w:rsidRPr="00721D17">
        <w:rPr>
          <w:szCs w:val="24"/>
          <w:lang w:val="es-ES"/>
        </w:rPr>
        <w:t xml:space="preserve">mejoradas </w:t>
      </w:r>
      <w:r w:rsidR="00322BF4" w:rsidRPr="00721D17">
        <w:rPr>
          <w:szCs w:val="24"/>
          <w:lang w:val="es-ES"/>
        </w:rPr>
        <w:t xml:space="preserve">sobre estadísticas de TIC mediante el trabajo del Grupo de Expertos en Indicadores de Telecomunicaciones/TIC (GEIT) y el Grupo de Expertos sobre Indicadores de TIC en el Hogar (GEH). </w:t>
      </w:r>
      <w:bookmarkStart w:id="8" w:name="lt_pId412"/>
      <w:r w:rsidR="00322BF4" w:rsidRPr="00721D17">
        <w:rPr>
          <w:szCs w:val="24"/>
          <w:lang w:val="es-ES"/>
        </w:rPr>
        <w:t xml:space="preserve">Las reuniones del </w:t>
      </w:r>
      <w:r w:rsidRPr="00721D17">
        <w:rPr>
          <w:szCs w:val="24"/>
          <w:lang w:val="es-ES"/>
        </w:rPr>
        <w:t>GEIT</w:t>
      </w:r>
      <w:r w:rsidR="00322BF4" w:rsidRPr="00721D17">
        <w:rPr>
          <w:szCs w:val="24"/>
          <w:lang w:val="es-ES"/>
        </w:rPr>
        <w:t xml:space="preserve"> y del GEH se celebraron en Ginebra, Suiza, en </w:t>
      </w:r>
      <w:r w:rsidRPr="00721D17">
        <w:rPr>
          <w:szCs w:val="24"/>
          <w:lang w:val="es-ES"/>
        </w:rPr>
        <w:t>octubre de 2018</w:t>
      </w:r>
      <w:r w:rsidR="00322BF4" w:rsidRPr="00721D17">
        <w:rPr>
          <w:szCs w:val="24"/>
          <w:lang w:val="es-ES"/>
        </w:rPr>
        <w:t xml:space="preserve">. </w:t>
      </w:r>
      <w:r w:rsidR="007E1F0E" w:rsidRPr="00721D17">
        <w:rPr>
          <w:szCs w:val="24"/>
          <w:lang w:val="es-ES"/>
        </w:rPr>
        <w:t xml:space="preserve">Asistieron a ellas </w:t>
      </w:r>
      <w:r w:rsidR="00322BF4" w:rsidRPr="00721D17">
        <w:rPr>
          <w:szCs w:val="24"/>
          <w:lang w:val="es-ES"/>
        </w:rPr>
        <w:t>casi</w:t>
      </w:r>
      <w:bookmarkStart w:id="9" w:name="lt_pId413"/>
      <w:bookmarkEnd w:id="8"/>
      <w:r w:rsidR="00322BF4" w:rsidRPr="00721D17">
        <w:rPr>
          <w:szCs w:val="24"/>
          <w:lang w:val="es-ES"/>
        </w:rPr>
        <w:t xml:space="preserve"> 1</w:t>
      </w:r>
      <w:r w:rsidR="008112C2" w:rsidRPr="00721D17">
        <w:rPr>
          <w:szCs w:val="24"/>
          <w:lang w:val="es-ES"/>
        </w:rPr>
        <w:t>3</w:t>
      </w:r>
      <w:r w:rsidR="00322BF4" w:rsidRPr="00721D17">
        <w:rPr>
          <w:szCs w:val="24"/>
          <w:lang w:val="es-ES"/>
        </w:rPr>
        <w:t xml:space="preserve">0 expertos en estadística procedentes de ministerios de TIC, oficinas nacionales de estadística, reguladores de telecomunicaciones y organizaciones internacionales de </w:t>
      </w:r>
      <w:r w:rsidR="00322BF4" w:rsidRPr="00721D17">
        <w:rPr>
          <w:lang w:val="es-ES"/>
        </w:rPr>
        <w:t xml:space="preserve">54 </w:t>
      </w:r>
      <w:r w:rsidR="00322BF4" w:rsidRPr="00721D17">
        <w:rPr>
          <w:szCs w:val="24"/>
          <w:lang w:val="es-ES"/>
        </w:rPr>
        <w:t>países, que debatieron acerca de la mejor manera de efectuar el seguimiento del acceso y la utilización de las TIC</w:t>
      </w:r>
      <w:r w:rsidR="008112C2" w:rsidRPr="00721D17">
        <w:rPr>
          <w:szCs w:val="24"/>
          <w:lang w:val="es-ES"/>
        </w:rPr>
        <w:t xml:space="preserve"> a nivel doméstico y particular y</w:t>
      </w:r>
      <w:r w:rsidR="00322BF4" w:rsidRPr="00721D17">
        <w:rPr>
          <w:szCs w:val="24"/>
          <w:lang w:val="es-ES"/>
        </w:rPr>
        <w:t xml:space="preserve"> la manera en que se pueden utilizar los datos procedentes de los proveedores de servicios de</w:t>
      </w:r>
      <w:r w:rsidR="005D0ADF">
        <w:rPr>
          <w:szCs w:val="24"/>
          <w:lang w:val="es-ES"/>
        </w:rPr>
        <w:t> </w:t>
      </w:r>
      <w:r w:rsidR="00322BF4" w:rsidRPr="00721D17">
        <w:rPr>
          <w:szCs w:val="24"/>
          <w:lang w:val="es-ES"/>
        </w:rPr>
        <w:t>TIC para informar a los políticos y reguladores y para supervisar y propiciar el desarrollo de las</w:t>
      </w:r>
      <w:r w:rsidR="005D0ADF">
        <w:rPr>
          <w:szCs w:val="24"/>
          <w:lang w:val="es-ES"/>
        </w:rPr>
        <w:t> </w:t>
      </w:r>
      <w:r w:rsidR="00322BF4" w:rsidRPr="00721D17">
        <w:rPr>
          <w:szCs w:val="24"/>
          <w:lang w:val="es-ES"/>
        </w:rPr>
        <w:t>TIC.</w:t>
      </w:r>
      <w:bookmarkEnd w:id="9"/>
    </w:p>
    <w:p w:rsidR="004A5BFD" w:rsidRPr="0001787E" w:rsidRDefault="00684979" w:rsidP="00970D0B">
      <w:pPr>
        <w:rPr>
          <w:highlight w:val="cyan"/>
          <w:lang w:val="es-ES"/>
        </w:rPr>
      </w:pPr>
      <w:r w:rsidRPr="00721D17">
        <w:rPr>
          <w:lang w:val="es-ES"/>
        </w:rPr>
        <w:t xml:space="preserve">La </w:t>
      </w:r>
      <w:r w:rsidR="00322BF4" w:rsidRPr="00721D17">
        <w:rPr>
          <w:lang w:val="es-ES"/>
        </w:rPr>
        <w:t xml:space="preserve">BDT </w:t>
      </w:r>
      <w:r w:rsidRPr="00721D17">
        <w:rPr>
          <w:lang w:val="es-ES"/>
        </w:rPr>
        <w:t xml:space="preserve">también organizó con éxito el </w:t>
      </w:r>
      <w:hyperlink r:id="rId10" w:history="1">
        <w:r w:rsidR="002E3AB8" w:rsidRPr="00721D17">
          <w:rPr>
            <w:rStyle w:val="Hyperlink"/>
            <w:lang w:val="es-ES"/>
          </w:rPr>
          <w:t>16º Simposio Mundial de Indicadores de Telecomunicaciones/TIC (SMIT-18)</w:t>
        </w:r>
      </w:hyperlink>
      <w:r w:rsidR="00322BF4" w:rsidRPr="00721D17">
        <w:rPr>
          <w:rFonts w:ascii="Calibri" w:hAnsi="Calibri" w:cs="Calibri"/>
          <w:b/>
          <w:color w:val="800000"/>
          <w:sz w:val="22"/>
          <w:lang w:val="es-ES"/>
        </w:rPr>
        <w:t xml:space="preserve"> </w:t>
      </w:r>
      <w:r w:rsidRPr="00721D17">
        <w:rPr>
          <w:lang w:val="es-ES"/>
        </w:rPr>
        <w:t>e</w:t>
      </w:r>
      <w:r w:rsidR="00322BF4" w:rsidRPr="00721D17">
        <w:rPr>
          <w:lang w:val="es-ES"/>
        </w:rPr>
        <w:t>n G</w:t>
      </w:r>
      <w:r w:rsidRPr="00721D17">
        <w:rPr>
          <w:lang w:val="es-ES"/>
        </w:rPr>
        <w:t>inebra</w:t>
      </w:r>
      <w:r w:rsidR="00322BF4" w:rsidRPr="00721D17">
        <w:rPr>
          <w:lang w:val="es-ES"/>
        </w:rPr>
        <w:t xml:space="preserve">, </w:t>
      </w:r>
      <w:r w:rsidR="006C6AF8" w:rsidRPr="00721D17">
        <w:rPr>
          <w:lang w:val="es-ES"/>
        </w:rPr>
        <w:t xml:space="preserve">que </w:t>
      </w:r>
      <w:r w:rsidR="00322BF4" w:rsidRPr="00721D17">
        <w:rPr>
          <w:lang w:val="es-ES"/>
        </w:rPr>
        <w:t xml:space="preserve">atrajo a </w:t>
      </w:r>
      <w:r w:rsidR="00B97DB8" w:rsidRPr="00721D17">
        <w:rPr>
          <w:lang w:val="es-ES"/>
        </w:rPr>
        <w:t xml:space="preserve">más de 320 </w:t>
      </w:r>
      <w:r w:rsidR="00322BF4" w:rsidRPr="00721D17">
        <w:rPr>
          <w:lang w:val="es-ES"/>
        </w:rPr>
        <w:t xml:space="preserve">participantes de </w:t>
      </w:r>
      <w:r w:rsidR="00B97DB8" w:rsidRPr="00721D17">
        <w:rPr>
          <w:lang w:val="es-ES"/>
        </w:rPr>
        <w:t>85</w:t>
      </w:r>
      <w:r w:rsidR="005D0ADF">
        <w:rPr>
          <w:lang w:val="es-ES"/>
        </w:rPr>
        <w:t> </w:t>
      </w:r>
      <w:r w:rsidR="00322BF4" w:rsidRPr="00721D17">
        <w:rPr>
          <w:lang w:val="es-ES"/>
        </w:rPr>
        <w:t xml:space="preserve">países, en representación de organizaciones de los sectores público y privado que incluían Ministerios, organismos reguladores, oficinas nacionales de estadística, universidades y centros de investigación, </w:t>
      </w:r>
      <w:r w:rsidR="00B97DB8" w:rsidRPr="00721D17">
        <w:rPr>
          <w:lang w:val="es-ES"/>
        </w:rPr>
        <w:t xml:space="preserve">operadores de telecomunicaciones, empresas de TIC y </w:t>
      </w:r>
      <w:r w:rsidR="00322BF4" w:rsidRPr="00721D17">
        <w:rPr>
          <w:lang w:val="es-ES"/>
        </w:rPr>
        <w:t>organizaciones regionales e internacionales.</w:t>
      </w:r>
      <w:r w:rsidR="002E3AB8" w:rsidRPr="00721D17">
        <w:rPr>
          <w:lang w:val="es-ES"/>
        </w:rPr>
        <w:t xml:space="preserve"> </w:t>
      </w:r>
      <w:r w:rsidR="008A0CA7" w:rsidRPr="00721D17">
        <w:rPr>
          <w:lang w:val="es-ES"/>
        </w:rPr>
        <w:t>En el SMIT-18 se hizo hincapié en la importante labor que está realizando la</w:t>
      </w:r>
      <w:r w:rsidR="00970D0B">
        <w:rPr>
          <w:lang w:val="es-ES"/>
        </w:rPr>
        <w:t> </w:t>
      </w:r>
      <w:r w:rsidR="008A0CA7" w:rsidRPr="00721D17">
        <w:rPr>
          <w:lang w:val="es-ES"/>
        </w:rPr>
        <w:t>UIT en términos de estadísticas de TIC y el papel del SMIT para reunir a creadores y usuarios de datos, así como las oportunidades que brinda para debatir cuestiones ligadas a la medición de las</w:t>
      </w:r>
      <w:r w:rsidR="00970D0B">
        <w:rPr>
          <w:lang w:val="es-ES"/>
        </w:rPr>
        <w:t> </w:t>
      </w:r>
      <w:r w:rsidR="008A0CA7" w:rsidRPr="00721D17">
        <w:rPr>
          <w:lang w:val="es-ES"/>
        </w:rPr>
        <w:t xml:space="preserve">TIC, compartir experiencias y fomentar el aprendizaje mutuo. </w:t>
      </w:r>
      <w:r w:rsidR="00650DFD" w:rsidRPr="00721D17">
        <w:rPr>
          <w:lang w:val="es-ES"/>
        </w:rPr>
        <w:t>También s</w:t>
      </w:r>
      <w:r w:rsidR="00963377" w:rsidRPr="00721D17">
        <w:rPr>
          <w:lang w:val="es-ES"/>
        </w:rPr>
        <w:t>e dest</w:t>
      </w:r>
      <w:r w:rsidR="00963377" w:rsidRPr="0001787E">
        <w:rPr>
          <w:lang w:val="es-ES"/>
        </w:rPr>
        <w:t>acó la constante necesidad de contar con datos sobre las TIC de gran calidad, oportunos y desglosados, a fin de valorar el impacto de las telecomunicaciones, las TIC y las tecnologías emergentes en el desarrollo económico y</w:t>
      </w:r>
      <w:r w:rsidR="001C30C2" w:rsidRPr="0001787E">
        <w:rPr>
          <w:lang w:val="es-ES"/>
        </w:rPr>
        <w:t xml:space="preserve"> </w:t>
      </w:r>
      <w:r w:rsidR="00963377" w:rsidRPr="0001787E">
        <w:rPr>
          <w:lang w:val="es-ES"/>
        </w:rPr>
        <w:t xml:space="preserve">social. </w:t>
      </w:r>
      <w:r w:rsidR="00C84BFD" w:rsidRPr="0001787E">
        <w:rPr>
          <w:lang w:val="es-ES"/>
        </w:rPr>
        <w:t>Se analizó por qué es importante el análisis de los datos para valorar el impacto económico y social de las TIC y cómo debería integrarse esto en la política, teniendo en cuenta que la política debe apoyarse en los datos, pero no dejarse llevar por ellos</w:t>
      </w:r>
      <w:r w:rsidR="004A5BFD" w:rsidRPr="0001787E">
        <w:rPr>
          <w:lang w:val="es-ES"/>
        </w:rPr>
        <w:t xml:space="preserve">. </w:t>
      </w:r>
      <w:r w:rsidR="008A0CA7" w:rsidRPr="00970D0B">
        <w:rPr>
          <w:lang w:val="es-ES"/>
        </w:rPr>
        <w:t xml:space="preserve">En el Simposio </w:t>
      </w:r>
      <w:r w:rsidR="00BD3597" w:rsidRPr="00970D0B">
        <w:rPr>
          <w:lang w:val="es-ES"/>
        </w:rPr>
        <w:lastRenderedPageBreak/>
        <w:t xml:space="preserve">también </w:t>
      </w:r>
      <w:r w:rsidR="008A0CA7" w:rsidRPr="00970D0B">
        <w:rPr>
          <w:lang w:val="es-ES"/>
        </w:rPr>
        <w:t>se presentaron y refrendaron los informes del Grupo de Expertos en Indicadores de Telecomunicaciones/TIC (GEIT) y del Grupo de Expertos en Indicadores TIC en el Hogar (GEH)</w:t>
      </w:r>
      <w:r w:rsidR="00782B6F" w:rsidRPr="00970D0B">
        <w:rPr>
          <w:lang w:val="es-ES"/>
        </w:rPr>
        <w:t>.</w:t>
      </w:r>
    </w:p>
    <w:p w:rsidR="004A5BFD" w:rsidRPr="0001787E" w:rsidRDefault="004A5BFD" w:rsidP="00B601B3">
      <w:pPr>
        <w:pStyle w:val="Heading1"/>
        <w:rPr>
          <w:b w:val="0"/>
          <w:bCs/>
          <w:lang w:val="es-ES"/>
        </w:rPr>
      </w:pPr>
      <w:r w:rsidRPr="0001787E">
        <w:rPr>
          <w:bCs/>
          <w:lang w:val="es-ES"/>
        </w:rPr>
        <w:t>4</w:t>
      </w:r>
      <w:r w:rsidRPr="0001787E">
        <w:rPr>
          <w:bCs/>
          <w:lang w:val="es-ES"/>
        </w:rPr>
        <w:tab/>
      </w:r>
      <w:r w:rsidR="00B601B3" w:rsidRPr="0001787E">
        <w:rPr>
          <w:bCs/>
          <w:lang w:val="es-ES"/>
        </w:rPr>
        <w:t>Análisis de datos</w:t>
      </w:r>
    </w:p>
    <w:p w:rsidR="004A5BFD" w:rsidRPr="0001787E" w:rsidRDefault="008F0069" w:rsidP="00082EA2">
      <w:pPr>
        <w:rPr>
          <w:lang w:val="es-ES"/>
        </w:rPr>
      </w:pPr>
      <w:r w:rsidRPr="0001787E">
        <w:rPr>
          <w:lang w:val="es-ES"/>
        </w:rPr>
        <w:t>El</w:t>
      </w:r>
      <w:r w:rsidR="004A5BFD" w:rsidRPr="0001787E">
        <w:rPr>
          <w:lang w:val="es-ES"/>
        </w:rPr>
        <w:t xml:space="preserve"> </w:t>
      </w:r>
      <w:hyperlink r:id="rId11" w:history="1">
        <w:r w:rsidRPr="00100D8E">
          <w:rPr>
            <w:rStyle w:val="Hyperlink"/>
            <w:lang w:val="es-ES"/>
          </w:rPr>
          <w:t xml:space="preserve">Informe sobre Medición de la Sociedad de la Información </w:t>
        </w:r>
        <w:r w:rsidR="004A5BFD" w:rsidRPr="00100D8E">
          <w:rPr>
            <w:rStyle w:val="Hyperlink"/>
            <w:lang w:val="es-ES"/>
          </w:rPr>
          <w:t>2018 Volume</w:t>
        </w:r>
        <w:r w:rsidRPr="00100D8E">
          <w:rPr>
            <w:rStyle w:val="Hyperlink"/>
            <w:lang w:val="es-ES"/>
          </w:rPr>
          <w:t>n</w:t>
        </w:r>
        <w:r w:rsidR="004A5BFD" w:rsidRPr="00100D8E">
          <w:rPr>
            <w:rStyle w:val="Hyperlink"/>
            <w:lang w:val="es-ES"/>
          </w:rPr>
          <w:t xml:space="preserve"> 1</w:t>
        </w:r>
      </w:hyperlink>
      <w:r w:rsidRPr="0001787E">
        <w:rPr>
          <w:lang w:val="es-ES"/>
        </w:rPr>
        <w:t>, que se presentó durante el SMIT</w:t>
      </w:r>
      <w:r w:rsidR="004A5BFD" w:rsidRPr="0001787E">
        <w:rPr>
          <w:lang w:val="es-ES"/>
        </w:rPr>
        <w:t xml:space="preserve">, </w:t>
      </w:r>
      <w:r w:rsidR="00DF1090" w:rsidRPr="0001787E">
        <w:rPr>
          <w:lang w:val="es-ES"/>
        </w:rPr>
        <w:t>incluye</w:t>
      </w:r>
      <w:r w:rsidRPr="0001787E">
        <w:rPr>
          <w:lang w:val="es-ES"/>
        </w:rPr>
        <w:t xml:space="preserve"> capítulos sobre tendencias de las TIC, las aptitudes TIC, los ingresos y la inversión y los precios de las TIC. Una de las conclusiones principales del informe es que más de la mitad de la población mundial está ya en línea, como se deduce del crecimiento sostenido en la mayoría de los indicadores de acceso y uso recopilados por la UIT y presentados en el informe</w:t>
      </w:r>
      <w:r w:rsidR="004A5BFD" w:rsidRPr="0001787E">
        <w:rPr>
          <w:lang w:val="es-ES"/>
        </w:rPr>
        <w:t xml:space="preserve">. </w:t>
      </w:r>
      <w:r w:rsidRPr="0001787E">
        <w:rPr>
          <w:lang w:val="es-ES"/>
        </w:rPr>
        <w:t>Sin embargo, se señala que la falta de aptitudes TIC puede ser un factor que limite el crecimiento futuro</w:t>
      </w:r>
      <w:r w:rsidR="004A5BFD" w:rsidRPr="0001787E">
        <w:rPr>
          <w:lang w:val="es-ES"/>
        </w:rPr>
        <w:t xml:space="preserve">. </w:t>
      </w:r>
      <w:r w:rsidR="00DF2209" w:rsidRPr="0001787E">
        <w:rPr>
          <w:lang w:val="es-ES"/>
        </w:rPr>
        <w:t>Se pone de relieve que, en términos mundiales, los ingresos de las telecomunicaciones contribuyen de forma significativa a la economía pero han descendido en los últimos tiempos, porque los usuarios de telefonía móvil están dejando atrás la comunicación por voz y</w:t>
      </w:r>
      <w:r w:rsidR="00DE2E01">
        <w:rPr>
          <w:lang w:val="es-ES"/>
        </w:rPr>
        <w:t> </w:t>
      </w:r>
      <w:r w:rsidR="00DF2209" w:rsidRPr="0001787E">
        <w:rPr>
          <w:lang w:val="es-ES"/>
        </w:rPr>
        <w:t>SMS tradicional para adoptar las comunicaciones por redes sociales y las aplicaciones de servicio</w:t>
      </w:r>
      <w:r w:rsidR="00C745CA">
        <w:rPr>
          <w:lang w:val="es-ES"/>
        </w:rPr>
        <w:t>s</w:t>
      </w:r>
      <w:r w:rsidR="00DF2209" w:rsidRPr="0001787E">
        <w:rPr>
          <w:lang w:val="es-ES"/>
        </w:rPr>
        <w:t xml:space="preserve"> superpuesto</w:t>
      </w:r>
      <w:r w:rsidR="00C745CA">
        <w:rPr>
          <w:lang w:val="es-ES"/>
        </w:rPr>
        <w:t>s</w:t>
      </w:r>
      <w:r w:rsidR="00DF2209" w:rsidRPr="0001787E">
        <w:rPr>
          <w:lang w:val="es-ES"/>
        </w:rPr>
        <w:t xml:space="preserve"> (OTT). También se presentaron los precios de las TIC relacionados con los teléfonos móviles, la banda ancha móvil y la banda ancha fija. En general, los precios de las TIC están bajando a medida que aumentan las suscripciones a servicios de TIC. Sin embargo, los precios de las</w:t>
      </w:r>
      <w:r w:rsidR="00082EA2">
        <w:rPr>
          <w:lang w:val="es-ES"/>
        </w:rPr>
        <w:t> </w:t>
      </w:r>
      <w:r w:rsidR="00DF2209" w:rsidRPr="0001787E">
        <w:rPr>
          <w:lang w:val="es-ES"/>
        </w:rPr>
        <w:t>TIC varían de una región a otra y dentro de una misma región, y siguen siendo altos en algunos países en desarrollo y PMA</w:t>
      </w:r>
      <w:r w:rsidR="004A5BFD" w:rsidRPr="0001787E">
        <w:rPr>
          <w:lang w:val="es-ES"/>
        </w:rPr>
        <w:t>.</w:t>
      </w:r>
    </w:p>
    <w:p w:rsidR="004A5BFD" w:rsidRPr="0001787E" w:rsidRDefault="004A5BFD" w:rsidP="008E5A7B">
      <w:pPr>
        <w:pStyle w:val="Heading1"/>
        <w:rPr>
          <w:b w:val="0"/>
          <w:bCs/>
          <w:lang w:val="es-ES"/>
        </w:rPr>
      </w:pPr>
      <w:r w:rsidRPr="0001787E">
        <w:rPr>
          <w:bCs/>
          <w:lang w:val="es-ES"/>
        </w:rPr>
        <w:t>5</w:t>
      </w:r>
      <w:r w:rsidRPr="0001787E">
        <w:rPr>
          <w:bCs/>
          <w:lang w:val="es-ES"/>
        </w:rPr>
        <w:tab/>
      </w:r>
      <w:r w:rsidR="008E5A7B" w:rsidRPr="0001787E">
        <w:rPr>
          <w:bCs/>
          <w:lang w:val="es-ES"/>
        </w:rPr>
        <w:t>Creación de capacidad</w:t>
      </w:r>
    </w:p>
    <w:p w:rsidR="004A5BFD" w:rsidRPr="0001787E" w:rsidRDefault="008E5A7B" w:rsidP="00DE2E01">
      <w:pPr>
        <w:rPr>
          <w:lang w:val="es-ES"/>
        </w:rPr>
      </w:pPr>
      <w:r w:rsidRPr="0001787E">
        <w:rPr>
          <w:lang w:val="es-ES"/>
        </w:rPr>
        <w:t xml:space="preserve">La </w:t>
      </w:r>
      <w:r w:rsidR="004A5BFD" w:rsidRPr="0001787E">
        <w:rPr>
          <w:lang w:val="es-ES"/>
        </w:rPr>
        <w:t xml:space="preserve">BDT </w:t>
      </w:r>
      <w:r w:rsidRPr="0001787E">
        <w:rPr>
          <w:lang w:val="es-ES"/>
        </w:rPr>
        <w:t>ha ayudado a los productores de estadísticas de telecomunicaciones/TIC a mejorar su capacidad y competencias de recopilación de datos nacionales conforme a metodologías y normas internacionales, mediante la celebración de talleres regionales para la región de la CEI</w:t>
      </w:r>
      <w:r w:rsidR="004A5BFD" w:rsidRPr="0001787E">
        <w:rPr>
          <w:lang w:val="es-ES"/>
        </w:rPr>
        <w:t xml:space="preserve"> (Almaty, </w:t>
      </w:r>
      <w:r w:rsidR="00764775" w:rsidRPr="0001787E">
        <w:rPr>
          <w:lang w:val="es-ES"/>
        </w:rPr>
        <w:t>(Kazajstán)</w:t>
      </w:r>
      <w:r w:rsidR="004A5BFD" w:rsidRPr="0001787E">
        <w:rPr>
          <w:lang w:val="es-ES"/>
        </w:rPr>
        <w:t xml:space="preserve">, </w:t>
      </w:r>
      <w:r w:rsidR="00764775" w:rsidRPr="0001787E">
        <w:rPr>
          <w:lang w:val="es-ES"/>
        </w:rPr>
        <w:t xml:space="preserve">del </w:t>
      </w:r>
      <w:r w:rsidR="004A5BFD" w:rsidRPr="0001787E">
        <w:rPr>
          <w:lang w:val="es-ES"/>
        </w:rPr>
        <w:t xml:space="preserve">31 </w:t>
      </w:r>
      <w:r w:rsidR="00764775" w:rsidRPr="0001787E">
        <w:rPr>
          <w:lang w:val="es-ES"/>
        </w:rPr>
        <w:t xml:space="preserve">de enero al </w:t>
      </w:r>
      <w:r w:rsidR="004A5BFD" w:rsidRPr="0001787E">
        <w:rPr>
          <w:lang w:val="es-ES"/>
        </w:rPr>
        <w:t xml:space="preserve">1 </w:t>
      </w:r>
      <w:r w:rsidR="00764775" w:rsidRPr="0001787E">
        <w:rPr>
          <w:lang w:val="es-ES"/>
        </w:rPr>
        <w:t>de febrero</w:t>
      </w:r>
      <w:r w:rsidR="004A5BFD" w:rsidRPr="0001787E">
        <w:rPr>
          <w:lang w:val="es-ES"/>
        </w:rPr>
        <w:t xml:space="preserve">), </w:t>
      </w:r>
      <w:r w:rsidR="00764775" w:rsidRPr="0001787E">
        <w:rPr>
          <w:lang w:val="es-ES"/>
        </w:rPr>
        <w:t>Á</w:t>
      </w:r>
      <w:r w:rsidR="004A5BFD" w:rsidRPr="0001787E">
        <w:rPr>
          <w:lang w:val="es-ES"/>
        </w:rPr>
        <w:t xml:space="preserve">frica (Lilongwe </w:t>
      </w:r>
      <w:r w:rsidR="00764775" w:rsidRPr="0001787E">
        <w:rPr>
          <w:lang w:val="es-ES"/>
        </w:rPr>
        <w:t>(</w:t>
      </w:r>
      <w:r w:rsidR="004A5BFD" w:rsidRPr="0001787E">
        <w:rPr>
          <w:lang w:val="es-ES"/>
        </w:rPr>
        <w:t>Malawi</w:t>
      </w:r>
      <w:r w:rsidR="00764775" w:rsidRPr="0001787E">
        <w:rPr>
          <w:lang w:val="es-ES"/>
        </w:rPr>
        <w:t>),</w:t>
      </w:r>
      <w:r w:rsidR="004A5BFD" w:rsidRPr="0001787E">
        <w:rPr>
          <w:lang w:val="es-ES"/>
        </w:rPr>
        <w:t xml:space="preserve"> </w:t>
      </w:r>
      <w:r w:rsidR="00764775" w:rsidRPr="0001787E">
        <w:rPr>
          <w:lang w:val="es-ES"/>
        </w:rPr>
        <w:t xml:space="preserve">del </w:t>
      </w:r>
      <w:r w:rsidR="004A5BFD" w:rsidRPr="0001787E">
        <w:rPr>
          <w:lang w:val="es-ES"/>
        </w:rPr>
        <w:t>20</w:t>
      </w:r>
      <w:r w:rsidR="00764775" w:rsidRPr="0001787E">
        <w:rPr>
          <w:lang w:val="es-ES"/>
        </w:rPr>
        <w:t xml:space="preserve"> al </w:t>
      </w:r>
      <w:r w:rsidR="004A5BFD" w:rsidRPr="0001787E">
        <w:rPr>
          <w:lang w:val="es-ES"/>
        </w:rPr>
        <w:t xml:space="preserve">21 </w:t>
      </w:r>
      <w:r w:rsidR="00764775" w:rsidRPr="0001787E">
        <w:rPr>
          <w:lang w:val="es-ES"/>
        </w:rPr>
        <w:t>de marzo</w:t>
      </w:r>
      <w:r w:rsidR="004A5BFD" w:rsidRPr="0001787E">
        <w:rPr>
          <w:lang w:val="es-ES"/>
        </w:rPr>
        <w:t xml:space="preserve">), </w:t>
      </w:r>
      <w:r w:rsidR="00764775" w:rsidRPr="0001787E">
        <w:rPr>
          <w:lang w:val="es-ES"/>
        </w:rPr>
        <w:t>los Estados Árabes (Manama (</w:t>
      </w:r>
      <w:r w:rsidR="004A5BFD" w:rsidRPr="0001787E">
        <w:rPr>
          <w:lang w:val="es-ES"/>
        </w:rPr>
        <w:t>Bahr</w:t>
      </w:r>
      <w:r w:rsidR="00764775" w:rsidRPr="0001787E">
        <w:rPr>
          <w:lang w:val="es-ES"/>
        </w:rPr>
        <w:t>e</w:t>
      </w:r>
      <w:r w:rsidR="004A5BFD" w:rsidRPr="0001787E">
        <w:rPr>
          <w:lang w:val="es-ES"/>
        </w:rPr>
        <w:t>in</w:t>
      </w:r>
      <w:r w:rsidR="00764775" w:rsidRPr="0001787E">
        <w:rPr>
          <w:lang w:val="es-ES"/>
        </w:rPr>
        <w:t>)</w:t>
      </w:r>
      <w:r w:rsidR="004A5BFD" w:rsidRPr="0001787E">
        <w:rPr>
          <w:lang w:val="es-ES"/>
        </w:rPr>
        <w:t xml:space="preserve">, </w:t>
      </w:r>
      <w:r w:rsidR="00764775" w:rsidRPr="0001787E">
        <w:rPr>
          <w:lang w:val="es-ES"/>
        </w:rPr>
        <w:t xml:space="preserve">del </w:t>
      </w:r>
      <w:r w:rsidR="004A5BFD" w:rsidRPr="0001787E">
        <w:rPr>
          <w:lang w:val="es-ES"/>
        </w:rPr>
        <w:t>26</w:t>
      </w:r>
      <w:r w:rsidR="00764775" w:rsidRPr="0001787E">
        <w:rPr>
          <w:lang w:val="es-ES"/>
        </w:rPr>
        <w:t xml:space="preserve"> al </w:t>
      </w:r>
      <w:r w:rsidR="004A5BFD" w:rsidRPr="0001787E">
        <w:rPr>
          <w:lang w:val="es-ES"/>
        </w:rPr>
        <w:t xml:space="preserve">27 </w:t>
      </w:r>
      <w:r w:rsidR="00764775" w:rsidRPr="0001787E">
        <w:rPr>
          <w:lang w:val="es-ES"/>
        </w:rPr>
        <w:t>de marzo</w:t>
      </w:r>
      <w:r w:rsidR="004A5BFD" w:rsidRPr="0001787E">
        <w:rPr>
          <w:lang w:val="es-ES"/>
        </w:rPr>
        <w:t xml:space="preserve">) </w:t>
      </w:r>
      <w:r w:rsidR="00764775" w:rsidRPr="0001787E">
        <w:rPr>
          <w:lang w:val="es-ES"/>
        </w:rPr>
        <w:t>y el Pacífico (Nadi (</w:t>
      </w:r>
      <w:r w:rsidR="004A5BFD" w:rsidRPr="0001787E">
        <w:rPr>
          <w:lang w:val="es-ES"/>
        </w:rPr>
        <w:t>Fiji</w:t>
      </w:r>
      <w:r w:rsidR="00764775" w:rsidRPr="0001787E">
        <w:rPr>
          <w:lang w:val="es-ES"/>
        </w:rPr>
        <w:t>)</w:t>
      </w:r>
      <w:r w:rsidR="004A5BFD" w:rsidRPr="0001787E">
        <w:rPr>
          <w:lang w:val="es-ES"/>
        </w:rPr>
        <w:t xml:space="preserve">, </w:t>
      </w:r>
      <w:r w:rsidR="00764775" w:rsidRPr="0001787E">
        <w:rPr>
          <w:lang w:val="es-ES"/>
        </w:rPr>
        <w:t xml:space="preserve">del </w:t>
      </w:r>
      <w:r w:rsidR="004A5BFD" w:rsidRPr="0001787E">
        <w:rPr>
          <w:lang w:val="es-ES"/>
        </w:rPr>
        <w:t>22</w:t>
      </w:r>
      <w:r w:rsidR="00764775" w:rsidRPr="0001787E">
        <w:rPr>
          <w:lang w:val="es-ES"/>
        </w:rPr>
        <w:t xml:space="preserve"> al </w:t>
      </w:r>
      <w:r w:rsidR="004A5BFD" w:rsidRPr="0001787E">
        <w:rPr>
          <w:lang w:val="es-ES"/>
        </w:rPr>
        <w:t xml:space="preserve">23 </w:t>
      </w:r>
      <w:r w:rsidR="00764775" w:rsidRPr="0001787E">
        <w:rPr>
          <w:lang w:val="es-ES"/>
        </w:rPr>
        <w:t>de noviembre</w:t>
      </w:r>
      <w:r w:rsidR="004A5BFD" w:rsidRPr="0001787E">
        <w:rPr>
          <w:lang w:val="es-ES"/>
        </w:rPr>
        <w:t xml:space="preserve">). </w:t>
      </w:r>
      <w:r w:rsidR="00764775" w:rsidRPr="0001787E">
        <w:rPr>
          <w:lang w:val="es-ES"/>
        </w:rPr>
        <w:t xml:space="preserve">Se realizaron talleres nacionales en </w:t>
      </w:r>
      <w:r w:rsidR="004A5BFD" w:rsidRPr="0001787E">
        <w:rPr>
          <w:lang w:val="es-ES"/>
        </w:rPr>
        <w:t>Malawi (</w:t>
      </w:r>
      <w:r w:rsidR="00764775" w:rsidRPr="0001787E">
        <w:rPr>
          <w:lang w:val="es-ES"/>
        </w:rPr>
        <w:t xml:space="preserve">del </w:t>
      </w:r>
      <w:r w:rsidR="004A5BFD" w:rsidRPr="0001787E">
        <w:rPr>
          <w:lang w:val="es-ES"/>
        </w:rPr>
        <w:t>22</w:t>
      </w:r>
      <w:r w:rsidR="00764775" w:rsidRPr="0001787E">
        <w:rPr>
          <w:lang w:val="es-ES"/>
        </w:rPr>
        <w:t xml:space="preserve"> al </w:t>
      </w:r>
      <w:r w:rsidR="004A5BFD" w:rsidRPr="0001787E">
        <w:rPr>
          <w:lang w:val="es-ES"/>
        </w:rPr>
        <w:t xml:space="preserve">23 </w:t>
      </w:r>
      <w:r w:rsidR="00764775" w:rsidRPr="0001787E">
        <w:rPr>
          <w:lang w:val="es-ES"/>
        </w:rPr>
        <w:t>de marzo</w:t>
      </w:r>
      <w:r w:rsidR="004A5BFD" w:rsidRPr="0001787E">
        <w:rPr>
          <w:lang w:val="es-ES"/>
        </w:rPr>
        <w:t>), Benin (</w:t>
      </w:r>
      <w:r w:rsidR="00764775" w:rsidRPr="0001787E">
        <w:rPr>
          <w:lang w:val="es-ES"/>
        </w:rPr>
        <w:t>del 2 al</w:t>
      </w:r>
      <w:r w:rsidR="00DE2E01">
        <w:rPr>
          <w:lang w:val="es-ES"/>
        </w:rPr>
        <w:t> </w:t>
      </w:r>
      <w:r w:rsidR="004A5BFD" w:rsidRPr="0001787E">
        <w:rPr>
          <w:lang w:val="es-ES"/>
        </w:rPr>
        <w:t xml:space="preserve">3 </w:t>
      </w:r>
      <w:r w:rsidR="00764775" w:rsidRPr="0001787E">
        <w:rPr>
          <w:lang w:val="es-ES"/>
        </w:rPr>
        <w:t>de mayo</w:t>
      </w:r>
      <w:r w:rsidR="004A5BFD" w:rsidRPr="0001787E">
        <w:rPr>
          <w:lang w:val="es-ES"/>
        </w:rPr>
        <w:t>), Chad (</w:t>
      </w:r>
      <w:r w:rsidR="00764775" w:rsidRPr="0001787E">
        <w:rPr>
          <w:lang w:val="es-ES"/>
        </w:rPr>
        <w:t xml:space="preserve">del </w:t>
      </w:r>
      <w:r w:rsidR="004A5BFD" w:rsidRPr="0001787E">
        <w:rPr>
          <w:lang w:val="es-ES"/>
        </w:rPr>
        <w:t>1</w:t>
      </w:r>
      <w:r w:rsidR="00764775" w:rsidRPr="0001787E">
        <w:rPr>
          <w:lang w:val="es-ES"/>
        </w:rPr>
        <w:t xml:space="preserve">2 al </w:t>
      </w:r>
      <w:r w:rsidR="004A5BFD" w:rsidRPr="0001787E">
        <w:rPr>
          <w:lang w:val="es-ES"/>
        </w:rPr>
        <w:t xml:space="preserve">15 </w:t>
      </w:r>
      <w:r w:rsidR="00764775" w:rsidRPr="0001787E">
        <w:rPr>
          <w:lang w:val="es-ES"/>
        </w:rPr>
        <w:t>de noviembre</w:t>
      </w:r>
      <w:r w:rsidR="004A5BFD" w:rsidRPr="0001787E">
        <w:rPr>
          <w:lang w:val="es-ES"/>
        </w:rPr>
        <w:t xml:space="preserve">) </w:t>
      </w:r>
      <w:r w:rsidR="00764775" w:rsidRPr="0001787E">
        <w:rPr>
          <w:lang w:val="es-ES"/>
        </w:rPr>
        <w:t xml:space="preserve">y </w:t>
      </w:r>
      <w:r w:rsidR="004A5BFD" w:rsidRPr="0001787E">
        <w:rPr>
          <w:lang w:val="es-ES"/>
        </w:rPr>
        <w:t>Burundi (</w:t>
      </w:r>
      <w:r w:rsidR="00764775" w:rsidRPr="0001787E">
        <w:rPr>
          <w:lang w:val="es-ES"/>
        </w:rPr>
        <w:t xml:space="preserve">del </w:t>
      </w:r>
      <w:r w:rsidR="004A5BFD" w:rsidRPr="0001787E">
        <w:rPr>
          <w:lang w:val="es-ES"/>
        </w:rPr>
        <w:t>16</w:t>
      </w:r>
      <w:r w:rsidR="00764775" w:rsidRPr="0001787E">
        <w:rPr>
          <w:lang w:val="es-ES"/>
        </w:rPr>
        <w:t xml:space="preserve"> al </w:t>
      </w:r>
      <w:r w:rsidR="004A5BFD" w:rsidRPr="0001787E">
        <w:rPr>
          <w:lang w:val="es-ES"/>
        </w:rPr>
        <w:t xml:space="preserve">20 </w:t>
      </w:r>
      <w:r w:rsidR="00764775" w:rsidRPr="0001787E">
        <w:rPr>
          <w:lang w:val="es-ES"/>
        </w:rPr>
        <w:t>de diciembre</w:t>
      </w:r>
      <w:r w:rsidR="004A5BFD" w:rsidRPr="0001787E">
        <w:rPr>
          <w:lang w:val="es-ES"/>
        </w:rPr>
        <w:t>)</w:t>
      </w:r>
      <w:r w:rsidR="00764775" w:rsidRPr="0001787E">
        <w:rPr>
          <w:lang w:val="es-ES"/>
        </w:rPr>
        <w:t xml:space="preserve"> con el objetivo de mejorar la capacidad de las partes interesadas nacionales y examinar con más detalle la metodología aplicable a los datos de las TIC y la mejora de la coordinación nacional. Además, la</w:t>
      </w:r>
      <w:r w:rsidR="004A5BFD" w:rsidRPr="0001787E">
        <w:rPr>
          <w:lang w:val="es-ES"/>
        </w:rPr>
        <w:t xml:space="preserve"> </w:t>
      </w:r>
      <w:r w:rsidR="00764775" w:rsidRPr="0001787E">
        <w:rPr>
          <w:lang w:val="es-ES"/>
        </w:rPr>
        <w:t xml:space="preserve">BDT ayudó a la secretaría </w:t>
      </w:r>
      <w:r w:rsidR="00C745CA" w:rsidRPr="0001787E">
        <w:rPr>
          <w:lang w:val="es-ES"/>
        </w:rPr>
        <w:t>de</w:t>
      </w:r>
      <w:r w:rsidR="00C745CA">
        <w:rPr>
          <w:lang w:val="es-ES"/>
        </w:rPr>
        <w:t xml:space="preserve"> la</w:t>
      </w:r>
      <w:r w:rsidR="00C745CA" w:rsidRPr="0001787E">
        <w:rPr>
          <w:lang w:val="es-ES"/>
        </w:rPr>
        <w:t xml:space="preserve"> </w:t>
      </w:r>
      <w:r w:rsidR="00764775" w:rsidRPr="0001787E">
        <w:rPr>
          <w:lang w:val="es-ES"/>
        </w:rPr>
        <w:t>S</w:t>
      </w:r>
      <w:r w:rsidR="00C745CA">
        <w:rPr>
          <w:lang w:val="es-ES"/>
        </w:rPr>
        <w:t>ADC</w:t>
      </w:r>
      <w:r w:rsidR="00764775" w:rsidRPr="0001787E">
        <w:rPr>
          <w:lang w:val="es-ES"/>
        </w:rPr>
        <w:t xml:space="preserve"> a ofrecer un taller regional de c</w:t>
      </w:r>
      <w:r w:rsidR="00C745CA">
        <w:rPr>
          <w:lang w:val="es-ES"/>
        </w:rPr>
        <w:t>apacitación en</w:t>
      </w:r>
      <w:r w:rsidR="00764775" w:rsidRPr="0001787E">
        <w:rPr>
          <w:lang w:val="es-ES"/>
        </w:rPr>
        <w:t xml:space="preserve"> estadísticas de</w:t>
      </w:r>
      <w:r w:rsidR="00DE2E01">
        <w:rPr>
          <w:lang w:val="es-ES"/>
        </w:rPr>
        <w:t> </w:t>
      </w:r>
      <w:r w:rsidR="00764775" w:rsidRPr="0001787E">
        <w:rPr>
          <w:lang w:val="es-ES"/>
        </w:rPr>
        <w:t xml:space="preserve">TIC </w:t>
      </w:r>
      <w:r w:rsidR="004A5BFD" w:rsidRPr="0001787E">
        <w:rPr>
          <w:lang w:val="es-ES"/>
        </w:rPr>
        <w:t xml:space="preserve">(Gaborone </w:t>
      </w:r>
      <w:r w:rsidR="00764775" w:rsidRPr="0001787E">
        <w:rPr>
          <w:lang w:val="es-ES"/>
        </w:rPr>
        <w:t>(</w:t>
      </w:r>
      <w:r w:rsidR="004A5BFD" w:rsidRPr="0001787E">
        <w:rPr>
          <w:lang w:val="es-ES"/>
        </w:rPr>
        <w:t>Botswana</w:t>
      </w:r>
      <w:r w:rsidR="00764775" w:rsidRPr="0001787E">
        <w:rPr>
          <w:lang w:val="es-ES"/>
        </w:rPr>
        <w:t>)</w:t>
      </w:r>
      <w:r w:rsidR="004A5BFD" w:rsidRPr="0001787E">
        <w:rPr>
          <w:lang w:val="es-ES"/>
        </w:rPr>
        <w:t xml:space="preserve">, </w:t>
      </w:r>
      <w:r w:rsidR="00764775" w:rsidRPr="0001787E">
        <w:rPr>
          <w:lang w:val="es-ES"/>
        </w:rPr>
        <w:t xml:space="preserve">del </w:t>
      </w:r>
      <w:r w:rsidR="004A5BFD" w:rsidRPr="0001787E">
        <w:rPr>
          <w:lang w:val="es-ES"/>
        </w:rPr>
        <w:t>10</w:t>
      </w:r>
      <w:r w:rsidR="00764775" w:rsidRPr="0001787E">
        <w:rPr>
          <w:lang w:val="es-ES"/>
        </w:rPr>
        <w:t xml:space="preserve"> al </w:t>
      </w:r>
      <w:r w:rsidR="004A5BFD" w:rsidRPr="0001787E">
        <w:rPr>
          <w:lang w:val="es-ES"/>
        </w:rPr>
        <w:t xml:space="preserve">14 </w:t>
      </w:r>
      <w:r w:rsidR="00764775" w:rsidRPr="0001787E">
        <w:rPr>
          <w:lang w:val="es-ES"/>
        </w:rPr>
        <w:t>de diciembre</w:t>
      </w:r>
      <w:r w:rsidR="004A5BFD" w:rsidRPr="0001787E">
        <w:rPr>
          <w:lang w:val="es-ES"/>
        </w:rPr>
        <w:t xml:space="preserve">) </w:t>
      </w:r>
      <w:r w:rsidR="0058761E" w:rsidRPr="0001787E">
        <w:rPr>
          <w:lang w:val="es-ES"/>
        </w:rPr>
        <w:t>en el marco de la ejecución de la fase</w:t>
      </w:r>
      <w:r w:rsidR="00DE2E01">
        <w:rPr>
          <w:lang w:val="es-ES"/>
        </w:rPr>
        <w:t> </w:t>
      </w:r>
      <w:r w:rsidR="0058761E" w:rsidRPr="0001787E">
        <w:rPr>
          <w:lang w:val="es-ES"/>
        </w:rPr>
        <w:t>1 del observatorio de las TIC de</w:t>
      </w:r>
      <w:r w:rsidR="00C745CA">
        <w:rPr>
          <w:lang w:val="es-ES"/>
        </w:rPr>
        <w:t xml:space="preserve"> a</w:t>
      </w:r>
      <w:r w:rsidR="0058761E" w:rsidRPr="0001787E">
        <w:rPr>
          <w:lang w:val="es-ES"/>
        </w:rPr>
        <w:t>l S</w:t>
      </w:r>
      <w:r w:rsidR="00C745CA">
        <w:rPr>
          <w:lang w:val="es-ES"/>
        </w:rPr>
        <w:t>ADC</w:t>
      </w:r>
      <w:r w:rsidR="004A5BFD" w:rsidRPr="0001787E">
        <w:rPr>
          <w:lang w:val="es-ES"/>
        </w:rPr>
        <w:t xml:space="preserve">. </w:t>
      </w:r>
      <w:r w:rsidR="0058761E" w:rsidRPr="0001787E">
        <w:rPr>
          <w:lang w:val="es-ES"/>
        </w:rPr>
        <w:t>En 2019 hay previstas varias actividades de c</w:t>
      </w:r>
      <w:r w:rsidR="00C745CA">
        <w:rPr>
          <w:lang w:val="es-ES"/>
        </w:rPr>
        <w:t>apacitación en materia de</w:t>
      </w:r>
      <w:r w:rsidR="0058761E" w:rsidRPr="0001787E">
        <w:rPr>
          <w:lang w:val="es-ES"/>
        </w:rPr>
        <w:t xml:space="preserve"> datos y estadísticas de las TIC encaminadas a reforzar las capacidades de los Estados Miembros para la recopilación de datos oportunos y de calidad</w:t>
      </w:r>
      <w:r w:rsidR="004A5BFD" w:rsidRPr="0001787E">
        <w:rPr>
          <w:lang w:val="es-ES"/>
        </w:rPr>
        <w:t>.</w:t>
      </w:r>
    </w:p>
    <w:p w:rsidR="004A5BFD" w:rsidRPr="0001787E" w:rsidRDefault="004A5BFD" w:rsidP="0058761E">
      <w:pPr>
        <w:pStyle w:val="Heading1"/>
        <w:rPr>
          <w:b w:val="0"/>
          <w:bCs/>
          <w:lang w:val="es-ES"/>
        </w:rPr>
      </w:pPr>
      <w:r w:rsidRPr="0001787E">
        <w:rPr>
          <w:bCs/>
          <w:lang w:val="es-ES"/>
        </w:rPr>
        <w:t>6</w:t>
      </w:r>
      <w:r w:rsidRPr="0001787E">
        <w:rPr>
          <w:bCs/>
          <w:lang w:val="es-ES"/>
        </w:rPr>
        <w:tab/>
      </w:r>
      <w:r w:rsidR="0058761E" w:rsidRPr="0001787E">
        <w:rPr>
          <w:bCs/>
          <w:lang w:val="es-ES"/>
        </w:rPr>
        <w:t>Cooperación internacional</w:t>
      </w:r>
    </w:p>
    <w:p w:rsidR="004A5BFD" w:rsidRPr="0001787E" w:rsidRDefault="00A81556" w:rsidP="00EE3864">
      <w:pPr>
        <w:rPr>
          <w:lang w:val="es-ES"/>
        </w:rPr>
      </w:pPr>
      <w:r w:rsidRPr="0001787E">
        <w:rPr>
          <w:lang w:val="es-ES"/>
        </w:rPr>
        <w:t xml:space="preserve">La UIT sigue siendo un miembro </w:t>
      </w:r>
      <w:r w:rsidR="001C296C" w:rsidRPr="0001787E">
        <w:rPr>
          <w:lang w:val="es-ES"/>
        </w:rPr>
        <w:t>activo</w:t>
      </w:r>
      <w:r w:rsidRPr="0001787E">
        <w:rPr>
          <w:lang w:val="es-ES"/>
        </w:rPr>
        <w:t xml:space="preserve"> de la Alianza mundial para la Medición de las TIC para el Desarrollo y, junto con la Conferencia de las Naciones Unidas sobre Comercio y Desarrollo </w:t>
      </w:r>
      <w:r w:rsidR="004A5BFD" w:rsidRPr="0001787E">
        <w:rPr>
          <w:lang w:val="es-ES"/>
        </w:rPr>
        <w:t xml:space="preserve">(UNCTAD) </w:t>
      </w:r>
      <w:r w:rsidRPr="0001787E">
        <w:rPr>
          <w:lang w:val="es-ES"/>
        </w:rPr>
        <w:t xml:space="preserve">y el Instituto de Estadística de la UNESCO </w:t>
      </w:r>
      <w:r w:rsidR="004A5BFD" w:rsidRPr="0001787E">
        <w:rPr>
          <w:lang w:val="es-ES"/>
        </w:rPr>
        <w:t>(</w:t>
      </w:r>
      <w:r w:rsidRPr="0001787E">
        <w:rPr>
          <w:lang w:val="es-ES"/>
        </w:rPr>
        <w:t>ISU</w:t>
      </w:r>
      <w:r w:rsidR="004A5BFD" w:rsidRPr="0001787E">
        <w:rPr>
          <w:lang w:val="es-ES"/>
        </w:rPr>
        <w:t>)</w:t>
      </w:r>
      <w:r w:rsidRPr="0001787E">
        <w:rPr>
          <w:lang w:val="es-ES"/>
        </w:rPr>
        <w:t xml:space="preserve">, conforma su </w:t>
      </w:r>
      <w:r w:rsidRPr="0001787E">
        <w:rPr>
          <w:color w:val="000000"/>
          <w:lang w:val="es-ES"/>
        </w:rPr>
        <w:t>Comité de Dirección</w:t>
      </w:r>
      <w:r w:rsidR="004A5BFD" w:rsidRPr="0001787E">
        <w:rPr>
          <w:lang w:val="es-ES"/>
        </w:rPr>
        <w:t xml:space="preserve">. </w:t>
      </w:r>
      <w:r w:rsidRPr="0001787E">
        <w:rPr>
          <w:lang w:val="es-ES"/>
        </w:rPr>
        <w:t>La</w:t>
      </w:r>
      <w:r w:rsidR="00EE3864">
        <w:rPr>
          <w:lang w:val="es-ES"/>
        </w:rPr>
        <w:t> </w:t>
      </w:r>
      <w:r w:rsidRPr="0001787E">
        <w:rPr>
          <w:lang w:val="es-ES"/>
        </w:rPr>
        <w:t>Alianza ha ido creciendo a lo largo de los años</w:t>
      </w:r>
      <w:r w:rsidR="00E00718" w:rsidRPr="0001787E">
        <w:rPr>
          <w:lang w:val="es-ES"/>
        </w:rPr>
        <w:t xml:space="preserve"> hasta integrar</w:t>
      </w:r>
      <w:r w:rsidRPr="0001787E">
        <w:rPr>
          <w:lang w:val="es-ES"/>
        </w:rPr>
        <w:t xml:space="preserve"> a 14 organizaciones </w:t>
      </w:r>
      <w:r w:rsidR="00E00718" w:rsidRPr="0001787E">
        <w:rPr>
          <w:lang w:val="es-ES"/>
        </w:rPr>
        <w:t>asociadas</w:t>
      </w:r>
      <w:r w:rsidRPr="0001787E">
        <w:rPr>
          <w:lang w:val="es-ES"/>
        </w:rPr>
        <w:t>, y la</w:t>
      </w:r>
      <w:r w:rsidR="00EE3864">
        <w:rPr>
          <w:lang w:val="es-ES"/>
        </w:rPr>
        <w:t> </w:t>
      </w:r>
      <w:r w:rsidRPr="0001787E">
        <w:rPr>
          <w:lang w:val="es-ES"/>
        </w:rPr>
        <w:t xml:space="preserve">OIT se unió en </w:t>
      </w:r>
      <w:r w:rsidR="004A5BFD" w:rsidRPr="0001787E">
        <w:rPr>
          <w:lang w:val="es-ES"/>
        </w:rPr>
        <w:t xml:space="preserve">2014. </w:t>
      </w:r>
      <w:r w:rsidRPr="0001787E">
        <w:rPr>
          <w:lang w:val="es-ES"/>
        </w:rPr>
        <w:t>La Alianza ha trabajado muy activamente en el seguimiento del progreso del</w:t>
      </w:r>
      <w:r w:rsidR="00EE3864">
        <w:rPr>
          <w:lang w:val="es-ES"/>
        </w:rPr>
        <w:t> </w:t>
      </w:r>
      <w:r w:rsidRPr="0001787E">
        <w:rPr>
          <w:lang w:val="es-ES"/>
        </w:rPr>
        <w:t>SMIT y las metas de los ODS, y ha asumido un papel rector en la labor para aumentar la sensibilización sobre la importancia de las TIC para el desarrollo y en las actividades de control internacional de las TIC</w:t>
      </w:r>
      <w:r w:rsidR="000D6454">
        <w:rPr>
          <w:lang w:val="es-ES"/>
        </w:rPr>
        <w:t>.</w:t>
      </w:r>
    </w:p>
    <w:p w:rsidR="004A5BFD" w:rsidRPr="0001787E" w:rsidRDefault="0085453F" w:rsidP="009126D3">
      <w:pPr>
        <w:rPr>
          <w:lang w:val="es-ES"/>
        </w:rPr>
      </w:pPr>
      <w:r w:rsidRPr="0001787E">
        <w:rPr>
          <w:lang w:val="es-ES"/>
        </w:rPr>
        <w:lastRenderedPageBreak/>
        <w:t xml:space="preserve">La </w:t>
      </w:r>
      <w:r w:rsidR="004A5BFD" w:rsidRPr="0001787E">
        <w:rPr>
          <w:lang w:val="es-ES"/>
        </w:rPr>
        <w:t xml:space="preserve">BDT </w:t>
      </w:r>
      <w:r w:rsidRPr="0001787E">
        <w:rPr>
          <w:lang w:val="es-ES"/>
        </w:rPr>
        <w:t xml:space="preserve">también ha colaborado con la Presidencia argentina del G20 y con la OCDE en la elaboración del documento </w:t>
      </w:r>
      <w:r w:rsidR="009126D3">
        <w:rPr>
          <w:lang w:val="es-ES"/>
        </w:rPr>
        <w:t>"</w:t>
      </w:r>
      <w:r w:rsidR="004A5BFD" w:rsidRPr="0001787E">
        <w:rPr>
          <w:lang w:val="es-ES"/>
        </w:rPr>
        <w:t>G20 Toolkit for Measuring the Digital Economy</w:t>
      </w:r>
      <w:r w:rsidR="009126D3">
        <w:rPr>
          <w:lang w:val="es-ES"/>
        </w:rPr>
        <w:t>"</w:t>
      </w:r>
      <w:r w:rsidRPr="0001787E">
        <w:rPr>
          <w:lang w:val="es-ES"/>
        </w:rPr>
        <w:t>. En este documento se reúnen diferentes enfoques metodológicos e indicadores que se pueden utilizar para supervisar la transformación digital y se ponen de relieve desafíos y deficiencias críticas que podrían considerar los países del G20 y las organizaciones internacionales que participan en la medición de la digitalización a la hora de determinar su labor futura</w:t>
      </w:r>
      <w:r w:rsidR="009126D3">
        <w:rPr>
          <w:lang w:val="es-ES"/>
        </w:rPr>
        <w:t>.</w:t>
      </w:r>
    </w:p>
    <w:p w:rsidR="0017609D" w:rsidRPr="0001787E" w:rsidRDefault="0085453F" w:rsidP="00B023C0">
      <w:pPr>
        <w:tabs>
          <w:tab w:val="left" w:pos="2835"/>
        </w:tabs>
        <w:rPr>
          <w:lang w:val="es-ES"/>
        </w:rPr>
      </w:pPr>
      <w:r w:rsidRPr="0001787E">
        <w:rPr>
          <w:lang w:val="es-ES"/>
        </w:rPr>
        <w:t>La cooperación entre la OCDE</w:t>
      </w:r>
      <w:r w:rsidR="004A5BFD" w:rsidRPr="0001787E">
        <w:rPr>
          <w:lang w:val="es-ES"/>
        </w:rPr>
        <w:t>, Eurostat</w:t>
      </w:r>
      <w:r w:rsidRPr="0001787E">
        <w:rPr>
          <w:lang w:val="es-ES"/>
        </w:rPr>
        <w:t xml:space="preserve"> y la UIT sigue siendo estrecha, </w:t>
      </w:r>
      <w:r w:rsidR="00B023C0" w:rsidRPr="0001787E">
        <w:rPr>
          <w:lang w:val="es-ES"/>
        </w:rPr>
        <w:t>y los representantes de estas organizaciones asisten a las reuniones recíprocamente</w:t>
      </w:r>
      <w:r w:rsidR="004A5BFD" w:rsidRPr="0001787E">
        <w:rPr>
          <w:lang w:val="es-ES"/>
        </w:rPr>
        <w:t>.</w:t>
      </w:r>
    </w:p>
    <w:p w:rsidR="000D6454" w:rsidRDefault="000D6454" w:rsidP="000D6454"/>
    <w:p w:rsidR="000D6454" w:rsidRDefault="000D6454">
      <w:pPr>
        <w:jc w:val="center"/>
      </w:pPr>
      <w:r>
        <w:t>______________</w:t>
      </w:r>
    </w:p>
    <w:p w:rsidR="0017609D" w:rsidRDefault="0017609D" w:rsidP="000D6454">
      <w:pPr>
        <w:tabs>
          <w:tab w:val="left" w:pos="2835"/>
        </w:tabs>
        <w:rPr>
          <w:lang w:val="es-ES"/>
        </w:rPr>
      </w:pPr>
    </w:p>
    <w:p w:rsidR="000D6454" w:rsidRDefault="000D6454" w:rsidP="000D6454">
      <w:pPr>
        <w:tabs>
          <w:tab w:val="left" w:pos="2835"/>
        </w:tabs>
        <w:rPr>
          <w:lang w:val="es-ES"/>
        </w:rPr>
      </w:pPr>
    </w:p>
    <w:sectPr w:rsidR="000D6454" w:rsidSect="004B7893">
      <w:headerReference w:type="default" r:id="rId12"/>
      <w:footerReference w:type="defaul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FD" w:rsidRDefault="004A5BFD" w:rsidP="0088106F">
      <w:r>
        <w:separator/>
      </w:r>
    </w:p>
  </w:endnote>
  <w:endnote w:type="continuationSeparator" w:id="0">
    <w:p w:rsidR="004A5BFD" w:rsidRDefault="004A5BFD"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D80780" w:rsidRDefault="00AE40F2" w:rsidP="00AE40F2">
    <w:pPr>
      <w:pStyle w:val="Footer"/>
      <w:rPr>
        <w:lang w:val="en-GB"/>
      </w:rPr>
    </w:pPr>
    <w:r w:rsidRPr="00AE40F2">
      <w:rPr>
        <w:lang w:val="en-GB"/>
      </w:rPr>
      <w:fldChar w:fldCharType="begin"/>
    </w:r>
    <w:r w:rsidRPr="00AE40F2">
      <w:rPr>
        <w:lang w:val="en-GB"/>
      </w:rPr>
      <w:instrText xml:space="preserve"> FILENAME \p  \* MERGEFORMAT </w:instrText>
    </w:r>
    <w:r w:rsidRPr="00AE40F2">
      <w:rPr>
        <w:lang w:val="en-GB"/>
      </w:rPr>
      <w:fldChar w:fldCharType="separate"/>
    </w:r>
    <w:r w:rsidR="000B2E16">
      <w:rPr>
        <w:lang w:val="en-GB"/>
      </w:rPr>
      <w:t>P:\ESP\ITU-D\CONF-D\TDAG19\000\019S.docx</w:t>
    </w:r>
    <w:r w:rsidRPr="00AE40F2">
      <w:rPr>
        <w:lang w:val="en-GB"/>
      </w:rPr>
      <w:fldChar w:fldCharType="end"/>
    </w:r>
    <w:r w:rsidRPr="00AE40F2">
      <w:rPr>
        <w:lang w:val="en-GB"/>
      </w:rPr>
      <w:t xml:space="preserve"> (</w:t>
    </w:r>
    <w:r>
      <w:rPr>
        <w:lang w:val="en-GB"/>
      </w:rPr>
      <w:t>449225</w:t>
    </w:r>
    <w:r w:rsidRPr="00AE40F2">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68B" w:rsidRPr="0086268B" w:rsidRDefault="0086268B">
    <w:pPr>
      <w:rPr>
        <w:lang w:val="en-US"/>
      </w:rPr>
    </w:pPr>
  </w:p>
  <w:tbl>
    <w:tblPr>
      <w:tblW w:w="9923" w:type="dxa"/>
      <w:tblLayout w:type="fixed"/>
      <w:tblLook w:val="04A0" w:firstRow="1" w:lastRow="0" w:firstColumn="1" w:lastColumn="0" w:noHBand="0" w:noVBand="1"/>
    </w:tblPr>
    <w:tblGrid>
      <w:gridCol w:w="1134"/>
      <w:gridCol w:w="2646"/>
      <w:gridCol w:w="6143"/>
    </w:tblGrid>
    <w:tr w:rsidR="009D1BD4" w:rsidRPr="007C27ED" w:rsidTr="00AE40F2">
      <w:tc>
        <w:tcPr>
          <w:tcW w:w="1134" w:type="dxa"/>
          <w:tcBorders>
            <w:top w:val="single" w:sz="4" w:space="0" w:color="000000"/>
          </w:tcBorders>
          <w:shd w:val="clear" w:color="auto" w:fill="auto"/>
        </w:tcPr>
        <w:p w:rsidR="009D1BD4" w:rsidRPr="004647DB" w:rsidRDefault="009D1BD4" w:rsidP="009D1BD4">
          <w:pPr>
            <w:pStyle w:val="FirstFooter"/>
            <w:tabs>
              <w:tab w:val="left" w:pos="1559"/>
              <w:tab w:val="left" w:pos="3828"/>
            </w:tabs>
            <w:rPr>
              <w:sz w:val="18"/>
              <w:szCs w:val="18"/>
              <w:lang w:val="es-ES_tradnl"/>
            </w:rPr>
          </w:pPr>
          <w:r w:rsidRPr="004647DB">
            <w:rPr>
              <w:sz w:val="18"/>
              <w:szCs w:val="18"/>
              <w:lang w:val="es-ES_tradnl"/>
            </w:rPr>
            <w:t>Contacto:</w:t>
          </w:r>
        </w:p>
      </w:tc>
      <w:tc>
        <w:tcPr>
          <w:tcW w:w="2646" w:type="dxa"/>
          <w:tcBorders>
            <w:top w:val="single" w:sz="4" w:space="0" w:color="000000"/>
          </w:tcBorders>
          <w:shd w:val="clear" w:color="auto" w:fill="auto"/>
        </w:tcPr>
        <w:p w:rsidR="009D1BD4" w:rsidRPr="004647DB" w:rsidRDefault="009D1BD4" w:rsidP="009D1BD4">
          <w:pPr>
            <w:pStyle w:val="FirstFooter"/>
            <w:tabs>
              <w:tab w:val="left" w:pos="2302"/>
            </w:tabs>
            <w:ind w:left="2302" w:hanging="2302"/>
            <w:rPr>
              <w:sz w:val="18"/>
              <w:szCs w:val="18"/>
              <w:lang w:val="es-ES_tradnl"/>
            </w:rPr>
          </w:pPr>
          <w:r w:rsidRPr="004647DB">
            <w:rPr>
              <w:sz w:val="18"/>
              <w:szCs w:val="18"/>
              <w:lang w:val="es-ES_tradnl"/>
            </w:rPr>
            <w:t>Nombre/Organización/Entidad:</w:t>
          </w:r>
        </w:p>
      </w:tc>
      <w:tc>
        <w:tcPr>
          <w:tcW w:w="6143" w:type="dxa"/>
          <w:tcBorders>
            <w:top w:val="single" w:sz="4" w:space="0" w:color="000000"/>
          </w:tcBorders>
          <w:shd w:val="clear" w:color="auto" w:fill="auto"/>
        </w:tcPr>
        <w:p w:rsidR="009D1BD4" w:rsidRPr="00D80780" w:rsidRDefault="00D80780" w:rsidP="0086268B">
          <w:pPr>
            <w:pStyle w:val="FirstFooter"/>
            <w:tabs>
              <w:tab w:val="left" w:pos="1871"/>
            </w:tabs>
            <w:rPr>
              <w:sz w:val="18"/>
              <w:szCs w:val="18"/>
              <w:highlight w:val="yellow"/>
              <w:lang w:val="es-ES"/>
            </w:rPr>
          </w:pPr>
          <w:bookmarkStart w:id="10" w:name="OrgName"/>
          <w:bookmarkEnd w:id="10"/>
          <w:r w:rsidRPr="00AE40F2">
            <w:rPr>
              <w:sz w:val="18"/>
              <w:szCs w:val="18"/>
              <w:lang w:val="es-ES"/>
            </w:rPr>
            <w:t>Sr. Cosmas Zavazava, Jefe del Departamento de Proyectos y Gestión del Conocimiento (PKM), Oficina de Desarrollo de las Telecomunicaciones</w:t>
          </w:r>
        </w:p>
      </w:tc>
    </w:tr>
    <w:tr w:rsidR="009D1BD4" w:rsidRPr="004D495C" w:rsidTr="00AE40F2">
      <w:tc>
        <w:tcPr>
          <w:tcW w:w="1134" w:type="dxa"/>
          <w:shd w:val="clear" w:color="auto" w:fill="auto"/>
        </w:tcPr>
        <w:p w:rsidR="009D1BD4" w:rsidRPr="004647DB" w:rsidRDefault="009D1BD4" w:rsidP="009D1BD4">
          <w:pPr>
            <w:pStyle w:val="FirstFooter"/>
            <w:tabs>
              <w:tab w:val="left" w:pos="1559"/>
              <w:tab w:val="left" w:pos="3828"/>
            </w:tabs>
            <w:rPr>
              <w:sz w:val="20"/>
              <w:lang w:val="es-ES_tradnl"/>
            </w:rPr>
          </w:pPr>
        </w:p>
      </w:tc>
      <w:tc>
        <w:tcPr>
          <w:tcW w:w="2646" w:type="dxa"/>
          <w:shd w:val="clear" w:color="auto" w:fill="auto"/>
        </w:tcPr>
        <w:p w:rsidR="009D1BD4" w:rsidRPr="004647DB" w:rsidRDefault="009D1BD4" w:rsidP="009D1BD4">
          <w:pPr>
            <w:pStyle w:val="FirstFooter"/>
            <w:tabs>
              <w:tab w:val="left" w:pos="2302"/>
            </w:tabs>
            <w:rPr>
              <w:sz w:val="18"/>
              <w:szCs w:val="18"/>
              <w:lang w:val="es-ES_tradnl"/>
            </w:rPr>
          </w:pPr>
          <w:r w:rsidRPr="004647DB">
            <w:rPr>
              <w:sz w:val="18"/>
              <w:szCs w:val="18"/>
              <w:lang w:val="es-ES_tradnl"/>
            </w:rPr>
            <w:t>Teléfono:</w:t>
          </w:r>
        </w:p>
      </w:tc>
      <w:tc>
        <w:tcPr>
          <w:tcW w:w="6143" w:type="dxa"/>
          <w:shd w:val="clear" w:color="auto" w:fill="auto"/>
        </w:tcPr>
        <w:p w:rsidR="009D1BD4" w:rsidRPr="00050E06" w:rsidRDefault="004A5BFD" w:rsidP="009D1BD4">
          <w:pPr>
            <w:pStyle w:val="FirstFooter"/>
            <w:tabs>
              <w:tab w:val="left" w:pos="2302"/>
            </w:tabs>
            <w:rPr>
              <w:sz w:val="18"/>
              <w:szCs w:val="18"/>
              <w:lang w:val="en-US"/>
            </w:rPr>
          </w:pPr>
          <w:bookmarkStart w:id="11" w:name="PhoneNo"/>
          <w:bookmarkEnd w:id="11"/>
          <w:r w:rsidRPr="006F6E5C">
            <w:rPr>
              <w:sz w:val="18"/>
              <w:szCs w:val="18"/>
              <w:lang w:val="en-US"/>
            </w:rPr>
            <w:t>+41 22 7305447</w:t>
          </w:r>
        </w:p>
      </w:tc>
    </w:tr>
    <w:tr w:rsidR="009D1BD4" w:rsidRPr="004D495C" w:rsidTr="00AE40F2">
      <w:tc>
        <w:tcPr>
          <w:tcW w:w="1134" w:type="dxa"/>
          <w:shd w:val="clear" w:color="auto" w:fill="auto"/>
        </w:tcPr>
        <w:p w:rsidR="009D1BD4" w:rsidRPr="004647DB" w:rsidRDefault="009D1BD4" w:rsidP="009D1BD4">
          <w:pPr>
            <w:pStyle w:val="FirstFooter"/>
            <w:tabs>
              <w:tab w:val="left" w:pos="1559"/>
              <w:tab w:val="left" w:pos="3828"/>
            </w:tabs>
            <w:rPr>
              <w:sz w:val="20"/>
              <w:lang w:val="es-ES_tradnl"/>
            </w:rPr>
          </w:pPr>
        </w:p>
      </w:tc>
      <w:tc>
        <w:tcPr>
          <w:tcW w:w="2646" w:type="dxa"/>
          <w:shd w:val="clear" w:color="auto" w:fill="auto"/>
        </w:tcPr>
        <w:p w:rsidR="009D1BD4" w:rsidRPr="004647DB" w:rsidRDefault="009D1BD4" w:rsidP="009D1BD4">
          <w:pPr>
            <w:pStyle w:val="FirstFooter"/>
            <w:tabs>
              <w:tab w:val="left" w:pos="2302"/>
            </w:tabs>
            <w:rPr>
              <w:sz w:val="18"/>
              <w:szCs w:val="18"/>
              <w:lang w:val="es-ES_tradnl"/>
            </w:rPr>
          </w:pPr>
          <w:r w:rsidRPr="004647DB">
            <w:rPr>
              <w:sz w:val="18"/>
              <w:szCs w:val="18"/>
              <w:lang w:val="es-ES_tradnl"/>
            </w:rPr>
            <w:t>Correo-e:</w:t>
          </w:r>
        </w:p>
      </w:tc>
      <w:bookmarkStart w:id="12" w:name="Email"/>
      <w:bookmarkEnd w:id="12"/>
      <w:tc>
        <w:tcPr>
          <w:tcW w:w="6143" w:type="dxa"/>
          <w:shd w:val="clear" w:color="auto" w:fill="auto"/>
        </w:tcPr>
        <w:p w:rsidR="009D1BD4" w:rsidRPr="00050E06" w:rsidRDefault="004A5BFD"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6E4AB3" w:rsidRDefault="00082EA2"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FD" w:rsidRDefault="004A5BFD" w:rsidP="0088106F">
      <w:r>
        <w:separator/>
      </w:r>
    </w:p>
  </w:footnote>
  <w:footnote w:type="continuationSeparator" w:id="0">
    <w:p w:rsidR="004A5BFD" w:rsidRDefault="004A5BFD"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D80780">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sidR="00602B27">
      <w:rPr>
        <w:sz w:val="22"/>
        <w:szCs w:val="22"/>
        <w:lang w:val="en-US"/>
      </w:rPr>
      <w:t>-</w:t>
    </w:r>
    <w:r w:rsidRPr="003D4CFB">
      <w:rPr>
        <w:sz w:val="22"/>
        <w:szCs w:val="22"/>
        <w:lang w:val="en-US"/>
      </w:rPr>
      <w:t>1</w:t>
    </w:r>
    <w:r w:rsidR="004E7861">
      <w:rPr>
        <w:sz w:val="22"/>
        <w:szCs w:val="22"/>
        <w:lang w:val="en-US"/>
      </w:rPr>
      <w:t>9</w:t>
    </w:r>
    <w:r w:rsidRPr="003D4CFB">
      <w:rPr>
        <w:sz w:val="22"/>
        <w:szCs w:val="22"/>
        <w:lang w:val="en-US"/>
      </w:rPr>
      <w:t>/</w:t>
    </w:r>
    <w:r w:rsidR="004A5BFD">
      <w:rPr>
        <w:sz w:val="22"/>
        <w:szCs w:val="22"/>
        <w:lang w:val="en-US"/>
      </w:rPr>
      <w:t>19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082EA2">
      <w:rPr>
        <w:noProof/>
        <w:sz w:val="22"/>
        <w:szCs w:val="22"/>
        <w:lang w:val="en-US"/>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FD"/>
    <w:rsid w:val="00001291"/>
    <w:rsid w:val="000135AE"/>
    <w:rsid w:val="0001787E"/>
    <w:rsid w:val="00033D49"/>
    <w:rsid w:val="000725A1"/>
    <w:rsid w:val="00082EA2"/>
    <w:rsid w:val="000B2E16"/>
    <w:rsid w:val="000C0AA7"/>
    <w:rsid w:val="000D6454"/>
    <w:rsid w:val="000E7A0A"/>
    <w:rsid w:val="000F2375"/>
    <w:rsid w:val="00100D8E"/>
    <w:rsid w:val="0017609D"/>
    <w:rsid w:val="00194CB2"/>
    <w:rsid w:val="001C296C"/>
    <w:rsid w:val="001C30C2"/>
    <w:rsid w:val="001E1FAD"/>
    <w:rsid w:val="00213302"/>
    <w:rsid w:val="00221C14"/>
    <w:rsid w:val="00225D2E"/>
    <w:rsid w:val="00241CB9"/>
    <w:rsid w:val="0025402F"/>
    <w:rsid w:val="002A7FAB"/>
    <w:rsid w:val="002D4BE6"/>
    <w:rsid w:val="002D6772"/>
    <w:rsid w:val="002E3AB8"/>
    <w:rsid w:val="00302736"/>
    <w:rsid w:val="003068CD"/>
    <w:rsid w:val="00322BF4"/>
    <w:rsid w:val="0033649F"/>
    <w:rsid w:val="00360762"/>
    <w:rsid w:val="00374202"/>
    <w:rsid w:val="00390391"/>
    <w:rsid w:val="003D4CFB"/>
    <w:rsid w:val="00424332"/>
    <w:rsid w:val="004647DB"/>
    <w:rsid w:val="00482632"/>
    <w:rsid w:val="004A5BFD"/>
    <w:rsid w:val="004B58C2"/>
    <w:rsid w:val="004B7893"/>
    <w:rsid w:val="004E307E"/>
    <w:rsid w:val="004E7861"/>
    <w:rsid w:val="005113BC"/>
    <w:rsid w:val="00535C50"/>
    <w:rsid w:val="00540AEF"/>
    <w:rsid w:val="005557A3"/>
    <w:rsid w:val="005637B9"/>
    <w:rsid w:val="005643DC"/>
    <w:rsid w:val="0058761E"/>
    <w:rsid w:val="00596EFE"/>
    <w:rsid w:val="005D0ADF"/>
    <w:rsid w:val="00602B27"/>
    <w:rsid w:val="006339E7"/>
    <w:rsid w:val="00635A62"/>
    <w:rsid w:val="00650DFD"/>
    <w:rsid w:val="00663F59"/>
    <w:rsid w:val="00684979"/>
    <w:rsid w:val="0069155C"/>
    <w:rsid w:val="006C49A2"/>
    <w:rsid w:val="006C6AF8"/>
    <w:rsid w:val="006E4AB3"/>
    <w:rsid w:val="006F39EB"/>
    <w:rsid w:val="006F61E8"/>
    <w:rsid w:val="00721D17"/>
    <w:rsid w:val="00764775"/>
    <w:rsid w:val="00782B6F"/>
    <w:rsid w:val="007C27ED"/>
    <w:rsid w:val="007C3061"/>
    <w:rsid w:val="007E1F0E"/>
    <w:rsid w:val="007E471D"/>
    <w:rsid w:val="008112C2"/>
    <w:rsid w:val="00813DD8"/>
    <w:rsid w:val="00835A77"/>
    <w:rsid w:val="0085453F"/>
    <w:rsid w:val="0086268B"/>
    <w:rsid w:val="0088106F"/>
    <w:rsid w:val="00896F67"/>
    <w:rsid w:val="008A0CA7"/>
    <w:rsid w:val="008C1852"/>
    <w:rsid w:val="008D789A"/>
    <w:rsid w:val="008E5A7B"/>
    <w:rsid w:val="008F0069"/>
    <w:rsid w:val="009126D3"/>
    <w:rsid w:val="00917B12"/>
    <w:rsid w:val="00953B40"/>
    <w:rsid w:val="00963377"/>
    <w:rsid w:val="00970D0B"/>
    <w:rsid w:val="009752D2"/>
    <w:rsid w:val="00991B13"/>
    <w:rsid w:val="009952F6"/>
    <w:rsid w:val="009A6FC4"/>
    <w:rsid w:val="009A75EE"/>
    <w:rsid w:val="009D1BD4"/>
    <w:rsid w:val="009E1B78"/>
    <w:rsid w:val="00A33516"/>
    <w:rsid w:val="00A77152"/>
    <w:rsid w:val="00A81556"/>
    <w:rsid w:val="00A87DD9"/>
    <w:rsid w:val="00A92E3D"/>
    <w:rsid w:val="00AD4A8A"/>
    <w:rsid w:val="00AE1BA7"/>
    <w:rsid w:val="00AE40F2"/>
    <w:rsid w:val="00AF563E"/>
    <w:rsid w:val="00B023C0"/>
    <w:rsid w:val="00B601B3"/>
    <w:rsid w:val="00B7153F"/>
    <w:rsid w:val="00B97DB8"/>
    <w:rsid w:val="00BC7208"/>
    <w:rsid w:val="00BD3597"/>
    <w:rsid w:val="00C00454"/>
    <w:rsid w:val="00C25986"/>
    <w:rsid w:val="00C745CA"/>
    <w:rsid w:val="00C84BFD"/>
    <w:rsid w:val="00D16175"/>
    <w:rsid w:val="00D34C51"/>
    <w:rsid w:val="00D372A5"/>
    <w:rsid w:val="00D46D62"/>
    <w:rsid w:val="00D53C1A"/>
    <w:rsid w:val="00D706B8"/>
    <w:rsid w:val="00D80780"/>
    <w:rsid w:val="00DE0A35"/>
    <w:rsid w:val="00DE27C7"/>
    <w:rsid w:val="00DE2E01"/>
    <w:rsid w:val="00DF1090"/>
    <w:rsid w:val="00DF2209"/>
    <w:rsid w:val="00E00718"/>
    <w:rsid w:val="00E03B6B"/>
    <w:rsid w:val="00E03CD7"/>
    <w:rsid w:val="00E17138"/>
    <w:rsid w:val="00E204A0"/>
    <w:rsid w:val="00E3519F"/>
    <w:rsid w:val="00E36180"/>
    <w:rsid w:val="00E51C72"/>
    <w:rsid w:val="00E71C31"/>
    <w:rsid w:val="00E75FAC"/>
    <w:rsid w:val="00E7610F"/>
    <w:rsid w:val="00E827C2"/>
    <w:rsid w:val="00EB6D19"/>
    <w:rsid w:val="00ED2681"/>
    <w:rsid w:val="00EE3864"/>
    <w:rsid w:val="00F01E28"/>
    <w:rsid w:val="00F12690"/>
    <w:rsid w:val="00FA67A2"/>
    <w:rsid w:val="00FC1BE0"/>
    <w:rsid w:val="00FD3A29"/>
    <w:rsid w:val="00FE4C2F"/>
    <w:rsid w:val="00FF176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03F673F-71FC-49B0-AD2F-643DD226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4A5BFD"/>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4A5BFD"/>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25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869324">
      <w:bodyDiv w:val="1"/>
      <w:marLeft w:val="0"/>
      <w:marRight w:val="0"/>
      <w:marTop w:val="0"/>
      <w:marBottom w:val="0"/>
      <w:divBdr>
        <w:top w:val="none" w:sz="0" w:space="0" w:color="auto"/>
        <w:left w:val="none" w:sz="0" w:space="0" w:color="auto"/>
        <w:bottom w:val="none" w:sz="0" w:space="0" w:color="auto"/>
        <w:right w:val="none" w:sz="0" w:space="0" w:color="auto"/>
      </w:divBdr>
      <w:divsChild>
        <w:div w:id="1713725532">
          <w:marLeft w:val="75"/>
          <w:marRight w:val="75"/>
          <w:marTop w:val="0"/>
          <w:marBottom w:val="75"/>
          <w:divBdr>
            <w:top w:val="none" w:sz="0" w:space="0" w:color="auto"/>
            <w:left w:val="none" w:sz="0" w:space="0" w:color="auto"/>
            <w:bottom w:val="none" w:sz="0" w:space="0" w:color="auto"/>
            <w:right w:val="none" w:sz="0" w:space="0" w:color="auto"/>
          </w:divBdr>
          <w:divsChild>
            <w:div w:id="62684672">
              <w:marLeft w:val="0"/>
              <w:marRight w:val="0"/>
              <w:marTop w:val="0"/>
              <w:marBottom w:val="0"/>
              <w:divBdr>
                <w:top w:val="none" w:sz="0" w:space="0" w:color="auto"/>
                <w:left w:val="none" w:sz="0" w:space="0" w:color="auto"/>
                <w:bottom w:val="none" w:sz="0" w:space="0" w:color="auto"/>
                <w:right w:val="none" w:sz="0" w:space="0" w:color="auto"/>
              </w:divBdr>
              <w:divsChild>
                <w:div w:id="1697582134">
                  <w:marLeft w:val="0"/>
                  <w:marRight w:val="0"/>
                  <w:marTop w:val="0"/>
                  <w:marBottom w:val="0"/>
                  <w:divBdr>
                    <w:top w:val="none" w:sz="0" w:space="0" w:color="auto"/>
                    <w:left w:val="none" w:sz="0" w:space="0" w:color="auto"/>
                    <w:bottom w:val="none" w:sz="0" w:space="0" w:color="auto"/>
                    <w:right w:val="none" w:sz="0" w:space="0" w:color="auto"/>
                  </w:divBdr>
                  <w:divsChild>
                    <w:div w:id="482627879">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 w:id="2061711497">
                  <w:marLeft w:val="0"/>
                  <w:marRight w:val="0"/>
                  <w:marTop w:val="0"/>
                  <w:marBottom w:val="0"/>
                  <w:divBdr>
                    <w:top w:val="none" w:sz="0" w:space="0" w:color="auto"/>
                    <w:left w:val="none" w:sz="0" w:space="0" w:color="auto"/>
                    <w:bottom w:val="none" w:sz="0" w:space="0" w:color="auto"/>
                    <w:right w:val="none" w:sz="0" w:space="0" w:color="auto"/>
                  </w:divBdr>
                </w:div>
                <w:div w:id="1808236515">
                  <w:marLeft w:val="0"/>
                  <w:marRight w:val="0"/>
                  <w:marTop w:val="0"/>
                  <w:marBottom w:val="0"/>
                  <w:divBdr>
                    <w:top w:val="none" w:sz="0" w:space="0" w:color="auto"/>
                    <w:left w:val="none" w:sz="0" w:space="0" w:color="auto"/>
                    <w:bottom w:val="none" w:sz="0" w:space="0" w:color="auto"/>
                    <w:right w:val="none" w:sz="0" w:space="0" w:color="auto"/>
                  </w:divBdr>
                </w:div>
                <w:div w:id="1503202137">
                  <w:marLeft w:val="0"/>
                  <w:marRight w:val="0"/>
                  <w:marTop w:val="0"/>
                  <w:marBottom w:val="0"/>
                  <w:divBdr>
                    <w:top w:val="none" w:sz="0" w:space="0" w:color="auto"/>
                    <w:left w:val="none" w:sz="0" w:space="0" w:color="auto"/>
                    <w:bottom w:val="none" w:sz="0" w:space="0" w:color="auto"/>
                    <w:right w:val="none" w:sz="0" w:space="0" w:color="auto"/>
                  </w:divBdr>
                </w:div>
                <w:div w:id="1660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Statistics/Pages/publications/misr2018.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s/ITU-D/Statistics/Pages/events/wtis2018/default.aspx" TargetMode="External"/><Relationship Id="rId4" Type="http://schemas.openxmlformats.org/officeDocument/2006/relationships/settings" Target="settings.xml"/><Relationship Id="rId9" Type="http://schemas.openxmlformats.org/officeDocument/2006/relationships/hyperlink" Target="https://www.itu.int/en/ITU-D/Statistics/Documents/publications/ldb/LDB_ICT_2018.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0CD2-5097-407E-8325-E5253E80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35</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17</cp:revision>
  <dcterms:created xsi:type="dcterms:W3CDTF">2019-01-30T14:45:00Z</dcterms:created>
  <dcterms:modified xsi:type="dcterms:W3CDTF">2019-01-30T15:20:00Z</dcterms:modified>
</cp:coreProperties>
</file>