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02DB" w14:paraId="3A839A07" w14:textId="77777777" w:rsidTr="00074382">
        <w:trPr>
          <w:cantSplit/>
          <w:trHeight w:val="1134"/>
        </w:trPr>
        <w:tc>
          <w:tcPr>
            <w:tcW w:w="6804" w:type="dxa"/>
          </w:tcPr>
          <w:p w14:paraId="4059AB3D" w14:textId="77777777" w:rsidR="00F902DB" w:rsidRDefault="00F902DB" w:rsidP="00074382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4B0B1A27" w14:textId="77777777" w:rsidR="00F902DB" w:rsidRPr="00421F93" w:rsidRDefault="00F902DB" w:rsidP="00074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7" w:type="dxa"/>
          </w:tcPr>
          <w:p w14:paraId="03F71F97" w14:textId="77777777" w:rsidR="00F902DB" w:rsidRPr="00D96B4B" w:rsidRDefault="00F902DB" w:rsidP="00074382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1212C5D4" wp14:editId="753C12C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E4" w:rsidRPr="00C324A8" w14:paraId="76C3DF8F" w14:textId="77777777" w:rsidTr="0007438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5B8E4E5" w14:textId="77777777" w:rsidR="00BD58E4" w:rsidRPr="00D96B4B" w:rsidRDefault="00BD58E4" w:rsidP="00074382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13203AE" w14:textId="77777777" w:rsidR="00BD58E4" w:rsidRPr="00D96B4B" w:rsidRDefault="00BD58E4" w:rsidP="00074382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F902DB" w:rsidRPr="0038489B" w14:paraId="7973710F" w14:textId="77777777" w:rsidTr="00074382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53645760" w14:textId="77777777" w:rsidR="00F902DB" w:rsidRPr="00D96B4B" w:rsidRDefault="00F902DB" w:rsidP="000743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4B78EEF1" w14:textId="77777777" w:rsidR="00F902DB" w:rsidRPr="00E07105" w:rsidRDefault="00F902DB" w:rsidP="0007438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lang w:val="en-US"/>
              </w:rPr>
              <w:t>TDAG-19</w:t>
            </w:r>
            <w:r w:rsidRPr="00A54E72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>
              <w:rPr>
                <w:b/>
                <w:bCs/>
                <w:lang w:val="en-US"/>
              </w:rPr>
              <w:t>20-E</w:t>
            </w:r>
          </w:p>
        </w:tc>
      </w:tr>
      <w:tr w:rsidR="00F902DB" w:rsidRPr="00C324A8" w14:paraId="5DEEB85C" w14:textId="77777777" w:rsidTr="00074382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5CC540A9" w14:textId="77777777" w:rsidR="00F902DB" w:rsidRPr="00E07105" w:rsidRDefault="00F902DB" w:rsidP="0007438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164E891C" w14:textId="3B2BD93C" w:rsidR="00F902DB" w:rsidRPr="00D96B4B" w:rsidRDefault="008D3E6E" w:rsidP="00074382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21</w:t>
            </w:r>
            <w:r w:rsidR="001B472E">
              <w:rPr>
                <w:b/>
                <w:bCs/>
                <w:szCs w:val="28"/>
              </w:rPr>
              <w:t xml:space="preserve"> </w:t>
            </w:r>
            <w:r w:rsidR="00894F79">
              <w:rPr>
                <w:b/>
                <w:bCs/>
                <w:szCs w:val="28"/>
              </w:rPr>
              <w:t xml:space="preserve">February </w:t>
            </w:r>
            <w:r w:rsidR="00F902DB" w:rsidRPr="008F5D48">
              <w:rPr>
                <w:b/>
                <w:bCs/>
                <w:szCs w:val="28"/>
              </w:rPr>
              <w:t>201</w:t>
            </w:r>
            <w:r w:rsidR="00F902DB">
              <w:rPr>
                <w:b/>
                <w:bCs/>
                <w:szCs w:val="28"/>
              </w:rPr>
              <w:t>9</w:t>
            </w:r>
          </w:p>
        </w:tc>
      </w:tr>
      <w:bookmarkEnd w:id="6"/>
      <w:bookmarkEnd w:id="7"/>
      <w:tr w:rsidR="00F902DB" w:rsidRPr="00C324A8" w14:paraId="6B8795F2" w14:textId="77777777" w:rsidTr="00074382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2A237C50" w14:textId="77777777" w:rsidR="00F902DB" w:rsidRPr="00D96B4B" w:rsidRDefault="00F902DB" w:rsidP="0007438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</w:tcPr>
          <w:p w14:paraId="2E64C934" w14:textId="77777777" w:rsidR="00F902DB" w:rsidRPr="00D96B4B" w:rsidRDefault="00F902DB" w:rsidP="0007438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Original: </w:t>
            </w:r>
            <w:r w:rsidRPr="00B62876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BD58E4" w:rsidRPr="00C324A8" w14:paraId="7C8FACB6" w14:textId="77777777" w:rsidTr="0007438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B905EBF" w14:textId="77777777" w:rsidR="00BD58E4" w:rsidRPr="00D83BF5" w:rsidRDefault="00BD58E4" w:rsidP="00074382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3604FB">
              <w:rPr>
                <w:bCs/>
                <w:szCs w:val="28"/>
                <w:lang w:val="en-US"/>
              </w:rPr>
              <w:t>Director</w:t>
            </w:r>
            <w:r>
              <w:rPr>
                <w:bCs/>
                <w:szCs w:val="28"/>
                <w:lang w:val="en-US"/>
              </w:rPr>
              <w:t>,</w:t>
            </w:r>
            <w:r w:rsidRPr="003604FB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>Telecommunication Development Bureau</w:t>
            </w:r>
          </w:p>
        </w:tc>
      </w:tr>
      <w:tr w:rsidR="00BD58E4" w:rsidRPr="00C324A8" w14:paraId="22EED7E2" w14:textId="77777777" w:rsidTr="0007438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EE1AE77" w14:textId="77777777" w:rsidR="00BD58E4" w:rsidRDefault="00BD58E4" w:rsidP="00074382">
            <w:pPr>
              <w:pStyle w:val="Title1"/>
              <w:spacing w:before="120" w:after="120"/>
            </w:pPr>
            <w:r w:rsidRPr="00FA3AD6">
              <w:rPr>
                <w:bCs/>
              </w:rPr>
              <w:t>ITU-D Sector membership</w:t>
            </w:r>
          </w:p>
        </w:tc>
      </w:tr>
      <w:tr w:rsidR="00BD58E4" w:rsidRPr="00C324A8" w14:paraId="1489E541" w14:textId="77777777" w:rsidTr="00074382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CCBF9" w14:textId="77777777" w:rsidR="00BD58E4" w:rsidRPr="00B911B2" w:rsidRDefault="00BD58E4" w:rsidP="0007438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BD58E4" w:rsidRPr="00C324A8" w14:paraId="61722423" w14:textId="77777777" w:rsidTr="00074382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A145" w14:textId="77777777" w:rsidR="00BD58E4" w:rsidRDefault="00BD58E4" w:rsidP="00074382">
            <w:pPr>
              <w:rPr>
                <w:sz w:val="20"/>
                <w:lang w:val="en-AU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  <w:r w:rsidR="0010309D">
              <w:rPr>
                <w:b/>
                <w:bCs/>
                <w:szCs w:val="24"/>
              </w:rPr>
              <w:t xml:space="preserve"> </w:t>
            </w:r>
          </w:p>
          <w:p w14:paraId="10337F74" w14:textId="77777777" w:rsidR="00BD58E4" w:rsidRDefault="00BD58E4" w:rsidP="00074382">
            <w:pPr>
              <w:rPr>
                <w:szCs w:val="24"/>
                <w:lang w:val="en-US"/>
              </w:rPr>
            </w:pPr>
            <w:r w:rsidRPr="00FA3AD6">
              <w:rPr>
                <w:szCs w:val="24"/>
                <w:lang w:val="en-US"/>
              </w:rPr>
              <w:t>ITU-D Sector membership includes Sector Members, Associates and Academia. This document provides an overview of the evolution of ITU-D S</w:t>
            </w:r>
            <w:r>
              <w:rPr>
                <w:szCs w:val="24"/>
                <w:lang w:val="en-US"/>
              </w:rPr>
              <w:t>ector membership, initiatives</w:t>
            </w:r>
            <w:r w:rsidRPr="00FA3AD6">
              <w:rPr>
                <w:szCs w:val="24"/>
                <w:lang w:val="en-US"/>
              </w:rPr>
              <w:t xml:space="preserve"> and actions to strengthen the ITU-D membership in accordance with the outcomes of WTDC-</w:t>
            </w:r>
            <w:r>
              <w:rPr>
                <w:szCs w:val="24"/>
                <w:lang w:val="en-US"/>
              </w:rPr>
              <w:t>17 and PP-18</w:t>
            </w:r>
            <w:r w:rsidRPr="00FA3AD6">
              <w:rPr>
                <w:szCs w:val="24"/>
                <w:lang w:val="en-US"/>
              </w:rPr>
              <w:t xml:space="preserve">. </w:t>
            </w:r>
          </w:p>
          <w:p w14:paraId="22AD3F23" w14:textId="77777777" w:rsidR="00BD58E4" w:rsidRDefault="00BD58E4" w:rsidP="000743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 Required: </w:t>
            </w:r>
          </w:p>
          <w:p w14:paraId="6B5BEBD1" w14:textId="77777777" w:rsidR="00BD58E4" w:rsidRDefault="00BD58E4" w:rsidP="00161C25">
            <w:pPr>
              <w:rPr>
                <w:szCs w:val="24"/>
                <w:lang w:val="en-US"/>
              </w:rPr>
            </w:pPr>
            <w:r w:rsidRPr="00FA3AD6">
              <w:rPr>
                <w:szCs w:val="24"/>
                <w:lang w:val="en-US"/>
              </w:rPr>
              <w:t xml:space="preserve">TDAG is invited to note the </w:t>
            </w:r>
            <w:r w:rsidR="00161C25">
              <w:rPr>
                <w:szCs w:val="24"/>
                <w:lang w:val="en-US"/>
              </w:rPr>
              <w:t>document</w:t>
            </w:r>
            <w:r w:rsidRPr="00FA3AD6">
              <w:rPr>
                <w:szCs w:val="24"/>
                <w:lang w:val="en-US"/>
              </w:rPr>
              <w:t xml:space="preserve"> and provide guidance as deemed appropriate.</w:t>
            </w:r>
          </w:p>
          <w:p w14:paraId="4072A36B" w14:textId="77777777" w:rsidR="00BD58E4" w:rsidRDefault="00BD58E4" w:rsidP="00074382">
            <w:pPr>
              <w:rPr>
                <w:b/>
                <w:bCs/>
              </w:rPr>
            </w:pPr>
            <w:r w:rsidRPr="00A550B6">
              <w:rPr>
                <w:b/>
                <w:bCs/>
              </w:rPr>
              <w:t xml:space="preserve">References: </w:t>
            </w:r>
          </w:p>
          <w:p w14:paraId="08F40855" w14:textId="77777777" w:rsidR="002D5E37" w:rsidRDefault="00BD58E4" w:rsidP="00A252AE">
            <w:pPr>
              <w:spacing w:after="120"/>
            </w:pPr>
            <w:r w:rsidRPr="00FA3AD6">
              <w:t xml:space="preserve">WTDC Resolution 71 (Rev. Buenos </w:t>
            </w:r>
            <w:r>
              <w:t xml:space="preserve">Aires, 2017); </w:t>
            </w:r>
          </w:p>
          <w:p w14:paraId="14F04ACC" w14:textId="77777777" w:rsidR="00BD58E4" w:rsidRPr="00D9621A" w:rsidRDefault="00BD58E4" w:rsidP="007D29C2">
            <w:pPr>
              <w:spacing w:after="120"/>
            </w:pPr>
            <w:r>
              <w:t>PP Res</w:t>
            </w:r>
            <w:r w:rsidR="00A252AE">
              <w:t xml:space="preserve">olution </w:t>
            </w:r>
            <w:r>
              <w:t>169 (Rev. Dubai, 2018)</w:t>
            </w:r>
            <w:r w:rsidR="002D5E37">
              <w:t>,</w:t>
            </w:r>
            <w:r>
              <w:t xml:space="preserve"> 209 (Dubai, 2018</w:t>
            </w:r>
            <w:r w:rsidRPr="00FA3AD6">
              <w:t>)</w:t>
            </w:r>
            <w:r>
              <w:t xml:space="preserve"> and 205 (Dubai, 2018). </w:t>
            </w:r>
          </w:p>
        </w:tc>
      </w:tr>
      <w:bookmarkEnd w:id="8"/>
      <w:bookmarkEnd w:id="9"/>
    </w:tbl>
    <w:p w14:paraId="72E13D1C" w14:textId="77777777" w:rsidR="00BD58E4" w:rsidRDefault="00BD58E4" w:rsidP="00BD58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45F258AD" w14:textId="77777777" w:rsidR="00BD58E4" w:rsidRDefault="00BD58E4" w:rsidP="00BD58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Theme="minorEastAsia" w:cstheme="minorBidi"/>
          <w:b/>
          <w:bCs/>
          <w:szCs w:val="24"/>
          <w:lang w:val="en-US" w:eastAsia="zh-CN"/>
        </w:rPr>
      </w:pPr>
      <w:r>
        <w:rPr>
          <w:b/>
          <w:bCs/>
          <w:szCs w:val="24"/>
        </w:rPr>
        <w:br w:type="page"/>
      </w:r>
    </w:p>
    <w:p w14:paraId="7D40C846" w14:textId="77777777" w:rsidR="00BD58E4" w:rsidRPr="0010309D" w:rsidRDefault="00BD58E4" w:rsidP="0010309D">
      <w:pPr>
        <w:pStyle w:val="PlainText"/>
        <w:numPr>
          <w:ilvl w:val="0"/>
          <w:numId w:val="4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10309D">
        <w:rPr>
          <w:rFonts w:asciiTheme="minorHAnsi" w:hAnsiTheme="minorHAnsi"/>
          <w:b/>
          <w:bCs/>
          <w:sz w:val="24"/>
          <w:szCs w:val="24"/>
        </w:rPr>
        <w:lastRenderedPageBreak/>
        <w:t>Background</w:t>
      </w:r>
    </w:p>
    <w:p w14:paraId="3950270E" w14:textId="2087E953" w:rsidR="00BD58E4" w:rsidRPr="0010309D" w:rsidRDefault="00BD58E4" w:rsidP="0001452E">
      <w:pPr>
        <w:spacing w:after="120"/>
        <w:rPr>
          <w:szCs w:val="24"/>
        </w:rPr>
      </w:pPr>
      <w:r w:rsidRPr="0010309D">
        <w:rPr>
          <w:szCs w:val="24"/>
        </w:rPr>
        <w:t>World Telecommunication Development Conference in 2017 (WTDC-17)</w:t>
      </w:r>
      <w:r w:rsidR="0010309D">
        <w:rPr>
          <w:szCs w:val="24"/>
        </w:rPr>
        <w:t xml:space="preserve"> </w:t>
      </w:r>
      <w:r w:rsidRPr="0010309D">
        <w:rPr>
          <w:szCs w:val="24"/>
        </w:rPr>
        <w:t>revised and adopted Resolution 71 (Rev. Buenos Aires, 2017) to promote active involvement of current Sector Members, Associates and Academia in ITU-D activities, including participation in the work of ITU-D study groups</w:t>
      </w:r>
      <w:r w:rsidR="0001452E">
        <w:rPr>
          <w:szCs w:val="24"/>
        </w:rPr>
        <w:t>,</w:t>
      </w:r>
      <w:r w:rsidRPr="0010309D">
        <w:rPr>
          <w:szCs w:val="24"/>
        </w:rPr>
        <w:t xml:space="preserve"> and motivate prospects from the public, private and academic sectors to become members. </w:t>
      </w:r>
    </w:p>
    <w:p w14:paraId="52F72737" w14:textId="190EE747" w:rsidR="00BD58E4" w:rsidRPr="0010309D" w:rsidRDefault="00BD58E4">
      <w:pPr>
        <w:spacing w:after="120"/>
        <w:rPr>
          <w:szCs w:val="24"/>
        </w:rPr>
      </w:pPr>
      <w:r w:rsidRPr="0010309D">
        <w:rPr>
          <w:szCs w:val="24"/>
        </w:rPr>
        <w:t xml:space="preserve">Resolution 71 also brings enhanced focus to the evolving role of the private sector in the ITU-D Sector by instructing, amongst others, the creation of the </w:t>
      </w:r>
      <w:r w:rsidRPr="0010309D">
        <w:rPr>
          <w:iCs/>
          <w:szCs w:val="24"/>
        </w:rPr>
        <w:t>Industry Advisory Group for Development issues (IAGDI) promoting</w:t>
      </w:r>
      <w:r w:rsidRPr="0010309D">
        <w:rPr>
          <w:szCs w:val="24"/>
        </w:rPr>
        <w:t xml:space="preserve"> a wide </w:t>
      </w:r>
      <w:r w:rsidRPr="0010309D">
        <w:rPr>
          <w:szCs w:val="24"/>
          <w:lang w:eastAsia="en-AU"/>
        </w:rPr>
        <w:t>representation of industry from the ITU</w:t>
      </w:r>
      <w:r w:rsidRPr="0010309D">
        <w:rPr>
          <w:szCs w:val="24"/>
          <w:lang w:eastAsia="en-AU"/>
        </w:rPr>
        <w:noBreakHyphen/>
        <w:t xml:space="preserve">D Sector Members from all regions. </w:t>
      </w:r>
    </w:p>
    <w:p w14:paraId="6EA84EBB" w14:textId="77777777" w:rsidR="00BD58E4" w:rsidRPr="0010309D" w:rsidRDefault="00BD58E4" w:rsidP="0010309D">
      <w:pPr>
        <w:pStyle w:val="PlainText"/>
        <w:spacing w:before="120" w:after="120"/>
        <w:rPr>
          <w:rFonts w:asciiTheme="minorHAnsi" w:hAnsiTheme="minorHAnsi"/>
          <w:sz w:val="24"/>
          <w:szCs w:val="24"/>
          <w:lang w:val="en-GB"/>
        </w:rPr>
      </w:pPr>
      <w:r w:rsidRPr="0010309D">
        <w:rPr>
          <w:rFonts w:asciiTheme="minorHAnsi" w:hAnsiTheme="minorHAnsi"/>
          <w:sz w:val="24"/>
          <w:szCs w:val="24"/>
        </w:rPr>
        <w:t xml:space="preserve">Furthermore, the Plenipotentiary Conference in 2018 (PP-18) adopted several Resolutions related to membership, such as Resolution 209 (Dubai, 2018) which encourages the participation of SMEs in the work of the Union. </w:t>
      </w:r>
    </w:p>
    <w:p w14:paraId="49E14F66" w14:textId="77777777" w:rsidR="00BD58E4" w:rsidRPr="0010309D" w:rsidRDefault="00BD58E4" w:rsidP="0010309D">
      <w:pPr>
        <w:pStyle w:val="PlainText"/>
        <w:spacing w:before="120" w:after="120"/>
        <w:rPr>
          <w:rFonts w:asciiTheme="minorHAnsi" w:hAnsiTheme="minorHAnsi"/>
          <w:sz w:val="24"/>
          <w:szCs w:val="24"/>
        </w:rPr>
      </w:pPr>
      <w:r w:rsidRPr="0010309D">
        <w:rPr>
          <w:rFonts w:asciiTheme="minorHAnsi" w:hAnsiTheme="minorHAnsi"/>
          <w:sz w:val="24"/>
          <w:szCs w:val="24"/>
        </w:rPr>
        <w:t xml:space="preserve">PP-18 revised Resolution 169 on Academia, through which a representative of Academia may serve as rapporteur, vice-rapporteur or associate rapporteur in accordance with established rules of procedure of the respective Sectors. Academia is also encouraged to participate in the development of technical work in the Union. </w:t>
      </w:r>
    </w:p>
    <w:p w14:paraId="63AFD272" w14:textId="702D1D90" w:rsidR="00BD58E4" w:rsidRPr="0010309D" w:rsidRDefault="00BD58E4">
      <w:pPr>
        <w:pStyle w:val="PlainText"/>
        <w:spacing w:before="120" w:after="120"/>
        <w:rPr>
          <w:rFonts w:asciiTheme="minorHAnsi" w:hAnsiTheme="minorHAnsi"/>
          <w:sz w:val="24"/>
          <w:szCs w:val="24"/>
        </w:rPr>
      </w:pPr>
      <w:r w:rsidRPr="0010309D">
        <w:rPr>
          <w:rFonts w:asciiTheme="minorHAnsi" w:hAnsiTheme="minorHAnsi"/>
          <w:sz w:val="24"/>
          <w:szCs w:val="24"/>
        </w:rPr>
        <w:t xml:space="preserve">Resolution 205 (Dubai, 2018) on ICT-centric innovation to support the digital economy was also adopted during PP-18, instructing BDT to encourage the participation of SMEs in study groups and </w:t>
      </w:r>
      <w:r w:rsidR="0001452E">
        <w:rPr>
          <w:rFonts w:asciiTheme="minorHAnsi" w:hAnsiTheme="minorHAnsi"/>
          <w:sz w:val="24"/>
          <w:szCs w:val="24"/>
        </w:rPr>
        <w:t>inviting</w:t>
      </w:r>
      <w:r w:rsidR="0001452E" w:rsidRPr="0010309D">
        <w:rPr>
          <w:rFonts w:asciiTheme="minorHAnsi" w:hAnsiTheme="minorHAnsi"/>
          <w:sz w:val="24"/>
          <w:szCs w:val="24"/>
        </w:rPr>
        <w:t xml:space="preserve"> </w:t>
      </w:r>
      <w:r w:rsidRPr="0010309D">
        <w:rPr>
          <w:rFonts w:asciiTheme="minorHAnsi" w:hAnsiTheme="minorHAnsi"/>
          <w:sz w:val="24"/>
          <w:szCs w:val="24"/>
        </w:rPr>
        <w:t xml:space="preserve">Member States and ITU </w:t>
      </w:r>
      <w:r w:rsidR="007E6FA0">
        <w:rPr>
          <w:rFonts w:asciiTheme="minorHAnsi" w:hAnsiTheme="minorHAnsi"/>
          <w:sz w:val="24"/>
          <w:szCs w:val="24"/>
        </w:rPr>
        <w:t>m</w:t>
      </w:r>
      <w:r w:rsidRPr="0010309D">
        <w:rPr>
          <w:rFonts w:asciiTheme="minorHAnsi" w:hAnsiTheme="minorHAnsi"/>
          <w:sz w:val="24"/>
          <w:szCs w:val="24"/>
        </w:rPr>
        <w:t>embership to encourage the participation of ICT-relate</w:t>
      </w:r>
      <w:r w:rsidR="002D5E37" w:rsidRPr="0010309D">
        <w:rPr>
          <w:rFonts w:asciiTheme="minorHAnsi" w:hAnsiTheme="minorHAnsi"/>
          <w:sz w:val="24"/>
          <w:szCs w:val="24"/>
        </w:rPr>
        <w:t>d</w:t>
      </w:r>
      <w:r w:rsidRPr="0010309D">
        <w:rPr>
          <w:rFonts w:asciiTheme="minorHAnsi" w:hAnsiTheme="minorHAnsi"/>
          <w:sz w:val="24"/>
          <w:szCs w:val="24"/>
        </w:rPr>
        <w:t xml:space="preserve"> entrepreneurs, start-ups and incubation and acceleration centers in the ITU Telecom 2019. </w:t>
      </w:r>
    </w:p>
    <w:p w14:paraId="6B2949CF" w14:textId="77777777" w:rsidR="00BD58E4" w:rsidRPr="0010309D" w:rsidRDefault="00BD58E4" w:rsidP="0010309D">
      <w:pPr>
        <w:pStyle w:val="PlainText"/>
        <w:spacing w:before="120" w:after="120"/>
        <w:rPr>
          <w:rFonts w:asciiTheme="minorHAnsi" w:hAnsiTheme="minorHAnsi"/>
          <w:sz w:val="24"/>
          <w:szCs w:val="24"/>
        </w:rPr>
      </w:pPr>
      <w:r w:rsidRPr="0010309D">
        <w:rPr>
          <w:rFonts w:asciiTheme="minorHAnsi" w:hAnsiTheme="minorHAnsi"/>
          <w:sz w:val="24"/>
          <w:szCs w:val="24"/>
        </w:rPr>
        <w:t xml:space="preserve">BDT will continue to take the necessary measures to implement the outcomes of PP-18, WTDC-17, CWG-FHR and Council, in consultation with all the relevant ITU meetings including TDAG and ITU-D Study Groups. </w:t>
      </w:r>
    </w:p>
    <w:p w14:paraId="2A0187B5" w14:textId="77777777" w:rsidR="00BD58E4" w:rsidRPr="0010309D" w:rsidRDefault="00BD58E4" w:rsidP="0010309D">
      <w:pPr>
        <w:pStyle w:val="PlainText"/>
        <w:numPr>
          <w:ilvl w:val="0"/>
          <w:numId w:val="4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10309D">
        <w:rPr>
          <w:rFonts w:asciiTheme="minorHAnsi" w:hAnsiTheme="minorHAnsi"/>
          <w:b/>
          <w:bCs/>
          <w:sz w:val="24"/>
          <w:szCs w:val="24"/>
        </w:rPr>
        <w:t>Strategic Objectives</w:t>
      </w:r>
    </w:p>
    <w:p w14:paraId="17BFE7D3" w14:textId="629FD46D" w:rsidR="00BD58E4" w:rsidRPr="0010309D" w:rsidRDefault="00BD58E4" w:rsidP="0010309D">
      <w:pPr>
        <w:pStyle w:val="CEONormal"/>
        <w:rPr>
          <w:rFonts w:asciiTheme="minorHAnsi" w:hAnsiTheme="minorHAnsi" w:cs="Calibri"/>
          <w:sz w:val="24"/>
          <w:szCs w:val="24"/>
        </w:rPr>
      </w:pPr>
      <w:r w:rsidRPr="0010309D">
        <w:rPr>
          <w:rFonts w:asciiTheme="minorHAnsi" w:hAnsiTheme="minorHAnsi" w:cs="Calibri"/>
          <w:sz w:val="24"/>
          <w:szCs w:val="24"/>
        </w:rPr>
        <w:t xml:space="preserve">In accordance with the outcomes of WTDC-17 and PP-18, BDT, in close coordination and collaboration with the General Secretariat, the other </w:t>
      </w:r>
      <w:r w:rsidR="00162032">
        <w:rPr>
          <w:rFonts w:asciiTheme="minorHAnsi" w:hAnsiTheme="minorHAnsi" w:cs="Calibri"/>
          <w:sz w:val="24"/>
          <w:szCs w:val="24"/>
        </w:rPr>
        <w:t>two Bureaux, and Regional/Area O</w:t>
      </w:r>
      <w:r w:rsidRPr="0010309D">
        <w:rPr>
          <w:rFonts w:asciiTheme="minorHAnsi" w:hAnsiTheme="minorHAnsi" w:cs="Calibri"/>
          <w:sz w:val="24"/>
          <w:szCs w:val="24"/>
        </w:rPr>
        <w:t xml:space="preserve">ffices, has focused on two overarching objectives: </w:t>
      </w:r>
    </w:p>
    <w:p w14:paraId="382D3E8D" w14:textId="50851E62" w:rsidR="00BD58E4" w:rsidRPr="0010309D" w:rsidRDefault="00BD58E4" w:rsidP="00715ECD">
      <w:pPr>
        <w:pStyle w:val="CEONormal"/>
        <w:numPr>
          <w:ilvl w:val="0"/>
          <w:numId w:val="5"/>
        </w:numPr>
        <w:spacing w:before="40" w:after="40"/>
        <w:ind w:left="357" w:hanging="357"/>
        <w:rPr>
          <w:rFonts w:asciiTheme="minorHAnsi" w:hAnsiTheme="minorHAnsi" w:cs="Calibri"/>
          <w:sz w:val="24"/>
          <w:szCs w:val="24"/>
        </w:rPr>
      </w:pPr>
      <w:r w:rsidRPr="0010309D">
        <w:rPr>
          <w:rFonts w:asciiTheme="minorHAnsi" w:hAnsiTheme="minorHAnsi" w:cs="Calibri"/>
          <w:sz w:val="24"/>
          <w:szCs w:val="24"/>
        </w:rPr>
        <w:t xml:space="preserve">Outreach </w:t>
      </w:r>
      <w:r w:rsidR="00715ECD">
        <w:rPr>
          <w:rFonts w:asciiTheme="minorHAnsi" w:hAnsiTheme="minorHAnsi" w:cs="Calibri"/>
          <w:sz w:val="24"/>
          <w:szCs w:val="24"/>
        </w:rPr>
        <w:t>to</w:t>
      </w:r>
      <w:r w:rsidRPr="0010309D">
        <w:rPr>
          <w:rFonts w:asciiTheme="minorHAnsi" w:hAnsiTheme="minorHAnsi" w:cs="Calibri"/>
          <w:sz w:val="24"/>
          <w:szCs w:val="24"/>
        </w:rPr>
        <w:t xml:space="preserve"> new entities to join as Sector Members, Associates, SMEs and Academia, and;</w:t>
      </w:r>
    </w:p>
    <w:p w14:paraId="3AC58A34" w14:textId="77777777" w:rsidR="00BD58E4" w:rsidRPr="0010309D" w:rsidRDefault="00BD58E4" w:rsidP="0010309D">
      <w:pPr>
        <w:pStyle w:val="CEONormal"/>
        <w:numPr>
          <w:ilvl w:val="0"/>
          <w:numId w:val="5"/>
        </w:numPr>
        <w:spacing w:before="40" w:after="40"/>
        <w:ind w:left="357" w:hanging="357"/>
        <w:rPr>
          <w:rFonts w:asciiTheme="minorHAnsi" w:hAnsiTheme="minorHAnsi" w:cs="Calibri"/>
          <w:sz w:val="24"/>
          <w:szCs w:val="24"/>
        </w:rPr>
      </w:pPr>
      <w:r w:rsidRPr="0010309D">
        <w:rPr>
          <w:rFonts w:asciiTheme="minorHAnsi" w:hAnsiTheme="minorHAnsi" w:cs="Calibri"/>
          <w:sz w:val="24"/>
          <w:szCs w:val="24"/>
        </w:rPr>
        <w:t>Enhance platforms and tools for engagement and retention of existing ITU-D Sector Members, Associates and Academia.</w:t>
      </w:r>
    </w:p>
    <w:p w14:paraId="4753C4B5" w14:textId="1CDAB306" w:rsidR="00B840B3" w:rsidRPr="00B840B3" w:rsidRDefault="00BD58E4" w:rsidP="00B840B3">
      <w:pPr>
        <w:pStyle w:val="PlainText"/>
        <w:keepNext/>
        <w:numPr>
          <w:ilvl w:val="0"/>
          <w:numId w:val="4"/>
        </w:numPr>
        <w:shd w:val="clear" w:color="auto" w:fill="FFFFFF"/>
        <w:spacing w:before="120" w:after="120"/>
        <w:ind w:left="357" w:hanging="357"/>
        <w:rPr>
          <w:b/>
          <w:bCs/>
          <w:szCs w:val="24"/>
          <w:lang w:val="en-GB"/>
        </w:rPr>
      </w:pPr>
      <w:r w:rsidRPr="00B00959">
        <w:rPr>
          <w:rFonts w:asciiTheme="minorHAnsi" w:hAnsiTheme="minorHAnsi"/>
          <w:b/>
          <w:bCs/>
          <w:sz w:val="24"/>
          <w:szCs w:val="24"/>
        </w:rPr>
        <w:t xml:space="preserve">Status Analysis </w:t>
      </w:r>
    </w:p>
    <w:p w14:paraId="73AE2918" w14:textId="46FD2022" w:rsidR="00B840B3" w:rsidRPr="00864CBB" w:rsidRDefault="00B840B3" w:rsidP="00B840B3">
      <w:pPr>
        <w:pStyle w:val="PlainText"/>
        <w:keepNext/>
        <w:shd w:val="clear" w:color="auto" w:fill="FFFFFF"/>
        <w:spacing w:before="120" w:after="120"/>
        <w:rPr>
          <w:b/>
          <w:bCs/>
          <w:sz w:val="24"/>
          <w:szCs w:val="28"/>
          <w:lang w:val="en-GB"/>
        </w:rPr>
      </w:pPr>
      <w:r w:rsidRPr="00864CBB">
        <w:rPr>
          <w:b/>
          <w:bCs/>
          <w:sz w:val="24"/>
          <w:szCs w:val="22"/>
        </w:rPr>
        <w:t xml:space="preserve">Chart 1. </w:t>
      </w:r>
      <w:r w:rsidRPr="00864CBB">
        <w:rPr>
          <w:b/>
          <w:bCs/>
          <w:sz w:val="24"/>
          <w:szCs w:val="28"/>
        </w:rPr>
        <w:t>Evolution</w:t>
      </w:r>
      <w:r w:rsidRPr="00864CBB">
        <w:rPr>
          <w:b/>
          <w:sz w:val="24"/>
          <w:szCs w:val="22"/>
        </w:rPr>
        <w:t xml:space="preserve"> of </w:t>
      </w:r>
      <w:r w:rsidRPr="00864CBB">
        <w:rPr>
          <w:b/>
          <w:bCs/>
          <w:sz w:val="24"/>
          <w:szCs w:val="28"/>
        </w:rPr>
        <w:t>ITU-D</w:t>
      </w:r>
      <w:r w:rsidRPr="00864CBB">
        <w:rPr>
          <w:b/>
          <w:sz w:val="24"/>
          <w:szCs w:val="22"/>
        </w:rPr>
        <w:t xml:space="preserve"> membership </w:t>
      </w:r>
      <w:r w:rsidRPr="00864CBB">
        <w:rPr>
          <w:b/>
          <w:bCs/>
          <w:sz w:val="24"/>
          <w:szCs w:val="28"/>
        </w:rPr>
        <w:t xml:space="preserve">(Sector Members, Associates &amp; </w:t>
      </w:r>
      <w:r w:rsidR="007C6FDD" w:rsidRPr="00864CBB">
        <w:rPr>
          <w:b/>
          <w:bCs/>
          <w:sz w:val="24"/>
          <w:szCs w:val="28"/>
        </w:rPr>
        <w:t>Academia</w:t>
      </w:r>
      <w:r w:rsidRPr="00864CBB">
        <w:rPr>
          <w:rStyle w:val="FootnoteReference"/>
          <w:b/>
          <w:bCs/>
          <w:sz w:val="24"/>
          <w:szCs w:val="28"/>
        </w:rPr>
        <w:footnoteReference w:id="2"/>
      </w:r>
      <w:r w:rsidRPr="00864CBB">
        <w:rPr>
          <w:b/>
          <w:bCs/>
          <w:sz w:val="24"/>
          <w:szCs w:val="28"/>
        </w:rPr>
        <w:t>) from 200</w:t>
      </w:r>
      <w:r w:rsidR="007E6FA0" w:rsidRPr="00864CBB">
        <w:rPr>
          <w:b/>
          <w:bCs/>
          <w:sz w:val="24"/>
          <w:szCs w:val="28"/>
        </w:rPr>
        <w:t>8</w:t>
      </w:r>
      <w:r w:rsidRPr="00864CBB">
        <w:rPr>
          <w:b/>
          <w:bCs/>
          <w:sz w:val="24"/>
          <w:szCs w:val="28"/>
        </w:rPr>
        <w:t xml:space="preserve"> to 2018.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B840B3" w:rsidRPr="00864CBB" w14:paraId="043862FB" w14:textId="77777777" w:rsidTr="00EA6B73">
        <w:trPr>
          <w:tblHeader/>
          <w:jc w:val="center"/>
        </w:trPr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79A6" w14:textId="77777777" w:rsidR="00B840B3" w:rsidRPr="00864CBB" w:rsidRDefault="00B840B3" w:rsidP="00EA6B7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BFED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2008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D339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2009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E94E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2010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26A1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2011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F1C4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2012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A8AC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2013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985C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2014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055F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2015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E268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2016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81E8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2017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1C957C1" w14:textId="77777777" w:rsidR="00B840B3" w:rsidRPr="00864CBB" w:rsidRDefault="00B840B3" w:rsidP="00EA6B73">
            <w:pPr>
              <w:keepNext/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lang w:eastAsia="zh-CN"/>
              </w:rPr>
            </w:pPr>
            <w:r w:rsidRPr="00864CBB">
              <w:rPr>
                <w:b/>
                <w:sz w:val="20"/>
                <w:lang w:eastAsia="zh-CN"/>
              </w:rPr>
              <w:t>2018</w:t>
            </w:r>
          </w:p>
        </w:tc>
      </w:tr>
      <w:tr w:rsidR="00B840B3" w:rsidRPr="00864CBB" w14:paraId="30B5CFCB" w14:textId="77777777" w:rsidTr="00EA6B73">
        <w:trPr>
          <w:jc w:val="center"/>
        </w:trPr>
        <w:tc>
          <w:tcPr>
            <w:tcW w:w="17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DED3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Sector Members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FB81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35D8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6FDC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3429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D40C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B150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4BE9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2187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29DC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B377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 xml:space="preserve"> 318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54E6AE33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310</w:t>
            </w:r>
          </w:p>
        </w:tc>
      </w:tr>
      <w:tr w:rsidR="00B840B3" w:rsidRPr="00864CBB" w14:paraId="3D463BAB" w14:textId="77777777" w:rsidTr="00EA6B73">
        <w:trPr>
          <w:jc w:val="center"/>
        </w:trPr>
        <w:tc>
          <w:tcPr>
            <w:tcW w:w="17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5C7D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Associates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F4A9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DBA7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4A7F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9FC9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BDF5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34F8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0D8C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8CA7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9F83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2AF3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1AD37543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14</w:t>
            </w:r>
          </w:p>
        </w:tc>
      </w:tr>
      <w:tr w:rsidR="00B840B3" w:rsidRPr="00864CBB" w14:paraId="2924FB89" w14:textId="77777777" w:rsidTr="00EA6B73">
        <w:trPr>
          <w:jc w:val="center"/>
        </w:trPr>
        <w:tc>
          <w:tcPr>
            <w:tcW w:w="173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EF07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Academia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CC91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noBreakHyphen/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952A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noBreakHyphen/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58D5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noBreakHyphen/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9E80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540A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DEAD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3A8F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6421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1A35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4363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31050887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156</w:t>
            </w:r>
          </w:p>
        </w:tc>
      </w:tr>
      <w:tr w:rsidR="00B840B3" w:rsidRPr="00864CBB" w14:paraId="6C8E1494" w14:textId="77777777" w:rsidTr="00EA6B73">
        <w:trPr>
          <w:jc w:val="center"/>
        </w:trPr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7E1B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lastRenderedPageBreak/>
              <w:t xml:space="preserve">TOTAL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8249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185D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8C90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55EA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D78A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373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8153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5633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434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9E8C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274B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 xml:space="preserve"> 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3832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455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598A8BD" w14:textId="77777777" w:rsidR="00B840B3" w:rsidRPr="00864CBB" w:rsidRDefault="00B840B3" w:rsidP="00EA6B73">
            <w:pPr>
              <w:tabs>
                <w:tab w:val="clear" w:pos="1871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zh-CN"/>
              </w:rPr>
            </w:pPr>
            <w:r w:rsidRPr="00864CBB">
              <w:rPr>
                <w:sz w:val="20"/>
                <w:lang w:eastAsia="zh-CN"/>
              </w:rPr>
              <w:t>480</w:t>
            </w:r>
          </w:p>
        </w:tc>
      </w:tr>
    </w:tbl>
    <w:p w14:paraId="21B85B44" w14:textId="77777777" w:rsidR="00B840B3" w:rsidRDefault="00B840B3" w:rsidP="00B840B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/>
        </w:rPr>
      </w:pPr>
    </w:p>
    <w:p w14:paraId="38920FF4" w14:textId="77777777" w:rsidR="007C6FDD" w:rsidRDefault="00B840B3" w:rsidP="00B840B3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/>
        </w:rPr>
      </w:pPr>
      <w:r>
        <w:rPr>
          <w:noProof/>
          <w:lang w:val="en-GB"/>
        </w:rPr>
        <w:drawing>
          <wp:inline distT="0" distB="0" distL="0" distR="0" wp14:anchorId="79326411" wp14:editId="1D35D6A4">
            <wp:extent cx="6305550" cy="25241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E64802" w14:textId="74BB32AE" w:rsidR="008B2490" w:rsidRPr="0030016A" w:rsidRDefault="008B2490" w:rsidP="0030016A">
      <w:pPr>
        <w:pStyle w:val="PlainText"/>
        <w:keepNext/>
        <w:numPr>
          <w:ilvl w:val="1"/>
          <w:numId w:val="4"/>
        </w:numPr>
        <w:shd w:val="clear" w:color="auto" w:fill="FFFFFF"/>
        <w:spacing w:before="120" w:after="120"/>
        <w:ind w:left="431" w:hanging="431"/>
        <w:rPr>
          <w:rFonts w:asciiTheme="minorHAnsi" w:hAnsiTheme="minorHAnsi"/>
          <w:b/>
          <w:bCs/>
          <w:sz w:val="24"/>
          <w:szCs w:val="24"/>
        </w:rPr>
      </w:pPr>
      <w:r w:rsidRPr="0030016A">
        <w:rPr>
          <w:rFonts w:asciiTheme="minorHAnsi" w:hAnsiTheme="minorHAnsi"/>
          <w:b/>
          <w:bCs/>
          <w:sz w:val="24"/>
          <w:szCs w:val="24"/>
        </w:rPr>
        <w:t>Sector Members</w:t>
      </w:r>
      <w:r w:rsidR="00412916" w:rsidRPr="0030016A">
        <w:rPr>
          <w:rFonts w:asciiTheme="minorHAnsi" w:hAnsiTheme="minorHAnsi"/>
          <w:b/>
          <w:bCs/>
          <w:sz w:val="24"/>
          <w:szCs w:val="24"/>
        </w:rPr>
        <w:t xml:space="preserve"> and </w:t>
      </w:r>
      <w:r w:rsidRPr="0030016A">
        <w:rPr>
          <w:rFonts w:asciiTheme="minorHAnsi" w:hAnsiTheme="minorHAnsi"/>
          <w:b/>
          <w:bCs/>
          <w:sz w:val="24"/>
          <w:szCs w:val="24"/>
        </w:rPr>
        <w:t>Associates in 2018</w:t>
      </w:r>
    </w:p>
    <w:p w14:paraId="0065395D" w14:textId="4D6BE562" w:rsidR="00412916" w:rsidRDefault="00060618" w:rsidP="00412916">
      <w:pPr>
        <w:keepNext/>
        <w:spacing w:after="120"/>
        <w:rPr>
          <w:szCs w:val="24"/>
        </w:rPr>
      </w:pPr>
      <w:r w:rsidRPr="00E7188C">
        <w:rPr>
          <w:szCs w:val="24"/>
        </w:rPr>
        <w:t xml:space="preserve">In 2018, ITU-D </w:t>
      </w:r>
      <w:r w:rsidR="007E6FA0" w:rsidRPr="00E7188C">
        <w:rPr>
          <w:szCs w:val="24"/>
        </w:rPr>
        <w:t xml:space="preserve">attracted </w:t>
      </w:r>
      <w:r w:rsidRPr="00E7188C">
        <w:rPr>
          <w:szCs w:val="24"/>
        </w:rPr>
        <w:t xml:space="preserve">8 new Sector Members: ECPAT International (Thailand), World Wide Web Foundation (USA), Common Market for Eastern and Southern Africa (Zambia), Mobile and Wireless Forum IVZW (Belgium), </w:t>
      </w:r>
      <w:proofErr w:type="spellStart"/>
      <w:r w:rsidRPr="00E7188C">
        <w:rPr>
          <w:szCs w:val="24"/>
        </w:rPr>
        <w:t>Turkcell</w:t>
      </w:r>
      <w:proofErr w:type="spellEnd"/>
      <w:r w:rsidRPr="00E7188C">
        <w:rPr>
          <w:szCs w:val="24"/>
        </w:rPr>
        <w:t xml:space="preserve"> </w:t>
      </w:r>
      <w:proofErr w:type="spellStart"/>
      <w:r w:rsidRPr="00E7188C">
        <w:rPr>
          <w:szCs w:val="24"/>
        </w:rPr>
        <w:t>Iletisim</w:t>
      </w:r>
      <w:proofErr w:type="spellEnd"/>
      <w:r w:rsidRPr="00E7188C">
        <w:rPr>
          <w:szCs w:val="24"/>
        </w:rPr>
        <w:t xml:space="preserve"> </w:t>
      </w:r>
      <w:proofErr w:type="spellStart"/>
      <w:r w:rsidRPr="00E7188C">
        <w:rPr>
          <w:szCs w:val="24"/>
        </w:rPr>
        <w:t>Hizmetleri</w:t>
      </w:r>
      <w:proofErr w:type="spellEnd"/>
      <w:r w:rsidRPr="00E7188C">
        <w:rPr>
          <w:szCs w:val="24"/>
        </w:rPr>
        <w:t xml:space="preserve"> A.S (Turkey), Sigma Telecom (Turkey), Symantec Corporation (USA), </w:t>
      </w:r>
      <w:proofErr w:type="spellStart"/>
      <w:r w:rsidRPr="00E7188C">
        <w:rPr>
          <w:szCs w:val="24"/>
        </w:rPr>
        <w:t>Masyarakat</w:t>
      </w:r>
      <w:proofErr w:type="spellEnd"/>
      <w:r w:rsidRPr="00E7188C">
        <w:rPr>
          <w:szCs w:val="24"/>
        </w:rPr>
        <w:t xml:space="preserve"> </w:t>
      </w:r>
      <w:proofErr w:type="spellStart"/>
      <w:r w:rsidRPr="00E7188C">
        <w:rPr>
          <w:szCs w:val="24"/>
        </w:rPr>
        <w:t>Telematika</w:t>
      </w:r>
      <w:proofErr w:type="spellEnd"/>
      <w:r w:rsidRPr="00E7188C">
        <w:rPr>
          <w:szCs w:val="24"/>
        </w:rPr>
        <w:t xml:space="preserve"> Indonesia (Indonesia)</w:t>
      </w:r>
      <w:r w:rsidR="00001931" w:rsidRPr="00E7188C">
        <w:rPr>
          <w:szCs w:val="24"/>
        </w:rPr>
        <w:t xml:space="preserve">; </w:t>
      </w:r>
      <w:r w:rsidRPr="00E7188C">
        <w:rPr>
          <w:szCs w:val="24"/>
        </w:rPr>
        <w:t>4 new Associates: High-tech Bridge SA (Switzerland), Konkan Railway Corporation Ltd. (India), Axon Partners Group Consulting (Spain) &amp; NRD Cyber Security (Lithuania)</w:t>
      </w:r>
      <w:r w:rsidR="00E7188C">
        <w:rPr>
          <w:szCs w:val="24"/>
        </w:rPr>
        <w:t xml:space="preserve">. </w:t>
      </w:r>
    </w:p>
    <w:p w14:paraId="465666F2" w14:textId="7F02894B" w:rsidR="00412916" w:rsidRDefault="001E7451" w:rsidP="00C107DF">
      <w:pPr>
        <w:keepNext/>
        <w:spacing w:after="120"/>
        <w:rPr>
          <w:szCs w:val="24"/>
        </w:rPr>
      </w:pPr>
      <w:r w:rsidRPr="00C107DF">
        <w:rPr>
          <w:szCs w:val="24"/>
        </w:rPr>
        <w:t xml:space="preserve">During this period, </w:t>
      </w:r>
      <w:r w:rsidR="00412916" w:rsidRPr="00C107DF">
        <w:rPr>
          <w:szCs w:val="24"/>
        </w:rPr>
        <w:t xml:space="preserve">15 members </w:t>
      </w:r>
      <w:r w:rsidR="00C107DF">
        <w:rPr>
          <w:szCs w:val="24"/>
        </w:rPr>
        <w:t>were</w:t>
      </w:r>
      <w:r w:rsidR="00412916" w:rsidRPr="00C107DF">
        <w:rPr>
          <w:szCs w:val="24"/>
        </w:rPr>
        <w:t xml:space="preserve"> denounced, </w:t>
      </w:r>
      <w:r w:rsidRPr="00C107DF">
        <w:rPr>
          <w:szCs w:val="24"/>
        </w:rPr>
        <w:t>three of which</w:t>
      </w:r>
      <w:r w:rsidR="00412916" w:rsidRPr="00C107DF">
        <w:rPr>
          <w:szCs w:val="24"/>
        </w:rPr>
        <w:t xml:space="preserve"> due to non-payment.</w:t>
      </w:r>
      <w:r w:rsidR="00412916" w:rsidRPr="00412916">
        <w:rPr>
          <w:szCs w:val="24"/>
        </w:rPr>
        <w:t xml:space="preserve"> </w:t>
      </w:r>
      <w:r>
        <w:rPr>
          <w:szCs w:val="24"/>
        </w:rPr>
        <w:t>Otherwise, t</w:t>
      </w:r>
      <w:r w:rsidRPr="00412916">
        <w:rPr>
          <w:szCs w:val="24"/>
        </w:rPr>
        <w:t xml:space="preserve">he </w:t>
      </w:r>
      <w:r w:rsidR="00412916" w:rsidRPr="00412916">
        <w:rPr>
          <w:szCs w:val="24"/>
        </w:rPr>
        <w:t>reason</w:t>
      </w:r>
      <w:r>
        <w:rPr>
          <w:szCs w:val="24"/>
        </w:rPr>
        <w:t>s provided</w:t>
      </w:r>
      <w:r w:rsidR="00412916" w:rsidRPr="00412916">
        <w:rPr>
          <w:szCs w:val="24"/>
        </w:rPr>
        <w:t xml:space="preserve"> for such denunciation</w:t>
      </w:r>
      <w:r>
        <w:rPr>
          <w:szCs w:val="24"/>
        </w:rPr>
        <w:t>s</w:t>
      </w:r>
      <w:r w:rsidR="00412916" w:rsidRPr="00412916">
        <w:rPr>
          <w:szCs w:val="24"/>
        </w:rPr>
        <w:t xml:space="preserve"> w</w:t>
      </w:r>
      <w:r>
        <w:rPr>
          <w:szCs w:val="24"/>
        </w:rPr>
        <w:t>ere</w:t>
      </w:r>
      <w:r w:rsidR="00412916" w:rsidRPr="00412916">
        <w:rPr>
          <w:szCs w:val="24"/>
        </w:rPr>
        <w:t xml:space="preserve"> industry consolidation and/or financial issues. </w:t>
      </w:r>
    </w:p>
    <w:p w14:paraId="7BB83AA9" w14:textId="7A247B09" w:rsidR="007E0115" w:rsidRPr="0030016A" w:rsidRDefault="00412916" w:rsidP="0030016A">
      <w:pPr>
        <w:pStyle w:val="PlainText"/>
        <w:keepNext/>
        <w:numPr>
          <w:ilvl w:val="1"/>
          <w:numId w:val="4"/>
        </w:numPr>
        <w:shd w:val="clear" w:color="auto" w:fill="FFFFFF"/>
        <w:spacing w:before="120" w:after="120"/>
        <w:ind w:left="431" w:hanging="431"/>
        <w:rPr>
          <w:rFonts w:asciiTheme="minorHAnsi" w:hAnsiTheme="minorHAnsi"/>
          <w:b/>
          <w:bCs/>
          <w:sz w:val="24"/>
          <w:szCs w:val="24"/>
        </w:rPr>
      </w:pPr>
      <w:r w:rsidRPr="0030016A">
        <w:rPr>
          <w:rFonts w:asciiTheme="minorHAnsi" w:hAnsiTheme="minorHAnsi"/>
          <w:b/>
          <w:bCs/>
          <w:sz w:val="24"/>
          <w:szCs w:val="24"/>
        </w:rPr>
        <w:t>Academia in 2018</w:t>
      </w:r>
    </w:p>
    <w:p w14:paraId="65AF716F" w14:textId="10A61247" w:rsidR="007E0115" w:rsidRDefault="007E0115">
      <w:pPr>
        <w:rPr>
          <w:szCs w:val="24"/>
        </w:rPr>
      </w:pPr>
      <w:r w:rsidRPr="007E0115">
        <w:rPr>
          <w:szCs w:val="24"/>
        </w:rPr>
        <w:t>Aca</w:t>
      </w:r>
      <w:r>
        <w:rPr>
          <w:szCs w:val="24"/>
        </w:rPr>
        <w:t xml:space="preserve">demia </w:t>
      </w:r>
      <w:r w:rsidRPr="007E0115">
        <w:rPr>
          <w:szCs w:val="24"/>
        </w:rPr>
        <w:t>participate</w:t>
      </w:r>
      <w:r>
        <w:rPr>
          <w:szCs w:val="24"/>
        </w:rPr>
        <w:t xml:space="preserve">s in the work of all </w:t>
      </w:r>
      <w:r w:rsidR="0001452E">
        <w:rPr>
          <w:szCs w:val="24"/>
        </w:rPr>
        <w:t>S</w:t>
      </w:r>
      <w:r w:rsidR="0001452E" w:rsidRPr="007E0115">
        <w:rPr>
          <w:szCs w:val="24"/>
        </w:rPr>
        <w:t xml:space="preserve">ectors </w:t>
      </w:r>
      <w:r w:rsidRPr="007E0115">
        <w:rPr>
          <w:szCs w:val="24"/>
        </w:rPr>
        <w:t>as well as global and regional conferences, worksho</w:t>
      </w:r>
      <w:r>
        <w:rPr>
          <w:szCs w:val="24"/>
        </w:rPr>
        <w:t xml:space="preserve">ps and activities of the Union </w:t>
      </w:r>
      <w:r w:rsidR="0001452E">
        <w:rPr>
          <w:szCs w:val="24"/>
        </w:rPr>
        <w:t xml:space="preserve">through </w:t>
      </w:r>
      <w:r>
        <w:rPr>
          <w:szCs w:val="24"/>
        </w:rPr>
        <w:t>one single fee.</w:t>
      </w:r>
      <w:r w:rsidR="003910D5">
        <w:rPr>
          <w:szCs w:val="24"/>
        </w:rPr>
        <w:t xml:space="preserve"> </w:t>
      </w:r>
      <w:r w:rsidR="005942C0">
        <w:rPr>
          <w:szCs w:val="24"/>
        </w:rPr>
        <w:t xml:space="preserve">For 2018, </w:t>
      </w:r>
      <w:r w:rsidR="00E7188C">
        <w:rPr>
          <w:szCs w:val="24"/>
        </w:rPr>
        <w:t>in coordination with the General Secretariat</w:t>
      </w:r>
      <w:r w:rsidR="00162032">
        <w:rPr>
          <w:szCs w:val="24"/>
        </w:rPr>
        <w:t xml:space="preserve"> and with support from ITU</w:t>
      </w:r>
      <w:r w:rsidR="00C5106A">
        <w:rPr>
          <w:szCs w:val="24"/>
        </w:rPr>
        <w:t xml:space="preserve"> membership</w:t>
      </w:r>
      <w:r w:rsidR="00162032">
        <w:rPr>
          <w:szCs w:val="24"/>
        </w:rPr>
        <w:t xml:space="preserve"> such as Argentina, China, India, Iran and Palestine among many others</w:t>
      </w:r>
      <w:r w:rsidR="00E7188C">
        <w:rPr>
          <w:szCs w:val="24"/>
        </w:rPr>
        <w:t xml:space="preserve">, </w:t>
      </w:r>
      <w:r w:rsidR="00274970" w:rsidRPr="00263754">
        <w:rPr>
          <w:szCs w:val="24"/>
        </w:rPr>
        <w:t>37</w:t>
      </w:r>
      <w:r w:rsidR="007E6FA0" w:rsidRPr="00263754">
        <w:rPr>
          <w:szCs w:val="24"/>
        </w:rPr>
        <w:t xml:space="preserve"> new Academia</w:t>
      </w:r>
      <w:r w:rsidR="00E7188C" w:rsidRPr="00263754">
        <w:rPr>
          <w:szCs w:val="24"/>
        </w:rPr>
        <w:t xml:space="preserve"> joined the three </w:t>
      </w:r>
      <w:r w:rsidR="00761BD4">
        <w:rPr>
          <w:szCs w:val="24"/>
        </w:rPr>
        <w:t>S</w:t>
      </w:r>
      <w:r w:rsidR="00761BD4" w:rsidRPr="00263754">
        <w:rPr>
          <w:szCs w:val="24"/>
        </w:rPr>
        <w:t xml:space="preserve">ectors </w:t>
      </w:r>
      <w:r w:rsidR="00E7188C" w:rsidRPr="00263754">
        <w:rPr>
          <w:szCs w:val="24"/>
        </w:rPr>
        <w:t>of the ITU</w:t>
      </w:r>
      <w:r w:rsidR="002E4944">
        <w:rPr>
          <w:szCs w:val="24"/>
        </w:rPr>
        <w:t>.</w:t>
      </w:r>
      <w:r w:rsidR="00E7188C" w:rsidRPr="00263754">
        <w:rPr>
          <w:rStyle w:val="FootnoteReference"/>
          <w:szCs w:val="24"/>
        </w:rPr>
        <w:footnoteReference w:id="3"/>
      </w:r>
      <w:r w:rsidR="002E4944">
        <w:rPr>
          <w:szCs w:val="24"/>
        </w:rPr>
        <w:t xml:space="preserve"> </w:t>
      </w:r>
    </w:p>
    <w:p w14:paraId="042C819A" w14:textId="7AAB6CA8" w:rsidR="002E4944" w:rsidRPr="00786843" w:rsidRDefault="002E4944" w:rsidP="0001452E">
      <w:pPr>
        <w:pStyle w:val="ListParagraph"/>
        <w:numPr>
          <w:ilvl w:val="0"/>
          <w:numId w:val="4"/>
        </w:numPr>
        <w:spacing w:after="120"/>
        <w:rPr>
          <w:b/>
        </w:rPr>
      </w:pPr>
      <w:r w:rsidRPr="0001452E">
        <w:rPr>
          <w:b/>
          <w:lang w:val="en-US"/>
        </w:rPr>
        <w:lastRenderedPageBreak/>
        <w:t xml:space="preserve">Key </w:t>
      </w:r>
      <w:r w:rsidRPr="00263754">
        <w:rPr>
          <w:b/>
          <w:szCs w:val="24"/>
          <w:lang w:val="en-US"/>
        </w:rPr>
        <w:t>actions</w:t>
      </w:r>
      <w:r w:rsidRPr="0001452E">
        <w:rPr>
          <w:b/>
          <w:lang w:val="en-US"/>
        </w:rPr>
        <w:t xml:space="preserve"> and </w:t>
      </w:r>
      <w:r w:rsidRPr="00263754">
        <w:rPr>
          <w:b/>
          <w:szCs w:val="24"/>
          <w:lang w:val="en-US"/>
        </w:rPr>
        <w:t>results</w:t>
      </w:r>
    </w:p>
    <w:p w14:paraId="3A74A984" w14:textId="07298EB9" w:rsidR="00BD58E4" w:rsidRPr="00690B5F" w:rsidRDefault="00BD58E4">
      <w:pPr>
        <w:spacing w:after="120"/>
        <w:rPr>
          <w:szCs w:val="24"/>
          <w:lang w:val="en-US"/>
        </w:rPr>
      </w:pPr>
      <w:r w:rsidRPr="00690B5F">
        <w:rPr>
          <w:szCs w:val="24"/>
          <w:lang w:val="en-US"/>
        </w:rPr>
        <w:t xml:space="preserve">BDT </w:t>
      </w:r>
      <w:r w:rsidR="00761BD4">
        <w:rPr>
          <w:szCs w:val="24"/>
          <w:lang w:val="en-US"/>
        </w:rPr>
        <w:t>implemented</w:t>
      </w:r>
      <w:r w:rsidR="00C5106A">
        <w:rPr>
          <w:szCs w:val="24"/>
          <w:lang w:val="en-US"/>
        </w:rPr>
        <w:t xml:space="preserve"> </w:t>
      </w:r>
      <w:r w:rsidRPr="00690B5F">
        <w:rPr>
          <w:szCs w:val="24"/>
          <w:lang w:val="en-US"/>
        </w:rPr>
        <w:t xml:space="preserve">a series of strategic actions and will </w:t>
      </w:r>
      <w:r w:rsidR="00A252AE">
        <w:rPr>
          <w:szCs w:val="24"/>
          <w:lang w:val="en-US"/>
        </w:rPr>
        <w:t xml:space="preserve">continue to </w:t>
      </w:r>
      <w:r w:rsidRPr="00690B5F">
        <w:rPr>
          <w:szCs w:val="24"/>
          <w:lang w:val="en-US"/>
        </w:rPr>
        <w:t xml:space="preserve">enhance efforts towards improving </w:t>
      </w:r>
      <w:r w:rsidRPr="00B00959">
        <w:rPr>
          <w:szCs w:val="24"/>
          <w:lang w:val="en-US"/>
        </w:rPr>
        <w:t>its services and engagements for ITU-D Sector Members, Associates and Academia.</w:t>
      </w:r>
      <w:r w:rsidR="0010309D">
        <w:rPr>
          <w:szCs w:val="24"/>
          <w:lang w:val="en-US"/>
        </w:rPr>
        <w:t xml:space="preserve"> </w:t>
      </w:r>
    </w:p>
    <w:p w14:paraId="28980C1D" w14:textId="77777777" w:rsidR="00BD58E4" w:rsidRPr="0010309D" w:rsidRDefault="00BD58E4">
      <w:pPr>
        <w:pStyle w:val="PlainText"/>
        <w:numPr>
          <w:ilvl w:val="1"/>
          <w:numId w:val="4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10309D">
        <w:rPr>
          <w:rFonts w:asciiTheme="minorHAnsi" w:hAnsiTheme="minorHAnsi"/>
          <w:b/>
          <w:bCs/>
          <w:sz w:val="24"/>
          <w:szCs w:val="24"/>
        </w:rPr>
        <w:t xml:space="preserve">Enhancing ITU-D Sector membership tools and services </w:t>
      </w:r>
    </w:p>
    <w:p w14:paraId="6C15823C" w14:textId="37914E0B" w:rsidR="00BD58E4" w:rsidRPr="0001452E" w:rsidRDefault="00BD58E4">
      <w:pPr>
        <w:spacing w:after="120"/>
        <w:rPr>
          <w:lang w:val="en-US"/>
        </w:rPr>
      </w:pPr>
      <w:r w:rsidRPr="00986749">
        <w:rPr>
          <w:szCs w:val="24"/>
        </w:rPr>
        <w:t xml:space="preserve">Information-dissemination platforms such as the ITU-D Sector </w:t>
      </w:r>
      <w:r>
        <w:rPr>
          <w:szCs w:val="24"/>
        </w:rPr>
        <w:t>M</w:t>
      </w:r>
      <w:r w:rsidRPr="00843F99">
        <w:rPr>
          <w:szCs w:val="24"/>
        </w:rPr>
        <w:t xml:space="preserve">embership </w:t>
      </w:r>
      <w:r w:rsidRPr="00986749">
        <w:rPr>
          <w:szCs w:val="24"/>
        </w:rPr>
        <w:t>Portal (</w:t>
      </w:r>
      <w:hyperlink r:id="rId10" w:history="1">
        <w:r w:rsidRPr="00690B5F">
          <w:rPr>
            <w:rStyle w:val="Hyperlink"/>
            <w:szCs w:val="24"/>
          </w:rPr>
          <w:t>http://www.itu.int/en/ITU-D/Membership/Pages/default.aspx</w:t>
        </w:r>
      </w:hyperlink>
      <w:r>
        <w:rPr>
          <w:szCs w:val="24"/>
        </w:rPr>
        <w:t>) and webpage continue</w:t>
      </w:r>
      <w:r w:rsidRPr="00690B5F">
        <w:rPr>
          <w:szCs w:val="24"/>
        </w:rPr>
        <w:t xml:space="preserve"> </w:t>
      </w:r>
      <w:r w:rsidRPr="00986749">
        <w:rPr>
          <w:szCs w:val="24"/>
        </w:rPr>
        <w:t xml:space="preserve">to </w:t>
      </w:r>
      <w:r w:rsidRPr="00690B5F">
        <w:rPr>
          <w:szCs w:val="24"/>
        </w:rPr>
        <w:t>p</w:t>
      </w:r>
      <w:r w:rsidRPr="00986749">
        <w:rPr>
          <w:szCs w:val="24"/>
        </w:rPr>
        <w:t xml:space="preserve">romote </w:t>
      </w:r>
      <w:r w:rsidR="00A252AE">
        <w:rPr>
          <w:szCs w:val="24"/>
        </w:rPr>
        <w:t xml:space="preserve">the </w:t>
      </w:r>
      <w:r w:rsidRPr="00986749">
        <w:rPr>
          <w:szCs w:val="24"/>
        </w:rPr>
        <w:t>benefits</w:t>
      </w:r>
      <w:r w:rsidRPr="00690B5F">
        <w:rPr>
          <w:szCs w:val="24"/>
        </w:rPr>
        <w:t xml:space="preserve"> and </w:t>
      </w:r>
      <w:r w:rsidR="00A252AE">
        <w:rPr>
          <w:szCs w:val="24"/>
        </w:rPr>
        <w:t>increase the</w:t>
      </w:r>
      <w:r w:rsidR="007D29C2">
        <w:rPr>
          <w:szCs w:val="24"/>
        </w:rPr>
        <w:t xml:space="preserve"> </w:t>
      </w:r>
      <w:r w:rsidR="00A252AE" w:rsidRPr="00690B5F">
        <w:rPr>
          <w:szCs w:val="24"/>
        </w:rPr>
        <w:t>visibilit</w:t>
      </w:r>
      <w:r w:rsidR="00A252AE">
        <w:rPr>
          <w:szCs w:val="24"/>
        </w:rPr>
        <w:t>y</w:t>
      </w:r>
      <w:r w:rsidR="00A252AE" w:rsidRPr="00690B5F">
        <w:rPr>
          <w:szCs w:val="24"/>
        </w:rPr>
        <w:t xml:space="preserve"> </w:t>
      </w:r>
      <w:r w:rsidR="00761BD4">
        <w:rPr>
          <w:szCs w:val="24"/>
        </w:rPr>
        <w:t xml:space="preserve">that members obtain </w:t>
      </w:r>
      <w:r w:rsidR="00A252AE">
        <w:rPr>
          <w:szCs w:val="24"/>
        </w:rPr>
        <w:t xml:space="preserve">through their </w:t>
      </w:r>
      <w:r>
        <w:rPr>
          <w:szCs w:val="24"/>
        </w:rPr>
        <w:t>m</w:t>
      </w:r>
      <w:r w:rsidRPr="00843F99">
        <w:rPr>
          <w:szCs w:val="24"/>
        </w:rPr>
        <w:t>embership</w:t>
      </w:r>
      <w:r w:rsidR="00C5106A">
        <w:rPr>
          <w:szCs w:val="24"/>
        </w:rPr>
        <w:t xml:space="preserve">. These </w:t>
      </w:r>
      <w:r w:rsidR="00A252AE">
        <w:rPr>
          <w:szCs w:val="24"/>
        </w:rPr>
        <w:t xml:space="preserve">are linked </w:t>
      </w:r>
      <w:r w:rsidRPr="00690B5F">
        <w:rPr>
          <w:szCs w:val="24"/>
        </w:rPr>
        <w:t xml:space="preserve">with </w:t>
      </w:r>
      <w:r w:rsidRPr="00986749">
        <w:rPr>
          <w:szCs w:val="24"/>
        </w:rPr>
        <w:t>ITU</w:t>
      </w:r>
      <w:r w:rsidR="00C5106A">
        <w:rPr>
          <w:szCs w:val="24"/>
        </w:rPr>
        <w:t>-D</w:t>
      </w:r>
      <w:r w:rsidRPr="00986749">
        <w:rPr>
          <w:szCs w:val="24"/>
        </w:rPr>
        <w:t>’s areas of action</w:t>
      </w:r>
      <w:r w:rsidR="00C5106A">
        <w:rPr>
          <w:szCs w:val="24"/>
        </w:rPr>
        <w:t xml:space="preserve"> to match-make</w:t>
      </w:r>
      <w:r w:rsidRPr="00986749">
        <w:rPr>
          <w:szCs w:val="24"/>
        </w:rPr>
        <w:t xml:space="preserve"> opportunities for engagement in projects and for partnership</w:t>
      </w:r>
      <w:r w:rsidRPr="00690B5F">
        <w:rPr>
          <w:szCs w:val="24"/>
        </w:rPr>
        <w:t xml:space="preserve">, </w:t>
      </w:r>
      <w:r w:rsidR="00C5106A">
        <w:rPr>
          <w:szCs w:val="24"/>
        </w:rPr>
        <w:t xml:space="preserve">whist inviting </w:t>
      </w:r>
      <w:r w:rsidRPr="00986749">
        <w:rPr>
          <w:szCs w:val="24"/>
        </w:rPr>
        <w:t>highlight</w:t>
      </w:r>
      <w:r w:rsidRPr="00690B5F">
        <w:rPr>
          <w:szCs w:val="24"/>
        </w:rPr>
        <w:t>s of</w:t>
      </w:r>
      <w:r w:rsidRPr="00986749">
        <w:rPr>
          <w:szCs w:val="24"/>
        </w:rPr>
        <w:t xml:space="preserve"> success stories fr</w:t>
      </w:r>
      <w:r w:rsidRPr="00690B5F">
        <w:rPr>
          <w:szCs w:val="24"/>
        </w:rPr>
        <w:t>o</w:t>
      </w:r>
      <w:r w:rsidRPr="00986749">
        <w:rPr>
          <w:szCs w:val="24"/>
        </w:rPr>
        <w:t xml:space="preserve">m </w:t>
      </w:r>
      <w:r w:rsidR="00C5106A">
        <w:rPr>
          <w:szCs w:val="24"/>
        </w:rPr>
        <w:t xml:space="preserve">ITU-D </w:t>
      </w:r>
      <w:r>
        <w:rPr>
          <w:szCs w:val="24"/>
        </w:rPr>
        <w:t>m</w:t>
      </w:r>
      <w:r w:rsidRPr="00843F99">
        <w:rPr>
          <w:szCs w:val="24"/>
        </w:rPr>
        <w:t>embership</w:t>
      </w:r>
      <w:r w:rsidR="00C5106A">
        <w:rPr>
          <w:szCs w:val="24"/>
        </w:rPr>
        <w:t xml:space="preserve"> for their visibility</w:t>
      </w:r>
      <w:r w:rsidRPr="00986749">
        <w:rPr>
          <w:szCs w:val="24"/>
        </w:rPr>
        <w:t xml:space="preserve">. </w:t>
      </w:r>
      <w:r w:rsidRPr="00690B5F">
        <w:rPr>
          <w:szCs w:val="24"/>
          <w:lang w:val="en-US"/>
        </w:rPr>
        <w:t xml:space="preserve">BDT continues to enhance its outreach and communication materials </w:t>
      </w:r>
      <w:r>
        <w:rPr>
          <w:szCs w:val="24"/>
          <w:lang w:val="en-US"/>
        </w:rPr>
        <w:t xml:space="preserve">through its </w:t>
      </w:r>
      <w:r w:rsidRPr="00690B5F">
        <w:rPr>
          <w:szCs w:val="24"/>
          <w:lang w:val="en-US"/>
        </w:rPr>
        <w:t xml:space="preserve">ITU online </w:t>
      </w:r>
      <w:r>
        <w:rPr>
          <w:szCs w:val="24"/>
          <w:lang w:val="en-US"/>
        </w:rPr>
        <w:t>M</w:t>
      </w:r>
      <w:r w:rsidRPr="00690B5F">
        <w:rPr>
          <w:szCs w:val="24"/>
          <w:lang w:val="en-US"/>
        </w:rPr>
        <w:t xml:space="preserve">embers’ </w:t>
      </w:r>
      <w:r>
        <w:rPr>
          <w:szCs w:val="24"/>
          <w:lang w:val="en-US"/>
        </w:rPr>
        <w:t>Z</w:t>
      </w:r>
      <w:r w:rsidRPr="00690B5F">
        <w:rPr>
          <w:szCs w:val="24"/>
          <w:lang w:val="en-US"/>
        </w:rPr>
        <w:t xml:space="preserve">one platform – </w:t>
      </w:r>
      <w:proofErr w:type="spellStart"/>
      <w:r w:rsidRPr="00690B5F">
        <w:rPr>
          <w:szCs w:val="24"/>
          <w:lang w:val="en-US"/>
        </w:rPr>
        <w:t>MyITU</w:t>
      </w:r>
      <w:proofErr w:type="spellEnd"/>
      <w:r w:rsidRPr="00690B5F">
        <w:rPr>
          <w:szCs w:val="24"/>
          <w:lang w:val="en-US"/>
        </w:rPr>
        <w:t xml:space="preserve"> project, which shall enable customized content, enhanced networking and collaboration amongst </w:t>
      </w:r>
      <w:r w:rsidR="00C5106A">
        <w:rPr>
          <w:szCs w:val="24"/>
          <w:lang w:val="en-US"/>
        </w:rPr>
        <w:t>ITU-D members</w:t>
      </w:r>
      <w:r w:rsidRPr="00690B5F">
        <w:rPr>
          <w:szCs w:val="24"/>
          <w:lang w:val="en-US"/>
        </w:rPr>
        <w:t>.</w:t>
      </w:r>
      <w:r w:rsidR="0010309D">
        <w:rPr>
          <w:szCs w:val="24"/>
          <w:lang w:val="en-US"/>
        </w:rPr>
        <w:t xml:space="preserve"> </w:t>
      </w:r>
    </w:p>
    <w:p w14:paraId="10321F80" w14:textId="77777777" w:rsidR="00BD58E4" w:rsidRPr="0010309D" w:rsidRDefault="00BD58E4">
      <w:pPr>
        <w:pStyle w:val="PlainText"/>
        <w:numPr>
          <w:ilvl w:val="1"/>
          <w:numId w:val="4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10309D">
        <w:rPr>
          <w:rFonts w:asciiTheme="minorHAnsi" w:hAnsiTheme="minorHAnsi"/>
          <w:b/>
          <w:bCs/>
          <w:sz w:val="24"/>
          <w:szCs w:val="24"/>
        </w:rPr>
        <w:t xml:space="preserve">New platforms for engagement with Academia </w:t>
      </w:r>
    </w:p>
    <w:p w14:paraId="6DEF33F5" w14:textId="492F0ADB" w:rsidR="00BD58E4" w:rsidRPr="00690B5F" w:rsidRDefault="00BD58E4" w:rsidP="0010309D">
      <w:pPr>
        <w:shd w:val="clear" w:color="auto" w:fill="FFFFFF"/>
        <w:overflowPunct/>
        <w:autoSpaceDE/>
        <w:autoSpaceDN/>
        <w:adjustRightInd/>
        <w:spacing w:after="120"/>
        <w:textAlignment w:val="auto"/>
        <w:rPr>
          <w:rFonts w:cs="Segoe UI"/>
          <w:szCs w:val="24"/>
        </w:rPr>
      </w:pPr>
      <w:r w:rsidRPr="00690B5F">
        <w:rPr>
          <w:rFonts w:cs="Segoe UI"/>
          <w:szCs w:val="24"/>
        </w:rPr>
        <w:t xml:space="preserve">Academia fosters innovative and sustainable solutions by providing a space where talent, research and technology come together to solve the world's most pressing problems. With the increasing portfolio of Academia </w:t>
      </w:r>
      <w:r w:rsidR="00C5106A">
        <w:rPr>
          <w:rFonts w:cs="Segoe UI"/>
          <w:szCs w:val="24"/>
        </w:rPr>
        <w:t>m</w:t>
      </w:r>
      <w:r w:rsidRPr="00690B5F">
        <w:rPr>
          <w:rFonts w:cs="Segoe UI"/>
          <w:szCs w:val="24"/>
        </w:rPr>
        <w:t>embers</w:t>
      </w:r>
      <w:r>
        <w:rPr>
          <w:rFonts w:cs="Segoe UI"/>
          <w:szCs w:val="24"/>
        </w:rPr>
        <w:t>,</w:t>
      </w:r>
      <w:r w:rsidRPr="00690B5F">
        <w:rPr>
          <w:rFonts w:cs="Segoe UI"/>
          <w:szCs w:val="24"/>
        </w:rPr>
        <w:t xml:space="preserve"> BDT </w:t>
      </w:r>
      <w:r>
        <w:rPr>
          <w:rFonts w:cs="Segoe UI"/>
          <w:szCs w:val="24"/>
        </w:rPr>
        <w:t xml:space="preserve">strengthened </w:t>
      </w:r>
      <w:r w:rsidRPr="00690B5F">
        <w:rPr>
          <w:rFonts w:cs="Segoe UI"/>
          <w:szCs w:val="24"/>
        </w:rPr>
        <w:t>various types of collaborative platforms in addition to existing ones - such as ITU Academy</w:t>
      </w:r>
      <w:r>
        <w:rPr>
          <w:rFonts w:cs="Segoe UI"/>
          <w:szCs w:val="24"/>
        </w:rPr>
        <w:t xml:space="preserve"> and</w:t>
      </w:r>
      <w:r w:rsidRPr="00690B5F">
        <w:rPr>
          <w:rFonts w:cs="Segoe UI"/>
          <w:szCs w:val="24"/>
        </w:rPr>
        <w:t xml:space="preserve"> ITU Journal amongst others. </w:t>
      </w:r>
    </w:p>
    <w:p w14:paraId="0CA942A1" w14:textId="2BE6B33B" w:rsidR="00BD58E4" w:rsidRPr="006D551A" w:rsidRDefault="00DE1DA0">
      <w:pPr>
        <w:shd w:val="clear" w:color="auto" w:fill="FFFFFF"/>
        <w:overflowPunct/>
        <w:autoSpaceDE/>
        <w:autoSpaceDN/>
        <w:adjustRightInd/>
        <w:spacing w:after="120"/>
        <w:textAlignment w:val="auto"/>
        <w:rPr>
          <w:rFonts w:cs="Segoe UI"/>
          <w:szCs w:val="24"/>
        </w:rPr>
      </w:pPr>
      <w:r w:rsidRPr="00B00959">
        <w:rPr>
          <w:rFonts w:cs="Segoe UI"/>
          <w:szCs w:val="24"/>
        </w:rPr>
        <w:t>One example was ITU’s</w:t>
      </w:r>
      <w:r w:rsidR="007D29C2" w:rsidRPr="00B00959">
        <w:rPr>
          <w:rFonts w:cs="Segoe UI"/>
          <w:szCs w:val="24"/>
        </w:rPr>
        <w:t xml:space="preserve"> </w:t>
      </w:r>
      <w:r w:rsidRPr="00B00959">
        <w:rPr>
          <w:rFonts w:cs="Segoe UI"/>
          <w:szCs w:val="24"/>
        </w:rPr>
        <w:t>book</w:t>
      </w:r>
      <w:r w:rsidR="007D29C2" w:rsidRPr="00B00959">
        <w:rPr>
          <w:rFonts w:cs="Segoe UI"/>
          <w:szCs w:val="24"/>
        </w:rPr>
        <w:t xml:space="preserve"> on </w:t>
      </w:r>
      <w:hyperlink r:id="rId11" w:history="1">
        <w:r w:rsidR="007D29C2" w:rsidRPr="00B00959">
          <w:rPr>
            <w:rStyle w:val="Hyperlink"/>
            <w:rFonts w:cs="Segoe UI"/>
            <w:szCs w:val="24"/>
          </w:rPr>
          <w:t>ICT④SDG</w:t>
        </w:r>
      </w:hyperlink>
      <w:r w:rsidRPr="00B00959">
        <w:rPr>
          <w:rFonts w:cs="Segoe UI"/>
          <w:szCs w:val="24"/>
        </w:rPr>
        <w:t>:</w:t>
      </w:r>
      <w:r w:rsidRPr="00B00959">
        <w:rPr>
          <w:rStyle w:val="Hyperlink"/>
          <w:rFonts w:cs="Segoe UI"/>
          <w:i/>
          <w:iCs/>
          <w:szCs w:val="24"/>
        </w:rPr>
        <w:t xml:space="preserve"> </w:t>
      </w:r>
      <w:hyperlink r:id="rId12" w:history="1">
        <w:r w:rsidRPr="00B00959">
          <w:rPr>
            <w:rStyle w:val="Hyperlink"/>
            <w:rFonts w:cs="Segoe UI"/>
            <w:i/>
            <w:iCs/>
            <w:szCs w:val="24"/>
          </w:rPr>
          <w:t>"ICT-centric economic growth, innovation and job creation"</w:t>
        </w:r>
      </w:hyperlink>
      <w:r w:rsidRPr="00B00959">
        <w:rPr>
          <w:rStyle w:val="Strong"/>
          <w:rFonts w:cs="Segoe UI"/>
          <w:szCs w:val="24"/>
        </w:rPr>
        <w:t xml:space="preserve"> </w:t>
      </w:r>
      <w:r w:rsidRPr="00B00959">
        <w:rPr>
          <w:rFonts w:cs="Segoe UI"/>
          <w:szCs w:val="24"/>
        </w:rPr>
        <w:t xml:space="preserve"> launched</w:t>
      </w:r>
      <w:r w:rsidR="007D29C2" w:rsidRPr="00B00959">
        <w:rPr>
          <w:rFonts w:cs="Segoe UI"/>
          <w:szCs w:val="24"/>
        </w:rPr>
        <w:t xml:space="preserve"> at WTDC-1</w:t>
      </w:r>
      <w:r w:rsidR="00C5106A">
        <w:rPr>
          <w:rFonts w:cs="Segoe UI"/>
          <w:szCs w:val="24"/>
        </w:rPr>
        <w:t>7</w:t>
      </w:r>
      <w:r w:rsidR="0090366E" w:rsidRPr="00B00959">
        <w:rPr>
          <w:rFonts w:cs="Segoe UI"/>
          <w:szCs w:val="24"/>
        </w:rPr>
        <w:t>, which</w:t>
      </w:r>
      <w:r w:rsidR="007D29C2" w:rsidRPr="00B00959">
        <w:rPr>
          <w:rFonts w:cs="Segoe UI"/>
          <w:szCs w:val="24"/>
        </w:rPr>
        <w:t xml:space="preserve"> </w:t>
      </w:r>
      <w:r w:rsidRPr="00B00959">
        <w:rPr>
          <w:rFonts w:cs="Segoe UI"/>
          <w:szCs w:val="24"/>
        </w:rPr>
        <w:t>was a result of a pilot collaborative research study with renowned experts from the scientific community from around the world</w:t>
      </w:r>
      <w:r w:rsidR="0090366E" w:rsidRPr="00B00959">
        <w:rPr>
          <w:rFonts w:cs="Segoe UI"/>
          <w:szCs w:val="24"/>
        </w:rPr>
        <w:t xml:space="preserve"> in addition to ITU Academia members</w:t>
      </w:r>
      <w:r w:rsidRPr="00B00959">
        <w:rPr>
          <w:rFonts w:cs="Segoe UI"/>
          <w:szCs w:val="24"/>
        </w:rPr>
        <w:t>. This publication catalysed interest from the academic community to discuss</w:t>
      </w:r>
      <w:r w:rsidR="0090366E" w:rsidRPr="00B00959">
        <w:rPr>
          <w:rFonts w:cs="Segoe UI"/>
          <w:szCs w:val="24"/>
        </w:rPr>
        <w:t xml:space="preserve"> its main</w:t>
      </w:r>
      <w:r w:rsidRPr="00B00959">
        <w:rPr>
          <w:rFonts w:cs="Segoe UI"/>
          <w:szCs w:val="24"/>
        </w:rPr>
        <w:t xml:space="preserve"> findings</w:t>
      </w:r>
      <w:r w:rsidR="00FD0DA2" w:rsidRPr="00B00959">
        <w:rPr>
          <w:rFonts w:cs="Segoe UI"/>
          <w:szCs w:val="24"/>
        </w:rPr>
        <w:t xml:space="preserve"> with </w:t>
      </w:r>
      <w:r w:rsidR="0090366E" w:rsidRPr="00B00959">
        <w:rPr>
          <w:rFonts w:cs="Segoe UI"/>
          <w:szCs w:val="24"/>
        </w:rPr>
        <w:t xml:space="preserve">lead </w:t>
      </w:r>
      <w:r w:rsidR="00FD0DA2" w:rsidRPr="00B00959">
        <w:rPr>
          <w:rFonts w:cs="Segoe UI"/>
          <w:szCs w:val="24"/>
        </w:rPr>
        <w:t>authors, explore new research streams and data sources from academic and private sectors</w:t>
      </w:r>
      <w:r w:rsidR="0090366E" w:rsidRPr="00B00959">
        <w:rPr>
          <w:rFonts w:cs="Segoe UI"/>
          <w:szCs w:val="24"/>
        </w:rPr>
        <w:t>, for which</w:t>
      </w:r>
      <w:r w:rsidRPr="00B00959">
        <w:rPr>
          <w:rFonts w:cs="Segoe UI"/>
          <w:szCs w:val="24"/>
        </w:rPr>
        <w:t xml:space="preserve"> </w:t>
      </w:r>
      <w:r w:rsidR="0090366E" w:rsidRPr="00B00959">
        <w:rPr>
          <w:rFonts w:cs="Segoe UI"/>
          <w:szCs w:val="24"/>
        </w:rPr>
        <w:t>upon</w:t>
      </w:r>
      <w:r w:rsidRPr="00B00959">
        <w:rPr>
          <w:rFonts w:cs="Segoe UI"/>
          <w:szCs w:val="24"/>
        </w:rPr>
        <w:t xml:space="preserve"> the invitation of the London School of Economics, BDT organized </w:t>
      </w:r>
      <w:r w:rsidR="00BD58E4" w:rsidRPr="00B00959">
        <w:rPr>
          <w:rFonts w:cs="Segoe UI"/>
          <w:szCs w:val="24"/>
        </w:rPr>
        <w:t xml:space="preserve">the Partnership Platform on </w:t>
      </w:r>
      <w:r w:rsidR="00BD58E4" w:rsidRPr="00B00959">
        <w:rPr>
          <w:rFonts w:cs="Segoe UI"/>
          <w:i/>
          <w:iCs/>
          <w:szCs w:val="24"/>
        </w:rPr>
        <w:t>ICT④SDGs:</w:t>
      </w:r>
      <w:r w:rsidR="00BD58E4" w:rsidRPr="00B00959">
        <w:rPr>
          <w:rFonts w:cs="Segoe UI"/>
          <w:szCs w:val="24"/>
        </w:rPr>
        <w:t xml:space="preserve"> </w:t>
      </w:r>
      <w:hyperlink r:id="rId13" w:history="1">
        <w:r w:rsidR="00BD58E4" w:rsidRPr="00B00959">
          <w:rPr>
            <w:rStyle w:val="Hyperlink"/>
            <w:rFonts w:cs="Segoe UI"/>
            <w:i/>
            <w:iCs/>
            <w:szCs w:val="24"/>
          </w:rPr>
          <w:t>"ICT-centric economic growth, innovation and job creation"</w:t>
        </w:r>
      </w:hyperlink>
      <w:r w:rsidR="0090366E" w:rsidRPr="00B00959">
        <w:rPr>
          <w:rFonts w:cs="Segoe UI"/>
          <w:szCs w:val="24"/>
        </w:rPr>
        <w:t xml:space="preserve"> </w:t>
      </w:r>
      <w:r w:rsidR="00114885">
        <w:rPr>
          <w:rFonts w:cs="Segoe UI"/>
          <w:szCs w:val="24"/>
        </w:rPr>
        <w:t>in</w:t>
      </w:r>
      <w:r w:rsidR="00114885" w:rsidRPr="00B00959">
        <w:rPr>
          <w:rFonts w:cs="Segoe UI"/>
          <w:szCs w:val="24"/>
        </w:rPr>
        <w:t xml:space="preserve"> </w:t>
      </w:r>
      <w:r w:rsidR="00BD58E4" w:rsidRPr="00B00959">
        <w:rPr>
          <w:rFonts w:cs="Segoe UI"/>
          <w:szCs w:val="24"/>
        </w:rPr>
        <w:t>London, UK, on 22-23 Ma</w:t>
      </w:r>
      <w:r w:rsidR="00BD58E4" w:rsidRPr="006D551A">
        <w:rPr>
          <w:rFonts w:cs="Segoe UI"/>
          <w:szCs w:val="24"/>
        </w:rPr>
        <w:t>y 2018</w:t>
      </w:r>
      <w:r w:rsidR="0090366E">
        <w:rPr>
          <w:rFonts w:cs="Segoe UI"/>
          <w:szCs w:val="24"/>
        </w:rPr>
        <w:t xml:space="preserve">. This platform </w:t>
      </w:r>
      <w:r w:rsidR="00B00959">
        <w:rPr>
          <w:rFonts w:cs="Segoe UI"/>
          <w:szCs w:val="24"/>
        </w:rPr>
        <w:t xml:space="preserve">attracted </w:t>
      </w:r>
      <w:r w:rsidR="000347DA">
        <w:rPr>
          <w:rFonts w:cs="Segoe UI"/>
          <w:szCs w:val="24"/>
        </w:rPr>
        <w:t>50</w:t>
      </w:r>
      <w:r w:rsidR="00BD58E4" w:rsidRPr="006D551A">
        <w:rPr>
          <w:rFonts w:cs="Segoe UI"/>
          <w:szCs w:val="24"/>
        </w:rPr>
        <w:t xml:space="preserve"> participa</w:t>
      </w:r>
      <w:r w:rsidR="000347DA">
        <w:rPr>
          <w:rFonts w:cs="Segoe UI"/>
          <w:szCs w:val="24"/>
        </w:rPr>
        <w:t>nt</w:t>
      </w:r>
      <w:r w:rsidR="00E24FCB">
        <w:rPr>
          <w:rFonts w:cs="Segoe UI"/>
          <w:szCs w:val="24"/>
        </w:rPr>
        <w:t>s</w:t>
      </w:r>
      <w:r w:rsidR="00BD58E4" w:rsidRPr="006D551A">
        <w:rPr>
          <w:rFonts w:cs="Segoe UI"/>
          <w:szCs w:val="24"/>
        </w:rPr>
        <w:t xml:space="preserve"> </w:t>
      </w:r>
      <w:r w:rsidR="00114885">
        <w:rPr>
          <w:rFonts w:cs="Segoe UI"/>
          <w:szCs w:val="24"/>
        </w:rPr>
        <w:t xml:space="preserve">from wide ranging backgrounds, from </w:t>
      </w:r>
      <w:r w:rsidR="00BD58E4" w:rsidRPr="006D551A">
        <w:rPr>
          <w:rFonts w:cs="Segoe UI"/>
          <w:szCs w:val="24"/>
        </w:rPr>
        <w:t>leading academicians</w:t>
      </w:r>
      <w:r w:rsidR="000347DA">
        <w:rPr>
          <w:rFonts w:cs="Segoe UI"/>
          <w:szCs w:val="24"/>
        </w:rPr>
        <w:t xml:space="preserve"> </w:t>
      </w:r>
      <w:r w:rsidR="00114885">
        <w:rPr>
          <w:rFonts w:cs="Segoe UI"/>
          <w:szCs w:val="24"/>
        </w:rPr>
        <w:t xml:space="preserve">to </w:t>
      </w:r>
      <w:r w:rsidR="00BD58E4" w:rsidRPr="006D551A">
        <w:rPr>
          <w:rFonts w:cs="Segoe UI"/>
          <w:szCs w:val="24"/>
        </w:rPr>
        <w:t>distinguished participants from the public and private sector</w:t>
      </w:r>
      <w:r>
        <w:rPr>
          <w:rFonts w:cs="Segoe UI"/>
          <w:szCs w:val="24"/>
        </w:rPr>
        <w:t xml:space="preserve">. </w:t>
      </w:r>
      <w:r w:rsidR="00BD58E4" w:rsidRPr="006D551A">
        <w:rPr>
          <w:rFonts w:cs="Segoe UI"/>
          <w:szCs w:val="24"/>
        </w:rPr>
        <w:t xml:space="preserve"> </w:t>
      </w:r>
    </w:p>
    <w:p w14:paraId="546DE172" w14:textId="77777777" w:rsidR="00BD58E4" w:rsidRDefault="00BD58E4" w:rsidP="0010309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Segoe UI"/>
          <w:lang w:val="en-GB" w:eastAsia="en-US"/>
        </w:rPr>
      </w:pPr>
      <w:r w:rsidRPr="006D551A">
        <w:rPr>
          <w:rFonts w:asciiTheme="minorHAnsi" w:hAnsiTheme="minorHAnsi" w:cs="Segoe UI"/>
          <w:lang w:val="en-GB" w:eastAsia="en-US"/>
        </w:rPr>
        <w:t>BDT also undertook outreaching activities for Academia members</w:t>
      </w:r>
      <w:r>
        <w:rPr>
          <w:rFonts w:asciiTheme="minorHAnsi" w:hAnsiTheme="minorHAnsi" w:cs="Segoe UI"/>
          <w:lang w:val="en-GB" w:eastAsia="en-US"/>
        </w:rPr>
        <w:t>: e.g., bilateral meetings to raise</w:t>
      </w:r>
      <w:r w:rsidRPr="006D551A">
        <w:rPr>
          <w:rFonts w:asciiTheme="minorHAnsi" w:hAnsiTheme="minorHAnsi" w:cs="Segoe UI"/>
          <w:lang w:val="en-GB" w:eastAsia="en-US"/>
        </w:rPr>
        <w:t xml:space="preserve"> academic en</w:t>
      </w:r>
      <w:r w:rsidR="0010309D">
        <w:rPr>
          <w:rFonts w:asciiTheme="minorHAnsi" w:hAnsiTheme="minorHAnsi" w:cs="Segoe UI"/>
          <w:lang w:val="en-GB" w:eastAsia="en-US"/>
        </w:rPr>
        <w:t>gagement in the work of ITU-D.</w:t>
      </w:r>
    </w:p>
    <w:p w14:paraId="166EACC8" w14:textId="77777777" w:rsidR="00BD58E4" w:rsidRPr="0010309D" w:rsidRDefault="00BD58E4">
      <w:pPr>
        <w:pStyle w:val="PlainText"/>
        <w:keepNext/>
        <w:numPr>
          <w:ilvl w:val="1"/>
          <w:numId w:val="4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10309D">
        <w:rPr>
          <w:rFonts w:asciiTheme="minorHAnsi" w:hAnsiTheme="minorHAnsi"/>
          <w:b/>
          <w:bCs/>
          <w:sz w:val="24"/>
          <w:szCs w:val="24"/>
        </w:rPr>
        <w:t xml:space="preserve">Enhancing SMEs and private sector engagement in work of ITU-D </w:t>
      </w:r>
    </w:p>
    <w:p w14:paraId="2EE72A62" w14:textId="66CDFD17" w:rsidR="00BD58E4" w:rsidRPr="006D551A" w:rsidRDefault="00BD58E4" w:rsidP="0010309D">
      <w:pPr>
        <w:spacing w:after="120"/>
        <w:rPr>
          <w:rStyle w:val="ms-rtefontsize-1"/>
          <w:rFonts w:cs="Segoe UI"/>
          <w:szCs w:val="24"/>
          <w:lang w:val="en-US"/>
        </w:rPr>
      </w:pPr>
      <w:r w:rsidRPr="006D551A">
        <w:rPr>
          <w:rStyle w:val="ms-rtefontsize-1"/>
          <w:rFonts w:cs="Segoe UI"/>
          <w:szCs w:val="24"/>
          <w:lang w:val="en-US"/>
        </w:rPr>
        <w:t xml:space="preserve">BDT enhanced collaboration and synergies with its private sector </w:t>
      </w:r>
      <w:r w:rsidR="007E6FA0">
        <w:rPr>
          <w:rStyle w:val="ms-rtefontsize-1"/>
          <w:rFonts w:cs="Segoe UI"/>
          <w:szCs w:val="24"/>
          <w:lang w:val="en-US"/>
        </w:rPr>
        <w:t>m</w:t>
      </w:r>
      <w:r w:rsidRPr="006D551A">
        <w:rPr>
          <w:rStyle w:val="ms-rtefontsize-1"/>
          <w:rFonts w:cs="Segoe UI"/>
          <w:szCs w:val="24"/>
          <w:lang w:val="en-US"/>
        </w:rPr>
        <w:t xml:space="preserve">embers in the converged ICT ecosystem through partnerships with industry associations, regional and international organizations and their existing networks and affiliated members. </w:t>
      </w:r>
    </w:p>
    <w:p w14:paraId="7551AE24" w14:textId="07735BC9" w:rsidR="00BD58E4" w:rsidRDefault="00BD58E4" w:rsidP="00786843">
      <w:pPr>
        <w:spacing w:after="120"/>
        <w:rPr>
          <w:szCs w:val="24"/>
        </w:rPr>
      </w:pPr>
      <w:r w:rsidRPr="006D551A">
        <w:rPr>
          <w:szCs w:val="24"/>
        </w:rPr>
        <w:t>Further to Resolution 71 of WTDC-17 on strengthening cooperation between Members States, Sector Members, Associates and Academia of ITU-D, the 9th</w:t>
      </w:r>
      <w:r w:rsidRPr="006D551A">
        <w:rPr>
          <w:szCs w:val="24"/>
          <w:vertAlign w:val="superscript"/>
        </w:rPr>
        <w:t xml:space="preserve"> </w:t>
      </w:r>
      <w:r w:rsidRPr="006D551A">
        <w:rPr>
          <w:szCs w:val="24"/>
        </w:rPr>
        <w:t xml:space="preserve">edition of the </w:t>
      </w:r>
      <w:r w:rsidRPr="006D551A">
        <w:rPr>
          <w:b/>
          <w:bCs/>
          <w:i/>
          <w:iCs/>
          <w:szCs w:val="24"/>
        </w:rPr>
        <w:t>Private Sector Chief Regulatory Officers (CRO) meeting</w:t>
      </w:r>
      <w:r w:rsidRPr="006D551A">
        <w:rPr>
          <w:b/>
          <w:bCs/>
          <w:szCs w:val="24"/>
        </w:rPr>
        <w:t xml:space="preserve"> </w:t>
      </w:r>
      <w:r w:rsidRPr="006D551A">
        <w:rPr>
          <w:szCs w:val="24"/>
        </w:rPr>
        <w:t xml:space="preserve">and the </w:t>
      </w:r>
      <w:r w:rsidRPr="006D551A">
        <w:rPr>
          <w:b/>
          <w:bCs/>
          <w:i/>
          <w:iCs/>
          <w:szCs w:val="24"/>
        </w:rPr>
        <w:t>Industry Advisory Group for Development Issues (IAGDI)</w:t>
      </w:r>
      <w:r w:rsidRPr="006D551A">
        <w:rPr>
          <w:szCs w:val="24"/>
        </w:rPr>
        <w:t xml:space="preserve"> were both convened on 10 July 2018 during the Global Sym</w:t>
      </w:r>
      <w:r>
        <w:rPr>
          <w:szCs w:val="24"/>
        </w:rPr>
        <w:t>posium for Regulators (GSR-</w:t>
      </w:r>
      <w:r>
        <w:rPr>
          <w:szCs w:val="24"/>
        </w:rPr>
        <w:lastRenderedPageBreak/>
        <w:t>18). The meeting</w:t>
      </w:r>
      <w:r w:rsidRPr="006D551A">
        <w:rPr>
          <w:szCs w:val="24"/>
        </w:rPr>
        <w:t xml:space="preserve"> brought together </w:t>
      </w:r>
      <w:r>
        <w:rPr>
          <w:szCs w:val="24"/>
        </w:rPr>
        <w:t xml:space="preserve">over 100 </w:t>
      </w:r>
      <w:r w:rsidRPr="006D551A">
        <w:rPr>
          <w:szCs w:val="24"/>
        </w:rPr>
        <w:t>senior industry executives to share information on emerging digital technologies</w:t>
      </w:r>
      <w:r>
        <w:rPr>
          <w:szCs w:val="24"/>
        </w:rPr>
        <w:t xml:space="preserve">, </w:t>
      </w:r>
      <w:r w:rsidRPr="006D551A">
        <w:rPr>
          <w:szCs w:val="24"/>
        </w:rPr>
        <w:t>and exchange ideas on how to strengthen the private sector’s involvement and engagement in global, regional and national initiatives.</w:t>
      </w:r>
      <w:r w:rsidR="00786843">
        <w:rPr>
          <w:szCs w:val="24"/>
        </w:rPr>
        <w:t xml:space="preserve"> </w:t>
      </w:r>
      <w:r>
        <w:rPr>
          <w:szCs w:val="24"/>
        </w:rPr>
        <w:t>The CRO/IAGDI Outcomes</w:t>
      </w:r>
      <w:r w:rsidRPr="006D551A">
        <w:rPr>
          <w:szCs w:val="24"/>
        </w:rPr>
        <w:t xml:space="preserve"> called for inclusiveness, enabling ubiquitous deployment of infrastructure</w:t>
      </w:r>
      <w:r w:rsidR="00E24FCB">
        <w:rPr>
          <w:szCs w:val="24"/>
        </w:rPr>
        <w:t>,</w:t>
      </w:r>
      <w:r w:rsidRPr="006D551A">
        <w:rPr>
          <w:szCs w:val="24"/>
        </w:rPr>
        <w:t xml:space="preserve"> and creating an environment where investments in new </w:t>
      </w:r>
      <w:r w:rsidR="00E24FCB">
        <w:rPr>
          <w:szCs w:val="24"/>
        </w:rPr>
        <w:t xml:space="preserve">digital </w:t>
      </w:r>
      <w:r w:rsidRPr="006D551A">
        <w:rPr>
          <w:szCs w:val="24"/>
        </w:rPr>
        <w:t xml:space="preserve">technologies and services are stimulated. </w:t>
      </w:r>
    </w:p>
    <w:p w14:paraId="5992924A" w14:textId="77777777" w:rsidR="00BD58E4" w:rsidRPr="008A4C37" w:rsidRDefault="00BD58E4" w:rsidP="0010309D">
      <w:pPr>
        <w:spacing w:after="120"/>
        <w:rPr>
          <w:szCs w:val="24"/>
          <w:lang w:val="en-US"/>
        </w:rPr>
      </w:pPr>
      <w:r>
        <w:rPr>
          <w:szCs w:val="24"/>
          <w:lang w:val="en-US"/>
        </w:rPr>
        <w:t>Built on</w:t>
      </w:r>
      <w:r w:rsidRPr="008A4C37">
        <w:rPr>
          <w:szCs w:val="24"/>
          <w:lang w:val="en-US"/>
        </w:rPr>
        <w:t xml:space="preserve"> GSR-18 discussions, the </w:t>
      </w:r>
      <w:r w:rsidRPr="008A4C37">
        <w:rPr>
          <w:b/>
          <w:bCs/>
          <w:i/>
          <w:iCs/>
          <w:szCs w:val="24"/>
          <w:lang w:val="en-US"/>
        </w:rPr>
        <w:t>Indus</w:t>
      </w:r>
      <w:bookmarkStart w:id="10" w:name="_GoBack"/>
      <w:bookmarkEnd w:id="10"/>
      <w:r w:rsidRPr="008A4C37">
        <w:rPr>
          <w:b/>
          <w:bCs/>
          <w:i/>
          <w:iCs/>
          <w:szCs w:val="24"/>
          <w:lang w:val="en-US"/>
        </w:rPr>
        <w:t>try Leaders’ Debate</w:t>
      </w:r>
      <w:r w:rsidRPr="008A4C37">
        <w:rPr>
          <w:szCs w:val="24"/>
          <w:lang w:val="en-US"/>
        </w:rPr>
        <w:t xml:space="preserve"> share</w:t>
      </w:r>
      <w:r>
        <w:rPr>
          <w:szCs w:val="24"/>
          <w:lang w:val="en-US"/>
        </w:rPr>
        <w:t xml:space="preserve">d visions </w:t>
      </w:r>
      <w:r w:rsidRPr="008A4C37">
        <w:rPr>
          <w:szCs w:val="24"/>
          <w:lang w:val="en-US"/>
        </w:rPr>
        <w:t xml:space="preserve">and future trends </w:t>
      </w:r>
      <w:r>
        <w:rPr>
          <w:szCs w:val="24"/>
          <w:lang w:val="en-US"/>
        </w:rPr>
        <w:t xml:space="preserve">on </w:t>
      </w:r>
      <w:r w:rsidRPr="008A4C37">
        <w:rPr>
          <w:szCs w:val="24"/>
          <w:lang w:val="en-US"/>
        </w:rPr>
        <w:t>business investment models as well as on emerging technologies for the nex</w:t>
      </w:r>
      <w:r>
        <w:rPr>
          <w:szCs w:val="24"/>
          <w:lang w:val="en-US"/>
        </w:rPr>
        <w:t>t wave of industry productivity.</w:t>
      </w:r>
    </w:p>
    <w:p w14:paraId="6702FA6C" w14:textId="00D02F62" w:rsidR="00BD58E4" w:rsidRPr="006D551A" w:rsidRDefault="00BD58E4">
      <w:pPr>
        <w:spacing w:after="120"/>
        <w:rPr>
          <w:szCs w:val="24"/>
        </w:rPr>
      </w:pPr>
      <w:r w:rsidRPr="006D551A">
        <w:rPr>
          <w:szCs w:val="24"/>
        </w:rPr>
        <w:t xml:space="preserve">Exploring collaboration with other industry-focused organizations, the </w:t>
      </w:r>
      <w:r w:rsidRPr="006D551A">
        <w:rPr>
          <w:b/>
          <w:bCs/>
          <w:i/>
          <w:iCs/>
          <w:szCs w:val="24"/>
        </w:rPr>
        <w:t>ITU</w:t>
      </w:r>
      <w:r>
        <w:rPr>
          <w:b/>
          <w:bCs/>
          <w:i/>
          <w:iCs/>
          <w:szCs w:val="24"/>
        </w:rPr>
        <w:t>-</w:t>
      </w:r>
      <w:r w:rsidRPr="006D551A">
        <w:rPr>
          <w:b/>
          <w:bCs/>
          <w:i/>
          <w:iCs/>
          <w:szCs w:val="24"/>
        </w:rPr>
        <w:t>UNIDO-GMIS special session on Technology and Innovation Powering Connectivity for Inclusive and Sustainable Industrial Development</w:t>
      </w:r>
      <w:r w:rsidRPr="006D551A">
        <w:rPr>
          <w:szCs w:val="24"/>
        </w:rPr>
        <w:t xml:space="preserve"> dedicated to </w:t>
      </w:r>
      <w:r w:rsidRPr="006D551A">
        <w:rPr>
          <w:i/>
          <w:iCs/>
          <w:szCs w:val="24"/>
        </w:rPr>
        <w:t>‘Creating smart cities and society: Employing information and communication technologies for sustainable social and economic development’</w:t>
      </w:r>
      <w:r w:rsidRPr="006D551A">
        <w:rPr>
          <w:szCs w:val="24"/>
        </w:rPr>
        <w:t xml:space="preserve"> was held on 1</w:t>
      </w:r>
      <w:r w:rsidR="002336BF">
        <w:rPr>
          <w:szCs w:val="24"/>
        </w:rPr>
        <w:t> </w:t>
      </w:r>
      <w:r w:rsidRPr="006D551A">
        <w:rPr>
          <w:szCs w:val="24"/>
        </w:rPr>
        <w:t>October 2018 in Geneva</w:t>
      </w:r>
      <w:r w:rsidR="002336BF">
        <w:rPr>
          <w:szCs w:val="24"/>
        </w:rPr>
        <w:t>,</w:t>
      </w:r>
      <w:r w:rsidRPr="006D551A">
        <w:rPr>
          <w:szCs w:val="24"/>
        </w:rPr>
        <w:t xml:space="preserve"> at IT</w:t>
      </w:r>
      <w:r>
        <w:rPr>
          <w:szCs w:val="24"/>
        </w:rPr>
        <w:t>U Headquarters</w:t>
      </w:r>
      <w:r w:rsidR="00786843">
        <w:rPr>
          <w:szCs w:val="24"/>
        </w:rPr>
        <w:t>, in conjunction with the</w:t>
      </w:r>
      <w:r>
        <w:rPr>
          <w:szCs w:val="24"/>
        </w:rPr>
        <w:t xml:space="preserve"> ITU-D Q</w:t>
      </w:r>
      <w:r w:rsidRPr="006D551A">
        <w:rPr>
          <w:szCs w:val="24"/>
        </w:rPr>
        <w:t xml:space="preserve">uestion 1/2. </w:t>
      </w:r>
      <w:r w:rsidR="00FA0640">
        <w:rPr>
          <w:szCs w:val="24"/>
        </w:rPr>
        <w:t xml:space="preserve">The special session brought together </w:t>
      </w:r>
      <w:r w:rsidR="006E1980">
        <w:rPr>
          <w:szCs w:val="24"/>
        </w:rPr>
        <w:t>121 participants from Member States,</w:t>
      </w:r>
      <w:r w:rsidR="000347DA">
        <w:rPr>
          <w:szCs w:val="24"/>
        </w:rPr>
        <w:t xml:space="preserve"> private sector, ITU-D </w:t>
      </w:r>
      <w:r w:rsidR="00786843">
        <w:rPr>
          <w:szCs w:val="24"/>
        </w:rPr>
        <w:t>m</w:t>
      </w:r>
      <w:r w:rsidR="000347DA">
        <w:rPr>
          <w:szCs w:val="24"/>
        </w:rPr>
        <w:t xml:space="preserve">embership, </w:t>
      </w:r>
      <w:r w:rsidR="00786843">
        <w:rPr>
          <w:szCs w:val="24"/>
        </w:rPr>
        <w:t>UNIDO,</w:t>
      </w:r>
      <w:r w:rsidR="000347DA">
        <w:rPr>
          <w:szCs w:val="24"/>
        </w:rPr>
        <w:t xml:space="preserve"> WTO, ILO, WFP, UNEP, etc. During the panels, solutions were presented on enabling smart and sustainable cities</w:t>
      </w:r>
      <w:r w:rsidR="00786843">
        <w:rPr>
          <w:szCs w:val="24"/>
        </w:rPr>
        <w:t xml:space="preserve"> as well as </w:t>
      </w:r>
      <w:r w:rsidR="000347DA">
        <w:rPr>
          <w:szCs w:val="24"/>
        </w:rPr>
        <w:t xml:space="preserve">the benefits </w:t>
      </w:r>
      <w:r w:rsidR="00786843">
        <w:rPr>
          <w:szCs w:val="24"/>
        </w:rPr>
        <w:t xml:space="preserve">of </w:t>
      </w:r>
      <w:proofErr w:type="spellStart"/>
      <w:r w:rsidR="000347DA">
        <w:rPr>
          <w:szCs w:val="24"/>
        </w:rPr>
        <w:t>IoT</w:t>
      </w:r>
      <w:proofErr w:type="spellEnd"/>
      <w:r w:rsidR="000347DA">
        <w:rPr>
          <w:szCs w:val="24"/>
        </w:rPr>
        <w:t xml:space="preserve">, AI, and Big Data </w:t>
      </w:r>
      <w:r w:rsidR="001B472E">
        <w:rPr>
          <w:szCs w:val="24"/>
        </w:rPr>
        <w:t xml:space="preserve">for </w:t>
      </w:r>
      <w:r w:rsidR="00786843">
        <w:rPr>
          <w:szCs w:val="24"/>
        </w:rPr>
        <w:t xml:space="preserve">smart </w:t>
      </w:r>
      <w:r w:rsidR="000347DA">
        <w:rPr>
          <w:szCs w:val="24"/>
        </w:rPr>
        <w:t xml:space="preserve">societies. </w:t>
      </w:r>
    </w:p>
    <w:p w14:paraId="784DDD65" w14:textId="503B9918" w:rsidR="00BD58E4" w:rsidRDefault="00BD58E4">
      <w:pPr>
        <w:spacing w:after="120"/>
        <w:rPr>
          <w:szCs w:val="24"/>
        </w:rPr>
      </w:pPr>
      <w:r>
        <w:rPr>
          <w:szCs w:val="24"/>
          <w:lang w:val="en-US"/>
        </w:rPr>
        <w:t xml:space="preserve">Following </w:t>
      </w:r>
      <w:r w:rsidR="00786843">
        <w:rPr>
          <w:szCs w:val="24"/>
          <w:lang w:val="en-US"/>
        </w:rPr>
        <w:t xml:space="preserve">the </w:t>
      </w:r>
      <w:r w:rsidR="001B472E" w:rsidRPr="006D551A">
        <w:rPr>
          <w:szCs w:val="24"/>
          <w:lang w:val="en-US"/>
        </w:rPr>
        <w:t xml:space="preserve">decision </w:t>
      </w:r>
      <w:r w:rsidR="001B472E">
        <w:rPr>
          <w:szCs w:val="24"/>
          <w:lang w:val="en-US"/>
        </w:rPr>
        <w:t>on</w:t>
      </w:r>
      <w:r w:rsidR="001B472E" w:rsidRPr="006D551A">
        <w:rPr>
          <w:szCs w:val="24"/>
          <w:lang w:val="en-US"/>
        </w:rPr>
        <w:t xml:space="preserve"> </w:t>
      </w:r>
      <w:r w:rsidR="001B472E">
        <w:rPr>
          <w:szCs w:val="24"/>
          <w:lang w:val="en-US"/>
        </w:rPr>
        <w:t>trial participation</w:t>
      </w:r>
      <w:r w:rsidR="001B472E" w:rsidRPr="006D551A">
        <w:rPr>
          <w:szCs w:val="24"/>
          <w:lang w:val="en-US"/>
        </w:rPr>
        <w:t xml:space="preserve"> of SMEs in ITU-T and ITU-D study groups</w:t>
      </w:r>
      <w:r w:rsidR="001B472E">
        <w:rPr>
          <w:szCs w:val="24"/>
          <w:lang w:val="en-US"/>
        </w:rPr>
        <w:t xml:space="preserve"> taken during the 2017 session of </w:t>
      </w:r>
      <w:r>
        <w:rPr>
          <w:szCs w:val="24"/>
          <w:lang w:val="en-US"/>
        </w:rPr>
        <w:t xml:space="preserve">Council </w:t>
      </w:r>
      <w:r w:rsidRPr="006D551A">
        <w:rPr>
          <w:szCs w:val="24"/>
          <w:lang w:val="en-US"/>
        </w:rPr>
        <w:t xml:space="preserve">, BDT kicked off the implementation of the pilot project </w:t>
      </w:r>
      <w:r w:rsidR="002336BF">
        <w:rPr>
          <w:szCs w:val="24"/>
          <w:lang w:val="en-US"/>
        </w:rPr>
        <w:t xml:space="preserve">by inviting SMEs to participate </w:t>
      </w:r>
      <w:r w:rsidRPr="006D551A">
        <w:rPr>
          <w:szCs w:val="24"/>
          <w:lang w:val="en-US"/>
        </w:rPr>
        <w:t>in ITU-D Study Groups’ new study period from 2018.</w:t>
      </w:r>
      <w:r w:rsidR="003237EC">
        <w:rPr>
          <w:szCs w:val="24"/>
          <w:lang w:val="en-US"/>
        </w:rPr>
        <w:t xml:space="preserve"> Seven SMEs</w:t>
      </w:r>
      <w:r w:rsidR="006E537B">
        <w:rPr>
          <w:szCs w:val="24"/>
          <w:lang w:val="en-US"/>
        </w:rPr>
        <w:t xml:space="preserve"> from Italy, UK, Japan, Estonia and Poland, respectively</w:t>
      </w:r>
      <w:r w:rsidR="00786843">
        <w:rPr>
          <w:szCs w:val="24"/>
          <w:lang w:val="en-US"/>
        </w:rPr>
        <w:t xml:space="preserve"> </w:t>
      </w:r>
      <w:r w:rsidR="00786843" w:rsidRPr="00786843">
        <w:rPr>
          <w:szCs w:val="24"/>
          <w:lang w:val="en-US"/>
        </w:rPr>
        <w:t xml:space="preserve">(e.g., </w:t>
      </w:r>
      <w:proofErr w:type="spellStart"/>
      <w:r w:rsidR="006E537B" w:rsidRPr="0001452E">
        <w:rPr>
          <w:szCs w:val="24"/>
          <w:lang w:val="en-US"/>
        </w:rPr>
        <w:t>Proge</w:t>
      </w:r>
      <w:proofErr w:type="spellEnd"/>
      <w:r w:rsidR="006E537B" w:rsidRPr="0001452E">
        <w:rPr>
          <w:szCs w:val="24"/>
          <w:lang w:val="en-US"/>
        </w:rPr>
        <w:t xml:space="preserve">-Software, </w:t>
      </w:r>
      <w:r w:rsidR="00E70B0F" w:rsidRPr="0001452E">
        <w:rPr>
          <w:szCs w:val="24"/>
          <w:lang w:val="en-US"/>
        </w:rPr>
        <w:t>Forum Europe, DAIWA Computer</w:t>
      </w:r>
      <w:r w:rsidR="00FA0640" w:rsidRPr="0001452E">
        <w:rPr>
          <w:szCs w:val="24"/>
          <w:lang w:val="en-US"/>
        </w:rPr>
        <w:t>,</w:t>
      </w:r>
      <w:r w:rsidR="00E70B0F" w:rsidRPr="0001452E">
        <w:rPr>
          <w:szCs w:val="24"/>
          <w:lang w:val="en-US"/>
        </w:rPr>
        <w:t xml:space="preserve"> </w:t>
      </w:r>
      <w:proofErr w:type="spellStart"/>
      <w:r w:rsidR="006E537B" w:rsidRPr="0001452E">
        <w:rPr>
          <w:szCs w:val="24"/>
          <w:lang w:val="en-US"/>
        </w:rPr>
        <w:t>Guardtime</w:t>
      </w:r>
      <w:proofErr w:type="spellEnd"/>
      <w:r w:rsidR="006E537B" w:rsidRPr="0001452E">
        <w:rPr>
          <w:szCs w:val="24"/>
          <w:lang w:val="en-US"/>
        </w:rPr>
        <w:t xml:space="preserve">, Melody International, Orange </w:t>
      </w:r>
      <w:proofErr w:type="spellStart"/>
      <w:r w:rsidR="006E537B" w:rsidRPr="0001452E">
        <w:rPr>
          <w:szCs w:val="24"/>
          <w:lang w:val="en-US"/>
        </w:rPr>
        <w:t>TechLab</w:t>
      </w:r>
      <w:proofErr w:type="spellEnd"/>
      <w:r w:rsidR="006E537B" w:rsidRPr="0001452E">
        <w:rPr>
          <w:szCs w:val="24"/>
          <w:lang w:val="en-US"/>
        </w:rPr>
        <w:t xml:space="preserve">, </w:t>
      </w:r>
      <w:proofErr w:type="spellStart"/>
      <w:r w:rsidR="006E537B" w:rsidRPr="0001452E">
        <w:rPr>
          <w:szCs w:val="24"/>
          <w:lang w:val="en-US"/>
        </w:rPr>
        <w:t>SatRevolution</w:t>
      </w:r>
      <w:proofErr w:type="spellEnd"/>
      <w:r w:rsidR="006E537B" w:rsidRPr="0001452E">
        <w:rPr>
          <w:szCs w:val="24"/>
          <w:lang w:val="en-US"/>
        </w:rPr>
        <w:t>,</w:t>
      </w:r>
      <w:r w:rsidR="006E537B" w:rsidRPr="00786843">
        <w:rPr>
          <w:szCs w:val="24"/>
          <w:lang w:val="en-US"/>
        </w:rPr>
        <w:t xml:space="preserve"> and</w:t>
      </w:r>
      <w:r w:rsidR="006E537B" w:rsidRPr="0001452E">
        <w:rPr>
          <w:szCs w:val="24"/>
          <w:lang w:val="en-US"/>
        </w:rPr>
        <w:t xml:space="preserve"> ASTEM</w:t>
      </w:r>
      <w:r w:rsidR="00786843">
        <w:rPr>
          <w:i/>
          <w:iCs/>
          <w:szCs w:val="24"/>
          <w:lang w:val="en-US"/>
        </w:rPr>
        <w:t>)</w:t>
      </w:r>
      <w:r w:rsidR="003237EC">
        <w:rPr>
          <w:szCs w:val="24"/>
          <w:lang w:val="en-US"/>
        </w:rPr>
        <w:t xml:space="preserve"> participated in the work of the Study Groups</w:t>
      </w:r>
      <w:r w:rsidR="006E537B">
        <w:rPr>
          <w:szCs w:val="24"/>
          <w:lang w:val="en-US"/>
        </w:rPr>
        <w:t xml:space="preserve">. </w:t>
      </w:r>
      <w:r w:rsidR="00F861B0">
        <w:rPr>
          <w:szCs w:val="24"/>
          <w:lang w:val="en-US"/>
        </w:rPr>
        <w:t>Many of these SMEs submitted contributions</w:t>
      </w:r>
      <w:r w:rsidR="00FA0640">
        <w:rPr>
          <w:szCs w:val="24"/>
          <w:lang w:val="en-US"/>
        </w:rPr>
        <w:t xml:space="preserve"> on different areas such as cybersecurity, ICT applications, cloud computing, etc.</w:t>
      </w:r>
      <w:r w:rsidR="006E1980">
        <w:rPr>
          <w:szCs w:val="24"/>
          <w:lang w:val="en-US"/>
        </w:rPr>
        <w:t xml:space="preserve"> </w:t>
      </w:r>
      <w:r w:rsidR="002336BF">
        <w:rPr>
          <w:szCs w:val="24"/>
          <w:lang w:val="en-US"/>
        </w:rPr>
        <w:t>Subsequently, PP-18 adopted</w:t>
      </w:r>
      <w:r>
        <w:rPr>
          <w:szCs w:val="24"/>
          <w:lang w:val="en-US"/>
        </w:rPr>
        <w:t xml:space="preserve"> Res</w:t>
      </w:r>
      <w:r w:rsidR="002336BF">
        <w:rPr>
          <w:szCs w:val="24"/>
          <w:lang w:val="en-US"/>
        </w:rPr>
        <w:t xml:space="preserve">olution </w:t>
      </w:r>
      <w:r>
        <w:rPr>
          <w:szCs w:val="24"/>
          <w:lang w:val="en-US"/>
        </w:rPr>
        <w:t>209 (Dubai, 2018</w:t>
      </w:r>
      <w:r>
        <w:rPr>
          <w:szCs w:val="24"/>
        </w:rPr>
        <w:t>) on SMEs</w:t>
      </w:r>
      <w:r w:rsidR="001B472E">
        <w:rPr>
          <w:szCs w:val="24"/>
        </w:rPr>
        <w:t>,</w:t>
      </w:r>
      <w:r>
        <w:rPr>
          <w:szCs w:val="24"/>
        </w:rPr>
        <w:t xml:space="preserve"> given the success of the trial and recognizing their essential role on achieving economic growth and development. </w:t>
      </w:r>
    </w:p>
    <w:p w14:paraId="5E335590" w14:textId="77777777" w:rsidR="00BD58E4" w:rsidRPr="0010309D" w:rsidRDefault="00BD58E4">
      <w:pPr>
        <w:pStyle w:val="PlainText"/>
        <w:numPr>
          <w:ilvl w:val="0"/>
          <w:numId w:val="4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10309D">
        <w:rPr>
          <w:rFonts w:asciiTheme="minorHAnsi" w:hAnsiTheme="minorHAnsi"/>
          <w:b/>
          <w:bCs/>
          <w:sz w:val="24"/>
          <w:szCs w:val="24"/>
        </w:rPr>
        <w:t>Way Forward</w:t>
      </w:r>
    </w:p>
    <w:p w14:paraId="72666879" w14:textId="196CFCD9" w:rsidR="00BD58E4" w:rsidRPr="00263754" w:rsidRDefault="00BD58E4">
      <w:pPr>
        <w:spacing w:after="120"/>
      </w:pPr>
      <w:r w:rsidRPr="00734505">
        <w:rPr>
          <w:szCs w:val="24"/>
        </w:rPr>
        <w:t xml:space="preserve">While ITU-D programs, projects, initiatives and activities under its areas of action provide products and services for </w:t>
      </w:r>
      <w:r>
        <w:rPr>
          <w:szCs w:val="24"/>
        </w:rPr>
        <w:t>ITU m</w:t>
      </w:r>
      <w:r w:rsidRPr="00843F99">
        <w:rPr>
          <w:szCs w:val="24"/>
        </w:rPr>
        <w:t>embership</w:t>
      </w:r>
      <w:r w:rsidRPr="00734505">
        <w:rPr>
          <w:szCs w:val="24"/>
        </w:rPr>
        <w:t xml:space="preserve">, BDT will </w:t>
      </w:r>
      <w:r>
        <w:rPr>
          <w:szCs w:val="24"/>
        </w:rPr>
        <w:t xml:space="preserve">continue to </w:t>
      </w:r>
      <w:r w:rsidRPr="00690B5F">
        <w:rPr>
          <w:szCs w:val="24"/>
          <w:lang w:val="en-US"/>
        </w:rPr>
        <w:t xml:space="preserve">strengthen its </w:t>
      </w:r>
      <w:r>
        <w:rPr>
          <w:szCs w:val="24"/>
        </w:rPr>
        <w:t>m</w:t>
      </w:r>
      <w:r w:rsidRPr="00843F99">
        <w:rPr>
          <w:szCs w:val="24"/>
        </w:rPr>
        <w:t xml:space="preserve">embership </w:t>
      </w:r>
      <w:r>
        <w:rPr>
          <w:szCs w:val="24"/>
          <w:lang w:val="en-US"/>
        </w:rPr>
        <w:t>services</w:t>
      </w:r>
      <w:r w:rsidR="00376ED9">
        <w:rPr>
          <w:szCs w:val="24"/>
          <w:lang w:val="en-US"/>
        </w:rPr>
        <w:t xml:space="preserve"> for </w:t>
      </w:r>
      <w:r w:rsidRPr="003C07B0">
        <w:t>greater engagement with existing, new and prospective members including SMEs and Academia</w:t>
      </w:r>
      <w:r w:rsidR="003C07B0" w:rsidRPr="003C07B0">
        <w:t xml:space="preserve"> </w:t>
      </w:r>
      <w:r w:rsidRPr="00263754">
        <w:t xml:space="preserve">through </w:t>
      </w:r>
      <w:r w:rsidR="003C07B0" w:rsidRPr="00263754">
        <w:t xml:space="preserve">sharing and promoting </w:t>
      </w:r>
      <w:r w:rsidR="00B840B3" w:rsidRPr="00263754">
        <w:t>BDT</w:t>
      </w:r>
      <w:r w:rsidR="00077300" w:rsidRPr="00263754">
        <w:t xml:space="preserve"> products and </w:t>
      </w:r>
      <w:r w:rsidR="003C07B0" w:rsidRPr="00263754">
        <w:t xml:space="preserve">their </w:t>
      </w:r>
      <w:r w:rsidR="00077300" w:rsidRPr="00263754">
        <w:t>impact</w:t>
      </w:r>
      <w:r w:rsidR="003C07B0" w:rsidRPr="00263754">
        <w:t xml:space="preserve">s </w:t>
      </w:r>
      <w:r w:rsidR="001B472E">
        <w:t>through the use of</w:t>
      </w:r>
      <w:r w:rsidR="003C07B0" w:rsidRPr="00263754">
        <w:t xml:space="preserve"> </w:t>
      </w:r>
      <w:r w:rsidR="000648C2" w:rsidRPr="003C07B0">
        <w:t>W</w:t>
      </w:r>
      <w:r w:rsidR="000648C2" w:rsidRPr="00263754">
        <w:t>ebinars, “talks”</w:t>
      </w:r>
      <w:r w:rsidR="003C07B0" w:rsidRPr="00263754">
        <w:t>,</w:t>
      </w:r>
      <w:r w:rsidR="000648C2" w:rsidRPr="00263754">
        <w:t xml:space="preserve"> </w:t>
      </w:r>
      <w:r w:rsidR="00376ED9" w:rsidRPr="00263754">
        <w:t>testimonials</w:t>
      </w:r>
      <w:r w:rsidR="003C07B0" w:rsidRPr="00263754">
        <w:t xml:space="preserve"> and others.</w:t>
      </w:r>
      <w:r w:rsidR="000648C2" w:rsidRPr="00263754">
        <w:t xml:space="preserve"> </w:t>
      </w:r>
    </w:p>
    <w:p w14:paraId="5DC2F120" w14:textId="32B89A1F" w:rsidR="00BD58E4" w:rsidRPr="003C07B0" w:rsidRDefault="00B840B3">
      <w:pPr>
        <w:spacing w:after="120"/>
        <w:rPr>
          <w:rFonts w:ascii="Calibri" w:hAnsi="Calibri"/>
          <w:sz w:val="22"/>
          <w:lang w:val="en-US" w:eastAsia="zh-CN"/>
        </w:rPr>
      </w:pPr>
      <w:r w:rsidRPr="003C07B0">
        <w:t>C</w:t>
      </w:r>
      <w:r w:rsidR="00BD58E4" w:rsidRPr="003C07B0">
        <w:t xml:space="preserve">alls for multi-stakeholder partnership to </w:t>
      </w:r>
      <w:r w:rsidR="003C07B0" w:rsidRPr="003C07B0">
        <w:t>various</w:t>
      </w:r>
      <w:r w:rsidR="00BD58E4" w:rsidRPr="003C07B0">
        <w:t xml:space="preserve"> platforms</w:t>
      </w:r>
      <w:r w:rsidR="003C07B0" w:rsidRPr="003C07B0">
        <w:t>,</w:t>
      </w:r>
      <w:r w:rsidR="00BD58E4" w:rsidRPr="003C07B0">
        <w:t xml:space="preserve"> programs and Regional Initiatives will be explored </w:t>
      </w:r>
      <w:r w:rsidR="00294431" w:rsidRPr="003C07B0">
        <w:t xml:space="preserve">in order </w:t>
      </w:r>
      <w:r w:rsidR="00BD58E4" w:rsidRPr="003C07B0">
        <w:t xml:space="preserve">to contribute to ITU-D’s mandate </w:t>
      </w:r>
      <w:r w:rsidR="00294431" w:rsidRPr="003C07B0">
        <w:t xml:space="preserve">of achieving </w:t>
      </w:r>
      <w:r w:rsidR="00BD58E4" w:rsidRPr="003C07B0">
        <w:t>the Sustainable Development Goals (SDGs).</w:t>
      </w:r>
    </w:p>
    <w:p w14:paraId="1AA94C8B" w14:textId="02C1A353" w:rsidR="00BD58E4" w:rsidRPr="003C07B0" w:rsidRDefault="00BD58E4" w:rsidP="00786843">
      <w:pPr>
        <w:spacing w:after="120"/>
      </w:pPr>
      <w:r w:rsidRPr="003C07B0">
        <w:t xml:space="preserve">The diverse nature of Sector Members, Associates and increasing number of Academia continues to foster </w:t>
      </w:r>
      <w:r w:rsidR="00294431" w:rsidRPr="003C07B0">
        <w:t xml:space="preserve">a </w:t>
      </w:r>
      <w:r w:rsidRPr="003C07B0">
        <w:t xml:space="preserve">fertile ground for collaboration and </w:t>
      </w:r>
      <w:r w:rsidR="00B840B3" w:rsidRPr="003C07B0">
        <w:t xml:space="preserve">knowledge </w:t>
      </w:r>
      <w:r w:rsidRPr="003C07B0">
        <w:t>exchange in a converged ICT ecosystem.</w:t>
      </w:r>
      <w:r w:rsidR="000648C2" w:rsidRPr="003C07B0">
        <w:t xml:space="preserve"> </w:t>
      </w:r>
      <w:r w:rsidRPr="003C07B0">
        <w:t xml:space="preserve"> BDT will continue to focus on multi-stakeholder approaches for enhanced engagement and partnerships with membership and their networks through BDT/ITU </w:t>
      </w:r>
      <w:r w:rsidR="00786843">
        <w:t xml:space="preserve">platforms </w:t>
      </w:r>
      <w:r w:rsidRPr="003C07B0">
        <w:t>at global and regional levels</w:t>
      </w:r>
      <w:r w:rsidR="003C07B0" w:rsidRPr="003C07B0">
        <w:t xml:space="preserve"> in close coordination and cooperation</w:t>
      </w:r>
      <w:r w:rsidRPr="003C07B0">
        <w:t>.</w:t>
      </w:r>
    </w:p>
    <w:p w14:paraId="6BEA23E5" w14:textId="205FE8CA" w:rsidR="00376ED9" w:rsidRDefault="001B472E">
      <w:pPr>
        <w:jc w:val="both"/>
      </w:pPr>
      <w:r>
        <w:rPr>
          <w:szCs w:val="24"/>
          <w:lang w:val="en-US" w:eastAsia="zh-CN"/>
        </w:rPr>
        <w:t>Membership</w:t>
      </w:r>
      <w:r w:rsidR="00786843">
        <w:rPr>
          <w:szCs w:val="24"/>
          <w:lang w:val="en-US" w:eastAsia="zh-CN"/>
        </w:rPr>
        <w:t xml:space="preserve">, </w:t>
      </w:r>
      <w:r w:rsidR="00077300" w:rsidRPr="00263754">
        <w:t xml:space="preserve">Member States </w:t>
      </w:r>
      <w:r w:rsidR="00786843">
        <w:t xml:space="preserve">in particular, </w:t>
      </w:r>
      <w:r w:rsidR="00077300" w:rsidRPr="00263754">
        <w:t xml:space="preserve">are invited to </w:t>
      </w:r>
      <w:r w:rsidR="00B840B3" w:rsidRPr="00263754">
        <w:t>encourage</w:t>
      </w:r>
      <w:r w:rsidR="00077300" w:rsidRPr="00263754">
        <w:t xml:space="preserve"> </w:t>
      </w:r>
      <w:r w:rsidR="003C07B0" w:rsidRPr="00263754">
        <w:t xml:space="preserve">private </w:t>
      </w:r>
      <w:r w:rsidR="00077300" w:rsidRPr="00263754">
        <w:t>industry</w:t>
      </w:r>
      <w:r w:rsidR="00786843">
        <w:t>,</w:t>
      </w:r>
      <w:r w:rsidR="003C07B0" w:rsidRPr="00263754">
        <w:t xml:space="preserve"> SMEs and </w:t>
      </w:r>
      <w:r w:rsidR="00786843">
        <w:t>A</w:t>
      </w:r>
      <w:r w:rsidR="003C07B0" w:rsidRPr="00263754">
        <w:t>cademia</w:t>
      </w:r>
      <w:r w:rsidR="00077300" w:rsidRPr="00263754">
        <w:t xml:space="preserve"> in their respective countries to </w:t>
      </w:r>
      <w:r w:rsidR="003C07B0" w:rsidRPr="00263754">
        <w:t xml:space="preserve">engage in </w:t>
      </w:r>
      <w:r w:rsidR="00376ED9" w:rsidRPr="00263754">
        <w:t xml:space="preserve">and </w:t>
      </w:r>
      <w:r w:rsidR="003C07B0" w:rsidRPr="00263754">
        <w:t xml:space="preserve">contribute to </w:t>
      </w:r>
      <w:r w:rsidR="00376ED9" w:rsidRPr="00263754">
        <w:t>the work of ITU-D.</w:t>
      </w:r>
      <w:r w:rsidR="00376ED9">
        <w:t xml:space="preserve"> </w:t>
      </w:r>
    </w:p>
    <w:p w14:paraId="106FF943" w14:textId="77777777" w:rsidR="00DE42CA" w:rsidRPr="00BD58E4" w:rsidRDefault="00BD58E4" w:rsidP="00C107DF">
      <w:pPr>
        <w:jc w:val="center"/>
        <w:rPr>
          <w:lang w:val="en-US" w:eastAsia="zh-CN"/>
        </w:rPr>
      </w:pPr>
      <w:r w:rsidRPr="00690B5F">
        <w:rPr>
          <w:szCs w:val="24"/>
          <w:lang w:val="en-US" w:eastAsia="zh-CN"/>
        </w:rPr>
        <w:t>_____________</w:t>
      </w:r>
      <w:r w:rsidRPr="00CF4CB2">
        <w:rPr>
          <w:lang w:val="en-US" w:eastAsia="zh-CN"/>
        </w:rPr>
        <w:t>___</w:t>
      </w:r>
    </w:p>
    <w:sectPr w:rsidR="00DE42CA" w:rsidRPr="00BD58E4" w:rsidSect="00DE42CA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71F82" w14:textId="77777777" w:rsidR="007A5860" w:rsidRDefault="007A5860">
      <w:pPr>
        <w:spacing w:before="0"/>
      </w:pPr>
      <w:r>
        <w:separator/>
      </w:r>
    </w:p>
  </w:endnote>
  <w:endnote w:type="continuationSeparator" w:id="0">
    <w:p w14:paraId="14BC3AA3" w14:textId="77777777" w:rsidR="007A5860" w:rsidRDefault="007A5860">
      <w:pPr>
        <w:spacing w:before="0"/>
      </w:pPr>
      <w:r>
        <w:continuationSeparator/>
      </w:r>
    </w:p>
  </w:endnote>
  <w:endnote w:type="continuationNotice" w:id="1">
    <w:p w14:paraId="7EC8E46D" w14:textId="77777777" w:rsidR="007A5860" w:rsidRDefault="007A58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E5660" w14:textId="77777777" w:rsidR="00DE42CA" w:rsidRDefault="00BD58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749DB6" w14:textId="2A8EDF6F" w:rsidR="00DE42CA" w:rsidRPr="0041348E" w:rsidRDefault="00BD58E4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D5B52">
      <w:rPr>
        <w:noProof/>
        <w:lang w:val="en-US"/>
      </w:rPr>
      <w:t>C:\Users\sadushaj\Desktop\020E_v5_clean_TDAG-19 Doc. 20 - Membership(11feb19) clean.docx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3E6E">
      <w:rPr>
        <w:noProof/>
      </w:rPr>
      <w:t>15.02.19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5B52">
      <w:rPr>
        <w:noProof/>
      </w:rPr>
      <w:t>12.02.19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E42CA" w:rsidRPr="009359B8" w14:paraId="0C3E01BC" w14:textId="77777777" w:rsidTr="00DE42C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6DE2C7F" w14:textId="77777777" w:rsidR="00DE42CA" w:rsidRPr="004D495C" w:rsidRDefault="00BD58E4" w:rsidP="00DE42C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45DE7DE" w14:textId="77777777" w:rsidR="00DE42CA" w:rsidRPr="004D495C" w:rsidRDefault="00BD58E4" w:rsidP="00DE42C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195006C" w14:textId="77777777" w:rsidR="00DE42CA" w:rsidRPr="00103886" w:rsidRDefault="00AE456F" w:rsidP="002D1EC1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Dr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Eun-Ju</w:t>
          </w:r>
          <w:proofErr w:type="spellEnd"/>
          <w:r w:rsidR="00BD58E4">
            <w:rPr>
              <w:sz w:val="18"/>
              <w:szCs w:val="18"/>
              <w:lang w:val="en-US"/>
            </w:rPr>
            <w:t xml:space="preserve"> Kim, Chief, Innovation and Partnership Department </w:t>
          </w:r>
          <w:r w:rsidR="00BD58E4" w:rsidRPr="00547039">
            <w:rPr>
              <w:sz w:val="18"/>
              <w:szCs w:val="18"/>
            </w:rPr>
            <w:t>Telecommunication Development Bureau</w:t>
          </w:r>
        </w:p>
      </w:tc>
    </w:tr>
    <w:tr w:rsidR="00DE42CA" w:rsidRPr="009359B8" w14:paraId="7EEDEA0B" w14:textId="77777777" w:rsidTr="00DE42CA">
      <w:tc>
        <w:tcPr>
          <w:tcW w:w="1526" w:type="dxa"/>
          <w:shd w:val="clear" w:color="auto" w:fill="auto"/>
        </w:tcPr>
        <w:p w14:paraId="41D53C40" w14:textId="77777777" w:rsidR="00DE42CA" w:rsidRPr="004D495C" w:rsidRDefault="00DE42CA" w:rsidP="00DE42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C752A82" w14:textId="77777777" w:rsidR="00DE42CA" w:rsidRPr="004D495C" w:rsidRDefault="00BD58E4" w:rsidP="00DE42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5EC8D1A" w14:textId="77777777" w:rsidR="00DE42CA" w:rsidRPr="00103886" w:rsidRDefault="00BD58E4" w:rsidP="00DE42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+41 22 730 5900</w:t>
          </w:r>
        </w:p>
      </w:tc>
    </w:tr>
    <w:tr w:rsidR="00DE42CA" w:rsidRPr="009359B8" w14:paraId="19C18931" w14:textId="77777777" w:rsidTr="00DE42CA">
      <w:tc>
        <w:tcPr>
          <w:tcW w:w="1526" w:type="dxa"/>
          <w:shd w:val="clear" w:color="auto" w:fill="auto"/>
        </w:tcPr>
        <w:p w14:paraId="0838B2C4" w14:textId="77777777" w:rsidR="00DE42CA" w:rsidRPr="004D495C" w:rsidRDefault="00DE42CA" w:rsidP="00DE42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22ECBF8" w14:textId="77777777" w:rsidR="00DE42CA" w:rsidRPr="004D495C" w:rsidRDefault="00BD58E4" w:rsidP="00DE42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8539680" w14:textId="77777777" w:rsidR="00DE42CA" w:rsidRPr="00103886" w:rsidRDefault="0030016A" w:rsidP="00DE42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D58E4" w:rsidRPr="00996114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  <w:r w:rsidR="00BD58E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0B8DB5E" w14:textId="77777777" w:rsidR="00DE42CA" w:rsidRPr="00D83BF5" w:rsidRDefault="0030016A" w:rsidP="00DE42CA">
    <w:pPr>
      <w:jc w:val="center"/>
    </w:pPr>
    <w:hyperlink r:id="rId2" w:history="1">
      <w:r w:rsidR="00BD58E4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DB609" w14:textId="77777777" w:rsidR="007A5860" w:rsidRDefault="007A5860">
      <w:pPr>
        <w:spacing w:before="0"/>
      </w:pPr>
      <w:r>
        <w:separator/>
      </w:r>
    </w:p>
  </w:footnote>
  <w:footnote w:type="continuationSeparator" w:id="0">
    <w:p w14:paraId="69672A52" w14:textId="77777777" w:rsidR="007A5860" w:rsidRDefault="007A5860">
      <w:pPr>
        <w:spacing w:before="0"/>
      </w:pPr>
      <w:r>
        <w:continuationSeparator/>
      </w:r>
    </w:p>
  </w:footnote>
  <w:footnote w:type="continuationNotice" w:id="1">
    <w:p w14:paraId="7157F933" w14:textId="77777777" w:rsidR="007A5860" w:rsidRDefault="007A5860">
      <w:pPr>
        <w:spacing w:before="0"/>
      </w:pPr>
    </w:p>
  </w:footnote>
  <w:footnote w:id="2">
    <w:p w14:paraId="32BA3690" w14:textId="77777777" w:rsidR="00B840B3" w:rsidRPr="00B00959" w:rsidRDefault="00B840B3" w:rsidP="00B840B3">
      <w:pPr>
        <w:pStyle w:val="Footer"/>
        <w:ind w:left="360"/>
        <w:rPr>
          <w:sz w:val="20"/>
          <w:szCs w:val="16"/>
        </w:rPr>
      </w:pPr>
      <w:r w:rsidRPr="00B00959">
        <w:rPr>
          <w:rStyle w:val="FootnoteReference"/>
          <w:sz w:val="20"/>
          <w:szCs w:val="16"/>
        </w:rPr>
        <w:footnoteRef/>
      </w:r>
      <w:r w:rsidRPr="00B00959">
        <w:rPr>
          <w:sz w:val="20"/>
          <w:szCs w:val="16"/>
        </w:rPr>
        <w:t xml:space="preserve"> </w:t>
      </w:r>
      <w:r w:rsidRPr="00B00959">
        <w:rPr>
          <w:sz w:val="20"/>
          <w:szCs w:val="16"/>
          <w:lang w:val="en-US"/>
        </w:rPr>
        <w:t xml:space="preserve"> </w:t>
      </w:r>
      <w:r w:rsidRPr="00B00959">
        <w:rPr>
          <w:sz w:val="20"/>
          <w:szCs w:val="16"/>
        </w:rPr>
        <w:t>Academia participates in the work of the three sectors with one single fee.</w:t>
      </w:r>
    </w:p>
    <w:p w14:paraId="2CCC0722" w14:textId="77777777" w:rsidR="00B840B3" w:rsidRPr="00B00959" w:rsidRDefault="00B840B3" w:rsidP="00B840B3">
      <w:pPr>
        <w:pStyle w:val="FootnoteText"/>
      </w:pPr>
    </w:p>
  </w:footnote>
  <w:footnote w:id="3">
    <w:p w14:paraId="2A3A6E82" w14:textId="77777777" w:rsidR="00E7188C" w:rsidRPr="007C6FDD" w:rsidRDefault="00E7188C" w:rsidP="007C6F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 </w:t>
      </w:r>
      <w:r w:rsidR="0040554B" w:rsidRPr="007C6FDD">
        <w:rPr>
          <w:lang w:val="en-US"/>
        </w:rPr>
        <w:t xml:space="preserve">Universidad Nacional de San Luis (Argentina); Universidad de Buenos Aires, </w:t>
      </w:r>
      <w:proofErr w:type="spellStart"/>
      <w:r w:rsidR="0040554B" w:rsidRPr="007C6FDD">
        <w:rPr>
          <w:lang w:val="en-US"/>
        </w:rPr>
        <w:t>Facultad</w:t>
      </w:r>
      <w:proofErr w:type="spellEnd"/>
      <w:r w:rsidR="0040554B" w:rsidRPr="007C6FDD">
        <w:rPr>
          <w:lang w:val="en-US"/>
        </w:rPr>
        <w:t xml:space="preserve"> de </w:t>
      </w:r>
      <w:proofErr w:type="spellStart"/>
      <w:r w:rsidR="0040554B" w:rsidRPr="007C6FDD">
        <w:rPr>
          <w:lang w:val="en-US"/>
        </w:rPr>
        <w:t>Ingenieria</w:t>
      </w:r>
      <w:proofErr w:type="spellEnd"/>
      <w:r w:rsidR="0040554B" w:rsidRPr="007C6FDD">
        <w:rPr>
          <w:lang w:val="en-US"/>
        </w:rPr>
        <w:t xml:space="preserve"> (Argentina); Universidad Nacional Arturo </w:t>
      </w:r>
      <w:proofErr w:type="spellStart"/>
      <w:r w:rsidR="0040554B" w:rsidRPr="007C6FDD">
        <w:rPr>
          <w:lang w:val="en-US"/>
        </w:rPr>
        <w:t>Jauretche</w:t>
      </w:r>
      <w:proofErr w:type="spellEnd"/>
      <w:r w:rsidR="0040554B" w:rsidRPr="007C6FDD">
        <w:rPr>
          <w:lang w:val="en-US"/>
        </w:rPr>
        <w:t xml:space="preserve"> (Argentina); Universidad Nacional de Rio Cuarto (Argentina); </w:t>
      </w:r>
      <w:proofErr w:type="spellStart"/>
      <w:r w:rsidR="0040554B" w:rsidRPr="007C6FDD">
        <w:rPr>
          <w:lang w:val="en-US"/>
        </w:rPr>
        <w:t>Instituto</w:t>
      </w:r>
      <w:proofErr w:type="spellEnd"/>
      <w:r w:rsidR="0040554B" w:rsidRPr="007C6FDD">
        <w:rPr>
          <w:lang w:val="en-US"/>
        </w:rPr>
        <w:t xml:space="preserve"> </w:t>
      </w:r>
      <w:proofErr w:type="spellStart"/>
      <w:r w:rsidR="0040554B" w:rsidRPr="007C6FDD">
        <w:rPr>
          <w:lang w:val="en-US"/>
        </w:rPr>
        <w:t>Balseiro</w:t>
      </w:r>
      <w:proofErr w:type="spellEnd"/>
      <w:r w:rsidR="0040554B" w:rsidRPr="007C6FDD">
        <w:rPr>
          <w:lang w:val="en-US"/>
        </w:rPr>
        <w:t xml:space="preserve"> (Argentina); Universidad Nacional del Sur (Argentina); Universidad Nacional de Tucuman (Argentina); </w:t>
      </w:r>
      <w:r w:rsidR="007C6FDD">
        <w:rPr>
          <w:lang w:val="en-US"/>
        </w:rPr>
        <w:t xml:space="preserve">Universidad Nacional de Cordoba (Argentina); </w:t>
      </w:r>
      <w:r w:rsidR="0040554B" w:rsidRPr="007C6FDD">
        <w:rPr>
          <w:lang w:val="en-US"/>
        </w:rPr>
        <w:t xml:space="preserve">Universidad Nacional de la </w:t>
      </w:r>
      <w:proofErr w:type="spellStart"/>
      <w:r w:rsidR="0040554B" w:rsidRPr="007C6FDD">
        <w:rPr>
          <w:lang w:val="en-US"/>
        </w:rPr>
        <w:t>Matanza</w:t>
      </w:r>
      <w:proofErr w:type="spellEnd"/>
      <w:r w:rsidR="0040554B" w:rsidRPr="007C6FDD">
        <w:rPr>
          <w:lang w:val="en-US"/>
        </w:rPr>
        <w:t xml:space="preserve"> (Argentina); Universidad Nacional de La Plata (Argentina); </w:t>
      </w:r>
      <w:r w:rsidR="00A60239" w:rsidRPr="007C6FDD">
        <w:rPr>
          <w:lang w:val="en-US"/>
        </w:rPr>
        <w:t xml:space="preserve">Universidad Nacional de Misiones (Argentina); Universidad </w:t>
      </w:r>
      <w:proofErr w:type="spellStart"/>
      <w:r w:rsidR="00A60239" w:rsidRPr="007C6FDD">
        <w:rPr>
          <w:lang w:val="en-US"/>
        </w:rPr>
        <w:t>Tenologica</w:t>
      </w:r>
      <w:proofErr w:type="spellEnd"/>
      <w:r w:rsidR="00A60239" w:rsidRPr="007C6FDD">
        <w:rPr>
          <w:lang w:val="en-US"/>
        </w:rPr>
        <w:t xml:space="preserve"> Nacional (Argentina); Universidad Nacional de Rio Negro (Argentina); Universidad Nacional de Lujan (Argentina); RMIT University (Australia); </w:t>
      </w:r>
      <w:proofErr w:type="spellStart"/>
      <w:r w:rsidR="00A60239" w:rsidRPr="007C6FDD">
        <w:rPr>
          <w:lang w:val="en-US"/>
        </w:rPr>
        <w:t>Ecole</w:t>
      </w:r>
      <w:proofErr w:type="spellEnd"/>
      <w:r w:rsidR="00A60239" w:rsidRPr="007C6FDD">
        <w:rPr>
          <w:lang w:val="en-US"/>
        </w:rPr>
        <w:t xml:space="preserve"> </w:t>
      </w:r>
      <w:proofErr w:type="spellStart"/>
      <w:r w:rsidR="00A60239" w:rsidRPr="007C6FDD">
        <w:rPr>
          <w:lang w:val="en-US"/>
        </w:rPr>
        <w:t>Nationale</w:t>
      </w:r>
      <w:proofErr w:type="spellEnd"/>
      <w:r w:rsidR="00A60239" w:rsidRPr="007C6FDD">
        <w:rPr>
          <w:lang w:val="en-US"/>
        </w:rPr>
        <w:t xml:space="preserve"> </w:t>
      </w:r>
      <w:proofErr w:type="spellStart"/>
      <w:r w:rsidR="00A60239" w:rsidRPr="007C6FDD">
        <w:rPr>
          <w:lang w:val="en-US"/>
        </w:rPr>
        <w:t>Superieure</w:t>
      </w:r>
      <w:proofErr w:type="spellEnd"/>
      <w:r w:rsidR="00A60239" w:rsidRPr="007C6FDD">
        <w:rPr>
          <w:lang w:val="en-US"/>
        </w:rPr>
        <w:t xml:space="preserve"> des </w:t>
      </w:r>
      <w:proofErr w:type="spellStart"/>
      <w:r w:rsidR="00A60239" w:rsidRPr="007C6FDD">
        <w:rPr>
          <w:lang w:val="en-US"/>
        </w:rPr>
        <w:t>Postes</w:t>
      </w:r>
      <w:proofErr w:type="spellEnd"/>
      <w:r w:rsidR="00A60239" w:rsidRPr="007C6FDD">
        <w:rPr>
          <w:lang w:val="en-US"/>
        </w:rPr>
        <w:t xml:space="preserve">, Telecommunications et TIC (Cameroon); Computer Network Information Center of the Chinese Academy of Sciences (China); University of Electronic Science and Technology of China (China); Institute of Information Engineering Chinese Academy of Sciences (CETC ISA) (China); Universidad </w:t>
      </w:r>
      <w:proofErr w:type="spellStart"/>
      <w:r w:rsidR="00A60239" w:rsidRPr="007C6FDD">
        <w:rPr>
          <w:lang w:val="en-US"/>
        </w:rPr>
        <w:t>Autonoma</w:t>
      </w:r>
      <w:proofErr w:type="spellEnd"/>
      <w:r w:rsidR="00A60239" w:rsidRPr="007C6FDD">
        <w:rPr>
          <w:lang w:val="en-US"/>
        </w:rPr>
        <w:t xml:space="preserve"> de Santo Domingo (Dominican Republic); IRT </w:t>
      </w:r>
      <w:proofErr w:type="spellStart"/>
      <w:r w:rsidR="00A60239" w:rsidRPr="007C6FDD">
        <w:rPr>
          <w:lang w:val="en-US"/>
        </w:rPr>
        <w:t>SystemX</w:t>
      </w:r>
      <w:proofErr w:type="spellEnd"/>
      <w:r w:rsidR="00A60239" w:rsidRPr="007C6FDD">
        <w:rPr>
          <w:lang w:val="en-US"/>
        </w:rPr>
        <w:t xml:space="preserve"> (France); International Audio Laboratories Erlangen (Germany); Kwame Nkrumah University of Science and Technology (Ghana); Indian Council for Research on International Economic Relations (ICRIER) (India); Indian Institute of Science (India); National Institute of Public Finance and Policy (India); Centre for Tech and Innovation Management National Institute of Industrial Engineering (India); </w:t>
      </w:r>
      <w:proofErr w:type="spellStart"/>
      <w:r w:rsidR="00A60239" w:rsidRPr="007C6FDD">
        <w:rPr>
          <w:lang w:val="en-US"/>
        </w:rPr>
        <w:t>IoT</w:t>
      </w:r>
      <w:proofErr w:type="spellEnd"/>
      <w:r w:rsidR="00A60239" w:rsidRPr="007C6FDD">
        <w:rPr>
          <w:lang w:val="en-US"/>
        </w:rPr>
        <w:t xml:space="preserve"> Academy (Iran); Graduate School of Public Administration Seoul National University (Korea, Republic of); Palestine Technical University </w:t>
      </w:r>
      <w:proofErr w:type="spellStart"/>
      <w:r w:rsidR="00A60239" w:rsidRPr="007C6FDD">
        <w:rPr>
          <w:lang w:val="en-US"/>
        </w:rPr>
        <w:t>Kadoorie</w:t>
      </w:r>
      <w:proofErr w:type="spellEnd"/>
      <w:r w:rsidR="00A60239" w:rsidRPr="007C6FDD">
        <w:rPr>
          <w:lang w:val="en-US"/>
        </w:rPr>
        <w:t xml:space="preserve"> (Palestine, State); Arab American University (Palestine, State); National Institute of Telecommunications (Poland); Qatar University (Qatar); Saint-Petersburg State University of Aerospace Instrumentation (Russian Federation); </w:t>
      </w:r>
      <w:proofErr w:type="spellStart"/>
      <w:r w:rsidR="00A60239" w:rsidRPr="007C6FDD">
        <w:rPr>
          <w:lang w:val="en-US"/>
        </w:rPr>
        <w:t>Naif</w:t>
      </w:r>
      <w:proofErr w:type="spellEnd"/>
      <w:r w:rsidR="00A60239" w:rsidRPr="007C6FDD">
        <w:rPr>
          <w:lang w:val="en-US"/>
        </w:rPr>
        <w:t xml:space="preserve"> Arab University for Security Sciences (NAUSS) (Saudi Arabia); </w:t>
      </w:r>
      <w:r w:rsidR="002E4944" w:rsidRPr="007C6FDD">
        <w:rPr>
          <w:lang w:val="en-US"/>
        </w:rPr>
        <w:t xml:space="preserve">Centre </w:t>
      </w:r>
      <w:proofErr w:type="spellStart"/>
      <w:r w:rsidR="002E4944" w:rsidRPr="007C6FDD">
        <w:rPr>
          <w:lang w:val="en-US"/>
        </w:rPr>
        <w:t>d’Etudes</w:t>
      </w:r>
      <w:proofErr w:type="spellEnd"/>
      <w:r w:rsidR="002E4944" w:rsidRPr="007C6FDD">
        <w:rPr>
          <w:lang w:val="en-US"/>
        </w:rPr>
        <w:t xml:space="preserve"> et de </w:t>
      </w:r>
      <w:proofErr w:type="spellStart"/>
      <w:r w:rsidR="002E4944" w:rsidRPr="007C6FDD">
        <w:rPr>
          <w:lang w:val="en-US"/>
        </w:rPr>
        <w:t>Recherches</w:t>
      </w:r>
      <w:proofErr w:type="spellEnd"/>
      <w:r w:rsidR="002E4944" w:rsidRPr="007C6FDD">
        <w:rPr>
          <w:lang w:val="en-US"/>
        </w:rPr>
        <w:t xml:space="preserve"> des Telecommunications (CERT) (Tunisia); Florida Atlantic University (USA). </w:t>
      </w:r>
    </w:p>
    <w:p w14:paraId="1EAE2BD3" w14:textId="77777777" w:rsidR="00A60239" w:rsidRPr="00263754" w:rsidRDefault="00A60239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F2C7" w14:textId="77777777" w:rsidR="00DE42CA" w:rsidRPr="00D83BF5" w:rsidRDefault="00BD58E4" w:rsidP="00DE42CA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TDAG-19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>
      <w:rPr>
        <w:sz w:val="22"/>
        <w:szCs w:val="22"/>
        <w:lang w:val="es-ES_tradnl"/>
      </w:rPr>
      <w:t>20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30016A">
      <w:rPr>
        <w:noProof/>
        <w:sz w:val="22"/>
        <w:szCs w:val="22"/>
        <w:lang w:val="es-ES_tradnl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3C3"/>
    <w:multiLevelType w:val="hybridMultilevel"/>
    <w:tmpl w:val="DBF27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77860"/>
    <w:multiLevelType w:val="multilevel"/>
    <w:tmpl w:val="93F49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95B5483"/>
    <w:multiLevelType w:val="hybridMultilevel"/>
    <w:tmpl w:val="DCE6F10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CB7926"/>
    <w:multiLevelType w:val="multilevel"/>
    <w:tmpl w:val="DF7C2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517EF5"/>
    <w:multiLevelType w:val="hybridMultilevel"/>
    <w:tmpl w:val="3AB0EC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C6"/>
    <w:multiLevelType w:val="multilevel"/>
    <w:tmpl w:val="3A066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E4"/>
    <w:rsid w:val="00001931"/>
    <w:rsid w:val="00004867"/>
    <w:rsid w:val="0001452E"/>
    <w:rsid w:val="00015BB0"/>
    <w:rsid w:val="000347DA"/>
    <w:rsid w:val="000562E0"/>
    <w:rsid w:val="00060618"/>
    <w:rsid w:val="000648C2"/>
    <w:rsid w:val="00074382"/>
    <w:rsid w:val="00077300"/>
    <w:rsid w:val="00084D9E"/>
    <w:rsid w:val="000F77D6"/>
    <w:rsid w:val="0010309D"/>
    <w:rsid w:val="00105A8E"/>
    <w:rsid w:val="00114885"/>
    <w:rsid w:val="00161C25"/>
    <w:rsid w:val="00162032"/>
    <w:rsid w:val="001763FD"/>
    <w:rsid w:val="001B472E"/>
    <w:rsid w:val="001C23FB"/>
    <w:rsid w:val="001D6C63"/>
    <w:rsid w:val="001E7451"/>
    <w:rsid w:val="00212EC1"/>
    <w:rsid w:val="00217158"/>
    <w:rsid w:val="002336BF"/>
    <w:rsid w:val="00263754"/>
    <w:rsid w:val="00274970"/>
    <w:rsid w:val="00281739"/>
    <w:rsid w:val="00294431"/>
    <w:rsid w:val="002948E7"/>
    <w:rsid w:val="002C26C1"/>
    <w:rsid w:val="002D1EC1"/>
    <w:rsid w:val="002D5E37"/>
    <w:rsid w:val="002E4944"/>
    <w:rsid w:val="002F71F8"/>
    <w:rsid w:val="0030016A"/>
    <w:rsid w:val="00306307"/>
    <w:rsid w:val="003215EC"/>
    <w:rsid w:val="003237EC"/>
    <w:rsid w:val="0036008E"/>
    <w:rsid w:val="0036614E"/>
    <w:rsid w:val="00375275"/>
    <w:rsid w:val="00376ED9"/>
    <w:rsid w:val="003818DE"/>
    <w:rsid w:val="003824C0"/>
    <w:rsid w:val="00390A34"/>
    <w:rsid w:val="003910D5"/>
    <w:rsid w:val="003A0E11"/>
    <w:rsid w:val="003A2AAC"/>
    <w:rsid w:val="003A3A39"/>
    <w:rsid w:val="003C07B0"/>
    <w:rsid w:val="003D361F"/>
    <w:rsid w:val="003D752F"/>
    <w:rsid w:val="003D7E7A"/>
    <w:rsid w:val="0040554B"/>
    <w:rsid w:val="00412916"/>
    <w:rsid w:val="00424E41"/>
    <w:rsid w:val="004610EF"/>
    <w:rsid w:val="004B6D8C"/>
    <w:rsid w:val="004B7DBE"/>
    <w:rsid w:val="004D6515"/>
    <w:rsid w:val="0051042E"/>
    <w:rsid w:val="0051794A"/>
    <w:rsid w:val="00525FD2"/>
    <w:rsid w:val="00533982"/>
    <w:rsid w:val="00563A42"/>
    <w:rsid w:val="0056589C"/>
    <w:rsid w:val="00575F13"/>
    <w:rsid w:val="005942C0"/>
    <w:rsid w:val="005E48A1"/>
    <w:rsid w:val="006506D9"/>
    <w:rsid w:val="00655AE8"/>
    <w:rsid w:val="006570AC"/>
    <w:rsid w:val="00696EC8"/>
    <w:rsid w:val="006B3230"/>
    <w:rsid w:val="006B458E"/>
    <w:rsid w:val="006B64CB"/>
    <w:rsid w:val="006E0724"/>
    <w:rsid w:val="006E1980"/>
    <w:rsid w:val="006E537B"/>
    <w:rsid w:val="00715ECD"/>
    <w:rsid w:val="00751F59"/>
    <w:rsid w:val="00757D9F"/>
    <w:rsid w:val="00761BD4"/>
    <w:rsid w:val="00765334"/>
    <w:rsid w:val="007753E8"/>
    <w:rsid w:val="00786843"/>
    <w:rsid w:val="00791E76"/>
    <w:rsid w:val="007A5860"/>
    <w:rsid w:val="007C6FDD"/>
    <w:rsid w:val="007D29C2"/>
    <w:rsid w:val="007E0115"/>
    <w:rsid w:val="007E1A20"/>
    <w:rsid w:val="007E1FA5"/>
    <w:rsid w:val="007E6FA0"/>
    <w:rsid w:val="0080740A"/>
    <w:rsid w:val="00810256"/>
    <w:rsid w:val="0083705E"/>
    <w:rsid w:val="00857973"/>
    <w:rsid w:val="00864CBB"/>
    <w:rsid w:val="00865809"/>
    <w:rsid w:val="00894F79"/>
    <w:rsid w:val="008B2490"/>
    <w:rsid w:val="008C1398"/>
    <w:rsid w:val="008C4EF0"/>
    <w:rsid w:val="008D3E6E"/>
    <w:rsid w:val="0090366E"/>
    <w:rsid w:val="009164A7"/>
    <w:rsid w:val="00926854"/>
    <w:rsid w:val="00936CA3"/>
    <w:rsid w:val="00963ECF"/>
    <w:rsid w:val="009652F1"/>
    <w:rsid w:val="009917A6"/>
    <w:rsid w:val="009A207D"/>
    <w:rsid w:val="009C6C45"/>
    <w:rsid w:val="009E18E3"/>
    <w:rsid w:val="00A01AD1"/>
    <w:rsid w:val="00A252AE"/>
    <w:rsid w:val="00A33826"/>
    <w:rsid w:val="00A425E9"/>
    <w:rsid w:val="00A460C7"/>
    <w:rsid w:val="00A52C49"/>
    <w:rsid w:val="00A60239"/>
    <w:rsid w:val="00A66F47"/>
    <w:rsid w:val="00A96879"/>
    <w:rsid w:val="00AB61B1"/>
    <w:rsid w:val="00AD3D11"/>
    <w:rsid w:val="00AD56C6"/>
    <w:rsid w:val="00AD5B52"/>
    <w:rsid w:val="00AE1A1D"/>
    <w:rsid w:val="00AE456F"/>
    <w:rsid w:val="00B00959"/>
    <w:rsid w:val="00B01A32"/>
    <w:rsid w:val="00B244E4"/>
    <w:rsid w:val="00B24C0A"/>
    <w:rsid w:val="00B840B3"/>
    <w:rsid w:val="00BD58E4"/>
    <w:rsid w:val="00C107DF"/>
    <w:rsid w:val="00C25506"/>
    <w:rsid w:val="00C43143"/>
    <w:rsid w:val="00C5106A"/>
    <w:rsid w:val="00C71628"/>
    <w:rsid w:val="00C7167F"/>
    <w:rsid w:val="00C74B86"/>
    <w:rsid w:val="00C95202"/>
    <w:rsid w:val="00CD0246"/>
    <w:rsid w:val="00CD42D5"/>
    <w:rsid w:val="00D032C8"/>
    <w:rsid w:val="00D0463D"/>
    <w:rsid w:val="00D115AF"/>
    <w:rsid w:val="00D1289C"/>
    <w:rsid w:val="00D26B61"/>
    <w:rsid w:val="00D30253"/>
    <w:rsid w:val="00D40FFB"/>
    <w:rsid w:val="00D54ED7"/>
    <w:rsid w:val="00D647FE"/>
    <w:rsid w:val="00D91104"/>
    <w:rsid w:val="00DA5C18"/>
    <w:rsid w:val="00DA6A4D"/>
    <w:rsid w:val="00DC501C"/>
    <w:rsid w:val="00DD64B7"/>
    <w:rsid w:val="00DE1DA0"/>
    <w:rsid w:val="00DE42CA"/>
    <w:rsid w:val="00E00E49"/>
    <w:rsid w:val="00E24FCB"/>
    <w:rsid w:val="00E70B0F"/>
    <w:rsid w:val="00E7188C"/>
    <w:rsid w:val="00ED2010"/>
    <w:rsid w:val="00F26CD6"/>
    <w:rsid w:val="00F75B00"/>
    <w:rsid w:val="00F85EA1"/>
    <w:rsid w:val="00F861B0"/>
    <w:rsid w:val="00F902DB"/>
    <w:rsid w:val="00FA0640"/>
    <w:rsid w:val="00FA7725"/>
    <w:rsid w:val="00FB48F4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933191AB-E6CB-40C6-B667-546556B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BD58E4"/>
    <w:pPr>
      <w:tabs>
        <w:tab w:val="clear" w:pos="4680"/>
        <w:tab w:val="clear" w:pos="9360"/>
        <w:tab w:val="left" w:pos="1871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Source">
    <w:name w:val="Source"/>
    <w:basedOn w:val="Normal"/>
    <w:next w:val="Normal"/>
    <w:rsid w:val="00BD58E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BD58E4"/>
    <w:pPr>
      <w:spacing w:before="240"/>
    </w:pPr>
    <w:rPr>
      <w:b w:val="0"/>
      <w:caps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BD58E4"/>
    <w:pPr>
      <w:ind w:left="720"/>
      <w:contextualSpacing/>
    </w:pPr>
  </w:style>
  <w:style w:type="paragraph" w:customStyle="1" w:styleId="Committee">
    <w:name w:val="Committee"/>
    <w:basedOn w:val="Normal"/>
    <w:qFormat/>
    <w:rsid w:val="00BD58E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BD58E4"/>
    <w:rPr>
      <w:color w:val="0000FF"/>
      <w:u w:val="single"/>
    </w:rPr>
  </w:style>
  <w:style w:type="paragraph" w:customStyle="1" w:styleId="CEONormal">
    <w:name w:val="CEO_Normal"/>
    <w:link w:val="CEONormalChar"/>
    <w:rsid w:val="00BD58E4"/>
    <w:pPr>
      <w:spacing w:before="120" w:after="120"/>
    </w:pPr>
    <w:rPr>
      <w:rFonts w:ascii="Calibri" w:eastAsia="SimSun" w:hAnsi="Calibri" w:cs="Simplified Arabic"/>
      <w:sz w:val="22"/>
      <w:szCs w:val="19"/>
      <w:lang w:val="en-GB"/>
    </w:rPr>
  </w:style>
  <w:style w:type="character" w:customStyle="1" w:styleId="CEONormalChar">
    <w:name w:val="CEO_Normal Char"/>
    <w:basedOn w:val="DefaultParagraphFont"/>
    <w:link w:val="CEONormal"/>
    <w:locked/>
    <w:rsid w:val="00BD58E4"/>
    <w:rPr>
      <w:rFonts w:ascii="Calibri" w:eastAsia="SimSun" w:hAnsi="Calibri" w:cs="Simplified Arabic"/>
      <w:sz w:val="22"/>
      <w:szCs w:val="19"/>
      <w:lang w:val="en-GB"/>
    </w:rPr>
  </w:style>
  <w:style w:type="paragraph" w:styleId="NormalWeb">
    <w:name w:val="Normal (Web)"/>
    <w:basedOn w:val="Normal"/>
    <w:uiPriority w:val="99"/>
    <w:unhideWhenUsed/>
    <w:rsid w:val="00BD58E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D58E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D58E4"/>
    <w:rPr>
      <w:rFonts w:ascii="Calibri" w:eastAsiaTheme="minorEastAsia" w:hAnsi="Calibri"/>
      <w:sz w:val="22"/>
      <w:szCs w:val="21"/>
      <w:lang w:eastAsia="zh-CN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BD58E4"/>
    <w:rPr>
      <w:rFonts w:eastAsia="Times New Roman" w:cs="Times New Roman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D58E4"/>
    <w:rPr>
      <w:b/>
      <w:bCs/>
    </w:rPr>
  </w:style>
  <w:style w:type="character" w:customStyle="1" w:styleId="ms-rtefontsize-1">
    <w:name w:val="ms-rtefontsize-1"/>
    <w:basedOn w:val="DefaultParagraphFont"/>
    <w:rsid w:val="00BD58E4"/>
  </w:style>
  <w:style w:type="paragraph" w:styleId="Footer">
    <w:name w:val="footer"/>
    <w:basedOn w:val="Normal"/>
    <w:link w:val="FooterChar"/>
    <w:uiPriority w:val="99"/>
    <w:unhideWhenUsed/>
    <w:rsid w:val="00BD58E4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58E4"/>
    <w:rPr>
      <w:rFonts w:eastAsia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E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37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F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FCB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FCB"/>
    <w:rPr>
      <w:rFonts w:eastAsia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456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456F"/>
    <w:rPr>
      <w:rFonts w:eastAsia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1D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0E49"/>
    <w:rPr>
      <w:rFonts w:eastAsia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59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59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009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pages/impact-study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d/opb/gen/D-GEN-ICT_SDGS.01-2017-PDF-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d/opb/gen/D-GEN-ICT_SDGS.01-2017-PDF-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D/Membership/Pages/default.aspx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eun-ju.kim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1"/>
              <a:t>ITU-D</a:t>
            </a:r>
            <a:r>
              <a:rPr lang="en-GB" sz="1000" b="1" baseline="0"/>
              <a:t> Membership (2008-2018)</a:t>
            </a:r>
            <a:endParaRPr lang="en-GB" sz="1000" b="1"/>
          </a:p>
        </c:rich>
      </c:tx>
      <c:layout>
        <c:manualLayout>
          <c:xMode val="edge"/>
          <c:yMode val="edge"/>
          <c:x val="0.3463544020743630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Sector Members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308</c:v>
                </c:pt>
                <c:pt idx="1">
                  <c:v>316</c:v>
                </c:pt>
                <c:pt idx="2">
                  <c:v>311</c:v>
                </c:pt>
                <c:pt idx="3">
                  <c:v>323</c:v>
                </c:pt>
                <c:pt idx="4">
                  <c:v>330</c:v>
                </c:pt>
                <c:pt idx="5">
                  <c:v>346</c:v>
                </c:pt>
                <c:pt idx="6">
                  <c:v>338</c:v>
                </c:pt>
                <c:pt idx="7">
                  <c:v>340</c:v>
                </c:pt>
                <c:pt idx="8">
                  <c:v>331</c:v>
                </c:pt>
                <c:pt idx="9">
                  <c:v>318</c:v>
                </c:pt>
                <c:pt idx="10">
                  <c:v>310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1C1-4EFC-BEAB-44130E6DE38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Associates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12</c:v>
                </c:pt>
                <c:pt idx="10">
                  <c:v>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1C1-4EFC-BEAB-44130E6DE38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Academia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  <c:pt idx="4">
                  <c:v>36</c:v>
                </c:pt>
                <c:pt idx="5">
                  <c:v>45</c:v>
                </c:pt>
                <c:pt idx="6">
                  <c:v>86</c:v>
                </c:pt>
                <c:pt idx="7">
                  <c:v>109</c:v>
                </c:pt>
                <c:pt idx="8">
                  <c:v>107</c:v>
                </c:pt>
                <c:pt idx="9">
                  <c:v>125</c:v>
                </c:pt>
                <c:pt idx="10">
                  <c:v>156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1C1-4EFC-BEAB-44130E6DE38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TOTAL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Sheet1!$B$5:$L$5</c:f>
              <c:numCache>
                <c:formatCode>General</c:formatCode>
                <c:ptCount val="11"/>
                <c:pt idx="0">
                  <c:v>311</c:v>
                </c:pt>
                <c:pt idx="1">
                  <c:v>319</c:v>
                </c:pt>
                <c:pt idx="2">
                  <c:v>316</c:v>
                </c:pt>
                <c:pt idx="3">
                  <c:v>354</c:v>
                </c:pt>
                <c:pt idx="4">
                  <c:v>373</c:v>
                </c:pt>
                <c:pt idx="5">
                  <c:v>400</c:v>
                </c:pt>
                <c:pt idx="6">
                  <c:v>434</c:v>
                </c:pt>
                <c:pt idx="7">
                  <c:v>460</c:v>
                </c:pt>
                <c:pt idx="8">
                  <c:v>450</c:v>
                </c:pt>
                <c:pt idx="9">
                  <c:v>455</c:v>
                </c:pt>
                <c:pt idx="10">
                  <c:v>480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1C1-4EFC-BEAB-44130E6DE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5362344"/>
        <c:axId val="295365728"/>
      </c:lineChart>
      <c:catAx>
        <c:axId val="295362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365728"/>
        <c:crosses val="autoZero"/>
        <c:auto val="1"/>
        <c:lblAlgn val="ctr"/>
        <c:lblOffset val="100"/>
        <c:noMultiLvlLbl val="0"/>
      </c:catAx>
      <c:valAx>
        <c:axId val="29536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362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B58F-0887-4130-AC6C-C055F31D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donis sadushaj</dc:creator>
  <cp:keywords/>
  <dc:description/>
  <cp:lastModifiedBy>BDT</cp:lastModifiedBy>
  <cp:revision>6</cp:revision>
  <cp:lastPrinted>2019-02-12T15:13:00Z</cp:lastPrinted>
  <dcterms:created xsi:type="dcterms:W3CDTF">2019-02-15T15:29:00Z</dcterms:created>
  <dcterms:modified xsi:type="dcterms:W3CDTF">2019-02-21T12:15:00Z</dcterms:modified>
</cp:coreProperties>
</file>