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921A9D" w:rsidTr="006D7E3A">
        <w:trPr>
          <w:cantSplit/>
          <w:trHeight w:val="1134"/>
        </w:trPr>
        <w:tc>
          <w:tcPr>
            <w:tcW w:w="7251" w:type="dxa"/>
          </w:tcPr>
          <w:p w:rsidR="0021438F" w:rsidRPr="00921A9D" w:rsidRDefault="0021438F" w:rsidP="00156BF6">
            <w:pPr>
              <w:tabs>
                <w:tab w:val="left" w:pos="1871"/>
                <w:tab w:val="left" w:pos="2268"/>
              </w:tabs>
              <w:spacing w:before="20" w:after="48" w:line="240" w:lineRule="atLeast"/>
              <w:ind w:left="34"/>
              <w:rPr>
                <w:b/>
                <w:bCs/>
                <w:sz w:val="32"/>
                <w:szCs w:val="32"/>
              </w:rPr>
            </w:pPr>
            <w:r w:rsidRPr="00921A9D">
              <w:rPr>
                <w:b/>
                <w:sz w:val="32"/>
                <w:szCs w:val="32"/>
              </w:rPr>
              <w:t>Groupe</w:t>
            </w:r>
            <w:r w:rsidRPr="00921A9D">
              <w:rPr>
                <w:b/>
                <w:bCs/>
                <w:sz w:val="32"/>
                <w:szCs w:val="32"/>
              </w:rPr>
              <w:t xml:space="preserve"> consultatif pour le développement </w:t>
            </w:r>
            <w:r w:rsidRPr="00921A9D">
              <w:rPr>
                <w:b/>
                <w:bCs/>
                <w:sz w:val="32"/>
                <w:szCs w:val="32"/>
              </w:rPr>
              <w:br/>
              <w:t>des télécommunications (GCDT)</w:t>
            </w:r>
          </w:p>
          <w:p w:rsidR="0021438F" w:rsidRPr="00921A9D" w:rsidRDefault="00D87E6C" w:rsidP="009E2E4A">
            <w:pPr>
              <w:tabs>
                <w:tab w:val="clear" w:pos="1191"/>
                <w:tab w:val="clear" w:pos="1588"/>
                <w:tab w:val="clear" w:pos="1985"/>
              </w:tabs>
              <w:spacing w:before="100" w:after="120"/>
              <w:ind w:left="34"/>
              <w:rPr>
                <w:rFonts w:ascii="Verdana" w:hAnsi="Verdana"/>
                <w:sz w:val="28"/>
                <w:szCs w:val="28"/>
              </w:rPr>
            </w:pPr>
            <w:r w:rsidRPr="00921A9D">
              <w:rPr>
                <w:b/>
                <w:bCs/>
                <w:sz w:val="26"/>
                <w:szCs w:val="26"/>
              </w:rPr>
              <w:t>24ème réunion, Genève, 3-5 avril 2019</w:t>
            </w:r>
          </w:p>
        </w:tc>
        <w:tc>
          <w:tcPr>
            <w:tcW w:w="2996" w:type="dxa"/>
          </w:tcPr>
          <w:p w:rsidR="0021438F" w:rsidRPr="00921A9D" w:rsidRDefault="00D87E6C" w:rsidP="00107E85">
            <w:pPr>
              <w:spacing w:before="0"/>
              <w:ind w:right="142"/>
              <w:jc w:val="right"/>
            </w:pPr>
            <w:r w:rsidRPr="00921A9D">
              <w:rPr>
                <w:noProof/>
                <w:color w:val="3399FF"/>
                <w:lang w:val="en-GB"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21A9D" w:rsidTr="000C61E9">
        <w:trPr>
          <w:cantSplit/>
        </w:trPr>
        <w:tc>
          <w:tcPr>
            <w:tcW w:w="7251" w:type="dxa"/>
            <w:tcBorders>
              <w:top w:val="single" w:sz="12" w:space="0" w:color="auto"/>
            </w:tcBorders>
          </w:tcPr>
          <w:p w:rsidR="00683C32" w:rsidRPr="00921A9D" w:rsidRDefault="00683C32" w:rsidP="00107E85">
            <w:pPr>
              <w:spacing w:before="0"/>
              <w:rPr>
                <w:rFonts w:cs="Arial"/>
                <w:b/>
                <w:bCs/>
                <w:sz w:val="20"/>
              </w:rPr>
            </w:pPr>
          </w:p>
        </w:tc>
        <w:tc>
          <w:tcPr>
            <w:tcW w:w="2996" w:type="dxa"/>
            <w:tcBorders>
              <w:top w:val="single" w:sz="12" w:space="0" w:color="auto"/>
            </w:tcBorders>
          </w:tcPr>
          <w:p w:rsidR="00683C32" w:rsidRPr="00921A9D" w:rsidRDefault="00683C32" w:rsidP="00107E85">
            <w:pPr>
              <w:spacing w:before="0"/>
              <w:rPr>
                <w:b/>
                <w:bCs/>
                <w:sz w:val="20"/>
              </w:rPr>
            </w:pPr>
          </w:p>
        </w:tc>
      </w:tr>
      <w:tr w:rsidR="00683C32" w:rsidRPr="00921A9D" w:rsidTr="000C61E9">
        <w:trPr>
          <w:cantSplit/>
        </w:trPr>
        <w:tc>
          <w:tcPr>
            <w:tcW w:w="7251" w:type="dxa"/>
          </w:tcPr>
          <w:p w:rsidR="00683C32" w:rsidRPr="00921A9D" w:rsidRDefault="00683C32" w:rsidP="00400CCF">
            <w:pPr>
              <w:pStyle w:val="Committee"/>
              <w:spacing w:before="0"/>
              <w:rPr>
                <w:b w:val="0"/>
                <w:szCs w:val="24"/>
              </w:rPr>
            </w:pPr>
          </w:p>
        </w:tc>
        <w:tc>
          <w:tcPr>
            <w:tcW w:w="2996" w:type="dxa"/>
          </w:tcPr>
          <w:p w:rsidR="00683C32" w:rsidRPr="00921A9D" w:rsidRDefault="00323587" w:rsidP="00D87E6C">
            <w:pPr>
              <w:spacing w:before="0"/>
              <w:rPr>
                <w:bCs/>
                <w:szCs w:val="24"/>
              </w:rPr>
            </w:pPr>
            <w:r w:rsidRPr="00921A9D">
              <w:rPr>
                <w:b/>
                <w:bCs/>
                <w:szCs w:val="28"/>
              </w:rPr>
              <w:t xml:space="preserve">Document </w:t>
            </w:r>
            <w:bookmarkStart w:id="0" w:name="DocRef1"/>
            <w:bookmarkEnd w:id="0"/>
            <w:r w:rsidRPr="00921A9D">
              <w:rPr>
                <w:b/>
                <w:bCs/>
                <w:szCs w:val="28"/>
              </w:rPr>
              <w:t>TDAG</w:t>
            </w:r>
            <w:r w:rsidR="008F20EB" w:rsidRPr="00921A9D">
              <w:rPr>
                <w:b/>
                <w:bCs/>
                <w:szCs w:val="28"/>
              </w:rPr>
              <w:t>-</w:t>
            </w:r>
            <w:r w:rsidRPr="00921A9D">
              <w:rPr>
                <w:b/>
                <w:bCs/>
                <w:szCs w:val="28"/>
              </w:rPr>
              <w:t>1</w:t>
            </w:r>
            <w:r w:rsidR="00D87E6C" w:rsidRPr="00921A9D">
              <w:rPr>
                <w:b/>
                <w:bCs/>
                <w:szCs w:val="28"/>
              </w:rPr>
              <w:t>9</w:t>
            </w:r>
            <w:r w:rsidRPr="00921A9D">
              <w:rPr>
                <w:b/>
                <w:bCs/>
                <w:szCs w:val="28"/>
              </w:rPr>
              <w:t>/</w:t>
            </w:r>
            <w:bookmarkStart w:id="1" w:name="DocNo1"/>
            <w:bookmarkEnd w:id="1"/>
            <w:r w:rsidR="00E055CF" w:rsidRPr="00921A9D">
              <w:rPr>
                <w:b/>
                <w:bCs/>
                <w:szCs w:val="28"/>
              </w:rPr>
              <w:t>20</w:t>
            </w:r>
            <w:r w:rsidRPr="00921A9D">
              <w:rPr>
                <w:b/>
                <w:bCs/>
                <w:szCs w:val="28"/>
              </w:rPr>
              <w:t>-F</w:t>
            </w:r>
          </w:p>
        </w:tc>
      </w:tr>
      <w:tr w:rsidR="00683C32" w:rsidRPr="00921A9D" w:rsidTr="000C61E9">
        <w:trPr>
          <w:cantSplit/>
        </w:trPr>
        <w:tc>
          <w:tcPr>
            <w:tcW w:w="7251" w:type="dxa"/>
          </w:tcPr>
          <w:p w:rsidR="00683C32" w:rsidRPr="00921A9D" w:rsidRDefault="00683C32" w:rsidP="00400CCF">
            <w:pPr>
              <w:spacing w:before="0"/>
              <w:rPr>
                <w:b/>
                <w:bCs/>
                <w:smallCaps/>
                <w:szCs w:val="24"/>
              </w:rPr>
            </w:pPr>
          </w:p>
        </w:tc>
        <w:tc>
          <w:tcPr>
            <w:tcW w:w="2996" w:type="dxa"/>
          </w:tcPr>
          <w:p w:rsidR="00683C32" w:rsidRPr="00921A9D" w:rsidRDefault="00E055CF" w:rsidP="0088152C">
            <w:pPr>
              <w:spacing w:before="0"/>
              <w:rPr>
                <w:b/>
                <w:szCs w:val="24"/>
              </w:rPr>
            </w:pPr>
            <w:bookmarkStart w:id="2" w:name="CreationDate"/>
            <w:bookmarkEnd w:id="2"/>
            <w:r w:rsidRPr="00921A9D">
              <w:rPr>
                <w:b/>
                <w:bCs/>
                <w:szCs w:val="28"/>
              </w:rPr>
              <w:t>2</w:t>
            </w:r>
            <w:r w:rsidR="0088152C" w:rsidRPr="00921A9D">
              <w:rPr>
                <w:b/>
                <w:bCs/>
                <w:szCs w:val="28"/>
              </w:rPr>
              <w:t>1</w:t>
            </w:r>
            <w:r w:rsidRPr="00921A9D">
              <w:rPr>
                <w:b/>
                <w:bCs/>
                <w:szCs w:val="28"/>
              </w:rPr>
              <w:t xml:space="preserve"> février</w:t>
            </w:r>
            <w:r w:rsidR="00323587" w:rsidRPr="00921A9D">
              <w:rPr>
                <w:b/>
                <w:bCs/>
                <w:szCs w:val="28"/>
              </w:rPr>
              <w:t xml:space="preserve"> 201</w:t>
            </w:r>
            <w:r w:rsidR="00D87E6C" w:rsidRPr="00921A9D">
              <w:rPr>
                <w:b/>
                <w:bCs/>
                <w:szCs w:val="28"/>
              </w:rPr>
              <w:t>9</w:t>
            </w:r>
          </w:p>
        </w:tc>
      </w:tr>
      <w:tr w:rsidR="00683C32" w:rsidRPr="00921A9D" w:rsidTr="000C61E9">
        <w:trPr>
          <w:cantSplit/>
        </w:trPr>
        <w:tc>
          <w:tcPr>
            <w:tcW w:w="7251" w:type="dxa"/>
          </w:tcPr>
          <w:p w:rsidR="00683C32" w:rsidRPr="00921A9D" w:rsidRDefault="00683C32" w:rsidP="00400CCF">
            <w:pPr>
              <w:spacing w:before="0"/>
              <w:rPr>
                <w:b/>
                <w:bCs/>
                <w:smallCaps/>
                <w:szCs w:val="24"/>
              </w:rPr>
            </w:pPr>
          </w:p>
        </w:tc>
        <w:tc>
          <w:tcPr>
            <w:tcW w:w="2996" w:type="dxa"/>
          </w:tcPr>
          <w:p w:rsidR="00514D2F" w:rsidRPr="00921A9D" w:rsidRDefault="00323587" w:rsidP="00400CCF">
            <w:pPr>
              <w:spacing w:before="0"/>
              <w:rPr>
                <w:szCs w:val="24"/>
              </w:rPr>
            </w:pPr>
            <w:r w:rsidRPr="00921A9D">
              <w:rPr>
                <w:b/>
                <w:szCs w:val="28"/>
              </w:rPr>
              <w:t>Original:</w:t>
            </w:r>
            <w:bookmarkStart w:id="3" w:name="Original"/>
            <w:bookmarkEnd w:id="3"/>
            <w:r w:rsidR="00E055CF" w:rsidRPr="00921A9D">
              <w:rPr>
                <w:b/>
                <w:szCs w:val="28"/>
              </w:rPr>
              <w:t xml:space="preserve"> anglais</w:t>
            </w:r>
          </w:p>
        </w:tc>
      </w:tr>
      <w:tr w:rsidR="00A13162" w:rsidRPr="00921A9D" w:rsidTr="000C61E9">
        <w:trPr>
          <w:cantSplit/>
          <w:trHeight w:val="852"/>
        </w:trPr>
        <w:tc>
          <w:tcPr>
            <w:tcW w:w="10247" w:type="dxa"/>
            <w:gridSpan w:val="2"/>
          </w:tcPr>
          <w:p w:rsidR="00A13162" w:rsidRPr="00921A9D" w:rsidRDefault="00E055CF" w:rsidP="00D90E76">
            <w:pPr>
              <w:pStyle w:val="Source"/>
            </w:pPr>
            <w:bookmarkStart w:id="4" w:name="Source"/>
            <w:bookmarkEnd w:id="4"/>
            <w:r w:rsidRPr="00921A9D">
              <w:t>Directrice du Bureau de développement des télécommunications</w:t>
            </w:r>
          </w:p>
        </w:tc>
      </w:tr>
      <w:tr w:rsidR="00AC6F14" w:rsidRPr="00921A9D" w:rsidTr="000C61E9">
        <w:trPr>
          <w:cantSplit/>
        </w:trPr>
        <w:tc>
          <w:tcPr>
            <w:tcW w:w="10247" w:type="dxa"/>
            <w:gridSpan w:val="2"/>
          </w:tcPr>
          <w:p w:rsidR="00AC6F14" w:rsidRPr="00921A9D" w:rsidRDefault="00E055CF" w:rsidP="0030353C">
            <w:pPr>
              <w:pStyle w:val="Title1"/>
            </w:pPr>
            <w:bookmarkStart w:id="5" w:name="Title"/>
            <w:bookmarkEnd w:id="5"/>
            <w:r w:rsidRPr="00921A9D">
              <w:t xml:space="preserve">COMPOSITION </w:t>
            </w:r>
            <w:r w:rsidR="004E3B74">
              <w:t xml:space="preserve">DU SECTEUR </w:t>
            </w:r>
            <w:bookmarkStart w:id="6" w:name="_GoBack"/>
            <w:bookmarkEnd w:id="6"/>
            <w:r w:rsidRPr="00921A9D">
              <w:t>DE L</w:t>
            </w:r>
            <w:r w:rsidR="005C189C" w:rsidRPr="00921A9D">
              <w:t>'</w:t>
            </w:r>
            <w:r w:rsidRPr="00921A9D">
              <w:t>UIT-D</w:t>
            </w:r>
          </w:p>
        </w:tc>
      </w:tr>
      <w:tr w:rsidR="00A721F4" w:rsidRPr="00921A9D" w:rsidTr="000C61E9">
        <w:trPr>
          <w:cantSplit/>
        </w:trPr>
        <w:tc>
          <w:tcPr>
            <w:tcW w:w="10247" w:type="dxa"/>
            <w:gridSpan w:val="2"/>
            <w:tcBorders>
              <w:bottom w:val="single" w:sz="4" w:space="0" w:color="auto"/>
            </w:tcBorders>
          </w:tcPr>
          <w:p w:rsidR="00A721F4" w:rsidRPr="00921A9D" w:rsidRDefault="00A721F4" w:rsidP="0030353C"/>
        </w:tc>
      </w:tr>
      <w:tr w:rsidR="00A721F4" w:rsidRPr="00921A9D"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921A9D" w:rsidRDefault="00156BF6" w:rsidP="00984929">
            <w:pPr>
              <w:rPr>
                <w:b/>
                <w:bCs/>
                <w:szCs w:val="24"/>
              </w:rPr>
            </w:pPr>
            <w:r w:rsidRPr="00921A9D">
              <w:rPr>
                <w:b/>
                <w:bCs/>
                <w:szCs w:val="24"/>
              </w:rPr>
              <w:t>Résumé:</w:t>
            </w:r>
          </w:p>
          <w:p w:rsidR="00A721F4" w:rsidRPr="00921A9D" w:rsidRDefault="00E055CF" w:rsidP="0088152C">
            <w:pPr>
              <w:rPr>
                <w:szCs w:val="24"/>
              </w:rPr>
            </w:pPr>
            <w:r w:rsidRPr="00921A9D">
              <w:rPr>
                <w:szCs w:val="24"/>
              </w:rPr>
              <w:t>Le Secteur de l</w:t>
            </w:r>
            <w:r w:rsidR="005C189C" w:rsidRPr="00921A9D">
              <w:rPr>
                <w:szCs w:val="24"/>
              </w:rPr>
              <w:t>'</w:t>
            </w:r>
            <w:r w:rsidRPr="00921A9D">
              <w:rPr>
                <w:szCs w:val="24"/>
              </w:rPr>
              <w:t>UIT-D est composé de Membres de Secteur, d</w:t>
            </w:r>
            <w:r w:rsidR="005C189C" w:rsidRPr="00921A9D">
              <w:rPr>
                <w:szCs w:val="24"/>
              </w:rPr>
              <w:t>'</w:t>
            </w:r>
            <w:r w:rsidRPr="00921A9D">
              <w:rPr>
                <w:szCs w:val="24"/>
              </w:rPr>
              <w:t>Associés et d</w:t>
            </w:r>
            <w:r w:rsidR="005C189C" w:rsidRPr="00921A9D">
              <w:rPr>
                <w:szCs w:val="24"/>
              </w:rPr>
              <w:t>'</w:t>
            </w:r>
            <w:r w:rsidRPr="00921A9D">
              <w:rPr>
                <w:szCs w:val="24"/>
              </w:rPr>
              <w:t>établissements universitaires. Le présent document donne un aperçu de l</w:t>
            </w:r>
            <w:r w:rsidR="005C189C" w:rsidRPr="00921A9D">
              <w:rPr>
                <w:szCs w:val="24"/>
              </w:rPr>
              <w:t>'</w:t>
            </w:r>
            <w:r w:rsidRPr="00921A9D">
              <w:rPr>
                <w:szCs w:val="24"/>
              </w:rPr>
              <w:t>évolution de la composition de l</w:t>
            </w:r>
            <w:r w:rsidR="005C189C" w:rsidRPr="00921A9D">
              <w:rPr>
                <w:szCs w:val="24"/>
              </w:rPr>
              <w:t>'</w:t>
            </w:r>
            <w:r w:rsidRPr="00921A9D">
              <w:rPr>
                <w:szCs w:val="24"/>
              </w:rPr>
              <w:t>UIT-D ainsi que des initiatives et mesures à mettre en œuvre pour renforcer la composition de l</w:t>
            </w:r>
            <w:r w:rsidR="005C189C" w:rsidRPr="00921A9D">
              <w:rPr>
                <w:szCs w:val="24"/>
              </w:rPr>
              <w:t>'</w:t>
            </w:r>
            <w:r w:rsidRPr="00921A9D">
              <w:rPr>
                <w:szCs w:val="24"/>
              </w:rPr>
              <w:t>UIT-D conformément aux résultats de la CMDT-17 et de la PP</w:t>
            </w:r>
            <w:r w:rsidR="0088152C" w:rsidRPr="00921A9D">
              <w:rPr>
                <w:szCs w:val="24"/>
              </w:rPr>
              <w:t>-</w:t>
            </w:r>
            <w:r w:rsidRPr="00921A9D">
              <w:rPr>
                <w:szCs w:val="24"/>
              </w:rPr>
              <w:t>18.</w:t>
            </w:r>
          </w:p>
          <w:p w:rsidR="00A721F4" w:rsidRPr="00921A9D" w:rsidRDefault="00156BF6" w:rsidP="00A721F4">
            <w:pPr>
              <w:rPr>
                <w:b/>
                <w:bCs/>
                <w:szCs w:val="24"/>
              </w:rPr>
            </w:pPr>
            <w:r w:rsidRPr="00921A9D">
              <w:rPr>
                <w:b/>
                <w:bCs/>
                <w:szCs w:val="24"/>
              </w:rPr>
              <w:t>Suite à donner:</w:t>
            </w:r>
          </w:p>
          <w:p w:rsidR="00A721F4" w:rsidRPr="00921A9D" w:rsidRDefault="00E055CF" w:rsidP="00A721F4">
            <w:pPr>
              <w:rPr>
                <w:szCs w:val="24"/>
              </w:rPr>
            </w:pPr>
            <w:r w:rsidRPr="00921A9D">
              <w:rPr>
                <w:szCs w:val="24"/>
              </w:rPr>
              <w:t>Le GCDT est invité à prendre note du présent document et à fournir les orientations qu</w:t>
            </w:r>
            <w:r w:rsidR="005C189C" w:rsidRPr="00921A9D">
              <w:rPr>
                <w:szCs w:val="24"/>
              </w:rPr>
              <w:t>'</w:t>
            </w:r>
            <w:r w:rsidRPr="00921A9D">
              <w:rPr>
                <w:szCs w:val="24"/>
              </w:rPr>
              <w:t>il jugera nécessaires.</w:t>
            </w:r>
          </w:p>
          <w:p w:rsidR="00A721F4" w:rsidRPr="00921A9D" w:rsidRDefault="00156BF6" w:rsidP="00A721F4">
            <w:pPr>
              <w:rPr>
                <w:b/>
                <w:bCs/>
                <w:szCs w:val="24"/>
              </w:rPr>
            </w:pPr>
            <w:r w:rsidRPr="00921A9D">
              <w:rPr>
                <w:b/>
                <w:bCs/>
                <w:szCs w:val="24"/>
              </w:rPr>
              <w:t>Références:</w:t>
            </w:r>
          </w:p>
          <w:p w:rsidR="00A721F4" w:rsidRPr="00921A9D" w:rsidRDefault="00E055CF" w:rsidP="00E055CF">
            <w:pPr>
              <w:spacing w:after="120"/>
            </w:pPr>
            <w:r w:rsidRPr="00921A9D">
              <w:t xml:space="preserve">Résolution 71 (Rév. Buenos Aires, 2017) de la CMDT; </w:t>
            </w:r>
            <w:r w:rsidR="009F277A" w:rsidRPr="00921A9D">
              <w:br/>
            </w:r>
            <w:r w:rsidRPr="00921A9D">
              <w:t>Résolutions 169 (Rév. Dubaï, 2018), 209 (Dubaï, 2018) et 205 (Dubaï, 2018) de la Conférence de plénipotentiaires.</w:t>
            </w:r>
          </w:p>
        </w:tc>
      </w:tr>
    </w:tbl>
    <w:p w:rsidR="00E055CF" w:rsidRPr="00921A9D" w:rsidRDefault="00E055CF" w:rsidP="00935FF0">
      <w:r w:rsidRPr="00921A9D">
        <w:br w:type="page"/>
      </w:r>
    </w:p>
    <w:p w:rsidR="00E055CF" w:rsidRPr="00921A9D" w:rsidRDefault="00E055CF" w:rsidP="00E055CF">
      <w:pPr>
        <w:pStyle w:val="Heading1"/>
      </w:pPr>
      <w:r w:rsidRPr="00921A9D">
        <w:lastRenderedPageBreak/>
        <w:t>1</w:t>
      </w:r>
      <w:r w:rsidRPr="00921A9D">
        <w:tab/>
        <w:t>Rappel</w:t>
      </w:r>
    </w:p>
    <w:p w:rsidR="00E055CF" w:rsidRPr="00921A9D" w:rsidRDefault="00E055CF" w:rsidP="00E055CF">
      <w:pPr>
        <w:rPr>
          <w:color w:val="000000"/>
        </w:rPr>
      </w:pPr>
      <w:r w:rsidRPr="00921A9D">
        <w:t>La Conférence mondiale de développement des télécommunications tenue en 2017 (CMDT-17) a modifié et adopté la Résolution 71 (Rév. Buenos Aires, 2017) afin d</w:t>
      </w:r>
      <w:r w:rsidR="005C189C" w:rsidRPr="00921A9D">
        <w:t>'</w:t>
      </w:r>
      <w:r w:rsidRPr="00921A9D">
        <w:t>encourager l</w:t>
      </w:r>
      <w:r w:rsidR="005C189C" w:rsidRPr="00921A9D">
        <w:t>'</w:t>
      </w:r>
      <w:r w:rsidRPr="00921A9D">
        <w:t>implication active des Membres de Secteur, des Associés et des établissements universitaires participant aux travaux de l</w:t>
      </w:r>
      <w:r w:rsidR="005C189C" w:rsidRPr="00921A9D">
        <w:t>'</w:t>
      </w:r>
      <w:r w:rsidRPr="00921A9D">
        <w:t>UIT-D actuels dans les activités de ce Secteur, et notamment dans les travaux des Commissions d</w:t>
      </w:r>
      <w:r w:rsidR="005C189C" w:rsidRPr="00921A9D">
        <w:t>'</w:t>
      </w:r>
      <w:r w:rsidRPr="00921A9D">
        <w:t>études de l</w:t>
      </w:r>
      <w:r w:rsidR="005C189C" w:rsidRPr="00921A9D">
        <w:t>'</w:t>
      </w:r>
      <w:r w:rsidRPr="00921A9D">
        <w:t>UIT-D, et en vue d</w:t>
      </w:r>
      <w:r w:rsidR="005C189C" w:rsidRPr="00921A9D">
        <w:t>'</w:t>
      </w:r>
      <w:r w:rsidRPr="00921A9D">
        <w:t>engager des acteurs des secteurs public, privé et universitaire à devenir membres</w:t>
      </w:r>
      <w:r w:rsidRPr="00921A9D">
        <w:rPr>
          <w:color w:val="000000"/>
        </w:rPr>
        <w:t>.</w:t>
      </w:r>
    </w:p>
    <w:p w:rsidR="00E055CF" w:rsidRPr="00921A9D" w:rsidRDefault="00E055CF" w:rsidP="00E055CF">
      <w:r w:rsidRPr="00921A9D">
        <w:rPr>
          <w:color w:val="000000"/>
        </w:rPr>
        <w:t>La Résolution 71 accorde également une attention accrue au rôle, en constante évolution, du secteur privé dans les travaux du Secteur de l</w:t>
      </w:r>
      <w:r w:rsidR="005C189C" w:rsidRPr="00921A9D">
        <w:rPr>
          <w:color w:val="000000"/>
        </w:rPr>
        <w:t>'</w:t>
      </w:r>
      <w:r w:rsidRPr="00921A9D">
        <w:rPr>
          <w:color w:val="000000"/>
        </w:rPr>
        <w:t>UIT-D en demandant, notamment, la création du Groupe consultatif de professionnels chargé des questions de développement (IAGDI), encourageant ainsi la participation d</w:t>
      </w:r>
      <w:r w:rsidR="005C189C" w:rsidRPr="00921A9D">
        <w:rPr>
          <w:color w:val="000000"/>
        </w:rPr>
        <w:t>'</w:t>
      </w:r>
      <w:r w:rsidRPr="00921A9D">
        <w:rPr>
          <w:color w:val="000000"/>
        </w:rPr>
        <w:t>un large éventail de représentants du secteur privé, parmi les Membres du Secteur de l</w:t>
      </w:r>
      <w:r w:rsidR="005C189C" w:rsidRPr="00921A9D">
        <w:rPr>
          <w:color w:val="000000"/>
        </w:rPr>
        <w:t>'</w:t>
      </w:r>
      <w:r w:rsidRPr="00921A9D">
        <w:rPr>
          <w:color w:val="000000"/>
        </w:rPr>
        <w:t>UIT-D de toutes les régions.</w:t>
      </w:r>
    </w:p>
    <w:p w:rsidR="00E055CF" w:rsidRPr="00921A9D" w:rsidRDefault="00E055CF" w:rsidP="00E055CF">
      <w:r w:rsidRPr="00921A9D">
        <w:t>En outre, la Conférence de plénipotentiaires de 2018 (PP-18) a adopté plusieurs Résolutions relatives à la composition de l</w:t>
      </w:r>
      <w:r w:rsidR="005C189C" w:rsidRPr="00921A9D">
        <w:t>'</w:t>
      </w:r>
      <w:r w:rsidRPr="00921A9D">
        <w:t>UIT-D, telles que la Résolution 209 (Dubaï, 2018) qui encourage les PME à participer aux travaux de l</w:t>
      </w:r>
      <w:r w:rsidR="005C189C" w:rsidRPr="00921A9D">
        <w:t>'</w:t>
      </w:r>
      <w:r w:rsidRPr="00921A9D">
        <w:t>Union.</w:t>
      </w:r>
    </w:p>
    <w:p w:rsidR="00E055CF" w:rsidRPr="00921A9D" w:rsidRDefault="00E055CF" w:rsidP="00E055CF">
      <w:bookmarkStart w:id="7" w:name="lt_pId031"/>
      <w:r w:rsidRPr="00921A9D">
        <w:rPr>
          <w:color w:val="000000"/>
        </w:rPr>
        <w:t>La PP-18 a modifié la Résolution 169 relative aux établissements universitaires en décidant</w:t>
      </w:r>
      <w:r w:rsidRPr="00921A9D">
        <w:t xml:space="preserve"> </w:t>
      </w:r>
      <w:r w:rsidRPr="00921A9D">
        <w:rPr>
          <w:color w:val="000000"/>
        </w:rPr>
        <w:t>qu</w:t>
      </w:r>
      <w:r w:rsidR="005C189C" w:rsidRPr="00921A9D">
        <w:rPr>
          <w:color w:val="000000"/>
        </w:rPr>
        <w:t>'</w:t>
      </w:r>
      <w:r w:rsidRPr="00921A9D">
        <w:rPr>
          <w:color w:val="000000"/>
        </w:rPr>
        <w:t xml:space="preserve">un </w:t>
      </w:r>
      <w:r w:rsidRPr="00921A9D">
        <w:t>représentant des établissements universitaires pouvait assumer les fonctions de rapporteur, de vice-rapporteur ou de rapporteur associé, conformément au règlement intérieur établi des différents Secteurs.</w:t>
      </w:r>
      <w:r w:rsidRPr="00921A9D">
        <w:rPr>
          <w:color w:val="000000"/>
        </w:rPr>
        <w:t xml:space="preserve"> Les établissements universitaires sont également encouragés à contribuer à </w:t>
      </w:r>
      <w:r w:rsidRPr="00921A9D">
        <w:rPr>
          <w:rFonts w:ascii="Calibri" w:hAnsi="Calibri" w:cs="Calibri"/>
        </w:rPr>
        <w:t>l</w:t>
      </w:r>
      <w:r w:rsidR="005C189C" w:rsidRPr="00921A9D">
        <w:rPr>
          <w:rFonts w:ascii="Calibri" w:hAnsi="Calibri" w:cs="Calibri"/>
        </w:rPr>
        <w:t>'</w:t>
      </w:r>
      <w:r w:rsidRPr="00921A9D">
        <w:rPr>
          <w:rFonts w:ascii="Calibri" w:hAnsi="Calibri" w:cs="Calibri"/>
        </w:rPr>
        <w:t>avancement des travaux techniques de l</w:t>
      </w:r>
      <w:r w:rsidR="005C189C" w:rsidRPr="00921A9D">
        <w:rPr>
          <w:rFonts w:ascii="Calibri" w:hAnsi="Calibri" w:cs="Calibri"/>
        </w:rPr>
        <w:t>'</w:t>
      </w:r>
      <w:r w:rsidRPr="00921A9D">
        <w:rPr>
          <w:rFonts w:ascii="Calibri" w:hAnsi="Calibri" w:cs="Calibri"/>
        </w:rPr>
        <w:t>Union.</w:t>
      </w:r>
    </w:p>
    <w:p w:rsidR="00E055CF" w:rsidRPr="00921A9D" w:rsidRDefault="00E055CF" w:rsidP="00E055CF">
      <w:r w:rsidRPr="00921A9D">
        <w:rPr>
          <w:color w:val="000000"/>
        </w:rPr>
        <w:t>Dans la Résolution 205 (Dubaï, 2018) relative à l</w:t>
      </w:r>
      <w:r w:rsidR="005C189C" w:rsidRPr="00921A9D">
        <w:rPr>
          <w:color w:val="000000"/>
        </w:rPr>
        <w:t>'</w:t>
      </w:r>
      <w:r w:rsidRPr="00921A9D">
        <w:rPr>
          <w:color w:val="000000"/>
        </w:rPr>
        <w:t>innovation centrée sur les TIC pour appuyer l</w:t>
      </w:r>
      <w:r w:rsidR="005C189C" w:rsidRPr="00921A9D">
        <w:rPr>
          <w:color w:val="000000"/>
        </w:rPr>
        <w:t>'</w:t>
      </w:r>
      <w:r w:rsidRPr="00921A9D">
        <w:rPr>
          <w:color w:val="000000"/>
        </w:rPr>
        <w:t xml:space="preserve">économie numérique, également adoptée à la PP-18, la Conférence de plénipotentiaires a chargé le BDT </w:t>
      </w:r>
      <w:r w:rsidRPr="00921A9D">
        <w:rPr>
          <w:rFonts w:ascii="Calibri" w:hAnsi="Calibri" w:cs="Calibri"/>
        </w:rPr>
        <w:t>d</w:t>
      </w:r>
      <w:r w:rsidR="005C189C" w:rsidRPr="00921A9D">
        <w:rPr>
          <w:rFonts w:ascii="Calibri" w:hAnsi="Calibri" w:cs="Calibri"/>
        </w:rPr>
        <w:t>'</w:t>
      </w:r>
      <w:r w:rsidRPr="00921A9D">
        <w:rPr>
          <w:rFonts w:ascii="Calibri" w:hAnsi="Calibri" w:cs="Calibri"/>
        </w:rPr>
        <w:t>encourager les PME à participer aux travaux des commissions d</w:t>
      </w:r>
      <w:r w:rsidR="005C189C" w:rsidRPr="00921A9D">
        <w:rPr>
          <w:rFonts w:ascii="Calibri" w:hAnsi="Calibri" w:cs="Calibri"/>
        </w:rPr>
        <w:t>'</w:t>
      </w:r>
      <w:r w:rsidRPr="00921A9D">
        <w:rPr>
          <w:rFonts w:ascii="Calibri" w:hAnsi="Calibri" w:cs="Calibri"/>
        </w:rPr>
        <w:t xml:space="preserve">études et a invité les </w:t>
      </w:r>
      <w:r w:rsidR="005C189C" w:rsidRPr="00921A9D">
        <w:rPr>
          <w:rFonts w:ascii="Calibri" w:hAnsi="Calibri" w:cs="Calibri"/>
        </w:rPr>
        <w:t>États</w:t>
      </w:r>
      <w:r w:rsidRPr="00921A9D">
        <w:rPr>
          <w:rFonts w:ascii="Calibri" w:hAnsi="Calibri" w:cs="Calibri"/>
        </w:rPr>
        <w:t xml:space="preserve"> Membres et les membres de l</w:t>
      </w:r>
      <w:r w:rsidR="005C189C" w:rsidRPr="00921A9D">
        <w:rPr>
          <w:rFonts w:ascii="Calibri" w:hAnsi="Calibri" w:cs="Calibri"/>
        </w:rPr>
        <w:t>'</w:t>
      </w:r>
      <w:r w:rsidRPr="00921A9D">
        <w:rPr>
          <w:rFonts w:ascii="Calibri" w:hAnsi="Calibri" w:cs="Calibri"/>
        </w:rPr>
        <w:t>UIT à encourager la participation des entrepreneurs, des PME, des start-up, ainsi que des incubateurs et accélérateurs d</w:t>
      </w:r>
      <w:r w:rsidR="005C189C" w:rsidRPr="00921A9D">
        <w:rPr>
          <w:rFonts w:ascii="Calibri" w:hAnsi="Calibri" w:cs="Calibri"/>
        </w:rPr>
        <w:t>'</w:t>
      </w:r>
      <w:r w:rsidRPr="00921A9D">
        <w:rPr>
          <w:rFonts w:ascii="Calibri" w:hAnsi="Calibri" w:cs="Calibri"/>
        </w:rPr>
        <w:t>entreprises du secteur des TIC à ITU Telecom World 2019.</w:t>
      </w:r>
    </w:p>
    <w:p w:rsidR="00E055CF" w:rsidRPr="00921A9D" w:rsidRDefault="00E055CF" w:rsidP="00E055CF">
      <w:bookmarkStart w:id="8" w:name="lt_pId034"/>
      <w:bookmarkEnd w:id="7"/>
      <w:r w:rsidRPr="00921A9D">
        <w:t>Le BDT continuera de prendre les mesures nécessaires pour mettre en œuvre les résultats des travaux de la PP-18, de la CMDT</w:t>
      </w:r>
      <w:r w:rsidRPr="00921A9D">
        <w:noBreakHyphen/>
        <w:t>17, du Groupe de travail du Conseil sur les ressources financières et les ressources humaines (GTC-FHR) et du Conseil, après consultation de toutes les instances concernées de l</w:t>
      </w:r>
      <w:r w:rsidR="005C189C" w:rsidRPr="00921A9D">
        <w:t>'</w:t>
      </w:r>
      <w:r w:rsidRPr="00921A9D">
        <w:t>UIT, notamment le GCDT et les Commissions d</w:t>
      </w:r>
      <w:r w:rsidR="005C189C" w:rsidRPr="00921A9D">
        <w:t>'</w:t>
      </w:r>
      <w:r w:rsidRPr="00921A9D">
        <w:t>études de l</w:t>
      </w:r>
      <w:r w:rsidR="005C189C" w:rsidRPr="00921A9D">
        <w:t>'</w:t>
      </w:r>
      <w:r w:rsidRPr="00921A9D">
        <w:t>UIT</w:t>
      </w:r>
      <w:r w:rsidRPr="00921A9D">
        <w:noBreakHyphen/>
        <w:t>D.</w:t>
      </w:r>
    </w:p>
    <w:p w:rsidR="00E055CF" w:rsidRPr="00921A9D" w:rsidRDefault="00E055CF" w:rsidP="00E055CF">
      <w:pPr>
        <w:pStyle w:val="Heading1"/>
      </w:pPr>
      <w:r w:rsidRPr="00921A9D">
        <w:t>2</w:t>
      </w:r>
      <w:r w:rsidRPr="00921A9D">
        <w:tab/>
        <w:t>Objectifs stratégiques</w:t>
      </w:r>
    </w:p>
    <w:p w:rsidR="00E055CF" w:rsidRPr="00921A9D" w:rsidRDefault="00E055CF" w:rsidP="00E055CF">
      <w:pPr>
        <w:keepNext/>
        <w:keepLines/>
      </w:pPr>
      <w:r w:rsidRPr="00921A9D">
        <w:t>Conformément aux résultats de la CMDT-17 et de la PP-18, le BDT, en coordination et en collaboration étroites avec le Secrétariat général, les deux autres Bureaux et les bureaux régionaux/de zone, s</w:t>
      </w:r>
      <w:r w:rsidR="005C189C" w:rsidRPr="00921A9D">
        <w:t>'</w:t>
      </w:r>
      <w:r w:rsidRPr="00921A9D">
        <w:t>est efforcé d</w:t>
      </w:r>
      <w:r w:rsidR="005C189C" w:rsidRPr="00921A9D">
        <w:t>'</w:t>
      </w:r>
      <w:r w:rsidRPr="00921A9D">
        <w:t>atteindre deux objectifs essentiels:</w:t>
      </w:r>
    </w:p>
    <w:p w:rsidR="00E055CF" w:rsidRPr="00921A9D" w:rsidRDefault="009A02A3" w:rsidP="00E055CF">
      <w:pPr>
        <w:pStyle w:val="enumlev1"/>
        <w:rPr>
          <w:rFonts w:eastAsia="SimSun"/>
        </w:rPr>
      </w:pPr>
      <w:bookmarkStart w:id="9" w:name="lt_pId037"/>
      <w:bookmarkEnd w:id="8"/>
      <w:r w:rsidRPr="00921A9D">
        <w:rPr>
          <w:rFonts w:eastAsia="SimSun"/>
        </w:rPr>
        <w:t>–</w:t>
      </w:r>
      <w:r w:rsidR="00E055CF" w:rsidRPr="00921A9D">
        <w:rPr>
          <w:rFonts w:eastAsia="SimSun"/>
        </w:rPr>
        <w:tab/>
        <w:t>établir des contacts avec de nouvelles entités afin de les inciter à participer à ses travaux en qualité de Membre de Secteur, d</w:t>
      </w:r>
      <w:r w:rsidR="005C189C" w:rsidRPr="00921A9D">
        <w:rPr>
          <w:rFonts w:eastAsia="SimSun"/>
        </w:rPr>
        <w:t>'</w:t>
      </w:r>
      <w:r w:rsidR="00E055CF" w:rsidRPr="00921A9D">
        <w:rPr>
          <w:rFonts w:eastAsia="SimSun"/>
        </w:rPr>
        <w:t>Associé, de PME ou d</w:t>
      </w:r>
      <w:r w:rsidR="005C189C" w:rsidRPr="00921A9D">
        <w:rPr>
          <w:rFonts w:eastAsia="SimSun"/>
        </w:rPr>
        <w:t>'</w:t>
      </w:r>
      <w:r w:rsidR="00E055CF" w:rsidRPr="00921A9D">
        <w:rPr>
          <w:rFonts w:eastAsia="SimSun"/>
        </w:rPr>
        <w:t>établissement universitaire;</w:t>
      </w:r>
      <w:bookmarkEnd w:id="9"/>
      <w:r w:rsidRPr="00921A9D">
        <w:rPr>
          <w:rFonts w:eastAsia="SimSun"/>
        </w:rPr>
        <w:t xml:space="preserve"> et</w:t>
      </w:r>
    </w:p>
    <w:p w:rsidR="00E055CF" w:rsidRPr="00921A9D" w:rsidRDefault="009A02A3" w:rsidP="00E055CF">
      <w:pPr>
        <w:pStyle w:val="enumlev1"/>
        <w:rPr>
          <w:rFonts w:eastAsia="SimSun"/>
        </w:rPr>
      </w:pPr>
      <w:bookmarkStart w:id="10" w:name="lt_pId039"/>
      <w:r w:rsidRPr="00921A9D">
        <w:rPr>
          <w:rFonts w:eastAsia="SimSun"/>
        </w:rPr>
        <w:t>–</w:t>
      </w:r>
      <w:r w:rsidR="00E055CF" w:rsidRPr="00921A9D">
        <w:rPr>
          <w:rFonts w:eastAsia="SimSun"/>
        </w:rPr>
        <w:tab/>
        <w:t>renforcer les plates-formes permettant la participation et la fidélisation des Membres et des Associés du Secteur de l</w:t>
      </w:r>
      <w:r w:rsidR="005C189C" w:rsidRPr="00921A9D">
        <w:rPr>
          <w:rFonts w:eastAsia="SimSun"/>
        </w:rPr>
        <w:t>'</w:t>
      </w:r>
      <w:r w:rsidR="00E055CF" w:rsidRPr="00921A9D">
        <w:rPr>
          <w:rFonts w:eastAsia="SimSun"/>
        </w:rPr>
        <w:t>UIT-D ou des établissements universitaires actuels participant aux travaux de ce Secteur</w:t>
      </w:r>
      <w:r w:rsidRPr="00921A9D">
        <w:rPr>
          <w:rFonts w:eastAsia="SimSun"/>
        </w:rPr>
        <w:t>.</w:t>
      </w:r>
    </w:p>
    <w:p w:rsidR="00E055CF" w:rsidRPr="00921A9D" w:rsidRDefault="00E055CF" w:rsidP="00E055CF">
      <w:pPr>
        <w:pStyle w:val="Heading1"/>
        <w:rPr>
          <w:rFonts w:eastAsia="SimHei"/>
        </w:rPr>
      </w:pPr>
      <w:bookmarkStart w:id="11" w:name="lt_pId040"/>
      <w:bookmarkEnd w:id="10"/>
      <w:r w:rsidRPr="00921A9D">
        <w:rPr>
          <w:rFonts w:eastAsia="SimHei"/>
        </w:rPr>
        <w:lastRenderedPageBreak/>
        <w:t>3</w:t>
      </w:r>
      <w:r w:rsidRPr="00921A9D">
        <w:rPr>
          <w:rFonts w:eastAsia="SimHei"/>
        </w:rPr>
        <w:tab/>
        <w:t>Analyse de la situation</w:t>
      </w:r>
      <w:bookmarkEnd w:id="11"/>
    </w:p>
    <w:p w:rsidR="0088152C" w:rsidRPr="00921A9D" w:rsidRDefault="00E055CF" w:rsidP="0088152C">
      <w:pPr>
        <w:pStyle w:val="TableNo"/>
      </w:pPr>
      <w:bookmarkStart w:id="12" w:name="lt_pId041"/>
      <w:r w:rsidRPr="00921A9D">
        <w:t>Tableau 1</w:t>
      </w:r>
    </w:p>
    <w:p w:rsidR="00E055CF" w:rsidRPr="00921A9D" w:rsidRDefault="005C189C" w:rsidP="00007F12">
      <w:pPr>
        <w:pStyle w:val="Tabletitle"/>
      </w:pPr>
      <w:r w:rsidRPr="00921A9D">
        <w:t>Évolution</w:t>
      </w:r>
      <w:r w:rsidR="00E055CF" w:rsidRPr="00921A9D">
        <w:t xml:space="preserve"> de la composition de l</w:t>
      </w:r>
      <w:r w:rsidRPr="00921A9D">
        <w:t>'</w:t>
      </w:r>
      <w:r w:rsidR="00E055CF" w:rsidRPr="00921A9D">
        <w:t>UIT-D (Membres de Secteur, Associés et établissements universitaires participant aux travaux de ce Secteur</w:t>
      </w:r>
      <w:r w:rsidR="00E055CF" w:rsidRPr="00921A9D">
        <w:rPr>
          <w:rStyle w:val="FootnoteReference"/>
        </w:rPr>
        <w:footnoteReference w:id="1"/>
      </w:r>
      <w:r w:rsidR="00E055CF" w:rsidRPr="00921A9D">
        <w:t>) entre 2008 et 2018.</w:t>
      </w:r>
      <w:bookmarkEnd w:id="12"/>
    </w:p>
    <w:tbl>
      <w:tblPr>
        <w:tblW w:w="8955" w:type="dxa"/>
        <w:jc w:val="center"/>
        <w:tblCellMar>
          <w:left w:w="0" w:type="dxa"/>
          <w:right w:w="0" w:type="dxa"/>
        </w:tblCellMar>
        <w:tblLook w:val="04A0" w:firstRow="1" w:lastRow="0" w:firstColumn="1" w:lastColumn="0" w:noHBand="0" w:noVBand="1"/>
      </w:tblPr>
      <w:tblGrid>
        <w:gridCol w:w="1708"/>
        <w:gridCol w:w="663"/>
        <w:gridCol w:w="663"/>
        <w:gridCol w:w="663"/>
        <w:gridCol w:w="663"/>
        <w:gridCol w:w="663"/>
        <w:gridCol w:w="663"/>
        <w:gridCol w:w="663"/>
        <w:gridCol w:w="663"/>
        <w:gridCol w:w="663"/>
        <w:gridCol w:w="663"/>
        <w:gridCol w:w="617"/>
      </w:tblGrid>
      <w:tr w:rsidR="00E055CF" w:rsidRPr="00921A9D" w:rsidTr="009D28CE">
        <w:trPr>
          <w:tblHeader/>
          <w:jc w:val="center"/>
        </w:trPr>
        <w:tc>
          <w:tcPr>
            <w:tcW w:w="1708" w:type="dxa"/>
            <w:tcBorders>
              <w:top w:val="nil"/>
              <w:left w:val="nil"/>
              <w:bottom w:val="single" w:sz="4" w:space="0" w:color="auto"/>
              <w:right w:val="single" w:sz="4" w:space="0" w:color="auto"/>
            </w:tcBorders>
            <w:tcMar>
              <w:top w:w="0" w:type="dxa"/>
              <w:left w:w="108" w:type="dxa"/>
              <w:bottom w:w="0" w:type="dxa"/>
              <w:right w:w="108" w:type="dxa"/>
            </w:tcMar>
            <w:hideMark/>
          </w:tcPr>
          <w:p w:rsidR="00E055CF" w:rsidRPr="00921A9D" w:rsidRDefault="00E055CF" w:rsidP="00A162E5">
            <w:pPr>
              <w:rPr>
                <w:sz w:val="20"/>
                <w:lang w:eastAsia="zh-CN"/>
              </w:rPr>
            </w:pPr>
          </w:p>
        </w:tc>
        <w:tc>
          <w:tcPr>
            <w:tcW w:w="6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2008</w:t>
            </w:r>
          </w:p>
        </w:tc>
        <w:tc>
          <w:tcPr>
            <w:tcW w:w="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2009</w:t>
            </w:r>
          </w:p>
        </w:tc>
        <w:tc>
          <w:tcPr>
            <w:tcW w:w="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2010</w:t>
            </w:r>
          </w:p>
        </w:tc>
        <w:tc>
          <w:tcPr>
            <w:tcW w:w="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2011</w:t>
            </w:r>
          </w:p>
        </w:tc>
        <w:tc>
          <w:tcPr>
            <w:tcW w:w="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2012</w:t>
            </w:r>
          </w:p>
        </w:tc>
        <w:tc>
          <w:tcPr>
            <w:tcW w:w="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2013</w:t>
            </w:r>
          </w:p>
        </w:tc>
        <w:tc>
          <w:tcPr>
            <w:tcW w:w="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2014</w:t>
            </w:r>
          </w:p>
        </w:tc>
        <w:tc>
          <w:tcPr>
            <w:tcW w:w="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2015</w:t>
            </w:r>
          </w:p>
        </w:tc>
        <w:tc>
          <w:tcPr>
            <w:tcW w:w="66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2016</w:t>
            </w:r>
          </w:p>
        </w:tc>
        <w:tc>
          <w:tcPr>
            <w:tcW w:w="66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head"/>
              <w:rPr>
                <w:lang w:eastAsia="zh-CN"/>
              </w:rPr>
            </w:pPr>
            <w:r w:rsidRPr="00921A9D">
              <w:rPr>
                <w:lang w:eastAsia="zh-CN"/>
              </w:rPr>
              <w:t>2017</w:t>
            </w:r>
          </w:p>
        </w:tc>
        <w:tc>
          <w:tcPr>
            <w:tcW w:w="617" w:type="dxa"/>
            <w:tcBorders>
              <w:top w:val="single" w:sz="4" w:space="0" w:color="auto"/>
              <w:left w:val="single" w:sz="4" w:space="0" w:color="auto"/>
              <w:bottom w:val="single" w:sz="4" w:space="0" w:color="auto"/>
              <w:right w:val="single" w:sz="4" w:space="0" w:color="auto"/>
            </w:tcBorders>
            <w:vAlign w:val="center"/>
            <w:hideMark/>
          </w:tcPr>
          <w:p w:rsidR="00E055CF" w:rsidRPr="00921A9D" w:rsidRDefault="00E055CF" w:rsidP="009D28CE">
            <w:pPr>
              <w:pStyle w:val="Tablehead"/>
              <w:rPr>
                <w:lang w:eastAsia="zh-CN"/>
              </w:rPr>
            </w:pPr>
            <w:r w:rsidRPr="00921A9D">
              <w:rPr>
                <w:lang w:eastAsia="zh-CN"/>
              </w:rPr>
              <w:t>2018</w:t>
            </w:r>
          </w:p>
        </w:tc>
      </w:tr>
      <w:tr w:rsidR="00E055CF" w:rsidRPr="00921A9D" w:rsidTr="009D28CE">
        <w:trPr>
          <w:jc w:val="center"/>
        </w:trPr>
        <w:tc>
          <w:tcPr>
            <w:tcW w:w="1708"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055CF" w:rsidRPr="00825A50" w:rsidRDefault="00E055CF" w:rsidP="000E2BDD">
            <w:pPr>
              <w:pStyle w:val="Tablehead"/>
              <w:jc w:val="left"/>
              <w:rPr>
                <w:b w:val="0"/>
                <w:bCs/>
                <w:lang w:eastAsia="zh-CN"/>
              </w:rPr>
            </w:pPr>
            <w:r w:rsidRPr="00825A50">
              <w:rPr>
                <w:b w:val="0"/>
                <w:bCs/>
                <w:lang w:eastAsia="zh-CN"/>
              </w:rPr>
              <w:t>Membres de Secteur</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308</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316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311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323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330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346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338</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340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331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318</w:t>
            </w:r>
          </w:p>
        </w:tc>
        <w:tc>
          <w:tcPr>
            <w:tcW w:w="617" w:type="dxa"/>
            <w:tcBorders>
              <w:top w:val="single" w:sz="4" w:space="0" w:color="auto"/>
              <w:left w:val="single" w:sz="4" w:space="0" w:color="auto"/>
              <w:bottom w:val="single" w:sz="4" w:space="0" w:color="auto"/>
              <w:right w:val="single" w:sz="4" w:space="0" w:color="auto"/>
            </w:tcBorders>
            <w:vAlign w:val="center"/>
            <w:hideMark/>
          </w:tcPr>
          <w:p w:rsidR="00E055CF" w:rsidRPr="00921A9D" w:rsidRDefault="00E055CF" w:rsidP="009D28CE">
            <w:pPr>
              <w:pStyle w:val="Tabletext"/>
              <w:jc w:val="center"/>
              <w:rPr>
                <w:lang w:eastAsia="zh-CN"/>
              </w:rPr>
            </w:pPr>
            <w:r w:rsidRPr="00921A9D">
              <w:rPr>
                <w:lang w:eastAsia="zh-CN"/>
              </w:rPr>
              <w:t>310</w:t>
            </w:r>
          </w:p>
        </w:tc>
      </w:tr>
      <w:tr w:rsidR="00E055CF" w:rsidRPr="00921A9D" w:rsidTr="009D28CE">
        <w:trPr>
          <w:jc w:val="center"/>
        </w:trPr>
        <w:tc>
          <w:tcPr>
            <w:tcW w:w="170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055CF" w:rsidRPr="00825A50" w:rsidRDefault="00E055CF" w:rsidP="000E2BDD">
            <w:pPr>
              <w:pStyle w:val="Tablehead"/>
              <w:jc w:val="left"/>
              <w:rPr>
                <w:b w:val="0"/>
                <w:bCs/>
                <w:lang w:eastAsia="zh-CN"/>
              </w:rPr>
            </w:pPr>
            <w:r w:rsidRPr="00825A50">
              <w:rPr>
                <w:b w:val="0"/>
                <w:bCs/>
                <w:lang w:eastAsia="zh-CN"/>
              </w:rPr>
              <w:t>Associés</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7</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9</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10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11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12</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12</w:t>
            </w:r>
          </w:p>
        </w:tc>
        <w:tc>
          <w:tcPr>
            <w:tcW w:w="617" w:type="dxa"/>
            <w:tcBorders>
              <w:top w:val="single" w:sz="4" w:space="0" w:color="auto"/>
              <w:left w:val="single" w:sz="4" w:space="0" w:color="auto"/>
              <w:bottom w:val="single" w:sz="4" w:space="0" w:color="auto"/>
              <w:right w:val="single" w:sz="4" w:space="0" w:color="auto"/>
            </w:tcBorders>
            <w:vAlign w:val="center"/>
            <w:hideMark/>
          </w:tcPr>
          <w:p w:rsidR="00E055CF" w:rsidRPr="00921A9D" w:rsidRDefault="00E055CF" w:rsidP="009D28CE">
            <w:pPr>
              <w:pStyle w:val="Tabletext"/>
              <w:jc w:val="center"/>
              <w:rPr>
                <w:lang w:eastAsia="zh-CN"/>
              </w:rPr>
            </w:pPr>
            <w:r w:rsidRPr="00921A9D">
              <w:rPr>
                <w:lang w:eastAsia="zh-CN"/>
              </w:rPr>
              <w:t>14</w:t>
            </w:r>
          </w:p>
        </w:tc>
      </w:tr>
      <w:tr w:rsidR="00E055CF" w:rsidRPr="00921A9D" w:rsidTr="009D28CE">
        <w:trPr>
          <w:jc w:val="center"/>
        </w:trPr>
        <w:tc>
          <w:tcPr>
            <w:tcW w:w="170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055CF" w:rsidRPr="00825A50" w:rsidRDefault="005C189C" w:rsidP="000E2BDD">
            <w:pPr>
              <w:pStyle w:val="Tablehead"/>
              <w:jc w:val="left"/>
              <w:rPr>
                <w:b w:val="0"/>
                <w:bCs/>
                <w:lang w:eastAsia="zh-CN"/>
              </w:rPr>
            </w:pPr>
            <w:r w:rsidRPr="00825A50">
              <w:rPr>
                <w:b w:val="0"/>
                <w:bCs/>
                <w:lang w:eastAsia="zh-CN"/>
              </w:rPr>
              <w:t>Établissements</w:t>
            </w:r>
            <w:r w:rsidR="00E055CF" w:rsidRPr="00825A50">
              <w:rPr>
                <w:b w:val="0"/>
                <w:bCs/>
                <w:lang w:eastAsia="zh-CN"/>
              </w:rPr>
              <w:t xml:space="preserve"> universitaires</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7A46A1" w:rsidP="009D28CE">
            <w:pPr>
              <w:pStyle w:val="Tabletext"/>
              <w:jc w:val="center"/>
              <w:rPr>
                <w:lang w:eastAsia="zh-CN"/>
              </w:rPr>
            </w:pPr>
            <w:r w:rsidRPr="00921A9D">
              <w:rPr>
                <w:lang w:eastAsia="zh-CN"/>
              </w:rPr>
              <w:t>–</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7A46A1" w:rsidP="009D28CE">
            <w:pPr>
              <w:pStyle w:val="Tabletext"/>
              <w:jc w:val="center"/>
              <w:rPr>
                <w:lang w:eastAsia="zh-CN"/>
              </w:rPr>
            </w:pPr>
            <w:r w:rsidRPr="00921A9D">
              <w:rPr>
                <w:lang w:eastAsia="zh-CN"/>
              </w:rPr>
              <w:t>–</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7A46A1" w:rsidP="009D28CE">
            <w:pPr>
              <w:pStyle w:val="Tabletext"/>
              <w:jc w:val="center"/>
              <w:rPr>
                <w:lang w:eastAsia="zh-CN"/>
              </w:rPr>
            </w:pPr>
            <w:r w:rsidRPr="00921A9D">
              <w:rPr>
                <w:lang w:eastAsia="zh-CN"/>
              </w:rPr>
              <w:t>–</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25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45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86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109</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107</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125</w:t>
            </w:r>
          </w:p>
        </w:tc>
        <w:tc>
          <w:tcPr>
            <w:tcW w:w="617" w:type="dxa"/>
            <w:tcBorders>
              <w:top w:val="single" w:sz="4" w:space="0" w:color="auto"/>
              <w:left w:val="single" w:sz="4" w:space="0" w:color="auto"/>
              <w:bottom w:val="single" w:sz="4" w:space="0" w:color="auto"/>
              <w:right w:val="single" w:sz="4" w:space="0" w:color="auto"/>
            </w:tcBorders>
            <w:vAlign w:val="center"/>
            <w:hideMark/>
          </w:tcPr>
          <w:p w:rsidR="00E055CF" w:rsidRPr="00921A9D" w:rsidRDefault="00E055CF" w:rsidP="009D28CE">
            <w:pPr>
              <w:pStyle w:val="Tabletext"/>
              <w:jc w:val="center"/>
              <w:rPr>
                <w:lang w:eastAsia="zh-CN"/>
              </w:rPr>
            </w:pPr>
            <w:r w:rsidRPr="00921A9D">
              <w:rPr>
                <w:lang w:eastAsia="zh-CN"/>
              </w:rPr>
              <w:t>156</w:t>
            </w:r>
          </w:p>
        </w:tc>
      </w:tr>
      <w:tr w:rsidR="00E055CF" w:rsidRPr="00921A9D" w:rsidTr="009D28CE">
        <w:trPr>
          <w:jc w:val="center"/>
        </w:trPr>
        <w:tc>
          <w:tcPr>
            <w:tcW w:w="170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55CF" w:rsidRPr="00825A50" w:rsidRDefault="00E055CF" w:rsidP="000E2BDD">
            <w:pPr>
              <w:pStyle w:val="Tablehead"/>
              <w:jc w:val="left"/>
              <w:rPr>
                <w:b w:val="0"/>
                <w:bCs/>
                <w:lang w:eastAsia="zh-CN"/>
              </w:rPr>
            </w:pPr>
            <w:r w:rsidRPr="00825A50">
              <w:rPr>
                <w:b w:val="0"/>
                <w:bCs/>
                <w:lang w:eastAsia="zh-CN"/>
              </w:rPr>
              <w:t>TOTAL</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311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319</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316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354</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373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400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434</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460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450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5CF" w:rsidRPr="00921A9D" w:rsidRDefault="00E055CF" w:rsidP="009D28CE">
            <w:pPr>
              <w:pStyle w:val="Tabletext"/>
              <w:jc w:val="center"/>
              <w:rPr>
                <w:lang w:eastAsia="zh-CN"/>
              </w:rPr>
            </w:pPr>
            <w:r w:rsidRPr="00921A9D">
              <w:rPr>
                <w:lang w:eastAsia="zh-CN"/>
              </w:rPr>
              <w:t>455</w:t>
            </w:r>
          </w:p>
        </w:tc>
        <w:tc>
          <w:tcPr>
            <w:tcW w:w="617" w:type="dxa"/>
            <w:tcBorders>
              <w:top w:val="single" w:sz="4" w:space="0" w:color="auto"/>
              <w:left w:val="single" w:sz="4" w:space="0" w:color="auto"/>
              <w:bottom w:val="single" w:sz="4" w:space="0" w:color="auto"/>
              <w:right w:val="single" w:sz="4" w:space="0" w:color="auto"/>
            </w:tcBorders>
            <w:vAlign w:val="center"/>
            <w:hideMark/>
          </w:tcPr>
          <w:p w:rsidR="00E055CF" w:rsidRPr="00921A9D" w:rsidRDefault="00E055CF" w:rsidP="009D28CE">
            <w:pPr>
              <w:pStyle w:val="Tabletext"/>
              <w:jc w:val="center"/>
              <w:rPr>
                <w:lang w:eastAsia="zh-CN"/>
              </w:rPr>
            </w:pPr>
            <w:r w:rsidRPr="00921A9D">
              <w:rPr>
                <w:lang w:eastAsia="zh-CN"/>
              </w:rPr>
              <w:t>480</w:t>
            </w:r>
          </w:p>
        </w:tc>
      </w:tr>
    </w:tbl>
    <w:p w:rsidR="00E055CF" w:rsidRPr="00921A9D" w:rsidRDefault="00520EE8" w:rsidP="00520EE8">
      <w:pPr>
        <w:spacing w:before="240"/>
        <w:jc w:val="center"/>
      </w:pPr>
      <w:r>
        <w:rPr>
          <w:noProof/>
          <w:lang w:val="en-GB" w:eastAsia="zh-CN"/>
        </w:rPr>
        <mc:AlternateContent>
          <mc:Choice Requires="wps">
            <w:drawing>
              <wp:anchor distT="45720" distB="45720" distL="114300" distR="114300" simplePos="0" relativeHeight="251663360" behindDoc="0" locked="0" layoutInCell="1" allowOverlap="1" wp14:anchorId="53B72EFB" wp14:editId="359231AB">
                <wp:simplePos x="0" y="0"/>
                <wp:positionH relativeFrom="margin">
                  <wp:posOffset>2751455</wp:posOffset>
                </wp:positionH>
                <wp:positionV relativeFrom="paragraph">
                  <wp:posOffset>2338705</wp:posOffset>
                </wp:positionV>
                <wp:extent cx="570230" cy="168275"/>
                <wp:effectExtent l="0" t="0" r="127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168275"/>
                        </a:xfrm>
                        <a:prstGeom prst="rect">
                          <a:avLst/>
                        </a:prstGeom>
                        <a:solidFill>
                          <a:srgbClr val="FFFFFF"/>
                        </a:solidFill>
                        <a:ln w="9525">
                          <a:noFill/>
                          <a:miter lim="800000"/>
                          <a:headEnd/>
                          <a:tailEnd/>
                        </a:ln>
                      </wps:spPr>
                      <wps:txbx>
                        <w:txbxContent>
                          <w:p w:rsidR="00736582" w:rsidRPr="00736582" w:rsidRDefault="00736582" w:rsidP="00736582">
                            <w:pPr>
                              <w:spacing w:before="0"/>
                              <w:rPr>
                                <w:sz w:val="18"/>
                                <w:szCs w:val="18"/>
                                <w:lang w:val="en-GB"/>
                              </w:rPr>
                            </w:pPr>
                            <w:r>
                              <w:rPr>
                                <w:sz w:val="18"/>
                                <w:szCs w:val="18"/>
                              </w:rPr>
                              <w:t>Associés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72EFB" id="_x0000_t202" coordsize="21600,21600" o:spt="202" path="m,l,21600r21600,l21600,xe">
                <v:stroke joinstyle="miter"/>
                <v:path gradientshapeok="t" o:connecttype="rect"/>
              </v:shapetype>
              <v:shape id="Text Box 3" o:spid="_x0000_s1026" type="#_x0000_t202" style="position:absolute;left:0;text-align:left;margin-left:216.65pt;margin-top:184.15pt;width:44.9pt;height:1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0CGQIAABEEAAAOAAAAZHJzL2Uyb0RvYy54bWysU9tu2zAMfR+wfxD0vthxkLYz4hRdugwD&#10;ugvQ7gNoWY6FyaImKbGzrx8lJ2m3vQ3Tg0BJ5OHhIbW6HXvNDtJ5habi81nOmTQCG2V2Ff/2tH1z&#10;w5kPYBrQaGTFj9Lz2/XrV6vBlrLADnUjHSMQ48vBVrwLwZZZ5kUne/AztNLQY4uuh0BHt8saBwOh&#10;9zor8vwqG9A11qGQ3tPt/fTI1wm/baUIX9rWy8B0xYlbSLtLex33bL2CcufAdkqcaMA/sOhBGUp6&#10;gbqHAGzv1F9QvRIOPbZhJrDPsG2VkKkGqmae/1HNYwdWplpIHG8vMvn/Bys+H746ppqKLzgz0FOL&#10;nuQY2Dsc2SKqM1hfktOjJbcw0jV1OVXq7QOK754Z3HRgdvLOORw6CQ2xm8fI7EXohOMjSD18wobS&#10;wD5gAhpb10fpSAxG6NSl46UzkYqgy+V1XizoRdDT/OqmuF6mDFCeg63z4YPEnkWj4o4an8Dh8OBD&#10;JAPl2SXm8qhVs1Vap4Pb1Rvt2AFoSLZpndB/c9OGDRV/uyyWCdlgjE/z06tAQ6xVX/GbPK4YDmUU&#10;471pkh1A6ckmJtqc1ImCTNKEsR5TG4oYG5WrsTmSXA6nmaU/RkaH7idnA81rxf2PPTjJmf5oSPI4&#10;3GfDnY36bIARFFrxwNlkbkL6BJGmwTtqRauSTM+ZTxRp7pJ6pz8SB/vlOXk9/+T1LwAAAP//AwBQ&#10;SwMEFAAGAAgAAAAhANzpE7/gAAAACwEAAA8AAABkcnMvZG93bnJldi54bWxMjz1PwzAQhnck/oN1&#10;SCyIOo1LFEKcClrYYGipOruxSSLic2Q7TfrvOSbY7uPRe8+V69n27Gx86BxKWC4SYAZrpztsJBw+&#10;3+5zYCEq1Kp3aCRcTIB1dX1VqkK7CXfmvI8NoxAMhZLQxjgUnIe6NVaFhRsM0u7Leasitb7h2quJ&#10;wm3P0yTJuFUd0oVWDWbTmvp7P1oJ2daP0w43d9vD67v6GJr0+HI5Snl7Mz8/AYtmjn8w/OqTOlTk&#10;dHIj6sB6CSshBKESRJZTQcRDKpbATjR5XOXAq5L//6H6AQAA//8DAFBLAQItABQABgAIAAAAIQC2&#10;gziS/gAAAOEBAAATAAAAAAAAAAAAAAAAAAAAAABbQ29udGVudF9UeXBlc10ueG1sUEsBAi0AFAAG&#10;AAgAAAAhADj9If/WAAAAlAEAAAsAAAAAAAAAAAAAAAAALwEAAF9yZWxzLy5yZWxzUEsBAi0AFAAG&#10;AAgAAAAhAKVTvQIZAgAAEQQAAA4AAAAAAAAAAAAAAAAALgIAAGRycy9lMm9Eb2MueG1sUEsBAi0A&#10;FAAGAAgAAAAhANzpE7/gAAAACwEAAA8AAAAAAAAAAAAAAAAAcwQAAGRycy9kb3ducmV2LnhtbFBL&#10;BQYAAAAABAAEAPMAAACABQAAAAA=&#10;" stroked="f">
                <v:textbox inset="0,0,0,0">
                  <w:txbxContent>
                    <w:p w:rsidR="00736582" w:rsidRPr="00736582" w:rsidRDefault="00736582" w:rsidP="00736582">
                      <w:pPr>
                        <w:spacing w:before="0"/>
                        <w:rPr>
                          <w:sz w:val="18"/>
                          <w:szCs w:val="18"/>
                          <w:lang w:val="en-GB"/>
                        </w:rPr>
                      </w:pPr>
                      <w:r>
                        <w:rPr>
                          <w:sz w:val="18"/>
                          <w:szCs w:val="18"/>
                        </w:rPr>
                        <w:t>Associés</w:t>
                      </w:r>
                    </w:p>
                  </w:txbxContent>
                </v:textbox>
                <w10:wrap anchorx="margin"/>
              </v:shape>
            </w:pict>
          </mc:Fallback>
        </mc:AlternateContent>
      </w:r>
      <w:r>
        <w:rPr>
          <w:noProof/>
          <w:lang w:val="en-GB" w:eastAsia="zh-CN"/>
        </w:rPr>
        <mc:AlternateContent>
          <mc:Choice Requires="wps">
            <w:drawing>
              <wp:anchor distT="45720" distB="45720" distL="114300" distR="114300" simplePos="0" relativeHeight="251665408" behindDoc="0" locked="0" layoutInCell="1" allowOverlap="1" wp14:anchorId="163C6F13" wp14:editId="277DE1A1">
                <wp:simplePos x="0" y="0"/>
                <wp:positionH relativeFrom="margin">
                  <wp:posOffset>3652520</wp:posOffset>
                </wp:positionH>
                <wp:positionV relativeFrom="paragraph">
                  <wp:posOffset>2337104</wp:posOffset>
                </wp:positionV>
                <wp:extent cx="715010" cy="271145"/>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71145"/>
                        </a:xfrm>
                        <a:prstGeom prst="rect">
                          <a:avLst/>
                        </a:prstGeom>
                        <a:solidFill>
                          <a:srgbClr val="FFFFFF"/>
                        </a:solidFill>
                        <a:ln w="9525">
                          <a:noFill/>
                          <a:miter lim="800000"/>
                          <a:headEnd/>
                          <a:tailEnd/>
                        </a:ln>
                      </wps:spPr>
                      <wps:txbx>
                        <w:txbxContent>
                          <w:p w:rsidR="00E763B5" w:rsidRPr="00736582" w:rsidRDefault="0028031F" w:rsidP="00E763B5">
                            <w:pPr>
                              <w:spacing w:before="0"/>
                              <w:rPr>
                                <w:sz w:val="18"/>
                                <w:szCs w:val="18"/>
                                <w:lang w:val="en-GB"/>
                              </w:rPr>
                            </w:pPr>
                            <w:r>
                              <w:rPr>
                                <w:sz w:val="18"/>
                                <w:szCs w:val="18"/>
                              </w:rPr>
                              <w:t>É</w:t>
                            </w:r>
                            <w:r w:rsidR="00E763B5">
                              <w:rPr>
                                <w:sz w:val="18"/>
                                <w:szCs w:val="18"/>
                              </w:rPr>
                              <w:t>tablissements universitaires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C6F13" id="Text Box 4" o:spid="_x0000_s1027" type="#_x0000_t202" style="position:absolute;left:0;text-align:left;margin-left:287.6pt;margin-top:184pt;width:56.3pt;height:21.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hjGAIAABEEAAAOAAAAZHJzL2Uyb0RvYy54bWysU9uO0zAQfUfiHyy/07SlZZeo6WrpUoS0&#10;XKRdPmDiOI2F7TG226R8PWOn7S7whvCDNbZnzpw5M17dDEazg/RBoa34bDLlTFqBjbK7in973L66&#10;5ixEsA1otLLiRxn4zfrli1XvSjnHDnUjPSMQG8reVbyL0ZVFEUQnDYQJOmnpsUVvINLR74rGQ0/o&#10;Rhfz6fRN0aNvnEchQ6Dbu/GRrzN+20oRv7RtkJHpihO3mHef9zrtxXoF5c6D65Q40YB/YGFAWUp6&#10;gbqDCGzv1V9QRgmPAds4EWgKbFslZK6BqplN/6jmoQMncy0kTnAXmcL/gxWfD189U03FF5xZMNSi&#10;RzlE9g4Htkjq9C6U5PTgyC0OdE1dzpUGd4/ie2AWNx3Ynbz1HvtOQkPsZimyeBY64oQEUvefsKE0&#10;sI+YgYbWmyQdicEInbp0vHQmURF0eTVbkjycCXqaX81mi2XOAOU52PkQP0g0LBkV99T4DA6H+xAT&#10;GSjPLilXQK2ardI6H/yu3mjPDkBDss3rhP6bm7asr/jb5XyZkS2m+Dw/RkUaYq1Mxa+naaVwKJMY&#10;722T7QhKjzYx0fakThJklCYO9ZDb8DrFJuVqbI4kl8dxZumPkdGh/8lZT/Na8fBjD15ypj9akjwN&#10;99nwZ6M+G2AFhVY8cjaam5g/QaJp8ZZa0aos01PmE0Wau6ze6Y+kwX5+zl5PP3n9CwAA//8DAFBL&#10;AwQUAAYACAAAACEAtDDxCuAAAAALAQAADwAAAGRycy9kb3ducmV2LnhtbEyPQU+DQBCF7yb+h82Y&#10;eDF2KVogyNBoqzc9tDY9b9kViOwsYZdC/73jSY+TeXnv+4r1bDtxNoNvHSEsFxEIQ5XTLdUIh8+3&#10;+wyED4q06hwZhIvxsC6vrwqVazfRzpz3oRZcQj5XCE0IfS6lrxpjlV+43hD/vtxgVeBzqKUe1MTl&#10;tpNxFCXSqpZ4oVG92TSm+t6PFiHZDuO0o83d9vD6rj76Oj6+XI6Itzfz8xOIYObwF4ZffEaHkplO&#10;biTtRYewSlcxRxEekoylOJFkKcucEB6XUQqyLOR/h/IHAAD//wMAUEsBAi0AFAAGAAgAAAAhALaD&#10;OJL+AAAA4QEAABMAAAAAAAAAAAAAAAAAAAAAAFtDb250ZW50X1R5cGVzXS54bWxQSwECLQAUAAYA&#10;CAAAACEAOP0h/9YAAACUAQAACwAAAAAAAAAAAAAAAAAvAQAAX3JlbHMvLnJlbHNQSwECLQAUAAYA&#10;CAAAACEAsMnYYxgCAAARBAAADgAAAAAAAAAAAAAAAAAuAgAAZHJzL2Uyb0RvYy54bWxQSwECLQAU&#10;AAYACAAAACEAtDDxCuAAAAALAQAADwAAAAAAAAAAAAAAAAByBAAAZHJzL2Rvd25yZXYueG1sUEsF&#10;BgAAAAAEAAQA8wAAAH8FAAAAAA==&#10;" stroked="f">
                <v:textbox inset="0,0,0,0">
                  <w:txbxContent>
                    <w:p w:rsidR="00E763B5" w:rsidRPr="00736582" w:rsidRDefault="0028031F" w:rsidP="00E763B5">
                      <w:pPr>
                        <w:spacing w:before="0"/>
                        <w:rPr>
                          <w:sz w:val="18"/>
                          <w:szCs w:val="18"/>
                          <w:lang w:val="en-GB"/>
                        </w:rPr>
                      </w:pPr>
                      <w:r>
                        <w:rPr>
                          <w:sz w:val="18"/>
                          <w:szCs w:val="18"/>
                        </w:rPr>
                        <w:t>É</w:t>
                      </w:r>
                      <w:r w:rsidR="00E763B5">
                        <w:rPr>
                          <w:sz w:val="18"/>
                          <w:szCs w:val="18"/>
                        </w:rPr>
                        <w:t>tablissements universitaires</w:t>
                      </w:r>
                    </w:p>
                  </w:txbxContent>
                </v:textbox>
                <w10:wrap anchorx="margin"/>
              </v:shape>
            </w:pict>
          </mc:Fallback>
        </mc:AlternateContent>
      </w:r>
      <w:r>
        <w:rPr>
          <w:noProof/>
          <w:lang w:val="en-GB" w:eastAsia="zh-CN"/>
        </w:rPr>
        <mc:AlternateContent>
          <mc:Choice Requires="wps">
            <w:drawing>
              <wp:anchor distT="45720" distB="45720" distL="114300" distR="114300" simplePos="0" relativeHeight="251661312" behindDoc="0" locked="0" layoutInCell="1" allowOverlap="1">
                <wp:simplePos x="0" y="0"/>
                <wp:positionH relativeFrom="column">
                  <wp:posOffset>1545590</wp:posOffset>
                </wp:positionH>
                <wp:positionV relativeFrom="paragraph">
                  <wp:posOffset>2351709</wp:posOffset>
                </wp:positionV>
                <wp:extent cx="834390" cy="27114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71145"/>
                        </a:xfrm>
                        <a:prstGeom prst="rect">
                          <a:avLst/>
                        </a:prstGeom>
                        <a:solidFill>
                          <a:srgbClr val="FFFFFF"/>
                        </a:solidFill>
                        <a:ln w="9525">
                          <a:noFill/>
                          <a:miter lim="800000"/>
                          <a:headEnd/>
                          <a:tailEnd/>
                        </a:ln>
                      </wps:spPr>
                      <wps:txbx>
                        <w:txbxContent>
                          <w:p w:rsidR="00736582" w:rsidRPr="00736582" w:rsidRDefault="00736582" w:rsidP="00736582">
                            <w:pPr>
                              <w:spacing w:before="0"/>
                              <w:rPr>
                                <w:sz w:val="18"/>
                                <w:szCs w:val="18"/>
                                <w:lang w:val="en-GB"/>
                              </w:rPr>
                            </w:pPr>
                            <w:r w:rsidRPr="00736582">
                              <w:rPr>
                                <w:sz w:val="18"/>
                                <w:szCs w:val="18"/>
                              </w:rPr>
                              <w:t xml:space="preserve">Membres de </w:t>
                            </w:r>
                            <w:r>
                              <w:rPr>
                                <w:sz w:val="18"/>
                                <w:szCs w:val="18"/>
                              </w:rPr>
                              <w:br/>
                            </w:r>
                            <w:r w:rsidRPr="00736582">
                              <w:rPr>
                                <w:sz w:val="18"/>
                                <w:szCs w:val="18"/>
                              </w:rPr>
                              <w:t>Secteur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1.7pt;margin-top:185.15pt;width:65.7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GyGAIAABEEAAAOAAAAZHJzL2Uyb0RvYy54bWysU9tu2zAMfR+wfxD0vjhJm6014hRdugwD&#10;ugvQ7gNoWY6FSaImKbGzry8lJ2m3vQ3Tg0BJ5OHhIbW8GYxme+mDQlvx2WTKmbQCG2W3Ff/+uHlz&#10;xVmIYBvQaGXFDzLwm9XrV8velXKOHepGekYgNpS9q3gXoyuLIohOGggTdNLSY4veQKSj3xaNh57Q&#10;jS7m0+nbokffOI9ChkC3d+MjX2X8tpUifm3bICPTFSduMe8+73Xai9USyq0H1ylxpAH/wMKAspT0&#10;DHUHEdjOq7+gjBIeA7ZxItAU2LZKyFwDVTOb/lHNQwdO5lpInODOMoX/Byu+7L95ppqKzzmzYKhF&#10;j3KI7D0ObJ7U6V0oyenBkVsc6Jq6nCsN7h7Fj8AsrjuwW3nrPfadhIbYzVJk8SJ0xAkJpO4/Y0Np&#10;YBcxAw2tN0k6EoMROnXpcO5MoiLo8uri8uKaXgQ9zd/NZpeLnAHKU7DzIX6UaFgyKu6p8Rkc9vch&#10;JjJQnlxSroBaNRuldT74bb3Wnu2BhmST1xH9NzdtWV/x68V8kZEtpvg8P0ZFGmKtDBGdppXCoUxi&#10;fLBNtiMoPdrERNujOkmQUZo41ENuQ5YuKVdjcyC5PI4zS3+MjA79L856mteKh5878JIz/cmS5Gm4&#10;T4Y/GfXJACsotOKRs9Fcx/wJEk2Lt9SKVmWZnjMfKdLcZfWOfyQN9stz9nr+yasnAAAA//8DAFBL&#10;AwQUAAYACAAAACEAATnQeuEAAAALAQAADwAAAGRycy9kb3ducmV2LnhtbEyPwU7DMBBE70j8g7VI&#10;XBC1G0ctSuNU0MINDi1Vz9vYTSLidRQ7Tfr3mBM9rvZp5k2+nmzLLqb3jSMF85kAZqh0uqFKweH7&#10;4/kFmA9IGltHRsHVeFgX93c5ZtqNtDOXfahYDCGfoYI6hC7j3Je1sehnrjMUf2fXWwzx7Cuuexxj&#10;uG15IsSCW2woNtTYmU1typ/9YBUstv0w7mjztD28f+JXVyXHt+tRqceH6XUFLJgp/MPwpx/VoYhO&#10;JzeQ9qxVkKQyjagCuRQSWCTkMo1jTgrSuRTAi5zfbih+AQAA//8DAFBLAQItABQABgAIAAAAIQC2&#10;gziS/gAAAOEBAAATAAAAAAAAAAAAAAAAAAAAAABbQ29udGVudF9UeXBlc10ueG1sUEsBAi0AFAAG&#10;AAgAAAAhADj9If/WAAAAlAEAAAsAAAAAAAAAAAAAAAAALwEAAF9yZWxzLy5yZWxzUEsBAi0AFAAG&#10;AAgAAAAhAOaCgbIYAgAAEQQAAA4AAAAAAAAAAAAAAAAALgIAAGRycy9lMm9Eb2MueG1sUEsBAi0A&#10;FAAGAAgAAAAhAAE50HrhAAAACwEAAA8AAAAAAAAAAAAAAAAAcgQAAGRycy9kb3ducmV2LnhtbFBL&#10;BQYAAAAABAAEAPMAAACABQAAAAA=&#10;" stroked="f">
                <v:textbox inset="0,0,0,0">
                  <w:txbxContent>
                    <w:p w:rsidR="00736582" w:rsidRPr="00736582" w:rsidRDefault="00736582" w:rsidP="00736582">
                      <w:pPr>
                        <w:spacing w:before="0"/>
                        <w:rPr>
                          <w:sz w:val="18"/>
                          <w:szCs w:val="18"/>
                          <w:lang w:val="en-GB"/>
                        </w:rPr>
                      </w:pPr>
                      <w:r w:rsidRPr="00736582">
                        <w:rPr>
                          <w:sz w:val="18"/>
                          <w:szCs w:val="18"/>
                        </w:rPr>
                        <w:t xml:space="preserve">Membres de </w:t>
                      </w:r>
                      <w:r>
                        <w:rPr>
                          <w:sz w:val="18"/>
                          <w:szCs w:val="18"/>
                        </w:rPr>
                        <w:br/>
                      </w:r>
                      <w:r w:rsidRPr="00736582">
                        <w:rPr>
                          <w:sz w:val="18"/>
                          <w:szCs w:val="18"/>
                        </w:rPr>
                        <w:t>Secteur</w:t>
                      </w:r>
                    </w:p>
                  </w:txbxContent>
                </v:textbox>
              </v:shape>
            </w:pict>
          </mc:Fallback>
        </mc:AlternateContent>
      </w:r>
      <w:r>
        <w:rPr>
          <w:noProof/>
          <w:lang w:val="en-GB" w:eastAsia="zh-CN"/>
        </w:rPr>
        <mc:AlternateContent>
          <mc:Choice Requires="wps">
            <w:drawing>
              <wp:anchor distT="45720" distB="45720" distL="114300" distR="114300" simplePos="0" relativeHeight="251659264" behindDoc="0" locked="0" layoutInCell="1" allowOverlap="1">
                <wp:simplePos x="0" y="0"/>
                <wp:positionH relativeFrom="margin">
                  <wp:posOffset>1409093</wp:posOffset>
                </wp:positionH>
                <wp:positionV relativeFrom="paragraph">
                  <wp:posOffset>163029</wp:posOffset>
                </wp:positionV>
                <wp:extent cx="3331596" cy="262393"/>
                <wp:effectExtent l="0" t="0" r="254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596" cy="262393"/>
                        </a:xfrm>
                        <a:prstGeom prst="rect">
                          <a:avLst/>
                        </a:prstGeom>
                        <a:solidFill>
                          <a:srgbClr val="FFFFFF"/>
                        </a:solidFill>
                        <a:ln w="9525">
                          <a:noFill/>
                          <a:miter lim="800000"/>
                          <a:headEnd/>
                          <a:tailEnd/>
                        </a:ln>
                      </wps:spPr>
                      <wps:txbx>
                        <w:txbxContent>
                          <w:p w:rsidR="00744320" w:rsidRPr="00744320" w:rsidRDefault="00744320" w:rsidP="00744320">
                            <w:pPr>
                              <w:spacing w:before="0"/>
                              <w:jc w:val="center"/>
                              <w:rPr>
                                <w:b/>
                                <w:bCs/>
                              </w:rPr>
                            </w:pPr>
                            <w:r w:rsidRPr="00744320">
                              <w:rPr>
                                <w:b/>
                                <w:bCs/>
                              </w:rPr>
                              <w:t>Membres du Secteur de l'UIT-D (2008-2018)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0.95pt;margin-top:12.85pt;width:262.35pt;height:20.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GQIgIAAB0EAAAOAAAAZHJzL2Uyb0RvYy54bWysU9tu2zAMfR+wfxD0vjh2Lm2MOEWXLsOA&#10;7gK0+wBZlmNhkqhJSuzu60vJaZptb8P0IIgieXR4SK1vBq3IUTgvwVQ0n0wpEYZDI82+ot8fd++u&#10;KfGBmYYpMKKiT8LTm83bN+velqKADlQjHEEQ48veVrQLwZZZ5nknNPMTsMKgswWnWUDT7bPGsR7R&#10;tcqK6XSZ9eAa64AL7/H2bnTSTcJvW8HD17b1IhBVUeQW0u7SXsc926xZuXfMdpKfaLB/YKGZNPjo&#10;GeqOBUYOTv4FpSV34KENEw46g7aVXKQasJp8+kc1Dx2zItWC4nh7lsn/P1j+5fjNEdlUtMivKDFM&#10;Y5MexRDIexhIEfXprS8x7MFiYBjwGvucavX2HvgPTwxsO2b24tY56DvBGuSXx8zsInXE8RGk7j9D&#10;g8+wQ4AENLROR/FQDoLo2Kenc28iFY6Xs9ksX6yWlHD0FctitpqlJ1j5km2dDx8FaBIPFXXY+4TO&#10;jvc+RDasfAmJj3lQstlJpZLh9vVWOXJkOCe7tE7ov4UpQ/qKrhbFIiEbiPlphLQMOMdK6opeT+OK&#10;6ayManwwTToHJtV4RibKnOSJiozahKEeMDBqVkPzhEI5GOcV/xceOnC/KOlxVivqfx6YE5SoTwbF&#10;XuXzeRzuZMwXVwUa7tJTX3qY4QhV0UDJeNyG9CEiXwO32JRWJr1emZy44gwmGU//JQ75pZ2iXn/1&#10;5hkAAP//AwBQSwMEFAAGAAgAAAAhALhsXMneAAAACQEAAA8AAABkcnMvZG93bnJldi54bWxMj8FO&#10;wzAMhu9IvEPkSVwQS1dtCStNJ0ACcd3YA7ht1lZrnKrJ1u7tMSe42fKn39+f72bXi6sdQ+fJwGqZ&#10;gLBU+bqjxsDx++PpGUSISDX2nqyBmw2wK+7vcsxqP9HeXg+xERxCIUMDbYxDJmWoWuswLP1giW8n&#10;PzqMvI6NrEecONz1Mk0SJR12xB9aHOx7a6vz4eIMnL6mx812Kj/jUe/X6g07XfqbMQ+L+fUFRLRz&#10;/IPhV5/VoWCn0l+oDqI3kKarLaM8bDQIBvRaKRClAaUTkEUu/zcofgAAAP//AwBQSwECLQAUAAYA&#10;CAAAACEAtoM4kv4AAADhAQAAEwAAAAAAAAAAAAAAAAAAAAAAW0NvbnRlbnRfVHlwZXNdLnhtbFBL&#10;AQItABQABgAIAAAAIQA4/SH/1gAAAJQBAAALAAAAAAAAAAAAAAAAAC8BAABfcmVscy8ucmVsc1BL&#10;AQItABQABgAIAAAAIQBQaRGQIgIAAB0EAAAOAAAAAAAAAAAAAAAAAC4CAABkcnMvZTJvRG9jLnht&#10;bFBLAQItABQABgAIAAAAIQC4bFzJ3gAAAAkBAAAPAAAAAAAAAAAAAAAAAHwEAABkcnMvZG93bnJl&#10;di54bWxQSwUGAAAAAAQABADzAAAAhwUAAAAA&#10;" stroked="f">
                <v:textbox>
                  <w:txbxContent>
                    <w:p w:rsidR="00744320" w:rsidRPr="00744320" w:rsidRDefault="00744320" w:rsidP="00744320">
                      <w:pPr>
                        <w:spacing w:before="0"/>
                        <w:jc w:val="center"/>
                        <w:rPr>
                          <w:b/>
                          <w:bCs/>
                        </w:rPr>
                      </w:pPr>
                      <w:r w:rsidRPr="00744320">
                        <w:rPr>
                          <w:b/>
                          <w:bCs/>
                        </w:rPr>
                        <w:t>Membres du Secteur de l'UIT-D (2008-2018)</w:t>
                      </w:r>
                    </w:p>
                  </w:txbxContent>
                </v:textbox>
                <w10:wrap anchorx="margin"/>
              </v:shape>
            </w:pict>
          </mc:Fallback>
        </mc:AlternateContent>
      </w:r>
      <w:r w:rsidR="00494FCC">
        <w:rPr>
          <w:noProof/>
          <w:lang w:val="en-GB" w:eastAsia="zh-CN"/>
        </w:rPr>
        <w:drawing>
          <wp:inline distT="0" distB="0" distL="0" distR="0" wp14:anchorId="7A9C91EB" wp14:editId="6396D74F">
            <wp:extent cx="6120765" cy="2450155"/>
            <wp:effectExtent l="0" t="0" r="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55CF" w:rsidRPr="00921A9D" w:rsidRDefault="00E055CF" w:rsidP="000E2BDD">
      <w:pPr>
        <w:pStyle w:val="Heading2"/>
      </w:pPr>
      <w:r w:rsidRPr="00921A9D">
        <w:t>3.1</w:t>
      </w:r>
      <w:r w:rsidRPr="00921A9D">
        <w:tab/>
        <w:t>Membres de Secteur et Associés en 2018</w:t>
      </w:r>
    </w:p>
    <w:p w:rsidR="00E055CF" w:rsidRPr="00921A9D" w:rsidRDefault="00E055CF" w:rsidP="009A02A3">
      <w:r w:rsidRPr="00921A9D">
        <w:t>En 2018, l</w:t>
      </w:r>
      <w:r w:rsidR="005C189C" w:rsidRPr="00921A9D">
        <w:t>'</w:t>
      </w:r>
      <w:r w:rsidRPr="00921A9D">
        <w:t>UIT-D a accueilli huit nouveaux Membres de Secteur, à savoir ECPAT International (Thaïlande), World Wide Web Foundation (</w:t>
      </w:r>
      <w:r w:rsidR="005C189C" w:rsidRPr="00921A9D">
        <w:t>États-Unis</w:t>
      </w:r>
      <w:r w:rsidRPr="00921A9D">
        <w:t>), Common Market for Eastern and Southern Africa (Zambie), Mobile and Wireless Forum IVZW (Belgique), Turkcell Iletisim Hizmetleri A.S (Turquie), Sigma Telecom (Turquie), Symantec Corporation (</w:t>
      </w:r>
      <w:r w:rsidR="005C189C" w:rsidRPr="00921A9D">
        <w:t>États-Unis</w:t>
      </w:r>
      <w:r w:rsidRPr="00921A9D">
        <w:t>), Masyarakat Telematika Indonesia (Indonésie); et quatre nouveaux Associés, à savoir High-tech Bridge SA (Suisse), Konkan Railway Corporation Ltd. (Inde), Axon Partners Group Consulting (Espagne) &amp; NRD Cyber Security (Lituanie</w:t>
      </w:r>
      <w:r w:rsidR="009A02A3" w:rsidRPr="00921A9D">
        <w:t>).</w:t>
      </w:r>
    </w:p>
    <w:p w:rsidR="00E055CF" w:rsidRPr="00921A9D" w:rsidRDefault="00E055CF" w:rsidP="009A02A3">
      <w:r w:rsidRPr="00921A9D">
        <w:t>Cette même année, quinze Membres ont mis un terme à leur participation, dont trois pour défaut de paiement, les autres invoquant une consolidation d</w:t>
      </w:r>
      <w:r w:rsidR="005C189C" w:rsidRPr="00921A9D">
        <w:t>'</w:t>
      </w:r>
      <w:r w:rsidRPr="00921A9D">
        <w:t>entreprise et/ou des raisons financières</w:t>
      </w:r>
      <w:r w:rsidR="009A02A3" w:rsidRPr="00921A9D">
        <w:t>.</w:t>
      </w:r>
    </w:p>
    <w:p w:rsidR="00E055CF" w:rsidRPr="00921A9D" w:rsidRDefault="00E055CF" w:rsidP="000E2BDD">
      <w:pPr>
        <w:pStyle w:val="Heading2"/>
      </w:pPr>
      <w:r w:rsidRPr="00921A9D">
        <w:lastRenderedPageBreak/>
        <w:t>3.2</w:t>
      </w:r>
      <w:r w:rsidRPr="00921A9D">
        <w:tab/>
      </w:r>
      <w:r w:rsidR="005C189C" w:rsidRPr="00921A9D">
        <w:t>Établissements</w:t>
      </w:r>
      <w:r w:rsidRPr="00921A9D">
        <w:t xml:space="preserve"> universitaires en 2018</w:t>
      </w:r>
    </w:p>
    <w:p w:rsidR="00E055CF" w:rsidRPr="00921A9D" w:rsidRDefault="00E055CF" w:rsidP="005C189C">
      <w:pPr>
        <w:spacing w:before="80"/>
        <w:rPr>
          <w:szCs w:val="24"/>
        </w:rPr>
      </w:pPr>
      <w:r w:rsidRPr="00921A9D">
        <w:rPr>
          <w:szCs w:val="24"/>
        </w:rPr>
        <w:t>Les établissements universitaires s</w:t>
      </w:r>
      <w:r w:rsidR="005C189C" w:rsidRPr="00921A9D">
        <w:rPr>
          <w:szCs w:val="24"/>
        </w:rPr>
        <w:t>'</w:t>
      </w:r>
      <w:r w:rsidRPr="00921A9D">
        <w:rPr>
          <w:szCs w:val="24"/>
        </w:rPr>
        <w:t>acquittent d</w:t>
      </w:r>
      <w:r w:rsidR="005C189C" w:rsidRPr="00921A9D">
        <w:rPr>
          <w:szCs w:val="24"/>
        </w:rPr>
        <w:t>'</w:t>
      </w:r>
      <w:r w:rsidRPr="00921A9D">
        <w:rPr>
          <w:szCs w:val="24"/>
        </w:rPr>
        <w:t>un droit unique qui leur permet de participer aux travaux de tous les Secteurs ainsi qu</w:t>
      </w:r>
      <w:r w:rsidR="005C189C" w:rsidRPr="00921A9D">
        <w:rPr>
          <w:szCs w:val="24"/>
        </w:rPr>
        <w:t>'</w:t>
      </w:r>
      <w:r w:rsidRPr="00921A9D">
        <w:rPr>
          <w:szCs w:val="24"/>
        </w:rPr>
        <w:t>aux conférences mondiales et régionales, aux ateliers et aux activités de l</w:t>
      </w:r>
      <w:r w:rsidR="005C189C" w:rsidRPr="00921A9D">
        <w:rPr>
          <w:szCs w:val="24"/>
        </w:rPr>
        <w:t>'</w:t>
      </w:r>
      <w:r w:rsidRPr="00921A9D">
        <w:rPr>
          <w:szCs w:val="24"/>
        </w:rPr>
        <w:t>Union. En 2018, en coordination avec le Secrétariat général et avec l</w:t>
      </w:r>
      <w:r w:rsidR="005C189C" w:rsidRPr="00921A9D">
        <w:rPr>
          <w:szCs w:val="24"/>
        </w:rPr>
        <w:t>'</w:t>
      </w:r>
      <w:r w:rsidRPr="00921A9D">
        <w:rPr>
          <w:szCs w:val="24"/>
        </w:rPr>
        <w:t>appui d</w:t>
      </w:r>
      <w:r w:rsidR="005C189C" w:rsidRPr="00921A9D">
        <w:rPr>
          <w:szCs w:val="24"/>
        </w:rPr>
        <w:t>'États</w:t>
      </w:r>
      <w:r w:rsidRPr="00921A9D">
        <w:rPr>
          <w:szCs w:val="24"/>
        </w:rPr>
        <w:t xml:space="preserve"> Membres tels que l</w:t>
      </w:r>
      <w:r w:rsidR="005C189C" w:rsidRPr="00921A9D">
        <w:rPr>
          <w:szCs w:val="24"/>
        </w:rPr>
        <w:t>'</w:t>
      </w:r>
      <w:r w:rsidRPr="00921A9D">
        <w:rPr>
          <w:szCs w:val="24"/>
        </w:rPr>
        <w:t>Argentine, la Chine, l</w:t>
      </w:r>
      <w:r w:rsidR="005C189C" w:rsidRPr="00921A9D">
        <w:rPr>
          <w:szCs w:val="24"/>
        </w:rPr>
        <w:t>'</w:t>
      </w:r>
      <w:r w:rsidRPr="00921A9D">
        <w:rPr>
          <w:szCs w:val="24"/>
        </w:rPr>
        <w:t>Inde, l</w:t>
      </w:r>
      <w:r w:rsidR="005C189C" w:rsidRPr="00921A9D">
        <w:rPr>
          <w:szCs w:val="24"/>
        </w:rPr>
        <w:t>'</w:t>
      </w:r>
      <w:r w:rsidRPr="00921A9D">
        <w:rPr>
          <w:szCs w:val="24"/>
        </w:rPr>
        <w:t>Iran et la Palestine, entre autres, 37 nouveaux établissements universitaires ont participé aux travaux des trois Secteurs de l</w:t>
      </w:r>
      <w:r w:rsidR="005C189C" w:rsidRPr="00921A9D">
        <w:rPr>
          <w:szCs w:val="24"/>
        </w:rPr>
        <w:t>'</w:t>
      </w:r>
      <w:r w:rsidRPr="00921A9D">
        <w:rPr>
          <w:szCs w:val="24"/>
        </w:rPr>
        <w:t>UIT</w:t>
      </w:r>
      <w:r w:rsidRPr="00921A9D">
        <w:rPr>
          <w:rStyle w:val="FootnoteReference"/>
          <w:szCs w:val="24"/>
        </w:rPr>
        <w:footnoteReference w:id="2"/>
      </w:r>
      <w:r w:rsidRPr="00921A9D">
        <w:rPr>
          <w:szCs w:val="24"/>
        </w:rPr>
        <w:t>.</w:t>
      </w:r>
    </w:p>
    <w:p w:rsidR="00E055CF" w:rsidRPr="00921A9D" w:rsidRDefault="00E055CF" w:rsidP="005C189C">
      <w:pPr>
        <w:pStyle w:val="Heading1"/>
        <w:spacing w:before="120"/>
        <w:rPr>
          <w:rFonts w:eastAsia="SimHei"/>
        </w:rPr>
      </w:pPr>
      <w:bookmarkStart w:id="14" w:name="lt_pId043"/>
      <w:r w:rsidRPr="00921A9D">
        <w:rPr>
          <w:rFonts w:eastAsia="SimHei"/>
        </w:rPr>
        <w:t>4</w:t>
      </w:r>
      <w:r w:rsidRPr="00921A9D">
        <w:rPr>
          <w:rFonts w:eastAsia="SimHei"/>
        </w:rPr>
        <w:tab/>
        <w:t>Principales actions entreprises et résultats obtenus</w:t>
      </w:r>
    </w:p>
    <w:p w:rsidR="00E055CF" w:rsidRPr="00921A9D" w:rsidRDefault="00E055CF" w:rsidP="005C189C">
      <w:pPr>
        <w:spacing w:before="80"/>
      </w:pPr>
      <w:r w:rsidRPr="00921A9D">
        <w:rPr>
          <w:rFonts w:eastAsia="SimHei" w:cs="Simplified Arabic"/>
          <w:bCs/>
        </w:rPr>
        <w:t>Le BDT a mis en œuvre une série de mesures stratégiques</w:t>
      </w:r>
      <w:bookmarkStart w:id="15" w:name="lt_pId044"/>
      <w:bookmarkEnd w:id="14"/>
      <w:r w:rsidRPr="00921A9D">
        <w:t xml:space="preserve"> pour améliorer les services qu</w:t>
      </w:r>
      <w:r w:rsidR="005C189C" w:rsidRPr="00921A9D">
        <w:t>'</w:t>
      </w:r>
      <w:r w:rsidRPr="00921A9D">
        <w:t>il offre aux Membres et aux Associés du Secteur de l</w:t>
      </w:r>
      <w:r w:rsidR="005C189C" w:rsidRPr="00921A9D">
        <w:t>'</w:t>
      </w:r>
      <w:r w:rsidRPr="00921A9D">
        <w:t>UIT</w:t>
      </w:r>
      <w:r w:rsidRPr="00921A9D">
        <w:noBreakHyphen/>
        <w:t>D, ainsi qu</w:t>
      </w:r>
      <w:r w:rsidR="005C189C" w:rsidRPr="00921A9D">
        <w:t>'</w:t>
      </w:r>
      <w:r w:rsidRPr="00921A9D">
        <w:t>aux établissements universitaires participant à ses travaux</w:t>
      </w:r>
      <w:bookmarkEnd w:id="15"/>
      <w:r w:rsidRPr="00921A9D">
        <w:t>, et pour accroître la mobilisation de ses membres. Il poursuivra ses efforts dans cette voie.</w:t>
      </w:r>
    </w:p>
    <w:p w:rsidR="00E055CF" w:rsidRPr="00921A9D" w:rsidRDefault="00E055CF" w:rsidP="005C189C">
      <w:pPr>
        <w:pStyle w:val="Heading2"/>
        <w:spacing w:before="120"/>
      </w:pPr>
      <w:r w:rsidRPr="00921A9D">
        <w:t>4.1</w:t>
      </w:r>
      <w:r w:rsidRPr="00921A9D">
        <w:tab/>
      </w:r>
      <w:bookmarkStart w:id="16" w:name="lt_pId048"/>
      <w:bookmarkStart w:id="17" w:name="lt_pId052"/>
      <w:r w:rsidRPr="00921A9D">
        <w:t>Renforcer les outils et les services destinés aux Membres du Secteur de l</w:t>
      </w:r>
      <w:r w:rsidR="005C189C" w:rsidRPr="00921A9D">
        <w:t>'</w:t>
      </w:r>
      <w:r w:rsidRPr="00921A9D">
        <w:t>UIT-D</w:t>
      </w:r>
      <w:bookmarkStart w:id="18" w:name="lt_pId053"/>
      <w:bookmarkEnd w:id="16"/>
      <w:bookmarkEnd w:id="17"/>
    </w:p>
    <w:p w:rsidR="00E055CF" w:rsidRPr="00921A9D" w:rsidRDefault="00E055CF" w:rsidP="005C189C">
      <w:pPr>
        <w:tabs>
          <w:tab w:val="left" w:pos="567"/>
        </w:tabs>
        <w:spacing w:before="80"/>
        <w:rPr>
          <w:rFonts w:ascii="Calibri" w:hAnsi="Calibri"/>
          <w:color w:val="000000" w:themeColor="text1"/>
          <w:szCs w:val="24"/>
        </w:rPr>
      </w:pPr>
      <w:r w:rsidRPr="00921A9D">
        <w:t>Les plates-formes de diffusion de l</w:t>
      </w:r>
      <w:r w:rsidR="005C189C" w:rsidRPr="00921A9D">
        <w:t>'</w:t>
      </w:r>
      <w:r w:rsidRPr="00921A9D">
        <w:t>information, telles que le portail des Membres du Secteur de l</w:t>
      </w:r>
      <w:r w:rsidR="005C189C" w:rsidRPr="00921A9D">
        <w:t>'</w:t>
      </w:r>
      <w:r w:rsidRPr="00921A9D">
        <w:t xml:space="preserve">UIT-D </w:t>
      </w:r>
      <w:bookmarkEnd w:id="18"/>
      <w:r w:rsidRPr="00921A9D">
        <w:rPr>
          <w:szCs w:val="24"/>
        </w:rPr>
        <w:t>(</w:t>
      </w:r>
      <w:hyperlink r:id="rId10" w:history="1">
        <w:r w:rsidR="004E79EA" w:rsidRPr="00921A9D">
          <w:rPr>
            <w:rStyle w:val="Hyperlink"/>
            <w:szCs w:val="24"/>
          </w:rPr>
          <w:t>http://www.itu.int/en/ITU-D/Membership/Pages/default.aspx</w:t>
        </w:r>
      </w:hyperlink>
      <w:r w:rsidRPr="00921A9D">
        <w:rPr>
          <w:szCs w:val="24"/>
        </w:rPr>
        <w:t xml:space="preserve">) </w:t>
      </w:r>
      <w:r w:rsidRPr="00921A9D">
        <w:t>et la page web du Secteur continuent de promouvoir les avantages et la visibilité accrue qu</w:t>
      </w:r>
      <w:r w:rsidR="005C189C" w:rsidRPr="00921A9D">
        <w:t>'</w:t>
      </w:r>
      <w:r w:rsidRPr="00921A9D">
        <w:t>offre le statut de Membre. Chaque plate-forme est en lien avec les différents domaines d</w:t>
      </w:r>
      <w:r w:rsidR="005C189C" w:rsidRPr="00921A9D">
        <w:t>'</w:t>
      </w:r>
      <w:r w:rsidRPr="00921A9D">
        <w:t>activité de l</w:t>
      </w:r>
      <w:r w:rsidR="005C189C" w:rsidRPr="00921A9D">
        <w:t>'</w:t>
      </w:r>
      <w:r w:rsidRPr="00921A9D">
        <w:t>UIT afin de faciliter la participation aux projets et la conclusion de partenariats, et les membres sont invités à mettre en avant leurs exemples de réussite en termes de visibilité. Le BDT continue de renforcer ses supports de sensibilisation et de communication à travers l</w:t>
      </w:r>
      <w:r w:rsidR="005C189C" w:rsidRPr="00921A9D">
        <w:t>'</w:t>
      </w:r>
      <w:r w:rsidRPr="00921A9D">
        <w:t>espace</w:t>
      </w:r>
      <w:r w:rsidRPr="00921A9D">
        <w:rPr>
          <w:color w:val="000000"/>
        </w:rPr>
        <w:t xml:space="preserve"> en ligne réservé aux Membres de l</w:t>
      </w:r>
      <w:r w:rsidR="005C189C" w:rsidRPr="00921A9D">
        <w:rPr>
          <w:color w:val="000000"/>
        </w:rPr>
        <w:t>'</w:t>
      </w:r>
      <w:r w:rsidRPr="00921A9D">
        <w:rPr>
          <w:color w:val="000000"/>
        </w:rPr>
        <w:t>UIT (projet MyITU), qui permettra l</w:t>
      </w:r>
      <w:r w:rsidR="005C189C" w:rsidRPr="00921A9D">
        <w:rPr>
          <w:color w:val="000000"/>
        </w:rPr>
        <w:t>'</w:t>
      </w:r>
      <w:r w:rsidRPr="00921A9D">
        <w:rPr>
          <w:color w:val="000000"/>
        </w:rPr>
        <w:t>ajout de contenu personnalisé, ainsi que l</w:t>
      </w:r>
      <w:r w:rsidR="005C189C" w:rsidRPr="00921A9D">
        <w:rPr>
          <w:color w:val="000000"/>
        </w:rPr>
        <w:t>'</w:t>
      </w:r>
      <w:r w:rsidRPr="00921A9D">
        <w:rPr>
          <w:color w:val="000000"/>
        </w:rPr>
        <w:t>amélioration des contacts en réseau et de la collaboration entre les Membres de l</w:t>
      </w:r>
      <w:r w:rsidR="005C189C" w:rsidRPr="00921A9D">
        <w:rPr>
          <w:color w:val="000000"/>
        </w:rPr>
        <w:t>'</w:t>
      </w:r>
      <w:r w:rsidRPr="00921A9D">
        <w:rPr>
          <w:color w:val="000000"/>
        </w:rPr>
        <w:t>UIT-D.</w:t>
      </w:r>
    </w:p>
    <w:p w:rsidR="00E055CF" w:rsidRPr="00921A9D" w:rsidRDefault="00E055CF" w:rsidP="00E055CF">
      <w:pPr>
        <w:pStyle w:val="Heading2"/>
      </w:pPr>
      <w:r w:rsidRPr="00921A9D">
        <w:lastRenderedPageBreak/>
        <w:t>4.2</w:t>
      </w:r>
      <w:r w:rsidRPr="00921A9D">
        <w:tab/>
      </w:r>
      <w:bookmarkStart w:id="19" w:name="lt_pId059"/>
      <w:r w:rsidRPr="00921A9D">
        <w:t xml:space="preserve">Nouvelles plates-formes pour </w:t>
      </w:r>
      <w:r w:rsidRPr="00921A9D">
        <w:rPr>
          <w:color w:val="000000"/>
        </w:rPr>
        <w:t>la participation des établissements universitaires</w:t>
      </w:r>
      <w:bookmarkEnd w:id="19"/>
    </w:p>
    <w:p w:rsidR="00E055CF" w:rsidRPr="00921A9D" w:rsidRDefault="00E055CF" w:rsidP="00E055CF">
      <w:bookmarkStart w:id="20" w:name="lt_pId060"/>
      <w:r w:rsidRPr="00921A9D">
        <w:t>Les établissements universitaires favorisent l</w:t>
      </w:r>
      <w:r w:rsidR="005C189C" w:rsidRPr="00921A9D">
        <w:t>'</w:t>
      </w:r>
      <w:r w:rsidRPr="00921A9D">
        <w:t>adoption de solutions innovantes et durables en offrant une tribune où le talent, la recherche et la technologie se rencontrent pour apporter des solutions aux problèmes les plus urgents au niveau mondial. Avec un portefeuille d</w:t>
      </w:r>
      <w:r w:rsidR="005C189C" w:rsidRPr="00921A9D">
        <w:t>'</w:t>
      </w:r>
      <w:r w:rsidRPr="00921A9D">
        <w:t>établissements universitaires participant à ses travaux de plus en plus étoffé, le BDT a renforcé différents types de plates-formes collaboratives, en plus des plates-formes existantes, telles que, notamment, l</w:t>
      </w:r>
      <w:r w:rsidR="005C189C" w:rsidRPr="00921A9D">
        <w:t>'</w:t>
      </w:r>
      <w:r w:rsidRPr="00921A9D">
        <w:t>Académie et le Journal de l</w:t>
      </w:r>
      <w:r w:rsidR="005C189C" w:rsidRPr="00921A9D">
        <w:t>'</w:t>
      </w:r>
      <w:r w:rsidRPr="00921A9D">
        <w:t>UIT.</w:t>
      </w:r>
    </w:p>
    <w:bookmarkEnd w:id="20"/>
    <w:p w:rsidR="00E055CF" w:rsidRPr="00921A9D" w:rsidRDefault="00E055CF" w:rsidP="00E055CF">
      <w:pPr>
        <w:shd w:val="clear" w:color="auto" w:fill="FFFFFF"/>
        <w:overflowPunct/>
        <w:autoSpaceDE/>
        <w:autoSpaceDN/>
        <w:adjustRightInd/>
        <w:spacing w:after="120"/>
        <w:textAlignment w:val="auto"/>
        <w:rPr>
          <w:rFonts w:cs="Segoe UI"/>
          <w:szCs w:val="24"/>
        </w:rPr>
      </w:pPr>
      <w:r w:rsidRPr="00921A9D">
        <w:rPr>
          <w:rFonts w:cs="Segoe UI"/>
          <w:szCs w:val="24"/>
        </w:rPr>
        <w:t>On peut citer par exemple la publication de l</w:t>
      </w:r>
      <w:r w:rsidR="005C189C" w:rsidRPr="00921A9D">
        <w:rPr>
          <w:rFonts w:cs="Segoe UI"/>
          <w:szCs w:val="24"/>
        </w:rPr>
        <w:t>'</w:t>
      </w:r>
      <w:r w:rsidRPr="00921A9D">
        <w:rPr>
          <w:rFonts w:cs="Segoe UI"/>
          <w:szCs w:val="24"/>
        </w:rPr>
        <w:t xml:space="preserve">UIT sur les </w:t>
      </w:r>
      <w:hyperlink r:id="rId11" w:history="1">
        <w:r w:rsidR="005C189C" w:rsidRPr="00921A9D">
          <w:rPr>
            <w:rStyle w:val="Hyperlink"/>
            <w:rFonts w:cs="Segoe UI"/>
            <w:szCs w:val="24"/>
          </w:rPr>
          <w:t>TIC au service des ODD (ICT④SDG)</w:t>
        </w:r>
      </w:hyperlink>
      <w:r w:rsidRPr="00921A9D">
        <w:rPr>
          <w:rFonts w:cs="Segoe UI"/>
          <w:szCs w:val="24"/>
        </w:rPr>
        <w:t xml:space="preserve"> intitulée</w:t>
      </w:r>
      <w:r w:rsidR="004E79EA" w:rsidRPr="00921A9D">
        <w:t xml:space="preserve"> </w:t>
      </w:r>
      <w:hyperlink r:id="rId12" w:history="1">
        <w:r w:rsidRPr="00921A9D">
          <w:t>"</w:t>
        </w:r>
        <w:r w:rsidRPr="00921A9D">
          <w:rPr>
            <w:rStyle w:val="Hyperlink"/>
            <w:rFonts w:cs="Segoe UI"/>
            <w:i/>
            <w:iCs/>
            <w:szCs w:val="24"/>
          </w:rPr>
          <w:t>ICT-centric economic growth, innovation and job creation</w:t>
        </w:r>
        <w:r w:rsidRPr="00921A9D">
          <w:t>"</w:t>
        </w:r>
      </w:hyperlink>
      <w:r w:rsidR="005C189C" w:rsidRPr="00921A9D">
        <w:rPr>
          <w:rFonts w:cs="Segoe UI"/>
          <w:szCs w:val="24"/>
        </w:rPr>
        <w:t xml:space="preserve"> </w:t>
      </w:r>
      <w:r w:rsidRPr="00921A9D">
        <w:rPr>
          <w:rFonts w:cs="Segoe UI"/>
          <w:szCs w:val="24"/>
        </w:rPr>
        <w:t>("Croissance économique, innovation et création d</w:t>
      </w:r>
      <w:r w:rsidR="005C189C" w:rsidRPr="00921A9D">
        <w:rPr>
          <w:rFonts w:cs="Segoe UI"/>
          <w:szCs w:val="24"/>
        </w:rPr>
        <w:t>'emplois centrées sur les TIC"</w:t>
      </w:r>
      <w:r w:rsidRPr="00921A9D">
        <w:rPr>
          <w:rFonts w:cs="Segoe UI"/>
          <w:szCs w:val="24"/>
        </w:rPr>
        <w:t>), présentée à la CMDT-17, qui est le fruit d</w:t>
      </w:r>
      <w:r w:rsidR="005C189C" w:rsidRPr="00921A9D">
        <w:rPr>
          <w:rFonts w:cs="Segoe UI"/>
          <w:szCs w:val="24"/>
        </w:rPr>
        <w:t>'</w:t>
      </w:r>
      <w:r w:rsidRPr="00921A9D">
        <w:rPr>
          <w:rFonts w:cs="Segoe UI"/>
          <w:szCs w:val="24"/>
        </w:rPr>
        <w:t>une étude collaborative pilote menée par des spécialistes de renom issus de la communauté scientifique internationale et des établissements universitaires participant aux travaux de l</w:t>
      </w:r>
      <w:r w:rsidR="005C189C" w:rsidRPr="00921A9D">
        <w:rPr>
          <w:rFonts w:cs="Segoe UI"/>
          <w:szCs w:val="24"/>
        </w:rPr>
        <w:t>'</w:t>
      </w:r>
      <w:r w:rsidRPr="00921A9D">
        <w:rPr>
          <w:rFonts w:cs="Segoe UI"/>
          <w:szCs w:val="24"/>
        </w:rPr>
        <w:t>UIT. Fortement intéressée par le sujet, la communauté universitaire a souhaité discuter des principales conclusions de cet ouvrage avec les auteurs principaux, et réfléchir à de nouvelles pistes d</w:t>
      </w:r>
      <w:r w:rsidR="005C189C" w:rsidRPr="00921A9D">
        <w:rPr>
          <w:rFonts w:cs="Segoe UI"/>
          <w:szCs w:val="24"/>
        </w:rPr>
        <w:t>'</w:t>
      </w:r>
      <w:r w:rsidRPr="00921A9D">
        <w:rPr>
          <w:rFonts w:cs="Segoe UI"/>
          <w:szCs w:val="24"/>
        </w:rPr>
        <w:t>étude et à de nouvelles sources de données provenant du milieu universitaire et du secteur privé. Dans cette optique, à l</w:t>
      </w:r>
      <w:r w:rsidR="005C189C" w:rsidRPr="00921A9D">
        <w:rPr>
          <w:rFonts w:cs="Segoe UI"/>
          <w:szCs w:val="24"/>
        </w:rPr>
        <w:t>'</w:t>
      </w:r>
      <w:r w:rsidRPr="00921A9D">
        <w:rPr>
          <w:rFonts w:cs="Segoe UI"/>
          <w:szCs w:val="24"/>
        </w:rPr>
        <w:t xml:space="preserve">invitation de la London School of Economics, le BDT a organisé une plate-forme de partenariat sur </w:t>
      </w:r>
      <w:r w:rsidRPr="00921A9D">
        <w:rPr>
          <w:rFonts w:cs="Segoe UI"/>
          <w:i/>
          <w:szCs w:val="24"/>
        </w:rPr>
        <w:t>les TIC au service des ODD</w:t>
      </w:r>
      <w:r w:rsidRPr="00921A9D">
        <w:rPr>
          <w:rFonts w:cs="Segoe UI"/>
          <w:szCs w:val="24"/>
        </w:rPr>
        <w:t xml:space="preserve"> (</w:t>
      </w:r>
      <w:r w:rsidRPr="00921A9D">
        <w:rPr>
          <w:rFonts w:cs="Segoe UI"/>
          <w:i/>
          <w:iCs/>
          <w:szCs w:val="24"/>
        </w:rPr>
        <w:t xml:space="preserve">ICT④SDGs) </w:t>
      </w:r>
      <w:r w:rsidRPr="00921A9D">
        <w:rPr>
          <w:rFonts w:cs="Segoe UI"/>
          <w:iCs/>
          <w:szCs w:val="24"/>
        </w:rPr>
        <w:t>sur le thème</w:t>
      </w:r>
      <w:r w:rsidRPr="00921A9D">
        <w:rPr>
          <w:rFonts w:cs="Segoe UI"/>
          <w:i/>
          <w:iCs/>
          <w:szCs w:val="24"/>
        </w:rPr>
        <w:t>:</w:t>
      </w:r>
      <w:r w:rsidRPr="00921A9D">
        <w:rPr>
          <w:rFonts w:cs="Segoe UI"/>
          <w:szCs w:val="24"/>
        </w:rPr>
        <w:t xml:space="preserve"> </w:t>
      </w:r>
      <w:hyperlink r:id="rId13" w:history="1">
        <w:r w:rsidRPr="00921A9D">
          <w:rPr>
            <w:rStyle w:val="Hyperlink"/>
            <w:rFonts w:cs="Segoe UI"/>
            <w:i/>
            <w:iCs/>
            <w:szCs w:val="24"/>
          </w:rPr>
          <w:t>Croissance économique, innovation et création d</w:t>
        </w:r>
        <w:r w:rsidR="005C189C" w:rsidRPr="00921A9D">
          <w:rPr>
            <w:rStyle w:val="Hyperlink"/>
            <w:rFonts w:cs="Segoe UI"/>
            <w:i/>
            <w:iCs/>
            <w:szCs w:val="24"/>
          </w:rPr>
          <w:t>'</w:t>
        </w:r>
        <w:r w:rsidRPr="00921A9D">
          <w:rPr>
            <w:rStyle w:val="Hyperlink"/>
            <w:rFonts w:cs="Segoe UI"/>
            <w:i/>
            <w:iCs/>
            <w:szCs w:val="24"/>
          </w:rPr>
          <w:t>emplois centrées sur les TIC</w:t>
        </w:r>
      </w:hyperlink>
      <w:r w:rsidRPr="00921A9D">
        <w:rPr>
          <w:rFonts w:cs="Segoe UI"/>
          <w:szCs w:val="24"/>
        </w:rPr>
        <w:t>, à Londres (Royaume-Uni), les 22 et 23</w:t>
      </w:r>
      <w:r w:rsidR="005C189C" w:rsidRPr="00921A9D">
        <w:rPr>
          <w:rFonts w:cs="Segoe UI"/>
          <w:szCs w:val="24"/>
        </w:rPr>
        <w:t> </w:t>
      </w:r>
      <w:r w:rsidRPr="00921A9D">
        <w:rPr>
          <w:rFonts w:cs="Segoe UI"/>
          <w:szCs w:val="24"/>
        </w:rPr>
        <w:t>mai</w:t>
      </w:r>
      <w:r w:rsidR="005C189C" w:rsidRPr="00921A9D">
        <w:rPr>
          <w:rFonts w:cs="Segoe UI"/>
          <w:szCs w:val="24"/>
        </w:rPr>
        <w:t> </w:t>
      </w:r>
      <w:r w:rsidRPr="00921A9D">
        <w:rPr>
          <w:rFonts w:cs="Segoe UI"/>
          <w:szCs w:val="24"/>
        </w:rPr>
        <w:t>2018. Cette manifestation a réuni 50 participants d</w:t>
      </w:r>
      <w:r w:rsidR="005C189C" w:rsidRPr="00921A9D">
        <w:rPr>
          <w:rFonts w:cs="Segoe UI"/>
          <w:szCs w:val="24"/>
        </w:rPr>
        <w:t>'</w:t>
      </w:r>
      <w:r w:rsidRPr="00921A9D">
        <w:rPr>
          <w:rFonts w:cs="Segoe UI"/>
          <w:szCs w:val="24"/>
        </w:rPr>
        <w:t>horizons très divers, parmi lesquels des universitaires de renom et d</w:t>
      </w:r>
      <w:r w:rsidR="005C189C" w:rsidRPr="00921A9D">
        <w:rPr>
          <w:rFonts w:cs="Segoe UI"/>
          <w:szCs w:val="24"/>
        </w:rPr>
        <w:t>'</w:t>
      </w:r>
      <w:r w:rsidRPr="00921A9D">
        <w:rPr>
          <w:rFonts w:cs="Segoe UI"/>
          <w:szCs w:val="24"/>
        </w:rPr>
        <w:t>éminentes personnalités des secteurs public et privé</w:t>
      </w:r>
      <w:r w:rsidR="005C189C" w:rsidRPr="00921A9D">
        <w:rPr>
          <w:rFonts w:cs="Segoe UI"/>
          <w:szCs w:val="24"/>
        </w:rPr>
        <w:t>.</w:t>
      </w:r>
    </w:p>
    <w:p w:rsidR="00E055CF" w:rsidRPr="00921A9D" w:rsidRDefault="00E055CF" w:rsidP="00E055CF">
      <w:r w:rsidRPr="00921A9D">
        <w:rPr>
          <w:rStyle w:val="Hyperlink"/>
          <w:color w:val="auto"/>
          <w:u w:val="none"/>
        </w:rPr>
        <w:t>Le BDT a également mis en place des activités de sensibilisation destinées aux établissements universitaires participant aux travaux de l</w:t>
      </w:r>
      <w:r w:rsidR="005C189C" w:rsidRPr="00921A9D">
        <w:rPr>
          <w:rStyle w:val="Hyperlink"/>
          <w:color w:val="auto"/>
          <w:u w:val="none"/>
        </w:rPr>
        <w:t>'</w:t>
      </w:r>
      <w:r w:rsidRPr="00921A9D">
        <w:rPr>
          <w:rStyle w:val="Hyperlink"/>
          <w:color w:val="auto"/>
          <w:u w:val="none"/>
        </w:rPr>
        <w:t>UIT-D, notamment des rencontres bilatérales en vue d</w:t>
      </w:r>
      <w:r w:rsidR="005C189C" w:rsidRPr="00921A9D">
        <w:rPr>
          <w:rStyle w:val="Hyperlink"/>
          <w:color w:val="auto"/>
          <w:u w:val="none"/>
        </w:rPr>
        <w:t>'</w:t>
      </w:r>
      <w:r w:rsidRPr="00921A9D">
        <w:rPr>
          <w:rStyle w:val="Hyperlink"/>
          <w:color w:val="auto"/>
          <w:u w:val="none"/>
        </w:rPr>
        <w:t>accroître la participation des établissements universitaires aux travaux de l</w:t>
      </w:r>
      <w:r w:rsidR="005C189C" w:rsidRPr="00921A9D">
        <w:rPr>
          <w:rStyle w:val="Hyperlink"/>
          <w:color w:val="auto"/>
          <w:u w:val="none"/>
        </w:rPr>
        <w:t>'</w:t>
      </w:r>
      <w:r w:rsidRPr="00921A9D">
        <w:rPr>
          <w:color w:val="000000"/>
        </w:rPr>
        <w:t>UIT-D.</w:t>
      </w:r>
    </w:p>
    <w:p w:rsidR="00E055CF" w:rsidRPr="00921A9D" w:rsidRDefault="00E055CF" w:rsidP="00E055CF">
      <w:pPr>
        <w:pStyle w:val="Heading2"/>
      </w:pPr>
      <w:r w:rsidRPr="00921A9D">
        <w:t>4.3</w:t>
      </w:r>
      <w:r w:rsidRPr="00921A9D">
        <w:tab/>
      </w:r>
      <w:bookmarkStart w:id="21" w:name="lt_pId064"/>
      <w:r w:rsidRPr="00921A9D">
        <w:t>Renforcer la participation des PME et du secteur privé aux travaux de l</w:t>
      </w:r>
      <w:r w:rsidR="005C189C" w:rsidRPr="00921A9D">
        <w:t>'</w:t>
      </w:r>
      <w:r w:rsidRPr="00921A9D">
        <w:t>UIT-D</w:t>
      </w:r>
      <w:bookmarkStart w:id="22" w:name="lt_pId065"/>
      <w:bookmarkEnd w:id="21"/>
    </w:p>
    <w:p w:rsidR="00E055CF" w:rsidRPr="00921A9D" w:rsidRDefault="00E055CF" w:rsidP="00E055CF">
      <w:pPr>
        <w:tabs>
          <w:tab w:val="left" w:pos="567"/>
        </w:tabs>
        <w:rPr>
          <w:szCs w:val="24"/>
        </w:rPr>
      </w:pPr>
      <w:r w:rsidRPr="00921A9D">
        <w:rPr>
          <w:rFonts w:eastAsia="Calibri"/>
        </w:rPr>
        <w:t>Le BDT a renforcé la collaboration et les synergies avec ses membres du secteur privé dans l</w:t>
      </w:r>
      <w:r w:rsidR="005C189C" w:rsidRPr="00921A9D">
        <w:rPr>
          <w:rFonts w:eastAsia="Calibri"/>
        </w:rPr>
        <w:t>'</w:t>
      </w:r>
      <w:r w:rsidRPr="00921A9D">
        <w:rPr>
          <w:rFonts w:eastAsia="Calibri"/>
        </w:rPr>
        <w:t>écosystème des TIC postconvergence, en nouant des partenariats avec des associations professionnelles</w:t>
      </w:r>
      <w:r w:rsidRPr="00921A9D">
        <w:rPr>
          <w:rFonts w:ascii="Calibri" w:hAnsi="Calibri"/>
        </w:rPr>
        <w:t>, des organisations régionales et internationales et leurs réseaux et membres affiliés existants.</w:t>
      </w:r>
    </w:p>
    <w:p w:rsidR="00E055CF" w:rsidRPr="00921A9D" w:rsidRDefault="00E055CF" w:rsidP="00E055CF">
      <w:pPr>
        <w:spacing w:after="120"/>
        <w:rPr>
          <w:szCs w:val="24"/>
        </w:rPr>
      </w:pPr>
      <w:r w:rsidRPr="00921A9D">
        <w:rPr>
          <w:szCs w:val="24"/>
        </w:rPr>
        <w:t xml:space="preserve">Comme suite à la Résolution 71 (Rév. Buenos Aires, 2017) de la CMDT relative au renforcement de la coopération entre les </w:t>
      </w:r>
      <w:r w:rsidR="005C189C" w:rsidRPr="00921A9D">
        <w:rPr>
          <w:szCs w:val="24"/>
        </w:rPr>
        <w:t>États</w:t>
      </w:r>
      <w:r w:rsidRPr="00921A9D">
        <w:rPr>
          <w:szCs w:val="24"/>
        </w:rPr>
        <w:t xml:space="preserve"> Membres, les Membres de Secteur, les Associés et les établissements univers</w:t>
      </w:r>
      <w:r w:rsidR="009A02A3" w:rsidRPr="00921A9D">
        <w:rPr>
          <w:szCs w:val="24"/>
        </w:rPr>
        <w:t xml:space="preserve">itaires participant aux travaux </w:t>
      </w:r>
      <w:r w:rsidRPr="00921A9D">
        <w:rPr>
          <w:szCs w:val="24"/>
        </w:rPr>
        <w:t>de l</w:t>
      </w:r>
      <w:r w:rsidR="005C189C" w:rsidRPr="00921A9D">
        <w:rPr>
          <w:szCs w:val="24"/>
        </w:rPr>
        <w:t>'</w:t>
      </w:r>
      <w:r w:rsidRPr="00921A9D">
        <w:rPr>
          <w:szCs w:val="24"/>
        </w:rPr>
        <w:t>UIT-D, la 9</w:t>
      </w:r>
      <w:r w:rsidR="009A02A3" w:rsidRPr="00921A9D">
        <w:rPr>
          <w:szCs w:val="24"/>
        </w:rPr>
        <w:t>è</w:t>
      </w:r>
      <w:r w:rsidRPr="00921A9D">
        <w:rPr>
          <w:szCs w:val="24"/>
        </w:rPr>
        <w:t>me édition de la</w:t>
      </w:r>
      <w:r w:rsidRPr="00921A9D">
        <w:rPr>
          <w:szCs w:val="24"/>
          <w:vertAlign w:val="superscript"/>
        </w:rPr>
        <w:t xml:space="preserve"> </w:t>
      </w:r>
      <w:r w:rsidRPr="00921A9D">
        <w:rPr>
          <w:b/>
          <w:i/>
          <w:szCs w:val="24"/>
        </w:rPr>
        <w:t>réunion des directeurs de la réglementation du secteur privé</w:t>
      </w:r>
      <w:r w:rsidRPr="00921A9D">
        <w:rPr>
          <w:szCs w:val="24"/>
        </w:rPr>
        <w:t xml:space="preserve"> et la réunion </w:t>
      </w:r>
      <w:r w:rsidRPr="00921A9D">
        <w:rPr>
          <w:color w:val="000000"/>
          <w:szCs w:val="24"/>
        </w:rPr>
        <w:t xml:space="preserve">du </w:t>
      </w:r>
      <w:r w:rsidRPr="00921A9D">
        <w:rPr>
          <w:b/>
          <w:i/>
          <w:color w:val="000000"/>
          <w:szCs w:val="24"/>
        </w:rPr>
        <w:t>Groupe consultatif de professionnels chargé des questions de développement (IAGDI)</w:t>
      </w:r>
      <w:r w:rsidRPr="00921A9D">
        <w:rPr>
          <w:color w:val="000000"/>
          <w:szCs w:val="24"/>
        </w:rPr>
        <w:t xml:space="preserve"> se sont toutes deux tenues le </w:t>
      </w:r>
      <w:r w:rsidR="005C189C" w:rsidRPr="00921A9D">
        <w:rPr>
          <w:szCs w:val="24"/>
        </w:rPr>
        <w:t>10 </w:t>
      </w:r>
      <w:r w:rsidRPr="00921A9D">
        <w:rPr>
          <w:szCs w:val="24"/>
        </w:rPr>
        <w:t>juillet 2018, au cours du Colloque mon</w:t>
      </w:r>
      <w:r w:rsidR="00CD458A" w:rsidRPr="00921A9D">
        <w:rPr>
          <w:szCs w:val="24"/>
        </w:rPr>
        <w:t>dial des régulateurs (GSR-18). À</w:t>
      </w:r>
      <w:r w:rsidRPr="00921A9D">
        <w:rPr>
          <w:szCs w:val="24"/>
        </w:rPr>
        <w:t xml:space="preserve"> cette occasion, plus de cent</w:t>
      </w:r>
      <w:r w:rsidRPr="00921A9D">
        <w:rPr>
          <w:rFonts w:cs="Arial"/>
        </w:rPr>
        <w:t xml:space="preserve"> hauts dirigeants du secteur privé se sont réunis pour partager des informations sur les technologies numériques émergentes et échanger des idées sur la manière de renforcer la participation du secteur privé et son implication dans les initiatives menées à l</w:t>
      </w:r>
      <w:r w:rsidR="005C189C" w:rsidRPr="00921A9D">
        <w:rPr>
          <w:rFonts w:cs="Arial"/>
        </w:rPr>
        <w:t>'</w:t>
      </w:r>
      <w:r w:rsidRPr="00921A9D">
        <w:rPr>
          <w:rFonts w:cs="Arial"/>
        </w:rPr>
        <w:t>échelle mondiale, régionale et nationale.</w:t>
      </w:r>
      <w:r w:rsidRPr="00921A9D">
        <w:rPr>
          <w:szCs w:val="24"/>
        </w:rPr>
        <w:t xml:space="preserve"> Les résultats de cette réunion conjointe ont mis l</w:t>
      </w:r>
      <w:r w:rsidR="005C189C" w:rsidRPr="00921A9D">
        <w:rPr>
          <w:szCs w:val="24"/>
        </w:rPr>
        <w:t>'</w:t>
      </w:r>
      <w:r w:rsidRPr="00921A9D">
        <w:rPr>
          <w:szCs w:val="24"/>
        </w:rPr>
        <w:t>accent sur la nécessité de favoriser l</w:t>
      </w:r>
      <w:r w:rsidR="005C189C" w:rsidRPr="00921A9D">
        <w:rPr>
          <w:szCs w:val="24"/>
        </w:rPr>
        <w:t>'</w:t>
      </w:r>
      <w:r w:rsidRPr="00921A9D">
        <w:rPr>
          <w:szCs w:val="24"/>
        </w:rPr>
        <w:t>inclusion, d</w:t>
      </w:r>
      <w:r w:rsidR="005C189C" w:rsidRPr="00921A9D">
        <w:rPr>
          <w:szCs w:val="24"/>
        </w:rPr>
        <w:t>'</w:t>
      </w:r>
      <w:r w:rsidRPr="00921A9D">
        <w:rPr>
          <w:szCs w:val="24"/>
        </w:rPr>
        <w:t>assurer le déploiement ubiquitaire de l</w:t>
      </w:r>
      <w:r w:rsidR="005C189C" w:rsidRPr="00921A9D">
        <w:rPr>
          <w:szCs w:val="24"/>
        </w:rPr>
        <w:t>'</w:t>
      </w:r>
      <w:r w:rsidRPr="00921A9D">
        <w:rPr>
          <w:szCs w:val="24"/>
        </w:rPr>
        <w:t>infrastructure et de créer un environnement propice aux investissements dans les nouvelles technologies et les nouveaux services numériques.</w:t>
      </w:r>
    </w:p>
    <w:p w:rsidR="00E055CF" w:rsidRPr="00921A9D" w:rsidRDefault="00E055CF" w:rsidP="005C189C">
      <w:pPr>
        <w:keepLines/>
        <w:spacing w:before="80"/>
        <w:rPr>
          <w:szCs w:val="24"/>
        </w:rPr>
      </w:pPr>
      <w:r w:rsidRPr="00921A9D">
        <w:rPr>
          <w:szCs w:val="24"/>
        </w:rPr>
        <w:lastRenderedPageBreak/>
        <w:t>S</w:t>
      </w:r>
      <w:r w:rsidR="005C189C" w:rsidRPr="00921A9D">
        <w:rPr>
          <w:szCs w:val="24"/>
        </w:rPr>
        <w:t>'</w:t>
      </w:r>
      <w:r w:rsidRPr="00921A9D">
        <w:rPr>
          <w:szCs w:val="24"/>
        </w:rPr>
        <w:t>appuyant sur les discussions tenues lors du Colloque mondial des régulateurs de 2018 (GSR</w:t>
      </w:r>
      <w:r w:rsidRPr="00921A9D">
        <w:rPr>
          <w:szCs w:val="24"/>
        </w:rPr>
        <w:noBreakHyphen/>
        <w:t xml:space="preserve">18), </w:t>
      </w:r>
      <w:r w:rsidRPr="00921A9D">
        <w:rPr>
          <w:b/>
          <w:i/>
          <w:szCs w:val="24"/>
        </w:rPr>
        <w:t>le débat de dirigeants du secteur privé</w:t>
      </w:r>
      <w:r w:rsidRPr="00921A9D">
        <w:rPr>
          <w:szCs w:val="24"/>
        </w:rPr>
        <w:t xml:space="preserve"> a été l</w:t>
      </w:r>
      <w:r w:rsidR="005C189C" w:rsidRPr="00921A9D">
        <w:rPr>
          <w:szCs w:val="24"/>
        </w:rPr>
        <w:t>'</w:t>
      </w:r>
      <w:r w:rsidRPr="00921A9D">
        <w:rPr>
          <w:szCs w:val="24"/>
        </w:rPr>
        <w:t>occasion d</w:t>
      </w:r>
      <w:r w:rsidR="005C189C" w:rsidRPr="00921A9D">
        <w:rPr>
          <w:szCs w:val="24"/>
        </w:rPr>
        <w:t>'</w:t>
      </w:r>
      <w:r w:rsidRPr="00921A9D">
        <w:rPr>
          <w:szCs w:val="24"/>
        </w:rPr>
        <w:t>échanger autour de tendances futures en matière de modèles d</w:t>
      </w:r>
      <w:r w:rsidR="005C189C" w:rsidRPr="00921A9D">
        <w:rPr>
          <w:szCs w:val="24"/>
        </w:rPr>
        <w:t>'</w:t>
      </w:r>
      <w:r w:rsidRPr="00921A9D">
        <w:rPr>
          <w:szCs w:val="24"/>
        </w:rPr>
        <w:t>investissement ainsi qu</w:t>
      </w:r>
      <w:r w:rsidR="005C189C" w:rsidRPr="00921A9D">
        <w:rPr>
          <w:szCs w:val="24"/>
        </w:rPr>
        <w:t>'</w:t>
      </w:r>
      <w:r w:rsidRPr="00921A9D">
        <w:rPr>
          <w:szCs w:val="24"/>
        </w:rPr>
        <w:t>autour de technologies émergentes, pour la prochaine vague de productivité du secteur.</w:t>
      </w:r>
    </w:p>
    <w:p w:rsidR="00E055CF" w:rsidRPr="00921A9D" w:rsidRDefault="00E055CF" w:rsidP="005C189C">
      <w:pPr>
        <w:spacing w:before="80"/>
        <w:rPr>
          <w:szCs w:val="24"/>
        </w:rPr>
      </w:pPr>
      <w:r w:rsidRPr="00921A9D">
        <w:rPr>
          <w:szCs w:val="24"/>
        </w:rPr>
        <w:t xml:space="preserve">La </w:t>
      </w:r>
      <w:r w:rsidRPr="00921A9D">
        <w:rPr>
          <w:b/>
          <w:bCs/>
          <w:i/>
          <w:iCs/>
          <w:szCs w:val="24"/>
        </w:rPr>
        <w:t>session spéciale UIT-ONUDI-GMIS sur les technologies et l</w:t>
      </w:r>
      <w:r w:rsidR="005C189C" w:rsidRPr="00921A9D">
        <w:rPr>
          <w:b/>
          <w:bCs/>
          <w:i/>
          <w:iCs/>
          <w:szCs w:val="24"/>
        </w:rPr>
        <w:t>'</w:t>
      </w:r>
      <w:r w:rsidRPr="00921A9D">
        <w:rPr>
          <w:b/>
          <w:bCs/>
          <w:i/>
          <w:iCs/>
          <w:szCs w:val="24"/>
        </w:rPr>
        <w:t>innovation au service de la connectivité pour un développement industriel inclusif et durable</w:t>
      </w:r>
      <w:r w:rsidRPr="00921A9D">
        <w:rPr>
          <w:szCs w:val="24"/>
        </w:rPr>
        <w:t xml:space="preserve"> sur le thème: </w:t>
      </w:r>
      <w:r w:rsidRPr="00921A9D">
        <w:rPr>
          <w:i/>
          <w:szCs w:val="24"/>
        </w:rPr>
        <w:t>Création de villes et sociétés intelligentes</w:t>
      </w:r>
      <w:r w:rsidRPr="00921A9D">
        <w:rPr>
          <w:i/>
          <w:iCs/>
          <w:szCs w:val="24"/>
        </w:rPr>
        <w:t>: utilisation des TIC pour un développement socio-économique durable</w:t>
      </w:r>
      <w:r w:rsidRPr="00921A9D">
        <w:rPr>
          <w:szCs w:val="24"/>
        </w:rPr>
        <w:t>, qui s</w:t>
      </w:r>
      <w:r w:rsidR="005C189C" w:rsidRPr="00921A9D">
        <w:rPr>
          <w:szCs w:val="24"/>
        </w:rPr>
        <w:t>'</w:t>
      </w:r>
      <w:r w:rsidRPr="00921A9D">
        <w:rPr>
          <w:szCs w:val="24"/>
        </w:rPr>
        <w:t>est tenue le 1er octobre 2018 à Genève, au siège de l</w:t>
      </w:r>
      <w:r w:rsidR="005C189C" w:rsidRPr="00921A9D">
        <w:rPr>
          <w:szCs w:val="24"/>
        </w:rPr>
        <w:t>'</w:t>
      </w:r>
      <w:r w:rsidRPr="00921A9D">
        <w:rPr>
          <w:szCs w:val="24"/>
        </w:rPr>
        <w:t xml:space="preserve">UIT, juste avant la réunion du Groupe du rapporteur pour la Question 1/2 de la </w:t>
      </w:r>
      <w:r w:rsidR="00D147AA" w:rsidRPr="00921A9D">
        <w:rPr>
          <w:szCs w:val="24"/>
        </w:rPr>
        <w:t>C</w:t>
      </w:r>
      <w:r w:rsidRPr="00921A9D">
        <w:rPr>
          <w:szCs w:val="24"/>
        </w:rPr>
        <w:t>ommission d</w:t>
      </w:r>
      <w:r w:rsidR="005C189C" w:rsidRPr="00921A9D">
        <w:rPr>
          <w:szCs w:val="24"/>
        </w:rPr>
        <w:t>'</w:t>
      </w:r>
      <w:r w:rsidRPr="00921A9D">
        <w:rPr>
          <w:szCs w:val="24"/>
        </w:rPr>
        <w:t>études 2 de l</w:t>
      </w:r>
      <w:r w:rsidR="005C189C" w:rsidRPr="00921A9D">
        <w:rPr>
          <w:szCs w:val="24"/>
        </w:rPr>
        <w:t>'</w:t>
      </w:r>
      <w:r w:rsidRPr="00921A9D">
        <w:rPr>
          <w:szCs w:val="24"/>
        </w:rPr>
        <w:t>UIT-D, a abordé la question de la collaboration avec d</w:t>
      </w:r>
      <w:r w:rsidR="005C189C" w:rsidRPr="00921A9D">
        <w:rPr>
          <w:szCs w:val="24"/>
        </w:rPr>
        <w:t>'</w:t>
      </w:r>
      <w:r w:rsidRPr="00921A9D">
        <w:rPr>
          <w:szCs w:val="24"/>
        </w:rPr>
        <w:t>autres organisations s</w:t>
      </w:r>
      <w:r w:rsidR="005C189C" w:rsidRPr="00921A9D">
        <w:rPr>
          <w:szCs w:val="24"/>
        </w:rPr>
        <w:t>'</w:t>
      </w:r>
      <w:r w:rsidRPr="00921A9D">
        <w:rPr>
          <w:szCs w:val="24"/>
        </w:rPr>
        <w:t>intéressant à la question de l</w:t>
      </w:r>
      <w:r w:rsidR="005C189C" w:rsidRPr="00921A9D">
        <w:rPr>
          <w:szCs w:val="24"/>
        </w:rPr>
        <w:t>'</w:t>
      </w:r>
      <w:r w:rsidRPr="00921A9D">
        <w:rPr>
          <w:szCs w:val="24"/>
        </w:rPr>
        <w:t xml:space="preserve">industrie. Cette session spéciale a réuni 121 participants, parmi lesquels des représentants des </w:t>
      </w:r>
      <w:r w:rsidR="005C189C" w:rsidRPr="00921A9D">
        <w:rPr>
          <w:szCs w:val="24"/>
        </w:rPr>
        <w:t>États</w:t>
      </w:r>
      <w:r w:rsidRPr="00921A9D">
        <w:rPr>
          <w:szCs w:val="24"/>
        </w:rPr>
        <w:t xml:space="preserve"> Membres, du secteur privé, des membres de l</w:t>
      </w:r>
      <w:r w:rsidR="005C189C" w:rsidRPr="00921A9D">
        <w:rPr>
          <w:szCs w:val="24"/>
        </w:rPr>
        <w:t>'</w:t>
      </w:r>
      <w:r w:rsidRPr="00921A9D">
        <w:rPr>
          <w:szCs w:val="24"/>
        </w:rPr>
        <w:t>UIT-D, des représentants de l</w:t>
      </w:r>
      <w:r w:rsidR="005C189C" w:rsidRPr="00921A9D">
        <w:rPr>
          <w:szCs w:val="24"/>
        </w:rPr>
        <w:t>'</w:t>
      </w:r>
      <w:r w:rsidRPr="00921A9D">
        <w:rPr>
          <w:szCs w:val="24"/>
        </w:rPr>
        <w:t>ONUDI, de l</w:t>
      </w:r>
      <w:r w:rsidR="005C189C" w:rsidRPr="00921A9D">
        <w:rPr>
          <w:szCs w:val="24"/>
        </w:rPr>
        <w:t>'</w:t>
      </w:r>
      <w:r w:rsidRPr="00921A9D">
        <w:rPr>
          <w:szCs w:val="24"/>
        </w:rPr>
        <w:t>OMC, du BIT, du PAM et du PNUE, entre autres. Les tables rondes ont été l</w:t>
      </w:r>
      <w:r w:rsidR="005C189C" w:rsidRPr="00921A9D">
        <w:rPr>
          <w:szCs w:val="24"/>
        </w:rPr>
        <w:t>'</w:t>
      </w:r>
      <w:r w:rsidRPr="00921A9D">
        <w:rPr>
          <w:szCs w:val="24"/>
        </w:rPr>
        <w:t>occasion de présenter des solutions visant à permettre la création de villes intelligentes et durables, et d</w:t>
      </w:r>
      <w:r w:rsidR="005C189C" w:rsidRPr="00921A9D">
        <w:rPr>
          <w:szCs w:val="24"/>
        </w:rPr>
        <w:t>'</w:t>
      </w:r>
      <w:r w:rsidRPr="00921A9D">
        <w:rPr>
          <w:szCs w:val="24"/>
        </w:rPr>
        <w:t>exposer les avantages que peuvent offrir l</w:t>
      </w:r>
      <w:r w:rsidR="005C189C" w:rsidRPr="00921A9D">
        <w:rPr>
          <w:szCs w:val="24"/>
        </w:rPr>
        <w:t>'</w:t>
      </w:r>
      <w:r w:rsidRPr="00921A9D">
        <w:rPr>
          <w:szCs w:val="24"/>
        </w:rPr>
        <w:t>IoT, l</w:t>
      </w:r>
      <w:r w:rsidR="005C189C" w:rsidRPr="00921A9D">
        <w:rPr>
          <w:szCs w:val="24"/>
        </w:rPr>
        <w:t>'</w:t>
      </w:r>
      <w:r w:rsidRPr="00921A9D">
        <w:rPr>
          <w:szCs w:val="24"/>
        </w:rPr>
        <w:t>intelligence artificielle (IA) et les mégadonnées aux sociétés intelligentes</w:t>
      </w:r>
      <w:r w:rsidR="005C189C" w:rsidRPr="00921A9D">
        <w:rPr>
          <w:szCs w:val="24"/>
        </w:rPr>
        <w:t>.</w:t>
      </w:r>
    </w:p>
    <w:p w:rsidR="00E055CF" w:rsidRPr="00921A9D" w:rsidRDefault="00E055CF" w:rsidP="005C189C">
      <w:pPr>
        <w:spacing w:before="80"/>
        <w:rPr>
          <w:szCs w:val="24"/>
        </w:rPr>
      </w:pPr>
      <w:r w:rsidRPr="00921A9D">
        <w:rPr>
          <w:szCs w:val="24"/>
        </w:rPr>
        <w:t>En application de la décision prise par le Conseil à sa session de 2017 de mener un projet pilote permettant la participation des PME aux travaux des Commissions d</w:t>
      </w:r>
      <w:r w:rsidR="005C189C" w:rsidRPr="00921A9D">
        <w:rPr>
          <w:szCs w:val="24"/>
        </w:rPr>
        <w:t>'</w:t>
      </w:r>
      <w:r w:rsidRPr="00921A9D">
        <w:rPr>
          <w:szCs w:val="24"/>
        </w:rPr>
        <w:t>études de l</w:t>
      </w:r>
      <w:r w:rsidR="005C189C" w:rsidRPr="00921A9D">
        <w:rPr>
          <w:szCs w:val="24"/>
        </w:rPr>
        <w:t>'</w:t>
      </w:r>
      <w:r w:rsidRPr="00921A9D">
        <w:rPr>
          <w:szCs w:val="24"/>
        </w:rPr>
        <w:t>UIT-T et de l</w:t>
      </w:r>
      <w:r w:rsidR="005C189C" w:rsidRPr="00921A9D">
        <w:rPr>
          <w:szCs w:val="24"/>
        </w:rPr>
        <w:t>'UIT</w:t>
      </w:r>
      <w:r w:rsidR="005C189C" w:rsidRPr="00921A9D">
        <w:rPr>
          <w:szCs w:val="24"/>
        </w:rPr>
        <w:noBreakHyphen/>
      </w:r>
      <w:r w:rsidRPr="00921A9D">
        <w:rPr>
          <w:szCs w:val="24"/>
        </w:rPr>
        <w:t>D, le BDT a lancé ce projet pilote en invitant les PME à participer à la nouvelle période d</w:t>
      </w:r>
      <w:r w:rsidR="005C189C" w:rsidRPr="00921A9D">
        <w:rPr>
          <w:szCs w:val="24"/>
        </w:rPr>
        <w:t>'</w:t>
      </w:r>
      <w:r w:rsidRPr="00921A9D">
        <w:rPr>
          <w:szCs w:val="24"/>
        </w:rPr>
        <w:t>études de l</w:t>
      </w:r>
      <w:r w:rsidR="005C189C" w:rsidRPr="00921A9D">
        <w:rPr>
          <w:szCs w:val="24"/>
        </w:rPr>
        <w:t>'</w:t>
      </w:r>
      <w:r w:rsidRPr="00921A9D">
        <w:rPr>
          <w:szCs w:val="24"/>
        </w:rPr>
        <w:t>UIT-D commençant en 2018. Sept PME basées en Italie, au Royaume-Uni, au Japon, en Estonie et en Pologne (par exemple Proge-Software, Forum Europe, DAIWA Computer, Guardtime, Melody International, Orange TechLab, SatRevolution et ASTEM</w:t>
      </w:r>
      <w:r w:rsidRPr="00921A9D">
        <w:rPr>
          <w:i/>
          <w:iCs/>
          <w:szCs w:val="24"/>
        </w:rPr>
        <w:t>)</w:t>
      </w:r>
      <w:r w:rsidRPr="00921A9D">
        <w:rPr>
          <w:szCs w:val="24"/>
        </w:rPr>
        <w:t xml:space="preserve"> ont ainsi participé aux travaux des Commissions d</w:t>
      </w:r>
      <w:r w:rsidR="005C189C" w:rsidRPr="00921A9D">
        <w:rPr>
          <w:szCs w:val="24"/>
        </w:rPr>
        <w:t>'</w:t>
      </w:r>
      <w:r w:rsidRPr="00921A9D">
        <w:rPr>
          <w:szCs w:val="24"/>
        </w:rPr>
        <w:t>études. Nombre d</w:t>
      </w:r>
      <w:r w:rsidR="005C189C" w:rsidRPr="00921A9D">
        <w:rPr>
          <w:szCs w:val="24"/>
        </w:rPr>
        <w:t>'</w:t>
      </w:r>
      <w:r w:rsidRPr="00921A9D">
        <w:rPr>
          <w:szCs w:val="24"/>
        </w:rPr>
        <w:t>entre elles ont soumis des contributions sur différentes questions, notamment la cybersécurité, les applications des TIC et l</w:t>
      </w:r>
      <w:r w:rsidR="005C189C" w:rsidRPr="00921A9D">
        <w:rPr>
          <w:szCs w:val="24"/>
        </w:rPr>
        <w:t>'</w:t>
      </w:r>
      <w:r w:rsidRPr="00921A9D">
        <w:rPr>
          <w:szCs w:val="24"/>
        </w:rPr>
        <w:t>informatique en nuage. Au vu du succès remporté par ce projet pilote, et reconnaissant le rôle essentiel que jouent les PME pour la croissance et le développement économique, la PP-18 a par la suite adopté la Résolution 209 (Dubaï, 2018) sur les PME.</w:t>
      </w:r>
    </w:p>
    <w:p w:rsidR="00E055CF" w:rsidRPr="00921A9D" w:rsidRDefault="00E055CF" w:rsidP="005C189C">
      <w:pPr>
        <w:pStyle w:val="Heading1"/>
        <w:spacing w:before="120"/>
        <w:rPr>
          <w:rFonts w:eastAsia="SimHei"/>
        </w:rPr>
      </w:pPr>
      <w:bookmarkStart w:id="23" w:name="lt_pId074"/>
      <w:bookmarkEnd w:id="22"/>
      <w:r w:rsidRPr="00921A9D">
        <w:t>5</w:t>
      </w:r>
      <w:r w:rsidRPr="00921A9D">
        <w:rPr>
          <w:rFonts w:eastAsia="SimHei"/>
        </w:rPr>
        <w:tab/>
        <w:t>Perspectives d</w:t>
      </w:r>
      <w:r w:rsidR="005C189C" w:rsidRPr="00921A9D">
        <w:rPr>
          <w:rFonts w:eastAsia="SimHei"/>
        </w:rPr>
        <w:t>'</w:t>
      </w:r>
      <w:r w:rsidRPr="00921A9D">
        <w:rPr>
          <w:rFonts w:eastAsia="SimHei"/>
        </w:rPr>
        <w:t>avenir</w:t>
      </w:r>
    </w:p>
    <w:p w:rsidR="00E055CF" w:rsidRPr="00921A9D" w:rsidRDefault="00E055CF" w:rsidP="005C189C">
      <w:pPr>
        <w:spacing w:before="80"/>
      </w:pPr>
      <w:r w:rsidRPr="00921A9D">
        <w:rPr>
          <w:szCs w:val="24"/>
        </w:rPr>
        <w:t>Alors que les programmes, projets, initiatives et activités de l</w:t>
      </w:r>
      <w:r w:rsidR="005C189C" w:rsidRPr="00921A9D">
        <w:rPr>
          <w:szCs w:val="24"/>
        </w:rPr>
        <w:t>'</w:t>
      </w:r>
      <w:r w:rsidRPr="00921A9D">
        <w:rPr>
          <w:szCs w:val="24"/>
        </w:rPr>
        <w:t>UIT-D dans ses domaines d</w:t>
      </w:r>
      <w:r w:rsidR="005C189C" w:rsidRPr="00921A9D">
        <w:rPr>
          <w:szCs w:val="24"/>
        </w:rPr>
        <w:t>'</w:t>
      </w:r>
      <w:r w:rsidRPr="00921A9D">
        <w:rPr>
          <w:szCs w:val="24"/>
        </w:rPr>
        <w:t>activité fournissent des produits et des services aux membres de l</w:t>
      </w:r>
      <w:r w:rsidR="005C189C" w:rsidRPr="00921A9D">
        <w:rPr>
          <w:szCs w:val="24"/>
        </w:rPr>
        <w:t>'</w:t>
      </w:r>
      <w:r w:rsidRPr="00921A9D">
        <w:rPr>
          <w:szCs w:val="24"/>
        </w:rPr>
        <w:t>UIT, le BDT continuera de renforcer les services qu</w:t>
      </w:r>
      <w:r w:rsidR="005C189C" w:rsidRPr="00921A9D">
        <w:rPr>
          <w:szCs w:val="24"/>
        </w:rPr>
        <w:t>'</w:t>
      </w:r>
      <w:r w:rsidRPr="00921A9D">
        <w:rPr>
          <w:szCs w:val="24"/>
        </w:rPr>
        <w:t xml:space="preserve">il offre à ses membres, de façon à favoriser une plus grande mobilisation des membres existants, nouveaux et potentiels, y compris les PME et les établissements universitaires, </w:t>
      </w:r>
      <w:bookmarkEnd w:id="23"/>
      <w:r w:rsidRPr="00921A9D">
        <w:rPr>
          <w:szCs w:val="24"/>
        </w:rPr>
        <w:t>en partageant et en faisant connaître les produits du BDT et les incidences qu</w:t>
      </w:r>
      <w:r w:rsidR="005C189C" w:rsidRPr="00921A9D">
        <w:rPr>
          <w:szCs w:val="24"/>
        </w:rPr>
        <w:t>'</w:t>
      </w:r>
      <w:r w:rsidRPr="00921A9D">
        <w:rPr>
          <w:szCs w:val="24"/>
        </w:rPr>
        <w:t>ils peuvent avoir, dans le cadre de séminaires en ligne, d</w:t>
      </w:r>
      <w:r w:rsidR="005C189C" w:rsidRPr="00921A9D">
        <w:rPr>
          <w:szCs w:val="24"/>
        </w:rPr>
        <w:t>'</w:t>
      </w:r>
      <w:r w:rsidRPr="00921A9D">
        <w:t>échanges informels</w:t>
      </w:r>
      <w:r w:rsidR="005C189C" w:rsidRPr="00921A9D">
        <w:t>, de témoignages et autres.</w:t>
      </w:r>
    </w:p>
    <w:p w:rsidR="00E055CF" w:rsidRPr="00921A9D" w:rsidRDefault="00E055CF" w:rsidP="005C189C">
      <w:pPr>
        <w:spacing w:before="80"/>
        <w:rPr>
          <w:rFonts w:ascii="Calibri" w:hAnsi="Calibri"/>
          <w:sz w:val="22"/>
          <w:lang w:eastAsia="zh-CN"/>
        </w:rPr>
      </w:pPr>
      <w:r w:rsidRPr="00921A9D">
        <w:t>Des appels à nouer des partenariats multi-parties prenantes dans le cadre de différentes plates-formes, programmes et initiatives régionales seront lancés en vue d</w:t>
      </w:r>
      <w:r w:rsidR="005C189C" w:rsidRPr="00921A9D">
        <w:t>'</w:t>
      </w:r>
      <w:r w:rsidRPr="00921A9D">
        <w:t>aider l</w:t>
      </w:r>
      <w:r w:rsidR="005C189C" w:rsidRPr="00921A9D">
        <w:t>'</w:t>
      </w:r>
      <w:r w:rsidRPr="00921A9D">
        <w:t>UIT-D à atteindre les Objectifs de développement durable (ODD), conformément à la mission qui lui a été confiée.</w:t>
      </w:r>
    </w:p>
    <w:p w:rsidR="00E055CF" w:rsidRPr="00921A9D" w:rsidRDefault="00E055CF" w:rsidP="005C189C">
      <w:pPr>
        <w:spacing w:before="80"/>
        <w:rPr>
          <w:rFonts w:ascii="Calibri" w:hAnsi="Calibri"/>
        </w:rPr>
      </w:pPr>
      <w:r w:rsidRPr="00921A9D">
        <w:t>La diversité des Membres de Secteur et des Associés, et le nombre croissant d</w:t>
      </w:r>
      <w:r w:rsidR="005C189C" w:rsidRPr="00921A9D">
        <w:t>'</w:t>
      </w:r>
      <w:r w:rsidRPr="00921A9D">
        <w:t>établissements universitaires participant aux travaux de l</w:t>
      </w:r>
      <w:r w:rsidR="005C189C" w:rsidRPr="00921A9D">
        <w:t>'</w:t>
      </w:r>
      <w:r w:rsidRPr="00921A9D">
        <w:t>UIT continuent de favoriser la collaboration et les échanges dans un écosystème des TIC postconvergence. L</w:t>
      </w:r>
      <w:r w:rsidRPr="00921A9D">
        <w:rPr>
          <w:rFonts w:eastAsia="Calibri"/>
        </w:rPr>
        <w:t>e BDT continuera d</w:t>
      </w:r>
      <w:r w:rsidR="005C189C" w:rsidRPr="00921A9D">
        <w:rPr>
          <w:rFonts w:eastAsia="Calibri"/>
        </w:rPr>
        <w:t>'</w:t>
      </w:r>
      <w:r w:rsidRPr="00921A9D">
        <w:rPr>
          <w:rFonts w:eastAsia="Calibri"/>
        </w:rPr>
        <w:t>axer ses efforts sur des approches multi-parties prenantes en vue de renforcer la mobilisation et les partenariats avec les membres et leurs réseaux au moyen de plates-formes BDT/UIT mises en place en coordination et coopération étroites, aux niveaux mondial et régional</w:t>
      </w:r>
      <w:r w:rsidRPr="00921A9D">
        <w:rPr>
          <w:rFonts w:ascii="Calibri" w:hAnsi="Calibri"/>
        </w:rPr>
        <w:t>.</w:t>
      </w:r>
    </w:p>
    <w:p w:rsidR="00D040F7" w:rsidRPr="00921A9D" w:rsidRDefault="00E055CF" w:rsidP="005C189C">
      <w:pPr>
        <w:spacing w:before="80"/>
      </w:pPr>
      <w:r w:rsidRPr="00921A9D">
        <w:rPr>
          <w:color w:val="000000"/>
        </w:rPr>
        <w:t xml:space="preserve">Les membres, en particulier les </w:t>
      </w:r>
      <w:r w:rsidR="005C189C" w:rsidRPr="00921A9D">
        <w:rPr>
          <w:color w:val="000000"/>
        </w:rPr>
        <w:t>États</w:t>
      </w:r>
      <w:r w:rsidRPr="00921A9D">
        <w:rPr>
          <w:color w:val="000000"/>
        </w:rPr>
        <w:t xml:space="preserve"> Membres, sont</w:t>
      </w:r>
      <w:r w:rsidRPr="00921A9D">
        <w:rPr>
          <w:rFonts w:ascii="Calibri" w:hAnsi="Calibri"/>
        </w:rPr>
        <w:t xml:space="preserve"> invités à encourager le secteur privé, les PME et les établissements universitaires de leur pays à participer et à contribuer aux travaux de l</w:t>
      </w:r>
      <w:r w:rsidR="005C189C" w:rsidRPr="00921A9D">
        <w:rPr>
          <w:rFonts w:ascii="Calibri" w:hAnsi="Calibri"/>
        </w:rPr>
        <w:t>'</w:t>
      </w:r>
      <w:r w:rsidRPr="00921A9D">
        <w:rPr>
          <w:rFonts w:ascii="Calibri" w:hAnsi="Calibri"/>
        </w:rPr>
        <w:t>UIT-D.</w:t>
      </w:r>
      <w:bookmarkStart w:id="24" w:name="Proposal"/>
      <w:bookmarkEnd w:id="24"/>
    </w:p>
    <w:p w:rsidR="00836BDB" w:rsidRPr="00921A9D" w:rsidRDefault="003C58BF" w:rsidP="009A02A3">
      <w:pPr>
        <w:tabs>
          <w:tab w:val="clear" w:pos="794"/>
          <w:tab w:val="clear" w:pos="1191"/>
          <w:tab w:val="clear" w:pos="1588"/>
          <w:tab w:val="clear" w:pos="1985"/>
        </w:tabs>
        <w:spacing w:after="120"/>
        <w:jc w:val="center"/>
      </w:pPr>
      <w:r w:rsidRPr="00921A9D">
        <w:t>_____________</w:t>
      </w:r>
      <w:r w:rsidR="004122C5" w:rsidRPr="00921A9D">
        <w:t>_</w:t>
      </w:r>
      <w:r w:rsidR="00922EC1" w:rsidRPr="00921A9D">
        <w:t>_</w:t>
      </w:r>
    </w:p>
    <w:sectPr w:rsidR="00836BDB" w:rsidRPr="00921A9D"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5CF" w:rsidRDefault="00E055CF">
      <w:r>
        <w:separator/>
      </w:r>
    </w:p>
  </w:endnote>
  <w:endnote w:type="continuationSeparator" w:id="0">
    <w:p w:rsidR="00E055CF" w:rsidRDefault="00E0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0E2BDD" w:rsidRDefault="00721657" w:rsidP="000E2BDD">
    <w:pPr>
      <w:pStyle w:val="Footer"/>
      <w:rPr>
        <w:caps w:val="0"/>
        <w:szCs w:val="16"/>
        <w:lang w:val="es-ES"/>
      </w:rPr>
    </w:pPr>
    <w:r w:rsidRPr="000E2BDD">
      <w:rPr>
        <w:caps w:val="0"/>
        <w:szCs w:val="16"/>
      </w:rPr>
      <w:fldChar w:fldCharType="begin"/>
    </w:r>
    <w:r w:rsidRPr="000E2BDD">
      <w:rPr>
        <w:caps w:val="0"/>
        <w:szCs w:val="16"/>
        <w:lang w:val="es-ES"/>
      </w:rPr>
      <w:instrText xml:space="preserve"> FILENAME \p \* MERGEFORMAT </w:instrText>
    </w:r>
    <w:r w:rsidRPr="000E2BDD">
      <w:rPr>
        <w:caps w:val="0"/>
        <w:szCs w:val="16"/>
      </w:rPr>
      <w:fldChar w:fldCharType="separate"/>
    </w:r>
    <w:r w:rsidR="00825A50">
      <w:rPr>
        <w:caps w:val="0"/>
        <w:szCs w:val="16"/>
        <w:lang w:val="es-ES"/>
      </w:rPr>
      <w:t>P:\FRA\ITU-D\CONF-D\TDAG19\000\020F.docx</w:t>
    </w:r>
    <w:r w:rsidRPr="000E2BDD">
      <w:rPr>
        <w:caps w:val="0"/>
        <w:szCs w:val="16"/>
        <w:lang w:val="en-US"/>
      </w:rPr>
      <w:fldChar w:fldCharType="end"/>
    </w:r>
    <w:r w:rsidR="000E2BDD" w:rsidRPr="000E2BDD">
      <w:rPr>
        <w:caps w:val="0"/>
        <w:szCs w:val="16"/>
        <w:lang w:val="es-ES"/>
      </w:rPr>
      <w:t xml:space="preserve"> (449226)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055CF" w:rsidRPr="004D495C" w:rsidTr="00E055CF">
      <w:tc>
        <w:tcPr>
          <w:tcW w:w="1526" w:type="dxa"/>
          <w:tcBorders>
            <w:top w:val="single" w:sz="4" w:space="0" w:color="000000"/>
          </w:tcBorders>
          <w:shd w:val="clear" w:color="auto" w:fill="auto"/>
        </w:tcPr>
        <w:p w:rsidR="00E055CF" w:rsidRPr="004D495C" w:rsidRDefault="00E055CF" w:rsidP="00E055C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055CF" w:rsidRPr="004D495C" w:rsidRDefault="00E055CF" w:rsidP="00E055CF">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rsidR="00E055CF" w:rsidRPr="00DE1FF6" w:rsidRDefault="00E055CF" w:rsidP="00E055CF">
          <w:pPr>
            <w:pStyle w:val="FirstFooter"/>
            <w:tabs>
              <w:tab w:val="left" w:pos="1201"/>
            </w:tabs>
            <w:rPr>
              <w:sz w:val="18"/>
              <w:szCs w:val="18"/>
              <w:lang w:val="fr-CH"/>
            </w:rPr>
          </w:pPr>
          <w:r>
            <w:rPr>
              <w:sz w:val="18"/>
              <w:szCs w:val="18"/>
              <w:lang w:val="fr-CH"/>
            </w:rPr>
            <w:t xml:space="preserve">Mme </w:t>
          </w:r>
          <w:r w:rsidRPr="00DE1FF6">
            <w:rPr>
              <w:sz w:val="18"/>
              <w:szCs w:val="18"/>
              <w:lang w:val="fr-CH"/>
            </w:rPr>
            <w:t>Eun-Ju Kim, Chef</w:t>
          </w:r>
          <w:r>
            <w:rPr>
              <w:sz w:val="18"/>
              <w:szCs w:val="18"/>
              <w:lang w:val="fr-CH"/>
            </w:rPr>
            <w:t xml:space="preserve"> du </w:t>
          </w:r>
          <w:r w:rsidRPr="00DE1FF6">
            <w:rPr>
              <w:sz w:val="18"/>
              <w:szCs w:val="18"/>
              <w:lang w:val="fr-CH"/>
            </w:rPr>
            <w:t>Département de l</w:t>
          </w:r>
          <w:r w:rsidR="005C189C">
            <w:rPr>
              <w:sz w:val="18"/>
              <w:szCs w:val="18"/>
              <w:lang w:val="fr-CH"/>
            </w:rPr>
            <w:t>'</w:t>
          </w:r>
          <w:r w:rsidRPr="00DE1FF6">
            <w:rPr>
              <w:sz w:val="18"/>
              <w:szCs w:val="18"/>
              <w:lang w:val="fr-CH"/>
            </w:rPr>
            <w:t>innovation et des partenariats, Bureau de développement des télécommunications</w:t>
          </w:r>
        </w:p>
      </w:tc>
      <w:bookmarkStart w:id="25" w:name="OrgName"/>
      <w:bookmarkEnd w:id="25"/>
    </w:tr>
    <w:tr w:rsidR="00E055CF" w:rsidRPr="004D495C" w:rsidTr="00E055CF">
      <w:tc>
        <w:tcPr>
          <w:tcW w:w="1526" w:type="dxa"/>
          <w:shd w:val="clear" w:color="auto" w:fill="auto"/>
        </w:tcPr>
        <w:p w:rsidR="00E055CF" w:rsidRPr="00E055CF" w:rsidRDefault="00E055CF" w:rsidP="00E055CF">
          <w:pPr>
            <w:pStyle w:val="FirstFooter"/>
            <w:tabs>
              <w:tab w:val="left" w:pos="1559"/>
              <w:tab w:val="left" w:pos="3828"/>
            </w:tabs>
            <w:rPr>
              <w:sz w:val="20"/>
            </w:rPr>
          </w:pPr>
        </w:p>
      </w:tc>
      <w:tc>
        <w:tcPr>
          <w:tcW w:w="2410" w:type="dxa"/>
          <w:shd w:val="clear" w:color="auto" w:fill="auto"/>
        </w:tcPr>
        <w:p w:rsidR="00E055CF" w:rsidRPr="004D495C" w:rsidRDefault="00E055CF" w:rsidP="00E055CF">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rsidR="00E055CF" w:rsidRPr="00103886" w:rsidRDefault="00E055CF" w:rsidP="00E055CF">
          <w:pPr>
            <w:pStyle w:val="FirstFooter"/>
            <w:tabs>
              <w:tab w:val="left" w:pos="2302"/>
            </w:tabs>
            <w:rPr>
              <w:sz w:val="18"/>
              <w:szCs w:val="18"/>
              <w:lang w:val="en-US"/>
            </w:rPr>
          </w:pPr>
          <w:r>
            <w:rPr>
              <w:sz w:val="18"/>
              <w:szCs w:val="18"/>
              <w:lang w:val="en-US"/>
            </w:rPr>
            <w:t>+41 22 730 5900</w:t>
          </w:r>
        </w:p>
      </w:tc>
      <w:bookmarkStart w:id="26" w:name="PhoneNo"/>
      <w:bookmarkEnd w:id="26"/>
    </w:tr>
    <w:tr w:rsidR="00E055CF" w:rsidRPr="00744320" w:rsidTr="00E055CF">
      <w:tc>
        <w:tcPr>
          <w:tcW w:w="1526" w:type="dxa"/>
          <w:shd w:val="clear" w:color="auto" w:fill="auto"/>
        </w:tcPr>
        <w:p w:rsidR="00E055CF" w:rsidRPr="004D495C" w:rsidRDefault="00E055CF" w:rsidP="00E055CF">
          <w:pPr>
            <w:pStyle w:val="FirstFooter"/>
            <w:tabs>
              <w:tab w:val="left" w:pos="1559"/>
              <w:tab w:val="left" w:pos="3828"/>
            </w:tabs>
            <w:rPr>
              <w:sz w:val="20"/>
              <w:lang w:val="en-US"/>
            </w:rPr>
          </w:pPr>
        </w:p>
      </w:tc>
      <w:tc>
        <w:tcPr>
          <w:tcW w:w="2410" w:type="dxa"/>
          <w:shd w:val="clear" w:color="auto" w:fill="auto"/>
        </w:tcPr>
        <w:p w:rsidR="00E055CF" w:rsidRPr="004D495C" w:rsidRDefault="00E055CF" w:rsidP="00E055CF">
          <w:pPr>
            <w:pStyle w:val="FirstFooter"/>
            <w:tabs>
              <w:tab w:val="left" w:pos="2302"/>
            </w:tabs>
            <w:rPr>
              <w:sz w:val="18"/>
              <w:szCs w:val="18"/>
              <w:lang w:val="en-US"/>
            </w:rPr>
          </w:pPr>
          <w:r>
            <w:rPr>
              <w:sz w:val="18"/>
              <w:szCs w:val="18"/>
              <w:lang w:val="en-US"/>
            </w:rPr>
            <w:t>Courriel:</w:t>
          </w:r>
        </w:p>
      </w:tc>
      <w:tc>
        <w:tcPr>
          <w:tcW w:w="5987" w:type="dxa"/>
        </w:tcPr>
        <w:p w:rsidR="00E055CF" w:rsidRPr="00E5653A" w:rsidRDefault="004E3B74" w:rsidP="00E055CF">
          <w:pPr>
            <w:pStyle w:val="FirstFooter"/>
            <w:tabs>
              <w:tab w:val="left" w:pos="2302"/>
            </w:tabs>
            <w:rPr>
              <w:sz w:val="18"/>
              <w:szCs w:val="18"/>
              <w:lang w:val="en-US"/>
            </w:rPr>
          </w:pPr>
          <w:hyperlink r:id="rId1" w:history="1">
            <w:r w:rsidR="00E055CF" w:rsidRPr="00996114">
              <w:rPr>
                <w:rStyle w:val="Hyperlink"/>
                <w:sz w:val="18"/>
                <w:szCs w:val="18"/>
                <w:lang w:val="en-US"/>
              </w:rPr>
              <w:t>eun-ju.kim@itu.int</w:t>
            </w:r>
          </w:hyperlink>
        </w:p>
      </w:tc>
      <w:bookmarkStart w:id="27" w:name="Email"/>
      <w:bookmarkEnd w:id="27"/>
    </w:tr>
  </w:tbl>
  <w:p w:rsidR="00A454E1" w:rsidRPr="00E055CF" w:rsidRDefault="00A454E1" w:rsidP="00B80157">
    <w:pPr>
      <w:pStyle w:val="Footer"/>
      <w:jc w:val="center"/>
      <w:rPr>
        <w:lang w:val="en-US"/>
      </w:rPr>
    </w:pPr>
  </w:p>
  <w:p w:rsidR="00721657" w:rsidRPr="008802F9" w:rsidRDefault="004E3B74" w:rsidP="00B80157">
    <w:pPr>
      <w:pStyle w:val="Footer"/>
      <w:jc w:val="center"/>
    </w:pPr>
    <w:hyperlink r:id="rId2" w:history="1">
      <w:r w:rsidR="00851060">
        <w:rPr>
          <w:rStyle w:val="Hyperlink"/>
          <w:caps w:val="0"/>
          <w:noProof w:val="0"/>
          <w:sz w:val="18"/>
          <w:szCs w:val="18"/>
          <w:lang w:val="fr-CH"/>
        </w:rPr>
        <w:t>GCDT</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5CF" w:rsidRDefault="00E055CF">
      <w:r>
        <w:t>____________________</w:t>
      </w:r>
    </w:p>
  </w:footnote>
  <w:footnote w:type="continuationSeparator" w:id="0">
    <w:p w:rsidR="00E055CF" w:rsidRDefault="00E055CF">
      <w:r>
        <w:continuationSeparator/>
      </w:r>
    </w:p>
  </w:footnote>
  <w:footnote w:id="1">
    <w:p w:rsidR="00E055CF" w:rsidRPr="0077544A" w:rsidRDefault="00E055CF" w:rsidP="00E055CF">
      <w:pPr>
        <w:pStyle w:val="FootnoteText"/>
      </w:pPr>
      <w:r>
        <w:rPr>
          <w:rStyle w:val="FootnoteReference"/>
        </w:rPr>
        <w:footnoteRef/>
      </w:r>
      <w:bookmarkStart w:id="13" w:name="lt_pId093"/>
      <w:r w:rsidRPr="0077544A">
        <w:tab/>
      </w:r>
      <w:r>
        <w:t xml:space="preserve">Les </w:t>
      </w:r>
      <w:r w:rsidRPr="0077544A">
        <w:t>établissements universitaires</w:t>
      </w:r>
      <w:r>
        <w:t xml:space="preserve"> s</w:t>
      </w:r>
      <w:r w:rsidR="005C189C">
        <w:t>'</w:t>
      </w:r>
      <w:r>
        <w:t>acquittent d</w:t>
      </w:r>
      <w:r w:rsidR="005C189C">
        <w:t>'</w:t>
      </w:r>
      <w:r>
        <w:t>un droit unique pour participer aux travaux des trois Secteurs</w:t>
      </w:r>
      <w:r w:rsidRPr="0077544A">
        <w:t>.</w:t>
      </w:r>
      <w:bookmarkEnd w:id="13"/>
      <w:r w:rsidRPr="0077544A">
        <w:t xml:space="preserve"> </w:t>
      </w:r>
    </w:p>
  </w:footnote>
  <w:footnote w:id="2">
    <w:p w:rsidR="00E055CF" w:rsidRPr="005C189C" w:rsidRDefault="00E055CF" w:rsidP="005C189C">
      <w:pPr>
        <w:pStyle w:val="FootnoteText"/>
        <w:rPr>
          <w:szCs w:val="24"/>
          <w:lang w:val="fr-FR"/>
        </w:rPr>
      </w:pPr>
      <w:r w:rsidRPr="00B31CBD">
        <w:rPr>
          <w:rStyle w:val="FootnoteReference"/>
          <w:lang w:val="fr-FR"/>
        </w:rPr>
        <w:footnoteRef/>
      </w:r>
      <w:r w:rsidR="000E2BDD">
        <w:rPr>
          <w:lang w:val="fr-FR"/>
        </w:rPr>
        <w:tab/>
      </w:r>
      <w:r w:rsidRPr="005C189C">
        <w:rPr>
          <w:szCs w:val="24"/>
          <w:lang w:val="fr-FR"/>
        </w:rPr>
        <w:t xml:space="preserve">Universidad Nacional de San Luis (Argentine); Universidad de Buenos Aires, Facultad de Ingenieria (Argentine); Universidad Nacional Arturo Jauretche (Argentine); Universidad Nacional de Rio Cuarto (Argentine); Instituto Balseiro (Argentine); Universidad Nacional del Sur (Argentine); Universidad Nacional de Tucuman (Argentine); Universidad Nacional de Cordoba (Argentine); Universidad Nacional de la Matanza (Argentine); Universidad Nacional de La Plata (Argentine); Universidad Nacional de Misiones (Argentine); Universidad Tenologica Nacional (Argentine); Universidad Nacional de Rio Negro (Argentine); Universidad Nacional de Lujan (Argentine); RMIT University (Australie); </w:t>
      </w:r>
      <w:r w:rsidR="005C189C" w:rsidRPr="005C189C">
        <w:rPr>
          <w:szCs w:val="24"/>
          <w:lang w:val="fr-FR"/>
        </w:rPr>
        <w:t>École</w:t>
      </w:r>
      <w:r w:rsidRPr="005C189C">
        <w:rPr>
          <w:szCs w:val="24"/>
          <w:lang w:val="fr-FR"/>
        </w:rPr>
        <w:t xml:space="preserve"> Nationale Supérieure des Postes, Télécommunications et TIC (Cameroun); Computer Network Information Center of the Chinese Academy of Sciences (Chine); University of Electronic Science and Technology of China (Chine); Institute of Information Engineering Chinese Academy of Sciences (CETC ISA) (Chine); Universidad Autonoma de Santo Domingo (République dominicaine); IRT SystemX (France); International Audio Laboratories Erlangen (Allemagne); Kwame Nkrumah University of Science and Technology (Ghana); Indian Council for Research on International Economic Relations (ICRIER) (Inde); Indian Institute of Science (Inde); National Institute of Public Finance and Policy (Inde); Centre for Tech and Innovation Management National Institute of Industrial Engineering (Inde); IoT Academy (Iran); Graduate School of Public Administration Seoul National University (</w:t>
      </w:r>
      <w:r w:rsidR="005C189C">
        <w:rPr>
          <w:szCs w:val="24"/>
          <w:lang w:val="fr-FR"/>
        </w:rPr>
        <w:t>Corée</w:t>
      </w:r>
      <w:r w:rsidRPr="005C189C">
        <w:rPr>
          <w:szCs w:val="24"/>
          <w:lang w:val="fr-FR"/>
        </w:rPr>
        <w:t xml:space="preserve">, République de); Palestine Technical University Kadoorie (Palestine, </w:t>
      </w:r>
      <w:r w:rsidR="005C189C" w:rsidRPr="005C189C">
        <w:rPr>
          <w:szCs w:val="24"/>
          <w:lang w:val="fr-FR"/>
        </w:rPr>
        <w:t>État</w:t>
      </w:r>
      <w:r w:rsidRPr="005C189C">
        <w:rPr>
          <w:szCs w:val="24"/>
          <w:lang w:val="fr-FR"/>
        </w:rPr>
        <w:t xml:space="preserve"> de); Arab American University (Palestine, </w:t>
      </w:r>
      <w:r w:rsidR="005C189C" w:rsidRPr="005C189C">
        <w:rPr>
          <w:szCs w:val="24"/>
          <w:lang w:val="fr-FR"/>
        </w:rPr>
        <w:t>État</w:t>
      </w:r>
      <w:r w:rsidRPr="005C189C">
        <w:rPr>
          <w:szCs w:val="24"/>
          <w:lang w:val="fr-FR"/>
        </w:rPr>
        <w:t xml:space="preserve"> de); National Institute of Telecommunications (Pologne); Qatar University (Qatar); Saint-Petersburg State University of Aerospace Instrumentation (Fédération de Russie); Naif Arab University for Security Sciences (NAUSS) (Arabie saoudite); Centre d</w:t>
      </w:r>
      <w:r w:rsidR="005C189C" w:rsidRPr="005C189C">
        <w:rPr>
          <w:szCs w:val="24"/>
          <w:lang w:val="fr-FR"/>
        </w:rPr>
        <w:t>'Études</w:t>
      </w:r>
      <w:r w:rsidRPr="005C189C">
        <w:rPr>
          <w:szCs w:val="24"/>
          <w:lang w:val="fr-FR"/>
        </w:rPr>
        <w:t xml:space="preserve"> et de Recherches des Télécommunications (CERT) (Tunisie); Florida At</w:t>
      </w:r>
      <w:r w:rsidR="000E2BDD" w:rsidRPr="005C189C">
        <w:rPr>
          <w:szCs w:val="24"/>
          <w:lang w:val="fr-FR"/>
        </w:rPr>
        <w:t>lantic University (</w:t>
      </w:r>
      <w:r w:rsidR="005C189C" w:rsidRPr="005C189C">
        <w:rPr>
          <w:szCs w:val="24"/>
          <w:lang w:val="fr-FR"/>
        </w:rPr>
        <w:t>États-Unis</w:t>
      </w:r>
      <w:r w:rsidR="000E2BDD" w:rsidRPr="005C189C">
        <w:rPr>
          <w:szCs w:val="24"/>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0E2BDD" w:rsidRDefault="00A525CC" w:rsidP="000E2BDD">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8F20EB">
      <w:rPr>
        <w:sz w:val="22"/>
        <w:szCs w:val="22"/>
        <w:lang w:val="de-CH"/>
      </w:rPr>
      <w:t>-</w:t>
    </w:r>
    <w:r w:rsidRPr="00A54E72">
      <w:rPr>
        <w:sz w:val="22"/>
        <w:szCs w:val="22"/>
        <w:lang w:val="de-CH"/>
      </w:rPr>
      <w:t>1</w:t>
    </w:r>
    <w:r w:rsidR="00D87E6C">
      <w:rPr>
        <w:sz w:val="22"/>
        <w:szCs w:val="22"/>
        <w:lang w:val="de-CH"/>
      </w:rPr>
      <w:t>9</w:t>
    </w:r>
    <w:r w:rsidRPr="00A54E72">
      <w:rPr>
        <w:sz w:val="22"/>
        <w:szCs w:val="22"/>
        <w:lang w:val="de-CH"/>
      </w:rPr>
      <w:t>/</w:t>
    </w:r>
    <w:r w:rsidR="000E2BDD">
      <w:rPr>
        <w:sz w:val="22"/>
        <w:szCs w:val="22"/>
        <w:lang w:val="de-CH"/>
      </w:rPr>
      <w:t>20</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E3B74">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CF"/>
    <w:rsid w:val="00002716"/>
    <w:rsid w:val="00005791"/>
    <w:rsid w:val="00007F12"/>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2BDD"/>
    <w:rsid w:val="000E3ED4"/>
    <w:rsid w:val="000E3F9C"/>
    <w:rsid w:val="000F1550"/>
    <w:rsid w:val="000F251B"/>
    <w:rsid w:val="000F5FE8"/>
    <w:rsid w:val="000F6644"/>
    <w:rsid w:val="00100833"/>
    <w:rsid w:val="00102F72"/>
    <w:rsid w:val="00107E85"/>
    <w:rsid w:val="00113EE8"/>
    <w:rsid w:val="0011455A"/>
    <w:rsid w:val="00114A65"/>
    <w:rsid w:val="001231B8"/>
    <w:rsid w:val="001250C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031F"/>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7411"/>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86C7D"/>
    <w:rsid w:val="0049128B"/>
    <w:rsid w:val="00493B49"/>
    <w:rsid w:val="00494FCC"/>
    <w:rsid w:val="00495501"/>
    <w:rsid w:val="004A070A"/>
    <w:rsid w:val="004A320E"/>
    <w:rsid w:val="004A4E9C"/>
    <w:rsid w:val="004B1A3C"/>
    <w:rsid w:val="004C6E8E"/>
    <w:rsid w:val="004D2CC3"/>
    <w:rsid w:val="004D35CB"/>
    <w:rsid w:val="004E20E5"/>
    <w:rsid w:val="004E3B74"/>
    <w:rsid w:val="004E64EA"/>
    <w:rsid w:val="004E7828"/>
    <w:rsid w:val="004E79EA"/>
    <w:rsid w:val="004F46AA"/>
    <w:rsid w:val="004F6A70"/>
    <w:rsid w:val="00500AD7"/>
    <w:rsid w:val="00502ABF"/>
    <w:rsid w:val="00504DB0"/>
    <w:rsid w:val="00507C35"/>
    <w:rsid w:val="00510735"/>
    <w:rsid w:val="00514D2F"/>
    <w:rsid w:val="00520EE8"/>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189C"/>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E7681"/>
    <w:rsid w:val="006F009A"/>
    <w:rsid w:val="006F3D93"/>
    <w:rsid w:val="007019B1"/>
    <w:rsid w:val="00721657"/>
    <w:rsid w:val="007279A8"/>
    <w:rsid w:val="00727B1A"/>
    <w:rsid w:val="00736582"/>
    <w:rsid w:val="00741337"/>
    <w:rsid w:val="00744320"/>
    <w:rsid w:val="00752258"/>
    <w:rsid w:val="007529E1"/>
    <w:rsid w:val="00762880"/>
    <w:rsid w:val="00762AD6"/>
    <w:rsid w:val="00762E02"/>
    <w:rsid w:val="00772290"/>
    <w:rsid w:val="00777265"/>
    <w:rsid w:val="007805E7"/>
    <w:rsid w:val="0078222A"/>
    <w:rsid w:val="00787D48"/>
    <w:rsid w:val="00795294"/>
    <w:rsid w:val="007A46A1"/>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5A50"/>
    <w:rsid w:val="00827BC6"/>
    <w:rsid w:val="008300AD"/>
    <w:rsid w:val="00833024"/>
    <w:rsid w:val="00836BDB"/>
    <w:rsid w:val="008419B1"/>
    <w:rsid w:val="00844A56"/>
    <w:rsid w:val="00845B11"/>
    <w:rsid w:val="00851060"/>
    <w:rsid w:val="00852081"/>
    <w:rsid w:val="00872B6E"/>
    <w:rsid w:val="00874DFD"/>
    <w:rsid w:val="008802F9"/>
    <w:rsid w:val="0088152C"/>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D6EA4"/>
    <w:rsid w:val="008F14F5"/>
    <w:rsid w:val="008F20EB"/>
    <w:rsid w:val="008F71C1"/>
    <w:rsid w:val="00902D41"/>
    <w:rsid w:val="00902F49"/>
    <w:rsid w:val="00914004"/>
    <w:rsid w:val="0092088B"/>
    <w:rsid w:val="00921A9D"/>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02A3"/>
    <w:rsid w:val="009A452B"/>
    <w:rsid w:val="009B050C"/>
    <w:rsid w:val="009B087F"/>
    <w:rsid w:val="009B2AF4"/>
    <w:rsid w:val="009C110B"/>
    <w:rsid w:val="009C5441"/>
    <w:rsid w:val="009D119F"/>
    <w:rsid w:val="009D28CE"/>
    <w:rsid w:val="009D49A2"/>
    <w:rsid w:val="009E2E4A"/>
    <w:rsid w:val="009F277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658A8"/>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458A"/>
    <w:rsid w:val="00CD7207"/>
    <w:rsid w:val="00CE0DBE"/>
    <w:rsid w:val="00CE5E4D"/>
    <w:rsid w:val="00CF02C4"/>
    <w:rsid w:val="00CF167F"/>
    <w:rsid w:val="00CF72E5"/>
    <w:rsid w:val="00D013EE"/>
    <w:rsid w:val="00D01F54"/>
    <w:rsid w:val="00D040F7"/>
    <w:rsid w:val="00D04A76"/>
    <w:rsid w:val="00D10FC7"/>
    <w:rsid w:val="00D147AA"/>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5CF"/>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763B5"/>
    <w:rsid w:val="00E83810"/>
    <w:rsid w:val="00E86933"/>
    <w:rsid w:val="00E9605B"/>
    <w:rsid w:val="00E97298"/>
    <w:rsid w:val="00E97753"/>
    <w:rsid w:val="00EA7DE7"/>
    <w:rsid w:val="00EB16C4"/>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5612"/>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B991E2-BBD5-4AC4-B6A8-13E9563F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Heading1Char">
    <w:name w:val="Heading 1 Char"/>
    <w:basedOn w:val="DefaultParagraphFont"/>
    <w:link w:val="Heading1"/>
    <w:rsid w:val="00E055CF"/>
    <w:rPr>
      <w:rFonts w:asciiTheme="minorHAnsi" w:hAnsiTheme="minorHAnsi"/>
      <w:b/>
      <w:sz w:val="28"/>
      <w:lang w:val="fr-CH" w:eastAsia="en-US"/>
    </w:rPr>
  </w:style>
  <w:style w:type="character" w:customStyle="1" w:styleId="Heading2Char">
    <w:name w:val="Heading 2 Char"/>
    <w:basedOn w:val="DefaultParagraphFont"/>
    <w:link w:val="Heading2"/>
    <w:rsid w:val="00E055CF"/>
    <w:rPr>
      <w:rFonts w:asciiTheme="minorHAnsi" w:hAnsiTheme="minorHAnsi"/>
      <w:b/>
      <w:sz w:val="24"/>
      <w:lang w:val="fr-CH" w:eastAsia="en-US"/>
    </w:rPr>
  </w:style>
  <w:style w:type="character" w:customStyle="1" w:styleId="FootnoteTextChar">
    <w:name w:val="Footnote Text Char"/>
    <w:basedOn w:val="DefaultParagraphFont"/>
    <w:link w:val="FootnoteText"/>
    <w:uiPriority w:val="99"/>
    <w:rsid w:val="00E055CF"/>
    <w:rPr>
      <w:rFonts w:asciiTheme="minorHAnsi" w:hAnsiTheme="minorHAnsi"/>
      <w:sz w:val="24"/>
      <w:lang w:val="fr-CH" w:eastAsia="en-US"/>
    </w:rPr>
  </w:style>
  <w:style w:type="paragraph" w:styleId="NormalWeb">
    <w:name w:val="Normal (Web)"/>
    <w:basedOn w:val="Normal"/>
    <w:uiPriority w:val="99"/>
    <w:unhideWhenUsed/>
    <w:rsid w:val="00E055C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character" w:styleId="CommentReference">
    <w:name w:val="annotation reference"/>
    <w:basedOn w:val="DefaultParagraphFont"/>
    <w:semiHidden/>
    <w:unhideWhenUsed/>
    <w:rsid w:val="00E055CF"/>
    <w:rPr>
      <w:sz w:val="16"/>
      <w:szCs w:val="16"/>
    </w:rPr>
  </w:style>
  <w:style w:type="paragraph" w:styleId="CommentText">
    <w:name w:val="annotation text"/>
    <w:basedOn w:val="Normal"/>
    <w:link w:val="CommentTextChar"/>
    <w:unhideWhenUsed/>
    <w:rsid w:val="00E055CF"/>
    <w:rPr>
      <w:sz w:val="20"/>
    </w:rPr>
  </w:style>
  <w:style w:type="character" w:customStyle="1" w:styleId="CommentTextChar">
    <w:name w:val="Comment Text Char"/>
    <w:basedOn w:val="DefaultParagraphFont"/>
    <w:link w:val="CommentText"/>
    <w:rsid w:val="00E055CF"/>
    <w:rPr>
      <w:rFonts w:asciiTheme="minorHAnsi" w:hAnsiTheme="minorHAnsi"/>
      <w:lang w:val="fr-CH" w:eastAsia="en-US"/>
    </w:rPr>
  </w:style>
  <w:style w:type="paragraph" w:styleId="PlainText">
    <w:name w:val="Plain Text"/>
    <w:basedOn w:val="Normal"/>
    <w:link w:val="PlainTextChar"/>
    <w:uiPriority w:val="99"/>
    <w:unhideWhenUsed/>
    <w:rsid w:val="00E055C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E055CF"/>
    <w:rPr>
      <w:rFonts w:ascii="Calibri" w:eastAsiaTheme="minorEastAsia" w:hAnsi="Calibri" w:cstheme="minorBidi"/>
      <w:sz w:val="22"/>
      <w:szCs w:val="21"/>
    </w:rPr>
  </w:style>
  <w:style w:type="character" w:styleId="Strong">
    <w:name w:val="Strong"/>
    <w:basedOn w:val="DefaultParagraphFont"/>
    <w:uiPriority w:val="22"/>
    <w:qFormat/>
    <w:rsid w:val="00E055CF"/>
    <w:rPr>
      <w:b/>
      <w:bCs/>
    </w:rPr>
  </w:style>
  <w:style w:type="character" w:styleId="FollowedHyperlink">
    <w:name w:val="FollowedHyperlink"/>
    <w:basedOn w:val="DefaultParagraphFont"/>
    <w:semiHidden/>
    <w:unhideWhenUsed/>
    <w:rsid w:val="005C189C"/>
    <w:rPr>
      <w:color w:val="800080" w:themeColor="followedHyperlink"/>
      <w:u w:val="single"/>
    </w:rPr>
  </w:style>
  <w:style w:type="paragraph" w:customStyle="1" w:styleId="FootnoteReferenceLatin12pt">
    <w:name w:val="Footnote Reference + (Latin) 12 pt"/>
    <w:aliases w:val="(Latin) Bold,Not Raised by / Lowered by"/>
    <w:basedOn w:val="Tabletitle"/>
    <w:rsid w:val="0088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pages/impact-study.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pub/itu-d/opb/gen/D-GEN-ICT_SDGS.01-2017-PDF-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gen/D-GEN-ICT_SDGS.01-2017-PDF-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fr/ITU-D/Membership/Pages/default.asp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t>ITU-D</a:t>
            </a:r>
            <a:r>
              <a:rPr lang="en-GB" sz="1000" b="1" baseline="0"/>
              <a:t> Membership (2008-2018)</a:t>
            </a:r>
            <a:endParaRPr lang="en-GB" sz="1000" b="1"/>
          </a:p>
        </c:rich>
      </c:tx>
      <c:layout>
        <c:manualLayout>
          <c:xMode val="edge"/>
          <c:yMode val="edge"/>
          <c:x val="0.3463544020743630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Sheet1!$A$2</c:f>
              <c:strCache>
                <c:ptCount val="1"/>
                <c:pt idx="0">
                  <c:v>Sector Members</c:v>
                </c:pt>
              </c:strCache>
            </c:strRef>
          </c:tx>
          <c:spPr>
            <a:ln w="28575" cap="rnd">
              <a:solidFill>
                <a:schemeClr val="accent1"/>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Sheet1!$B$2:$L$2</c:f>
              <c:numCache>
                <c:formatCode>General</c:formatCode>
                <c:ptCount val="11"/>
                <c:pt idx="0">
                  <c:v>308</c:v>
                </c:pt>
                <c:pt idx="1">
                  <c:v>316</c:v>
                </c:pt>
                <c:pt idx="2">
                  <c:v>311</c:v>
                </c:pt>
                <c:pt idx="3">
                  <c:v>323</c:v>
                </c:pt>
                <c:pt idx="4">
                  <c:v>330</c:v>
                </c:pt>
                <c:pt idx="5">
                  <c:v>346</c:v>
                </c:pt>
                <c:pt idx="6">
                  <c:v>338</c:v>
                </c:pt>
                <c:pt idx="7">
                  <c:v>340</c:v>
                </c:pt>
                <c:pt idx="8">
                  <c:v>331</c:v>
                </c:pt>
                <c:pt idx="9">
                  <c:v>318</c:v>
                </c:pt>
                <c:pt idx="10">
                  <c:v>310</c:v>
                </c:pt>
              </c:numCache>
            </c:numRef>
          </c:val>
          <c:smooth val="0"/>
          <c:extLst xmlns:c16r2="http://schemas.microsoft.com/office/drawing/2015/06/chart">
            <c:ext xmlns:c16="http://schemas.microsoft.com/office/drawing/2014/chart" uri="{C3380CC4-5D6E-409C-BE32-E72D297353CC}">
              <c16:uniqueId val="{00000000-B1C1-4EFC-BEAB-44130E6DE38D}"/>
            </c:ext>
          </c:extLst>
        </c:ser>
        <c:ser>
          <c:idx val="1"/>
          <c:order val="1"/>
          <c:tx>
            <c:strRef>
              <c:f>Sheet1!$A$3</c:f>
              <c:strCache>
                <c:ptCount val="1"/>
                <c:pt idx="0">
                  <c:v>Associates</c:v>
                </c:pt>
              </c:strCache>
            </c:strRef>
          </c:tx>
          <c:spPr>
            <a:ln w="28575" cap="rnd">
              <a:solidFill>
                <a:schemeClr val="accent6"/>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Sheet1!$B$3:$L$3</c:f>
              <c:numCache>
                <c:formatCode>General</c:formatCode>
                <c:ptCount val="11"/>
                <c:pt idx="0">
                  <c:v>3</c:v>
                </c:pt>
                <c:pt idx="1">
                  <c:v>3</c:v>
                </c:pt>
                <c:pt idx="2">
                  <c:v>5</c:v>
                </c:pt>
                <c:pt idx="3">
                  <c:v>6</c:v>
                </c:pt>
                <c:pt idx="4">
                  <c:v>7</c:v>
                </c:pt>
                <c:pt idx="5">
                  <c:v>9</c:v>
                </c:pt>
                <c:pt idx="6">
                  <c:v>10</c:v>
                </c:pt>
                <c:pt idx="7">
                  <c:v>11</c:v>
                </c:pt>
                <c:pt idx="8">
                  <c:v>12</c:v>
                </c:pt>
                <c:pt idx="9">
                  <c:v>12</c:v>
                </c:pt>
                <c:pt idx="10">
                  <c:v>14</c:v>
                </c:pt>
              </c:numCache>
            </c:numRef>
          </c:val>
          <c:smooth val="0"/>
          <c:extLst xmlns:c16r2="http://schemas.microsoft.com/office/drawing/2015/06/chart">
            <c:ext xmlns:c16="http://schemas.microsoft.com/office/drawing/2014/chart" uri="{C3380CC4-5D6E-409C-BE32-E72D297353CC}">
              <c16:uniqueId val="{00000001-B1C1-4EFC-BEAB-44130E6DE38D}"/>
            </c:ext>
          </c:extLst>
        </c:ser>
        <c:ser>
          <c:idx val="2"/>
          <c:order val="2"/>
          <c:tx>
            <c:strRef>
              <c:f>Sheet1!$A$4</c:f>
              <c:strCache>
                <c:ptCount val="1"/>
                <c:pt idx="0">
                  <c:v>Academia</c:v>
                </c:pt>
              </c:strCache>
            </c:strRef>
          </c:tx>
          <c:spPr>
            <a:ln w="28575" cap="rnd">
              <a:solidFill>
                <a:schemeClr val="bg1">
                  <a:lumMod val="65000"/>
                </a:schemeClr>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Sheet1!$B$4:$L$4</c:f>
              <c:numCache>
                <c:formatCode>General</c:formatCode>
                <c:ptCount val="11"/>
                <c:pt idx="0">
                  <c:v>0</c:v>
                </c:pt>
                <c:pt idx="1">
                  <c:v>0</c:v>
                </c:pt>
                <c:pt idx="2">
                  <c:v>0</c:v>
                </c:pt>
                <c:pt idx="3">
                  <c:v>25</c:v>
                </c:pt>
                <c:pt idx="4">
                  <c:v>36</c:v>
                </c:pt>
                <c:pt idx="5">
                  <c:v>45</c:v>
                </c:pt>
                <c:pt idx="6">
                  <c:v>86</c:v>
                </c:pt>
                <c:pt idx="7">
                  <c:v>109</c:v>
                </c:pt>
                <c:pt idx="8">
                  <c:v>107</c:v>
                </c:pt>
                <c:pt idx="9">
                  <c:v>125</c:v>
                </c:pt>
                <c:pt idx="10">
                  <c:v>156</c:v>
                </c:pt>
              </c:numCache>
            </c:numRef>
          </c:val>
          <c:smooth val="0"/>
          <c:extLst xmlns:c16r2="http://schemas.microsoft.com/office/drawing/2015/06/chart">
            <c:ext xmlns:c16="http://schemas.microsoft.com/office/drawing/2014/chart" uri="{C3380CC4-5D6E-409C-BE32-E72D297353CC}">
              <c16:uniqueId val="{00000002-B1C1-4EFC-BEAB-44130E6DE38D}"/>
            </c:ext>
          </c:extLst>
        </c:ser>
        <c:ser>
          <c:idx val="3"/>
          <c:order val="3"/>
          <c:tx>
            <c:strRef>
              <c:f>Sheet1!$A$5</c:f>
              <c:strCache>
                <c:ptCount val="1"/>
                <c:pt idx="0">
                  <c:v>TOTAL </c:v>
                </c:pt>
              </c:strCache>
            </c:strRef>
          </c:tx>
          <c:spPr>
            <a:ln w="28575" cap="rnd">
              <a:solidFill>
                <a:srgbClr val="FFCC00"/>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Sheet1!$B$5:$L$5</c:f>
              <c:numCache>
                <c:formatCode>General</c:formatCode>
                <c:ptCount val="11"/>
                <c:pt idx="0">
                  <c:v>311</c:v>
                </c:pt>
                <c:pt idx="1">
                  <c:v>319</c:v>
                </c:pt>
                <c:pt idx="2">
                  <c:v>316</c:v>
                </c:pt>
                <c:pt idx="3">
                  <c:v>354</c:v>
                </c:pt>
                <c:pt idx="4">
                  <c:v>373</c:v>
                </c:pt>
                <c:pt idx="5">
                  <c:v>400</c:v>
                </c:pt>
                <c:pt idx="6">
                  <c:v>434</c:v>
                </c:pt>
                <c:pt idx="7">
                  <c:v>460</c:v>
                </c:pt>
                <c:pt idx="8">
                  <c:v>450</c:v>
                </c:pt>
                <c:pt idx="9">
                  <c:v>455</c:v>
                </c:pt>
                <c:pt idx="10">
                  <c:v>480</c:v>
                </c:pt>
              </c:numCache>
            </c:numRef>
          </c:val>
          <c:smooth val="0"/>
          <c:extLst xmlns:c16r2="http://schemas.microsoft.com/office/drawing/2015/06/chart">
            <c:ext xmlns:c16="http://schemas.microsoft.com/office/drawing/2014/chart" uri="{C3380CC4-5D6E-409C-BE32-E72D297353CC}">
              <c16:uniqueId val="{00000003-B1C1-4EFC-BEAB-44130E6DE38D}"/>
            </c:ext>
          </c:extLst>
        </c:ser>
        <c:dLbls>
          <c:showLegendKey val="0"/>
          <c:showVal val="0"/>
          <c:showCatName val="0"/>
          <c:showSerName val="0"/>
          <c:showPercent val="0"/>
          <c:showBubbleSize val="0"/>
        </c:dLbls>
        <c:smooth val="0"/>
        <c:axId val="364398624"/>
        <c:axId val="364400976"/>
      </c:lineChart>
      <c:catAx>
        <c:axId val="36439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400976"/>
        <c:crosses val="autoZero"/>
        <c:auto val="1"/>
        <c:lblAlgn val="ctr"/>
        <c:lblOffset val="100"/>
        <c:noMultiLvlLbl val="0"/>
      </c:catAx>
      <c:valAx>
        <c:axId val="36440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398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3BEF-3870-4C86-BAD5-B0331BD5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88</TotalTime>
  <Pages>6</Pages>
  <Words>2249</Words>
  <Characters>12865</Characters>
  <Application>Microsoft Office Word</Application>
  <DocSecurity>0</DocSecurity>
  <Lines>262</Lines>
  <Paragraphs>132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Cormier-Ribout, Kevin</dc:creator>
  <cp:lastModifiedBy>Gozel, Elsa</cp:lastModifiedBy>
  <cp:revision>28</cp:revision>
  <cp:lastPrinted>2014-11-04T09:22:00Z</cp:lastPrinted>
  <dcterms:created xsi:type="dcterms:W3CDTF">2019-03-14T10:51:00Z</dcterms:created>
  <dcterms:modified xsi:type="dcterms:W3CDTF">2019-03-15T11:04:00Z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