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639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2977"/>
      </w:tblGrid>
      <w:tr w:rsidR="004713B8" w:rsidRPr="00100F9F" w:rsidTr="006F383E">
        <w:trPr>
          <w:trHeight w:val="1134"/>
        </w:trPr>
        <w:tc>
          <w:tcPr>
            <w:tcW w:w="6662" w:type="dxa"/>
          </w:tcPr>
          <w:p w:rsidR="004713B8" w:rsidRPr="00100F9F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100F9F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100F9F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100F9F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100F9F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100F9F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100F9F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100F9F">
              <w:rPr>
                <w:b/>
                <w:bCs/>
                <w:sz w:val="24"/>
                <w:szCs w:val="24"/>
              </w:rPr>
              <w:t>3</w:t>
            </w:r>
            <w:r w:rsidRPr="00100F9F">
              <w:rPr>
                <w:b/>
                <w:bCs/>
                <w:sz w:val="24"/>
                <w:szCs w:val="24"/>
              </w:rPr>
              <w:t>−</w:t>
            </w:r>
            <w:r w:rsidR="00B24169" w:rsidRPr="00100F9F">
              <w:rPr>
                <w:b/>
                <w:bCs/>
                <w:sz w:val="24"/>
                <w:szCs w:val="24"/>
              </w:rPr>
              <w:t>5</w:t>
            </w:r>
            <w:r w:rsidRPr="00100F9F">
              <w:rPr>
                <w:b/>
                <w:bCs/>
                <w:sz w:val="24"/>
                <w:szCs w:val="24"/>
              </w:rPr>
              <w:t xml:space="preserve"> апреля 201</w:t>
            </w:r>
            <w:r w:rsidR="00B24169" w:rsidRPr="00100F9F">
              <w:rPr>
                <w:b/>
                <w:bCs/>
                <w:sz w:val="24"/>
                <w:szCs w:val="24"/>
              </w:rPr>
              <w:t>9</w:t>
            </w:r>
            <w:r w:rsidRPr="00100F9F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vAlign w:val="center"/>
          </w:tcPr>
          <w:p w:rsidR="004713B8" w:rsidRPr="00100F9F" w:rsidRDefault="00B24169" w:rsidP="00B24169">
            <w:pPr>
              <w:widowControl w:val="0"/>
              <w:spacing w:before="40"/>
              <w:jc w:val="right"/>
            </w:pPr>
            <w:r w:rsidRPr="00100F9F">
              <w:rPr>
                <w:color w:val="3399FF"/>
                <w:lang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100F9F" w:rsidTr="006F383E">
        <w:tc>
          <w:tcPr>
            <w:tcW w:w="6662" w:type="dxa"/>
            <w:tcBorders>
              <w:top w:val="single" w:sz="12" w:space="0" w:color="auto"/>
            </w:tcBorders>
          </w:tcPr>
          <w:p w:rsidR="00CD34AE" w:rsidRPr="00100F9F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CD34AE" w:rsidRPr="00100F9F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100F9F" w:rsidTr="002C2CEA">
        <w:trPr>
          <w:trHeight w:val="159"/>
        </w:trPr>
        <w:tc>
          <w:tcPr>
            <w:tcW w:w="6662" w:type="dxa"/>
          </w:tcPr>
          <w:p w:rsidR="00CD34AE" w:rsidRPr="00100F9F" w:rsidRDefault="00CD34AE" w:rsidP="00CD34AE">
            <w:pPr>
              <w:widowControl w:val="0"/>
              <w:spacing w:before="0"/>
              <w:rPr>
                <w:rFonts w:ascii="Verdana" w:hAnsi="Verdana"/>
                <w:smallCaps/>
              </w:rPr>
            </w:pPr>
          </w:p>
        </w:tc>
        <w:tc>
          <w:tcPr>
            <w:tcW w:w="2977" w:type="dxa"/>
          </w:tcPr>
          <w:p w:rsidR="00CD34AE" w:rsidRPr="00100F9F" w:rsidRDefault="003E6E87" w:rsidP="00A269CA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100F9F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100F9F">
              <w:rPr>
                <w:rFonts w:cstheme="minorHAnsi"/>
                <w:b/>
                <w:bCs/>
              </w:rPr>
              <w:t>TDAG</w:t>
            </w:r>
            <w:r w:rsidR="0040328D" w:rsidRPr="00100F9F">
              <w:rPr>
                <w:rFonts w:cstheme="minorHAnsi"/>
                <w:b/>
                <w:bCs/>
              </w:rPr>
              <w:t>-</w:t>
            </w:r>
            <w:r w:rsidRPr="00100F9F">
              <w:rPr>
                <w:rFonts w:cstheme="minorHAnsi"/>
                <w:b/>
                <w:bCs/>
              </w:rPr>
              <w:t>1</w:t>
            </w:r>
            <w:r w:rsidR="00B24169" w:rsidRPr="00100F9F">
              <w:rPr>
                <w:rFonts w:cstheme="minorHAnsi"/>
                <w:b/>
                <w:bCs/>
              </w:rPr>
              <w:t>9</w:t>
            </w:r>
            <w:r w:rsidRPr="00100F9F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2C2CEA" w:rsidRPr="00100F9F">
              <w:rPr>
                <w:rFonts w:cstheme="minorHAnsi"/>
                <w:b/>
                <w:bCs/>
              </w:rPr>
              <w:t>2</w:t>
            </w:r>
            <w:r w:rsidR="00A269CA" w:rsidRPr="00100F9F">
              <w:rPr>
                <w:rFonts w:cstheme="minorHAnsi"/>
                <w:b/>
                <w:bCs/>
              </w:rPr>
              <w:t>0</w:t>
            </w:r>
            <w:r w:rsidRPr="00100F9F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100F9F" w:rsidTr="002C2CEA">
        <w:trPr>
          <w:trHeight w:val="70"/>
        </w:trPr>
        <w:tc>
          <w:tcPr>
            <w:tcW w:w="6662" w:type="dxa"/>
          </w:tcPr>
          <w:p w:rsidR="00CD34AE" w:rsidRPr="00100F9F" w:rsidRDefault="00CD34AE" w:rsidP="00CD34AE">
            <w:pPr>
              <w:spacing w:before="0"/>
              <w:rPr>
                <w:smallCaps/>
              </w:rPr>
            </w:pPr>
          </w:p>
        </w:tc>
        <w:tc>
          <w:tcPr>
            <w:tcW w:w="2977" w:type="dxa"/>
          </w:tcPr>
          <w:p w:rsidR="00CD34AE" w:rsidRPr="00100F9F" w:rsidRDefault="003C54EE" w:rsidP="002C2CEA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100F9F">
              <w:rPr>
                <w:b/>
                <w:bCs/>
              </w:rPr>
              <w:t>2</w:t>
            </w:r>
            <w:r w:rsidR="002C2CEA" w:rsidRPr="00100F9F">
              <w:rPr>
                <w:b/>
                <w:bCs/>
              </w:rPr>
              <w:t>1</w:t>
            </w:r>
            <w:r w:rsidRPr="00100F9F">
              <w:rPr>
                <w:b/>
                <w:bCs/>
              </w:rPr>
              <w:t xml:space="preserve"> января</w:t>
            </w:r>
            <w:r w:rsidR="00A73D91" w:rsidRPr="00100F9F">
              <w:rPr>
                <w:b/>
                <w:bCs/>
              </w:rPr>
              <w:t xml:space="preserve"> 201</w:t>
            </w:r>
            <w:r w:rsidR="00B24169" w:rsidRPr="00100F9F">
              <w:rPr>
                <w:b/>
                <w:bCs/>
              </w:rPr>
              <w:t>9</w:t>
            </w:r>
            <w:r w:rsidR="00A73D91" w:rsidRPr="00100F9F">
              <w:rPr>
                <w:b/>
                <w:bCs/>
              </w:rPr>
              <w:t xml:space="preserve"> года</w:t>
            </w:r>
          </w:p>
        </w:tc>
      </w:tr>
      <w:tr w:rsidR="00CD34AE" w:rsidRPr="00100F9F" w:rsidTr="002C2CEA">
        <w:trPr>
          <w:trHeight w:val="70"/>
        </w:trPr>
        <w:tc>
          <w:tcPr>
            <w:tcW w:w="6662" w:type="dxa"/>
          </w:tcPr>
          <w:p w:rsidR="00CD34AE" w:rsidRPr="00100F9F" w:rsidRDefault="00CD34AE" w:rsidP="00CD34AE">
            <w:pPr>
              <w:widowControl w:val="0"/>
              <w:spacing w:before="0"/>
              <w:rPr>
                <w:rFonts w:ascii="Verdana" w:hAnsi="Verdana"/>
                <w:smallCaps/>
              </w:rPr>
            </w:pPr>
          </w:p>
        </w:tc>
        <w:tc>
          <w:tcPr>
            <w:tcW w:w="2977" w:type="dxa"/>
          </w:tcPr>
          <w:p w:rsidR="00CD34AE" w:rsidRPr="00100F9F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100F9F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100F9F">
              <w:rPr>
                <w:rFonts w:cstheme="minorHAnsi"/>
                <w:b/>
                <w:bCs/>
              </w:rPr>
              <w:t xml:space="preserve"> </w:t>
            </w:r>
            <w:r w:rsidR="002E1254" w:rsidRPr="00100F9F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100F9F" w:rsidTr="006F383E">
        <w:trPr>
          <w:trHeight w:val="850"/>
        </w:trPr>
        <w:tc>
          <w:tcPr>
            <w:tcW w:w="9639" w:type="dxa"/>
            <w:gridSpan w:val="2"/>
          </w:tcPr>
          <w:p w:rsidR="00CD34AE" w:rsidRPr="00100F9F" w:rsidRDefault="00156E9D" w:rsidP="00A269CA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100F9F">
              <w:t>Директор Бюро развития электросвязи</w:t>
            </w:r>
          </w:p>
        </w:tc>
      </w:tr>
      <w:tr w:rsidR="00CD34AE" w:rsidRPr="00100F9F" w:rsidTr="006F383E">
        <w:tc>
          <w:tcPr>
            <w:tcW w:w="9639" w:type="dxa"/>
            <w:gridSpan w:val="2"/>
          </w:tcPr>
          <w:p w:rsidR="00CD34AE" w:rsidRPr="00100F9F" w:rsidRDefault="00156E9D" w:rsidP="004C6EC6">
            <w:pPr>
              <w:pStyle w:val="Title1"/>
            </w:pPr>
            <w:bookmarkStart w:id="5" w:name="Title"/>
            <w:bookmarkEnd w:id="5"/>
            <w:r w:rsidRPr="00100F9F">
              <w:t>ЧЛЕНСКИЙ СОСТАВ СЕКТОРА МСЭ-D</w:t>
            </w:r>
          </w:p>
        </w:tc>
      </w:tr>
      <w:tr w:rsidR="00CD34AE" w:rsidRPr="00100F9F" w:rsidTr="006F383E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CD34AE" w:rsidRPr="00100F9F" w:rsidRDefault="00CD34AE" w:rsidP="00CD34AE"/>
        </w:tc>
      </w:tr>
      <w:tr w:rsidR="00CD34AE" w:rsidRPr="00100F9F" w:rsidTr="006F383E">
        <w:trPr>
          <w:trHeight w:val="70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9D" w:rsidRPr="00100F9F" w:rsidRDefault="00156E9D" w:rsidP="00156E9D">
            <w:pPr>
              <w:pStyle w:val="Headingb"/>
            </w:pPr>
            <w:r w:rsidRPr="00100F9F">
              <w:t>Резюме</w:t>
            </w:r>
          </w:p>
          <w:p w:rsidR="00156E9D" w:rsidRPr="00100F9F" w:rsidRDefault="00156E9D" w:rsidP="00E80E5A">
            <w:pPr>
              <w:rPr>
                <w:b/>
                <w:bCs/>
              </w:rPr>
            </w:pPr>
            <w:r w:rsidRPr="00100F9F">
              <w:t>В состав Сектора МСЭ-D входят Члены Сектора, Ассоциированные Члены и Академические организации. В настоящем документе представлен обзор развития членского состава Сектора МСЭ</w:t>
            </w:r>
            <w:r w:rsidR="00E80E5A" w:rsidRPr="00100F9F">
              <w:noBreakHyphen/>
            </w:r>
            <w:r w:rsidRPr="00100F9F">
              <w:t>D, а также инициатив и действий, направленных на укреп</w:t>
            </w:r>
            <w:r w:rsidR="00E80E5A" w:rsidRPr="00100F9F">
              <w:t>ление членского состава МСЭ</w:t>
            </w:r>
            <w:r w:rsidR="00E80E5A" w:rsidRPr="00100F9F">
              <w:noBreakHyphen/>
              <w:t>D в </w:t>
            </w:r>
            <w:r w:rsidRPr="00100F9F">
              <w:t>соответствии с решениями ВКРЭ-17 и ПК-18.</w:t>
            </w:r>
          </w:p>
          <w:p w:rsidR="00156E9D" w:rsidRPr="00100F9F" w:rsidRDefault="00156E9D" w:rsidP="00156E9D">
            <w:pPr>
              <w:pStyle w:val="Headingb"/>
            </w:pPr>
            <w:r w:rsidRPr="00100F9F">
              <w:t>Необходимые действия</w:t>
            </w:r>
          </w:p>
          <w:p w:rsidR="00156E9D" w:rsidRPr="00100F9F" w:rsidRDefault="00156E9D" w:rsidP="00156E9D">
            <w:pPr>
              <w:rPr>
                <w:b/>
              </w:rPr>
            </w:pPr>
            <w:r w:rsidRPr="00100F9F"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:rsidR="00156E9D" w:rsidRPr="00100F9F" w:rsidRDefault="00156E9D" w:rsidP="00156E9D">
            <w:pPr>
              <w:pStyle w:val="Headingb"/>
            </w:pPr>
            <w:r w:rsidRPr="00100F9F">
              <w:t>Справочные материалы</w:t>
            </w:r>
          </w:p>
          <w:p w:rsidR="00156E9D" w:rsidRPr="00100F9F" w:rsidRDefault="00156E9D" w:rsidP="00156E9D">
            <w:r w:rsidRPr="00100F9F">
              <w:t>Резолюция 71 (Пересм. Буэнос-Айрес, 2017 г.) ВКРЭ;</w:t>
            </w:r>
          </w:p>
          <w:p w:rsidR="00CD34AE" w:rsidRPr="00100F9F" w:rsidRDefault="00156E9D" w:rsidP="00156E9D">
            <w:pPr>
              <w:spacing w:after="120"/>
              <w:rPr>
                <w:b/>
                <w:bCs/>
              </w:rPr>
            </w:pPr>
            <w:r w:rsidRPr="00100F9F">
              <w:t>Резолюции 169 (Пересм. Дубай, 2018 г.), 209 (Дубай, 2018 г.) и 205 (Дубай, 2018 г.) ПК</w:t>
            </w:r>
          </w:p>
        </w:tc>
      </w:tr>
    </w:tbl>
    <w:p w:rsidR="00156E9D" w:rsidRPr="00100F9F" w:rsidRDefault="00156E9D" w:rsidP="00156E9D">
      <w:pPr>
        <w:pStyle w:val="Heading1"/>
        <w:pageBreakBefore/>
      </w:pPr>
      <w:bookmarkStart w:id="6" w:name="lt_pId024"/>
      <w:r w:rsidRPr="00100F9F">
        <w:lastRenderedPageBreak/>
        <w:t>1</w:t>
      </w:r>
      <w:r w:rsidRPr="00100F9F">
        <w:tab/>
        <w:t>Базовая информация</w:t>
      </w:r>
    </w:p>
    <w:p w:rsidR="00156E9D" w:rsidRPr="00100F9F" w:rsidRDefault="00156E9D" w:rsidP="00156E9D">
      <w:pPr>
        <w:rPr>
          <w:szCs w:val="24"/>
        </w:rPr>
      </w:pPr>
      <w:bookmarkStart w:id="7" w:name="lt_pId025"/>
      <w:bookmarkEnd w:id="6"/>
      <w:r w:rsidRPr="00100F9F">
        <w:t>Всемирная конференция по развитию электросвязи 2017 года (ВКРЭ-17) пересмотрела и приняла Резолюцию 71</w:t>
      </w:r>
      <w:r w:rsidRPr="00100F9F">
        <w:rPr>
          <w:szCs w:val="24"/>
        </w:rPr>
        <w:t xml:space="preserve"> (Пересм. Буэнос-Айрес, 2017 г.) в целях содействия активному участию действующих </w:t>
      </w:r>
      <w:r w:rsidRPr="00100F9F">
        <w:t>Членов Сектора, Ассоциированных Членов и Академических организаций в деятельности МСЭ</w:t>
      </w:r>
      <w:r w:rsidRPr="00100F9F">
        <w:rPr>
          <w:szCs w:val="24"/>
        </w:rPr>
        <w:t xml:space="preserve">-D, в том числе в работе исследовательских комиссий </w:t>
      </w:r>
      <w:r w:rsidRPr="00100F9F">
        <w:t>МСЭ</w:t>
      </w:r>
      <w:r w:rsidRPr="00100F9F">
        <w:rPr>
          <w:szCs w:val="24"/>
        </w:rPr>
        <w:t>-D, и поощрения перспектив членства представителей государственного, частного и академического секторов.</w:t>
      </w:r>
      <w:bookmarkEnd w:id="7"/>
    </w:p>
    <w:p w:rsidR="00156E9D" w:rsidRPr="00100F9F" w:rsidRDefault="00156E9D" w:rsidP="00156E9D">
      <w:pPr>
        <w:rPr>
          <w:szCs w:val="24"/>
        </w:rPr>
      </w:pPr>
      <w:r w:rsidRPr="00100F9F">
        <w:rPr>
          <w:szCs w:val="24"/>
          <w:lang w:eastAsia="en-AU"/>
        </w:rPr>
        <w:t xml:space="preserve">В Резолюции </w:t>
      </w:r>
      <w:r w:rsidRPr="00100F9F">
        <w:t>71</w:t>
      </w:r>
      <w:r w:rsidRPr="00100F9F">
        <w:rPr>
          <w:szCs w:val="24"/>
        </w:rPr>
        <w:t xml:space="preserve"> также уделяется большее внимание меняющейся роли частных компаний в Секторе </w:t>
      </w:r>
      <w:r w:rsidRPr="00100F9F">
        <w:t>МСЭ</w:t>
      </w:r>
      <w:r w:rsidRPr="00100F9F">
        <w:rPr>
          <w:szCs w:val="24"/>
        </w:rPr>
        <w:t>-D, в частности, в ней содержится поручение создать Отраслевую консультативную группу по вопросам развития (</w:t>
      </w:r>
      <w:proofErr w:type="spellStart"/>
      <w:r w:rsidRPr="00100F9F">
        <w:rPr>
          <w:szCs w:val="24"/>
        </w:rPr>
        <w:t>IAGDI</w:t>
      </w:r>
      <w:bookmarkStart w:id="8" w:name="_GoBack"/>
      <w:bookmarkEnd w:id="8"/>
      <w:proofErr w:type="spellEnd"/>
      <w:r w:rsidRPr="00100F9F">
        <w:rPr>
          <w:szCs w:val="24"/>
        </w:rPr>
        <w:t xml:space="preserve">), обеспечив широкую представленность отраслевых компаний – Членов Сектора </w:t>
      </w:r>
      <w:r w:rsidRPr="00100F9F">
        <w:t>МСЭ</w:t>
      </w:r>
      <w:r w:rsidRPr="00100F9F">
        <w:rPr>
          <w:szCs w:val="24"/>
        </w:rPr>
        <w:t>-D из всех регионов мира.</w:t>
      </w:r>
    </w:p>
    <w:p w:rsidR="00156E9D" w:rsidRPr="00100F9F" w:rsidRDefault="00156E9D" w:rsidP="00156E9D">
      <w:bookmarkStart w:id="9" w:name="lt_pId028"/>
      <w:r w:rsidRPr="00100F9F">
        <w:t xml:space="preserve">Кроме этого, Полномочная конференция 2018 года (ПК-18) приняла несколько Резолюций, касающихся членского состава, </w:t>
      </w:r>
      <w:proofErr w:type="gramStart"/>
      <w:r w:rsidRPr="00100F9F">
        <w:t>например</w:t>
      </w:r>
      <w:proofErr w:type="gramEnd"/>
      <w:r w:rsidRPr="00100F9F">
        <w:t xml:space="preserve"> Резолюцию 209 (Дубай, 2018 г.), в котор</w:t>
      </w:r>
      <w:bookmarkEnd w:id="9"/>
      <w:r w:rsidRPr="00100F9F">
        <w:t xml:space="preserve">ой поощряется участие </w:t>
      </w:r>
      <w:proofErr w:type="spellStart"/>
      <w:r w:rsidRPr="00100F9F">
        <w:t>МСП</w:t>
      </w:r>
      <w:proofErr w:type="spellEnd"/>
      <w:r w:rsidRPr="00100F9F">
        <w:t xml:space="preserve"> в работе Союза.</w:t>
      </w:r>
    </w:p>
    <w:p w:rsidR="00156E9D" w:rsidRPr="00100F9F" w:rsidRDefault="00156E9D" w:rsidP="00156E9D">
      <w:r w:rsidRPr="00100F9F">
        <w:t>На ПК-18 была пересмотрена Резолюция 169 об Академических организациях, согласно которой представители Академических организаций могут выступать Докладчиками, заместителями Докладчика или Содокладчиками в соответствии с установленными правилами процедуры соответствующих Секторов. Также поощряется участие Академических организаций в расширении технической деятельности Союза.</w:t>
      </w:r>
    </w:p>
    <w:p w:rsidR="00156E9D" w:rsidRPr="00100F9F" w:rsidRDefault="00156E9D" w:rsidP="00156E9D">
      <w:pPr>
        <w:pStyle w:val="PlainText"/>
        <w:spacing w:before="120"/>
        <w:rPr>
          <w:szCs w:val="22"/>
          <w:lang w:val="ru-RU"/>
        </w:rPr>
      </w:pPr>
      <w:r w:rsidRPr="00100F9F">
        <w:rPr>
          <w:szCs w:val="22"/>
          <w:lang w:val="ru-RU"/>
        </w:rPr>
        <w:t xml:space="preserve">Кроме того, в ходе ПК-18 была принята Резолюция 205 (Дубай, 2018 г.) об ориентированных на ИКТ инновациях для поддержки цифровой экономики, в которой БРЭ было поручено поощрять участие </w:t>
      </w:r>
      <w:proofErr w:type="spellStart"/>
      <w:r w:rsidRPr="00100F9F">
        <w:rPr>
          <w:szCs w:val="22"/>
          <w:lang w:val="ru-RU"/>
        </w:rPr>
        <w:t>МСП</w:t>
      </w:r>
      <w:proofErr w:type="spellEnd"/>
      <w:r w:rsidRPr="00100F9F">
        <w:rPr>
          <w:szCs w:val="22"/>
          <w:lang w:val="ru-RU"/>
        </w:rPr>
        <w:t xml:space="preserve"> в работе исследовательских комиссий, а Государства-Члены и члены МСЭ были призваны поощрять участие работающих в сфере ИКТ предпринимателей, </w:t>
      </w:r>
      <w:proofErr w:type="spellStart"/>
      <w:r w:rsidRPr="00100F9F">
        <w:rPr>
          <w:szCs w:val="22"/>
          <w:lang w:val="ru-RU"/>
        </w:rPr>
        <w:t>стартапов</w:t>
      </w:r>
      <w:proofErr w:type="spellEnd"/>
      <w:r w:rsidRPr="00100F9F">
        <w:rPr>
          <w:szCs w:val="22"/>
          <w:lang w:val="ru-RU"/>
        </w:rPr>
        <w:t>, инкубационных центров и акселераторов в мероприятии ITU Telecom-2019.</w:t>
      </w:r>
    </w:p>
    <w:p w:rsidR="00156E9D" w:rsidRPr="00100F9F" w:rsidRDefault="00156E9D" w:rsidP="00156E9D">
      <w:pPr>
        <w:pStyle w:val="PlainText"/>
        <w:spacing w:before="120"/>
        <w:rPr>
          <w:szCs w:val="22"/>
          <w:lang w:val="ru-RU"/>
        </w:rPr>
      </w:pPr>
      <w:r w:rsidRPr="00100F9F">
        <w:rPr>
          <w:szCs w:val="22"/>
          <w:lang w:val="ru-RU"/>
        </w:rPr>
        <w:t xml:space="preserve">БРЭ продолжит принимать необходимые меры для выполнения решений ПК-18, ВКРЭ-17, </w:t>
      </w:r>
      <w:proofErr w:type="spellStart"/>
      <w:r w:rsidRPr="00100F9F">
        <w:rPr>
          <w:szCs w:val="22"/>
          <w:lang w:val="ru-RU"/>
        </w:rPr>
        <w:t>РГС-ФЛР</w:t>
      </w:r>
      <w:proofErr w:type="spellEnd"/>
      <w:r w:rsidRPr="00100F9F">
        <w:rPr>
          <w:szCs w:val="22"/>
          <w:lang w:val="ru-RU"/>
        </w:rPr>
        <w:t xml:space="preserve"> и Совета, консультируясь со всеми соответствующими собраниями МСЭ, включая собрания КГРЭ и исследовательских комиссий МСЭ-D.</w:t>
      </w:r>
    </w:p>
    <w:p w:rsidR="00156E9D" w:rsidRPr="00100F9F" w:rsidRDefault="00156E9D" w:rsidP="00156E9D">
      <w:pPr>
        <w:pStyle w:val="Heading1"/>
        <w:rPr>
          <w:sz w:val="24"/>
          <w:szCs w:val="24"/>
        </w:rPr>
      </w:pPr>
      <w:r w:rsidRPr="00100F9F">
        <w:t>2</w:t>
      </w:r>
      <w:r w:rsidRPr="00100F9F">
        <w:tab/>
        <w:t>Стратегические задачи</w:t>
      </w:r>
    </w:p>
    <w:p w:rsidR="00156E9D" w:rsidRPr="00100F9F" w:rsidRDefault="00156E9D" w:rsidP="00156E9D">
      <w:pPr>
        <w:pStyle w:val="CEONormal"/>
        <w:spacing w:after="0"/>
        <w:rPr>
          <w:rFonts w:asciiTheme="minorHAnsi" w:hAnsiTheme="minorHAnsi"/>
          <w:szCs w:val="22"/>
          <w:lang w:val="ru-RU"/>
        </w:rPr>
      </w:pPr>
      <w:r w:rsidRPr="00100F9F">
        <w:rPr>
          <w:rFonts w:asciiTheme="minorHAnsi" w:hAnsiTheme="minorHAnsi"/>
          <w:szCs w:val="22"/>
          <w:lang w:val="ru-RU"/>
        </w:rPr>
        <w:t>Согласно решениям ВКРЭ-17 и ПК-18, БРЭ в тесной координации и сотрудничестве с Генеральным секретариатом, двумя другими Бюро и региональными/зональными отделениями работает над выполнением двух основных задач:</w:t>
      </w:r>
    </w:p>
    <w:p w:rsidR="00156E9D" w:rsidRPr="00100F9F" w:rsidRDefault="00E80E5A" w:rsidP="00156E9D">
      <w:pPr>
        <w:pStyle w:val="enumlev1"/>
      </w:pPr>
      <w:r w:rsidRPr="00100F9F">
        <w:t>−</w:t>
      </w:r>
      <w:r w:rsidR="00156E9D" w:rsidRPr="00100F9F">
        <w:tab/>
        <w:t xml:space="preserve">ведение информационно-разъяснительной работы с целью привлечения новых структур к участию в качестве Членов Секторов, Ассоциированных членов, </w:t>
      </w:r>
      <w:proofErr w:type="spellStart"/>
      <w:r w:rsidR="00156E9D" w:rsidRPr="00100F9F">
        <w:t>МСП</w:t>
      </w:r>
      <w:proofErr w:type="spellEnd"/>
      <w:r w:rsidR="00156E9D" w:rsidRPr="00100F9F">
        <w:t xml:space="preserve"> и Академических организаций;</w:t>
      </w:r>
    </w:p>
    <w:p w:rsidR="00156E9D" w:rsidRPr="00100F9F" w:rsidRDefault="00E80E5A" w:rsidP="00156E9D">
      <w:pPr>
        <w:pStyle w:val="enumlev1"/>
        <w:rPr>
          <w:rFonts w:cs="Calibri"/>
          <w:sz w:val="24"/>
          <w:szCs w:val="24"/>
          <w:highlight w:val="yellow"/>
        </w:rPr>
      </w:pPr>
      <w:r w:rsidRPr="00100F9F">
        <w:t>−</w:t>
      </w:r>
      <w:r w:rsidR="00156E9D" w:rsidRPr="00100F9F">
        <w:tab/>
        <w:t>укрепление платформ и инструментов для взаимодействия с действующими Членами Сектора МСЭ-D, Ассоциированными членами и Академическими организациями и их удержания.</w:t>
      </w:r>
    </w:p>
    <w:p w:rsidR="00156E9D" w:rsidRPr="00100F9F" w:rsidRDefault="00156E9D" w:rsidP="00156E9D">
      <w:pPr>
        <w:pStyle w:val="Heading1"/>
      </w:pPr>
      <w:bookmarkStart w:id="10" w:name="lt_pId038"/>
      <w:r w:rsidRPr="00100F9F">
        <w:lastRenderedPageBreak/>
        <w:t>3</w:t>
      </w:r>
      <w:r w:rsidRPr="00100F9F">
        <w:tab/>
        <w:t>Анализ состояния дел</w:t>
      </w:r>
    </w:p>
    <w:p w:rsidR="007A20FE" w:rsidRPr="00100F9F" w:rsidRDefault="00156E9D" w:rsidP="007A20FE">
      <w:pPr>
        <w:pStyle w:val="FigureNo"/>
        <w:rPr>
          <w:lang w:val="ru-RU"/>
        </w:rPr>
      </w:pPr>
      <w:r w:rsidRPr="00100F9F">
        <w:rPr>
          <w:lang w:val="ru-RU"/>
        </w:rPr>
        <w:t>Диаграмма 1</w:t>
      </w:r>
    </w:p>
    <w:p w:rsidR="00156E9D" w:rsidRPr="00100F9F" w:rsidRDefault="00156E9D" w:rsidP="007A20FE">
      <w:pPr>
        <w:pStyle w:val="Figuretitle"/>
        <w:rPr>
          <w:rFonts w:asciiTheme="minorHAnsi" w:hAnsiTheme="minorHAnsi"/>
          <w:color w:val="000000" w:themeColor="text1"/>
        </w:rPr>
      </w:pPr>
      <w:r w:rsidRPr="00100F9F">
        <w:t>Динамика членского состава Сектора МСЭ</w:t>
      </w:r>
      <w:r w:rsidRPr="00100F9F">
        <w:noBreakHyphen/>
        <w:t>D в период 2008–2018 годов в разбивке по Членам Секторов, Ассоциированным членам и Академическим организациям</w:t>
      </w:r>
      <w:r w:rsidRPr="00100F9F">
        <w:rPr>
          <w:rStyle w:val="FootnoteReference"/>
          <w:b w:val="0"/>
          <w:bCs/>
        </w:rPr>
        <w:footnoteReference w:id="1"/>
      </w:r>
      <w:bookmarkEnd w:id="10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726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156E9D" w:rsidRPr="00100F9F" w:rsidTr="00100F9F">
        <w:trPr>
          <w:tblHeader/>
          <w:jc w:val="center"/>
        </w:trPr>
        <w:tc>
          <w:tcPr>
            <w:tcW w:w="178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9D" w:rsidRPr="00100F9F" w:rsidRDefault="00156E9D" w:rsidP="007A20FE">
            <w:pPr>
              <w:ind w:left="-57" w:right="-57"/>
              <w:rPr>
                <w:sz w:val="20"/>
                <w:lang w:eastAsia="zh-CN"/>
              </w:rPr>
            </w:pP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head"/>
              <w:ind w:left="-57" w:right="-57"/>
              <w:rPr>
                <w:lang w:eastAsia="zh-CN"/>
              </w:rPr>
            </w:pPr>
            <w:r w:rsidRPr="00100F9F">
              <w:rPr>
                <w:lang w:eastAsia="zh-CN"/>
              </w:rPr>
              <w:t>2008 г.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head"/>
              <w:ind w:left="-57" w:right="-57"/>
              <w:rPr>
                <w:lang w:eastAsia="zh-CN"/>
              </w:rPr>
            </w:pPr>
            <w:r w:rsidRPr="00100F9F">
              <w:rPr>
                <w:lang w:eastAsia="zh-CN"/>
              </w:rPr>
              <w:t>2009 г.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head"/>
              <w:ind w:left="-57" w:right="-57"/>
              <w:rPr>
                <w:lang w:eastAsia="zh-CN"/>
              </w:rPr>
            </w:pPr>
            <w:r w:rsidRPr="00100F9F">
              <w:rPr>
                <w:lang w:eastAsia="zh-CN"/>
              </w:rPr>
              <w:t>2010 г.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head"/>
              <w:ind w:left="-57" w:right="-57"/>
              <w:rPr>
                <w:lang w:eastAsia="zh-CN"/>
              </w:rPr>
            </w:pPr>
            <w:r w:rsidRPr="00100F9F">
              <w:rPr>
                <w:lang w:eastAsia="zh-CN"/>
              </w:rPr>
              <w:t>2011 г.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head"/>
              <w:ind w:left="-57" w:right="-57"/>
              <w:rPr>
                <w:lang w:eastAsia="zh-CN"/>
              </w:rPr>
            </w:pPr>
            <w:r w:rsidRPr="00100F9F">
              <w:rPr>
                <w:lang w:eastAsia="zh-CN"/>
              </w:rPr>
              <w:t>2012 г.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head"/>
              <w:ind w:left="-57" w:right="-57"/>
              <w:rPr>
                <w:lang w:eastAsia="zh-CN"/>
              </w:rPr>
            </w:pPr>
            <w:r w:rsidRPr="00100F9F">
              <w:rPr>
                <w:lang w:eastAsia="zh-CN"/>
              </w:rPr>
              <w:t>2013 г.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head"/>
              <w:ind w:left="-57" w:right="-57"/>
              <w:rPr>
                <w:lang w:eastAsia="zh-CN"/>
              </w:rPr>
            </w:pPr>
            <w:r w:rsidRPr="00100F9F">
              <w:rPr>
                <w:lang w:eastAsia="zh-CN"/>
              </w:rPr>
              <w:t>2014 г.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head"/>
              <w:ind w:left="-57" w:right="-57"/>
              <w:rPr>
                <w:lang w:eastAsia="zh-CN"/>
              </w:rPr>
            </w:pPr>
            <w:r w:rsidRPr="00100F9F">
              <w:rPr>
                <w:lang w:eastAsia="zh-CN"/>
              </w:rPr>
              <w:t>2015 г.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head"/>
              <w:ind w:left="-57" w:right="-57"/>
              <w:rPr>
                <w:lang w:eastAsia="zh-CN"/>
              </w:rPr>
            </w:pPr>
            <w:r w:rsidRPr="00100F9F">
              <w:rPr>
                <w:lang w:eastAsia="zh-CN"/>
              </w:rPr>
              <w:t>2016 г.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head"/>
              <w:ind w:left="-57" w:right="-57"/>
              <w:rPr>
                <w:lang w:eastAsia="zh-CN"/>
              </w:rPr>
            </w:pPr>
            <w:r w:rsidRPr="00100F9F">
              <w:rPr>
                <w:lang w:eastAsia="zh-CN"/>
              </w:rPr>
              <w:t>2017 г.</w:t>
            </w:r>
          </w:p>
        </w:tc>
        <w:tc>
          <w:tcPr>
            <w:tcW w:w="727" w:type="dxa"/>
            <w:vAlign w:val="center"/>
            <w:hideMark/>
          </w:tcPr>
          <w:p w:rsidR="00156E9D" w:rsidRPr="00100F9F" w:rsidRDefault="00156E9D" w:rsidP="007A20FE">
            <w:pPr>
              <w:pStyle w:val="Tablehead"/>
              <w:ind w:left="-57" w:right="-57"/>
              <w:rPr>
                <w:lang w:eastAsia="zh-CN"/>
              </w:rPr>
            </w:pPr>
            <w:r w:rsidRPr="00100F9F">
              <w:rPr>
                <w:lang w:eastAsia="zh-CN"/>
              </w:rPr>
              <w:t>2018 г.</w:t>
            </w:r>
          </w:p>
        </w:tc>
      </w:tr>
      <w:tr w:rsidR="00156E9D" w:rsidRPr="00100F9F" w:rsidTr="007A20FE">
        <w:trPr>
          <w:jc w:val="center"/>
        </w:trPr>
        <w:tc>
          <w:tcPr>
            <w:tcW w:w="1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rPr>
                <w:lang w:eastAsia="zh-CN"/>
              </w:rPr>
            </w:pPr>
            <w:r w:rsidRPr="00100F9F">
              <w:rPr>
                <w:lang w:eastAsia="zh-CN"/>
              </w:rPr>
              <w:t>Члены Секторов</w:t>
            </w: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308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316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311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323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330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346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338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340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331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318</w:t>
            </w:r>
          </w:p>
        </w:tc>
        <w:tc>
          <w:tcPr>
            <w:tcW w:w="727" w:type="dxa"/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310</w:t>
            </w:r>
          </w:p>
        </w:tc>
      </w:tr>
      <w:tr w:rsidR="00156E9D" w:rsidRPr="00100F9F" w:rsidTr="007A20FE">
        <w:trPr>
          <w:jc w:val="center"/>
        </w:trPr>
        <w:tc>
          <w:tcPr>
            <w:tcW w:w="1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rPr>
                <w:lang w:eastAsia="zh-CN"/>
              </w:rPr>
            </w:pPr>
            <w:r w:rsidRPr="00100F9F">
              <w:rPr>
                <w:lang w:eastAsia="zh-CN"/>
              </w:rPr>
              <w:t>Ассоциированные члены</w:t>
            </w: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5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6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7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9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10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11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12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12</w:t>
            </w:r>
          </w:p>
        </w:tc>
        <w:tc>
          <w:tcPr>
            <w:tcW w:w="727" w:type="dxa"/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14</w:t>
            </w:r>
          </w:p>
        </w:tc>
      </w:tr>
      <w:tr w:rsidR="00156E9D" w:rsidRPr="00100F9F" w:rsidTr="007A20FE">
        <w:trPr>
          <w:jc w:val="center"/>
        </w:trPr>
        <w:tc>
          <w:tcPr>
            <w:tcW w:w="1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rPr>
                <w:lang w:eastAsia="zh-CN"/>
              </w:rPr>
            </w:pPr>
            <w:r w:rsidRPr="00100F9F">
              <w:rPr>
                <w:lang w:eastAsia="zh-CN"/>
              </w:rPr>
              <w:t>Академические организации</w:t>
            </w: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7A20FE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−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7A20FE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−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7A20FE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−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25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36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45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86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109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107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125</w:t>
            </w:r>
          </w:p>
        </w:tc>
        <w:tc>
          <w:tcPr>
            <w:tcW w:w="727" w:type="dxa"/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156</w:t>
            </w:r>
          </w:p>
        </w:tc>
      </w:tr>
      <w:tr w:rsidR="00156E9D" w:rsidRPr="00100F9F" w:rsidTr="007A20FE">
        <w:trPr>
          <w:jc w:val="center"/>
        </w:trPr>
        <w:tc>
          <w:tcPr>
            <w:tcW w:w="1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rPr>
                <w:lang w:eastAsia="zh-CN"/>
              </w:rPr>
            </w:pPr>
            <w:r w:rsidRPr="00100F9F">
              <w:rPr>
                <w:lang w:eastAsia="zh-CN"/>
              </w:rPr>
              <w:t xml:space="preserve">ИТОГО </w:t>
            </w: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311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319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316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354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373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400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434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460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450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455</w:t>
            </w:r>
          </w:p>
        </w:tc>
        <w:tc>
          <w:tcPr>
            <w:tcW w:w="727" w:type="dxa"/>
            <w:vAlign w:val="center"/>
            <w:hideMark/>
          </w:tcPr>
          <w:p w:rsidR="00156E9D" w:rsidRPr="00100F9F" w:rsidRDefault="00156E9D" w:rsidP="007A20FE">
            <w:pPr>
              <w:pStyle w:val="Tabletext"/>
              <w:ind w:left="-57" w:right="-57"/>
              <w:jc w:val="center"/>
              <w:rPr>
                <w:lang w:eastAsia="zh-CN"/>
              </w:rPr>
            </w:pPr>
            <w:r w:rsidRPr="00100F9F">
              <w:rPr>
                <w:lang w:eastAsia="zh-CN"/>
              </w:rPr>
              <w:t>480</w:t>
            </w:r>
          </w:p>
        </w:tc>
      </w:tr>
    </w:tbl>
    <w:p w:rsidR="00E80E5A" w:rsidRPr="00100F9F" w:rsidRDefault="00E80E5A" w:rsidP="00E80E5A">
      <w:r w:rsidRPr="00100F9F">
        <w:drawing>
          <wp:inline distT="0" distB="0" distL="0" distR="0" wp14:anchorId="1C49E121" wp14:editId="69E4ACF0">
            <wp:extent cx="6120130" cy="266255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6E9D" w:rsidRPr="00100F9F" w:rsidRDefault="00156E9D" w:rsidP="00156E9D">
      <w:pPr>
        <w:pStyle w:val="Heading2"/>
      </w:pPr>
      <w:r w:rsidRPr="00100F9F">
        <w:t>3.1</w:t>
      </w:r>
      <w:r w:rsidRPr="00100F9F">
        <w:tab/>
        <w:t>Члены Сектора и Ассоциированные члены в 2018 году</w:t>
      </w:r>
    </w:p>
    <w:p w:rsidR="00156E9D" w:rsidRPr="00100F9F" w:rsidRDefault="00156E9D" w:rsidP="00156E9D">
      <w:pPr>
        <w:keepNext/>
        <w:spacing w:after="120"/>
        <w:rPr>
          <w:szCs w:val="24"/>
        </w:rPr>
      </w:pPr>
      <w:r w:rsidRPr="00100F9F">
        <w:rPr>
          <w:szCs w:val="24"/>
        </w:rPr>
        <w:t xml:space="preserve">В 2018 году к работе МСЭ-D присоединились восемь новых Членов Сектора: </w:t>
      </w:r>
      <w:proofErr w:type="spellStart"/>
      <w:r w:rsidRPr="00100F9F">
        <w:rPr>
          <w:szCs w:val="24"/>
        </w:rPr>
        <w:t>ECPAT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International</w:t>
      </w:r>
      <w:proofErr w:type="spellEnd"/>
      <w:r w:rsidRPr="00100F9F">
        <w:rPr>
          <w:szCs w:val="24"/>
        </w:rPr>
        <w:t xml:space="preserve"> (Таиланд), </w:t>
      </w:r>
      <w:proofErr w:type="spellStart"/>
      <w:r w:rsidRPr="00100F9F">
        <w:rPr>
          <w:szCs w:val="24"/>
        </w:rPr>
        <w:t>World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Wide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Web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Foundation</w:t>
      </w:r>
      <w:proofErr w:type="spellEnd"/>
      <w:r w:rsidRPr="00100F9F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100F9F">
        <w:rPr>
          <w:szCs w:val="24"/>
        </w:rPr>
        <w:t xml:space="preserve">(США), Общий рынок Восточной и Южной Африки (Замбия), </w:t>
      </w:r>
      <w:proofErr w:type="spellStart"/>
      <w:r w:rsidRPr="00100F9F">
        <w:rPr>
          <w:szCs w:val="24"/>
        </w:rPr>
        <w:t>Mobile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and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Wireless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Forum</w:t>
      </w:r>
      <w:proofErr w:type="spellEnd"/>
      <w:r w:rsidRPr="00100F9F">
        <w:rPr>
          <w:szCs w:val="24"/>
        </w:rPr>
        <w:t xml:space="preserve"> (Бельгия), </w:t>
      </w:r>
      <w:proofErr w:type="spellStart"/>
      <w:r w:rsidRPr="00100F9F">
        <w:rPr>
          <w:szCs w:val="24"/>
        </w:rPr>
        <w:t>Turkcell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İletişim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Hizmetleri</w:t>
      </w:r>
      <w:proofErr w:type="spellEnd"/>
      <w:r w:rsidRPr="00100F9F">
        <w:rPr>
          <w:szCs w:val="24"/>
        </w:rPr>
        <w:t xml:space="preserve"> (Турция), </w:t>
      </w:r>
      <w:proofErr w:type="spellStart"/>
      <w:r w:rsidRPr="00100F9F">
        <w:rPr>
          <w:szCs w:val="24"/>
        </w:rPr>
        <w:t>Sigma</w:t>
      </w:r>
      <w:proofErr w:type="spellEnd"/>
      <w:r w:rsidRPr="00100F9F">
        <w:rPr>
          <w:szCs w:val="24"/>
        </w:rPr>
        <w:t xml:space="preserve"> Telecom (Турция), </w:t>
      </w:r>
      <w:proofErr w:type="spellStart"/>
      <w:r w:rsidRPr="00100F9F">
        <w:rPr>
          <w:szCs w:val="24"/>
        </w:rPr>
        <w:t>Symantec</w:t>
      </w:r>
      <w:proofErr w:type="spellEnd"/>
      <w:r w:rsidRPr="00100F9F">
        <w:rPr>
          <w:szCs w:val="24"/>
        </w:rPr>
        <w:t xml:space="preserve"> (США), </w:t>
      </w:r>
      <w:proofErr w:type="spellStart"/>
      <w:r w:rsidRPr="00100F9F">
        <w:rPr>
          <w:szCs w:val="24"/>
        </w:rPr>
        <w:t>Masyarakat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Telematika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Indonesia</w:t>
      </w:r>
      <w:proofErr w:type="spellEnd"/>
      <w:r w:rsidRPr="00100F9F">
        <w:rPr>
          <w:szCs w:val="24"/>
        </w:rPr>
        <w:t xml:space="preserve"> (Индонезия); а также четыре новых партнера: </w:t>
      </w:r>
      <w:proofErr w:type="spellStart"/>
      <w:r w:rsidRPr="00100F9F">
        <w:rPr>
          <w:szCs w:val="24"/>
        </w:rPr>
        <w:t>High-Tech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Bridge</w:t>
      </w:r>
      <w:proofErr w:type="spellEnd"/>
      <w:r w:rsidRPr="00100F9F">
        <w:rPr>
          <w:szCs w:val="24"/>
        </w:rPr>
        <w:t xml:space="preserve"> (Швейцария), </w:t>
      </w:r>
      <w:proofErr w:type="spellStart"/>
      <w:r w:rsidRPr="00100F9F">
        <w:rPr>
          <w:szCs w:val="24"/>
        </w:rPr>
        <w:t>Konkan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Railway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Corporation</w:t>
      </w:r>
      <w:proofErr w:type="spellEnd"/>
      <w:r w:rsidRPr="00100F9F">
        <w:rPr>
          <w:szCs w:val="24"/>
        </w:rPr>
        <w:t xml:space="preserve"> (Индия), </w:t>
      </w:r>
      <w:proofErr w:type="spellStart"/>
      <w:r w:rsidRPr="00100F9F">
        <w:rPr>
          <w:szCs w:val="24"/>
        </w:rPr>
        <w:t>Axon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Partners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Group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Consulting</w:t>
      </w:r>
      <w:proofErr w:type="spellEnd"/>
      <w:r w:rsidRPr="00100F9F">
        <w:rPr>
          <w:szCs w:val="24"/>
        </w:rPr>
        <w:t xml:space="preserve"> (Испания) и </w:t>
      </w:r>
      <w:proofErr w:type="spellStart"/>
      <w:r w:rsidRPr="00100F9F">
        <w:rPr>
          <w:szCs w:val="24"/>
        </w:rPr>
        <w:t>NRD</w:t>
      </w:r>
      <w:proofErr w:type="spellEnd"/>
      <w:r w:rsidRPr="00100F9F">
        <w:rPr>
          <w:szCs w:val="24"/>
        </w:rPr>
        <w:t> </w:t>
      </w:r>
      <w:proofErr w:type="spellStart"/>
      <w:r w:rsidRPr="00100F9F">
        <w:rPr>
          <w:szCs w:val="24"/>
        </w:rPr>
        <w:t>Cyber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Security</w:t>
      </w:r>
      <w:proofErr w:type="spellEnd"/>
      <w:r w:rsidRPr="00100F9F">
        <w:rPr>
          <w:szCs w:val="24"/>
        </w:rPr>
        <w:t xml:space="preserve"> (Литва).</w:t>
      </w:r>
    </w:p>
    <w:p w:rsidR="00156E9D" w:rsidRPr="00100F9F" w:rsidRDefault="00156E9D" w:rsidP="00156E9D">
      <w:pPr>
        <w:keepNext/>
        <w:spacing w:after="120"/>
        <w:rPr>
          <w:szCs w:val="24"/>
        </w:rPr>
      </w:pPr>
      <w:r w:rsidRPr="00100F9F">
        <w:rPr>
          <w:szCs w:val="24"/>
        </w:rPr>
        <w:t>В течение этого периода 15 членов были исключены, из них три по причине неуплаты. В других случаях причиной исключения послужила консолидация отрасли и/или финансовые вопросы.</w:t>
      </w:r>
    </w:p>
    <w:p w:rsidR="00156E9D" w:rsidRPr="00100F9F" w:rsidRDefault="00156E9D" w:rsidP="00156E9D">
      <w:pPr>
        <w:pStyle w:val="Heading2"/>
      </w:pPr>
      <w:r w:rsidRPr="00100F9F">
        <w:t>3.2</w:t>
      </w:r>
      <w:r w:rsidRPr="00100F9F">
        <w:tab/>
        <w:t>Академические организации в 2018 году</w:t>
      </w:r>
    </w:p>
    <w:p w:rsidR="00156E9D" w:rsidRPr="00100F9F" w:rsidRDefault="00156E9D" w:rsidP="00156E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100F9F">
        <w:rPr>
          <w:szCs w:val="24"/>
        </w:rPr>
        <w:t xml:space="preserve">Академические организации участвуют в работе всех Секторов, а также в глобальных и региональных конференциях, семинарах-практикумах и мероприятиях Союза при уплате единого сбора. В 2018 году в координации с Генеральным секретариатом и при поддержке таких Членов МСЭ, как Аргентина, </w:t>
      </w:r>
      <w:r w:rsidRPr="00100F9F">
        <w:rPr>
          <w:szCs w:val="24"/>
        </w:rPr>
        <w:lastRenderedPageBreak/>
        <w:t>Китай, Индия, Иран и Палестина, а также многих других, к работе всех трех Секторов МСЭ подключились еще 37 академических организаций</w:t>
      </w:r>
      <w:r w:rsidRPr="00100F9F">
        <w:rPr>
          <w:rStyle w:val="FootnoteReference"/>
          <w:szCs w:val="24"/>
        </w:rPr>
        <w:footnoteReference w:id="2"/>
      </w:r>
      <w:r w:rsidRPr="00100F9F">
        <w:rPr>
          <w:szCs w:val="24"/>
        </w:rPr>
        <w:t>.</w:t>
      </w:r>
    </w:p>
    <w:p w:rsidR="00156E9D" w:rsidRPr="00100F9F" w:rsidRDefault="00156E9D" w:rsidP="00156E9D">
      <w:pPr>
        <w:pStyle w:val="Heading1"/>
        <w:rPr>
          <w:szCs w:val="24"/>
          <w:lang w:eastAsia="zh-CN"/>
        </w:rPr>
      </w:pPr>
      <w:r w:rsidRPr="00100F9F">
        <w:rPr>
          <w:szCs w:val="24"/>
          <w:lang w:eastAsia="zh-CN"/>
        </w:rPr>
        <w:t>4</w:t>
      </w:r>
      <w:r w:rsidRPr="00100F9F">
        <w:rPr>
          <w:szCs w:val="24"/>
          <w:lang w:eastAsia="zh-CN"/>
        </w:rPr>
        <w:tab/>
      </w:r>
      <w:r w:rsidRPr="00100F9F">
        <w:t>Основные направления деятельности и результаты</w:t>
      </w:r>
    </w:p>
    <w:p w:rsidR="00156E9D" w:rsidRPr="00100F9F" w:rsidRDefault="00156E9D" w:rsidP="00156E9D">
      <w:pPr>
        <w:rPr>
          <w:szCs w:val="24"/>
        </w:rPr>
      </w:pPr>
      <w:bookmarkStart w:id="11" w:name="lt_pId047"/>
      <w:r w:rsidRPr="00100F9F">
        <w:rPr>
          <w:color w:val="000000" w:themeColor="text1"/>
        </w:rPr>
        <w:t>БРЭ провело серию стратегических мероприятий и продолжит работать над усовершенствованием услуг</w:t>
      </w:r>
      <w:r w:rsidRPr="00100F9F">
        <w:rPr>
          <w:szCs w:val="24"/>
        </w:rPr>
        <w:t xml:space="preserve"> </w:t>
      </w:r>
      <w:r w:rsidRPr="00100F9F">
        <w:rPr>
          <w:color w:val="000000" w:themeColor="text1"/>
        </w:rPr>
        <w:t xml:space="preserve">и возможностей для Членов Сектора </w:t>
      </w:r>
      <w:r w:rsidRPr="00100F9F">
        <w:rPr>
          <w:rFonts w:asciiTheme="minorHAnsi" w:hAnsiTheme="minorHAnsi"/>
          <w:color w:val="000000" w:themeColor="text1"/>
        </w:rPr>
        <w:t>МСЭ-D, Ассоциированных Членов и Академических организаций</w:t>
      </w:r>
      <w:r w:rsidRPr="00100F9F">
        <w:rPr>
          <w:szCs w:val="24"/>
        </w:rPr>
        <w:t>.</w:t>
      </w:r>
      <w:bookmarkEnd w:id="11"/>
    </w:p>
    <w:p w:rsidR="00156E9D" w:rsidRPr="00100F9F" w:rsidRDefault="00156E9D" w:rsidP="00156E9D">
      <w:pPr>
        <w:pStyle w:val="Heading2"/>
      </w:pPr>
      <w:bookmarkStart w:id="12" w:name="lt_pId048"/>
      <w:r w:rsidRPr="00100F9F">
        <w:t>4.1</w:t>
      </w:r>
      <w:r w:rsidRPr="00100F9F">
        <w:tab/>
      </w:r>
      <w:bookmarkEnd w:id="12"/>
      <w:r w:rsidRPr="00100F9F">
        <w:t xml:space="preserve">Инструменты и услуги для укрепления членского состава Сектора </w:t>
      </w:r>
      <w:r w:rsidRPr="00100F9F">
        <w:rPr>
          <w:rFonts w:asciiTheme="minorHAnsi" w:hAnsiTheme="minorHAnsi"/>
          <w:color w:val="000000" w:themeColor="text1"/>
        </w:rPr>
        <w:t>МСЭ-D</w:t>
      </w:r>
    </w:p>
    <w:p w:rsidR="00156E9D" w:rsidRPr="00100F9F" w:rsidRDefault="00156E9D" w:rsidP="00156E9D">
      <w:pPr>
        <w:rPr>
          <w:szCs w:val="24"/>
        </w:rPr>
      </w:pPr>
      <w:bookmarkStart w:id="13" w:name="lt_pId049"/>
      <w:r w:rsidRPr="00100F9F">
        <w:t xml:space="preserve">Для популяризации выгод и повышения узнаваемости членов благодаря их членству продолжают использоваться платформы распространения информации, </w:t>
      </w:r>
      <w:proofErr w:type="gramStart"/>
      <w:r w:rsidRPr="00100F9F">
        <w:t>например</w:t>
      </w:r>
      <w:proofErr w:type="gramEnd"/>
      <w:r w:rsidRPr="00100F9F">
        <w:t xml:space="preserve"> портал для Членов Сектора МСЭ-D (</w:t>
      </w:r>
      <w:hyperlink r:id="rId10" w:history="1">
        <w:r w:rsidRPr="00100F9F">
          <w:rPr>
            <w:rStyle w:val="Hyperlink"/>
          </w:rPr>
          <w:t>http://www.itu.int/en/ITU-D/Membership/Pages/default.aspx</w:t>
        </w:r>
      </w:hyperlink>
      <w:r w:rsidRPr="00100F9F">
        <w:t xml:space="preserve">) и соответствующая веб-страница. Они соответствуют направлениям деятельности МСЭ-D и ориентированы на поиск возможностей участия в проектах и налаживание партнерских отношений, а также представляют собой место для размещения историй успеха членов и привлечения внимания к ним. </w:t>
      </w:r>
      <w:r w:rsidRPr="00100F9F">
        <w:rPr>
          <w:szCs w:val="24"/>
        </w:rPr>
        <w:t>БРЭ продолжает совершенствовать свои материалы для информационно-разъяснительной работы благодаря онлайновой платформе МСЭ для членского состава (</w:t>
      </w:r>
      <w:proofErr w:type="spellStart"/>
      <w:r w:rsidRPr="00100F9F">
        <w:rPr>
          <w:szCs w:val="24"/>
        </w:rPr>
        <w:t>MyITU</w:t>
      </w:r>
      <w:proofErr w:type="spellEnd"/>
      <w:r w:rsidRPr="00100F9F">
        <w:rPr>
          <w:szCs w:val="24"/>
        </w:rPr>
        <w:t>), которая предоставит возможности для размещения соответствующего индивидуальным потребностям контента, укрепления сетевого взаимодействия и сотрудничества между Членами</w:t>
      </w:r>
      <w:bookmarkStart w:id="14" w:name="lt_pId051"/>
      <w:bookmarkEnd w:id="13"/>
      <w:r w:rsidRPr="00100F9F">
        <w:rPr>
          <w:szCs w:val="24"/>
        </w:rPr>
        <w:t xml:space="preserve"> МСЭ-D.</w:t>
      </w:r>
      <w:bookmarkEnd w:id="14"/>
    </w:p>
    <w:p w:rsidR="00156E9D" w:rsidRPr="00100F9F" w:rsidRDefault="00156E9D" w:rsidP="00156E9D">
      <w:pPr>
        <w:pStyle w:val="Heading2"/>
      </w:pPr>
      <w:r w:rsidRPr="00100F9F">
        <w:t>4.2</w:t>
      </w:r>
      <w:r w:rsidRPr="00100F9F">
        <w:tab/>
        <w:t>Новые платформы для взаимодействия с Академическими организациями</w:t>
      </w:r>
    </w:p>
    <w:p w:rsidR="00156E9D" w:rsidRPr="00100F9F" w:rsidRDefault="00156E9D" w:rsidP="00156E9D">
      <w:pPr>
        <w:shd w:val="clear" w:color="auto" w:fill="FFFFFF"/>
        <w:overflowPunct/>
        <w:autoSpaceDE/>
        <w:autoSpaceDN/>
        <w:adjustRightInd/>
        <w:textAlignment w:val="auto"/>
        <w:rPr>
          <w:rFonts w:cs="Segoe UI"/>
          <w:szCs w:val="24"/>
        </w:rPr>
      </w:pPr>
      <w:bookmarkStart w:id="15" w:name="lt_pId061"/>
      <w:r w:rsidRPr="00100F9F">
        <w:rPr>
          <w:rFonts w:cs="Segoe UI"/>
          <w:szCs w:val="24"/>
        </w:rPr>
        <w:t>Академические организации стимулируют разработку новаторских и устойчивых решений, предоставляя пространство для объединения талантов, исследований и технологий в целях решения наиболее актуальных мировых проблем. Принимая во внимание рост числа Академических организаций – Членов МСЭ, БРЭ укрепляет различные типы платформ для сотрудничества в дополнение к уже существующим</w:t>
      </w:r>
      <w:bookmarkEnd w:id="15"/>
      <w:r w:rsidRPr="00100F9F">
        <w:rPr>
          <w:rFonts w:cs="Segoe UI"/>
          <w:szCs w:val="24"/>
        </w:rPr>
        <w:t>, таким как Академия МСЭ, Журнал МСЭ и др.  </w:t>
      </w:r>
    </w:p>
    <w:p w:rsidR="00156E9D" w:rsidRPr="00100F9F" w:rsidRDefault="00156E9D" w:rsidP="007A20FE">
      <w:pPr>
        <w:shd w:val="clear" w:color="auto" w:fill="FFFFFF"/>
        <w:overflowPunct/>
        <w:autoSpaceDE/>
        <w:autoSpaceDN/>
        <w:adjustRightInd/>
        <w:spacing w:after="120"/>
        <w:textAlignment w:val="auto"/>
        <w:rPr>
          <w:rFonts w:cs="Segoe UI"/>
          <w:szCs w:val="24"/>
        </w:rPr>
      </w:pPr>
      <w:r w:rsidRPr="00100F9F">
        <w:rPr>
          <w:rFonts w:cs="Segoe UI"/>
          <w:szCs w:val="24"/>
        </w:rPr>
        <w:t xml:space="preserve">Одним из примеров может служить книга МСЭ по </w:t>
      </w:r>
      <w:proofErr w:type="spellStart"/>
      <w:r w:rsidRPr="00100F9F">
        <w:t>ICT④SDG</w:t>
      </w:r>
      <w:proofErr w:type="spellEnd"/>
      <w:r w:rsidR="007A20FE" w:rsidRPr="00100F9F">
        <w:t xml:space="preserve">: </w:t>
      </w:r>
      <w:hyperlink r:id="rId11" w:history="1">
        <w:r w:rsidRPr="00100F9F">
          <w:rPr>
            <w:rStyle w:val="Hyperlink"/>
            <w:rFonts w:cs="Segoe UI"/>
            <w:i/>
            <w:iCs/>
            <w:szCs w:val="24"/>
          </w:rPr>
          <w:t>"Ориентированные на ИКТ экономический рост, инновации и создание рабочих мест"</w:t>
        </w:r>
      </w:hyperlink>
      <w:r w:rsidRPr="00100F9F">
        <w:rPr>
          <w:rFonts w:cs="Segoe UI"/>
          <w:szCs w:val="24"/>
        </w:rPr>
        <w:t xml:space="preserve">, представленная на ВКРЭ-17 и </w:t>
      </w:r>
      <w:r w:rsidRPr="00100F9F">
        <w:rPr>
          <w:rFonts w:cs="Segoe UI"/>
          <w:szCs w:val="24"/>
        </w:rPr>
        <w:lastRenderedPageBreak/>
        <w:t xml:space="preserve">являющаяся результатом пилотного совместного исследования, в котором приняли участие признанные эксперты из научных сообществ разных стран мира, а также Академические организации – Члены МСЭ. Это издание подтолкнуло академическое сообщество к обсуждению основных выводов с ведущими авторами и обзору новых направлений исследования и источников данных от академического и частного секторов, для которых по приглашению Лондонской школы экономики БРЭ провело мероприятие для налаживания партнерских отношений в сфере </w:t>
      </w:r>
      <w:proofErr w:type="spellStart"/>
      <w:r w:rsidRPr="00100F9F">
        <w:t>ICT④SDG</w:t>
      </w:r>
      <w:proofErr w:type="spellEnd"/>
      <w:r w:rsidRPr="00100F9F">
        <w:rPr>
          <w:rFonts w:cs="Segoe UI"/>
          <w:szCs w:val="24"/>
        </w:rPr>
        <w:t xml:space="preserve"> </w:t>
      </w:r>
      <w:hyperlink r:id="rId12" w:history="1">
        <w:r w:rsidRPr="00100F9F">
          <w:rPr>
            <w:rStyle w:val="Hyperlink"/>
            <w:rFonts w:cs="Segoe UI"/>
            <w:i/>
            <w:iCs/>
            <w:szCs w:val="24"/>
          </w:rPr>
          <w:t>"Ориентированные на ИКТ экономический рост, инновации и создание рабочих мест"</w:t>
        </w:r>
      </w:hyperlink>
      <w:r w:rsidRPr="00100F9F">
        <w:rPr>
          <w:rFonts w:cs="Segoe UI"/>
          <w:szCs w:val="24"/>
        </w:rPr>
        <w:t xml:space="preserve"> (Лондон, Соединенное Королевство, 22–23 мая 2018 г.). Эта платформа привлекла к участию 50 самых различных специалистов, как ведущих ученых, так и работников государственного и частного секторов.</w:t>
      </w:r>
    </w:p>
    <w:p w:rsidR="00156E9D" w:rsidRPr="00100F9F" w:rsidRDefault="00156E9D" w:rsidP="00156E9D">
      <w:pPr>
        <w:shd w:val="clear" w:color="auto" w:fill="FFFFFF"/>
        <w:overflowPunct/>
        <w:autoSpaceDE/>
        <w:autoSpaceDN/>
        <w:adjustRightInd/>
        <w:spacing w:after="120"/>
        <w:textAlignment w:val="auto"/>
        <w:rPr>
          <w:rFonts w:cs="Segoe UI"/>
          <w:szCs w:val="24"/>
        </w:rPr>
      </w:pPr>
      <w:r w:rsidRPr="00100F9F">
        <w:rPr>
          <w:rFonts w:cs="Segoe UI"/>
          <w:szCs w:val="24"/>
        </w:rPr>
        <w:t>БРЭ также провело блок информационно-разъяснительной работы для Академических организаций – Членов МСЭ, в том числе двусторонние встречи, с целью добиться более активного участия академических организаций в работе МСЭ-D.</w:t>
      </w:r>
    </w:p>
    <w:p w:rsidR="00156E9D" w:rsidRPr="00100F9F" w:rsidRDefault="00156E9D" w:rsidP="00156E9D">
      <w:pPr>
        <w:pStyle w:val="Heading2"/>
      </w:pPr>
      <w:r w:rsidRPr="00100F9F">
        <w:rPr>
          <w:szCs w:val="24"/>
        </w:rPr>
        <w:t>4.3</w:t>
      </w:r>
      <w:r w:rsidRPr="00100F9F">
        <w:rPr>
          <w:szCs w:val="24"/>
        </w:rPr>
        <w:tab/>
      </w:r>
      <w:bookmarkStart w:id="16" w:name="lt_pId071"/>
      <w:r w:rsidRPr="00100F9F">
        <w:t xml:space="preserve">Расширение участия </w:t>
      </w:r>
      <w:proofErr w:type="spellStart"/>
      <w:r w:rsidRPr="00100F9F">
        <w:t>МСП</w:t>
      </w:r>
      <w:proofErr w:type="spellEnd"/>
      <w:r w:rsidRPr="00100F9F">
        <w:t xml:space="preserve"> и частного сектора в работе МСЭ-D</w:t>
      </w:r>
      <w:bookmarkStart w:id="17" w:name="lt_pId072"/>
      <w:bookmarkEnd w:id="16"/>
    </w:p>
    <w:bookmarkEnd w:id="17"/>
    <w:p w:rsidR="00156E9D" w:rsidRPr="00100F9F" w:rsidRDefault="00156E9D" w:rsidP="00156E9D">
      <w:pPr>
        <w:rPr>
          <w:rStyle w:val="ms-rtefontsize-1"/>
          <w:bCs/>
          <w:color w:val="010000"/>
          <w:szCs w:val="32"/>
        </w:rPr>
      </w:pPr>
      <w:r w:rsidRPr="00100F9F">
        <w:t xml:space="preserve">БРЭ продолжило укреплять сотрудничество и синергию с членами, представляющими частный сектор, в </w:t>
      </w:r>
      <w:proofErr w:type="spellStart"/>
      <w:r w:rsidRPr="00100F9F">
        <w:t>конвергированной</w:t>
      </w:r>
      <w:proofErr w:type="spellEnd"/>
      <w:r w:rsidRPr="00100F9F">
        <w:t xml:space="preserve"> экосистеме ИКТ путем расширения партнерских отношений с отраслевыми ассоциациями, региональными и международными организациями и их существующими сетями контактов и аффилированными членами</w:t>
      </w:r>
      <w:r w:rsidRPr="00100F9F">
        <w:rPr>
          <w:rStyle w:val="ms-rtefontsize-1"/>
          <w:rFonts w:cs="Segoe UI"/>
          <w:szCs w:val="24"/>
        </w:rPr>
        <w:t>.</w:t>
      </w:r>
    </w:p>
    <w:p w:rsidR="00156E9D" w:rsidRPr="00100F9F" w:rsidRDefault="00156E9D" w:rsidP="00156E9D">
      <w:pPr>
        <w:spacing w:after="120"/>
        <w:rPr>
          <w:szCs w:val="24"/>
        </w:rPr>
      </w:pPr>
      <w:r w:rsidRPr="00100F9F">
        <w:rPr>
          <w:szCs w:val="24"/>
        </w:rPr>
        <w:t xml:space="preserve">Согласно Резолюции 71 ВКРЭ-17 об укреплении сотрудничества между Государствами-Членами, Членами Сектора, Ассоциированными членами и Академическими организациями − Членами МСЭ-D, 9-е </w:t>
      </w:r>
      <w:r w:rsidRPr="00100F9F">
        <w:rPr>
          <w:b/>
          <w:bCs/>
          <w:i/>
          <w:iCs/>
          <w:szCs w:val="24"/>
        </w:rPr>
        <w:t>собрание старших сотрудников по регулированию из частного сектора (</w:t>
      </w:r>
      <w:proofErr w:type="spellStart"/>
      <w:r w:rsidRPr="00100F9F">
        <w:rPr>
          <w:b/>
          <w:bCs/>
          <w:i/>
          <w:iCs/>
          <w:szCs w:val="24"/>
        </w:rPr>
        <w:t>CRO</w:t>
      </w:r>
      <w:proofErr w:type="spellEnd"/>
      <w:r w:rsidRPr="00100F9F">
        <w:rPr>
          <w:b/>
          <w:bCs/>
          <w:i/>
          <w:iCs/>
          <w:szCs w:val="24"/>
        </w:rPr>
        <w:t>)</w:t>
      </w:r>
      <w:r w:rsidRPr="00100F9F">
        <w:rPr>
          <w:szCs w:val="24"/>
        </w:rPr>
        <w:t xml:space="preserve"> и собрание </w:t>
      </w:r>
      <w:r w:rsidRPr="00100F9F">
        <w:rPr>
          <w:b/>
          <w:bCs/>
          <w:i/>
          <w:iCs/>
          <w:szCs w:val="24"/>
        </w:rPr>
        <w:t>Отраслевой консультативной группы по вопросам развития (</w:t>
      </w:r>
      <w:proofErr w:type="spellStart"/>
      <w:r w:rsidRPr="00100F9F">
        <w:rPr>
          <w:b/>
          <w:bCs/>
          <w:i/>
          <w:iCs/>
          <w:szCs w:val="24"/>
        </w:rPr>
        <w:t>IAGDI</w:t>
      </w:r>
      <w:proofErr w:type="spellEnd"/>
      <w:r w:rsidRPr="00100F9F">
        <w:rPr>
          <w:b/>
          <w:bCs/>
          <w:i/>
          <w:iCs/>
          <w:szCs w:val="24"/>
        </w:rPr>
        <w:t xml:space="preserve">) </w:t>
      </w:r>
      <w:r w:rsidRPr="00100F9F">
        <w:rPr>
          <w:szCs w:val="24"/>
        </w:rPr>
        <w:t xml:space="preserve">были проведены в один день, </w:t>
      </w:r>
      <w:r w:rsidRPr="00100F9F">
        <w:t>10 июля</w:t>
      </w:r>
      <w:r w:rsidRPr="00100F9F">
        <w:rPr>
          <w:szCs w:val="24"/>
        </w:rPr>
        <w:t xml:space="preserve"> 2018 года, в рамках Глобального симпозиума для регуляторных органов (</w:t>
      </w:r>
      <w:proofErr w:type="spellStart"/>
      <w:r w:rsidRPr="00100F9F">
        <w:rPr>
          <w:szCs w:val="24"/>
        </w:rPr>
        <w:t>ГСР</w:t>
      </w:r>
      <w:proofErr w:type="spellEnd"/>
      <w:r w:rsidR="007A20FE" w:rsidRPr="00100F9F">
        <w:rPr>
          <w:szCs w:val="24"/>
        </w:rPr>
        <w:t>-18). В </w:t>
      </w:r>
      <w:r w:rsidRPr="00100F9F">
        <w:rPr>
          <w:szCs w:val="24"/>
        </w:rPr>
        <w:t xml:space="preserve">собрании участвовали более 100 представителей высшего руководства отрасли, которые поделились информацией о появляющихся цифровых технологиях и обменялись идеями о том, как усилить вовлеченность и расширить участие частного сектора в глобальных, региональных и национальных инициативах. На собраниях </w:t>
      </w:r>
      <w:proofErr w:type="spellStart"/>
      <w:r w:rsidRPr="00100F9F">
        <w:rPr>
          <w:szCs w:val="24"/>
        </w:rPr>
        <w:t>CRO</w:t>
      </w:r>
      <w:proofErr w:type="spellEnd"/>
      <w:r w:rsidRPr="00100F9F">
        <w:rPr>
          <w:szCs w:val="24"/>
        </w:rPr>
        <w:t>/</w:t>
      </w:r>
      <w:proofErr w:type="spellStart"/>
      <w:r w:rsidRPr="00100F9F">
        <w:rPr>
          <w:szCs w:val="24"/>
        </w:rPr>
        <w:t>IAGDI</w:t>
      </w:r>
      <w:proofErr w:type="spellEnd"/>
      <w:r w:rsidRPr="00100F9F">
        <w:rPr>
          <w:szCs w:val="24"/>
        </w:rPr>
        <w:t xml:space="preserve"> прозвучал призыв к открытости, обеспечению развертывания инфраструктуры и созданию условий для стимулирования инвестиций в новые цифровые технологии и услуги.</w:t>
      </w:r>
    </w:p>
    <w:p w:rsidR="00156E9D" w:rsidRPr="00100F9F" w:rsidRDefault="00156E9D" w:rsidP="00156E9D">
      <w:pPr>
        <w:spacing w:after="120"/>
        <w:rPr>
          <w:szCs w:val="24"/>
        </w:rPr>
      </w:pPr>
      <w:r w:rsidRPr="00100F9F">
        <w:rPr>
          <w:szCs w:val="24"/>
        </w:rPr>
        <w:t xml:space="preserve">В ходе </w:t>
      </w:r>
      <w:r w:rsidRPr="00100F9F">
        <w:rPr>
          <w:b/>
          <w:bCs/>
          <w:i/>
          <w:iCs/>
          <w:szCs w:val="24"/>
        </w:rPr>
        <w:t>прений лидеров отрасли</w:t>
      </w:r>
      <w:r w:rsidRPr="00100F9F">
        <w:rPr>
          <w:szCs w:val="24"/>
        </w:rPr>
        <w:t xml:space="preserve">, которые проходили по материалам обсуждений в рамках </w:t>
      </w:r>
      <w:proofErr w:type="spellStart"/>
      <w:r w:rsidRPr="00100F9F">
        <w:rPr>
          <w:szCs w:val="24"/>
        </w:rPr>
        <w:t>ГСР</w:t>
      </w:r>
      <w:proofErr w:type="spellEnd"/>
      <w:r w:rsidRPr="00100F9F">
        <w:rPr>
          <w:szCs w:val="24"/>
        </w:rPr>
        <w:t>-18, были представлены концепции и будущие тенденции, касающиеся моделей деловых инвестиций, а также появляющихся технологий, которые станут основой для следующего этапа увеличения производительности отрасли.</w:t>
      </w:r>
    </w:p>
    <w:p w:rsidR="00156E9D" w:rsidRPr="00100F9F" w:rsidRDefault="00156E9D" w:rsidP="00156E9D">
      <w:pPr>
        <w:spacing w:after="120"/>
        <w:rPr>
          <w:szCs w:val="24"/>
        </w:rPr>
      </w:pPr>
      <w:r w:rsidRPr="00100F9F">
        <w:rPr>
          <w:szCs w:val="24"/>
        </w:rPr>
        <w:t xml:space="preserve">В целях проработки вопроса сотрудничества с другими отраслевыми организациями 1 октября 2018 года в штаб-квартире МСЭ в Женеве состоялась </w:t>
      </w:r>
      <w:r w:rsidRPr="00100F9F">
        <w:rPr>
          <w:b/>
          <w:bCs/>
          <w:i/>
          <w:iCs/>
          <w:szCs w:val="24"/>
        </w:rPr>
        <w:t xml:space="preserve">специальная сессия </w:t>
      </w:r>
      <w:proofErr w:type="spellStart"/>
      <w:r w:rsidRPr="00100F9F">
        <w:rPr>
          <w:b/>
          <w:bCs/>
          <w:i/>
          <w:iCs/>
          <w:szCs w:val="24"/>
        </w:rPr>
        <w:t>GMIS</w:t>
      </w:r>
      <w:proofErr w:type="spellEnd"/>
      <w:r w:rsidRPr="00100F9F">
        <w:rPr>
          <w:b/>
          <w:bCs/>
          <w:i/>
          <w:iCs/>
          <w:szCs w:val="24"/>
        </w:rPr>
        <w:t>-</w:t>
      </w:r>
      <w:proofErr w:type="spellStart"/>
      <w:r w:rsidRPr="00100F9F">
        <w:rPr>
          <w:b/>
          <w:bCs/>
          <w:i/>
          <w:iCs/>
          <w:szCs w:val="24"/>
        </w:rPr>
        <w:t>ЮНИДО</w:t>
      </w:r>
      <w:proofErr w:type="spellEnd"/>
      <w:r w:rsidRPr="00100F9F">
        <w:rPr>
          <w:b/>
          <w:bCs/>
          <w:i/>
          <w:iCs/>
          <w:szCs w:val="24"/>
        </w:rPr>
        <w:t>-МСЭ, посвященная технологиям и инновациям как важному фактору обеспечения возможностей установления соединений в интересах всеохватного и устойчивого промышленного развития</w:t>
      </w:r>
      <w:r w:rsidRPr="00100F9F">
        <w:rPr>
          <w:szCs w:val="24"/>
        </w:rPr>
        <w:t xml:space="preserve"> по теме "</w:t>
      </w:r>
      <w:r w:rsidRPr="00100F9F">
        <w:rPr>
          <w:i/>
          <w:iCs/>
          <w:szCs w:val="24"/>
        </w:rPr>
        <w:t>Формирование "умных" городов и "умного" общества: использование информационно-коммуникационных технологий в целях устойчивого социально-экономического развития</w:t>
      </w:r>
      <w:r w:rsidRPr="00100F9F">
        <w:rPr>
          <w:szCs w:val="24"/>
        </w:rPr>
        <w:t xml:space="preserve">", которая была совмещена с собранием Группы Докладчика по Вопросу 1/2. Специальная сессия собрала 121 участника от Государств-Членов, компаний частного сектора, Членов МСЭ-D, </w:t>
      </w:r>
      <w:proofErr w:type="spellStart"/>
      <w:r w:rsidRPr="00100F9F">
        <w:rPr>
          <w:szCs w:val="24"/>
        </w:rPr>
        <w:t>ЮНИДО</w:t>
      </w:r>
      <w:proofErr w:type="spellEnd"/>
      <w:r w:rsidRPr="00100F9F">
        <w:rPr>
          <w:szCs w:val="24"/>
        </w:rPr>
        <w:t xml:space="preserve">, ВТО, МОТ, ВПП, </w:t>
      </w:r>
      <w:proofErr w:type="spellStart"/>
      <w:r w:rsidRPr="00100F9F">
        <w:rPr>
          <w:szCs w:val="24"/>
        </w:rPr>
        <w:t>ЮНЕП</w:t>
      </w:r>
      <w:proofErr w:type="spellEnd"/>
      <w:r w:rsidRPr="00100F9F">
        <w:rPr>
          <w:szCs w:val="24"/>
        </w:rPr>
        <w:t xml:space="preserve"> и др. Во время обсуждений были представлены подходы к созданию "умных" и устойчивых городов, а также информация о преимуществах использования </w:t>
      </w:r>
      <w:proofErr w:type="spellStart"/>
      <w:r w:rsidRPr="00100F9F">
        <w:rPr>
          <w:szCs w:val="24"/>
        </w:rPr>
        <w:t>IoT</w:t>
      </w:r>
      <w:proofErr w:type="spellEnd"/>
      <w:r w:rsidRPr="00100F9F">
        <w:rPr>
          <w:szCs w:val="24"/>
        </w:rPr>
        <w:t>, ИИ и больших данных для "умных" обществ.</w:t>
      </w:r>
    </w:p>
    <w:p w:rsidR="00156E9D" w:rsidRPr="00100F9F" w:rsidRDefault="00156E9D" w:rsidP="00156E9D">
      <w:pPr>
        <w:rPr>
          <w:szCs w:val="24"/>
        </w:rPr>
      </w:pPr>
      <w:r w:rsidRPr="00100F9F">
        <w:rPr>
          <w:szCs w:val="24"/>
        </w:rPr>
        <w:t xml:space="preserve">На сессии Совета 2017 года было принято решение об участии </w:t>
      </w:r>
      <w:proofErr w:type="spellStart"/>
      <w:r w:rsidRPr="00100F9F">
        <w:rPr>
          <w:szCs w:val="24"/>
        </w:rPr>
        <w:t>МСП</w:t>
      </w:r>
      <w:proofErr w:type="spellEnd"/>
      <w:r w:rsidRPr="00100F9F">
        <w:rPr>
          <w:szCs w:val="24"/>
        </w:rPr>
        <w:t xml:space="preserve"> в работе исследовательских комиссий МСЭ-Т и МСЭ-D на экспериментальной основе, после чего БРЭ начало реализацию пилотного проекта, пригласив малые и средние предприятия к участию в работе исследовательских комиссий МСЭ-D в новом исследовательском периоде с 2018 года. В работе исследовательских </w:t>
      </w:r>
      <w:r w:rsidRPr="00100F9F">
        <w:rPr>
          <w:szCs w:val="24"/>
        </w:rPr>
        <w:lastRenderedPageBreak/>
        <w:t xml:space="preserve">комиссий приняли участие семь </w:t>
      </w:r>
      <w:proofErr w:type="spellStart"/>
      <w:r w:rsidRPr="00100F9F">
        <w:rPr>
          <w:szCs w:val="24"/>
        </w:rPr>
        <w:t>МСП</w:t>
      </w:r>
      <w:proofErr w:type="spellEnd"/>
      <w:r w:rsidRPr="00100F9F">
        <w:rPr>
          <w:szCs w:val="24"/>
        </w:rPr>
        <w:t xml:space="preserve"> из Италии, Соединенного Королевства, Японии, Эстонии и Польши (</w:t>
      </w:r>
      <w:proofErr w:type="spellStart"/>
      <w:r w:rsidRPr="00100F9F">
        <w:rPr>
          <w:szCs w:val="24"/>
        </w:rPr>
        <w:t>Proge-Software</w:t>
      </w:r>
      <w:proofErr w:type="spellEnd"/>
      <w:r w:rsidRPr="00100F9F">
        <w:rPr>
          <w:szCs w:val="24"/>
        </w:rPr>
        <w:t xml:space="preserve">, </w:t>
      </w:r>
      <w:proofErr w:type="spellStart"/>
      <w:r w:rsidRPr="00100F9F">
        <w:rPr>
          <w:szCs w:val="24"/>
        </w:rPr>
        <w:t>Forum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Europe</w:t>
      </w:r>
      <w:proofErr w:type="spellEnd"/>
      <w:r w:rsidRPr="00100F9F">
        <w:rPr>
          <w:szCs w:val="24"/>
        </w:rPr>
        <w:t xml:space="preserve">, </w:t>
      </w:r>
      <w:proofErr w:type="spellStart"/>
      <w:r w:rsidRPr="00100F9F">
        <w:rPr>
          <w:szCs w:val="24"/>
        </w:rPr>
        <w:t>DAIWA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Computer</w:t>
      </w:r>
      <w:proofErr w:type="spellEnd"/>
      <w:r w:rsidRPr="00100F9F">
        <w:rPr>
          <w:szCs w:val="24"/>
        </w:rPr>
        <w:t xml:space="preserve">, </w:t>
      </w:r>
      <w:proofErr w:type="spellStart"/>
      <w:r w:rsidRPr="00100F9F">
        <w:rPr>
          <w:szCs w:val="24"/>
        </w:rPr>
        <w:t>Guardtime</w:t>
      </w:r>
      <w:proofErr w:type="spellEnd"/>
      <w:r w:rsidRPr="00100F9F">
        <w:rPr>
          <w:szCs w:val="24"/>
        </w:rPr>
        <w:t xml:space="preserve">, </w:t>
      </w:r>
      <w:proofErr w:type="spellStart"/>
      <w:r w:rsidRPr="00100F9F">
        <w:rPr>
          <w:szCs w:val="24"/>
        </w:rPr>
        <w:t>Melody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International</w:t>
      </w:r>
      <w:proofErr w:type="spellEnd"/>
      <w:r w:rsidRPr="00100F9F">
        <w:rPr>
          <w:szCs w:val="24"/>
        </w:rPr>
        <w:t xml:space="preserve">, </w:t>
      </w:r>
      <w:proofErr w:type="spellStart"/>
      <w:r w:rsidRPr="00100F9F">
        <w:rPr>
          <w:szCs w:val="24"/>
        </w:rPr>
        <w:t>Orange</w:t>
      </w:r>
      <w:proofErr w:type="spellEnd"/>
      <w:r w:rsidRPr="00100F9F">
        <w:rPr>
          <w:szCs w:val="24"/>
        </w:rPr>
        <w:t xml:space="preserve"> </w:t>
      </w:r>
      <w:proofErr w:type="spellStart"/>
      <w:r w:rsidRPr="00100F9F">
        <w:rPr>
          <w:szCs w:val="24"/>
        </w:rPr>
        <w:t>TechLab</w:t>
      </w:r>
      <w:proofErr w:type="spellEnd"/>
      <w:r w:rsidRPr="00100F9F">
        <w:rPr>
          <w:szCs w:val="24"/>
        </w:rPr>
        <w:t xml:space="preserve">, </w:t>
      </w:r>
      <w:proofErr w:type="spellStart"/>
      <w:r w:rsidRPr="00100F9F">
        <w:rPr>
          <w:szCs w:val="24"/>
        </w:rPr>
        <w:t>SatRevolution</w:t>
      </w:r>
      <w:proofErr w:type="spellEnd"/>
      <w:r w:rsidRPr="00100F9F">
        <w:rPr>
          <w:szCs w:val="24"/>
        </w:rPr>
        <w:t xml:space="preserve"> и </w:t>
      </w:r>
      <w:proofErr w:type="spellStart"/>
      <w:r w:rsidRPr="00100F9F">
        <w:rPr>
          <w:szCs w:val="24"/>
        </w:rPr>
        <w:t>ASTEM</w:t>
      </w:r>
      <w:proofErr w:type="spellEnd"/>
      <w:r w:rsidRPr="00100F9F">
        <w:rPr>
          <w:szCs w:val="24"/>
        </w:rPr>
        <w:t xml:space="preserve">). Многие из этих </w:t>
      </w:r>
      <w:proofErr w:type="spellStart"/>
      <w:r w:rsidRPr="00100F9F">
        <w:rPr>
          <w:szCs w:val="24"/>
        </w:rPr>
        <w:t>МСП</w:t>
      </w:r>
      <w:proofErr w:type="spellEnd"/>
      <w:r w:rsidRPr="00100F9F">
        <w:rPr>
          <w:szCs w:val="24"/>
        </w:rPr>
        <w:t xml:space="preserve"> представили материалы по разным вопросам, таким как кибербезопасность, приложения ИКТ, облачные вычисления и т. д. После этого, учитывая успех пилотного проекта и признавая важную роль </w:t>
      </w:r>
      <w:proofErr w:type="spellStart"/>
      <w:r w:rsidRPr="00100F9F">
        <w:rPr>
          <w:szCs w:val="24"/>
        </w:rPr>
        <w:t>МСП</w:t>
      </w:r>
      <w:proofErr w:type="spellEnd"/>
      <w:r w:rsidRPr="00100F9F">
        <w:rPr>
          <w:szCs w:val="24"/>
        </w:rPr>
        <w:t xml:space="preserve"> для экономического роста и развития, ПК-18 приняла Резолюцию 209 (Дубай, 2018 г.) об </w:t>
      </w:r>
      <w:proofErr w:type="spellStart"/>
      <w:r w:rsidRPr="00100F9F">
        <w:rPr>
          <w:szCs w:val="24"/>
        </w:rPr>
        <w:t>МСП</w:t>
      </w:r>
      <w:proofErr w:type="spellEnd"/>
      <w:r w:rsidRPr="00100F9F">
        <w:rPr>
          <w:szCs w:val="24"/>
        </w:rPr>
        <w:t>.</w:t>
      </w:r>
    </w:p>
    <w:p w:rsidR="00156E9D" w:rsidRPr="00100F9F" w:rsidRDefault="00156E9D" w:rsidP="00156E9D">
      <w:pPr>
        <w:pStyle w:val="Heading1"/>
        <w:rPr>
          <w:rStyle w:val="ms-rtefontsize-1"/>
          <w:rFonts w:cs="Segoe UI"/>
          <w:b w:val="0"/>
          <w:bCs/>
          <w:szCs w:val="24"/>
        </w:rPr>
      </w:pPr>
      <w:r w:rsidRPr="00100F9F">
        <w:rPr>
          <w:rStyle w:val="ms-rtefontsize-1"/>
          <w:rFonts w:cs="Segoe UI"/>
          <w:szCs w:val="24"/>
        </w:rPr>
        <w:t>5</w:t>
      </w:r>
      <w:r w:rsidRPr="00100F9F">
        <w:rPr>
          <w:rStyle w:val="ms-rtefontsize-1"/>
          <w:rFonts w:cs="Segoe UI"/>
          <w:b w:val="0"/>
          <w:bCs/>
          <w:szCs w:val="24"/>
        </w:rPr>
        <w:tab/>
      </w:r>
      <w:r w:rsidRPr="00100F9F">
        <w:t>Направления дальнейшей деятельности</w:t>
      </w:r>
    </w:p>
    <w:p w:rsidR="00156E9D" w:rsidRPr="00100F9F" w:rsidRDefault="00156E9D" w:rsidP="00156E9D">
      <w:r w:rsidRPr="00100F9F">
        <w:t xml:space="preserve">Хотя существующие в рамках различных направлений деятельности МСЭ-D программы, проекты, инициативы и мероприятия предлагают продукты и услуги для членов МСЭ, БРЭ будет продолжать </w:t>
      </w:r>
      <w:r w:rsidRPr="00100F9F">
        <w:rPr>
          <w:color w:val="000000" w:themeColor="text1"/>
        </w:rPr>
        <w:t xml:space="preserve">совершенствовать услуги для членского состава, чтобы теснее сотрудничать с действующими, новыми и перспективными членами, включая </w:t>
      </w:r>
      <w:proofErr w:type="spellStart"/>
      <w:r w:rsidRPr="00100F9F">
        <w:rPr>
          <w:color w:val="000000" w:themeColor="text1"/>
        </w:rPr>
        <w:t>МСП</w:t>
      </w:r>
      <w:proofErr w:type="spellEnd"/>
      <w:r w:rsidRPr="00100F9F">
        <w:rPr>
          <w:color w:val="000000" w:themeColor="text1"/>
        </w:rPr>
        <w:t xml:space="preserve"> и академические организации, путем распространения информации о продуктах БРЭ, их продвижения и усиления их влияния посредством проведения </w:t>
      </w:r>
      <w:proofErr w:type="spellStart"/>
      <w:r w:rsidRPr="00100F9F">
        <w:rPr>
          <w:color w:val="000000" w:themeColor="text1"/>
        </w:rPr>
        <w:t>вебинаров</w:t>
      </w:r>
      <w:proofErr w:type="spellEnd"/>
      <w:r w:rsidRPr="00100F9F">
        <w:rPr>
          <w:color w:val="000000" w:themeColor="text1"/>
        </w:rPr>
        <w:t>, "бесед", подготовки отзывов и т. д.</w:t>
      </w:r>
    </w:p>
    <w:p w:rsidR="00156E9D" w:rsidRPr="00100F9F" w:rsidRDefault="00156E9D" w:rsidP="00156E9D">
      <w:r w:rsidRPr="00100F9F">
        <w:rPr>
          <w:color w:val="000000" w:themeColor="text1"/>
        </w:rPr>
        <w:t>Будут проанализированы просьбы об организации различных платформ, программ и региональных инициатив для многосторонних партнерских отношений для содействия достижению Целей в области устойчивого развития (</w:t>
      </w:r>
      <w:proofErr w:type="spellStart"/>
      <w:r w:rsidRPr="00100F9F">
        <w:rPr>
          <w:color w:val="000000" w:themeColor="text1"/>
        </w:rPr>
        <w:t>ЦУР</w:t>
      </w:r>
      <w:proofErr w:type="spellEnd"/>
      <w:r w:rsidRPr="00100F9F">
        <w:rPr>
          <w:color w:val="000000" w:themeColor="text1"/>
        </w:rPr>
        <w:t>) в рамках мандата МСЭ-D.</w:t>
      </w:r>
    </w:p>
    <w:p w:rsidR="00156E9D" w:rsidRPr="00100F9F" w:rsidRDefault="00156E9D" w:rsidP="00156E9D">
      <w:pPr>
        <w:rPr>
          <w:szCs w:val="24"/>
        </w:rPr>
      </w:pPr>
      <w:bookmarkStart w:id="18" w:name="lt_pId091"/>
      <w:r w:rsidRPr="00100F9F">
        <w:rPr>
          <w:szCs w:val="24"/>
        </w:rPr>
        <w:t xml:space="preserve">Разнообразие Членов Сектора и Ассоциированных Членов, а также растущее число Академических организаций-Членов продолжает способствовать формированию благоприятной основы для сотрудничества и обмена знаниями в </w:t>
      </w:r>
      <w:proofErr w:type="spellStart"/>
      <w:r w:rsidRPr="00100F9F">
        <w:rPr>
          <w:szCs w:val="24"/>
        </w:rPr>
        <w:t>конвергированной</w:t>
      </w:r>
      <w:proofErr w:type="spellEnd"/>
      <w:r w:rsidRPr="00100F9F">
        <w:rPr>
          <w:szCs w:val="24"/>
        </w:rPr>
        <w:t xml:space="preserve"> экосистеме ИКТ.</w:t>
      </w:r>
      <w:bookmarkEnd w:id="18"/>
      <w:r w:rsidRPr="00100F9F">
        <w:rPr>
          <w:szCs w:val="24"/>
        </w:rPr>
        <w:t xml:space="preserve"> БРЭ будет по-прежнему уделять особое внимание многосторонним подходам в интересах расширения участия и партнерских </w:t>
      </w:r>
      <w:r w:rsidRPr="00100F9F">
        <w:rPr>
          <w:color w:val="000000" w:themeColor="text1"/>
        </w:rPr>
        <w:t xml:space="preserve">отношений </w:t>
      </w:r>
      <w:r w:rsidRPr="00100F9F">
        <w:rPr>
          <w:szCs w:val="24"/>
        </w:rPr>
        <w:t xml:space="preserve">с членами и </w:t>
      </w:r>
      <w:r w:rsidRPr="00100F9F">
        <w:t>их сетями контактов и в тесной координации и сотрудничестве с ними на глобальных и региональных платформах БРЭ/МСЭ</w:t>
      </w:r>
      <w:r w:rsidRPr="00100F9F">
        <w:rPr>
          <w:szCs w:val="24"/>
        </w:rPr>
        <w:t>.</w:t>
      </w:r>
    </w:p>
    <w:p w:rsidR="00156E9D" w:rsidRPr="00100F9F" w:rsidRDefault="00156E9D" w:rsidP="00156E9D">
      <w:pPr>
        <w:rPr>
          <w:szCs w:val="24"/>
        </w:rPr>
      </w:pPr>
      <w:r w:rsidRPr="00100F9F">
        <w:rPr>
          <w:szCs w:val="24"/>
        </w:rPr>
        <w:t xml:space="preserve">Членам МСЭ, особенно Государствам-Членам, рекомендуется призывать частные отраслевые компании, </w:t>
      </w:r>
      <w:proofErr w:type="spellStart"/>
      <w:r w:rsidRPr="00100F9F">
        <w:rPr>
          <w:szCs w:val="24"/>
        </w:rPr>
        <w:t>МСП</w:t>
      </w:r>
      <w:proofErr w:type="spellEnd"/>
      <w:r w:rsidRPr="00100F9F">
        <w:rPr>
          <w:szCs w:val="24"/>
        </w:rPr>
        <w:t xml:space="preserve"> и академические организации в своих странах участвовать в работе МСЭ-D и вносить в нее свой вклад</w:t>
      </w:r>
      <w:r w:rsidRPr="00100F9F">
        <w:t>.</w:t>
      </w:r>
    </w:p>
    <w:p w:rsidR="00594526" w:rsidRPr="00100F9F" w:rsidRDefault="00594526" w:rsidP="00594526">
      <w:pPr>
        <w:spacing w:before="480"/>
        <w:jc w:val="center"/>
      </w:pPr>
      <w:r w:rsidRPr="00100F9F">
        <w:t>______________</w:t>
      </w:r>
    </w:p>
    <w:sectPr w:rsidR="00594526" w:rsidRPr="00100F9F" w:rsidSect="00111662">
      <w:headerReference w:type="default" r:id="rId13"/>
      <w:footerReference w:type="default" r:id="rId14"/>
      <w:footerReference w:type="first" r:id="rId15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0A" w:rsidRDefault="0084410A" w:rsidP="00E54FD2">
      <w:pPr>
        <w:spacing w:before="0"/>
      </w:pPr>
      <w:r>
        <w:separator/>
      </w:r>
    </w:p>
  </w:endnote>
  <w:endnote w:type="continuationSeparator" w:id="0">
    <w:p w:rsidR="0084410A" w:rsidRDefault="0084410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269CA" w:rsidRDefault="00A269CA" w:rsidP="00156E9D">
    <w:pPr>
      <w:pStyle w:val="Footer"/>
      <w:rPr>
        <w:sz w:val="14"/>
        <w:szCs w:val="20"/>
      </w:rPr>
    </w:pPr>
    <w:r w:rsidRPr="00A269CA">
      <w:rPr>
        <w:szCs w:val="16"/>
        <w:lang w:val="en-US"/>
      </w:rPr>
      <w:fldChar w:fldCharType="begin"/>
    </w:r>
    <w:r w:rsidRPr="00A269CA">
      <w:rPr>
        <w:szCs w:val="16"/>
        <w:lang w:val="en-US"/>
      </w:rPr>
      <w:instrText xml:space="preserve"> FILENAME \p \* MERGEFORMAT </w:instrText>
    </w:r>
    <w:r w:rsidRPr="00A269CA">
      <w:rPr>
        <w:szCs w:val="16"/>
        <w:lang w:val="en-US"/>
      </w:rPr>
      <w:fldChar w:fldCharType="separate"/>
    </w:r>
    <w:r w:rsidR="002C2CEA">
      <w:rPr>
        <w:szCs w:val="16"/>
        <w:lang w:val="en-US"/>
      </w:rPr>
      <w:t>P:\RUS\ITU-D\CONF-D\TDAG19\000\020R.docx</w:t>
    </w:r>
    <w:r w:rsidRPr="00A269CA">
      <w:rPr>
        <w:szCs w:val="16"/>
      </w:rPr>
      <w:fldChar w:fldCharType="end"/>
    </w:r>
    <w:r w:rsidRPr="00A269CA">
      <w:rPr>
        <w:szCs w:val="16"/>
      </w:rPr>
      <w:t xml:space="preserve"> (4492</w:t>
    </w:r>
    <w:r w:rsidR="00156E9D">
      <w:rPr>
        <w:szCs w:val="16"/>
      </w:rPr>
      <w:t>26</w:t>
    </w:r>
    <w:r w:rsidRPr="00A269CA">
      <w:rPr>
        <w:szCs w:val="16"/>
      </w:rPr>
      <w:t>)</w:t>
    </w:r>
    <w:r w:rsidRPr="00A269CA">
      <w:rPr>
        <w:szCs w:val="16"/>
      </w:rPr>
      <w:tab/>
    </w:r>
    <w:r w:rsidRPr="00A269CA">
      <w:rPr>
        <w:szCs w:val="16"/>
      </w:rPr>
      <w:fldChar w:fldCharType="begin"/>
    </w:r>
    <w:r w:rsidRPr="00A269CA">
      <w:rPr>
        <w:szCs w:val="16"/>
      </w:rPr>
      <w:instrText xml:space="preserve"> savedate \@ dd.MM.yy </w:instrText>
    </w:r>
    <w:r w:rsidRPr="00A269CA">
      <w:rPr>
        <w:szCs w:val="16"/>
      </w:rPr>
      <w:fldChar w:fldCharType="separate"/>
    </w:r>
    <w:r w:rsidR="007A20FE">
      <w:rPr>
        <w:szCs w:val="16"/>
      </w:rPr>
      <w:t>25.03.19</w:t>
    </w:r>
    <w:r w:rsidRPr="00A269CA">
      <w:rPr>
        <w:szCs w:val="16"/>
      </w:rPr>
      <w:fldChar w:fldCharType="end"/>
    </w:r>
    <w:r w:rsidRPr="00A269CA">
      <w:rPr>
        <w:szCs w:val="16"/>
      </w:rPr>
      <w:tab/>
    </w:r>
    <w:r w:rsidRPr="00A269CA">
      <w:rPr>
        <w:szCs w:val="16"/>
      </w:rPr>
      <w:fldChar w:fldCharType="begin"/>
    </w:r>
    <w:r w:rsidRPr="00A269CA">
      <w:rPr>
        <w:szCs w:val="16"/>
      </w:rPr>
      <w:instrText xml:space="preserve"> printdate \@ dd.MM.yy </w:instrText>
    </w:r>
    <w:r w:rsidRPr="00A269CA">
      <w:rPr>
        <w:szCs w:val="16"/>
      </w:rPr>
      <w:fldChar w:fldCharType="separate"/>
    </w:r>
    <w:r w:rsidR="000E6EED">
      <w:rPr>
        <w:szCs w:val="16"/>
      </w:rPr>
      <w:t>20.02.19</w:t>
    </w:r>
    <w:r w:rsidRPr="00A269CA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A269CA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BD2C91" w:rsidRPr="00A269CA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A269CA">
            <w:rPr>
              <w:sz w:val="18"/>
              <w:szCs w:val="18"/>
            </w:rPr>
            <w:t>Координатор</w:t>
          </w:r>
          <w:r w:rsidRPr="00A269CA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BD2C91" w:rsidRPr="00A269CA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A269CA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BD2C91" w:rsidRPr="00A269CA" w:rsidRDefault="00156E9D" w:rsidP="00156E9D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</w:t>
          </w:r>
          <w:r w:rsidRPr="00156E9D">
            <w:rPr>
              <w:sz w:val="18"/>
              <w:szCs w:val="18"/>
            </w:rPr>
            <w:t>-р Ын-Чжу Ким (Dr Eun-Ju Kim), руководитель Департамента инноваций и партнерских отношений Бюро развития электросвязи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A269CA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:rsidR="00BD2C91" w:rsidRPr="00A269CA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A269CA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BD2C91" w:rsidRPr="00A269CA" w:rsidRDefault="00156E9D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56E9D">
            <w:rPr>
              <w:sz w:val="18"/>
              <w:szCs w:val="18"/>
              <w:lang w:val="en-US"/>
            </w:rPr>
            <w:t>+41 22 730 5900</w:t>
          </w:r>
        </w:p>
      </w:tc>
    </w:tr>
    <w:tr w:rsidR="00BD2C91" w:rsidRPr="007A20FE" w:rsidTr="004E3CF5">
      <w:tc>
        <w:tcPr>
          <w:tcW w:w="1418" w:type="dxa"/>
          <w:shd w:val="clear" w:color="auto" w:fill="auto"/>
        </w:tcPr>
        <w:p w:rsidR="00BD2C91" w:rsidRPr="00A269CA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:rsidR="00BD2C91" w:rsidRPr="00A269CA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269CA">
            <w:rPr>
              <w:sz w:val="18"/>
              <w:szCs w:val="18"/>
            </w:rPr>
            <w:t>Эл. почта</w:t>
          </w:r>
          <w:r w:rsidRPr="00A269CA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BD2C91" w:rsidRPr="00A269CA" w:rsidRDefault="00156E9D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56E9D">
            <w:rPr>
              <w:rStyle w:val="Hyperlink"/>
              <w:sz w:val="18"/>
              <w:szCs w:val="18"/>
              <w:lang w:val="en-US"/>
            </w:rPr>
            <w:t>eun-ju.kim@itu.int</w:t>
          </w:r>
        </w:p>
      </w:tc>
    </w:tr>
  </w:tbl>
  <w:p w:rsidR="00B52E6E" w:rsidRPr="006E4AB3" w:rsidRDefault="00100F9F" w:rsidP="002E125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1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0A" w:rsidRDefault="0084410A" w:rsidP="00E54FD2">
      <w:pPr>
        <w:spacing w:before="0"/>
      </w:pPr>
      <w:r>
        <w:separator/>
      </w:r>
    </w:p>
  </w:footnote>
  <w:footnote w:type="continuationSeparator" w:id="0">
    <w:p w:rsidR="0084410A" w:rsidRDefault="0084410A" w:rsidP="00E54FD2">
      <w:pPr>
        <w:spacing w:before="0"/>
      </w:pPr>
      <w:r>
        <w:continuationSeparator/>
      </w:r>
    </w:p>
  </w:footnote>
  <w:footnote w:id="1">
    <w:p w:rsidR="00156E9D" w:rsidRPr="00562130" w:rsidRDefault="00156E9D" w:rsidP="00156E9D">
      <w:pPr>
        <w:pStyle w:val="FootnoteText"/>
      </w:pPr>
      <w:r w:rsidRPr="00C611B2">
        <w:rPr>
          <w:rStyle w:val="FootnoteReference"/>
        </w:rPr>
        <w:footnoteRef/>
      </w:r>
      <w:r w:rsidRPr="006C668D">
        <w:tab/>
      </w:r>
      <w:r w:rsidRPr="005F64DD">
        <w:t>Академические организации участвуют в работе трех Секторов при уплате единого сбора</w:t>
      </w:r>
      <w:r>
        <w:t>.</w:t>
      </w:r>
    </w:p>
  </w:footnote>
  <w:footnote w:id="2">
    <w:p w:rsidR="00156E9D" w:rsidRPr="007A20FE" w:rsidRDefault="00156E9D" w:rsidP="007A20FE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 w:rsidR="007A20FE">
        <w:rPr>
          <w:rFonts w:asciiTheme="minorHAnsi" w:hAnsiTheme="minorHAnsi"/>
        </w:rPr>
        <w:tab/>
      </w:r>
      <w:r w:rsidRPr="00E421B1">
        <w:rPr>
          <w:rFonts w:asciiTheme="minorHAnsi" w:hAnsiTheme="minorHAnsi"/>
        </w:rPr>
        <w:t>Национальный университет Сан-Луис</w:t>
      </w:r>
      <w:r>
        <w:rPr>
          <w:rFonts w:asciiTheme="minorHAnsi" w:hAnsiTheme="minorHAnsi"/>
        </w:rPr>
        <w:t>а</w:t>
      </w:r>
      <w:r w:rsidRPr="00E421B1">
        <w:rPr>
          <w:rFonts w:asciiTheme="minorHAnsi" w:hAnsiTheme="minorHAnsi"/>
        </w:rPr>
        <w:t xml:space="preserve"> (Аргенти</w:t>
      </w:r>
      <w:r>
        <w:rPr>
          <w:rFonts w:asciiTheme="minorHAnsi" w:hAnsiTheme="minorHAnsi"/>
        </w:rPr>
        <w:t xml:space="preserve">на); Инженерный факультет Университета Буэнос-Айреса </w:t>
      </w:r>
      <w:r w:rsidRPr="00E421B1">
        <w:rPr>
          <w:rFonts w:asciiTheme="minorHAnsi" w:hAnsiTheme="minorHAnsi"/>
        </w:rPr>
        <w:t xml:space="preserve">(Аргентина); Национальный университет </w:t>
      </w:r>
      <w:r>
        <w:rPr>
          <w:rFonts w:asciiTheme="minorHAnsi" w:hAnsiTheme="minorHAnsi"/>
        </w:rPr>
        <w:t xml:space="preserve">им. </w:t>
      </w:r>
      <w:proofErr w:type="spellStart"/>
      <w:r w:rsidRPr="003030C6">
        <w:rPr>
          <w:rFonts w:asciiTheme="minorHAnsi" w:hAnsiTheme="minorHAnsi"/>
        </w:rPr>
        <w:t>Артуро</w:t>
      </w:r>
      <w:proofErr w:type="spellEnd"/>
      <w:r w:rsidRPr="003030C6">
        <w:rPr>
          <w:rFonts w:asciiTheme="minorHAnsi" w:hAnsiTheme="minorHAnsi"/>
        </w:rPr>
        <w:t xml:space="preserve"> </w:t>
      </w:r>
      <w:proofErr w:type="spellStart"/>
      <w:r w:rsidRPr="003030C6">
        <w:rPr>
          <w:rFonts w:asciiTheme="minorHAnsi" w:hAnsiTheme="minorHAnsi"/>
        </w:rPr>
        <w:t>Хауретче</w:t>
      </w:r>
      <w:proofErr w:type="spellEnd"/>
      <w:r w:rsidRPr="00E421B1">
        <w:rPr>
          <w:rFonts w:asciiTheme="minorHAnsi" w:hAnsiTheme="minorHAnsi"/>
        </w:rPr>
        <w:t xml:space="preserve"> (Аргентина</w:t>
      </w:r>
      <w:r w:rsidR="007A20FE">
        <w:rPr>
          <w:rFonts w:asciiTheme="minorHAnsi" w:hAnsiTheme="minorHAnsi"/>
        </w:rPr>
        <w:t>); Национальный университет Рио</w:t>
      </w:r>
      <w:r w:rsidR="007A20FE">
        <w:rPr>
          <w:rFonts w:asciiTheme="minorHAnsi" w:hAnsiTheme="minorHAnsi"/>
        </w:rPr>
        <w:noBreakHyphen/>
      </w:r>
      <w:proofErr w:type="spellStart"/>
      <w:r w:rsidRPr="00E421B1">
        <w:rPr>
          <w:rFonts w:asciiTheme="minorHAnsi" w:hAnsiTheme="minorHAnsi"/>
        </w:rPr>
        <w:t>Куарто</w:t>
      </w:r>
      <w:proofErr w:type="spellEnd"/>
      <w:r w:rsidRPr="00E421B1">
        <w:rPr>
          <w:rFonts w:asciiTheme="minorHAnsi" w:hAnsiTheme="minorHAnsi"/>
        </w:rPr>
        <w:t xml:space="preserve"> (Аргентина); Институт </w:t>
      </w:r>
      <w:proofErr w:type="spellStart"/>
      <w:r w:rsidRPr="00E421B1">
        <w:rPr>
          <w:rFonts w:asciiTheme="minorHAnsi" w:hAnsiTheme="minorHAnsi"/>
        </w:rPr>
        <w:t>Балсейро</w:t>
      </w:r>
      <w:proofErr w:type="spellEnd"/>
      <w:r w:rsidRPr="00E421B1">
        <w:rPr>
          <w:rFonts w:asciiTheme="minorHAnsi" w:hAnsiTheme="minorHAnsi"/>
        </w:rPr>
        <w:t xml:space="preserve"> (Аргентина); </w:t>
      </w:r>
      <w:r>
        <w:rPr>
          <w:rFonts w:asciiTheme="minorHAnsi" w:hAnsiTheme="minorHAnsi"/>
        </w:rPr>
        <w:t>Южный н</w:t>
      </w:r>
      <w:r w:rsidRPr="00E421B1">
        <w:rPr>
          <w:rFonts w:asciiTheme="minorHAnsi" w:hAnsiTheme="minorHAnsi"/>
        </w:rPr>
        <w:t xml:space="preserve">ациональный университет (Аргентина); Национальный университет </w:t>
      </w:r>
      <w:proofErr w:type="spellStart"/>
      <w:r w:rsidRPr="00E421B1">
        <w:rPr>
          <w:rFonts w:asciiTheme="minorHAnsi" w:hAnsiTheme="minorHAnsi"/>
        </w:rPr>
        <w:t>Тукумана</w:t>
      </w:r>
      <w:proofErr w:type="spellEnd"/>
      <w:r w:rsidRPr="00E421B1">
        <w:rPr>
          <w:rFonts w:asciiTheme="minorHAnsi" w:hAnsiTheme="minorHAnsi"/>
        </w:rPr>
        <w:t xml:space="preserve"> (Аргентина); Национальный университет Кордовы (Аргентина); </w:t>
      </w:r>
      <w:r w:rsidRPr="00B24BA7">
        <w:rPr>
          <w:rFonts w:asciiTheme="minorHAnsi" w:hAnsiTheme="minorHAnsi"/>
        </w:rPr>
        <w:t>Национальный университет Ла-</w:t>
      </w:r>
      <w:proofErr w:type="spellStart"/>
      <w:r w:rsidRPr="00B24BA7">
        <w:rPr>
          <w:rFonts w:asciiTheme="minorHAnsi" w:hAnsiTheme="minorHAnsi"/>
        </w:rPr>
        <w:t>Матанс</w:t>
      </w:r>
      <w:r>
        <w:rPr>
          <w:rFonts w:asciiTheme="minorHAnsi" w:hAnsiTheme="minorHAnsi"/>
        </w:rPr>
        <w:t>ы</w:t>
      </w:r>
      <w:proofErr w:type="spellEnd"/>
      <w:r w:rsidRPr="00B24BA7">
        <w:rPr>
          <w:rFonts w:asciiTheme="minorHAnsi" w:hAnsiTheme="minorHAnsi"/>
        </w:rPr>
        <w:t xml:space="preserve"> (Аргентина); Национальный </w:t>
      </w:r>
      <w:r w:rsidRPr="00EF6115">
        <w:rPr>
          <w:rFonts w:asciiTheme="minorHAnsi" w:hAnsiTheme="minorHAnsi"/>
        </w:rPr>
        <w:t>университет Ла-Плат</w:t>
      </w:r>
      <w:r>
        <w:rPr>
          <w:rFonts w:asciiTheme="minorHAnsi" w:hAnsiTheme="minorHAnsi"/>
        </w:rPr>
        <w:t>ы</w:t>
      </w:r>
      <w:r w:rsidRPr="00EF6115">
        <w:rPr>
          <w:rFonts w:asciiTheme="minorHAnsi" w:hAnsiTheme="minorHAnsi"/>
        </w:rPr>
        <w:t xml:space="preserve"> (Аргентина); Национальный университет </w:t>
      </w:r>
      <w:proofErr w:type="spellStart"/>
      <w:r w:rsidRPr="00EF6115">
        <w:rPr>
          <w:rFonts w:asciiTheme="minorHAnsi" w:hAnsiTheme="minorHAnsi"/>
        </w:rPr>
        <w:t>Мисьонес</w:t>
      </w:r>
      <w:proofErr w:type="spellEnd"/>
      <w:r w:rsidRPr="00EF6115">
        <w:rPr>
          <w:rFonts w:asciiTheme="minorHAnsi" w:hAnsiTheme="minorHAnsi"/>
        </w:rPr>
        <w:t xml:space="preserve"> (Аргентина); Национальный технологический университет (Аргентина); Национальный университет Рио-Негро (Аргентина); Национальный университет </w:t>
      </w:r>
      <w:proofErr w:type="spellStart"/>
      <w:r w:rsidRPr="00EF6115">
        <w:rPr>
          <w:rFonts w:asciiTheme="minorHAnsi" w:hAnsiTheme="minorHAnsi"/>
        </w:rPr>
        <w:t>Лухана</w:t>
      </w:r>
      <w:proofErr w:type="spellEnd"/>
      <w:r w:rsidRPr="00EF6115">
        <w:rPr>
          <w:rFonts w:asciiTheme="minorHAnsi" w:hAnsiTheme="minorHAnsi"/>
        </w:rPr>
        <w:t xml:space="preserve"> (Аргентина); </w:t>
      </w:r>
      <w:proofErr w:type="spellStart"/>
      <w:r w:rsidRPr="00EF6115">
        <w:rPr>
          <w:rFonts w:asciiTheme="minorHAnsi" w:hAnsiTheme="minorHAnsi"/>
        </w:rPr>
        <w:t>Мельбурнский</w:t>
      </w:r>
      <w:proofErr w:type="spellEnd"/>
      <w:r w:rsidRPr="00EF6115">
        <w:rPr>
          <w:rFonts w:asciiTheme="minorHAnsi" w:hAnsiTheme="minorHAnsi"/>
        </w:rPr>
        <w:t xml:space="preserve"> королевский технологический университет (Австралия); Высшая национальная школа почт</w:t>
      </w:r>
      <w:r>
        <w:rPr>
          <w:rFonts w:asciiTheme="minorHAnsi" w:hAnsiTheme="minorHAnsi"/>
        </w:rPr>
        <w:t>ы</w:t>
      </w:r>
      <w:r w:rsidRPr="00EF6115">
        <w:rPr>
          <w:rFonts w:asciiTheme="minorHAnsi" w:hAnsiTheme="minorHAnsi"/>
        </w:rPr>
        <w:t>, электросвязи и ИКТ (Камерун); Компьютерный сетевой информационный</w:t>
      </w:r>
      <w:r w:rsidRPr="00E80336">
        <w:rPr>
          <w:rFonts w:asciiTheme="minorHAnsi" w:hAnsiTheme="minorHAnsi"/>
        </w:rPr>
        <w:t xml:space="preserve"> центр Китайской академии наук (Китай); Китайский университет радиоэлектроники и техники (Китай); </w:t>
      </w:r>
      <w:r w:rsidRPr="00FA6E31">
        <w:rPr>
          <w:rFonts w:asciiTheme="minorHAnsi" w:hAnsiTheme="minorHAnsi"/>
        </w:rPr>
        <w:t>Институт информационных технологий Китайской академии наук (Китай</w:t>
      </w:r>
      <w:r w:rsidRPr="00302AA5">
        <w:rPr>
          <w:rFonts w:asciiTheme="minorHAnsi" w:hAnsiTheme="minorHAnsi"/>
        </w:rPr>
        <w:t xml:space="preserve">); Автономный университет Санто-Доминго (Доминиканская Республика); Институт технологических исследований </w:t>
      </w:r>
      <w:proofErr w:type="spellStart"/>
      <w:r w:rsidRPr="004570F4">
        <w:rPr>
          <w:rFonts w:asciiTheme="minorHAnsi" w:hAnsiTheme="minorHAnsi"/>
        </w:rPr>
        <w:t>SystemX</w:t>
      </w:r>
      <w:proofErr w:type="spellEnd"/>
      <w:r w:rsidRPr="00302AA5">
        <w:rPr>
          <w:rFonts w:asciiTheme="minorHAnsi" w:hAnsiTheme="minorHAnsi"/>
        </w:rPr>
        <w:t xml:space="preserve"> (Франция); </w:t>
      </w:r>
      <w:proofErr w:type="spellStart"/>
      <w:r w:rsidRPr="004570F4">
        <w:rPr>
          <w:rFonts w:asciiTheme="minorHAnsi" w:hAnsiTheme="minorHAnsi"/>
        </w:rPr>
        <w:t>International</w:t>
      </w:r>
      <w:proofErr w:type="spellEnd"/>
      <w:r w:rsidRPr="004570F4">
        <w:rPr>
          <w:rFonts w:asciiTheme="minorHAnsi" w:hAnsiTheme="minorHAnsi"/>
        </w:rPr>
        <w:t xml:space="preserve"> </w:t>
      </w:r>
      <w:proofErr w:type="spellStart"/>
      <w:r w:rsidRPr="004570F4">
        <w:rPr>
          <w:rFonts w:asciiTheme="minorHAnsi" w:hAnsiTheme="minorHAnsi"/>
        </w:rPr>
        <w:t>Audio</w:t>
      </w:r>
      <w:proofErr w:type="spellEnd"/>
      <w:r w:rsidRPr="004570F4">
        <w:rPr>
          <w:rFonts w:asciiTheme="minorHAnsi" w:hAnsiTheme="minorHAnsi"/>
        </w:rPr>
        <w:t xml:space="preserve"> </w:t>
      </w:r>
      <w:proofErr w:type="spellStart"/>
      <w:r w:rsidRPr="004570F4">
        <w:rPr>
          <w:rFonts w:asciiTheme="minorHAnsi" w:hAnsiTheme="minorHAnsi"/>
        </w:rPr>
        <w:t>Laboratories</w:t>
      </w:r>
      <w:proofErr w:type="spellEnd"/>
      <w:r w:rsidRPr="004570F4">
        <w:rPr>
          <w:rFonts w:asciiTheme="minorHAnsi" w:hAnsiTheme="minorHAnsi"/>
        </w:rPr>
        <w:t xml:space="preserve"> </w:t>
      </w:r>
      <w:proofErr w:type="spellStart"/>
      <w:r w:rsidRPr="004570F4">
        <w:rPr>
          <w:rFonts w:asciiTheme="minorHAnsi" w:hAnsiTheme="minorHAnsi"/>
        </w:rPr>
        <w:t>Erlangen</w:t>
      </w:r>
      <w:proofErr w:type="spellEnd"/>
      <w:r w:rsidRPr="00302AA5">
        <w:rPr>
          <w:rFonts w:asciiTheme="minorHAnsi" w:hAnsiTheme="minorHAnsi"/>
        </w:rPr>
        <w:t xml:space="preserve"> (Германия); </w:t>
      </w:r>
      <w:r w:rsidRPr="004570F4">
        <w:rPr>
          <w:rFonts w:asciiTheme="minorHAnsi" w:hAnsiTheme="minorHAnsi"/>
        </w:rPr>
        <w:t xml:space="preserve">Университет науки и техники им. </w:t>
      </w:r>
      <w:proofErr w:type="spellStart"/>
      <w:r w:rsidRPr="004570F4">
        <w:rPr>
          <w:rFonts w:asciiTheme="minorHAnsi" w:hAnsiTheme="minorHAnsi"/>
        </w:rPr>
        <w:t>Кваме</w:t>
      </w:r>
      <w:proofErr w:type="spellEnd"/>
      <w:r w:rsidRPr="004570F4">
        <w:rPr>
          <w:rFonts w:asciiTheme="minorHAnsi" w:hAnsiTheme="minorHAnsi"/>
        </w:rPr>
        <w:t xml:space="preserve"> </w:t>
      </w:r>
      <w:proofErr w:type="spellStart"/>
      <w:r w:rsidRPr="00E541E6">
        <w:rPr>
          <w:rFonts w:asciiTheme="minorHAnsi" w:hAnsiTheme="minorHAnsi"/>
        </w:rPr>
        <w:t>Нкрума</w:t>
      </w:r>
      <w:proofErr w:type="spellEnd"/>
      <w:r w:rsidRPr="00E541E6">
        <w:rPr>
          <w:rFonts w:asciiTheme="minorHAnsi" w:hAnsiTheme="minorHAnsi"/>
        </w:rPr>
        <w:t xml:space="preserve"> (Гана); Совет Индии по исследованию международных экономических отношений (Индия); Индийский научный институт (Индия); Национальный институт государственных финансов и политики (Индия</w:t>
      </w:r>
      <w:r w:rsidRPr="005D7576">
        <w:rPr>
          <w:rFonts w:asciiTheme="minorHAnsi" w:hAnsiTheme="minorHAnsi"/>
        </w:rPr>
        <w:t xml:space="preserve">); Центр управления технологиями и инновациями Национального института промышленной инженерии (Индия); Академия </w:t>
      </w:r>
      <w:proofErr w:type="spellStart"/>
      <w:r w:rsidRPr="00E85ADC">
        <w:rPr>
          <w:rFonts w:asciiTheme="minorHAnsi" w:hAnsiTheme="minorHAnsi"/>
        </w:rPr>
        <w:t>IoT</w:t>
      </w:r>
      <w:proofErr w:type="spellEnd"/>
      <w:r w:rsidRPr="005D7576">
        <w:rPr>
          <w:rFonts w:asciiTheme="minorHAnsi" w:hAnsiTheme="minorHAnsi"/>
        </w:rPr>
        <w:t xml:space="preserve"> (Иран</w:t>
      </w:r>
      <w:r w:rsidRPr="00E85ADC">
        <w:rPr>
          <w:rFonts w:asciiTheme="minorHAnsi" w:hAnsiTheme="minorHAnsi"/>
        </w:rPr>
        <w:t xml:space="preserve">); Высшая школа государственного управления </w:t>
      </w:r>
      <w:proofErr w:type="spellStart"/>
      <w:r w:rsidRPr="00E85ADC">
        <w:rPr>
          <w:rFonts w:asciiTheme="minorHAnsi" w:hAnsiTheme="minorHAnsi"/>
        </w:rPr>
        <w:t>Сеульского</w:t>
      </w:r>
      <w:proofErr w:type="spellEnd"/>
      <w:r w:rsidRPr="00E85ADC">
        <w:rPr>
          <w:rFonts w:asciiTheme="minorHAnsi" w:hAnsiTheme="minorHAnsi"/>
        </w:rPr>
        <w:t xml:space="preserve"> национального университета (Республика Корея); Палестинский технический университет </w:t>
      </w:r>
      <w:proofErr w:type="spellStart"/>
      <w:r w:rsidRPr="00E85ADC">
        <w:rPr>
          <w:rFonts w:asciiTheme="minorHAnsi" w:hAnsiTheme="minorHAnsi"/>
        </w:rPr>
        <w:t>Хадури</w:t>
      </w:r>
      <w:proofErr w:type="spellEnd"/>
      <w:r w:rsidRPr="00E85ADC">
        <w:rPr>
          <w:rFonts w:asciiTheme="minorHAnsi" w:hAnsiTheme="minorHAnsi"/>
        </w:rPr>
        <w:t xml:space="preserve"> (Государство Палестина); Арабско-американский университет (Государство Палестина); НИИ связи (Польша); Катарский университет (Катар); Санкт-Петербургский государственный университет аэрокосмического приборостроения (Российская Федерация); Арабский университет наук безопасности им. принца </w:t>
      </w:r>
      <w:proofErr w:type="spellStart"/>
      <w:r w:rsidRPr="00E85ADC">
        <w:rPr>
          <w:rFonts w:asciiTheme="minorHAnsi" w:hAnsiTheme="minorHAnsi"/>
        </w:rPr>
        <w:t>Наифа</w:t>
      </w:r>
      <w:proofErr w:type="spellEnd"/>
      <w:r w:rsidRPr="00E85ADC">
        <w:rPr>
          <w:rFonts w:asciiTheme="minorHAnsi" w:hAnsiTheme="minorHAnsi"/>
        </w:rPr>
        <w:t xml:space="preserve"> (</w:t>
      </w:r>
      <w:proofErr w:type="spellStart"/>
      <w:r w:rsidRPr="00E85ADC">
        <w:rPr>
          <w:rFonts w:asciiTheme="minorHAnsi" w:hAnsiTheme="minorHAnsi"/>
        </w:rPr>
        <w:t>NAUSS</w:t>
      </w:r>
      <w:proofErr w:type="spellEnd"/>
      <w:r w:rsidRPr="00E85ADC">
        <w:rPr>
          <w:rFonts w:asciiTheme="minorHAnsi" w:hAnsiTheme="minorHAnsi"/>
        </w:rPr>
        <w:t>) (Саудовская Аравия); Научно-исследовательский центр электросвязи (</w:t>
      </w:r>
      <w:proofErr w:type="spellStart"/>
      <w:r w:rsidRPr="00E85ADC">
        <w:rPr>
          <w:rFonts w:asciiTheme="minorHAnsi" w:hAnsiTheme="minorHAnsi"/>
        </w:rPr>
        <w:t>CERT</w:t>
      </w:r>
      <w:proofErr w:type="spellEnd"/>
      <w:r w:rsidRPr="00E85ADC">
        <w:rPr>
          <w:rFonts w:asciiTheme="minorHAnsi" w:hAnsiTheme="minorHAnsi"/>
        </w:rPr>
        <w:t xml:space="preserve">) (Тунис); </w:t>
      </w:r>
      <w:proofErr w:type="spellStart"/>
      <w:r w:rsidRPr="00E85ADC">
        <w:rPr>
          <w:rFonts w:asciiTheme="minorHAnsi" w:hAnsiTheme="minorHAnsi"/>
        </w:rPr>
        <w:t>Флоридский</w:t>
      </w:r>
      <w:proofErr w:type="spellEnd"/>
      <w:r w:rsidRPr="00E85ADC">
        <w:rPr>
          <w:rFonts w:asciiTheme="minorHAnsi" w:hAnsiTheme="minorHAnsi"/>
        </w:rPr>
        <w:t xml:space="preserve"> Атлантический университет (США)</w:t>
      </w:r>
      <w:r w:rsidR="007A20FE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A269CA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="0040328D" w:rsidRPr="0040328D">
      <w:t>-</w:t>
    </w:r>
    <w:r w:rsidRPr="00701E31">
      <w:t>1</w:t>
    </w:r>
    <w:r w:rsidR="00B24169" w:rsidRPr="00B24169">
      <w:t>9</w:t>
    </w:r>
    <w:r w:rsidRPr="00701E31">
      <w:t>/</w:t>
    </w:r>
    <w:r w:rsidR="00156E9D">
      <w:t>2</w:t>
    </w:r>
    <w:r w:rsidR="00A269CA">
      <w:t>0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100F9F">
      <w:rPr>
        <w:rStyle w:val="PageNumber"/>
        <w:noProof/>
      </w:rPr>
      <w:t>6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403F0"/>
    <w:multiLevelType w:val="hybridMultilevel"/>
    <w:tmpl w:val="94C263B6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A44342"/>
    <w:multiLevelType w:val="hybridMultilevel"/>
    <w:tmpl w:val="FA425F08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212311"/>
    <w:multiLevelType w:val="hybridMultilevel"/>
    <w:tmpl w:val="FB1CFE6E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26006D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9D68F4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BE01F8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09055D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1AC886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CE035D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630C9B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D04A5A9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04A3B7F"/>
    <w:multiLevelType w:val="hybridMultilevel"/>
    <w:tmpl w:val="6BB0D842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8570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086E82"/>
    <w:multiLevelType w:val="hybridMultilevel"/>
    <w:tmpl w:val="A5ECE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MY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0A"/>
    <w:rsid w:val="00011D5F"/>
    <w:rsid w:val="00017C80"/>
    <w:rsid w:val="000246B3"/>
    <w:rsid w:val="00027D00"/>
    <w:rsid w:val="000315A1"/>
    <w:rsid w:val="00043F39"/>
    <w:rsid w:val="00050938"/>
    <w:rsid w:val="00051B55"/>
    <w:rsid w:val="000535CD"/>
    <w:rsid w:val="00075757"/>
    <w:rsid w:val="000760CC"/>
    <w:rsid w:val="000840D4"/>
    <w:rsid w:val="00084F72"/>
    <w:rsid w:val="0009161A"/>
    <w:rsid w:val="00093004"/>
    <w:rsid w:val="00095D48"/>
    <w:rsid w:val="000961E6"/>
    <w:rsid w:val="000970DF"/>
    <w:rsid w:val="000A0C3F"/>
    <w:rsid w:val="000B1C42"/>
    <w:rsid w:val="000B51B4"/>
    <w:rsid w:val="000B5A45"/>
    <w:rsid w:val="000C5F87"/>
    <w:rsid w:val="000D72A9"/>
    <w:rsid w:val="000E1D5D"/>
    <w:rsid w:val="000E6B8F"/>
    <w:rsid w:val="000E6EED"/>
    <w:rsid w:val="000F44F8"/>
    <w:rsid w:val="00100F9F"/>
    <w:rsid w:val="00101146"/>
    <w:rsid w:val="00107E03"/>
    <w:rsid w:val="00111662"/>
    <w:rsid w:val="001142DC"/>
    <w:rsid w:val="00123B26"/>
    <w:rsid w:val="00124B99"/>
    <w:rsid w:val="00134D3C"/>
    <w:rsid w:val="00134EEA"/>
    <w:rsid w:val="00140984"/>
    <w:rsid w:val="00143281"/>
    <w:rsid w:val="00145279"/>
    <w:rsid w:val="00150644"/>
    <w:rsid w:val="00150EA7"/>
    <w:rsid w:val="00152048"/>
    <w:rsid w:val="001530FB"/>
    <w:rsid w:val="0015314C"/>
    <w:rsid w:val="00156E9D"/>
    <w:rsid w:val="00163B55"/>
    <w:rsid w:val="001707BC"/>
    <w:rsid w:val="00171247"/>
    <w:rsid w:val="00177F3C"/>
    <w:rsid w:val="00180BAE"/>
    <w:rsid w:val="001828B1"/>
    <w:rsid w:val="00186B80"/>
    <w:rsid w:val="00191479"/>
    <w:rsid w:val="00193CCF"/>
    <w:rsid w:val="00193E17"/>
    <w:rsid w:val="001943CA"/>
    <w:rsid w:val="0019671A"/>
    <w:rsid w:val="001970C9"/>
    <w:rsid w:val="001C1777"/>
    <w:rsid w:val="001C5AC5"/>
    <w:rsid w:val="001C6DD3"/>
    <w:rsid w:val="001D1E98"/>
    <w:rsid w:val="001D40F6"/>
    <w:rsid w:val="001D650A"/>
    <w:rsid w:val="001E179A"/>
    <w:rsid w:val="001E39B8"/>
    <w:rsid w:val="001E3E78"/>
    <w:rsid w:val="001F431F"/>
    <w:rsid w:val="001F47CC"/>
    <w:rsid w:val="001F5E01"/>
    <w:rsid w:val="00202D0A"/>
    <w:rsid w:val="00210E46"/>
    <w:rsid w:val="002236F8"/>
    <w:rsid w:val="002301A8"/>
    <w:rsid w:val="00234BDA"/>
    <w:rsid w:val="002355EE"/>
    <w:rsid w:val="00243A1E"/>
    <w:rsid w:val="00243FCA"/>
    <w:rsid w:val="002461A9"/>
    <w:rsid w:val="00257C2C"/>
    <w:rsid w:val="0026078C"/>
    <w:rsid w:val="00265FCB"/>
    <w:rsid w:val="00270876"/>
    <w:rsid w:val="002717CC"/>
    <w:rsid w:val="002722D7"/>
    <w:rsid w:val="00280F9E"/>
    <w:rsid w:val="0028154E"/>
    <w:rsid w:val="00283AFF"/>
    <w:rsid w:val="00283D65"/>
    <w:rsid w:val="002878FD"/>
    <w:rsid w:val="00291B27"/>
    <w:rsid w:val="00294A30"/>
    <w:rsid w:val="002A3D46"/>
    <w:rsid w:val="002C2CEA"/>
    <w:rsid w:val="002D4375"/>
    <w:rsid w:val="002D5969"/>
    <w:rsid w:val="002E1254"/>
    <w:rsid w:val="002E2CCB"/>
    <w:rsid w:val="002F7CDB"/>
    <w:rsid w:val="003102F9"/>
    <w:rsid w:val="00316454"/>
    <w:rsid w:val="00316E6C"/>
    <w:rsid w:val="00317299"/>
    <w:rsid w:val="003342E8"/>
    <w:rsid w:val="00337E0B"/>
    <w:rsid w:val="00350510"/>
    <w:rsid w:val="003525A7"/>
    <w:rsid w:val="00365C6D"/>
    <w:rsid w:val="00366978"/>
    <w:rsid w:val="00392C83"/>
    <w:rsid w:val="003934EA"/>
    <w:rsid w:val="003A0218"/>
    <w:rsid w:val="003A294B"/>
    <w:rsid w:val="003B35E2"/>
    <w:rsid w:val="003C317A"/>
    <w:rsid w:val="003C54EE"/>
    <w:rsid w:val="003C6E83"/>
    <w:rsid w:val="003E6E87"/>
    <w:rsid w:val="003F0A5B"/>
    <w:rsid w:val="003F0A71"/>
    <w:rsid w:val="003F4641"/>
    <w:rsid w:val="0040328D"/>
    <w:rsid w:val="00406EBC"/>
    <w:rsid w:val="00410C21"/>
    <w:rsid w:val="0041120E"/>
    <w:rsid w:val="004143D5"/>
    <w:rsid w:val="00417120"/>
    <w:rsid w:val="00422053"/>
    <w:rsid w:val="004276E8"/>
    <w:rsid w:val="004307EF"/>
    <w:rsid w:val="004311B1"/>
    <w:rsid w:val="00433838"/>
    <w:rsid w:val="00434A21"/>
    <w:rsid w:val="004351D4"/>
    <w:rsid w:val="00444FED"/>
    <w:rsid w:val="00447D2A"/>
    <w:rsid w:val="00451127"/>
    <w:rsid w:val="00466242"/>
    <w:rsid w:val="004708F2"/>
    <w:rsid w:val="004713B8"/>
    <w:rsid w:val="00472E60"/>
    <w:rsid w:val="00474F51"/>
    <w:rsid w:val="00485DC6"/>
    <w:rsid w:val="00485F71"/>
    <w:rsid w:val="0048606D"/>
    <w:rsid w:val="00487963"/>
    <w:rsid w:val="00490BE0"/>
    <w:rsid w:val="00492670"/>
    <w:rsid w:val="004B25CD"/>
    <w:rsid w:val="004B3CC5"/>
    <w:rsid w:val="004B40F7"/>
    <w:rsid w:val="004B59C0"/>
    <w:rsid w:val="004C35B3"/>
    <w:rsid w:val="004C5AF0"/>
    <w:rsid w:val="004C6EC6"/>
    <w:rsid w:val="004D2FAC"/>
    <w:rsid w:val="004D5E5A"/>
    <w:rsid w:val="004E4490"/>
    <w:rsid w:val="004E5ACE"/>
    <w:rsid w:val="004E5E86"/>
    <w:rsid w:val="004F245D"/>
    <w:rsid w:val="004F5238"/>
    <w:rsid w:val="00501ED6"/>
    <w:rsid w:val="00501FFF"/>
    <w:rsid w:val="00503A4D"/>
    <w:rsid w:val="0050402A"/>
    <w:rsid w:val="005070DA"/>
    <w:rsid w:val="00512854"/>
    <w:rsid w:val="005150BA"/>
    <w:rsid w:val="00515B23"/>
    <w:rsid w:val="00530775"/>
    <w:rsid w:val="005333A2"/>
    <w:rsid w:val="00535295"/>
    <w:rsid w:val="00541EA3"/>
    <w:rsid w:val="005435C7"/>
    <w:rsid w:val="005445F8"/>
    <w:rsid w:val="005451E4"/>
    <w:rsid w:val="00552993"/>
    <w:rsid w:val="005532AF"/>
    <w:rsid w:val="0057023F"/>
    <w:rsid w:val="0057131A"/>
    <w:rsid w:val="00571D4D"/>
    <w:rsid w:val="005723DC"/>
    <w:rsid w:val="00575D87"/>
    <w:rsid w:val="005777C1"/>
    <w:rsid w:val="00591ABE"/>
    <w:rsid w:val="00594526"/>
    <w:rsid w:val="00594F01"/>
    <w:rsid w:val="00596250"/>
    <w:rsid w:val="005A44E3"/>
    <w:rsid w:val="005A558F"/>
    <w:rsid w:val="005B150D"/>
    <w:rsid w:val="005B42CA"/>
    <w:rsid w:val="005E0E52"/>
    <w:rsid w:val="005E48C1"/>
    <w:rsid w:val="005F3B06"/>
    <w:rsid w:val="005F47BD"/>
    <w:rsid w:val="005F48DA"/>
    <w:rsid w:val="00604322"/>
    <w:rsid w:val="00605387"/>
    <w:rsid w:val="00613490"/>
    <w:rsid w:val="00643E85"/>
    <w:rsid w:val="006450F0"/>
    <w:rsid w:val="00652A98"/>
    <w:rsid w:val="00655923"/>
    <w:rsid w:val="00661886"/>
    <w:rsid w:val="00686DD3"/>
    <w:rsid w:val="0069100A"/>
    <w:rsid w:val="00694764"/>
    <w:rsid w:val="006A0D30"/>
    <w:rsid w:val="006A1AE7"/>
    <w:rsid w:val="006A497D"/>
    <w:rsid w:val="006A5AF8"/>
    <w:rsid w:val="006A6EE6"/>
    <w:rsid w:val="006C12AE"/>
    <w:rsid w:val="006D22DF"/>
    <w:rsid w:val="006D4981"/>
    <w:rsid w:val="006D7E75"/>
    <w:rsid w:val="006E1AD8"/>
    <w:rsid w:val="006E4D86"/>
    <w:rsid w:val="006E680E"/>
    <w:rsid w:val="006F1B9F"/>
    <w:rsid w:val="006F383E"/>
    <w:rsid w:val="00701E31"/>
    <w:rsid w:val="0070503C"/>
    <w:rsid w:val="00716556"/>
    <w:rsid w:val="007228F2"/>
    <w:rsid w:val="00722F59"/>
    <w:rsid w:val="0072392B"/>
    <w:rsid w:val="00731A44"/>
    <w:rsid w:val="00734508"/>
    <w:rsid w:val="0073581B"/>
    <w:rsid w:val="007403EE"/>
    <w:rsid w:val="0074510B"/>
    <w:rsid w:val="0074550B"/>
    <w:rsid w:val="007513A5"/>
    <w:rsid w:val="007569E3"/>
    <w:rsid w:val="00761486"/>
    <w:rsid w:val="007641DD"/>
    <w:rsid w:val="00776C68"/>
    <w:rsid w:val="00784576"/>
    <w:rsid w:val="00785437"/>
    <w:rsid w:val="00787C34"/>
    <w:rsid w:val="007910B4"/>
    <w:rsid w:val="007A1C0E"/>
    <w:rsid w:val="007A20FE"/>
    <w:rsid w:val="007A7108"/>
    <w:rsid w:val="007B1059"/>
    <w:rsid w:val="007B1D03"/>
    <w:rsid w:val="007B278F"/>
    <w:rsid w:val="007C04D2"/>
    <w:rsid w:val="007C1890"/>
    <w:rsid w:val="007C3FD4"/>
    <w:rsid w:val="007C6C36"/>
    <w:rsid w:val="007D1E24"/>
    <w:rsid w:val="007E786B"/>
    <w:rsid w:val="008112E9"/>
    <w:rsid w:val="00813D95"/>
    <w:rsid w:val="00813F02"/>
    <w:rsid w:val="00826FCE"/>
    <w:rsid w:val="00827B4C"/>
    <w:rsid w:val="0084410A"/>
    <w:rsid w:val="00852E80"/>
    <w:rsid w:val="00860C03"/>
    <w:rsid w:val="00875722"/>
    <w:rsid w:val="00881F15"/>
    <w:rsid w:val="008950ED"/>
    <w:rsid w:val="008A0668"/>
    <w:rsid w:val="008A16B2"/>
    <w:rsid w:val="008A1731"/>
    <w:rsid w:val="008A4385"/>
    <w:rsid w:val="008B0265"/>
    <w:rsid w:val="008C12E5"/>
    <w:rsid w:val="008C2269"/>
    <w:rsid w:val="008C2537"/>
    <w:rsid w:val="008C4309"/>
    <w:rsid w:val="008C576E"/>
    <w:rsid w:val="008D02AA"/>
    <w:rsid w:val="008D7BD5"/>
    <w:rsid w:val="008E0EF6"/>
    <w:rsid w:val="008E1CA8"/>
    <w:rsid w:val="008F68A4"/>
    <w:rsid w:val="00911829"/>
    <w:rsid w:val="00916B10"/>
    <w:rsid w:val="009542E7"/>
    <w:rsid w:val="00955B6F"/>
    <w:rsid w:val="00965EA5"/>
    <w:rsid w:val="0096744E"/>
    <w:rsid w:val="00973066"/>
    <w:rsid w:val="00985212"/>
    <w:rsid w:val="009929F3"/>
    <w:rsid w:val="00993BE9"/>
    <w:rsid w:val="009B4941"/>
    <w:rsid w:val="009C24AF"/>
    <w:rsid w:val="009C2939"/>
    <w:rsid w:val="009C2E35"/>
    <w:rsid w:val="009C4949"/>
    <w:rsid w:val="009C5B8E"/>
    <w:rsid w:val="009F46A6"/>
    <w:rsid w:val="00A03941"/>
    <w:rsid w:val="00A07799"/>
    <w:rsid w:val="00A20EBA"/>
    <w:rsid w:val="00A269CA"/>
    <w:rsid w:val="00A30897"/>
    <w:rsid w:val="00A36A13"/>
    <w:rsid w:val="00A44602"/>
    <w:rsid w:val="00A504AA"/>
    <w:rsid w:val="00A5095C"/>
    <w:rsid w:val="00A5443E"/>
    <w:rsid w:val="00A5454A"/>
    <w:rsid w:val="00A64F9D"/>
    <w:rsid w:val="00A6739D"/>
    <w:rsid w:val="00A73D91"/>
    <w:rsid w:val="00A74DAC"/>
    <w:rsid w:val="00A8442B"/>
    <w:rsid w:val="00AA0053"/>
    <w:rsid w:val="00AA4010"/>
    <w:rsid w:val="00AA42F8"/>
    <w:rsid w:val="00AA4DC6"/>
    <w:rsid w:val="00AA4FCF"/>
    <w:rsid w:val="00AB011E"/>
    <w:rsid w:val="00AB23C6"/>
    <w:rsid w:val="00AB5E2B"/>
    <w:rsid w:val="00AC1FBD"/>
    <w:rsid w:val="00AC2E0E"/>
    <w:rsid w:val="00AC4063"/>
    <w:rsid w:val="00AC595C"/>
    <w:rsid w:val="00AC6023"/>
    <w:rsid w:val="00AC7A63"/>
    <w:rsid w:val="00AD101A"/>
    <w:rsid w:val="00AD2951"/>
    <w:rsid w:val="00AD39A3"/>
    <w:rsid w:val="00AD41D9"/>
    <w:rsid w:val="00AD56CA"/>
    <w:rsid w:val="00AD5D53"/>
    <w:rsid w:val="00AD6635"/>
    <w:rsid w:val="00AE0BB7"/>
    <w:rsid w:val="00AE1BA7"/>
    <w:rsid w:val="00AF74C6"/>
    <w:rsid w:val="00B00D98"/>
    <w:rsid w:val="00B053BF"/>
    <w:rsid w:val="00B06A7A"/>
    <w:rsid w:val="00B222FE"/>
    <w:rsid w:val="00B22706"/>
    <w:rsid w:val="00B24169"/>
    <w:rsid w:val="00B24C4E"/>
    <w:rsid w:val="00B272C7"/>
    <w:rsid w:val="00B300DA"/>
    <w:rsid w:val="00B32CDF"/>
    <w:rsid w:val="00B33976"/>
    <w:rsid w:val="00B34F67"/>
    <w:rsid w:val="00B357BE"/>
    <w:rsid w:val="00B4183B"/>
    <w:rsid w:val="00B46658"/>
    <w:rsid w:val="00B529FF"/>
    <w:rsid w:val="00B52E6E"/>
    <w:rsid w:val="00B53889"/>
    <w:rsid w:val="00B640A0"/>
    <w:rsid w:val="00B65635"/>
    <w:rsid w:val="00B661E0"/>
    <w:rsid w:val="00B67087"/>
    <w:rsid w:val="00B726C0"/>
    <w:rsid w:val="00B75868"/>
    <w:rsid w:val="00B82CBF"/>
    <w:rsid w:val="00B85253"/>
    <w:rsid w:val="00B86654"/>
    <w:rsid w:val="00B87063"/>
    <w:rsid w:val="00B93B73"/>
    <w:rsid w:val="00BA009F"/>
    <w:rsid w:val="00BA21D3"/>
    <w:rsid w:val="00BA220E"/>
    <w:rsid w:val="00BA45D9"/>
    <w:rsid w:val="00BB1CCD"/>
    <w:rsid w:val="00BC06F8"/>
    <w:rsid w:val="00BD2C91"/>
    <w:rsid w:val="00BD584E"/>
    <w:rsid w:val="00BD7A1A"/>
    <w:rsid w:val="00BE6567"/>
    <w:rsid w:val="00C02152"/>
    <w:rsid w:val="00C07246"/>
    <w:rsid w:val="00C1265A"/>
    <w:rsid w:val="00C13359"/>
    <w:rsid w:val="00C172EA"/>
    <w:rsid w:val="00C23A73"/>
    <w:rsid w:val="00C24A4D"/>
    <w:rsid w:val="00C25B8D"/>
    <w:rsid w:val="00C433E3"/>
    <w:rsid w:val="00C62E82"/>
    <w:rsid w:val="00C66033"/>
    <w:rsid w:val="00C71A6F"/>
    <w:rsid w:val="00C76685"/>
    <w:rsid w:val="00C84CCD"/>
    <w:rsid w:val="00C8603A"/>
    <w:rsid w:val="00CA7AFA"/>
    <w:rsid w:val="00CB2DA8"/>
    <w:rsid w:val="00CC6ECB"/>
    <w:rsid w:val="00CD0939"/>
    <w:rsid w:val="00CD243E"/>
    <w:rsid w:val="00CD34AE"/>
    <w:rsid w:val="00CE1E39"/>
    <w:rsid w:val="00CE37A1"/>
    <w:rsid w:val="00CE5E7B"/>
    <w:rsid w:val="00CF4A00"/>
    <w:rsid w:val="00D015CD"/>
    <w:rsid w:val="00D05380"/>
    <w:rsid w:val="00D06CA6"/>
    <w:rsid w:val="00D16175"/>
    <w:rsid w:val="00D230F4"/>
    <w:rsid w:val="00D25AE4"/>
    <w:rsid w:val="00D32F3E"/>
    <w:rsid w:val="00D443F7"/>
    <w:rsid w:val="00D45794"/>
    <w:rsid w:val="00D60AFE"/>
    <w:rsid w:val="00D6537D"/>
    <w:rsid w:val="00D712FE"/>
    <w:rsid w:val="00D7145B"/>
    <w:rsid w:val="00D73E8D"/>
    <w:rsid w:val="00D87786"/>
    <w:rsid w:val="00D904D9"/>
    <w:rsid w:val="00D9083F"/>
    <w:rsid w:val="00D923CD"/>
    <w:rsid w:val="00D93FCC"/>
    <w:rsid w:val="00D94991"/>
    <w:rsid w:val="00DA2E01"/>
    <w:rsid w:val="00DA4610"/>
    <w:rsid w:val="00DB433F"/>
    <w:rsid w:val="00DB46A7"/>
    <w:rsid w:val="00DB5523"/>
    <w:rsid w:val="00DC03A1"/>
    <w:rsid w:val="00DD19E1"/>
    <w:rsid w:val="00DD34A7"/>
    <w:rsid w:val="00DD5D8C"/>
    <w:rsid w:val="00DD6915"/>
    <w:rsid w:val="00DD7AFE"/>
    <w:rsid w:val="00DD7BB7"/>
    <w:rsid w:val="00DE09D7"/>
    <w:rsid w:val="00DE2943"/>
    <w:rsid w:val="00DE5A48"/>
    <w:rsid w:val="00DE62EB"/>
    <w:rsid w:val="00DF187D"/>
    <w:rsid w:val="00DF71DD"/>
    <w:rsid w:val="00E0113D"/>
    <w:rsid w:val="00E0455C"/>
    <w:rsid w:val="00E06A7D"/>
    <w:rsid w:val="00E07E56"/>
    <w:rsid w:val="00E30170"/>
    <w:rsid w:val="00E3464A"/>
    <w:rsid w:val="00E3742A"/>
    <w:rsid w:val="00E42344"/>
    <w:rsid w:val="00E532EB"/>
    <w:rsid w:val="00E54FD2"/>
    <w:rsid w:val="00E56B34"/>
    <w:rsid w:val="00E62D1F"/>
    <w:rsid w:val="00E7156F"/>
    <w:rsid w:val="00E80E5A"/>
    <w:rsid w:val="00E82D31"/>
    <w:rsid w:val="00E90465"/>
    <w:rsid w:val="00E96F65"/>
    <w:rsid w:val="00E978C4"/>
    <w:rsid w:val="00EA103C"/>
    <w:rsid w:val="00EC1529"/>
    <w:rsid w:val="00EC4612"/>
    <w:rsid w:val="00EC68AC"/>
    <w:rsid w:val="00ED5666"/>
    <w:rsid w:val="00ED689A"/>
    <w:rsid w:val="00EE153D"/>
    <w:rsid w:val="00EE69C2"/>
    <w:rsid w:val="00F037C9"/>
    <w:rsid w:val="00F05872"/>
    <w:rsid w:val="00F11564"/>
    <w:rsid w:val="00F11C28"/>
    <w:rsid w:val="00F1440D"/>
    <w:rsid w:val="00F1735E"/>
    <w:rsid w:val="00F202A6"/>
    <w:rsid w:val="00F217BD"/>
    <w:rsid w:val="00F35288"/>
    <w:rsid w:val="00F51232"/>
    <w:rsid w:val="00F529AE"/>
    <w:rsid w:val="00F5530F"/>
    <w:rsid w:val="00F57BFF"/>
    <w:rsid w:val="00F63EC3"/>
    <w:rsid w:val="00F725C3"/>
    <w:rsid w:val="00F72A94"/>
    <w:rsid w:val="00F746B3"/>
    <w:rsid w:val="00F7794F"/>
    <w:rsid w:val="00F800F9"/>
    <w:rsid w:val="00F86467"/>
    <w:rsid w:val="00F923C3"/>
    <w:rsid w:val="00F935E1"/>
    <w:rsid w:val="00F961B7"/>
    <w:rsid w:val="00FA03A8"/>
    <w:rsid w:val="00FA247A"/>
    <w:rsid w:val="00FA2BC3"/>
    <w:rsid w:val="00FA63EE"/>
    <w:rsid w:val="00FA794B"/>
    <w:rsid w:val="00FA7B10"/>
    <w:rsid w:val="00FC0269"/>
    <w:rsid w:val="00FC1008"/>
    <w:rsid w:val="00FC12E7"/>
    <w:rsid w:val="00FC5ABC"/>
    <w:rsid w:val="00FD07BE"/>
    <w:rsid w:val="00FD0D9A"/>
    <w:rsid w:val="00FD1AA7"/>
    <w:rsid w:val="00FD1EE4"/>
    <w:rsid w:val="00FD2863"/>
    <w:rsid w:val="00FD4A9A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49B3B180-C877-40B0-A317-0709244F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F38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F383E"/>
    <w:pPr>
      <w:spacing w:before="24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7A20FE"/>
    <w:pPr>
      <w:tabs>
        <w:tab w:val="left" w:pos="567"/>
      </w:tabs>
      <w:spacing w:before="720"/>
      <w:jc w:val="center"/>
    </w:pPr>
    <w:rPr>
      <w:rFonts w:asciiTheme="minorHAnsi" w:hAnsiTheme="minorHAnsi"/>
      <w:caps/>
      <w:sz w:val="26"/>
      <w:szCs w:val="20"/>
    </w:rPr>
  </w:style>
  <w:style w:type="paragraph" w:customStyle="1" w:styleId="Annexref">
    <w:name w:val="Annex_ref"/>
    <w:basedOn w:val="Normal"/>
    <w:next w:val="Normal"/>
    <w:rsid w:val="007A20FE"/>
    <w:pPr>
      <w:tabs>
        <w:tab w:val="left" w:pos="567"/>
      </w:tabs>
      <w:jc w:val="center"/>
    </w:pPr>
    <w:rPr>
      <w:rFonts w:asciiTheme="minorHAnsi" w:hAnsiTheme="minorHAnsi"/>
      <w:sz w:val="26"/>
      <w:szCs w:val="20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F383E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6F383E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269C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A269CA"/>
    <w:rPr>
      <w:rFonts w:eastAsia="Times New Roman" w:cs="Times New Roman"/>
      <w:sz w:val="24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A269CA"/>
    <w:rPr>
      <w:b/>
      <w:bCs/>
    </w:rPr>
  </w:style>
  <w:style w:type="paragraph" w:customStyle="1" w:styleId="CEONormal">
    <w:name w:val="CEO_Normal"/>
    <w:link w:val="CEONormalChar"/>
    <w:rsid w:val="00156E9D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156E9D"/>
    <w:rPr>
      <w:rFonts w:ascii="Calibri" w:eastAsia="SimSun" w:hAnsi="Calibri" w:cs="Simplified Arabic"/>
      <w:szCs w:val="19"/>
      <w:lang w:val="en-GB" w:eastAsia="en-US"/>
    </w:rPr>
  </w:style>
  <w:style w:type="paragraph" w:styleId="NormalWeb">
    <w:name w:val="Normal (Web)"/>
    <w:basedOn w:val="Normal"/>
    <w:uiPriority w:val="99"/>
    <w:unhideWhenUsed/>
    <w:rsid w:val="00156E9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56E9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56E9D"/>
    <w:rPr>
      <w:rFonts w:ascii="Calibri" w:hAnsi="Calibri"/>
      <w:szCs w:val="21"/>
      <w:lang w:val="en-US"/>
    </w:rPr>
  </w:style>
  <w:style w:type="character" w:customStyle="1" w:styleId="ms-rtefontsize-1">
    <w:name w:val="ms-rtefontsize-1"/>
    <w:basedOn w:val="DefaultParagraphFont"/>
    <w:rsid w:val="00156E9D"/>
  </w:style>
  <w:style w:type="paragraph" w:customStyle="1" w:styleId="Figure">
    <w:name w:val="Figure"/>
    <w:basedOn w:val="Normal"/>
    <w:next w:val="Normal"/>
    <w:rsid w:val="007A20FE"/>
    <w:pPr>
      <w:keepNext/>
      <w:keepLines/>
      <w:spacing w:after="120"/>
      <w:jc w:val="center"/>
    </w:pPr>
    <w:rPr>
      <w:szCs w:val="20"/>
      <w:lang w:val="en-GB"/>
    </w:rPr>
  </w:style>
  <w:style w:type="paragraph" w:customStyle="1" w:styleId="Figurelegend">
    <w:name w:val="Figure_legend"/>
    <w:basedOn w:val="Normal"/>
    <w:rsid w:val="007A20F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0"/>
      <w:lang w:val="en-GB"/>
    </w:rPr>
  </w:style>
  <w:style w:type="paragraph" w:customStyle="1" w:styleId="FigureNo">
    <w:name w:val="Figure_No"/>
    <w:basedOn w:val="Normal"/>
    <w:next w:val="Normal"/>
    <w:rsid w:val="007A20FE"/>
    <w:pPr>
      <w:keepNext/>
      <w:keepLines/>
      <w:spacing w:before="240" w:after="120"/>
      <w:jc w:val="center"/>
    </w:pPr>
    <w:rPr>
      <w:caps/>
      <w:szCs w:val="20"/>
      <w:lang w:val="en-GB"/>
    </w:rPr>
  </w:style>
  <w:style w:type="paragraph" w:customStyle="1" w:styleId="Figuretitle">
    <w:name w:val="Figure_title"/>
    <w:basedOn w:val="Tabletitle"/>
    <w:next w:val="Normalaftertitle"/>
    <w:rsid w:val="007A20FE"/>
    <w:pPr>
      <w:tabs>
        <w:tab w:val="clear" w:pos="2948"/>
        <w:tab w:val="clear" w:pos="4082"/>
      </w:tabs>
      <w:spacing w:before="240" w:after="480"/>
    </w:pPr>
    <w:rPr>
      <w:szCs w:val="20"/>
    </w:rPr>
  </w:style>
  <w:style w:type="paragraph" w:customStyle="1" w:styleId="Figurewithouttitle">
    <w:name w:val="Figure_without_title"/>
    <w:basedOn w:val="Figure"/>
    <w:next w:val="Normalaftertitle"/>
    <w:rsid w:val="007A20FE"/>
    <w:pPr>
      <w:keepNext w:val="0"/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65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pages/impact-study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/itu-d/opb/gen/D-GEN-ICT_SDGS.01-2017-PDF-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D/Membership/Pages/default.aspx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TDAG19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Членский состав МСЭ-</a:t>
            </a:r>
            <a:r>
              <a:rPr lang="en-GB" sz="1100" b="1" i="0" baseline="0">
                <a:solidFill>
                  <a:sysClr val="windowText" lastClr="000000"/>
                </a:solidFill>
                <a:effectLst/>
              </a:rPr>
              <a:t>D (2008−2018 </a:t>
            </a: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гг.)</a:t>
            </a:r>
            <a:endParaRPr lang="en-GB" sz="1100">
              <a:solidFill>
                <a:sysClr val="windowText" lastClr="000000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Члены Секторов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Sheet1!$B$1:$L$1</c:f>
              <c:strCache>
                <c:ptCount val="11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  <c:pt idx="9">
                  <c:v>2017 г.</c:v>
                </c:pt>
                <c:pt idx="10">
                  <c:v>2018 г.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308</c:v>
                </c:pt>
                <c:pt idx="1">
                  <c:v>316</c:v>
                </c:pt>
                <c:pt idx="2">
                  <c:v>311</c:v>
                </c:pt>
                <c:pt idx="3">
                  <c:v>323</c:v>
                </c:pt>
                <c:pt idx="4">
                  <c:v>330</c:v>
                </c:pt>
                <c:pt idx="5">
                  <c:v>346</c:v>
                </c:pt>
                <c:pt idx="6">
                  <c:v>338</c:v>
                </c:pt>
                <c:pt idx="7">
                  <c:v>340</c:v>
                </c:pt>
                <c:pt idx="8">
                  <c:v>331</c:v>
                </c:pt>
                <c:pt idx="9">
                  <c:v>318</c:v>
                </c:pt>
                <c:pt idx="10">
                  <c:v>310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Ассоциированные члены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Sheet1!$B$1:$L$1</c:f>
              <c:strCache>
                <c:ptCount val="11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  <c:pt idx="9">
                  <c:v>2017 г.</c:v>
                </c:pt>
                <c:pt idx="10">
                  <c:v>2018 г.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12</c:v>
                </c:pt>
                <c:pt idx="10">
                  <c:v>14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Академические организации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Sheet1!$B$1:$L$1</c:f>
              <c:strCache>
                <c:ptCount val="11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  <c:pt idx="9">
                  <c:v>2017 г.</c:v>
                </c:pt>
                <c:pt idx="10">
                  <c:v>2018 г.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25</c:v>
                </c:pt>
                <c:pt idx="4">
                  <c:v>36</c:v>
                </c:pt>
                <c:pt idx="5">
                  <c:v>45</c:v>
                </c:pt>
                <c:pt idx="6">
                  <c:v>86</c:v>
                </c:pt>
                <c:pt idx="7">
                  <c:v>109</c:v>
                </c:pt>
                <c:pt idx="8">
                  <c:v>107</c:v>
                </c:pt>
                <c:pt idx="9">
                  <c:v>125</c:v>
                </c:pt>
                <c:pt idx="10">
                  <c:v>156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ИТОГО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Sheet1!$B$1:$L$1</c:f>
              <c:strCache>
                <c:ptCount val="11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  <c:pt idx="9">
                  <c:v>2017 г.</c:v>
                </c:pt>
                <c:pt idx="10">
                  <c:v>2018 г.</c:v>
                </c:pt>
              </c:strCache>
            </c:strRef>
          </c:cat>
          <c:val>
            <c:numRef>
              <c:f>Sheet1!$B$5:$L$5</c:f>
              <c:numCache>
                <c:formatCode>General</c:formatCode>
                <c:ptCount val="11"/>
                <c:pt idx="0">
                  <c:v>311</c:v>
                </c:pt>
                <c:pt idx="1">
                  <c:v>319</c:v>
                </c:pt>
                <c:pt idx="2">
                  <c:v>316</c:v>
                </c:pt>
                <c:pt idx="3">
                  <c:v>354</c:v>
                </c:pt>
                <c:pt idx="4">
                  <c:v>373</c:v>
                </c:pt>
                <c:pt idx="5">
                  <c:v>400</c:v>
                </c:pt>
                <c:pt idx="6">
                  <c:v>434</c:v>
                </c:pt>
                <c:pt idx="7">
                  <c:v>460</c:v>
                </c:pt>
                <c:pt idx="8">
                  <c:v>450</c:v>
                </c:pt>
                <c:pt idx="9">
                  <c:v>455</c:v>
                </c:pt>
                <c:pt idx="10">
                  <c:v>480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9845160"/>
        <c:axId val="531478864"/>
      </c:lineChart>
      <c:catAx>
        <c:axId val="529845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1478864"/>
        <c:crosses val="autoZero"/>
        <c:auto val="1"/>
        <c:lblAlgn val="ctr"/>
        <c:lblOffset val="100"/>
        <c:noMultiLvlLbl val="0"/>
      </c:catAx>
      <c:valAx>
        <c:axId val="53147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845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5B4B-FCB7-4CD4-99D6-96E80D51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19</TotalTime>
  <Pages>6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Antipina, Nadezda</cp:lastModifiedBy>
  <cp:revision>7</cp:revision>
  <cp:lastPrinted>2019-02-20T10:45:00Z</cp:lastPrinted>
  <dcterms:created xsi:type="dcterms:W3CDTF">2019-03-25T10:47:00Z</dcterms:created>
  <dcterms:modified xsi:type="dcterms:W3CDTF">2019-03-25T11:07:00Z</dcterms:modified>
</cp:coreProperties>
</file>