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:rsidRPr="001D2542" w:rsidTr="008E028F">
        <w:trPr>
          <w:cantSplit/>
          <w:trHeight w:val="1141"/>
        </w:trPr>
        <w:tc>
          <w:tcPr>
            <w:tcW w:w="6804" w:type="dxa"/>
          </w:tcPr>
          <w:p w:rsidR="00175C4C" w:rsidRPr="001D2542" w:rsidRDefault="00175C4C" w:rsidP="008E028F">
            <w:pPr>
              <w:spacing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D2542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 w:rsidRPr="001D2542"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1D2542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 w:rsidRPr="001D2542"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75C4C" w:rsidRPr="001D2542" w:rsidRDefault="00175C4C" w:rsidP="00C9374B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1D2542">
              <w:rPr>
                <w:b/>
                <w:bCs/>
                <w:szCs w:val="24"/>
                <w:lang w:val="fr-CH" w:eastAsia="zh-CN"/>
              </w:rPr>
              <w:t>第</w:t>
            </w:r>
            <w:r w:rsidRPr="001D2542">
              <w:rPr>
                <w:b/>
                <w:bCs/>
                <w:szCs w:val="24"/>
                <w:lang w:val="fr-CH" w:eastAsia="zh-CN"/>
              </w:rPr>
              <w:t>24</w:t>
            </w:r>
            <w:r w:rsidRPr="001D2542">
              <w:rPr>
                <w:b/>
                <w:bCs/>
                <w:szCs w:val="24"/>
                <w:lang w:val="fr-CH" w:eastAsia="zh-CN"/>
              </w:rPr>
              <w:t>次会议，</w:t>
            </w:r>
            <w:r w:rsidRPr="001D2542">
              <w:rPr>
                <w:b/>
                <w:bCs/>
                <w:szCs w:val="24"/>
                <w:lang w:val="fr-CH" w:eastAsia="zh-CN"/>
              </w:rPr>
              <w:t>2019</w:t>
            </w:r>
            <w:r w:rsidRPr="001D2542">
              <w:rPr>
                <w:b/>
                <w:bCs/>
                <w:szCs w:val="24"/>
                <w:lang w:val="fr-CH" w:eastAsia="zh-CN"/>
              </w:rPr>
              <w:t>年</w:t>
            </w:r>
            <w:r w:rsidRPr="001D2542">
              <w:rPr>
                <w:b/>
                <w:bCs/>
                <w:szCs w:val="24"/>
                <w:lang w:val="fr-CH" w:eastAsia="zh-CN"/>
              </w:rPr>
              <w:t>4</w:t>
            </w:r>
            <w:r w:rsidRPr="001D2542">
              <w:rPr>
                <w:b/>
                <w:bCs/>
                <w:szCs w:val="24"/>
                <w:lang w:val="fr-CH" w:eastAsia="zh-CN"/>
              </w:rPr>
              <w:t>月</w:t>
            </w:r>
            <w:r w:rsidRPr="001D2542">
              <w:rPr>
                <w:b/>
                <w:bCs/>
                <w:szCs w:val="24"/>
                <w:lang w:eastAsia="zh-CN"/>
              </w:rPr>
              <w:t>3-5</w:t>
            </w:r>
            <w:r w:rsidRPr="001D2542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75C4C" w:rsidRPr="001D2542" w:rsidRDefault="00175C4C" w:rsidP="00C9374B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1D2542">
              <w:rPr>
                <w:noProof/>
                <w:color w:val="3399FF"/>
                <w:lang w:eastAsia="zh-CN"/>
              </w:rPr>
              <w:drawing>
                <wp:inline distT="0" distB="0" distL="0" distR="0" wp14:anchorId="63E69CB3" wp14:editId="2116785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1D2542" w:rsidTr="00C9374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175C4C" w:rsidRPr="001D2542" w:rsidRDefault="00175C4C" w:rsidP="00C9374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175C4C" w:rsidRPr="001D2542" w:rsidRDefault="00175C4C" w:rsidP="00C9374B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1D2542" w:rsidTr="00C9374B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1D2542" w:rsidRDefault="00175C4C" w:rsidP="00ED1724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175C4C" w:rsidRPr="001D2542" w:rsidRDefault="00175C4C" w:rsidP="00C937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D2542"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1D2542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1D2542">
              <w:rPr>
                <w:b/>
                <w:bCs/>
                <w:szCs w:val="24"/>
                <w:lang w:val="es-ES_tradnl"/>
              </w:rPr>
              <w:t>TDAG-19/</w:t>
            </w:r>
            <w:r w:rsidR="00F82898">
              <w:rPr>
                <w:b/>
                <w:bCs/>
                <w:szCs w:val="24"/>
                <w:lang w:val="es-ES_tradnl"/>
              </w:rPr>
              <w:t>21</w:t>
            </w:r>
            <w:r w:rsidRPr="001D2542">
              <w:rPr>
                <w:b/>
                <w:bCs/>
                <w:szCs w:val="24"/>
                <w:lang w:val="es-ES_tradnl"/>
              </w:rPr>
              <w:t>-C</w:t>
            </w:r>
          </w:p>
        </w:tc>
      </w:tr>
      <w:tr w:rsidR="00175C4C" w:rsidRPr="001D2542" w:rsidTr="00C9374B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1D2542" w:rsidRDefault="00175C4C" w:rsidP="00C937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175C4C" w:rsidRPr="001D2542" w:rsidRDefault="00175C4C" w:rsidP="00F82898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1D2542">
              <w:rPr>
                <w:b/>
                <w:bCs/>
                <w:szCs w:val="24"/>
                <w:lang w:val="fr-FR"/>
              </w:rPr>
              <w:t>2019</w:t>
            </w:r>
            <w:r w:rsidRPr="001D2542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F82898">
              <w:rPr>
                <w:b/>
                <w:bCs/>
                <w:szCs w:val="24"/>
                <w:lang w:val="fr-FR" w:eastAsia="zh-CN"/>
              </w:rPr>
              <w:t>2</w:t>
            </w:r>
            <w:r w:rsidRPr="001D2542">
              <w:rPr>
                <w:b/>
                <w:bCs/>
                <w:szCs w:val="24"/>
                <w:lang w:val="fr-FR" w:eastAsia="zh-CN"/>
              </w:rPr>
              <w:t>月</w:t>
            </w:r>
            <w:r w:rsidR="00F82898">
              <w:rPr>
                <w:b/>
                <w:bCs/>
                <w:szCs w:val="24"/>
                <w:lang w:val="fr-FR" w:eastAsia="zh-CN"/>
              </w:rPr>
              <w:t>19</w:t>
            </w:r>
            <w:r w:rsidRPr="001D2542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1D2542" w:rsidTr="00C9374B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1D2542" w:rsidRDefault="00175C4C" w:rsidP="00C937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175C4C" w:rsidRPr="001D2542" w:rsidRDefault="00175C4C" w:rsidP="00C9374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1D2542"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 w:rsidRPr="001D2542">
              <w:rPr>
                <w:b/>
                <w:bCs/>
                <w:szCs w:val="24"/>
                <w:lang w:val="fr-FR" w:eastAsia="zh-CN"/>
              </w:rPr>
              <w:t>：</w:t>
            </w:r>
            <w:r w:rsidRPr="001D2542"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8E2D9B" w:rsidRPr="001D2542" w:rsidTr="00C9374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E2D9B" w:rsidRPr="00DE4507" w:rsidRDefault="00181ADD" w:rsidP="008E2D9B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r w:rsidRPr="00DE4507">
              <w:rPr>
                <w:rFonts w:hint="eastAsia"/>
                <w:sz w:val="28"/>
                <w:szCs w:val="28"/>
                <w:lang w:eastAsia="zh-CN"/>
              </w:rPr>
              <w:t>电</w:t>
            </w:r>
            <w:r w:rsidRPr="00DE4507">
              <w:rPr>
                <w:sz w:val="28"/>
                <w:szCs w:val="28"/>
                <w:lang w:eastAsia="zh-CN"/>
              </w:rPr>
              <w:t>信发展局主任</w:t>
            </w:r>
          </w:p>
        </w:tc>
      </w:tr>
      <w:tr w:rsidR="008E2D9B" w:rsidRPr="001D2542" w:rsidTr="00C9374B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8E2D9B" w:rsidRPr="00DE4507" w:rsidRDefault="00F82898" w:rsidP="00984DE2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8"/>
                <w:lang w:eastAsia="zh-CN"/>
              </w:rPr>
            </w:pPr>
            <w:r w:rsidRPr="00F82898">
              <w:rPr>
                <w:b w:val="0"/>
                <w:bCs/>
                <w:sz w:val="28"/>
                <w:szCs w:val="28"/>
                <w:lang w:eastAsia="zh-CN"/>
              </w:rPr>
              <w:t>ITU-D</w:t>
            </w:r>
            <w:r w:rsidR="00862E0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的伙伴关系</w:t>
            </w:r>
            <w:r w:rsidRPr="00F82898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和资源筹措</w:t>
            </w:r>
          </w:p>
        </w:tc>
      </w:tr>
      <w:tr w:rsidR="00175C4C" w:rsidRPr="001D2542" w:rsidTr="00C9374B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5C4C" w:rsidRPr="001D2542" w:rsidRDefault="00175C4C" w:rsidP="00175C4C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175C4C" w:rsidRPr="001D2542" w:rsidTr="00C9374B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74B" w:rsidRPr="005B29F3" w:rsidRDefault="00C9374B" w:rsidP="00F8289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:rsidR="00F82898" w:rsidRPr="00D51B20" w:rsidRDefault="00F82898" w:rsidP="00F82898">
            <w:pPr>
              <w:ind w:firstLineChars="200" w:firstLine="480"/>
              <w:rPr>
                <w:szCs w:val="24"/>
                <w:lang w:eastAsia="zh-CN"/>
              </w:rPr>
            </w:pPr>
            <w:r w:rsidRPr="00F82898">
              <w:rPr>
                <w:szCs w:val="24"/>
                <w:lang w:eastAsia="zh-CN"/>
              </w:rPr>
              <w:t>2017</w:t>
            </w:r>
            <w:r w:rsidRPr="00F82898">
              <w:rPr>
                <w:rFonts w:hint="eastAsia"/>
                <w:szCs w:val="24"/>
                <w:lang w:eastAsia="zh-CN"/>
              </w:rPr>
              <w:t>年世界电信发展大会（</w:t>
            </w:r>
            <w:r w:rsidRPr="00F82898">
              <w:rPr>
                <w:szCs w:val="24"/>
                <w:lang w:eastAsia="zh-CN"/>
              </w:rPr>
              <w:t>WTDC-17</w:t>
            </w:r>
            <w:r w:rsidRPr="00F82898">
              <w:rPr>
                <w:rFonts w:hint="eastAsia"/>
                <w:szCs w:val="24"/>
                <w:lang w:eastAsia="zh-CN"/>
              </w:rPr>
              <w:t>）强调了伙伴关系和资源筹措的重要性。本文件概述了主要目标、围绕基于结果的管理开展的行动，以及未来在加强伙伴关系和资源筹措方面的发展方向。</w:t>
            </w:r>
          </w:p>
          <w:p w:rsidR="00C9374B" w:rsidRPr="005B29F3" w:rsidRDefault="00C9374B" w:rsidP="00F82898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:rsidR="00C9374B" w:rsidRPr="005B29F3" w:rsidRDefault="00F82898" w:rsidP="00F82898">
            <w:pPr>
              <w:ind w:firstLineChars="200" w:firstLine="480"/>
              <w:rPr>
                <w:b/>
                <w:bCs/>
                <w:lang w:eastAsia="zh-CN"/>
              </w:rPr>
            </w:pPr>
            <w:r w:rsidRPr="00F82898">
              <w:rPr>
                <w:rFonts w:hint="eastAsia"/>
                <w:szCs w:val="24"/>
                <w:lang w:eastAsia="zh-CN"/>
              </w:rPr>
              <w:t>请电信发展顾问组（</w:t>
            </w:r>
            <w:r w:rsidRPr="00F82898">
              <w:rPr>
                <w:szCs w:val="24"/>
                <w:lang w:eastAsia="zh-CN"/>
              </w:rPr>
              <w:t>TDAG</w:t>
            </w:r>
            <w:r w:rsidRPr="00F82898">
              <w:rPr>
                <w:rFonts w:hint="eastAsia"/>
                <w:szCs w:val="24"/>
                <w:lang w:eastAsia="zh-CN"/>
              </w:rPr>
              <w:t>）将本报告记录在案并酌情提供指导。</w:t>
            </w:r>
          </w:p>
          <w:p w:rsidR="00C9374B" w:rsidRPr="005B29F3" w:rsidRDefault="00C9374B" w:rsidP="00F82898">
            <w:pPr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5B29F3">
              <w:rPr>
                <w:b/>
                <w:bCs/>
                <w:lang w:eastAsia="zh-CN"/>
              </w:rPr>
              <w:t>：</w:t>
            </w:r>
          </w:p>
          <w:p w:rsidR="00F82898" w:rsidRPr="00F82898" w:rsidRDefault="00EF7D67" w:rsidP="00196EFF">
            <w:pPr>
              <w:spacing w:after="120"/>
              <w:rPr>
                <w:szCs w:val="24"/>
                <w:lang w:eastAsia="zh-CN"/>
              </w:rPr>
            </w:pPr>
            <w:r>
              <w:rPr>
                <w:color w:val="000000"/>
                <w:lang w:eastAsia="zh-CN"/>
              </w:rPr>
              <w:t>全权代表大</w:t>
            </w:r>
            <w:r>
              <w:rPr>
                <w:rFonts w:ascii="SimSun" w:eastAsia="SimSun" w:hAnsi="SimSun" w:cs="SimSun" w:hint="eastAsia"/>
                <w:color w:val="000000"/>
                <w:lang w:eastAsia="zh-CN"/>
              </w:rPr>
              <w:t>会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F82898" w:rsidRPr="00F82898">
              <w:rPr>
                <w:szCs w:val="24"/>
                <w:lang w:eastAsia="zh-CN"/>
              </w:rPr>
              <w:t>71</w:t>
            </w:r>
            <w:r>
              <w:rPr>
                <w:rFonts w:hint="eastAsia"/>
                <w:szCs w:val="24"/>
                <w:lang w:eastAsia="zh-CN"/>
              </w:rPr>
              <w:t>号决议</w:t>
            </w:r>
            <w:r w:rsidR="000F2D39"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eastAsia="zh-CN"/>
              </w:rPr>
              <w:t>附件</w:t>
            </w:r>
            <w:r>
              <w:rPr>
                <w:szCs w:val="24"/>
                <w:lang w:eastAsia="zh-CN"/>
              </w:rPr>
              <w:t>1</w:t>
            </w:r>
            <w:r w:rsidR="000F2D39"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eastAsia="zh-CN"/>
              </w:rPr>
              <w:t>总体目标</w:t>
            </w:r>
            <w:r>
              <w:rPr>
                <w:szCs w:val="24"/>
                <w:lang w:eastAsia="zh-CN"/>
              </w:rPr>
              <w:t>5</w:t>
            </w:r>
            <w:r w:rsidR="000F2D39"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eastAsia="zh-CN"/>
              </w:rPr>
              <w:t>成果</w:t>
            </w:r>
            <w:r w:rsidR="00F82898" w:rsidRPr="00F82898">
              <w:rPr>
                <w:szCs w:val="24"/>
                <w:lang w:eastAsia="zh-CN"/>
              </w:rPr>
              <w:t>D.1.e</w:t>
            </w:r>
            <w:r w:rsidR="000F2D39">
              <w:rPr>
                <w:szCs w:val="24"/>
                <w:lang w:eastAsia="zh-CN"/>
              </w:rPr>
              <w:t>；</w:t>
            </w:r>
          </w:p>
          <w:p w:rsidR="008E2D9B" w:rsidRPr="00EF7D67" w:rsidRDefault="00704705" w:rsidP="00196EFF">
            <w:pPr>
              <w:spacing w:after="120"/>
              <w:rPr>
                <w:lang w:eastAsia="zh-CN"/>
              </w:rPr>
            </w:pPr>
            <w:hyperlink r:id="rId9" w:history="1">
              <w:r w:rsidR="00EF7D67" w:rsidRPr="00EF7D67">
                <w:rPr>
                  <w:rStyle w:val="Hyperlink"/>
                  <w:color w:val="auto"/>
                  <w:u w:val="none"/>
                  <w:lang w:eastAsia="zh-CN"/>
                </w:rPr>
                <w:t>WTDC</w:t>
              </w:r>
              <w:r w:rsidR="00EF7D67" w:rsidRPr="00EF7D67">
                <w:rPr>
                  <w:rStyle w:val="Hyperlink"/>
                  <w:rFonts w:hint="eastAsia"/>
                  <w:color w:val="auto"/>
                  <w:u w:val="none"/>
                  <w:lang w:eastAsia="zh-CN"/>
                </w:rPr>
                <w:t>第</w:t>
              </w:r>
              <w:r w:rsidR="00EF7D67" w:rsidRPr="00EF7D67">
                <w:rPr>
                  <w:rStyle w:val="Hyperlink"/>
                  <w:color w:val="auto"/>
                  <w:u w:val="none"/>
                  <w:lang w:eastAsia="zh-CN"/>
                </w:rPr>
                <w:t>17</w:t>
              </w:r>
              <w:r w:rsidR="00EF7D67" w:rsidRPr="00EF7D67">
                <w:rPr>
                  <w:rStyle w:val="Hyperlink"/>
                  <w:rFonts w:hint="eastAsia"/>
                  <w:color w:val="auto"/>
                  <w:u w:val="none"/>
                  <w:lang w:eastAsia="zh-CN"/>
                </w:rPr>
                <w:t>号决议（</w:t>
              </w:r>
              <w:r w:rsidR="00EF7D67" w:rsidRPr="00EF7D67">
                <w:rPr>
                  <w:rStyle w:val="Hyperlink"/>
                  <w:color w:val="auto"/>
                  <w:u w:val="none"/>
                  <w:lang w:eastAsia="zh-CN"/>
                </w:rPr>
                <w:t>2017</w:t>
              </w:r>
              <w:r w:rsidR="00EF7D67" w:rsidRPr="00EF7D67">
                <w:rPr>
                  <w:rStyle w:val="Hyperlink"/>
                  <w:rFonts w:hint="eastAsia"/>
                  <w:color w:val="auto"/>
                  <w:u w:val="none"/>
                  <w:lang w:eastAsia="zh-CN"/>
                </w:rPr>
                <w:t>年，布宜诺斯艾利斯，修订版）</w:t>
              </w:r>
            </w:hyperlink>
            <w:r w:rsidR="00EF7D67" w:rsidRPr="00EF7D67">
              <w:rPr>
                <w:rFonts w:hint="eastAsia"/>
                <w:lang w:eastAsia="zh-CN"/>
              </w:rPr>
              <w:t>；</w:t>
            </w:r>
            <w:hyperlink r:id="rId10" w:history="1">
              <w:r w:rsidR="00EF7D67" w:rsidRPr="00EF7D67">
                <w:rPr>
                  <w:rStyle w:val="Hyperlink"/>
                  <w:color w:val="auto"/>
                  <w:szCs w:val="24"/>
                  <w:u w:val="none"/>
                  <w:lang w:val="en-US" w:eastAsia="zh-CN"/>
                </w:rPr>
                <w:t>WTDC</w:t>
              </w:r>
              <w:r w:rsidR="00EF7D67" w:rsidRPr="00EF7D67">
                <w:rPr>
                  <w:rStyle w:val="Hyperlink"/>
                  <w:rFonts w:hint="eastAsia"/>
                  <w:color w:val="auto"/>
                  <w:szCs w:val="24"/>
                  <w:u w:val="none"/>
                  <w:lang w:val="en-US" w:eastAsia="zh-CN"/>
                </w:rPr>
                <w:t>第</w:t>
              </w:r>
              <w:r w:rsidR="00EF7D67" w:rsidRPr="00EF7D67">
                <w:rPr>
                  <w:rStyle w:val="Hyperlink"/>
                  <w:color w:val="auto"/>
                  <w:szCs w:val="24"/>
                  <w:u w:val="none"/>
                  <w:lang w:val="en-US" w:eastAsia="zh-CN"/>
                </w:rPr>
                <w:t>71</w:t>
              </w:r>
              <w:r w:rsidR="00EF7D67" w:rsidRPr="00EF7D67">
                <w:rPr>
                  <w:rStyle w:val="Hyperlink"/>
                  <w:rFonts w:hint="eastAsia"/>
                  <w:color w:val="auto"/>
                  <w:szCs w:val="24"/>
                  <w:u w:val="none"/>
                  <w:lang w:val="en-US" w:eastAsia="zh-CN"/>
                </w:rPr>
                <w:t>号决议（</w:t>
              </w:r>
              <w:r w:rsidR="00EF7D67" w:rsidRPr="00EF7D67">
                <w:rPr>
                  <w:rStyle w:val="Hyperlink"/>
                  <w:color w:val="auto"/>
                  <w:szCs w:val="24"/>
                  <w:u w:val="none"/>
                  <w:lang w:val="en-US" w:eastAsia="zh-CN"/>
                </w:rPr>
                <w:t>2017</w:t>
              </w:r>
              <w:r w:rsidR="00EF7D67" w:rsidRPr="00EF7D67">
                <w:rPr>
                  <w:rStyle w:val="Hyperlink"/>
                  <w:rFonts w:hint="eastAsia"/>
                  <w:color w:val="auto"/>
                  <w:szCs w:val="24"/>
                  <w:u w:val="none"/>
                  <w:lang w:val="en-US" w:eastAsia="zh-CN"/>
                </w:rPr>
                <w:t>年，布宜诺斯艾利斯，修订版）</w:t>
              </w:r>
            </w:hyperlink>
          </w:p>
        </w:tc>
      </w:tr>
      <w:bookmarkEnd w:id="7"/>
      <w:bookmarkEnd w:id="8"/>
    </w:tbl>
    <w:p w:rsidR="00F76B8F" w:rsidRDefault="00174D96" w:rsidP="00C76187">
      <w:pPr>
        <w:pStyle w:val="BDTcontributionH1"/>
        <w:rPr>
          <w:rFonts w:asciiTheme="minorHAnsi" w:eastAsiaTheme="minorEastAsia" w:hAnsiTheme="minorHAnsi" w:cstheme="minorHAnsi"/>
          <w:sz w:val="24"/>
          <w:szCs w:val="24"/>
          <w:lang w:val="en-US" w:eastAsia="zh-CN"/>
        </w:rPr>
      </w:pPr>
      <w:r w:rsidRPr="00F76B8F">
        <w:rPr>
          <w:rFonts w:asciiTheme="minorHAnsi" w:eastAsiaTheme="minorEastAsia" w:hAnsiTheme="minorHAnsi" w:cstheme="minorHAnsi"/>
          <w:sz w:val="24"/>
          <w:szCs w:val="24"/>
          <w:lang w:eastAsia="zh-CN"/>
        </w:rPr>
        <w:br w:type="page"/>
      </w:r>
    </w:p>
    <w:p w:rsidR="00C76187" w:rsidRPr="00A40542" w:rsidRDefault="00F76B8F" w:rsidP="00196EFF">
      <w:pPr>
        <w:pStyle w:val="Heading1"/>
        <w:rPr>
          <w:lang w:val="en-US" w:eastAsia="zh-CN"/>
        </w:rPr>
      </w:pPr>
      <w:r w:rsidRPr="00A40542">
        <w:rPr>
          <w:lang w:val="en-US" w:eastAsia="zh-CN"/>
        </w:rPr>
        <w:lastRenderedPageBreak/>
        <w:t>1</w:t>
      </w:r>
      <w:r w:rsidR="00C76187" w:rsidRPr="00A40542">
        <w:rPr>
          <w:lang w:val="en-US" w:eastAsia="zh-CN"/>
        </w:rPr>
        <w:tab/>
      </w:r>
      <w:r w:rsidR="00C76187" w:rsidRPr="00A40542">
        <w:rPr>
          <w:rFonts w:hint="eastAsia"/>
          <w:lang w:val="en-US" w:eastAsia="zh-CN"/>
        </w:rPr>
        <w:t>背景</w:t>
      </w:r>
    </w:p>
    <w:p w:rsidR="00F82898" w:rsidRPr="007F1A2A" w:rsidRDefault="00F76B8F" w:rsidP="00196EFF">
      <w:pPr>
        <w:ind w:firstLineChars="200" w:firstLine="480"/>
        <w:rPr>
          <w:lang w:val="en-US" w:eastAsia="zh-CN"/>
        </w:rPr>
      </w:pPr>
      <w:bookmarkStart w:id="9" w:name="lt_pId031"/>
      <w:r w:rsidRPr="00F76B8F">
        <w:rPr>
          <w:lang w:val="en-US" w:eastAsia="zh-CN"/>
        </w:rPr>
        <w:t>2017</w:t>
      </w:r>
      <w:r w:rsidRPr="00F76B8F">
        <w:rPr>
          <w:rFonts w:hint="eastAsia"/>
          <w:lang w:val="en-US" w:eastAsia="zh-CN"/>
        </w:rPr>
        <w:t>年</w:t>
      </w:r>
      <w:r w:rsidRPr="00F76B8F">
        <w:rPr>
          <w:lang w:val="en-US" w:eastAsia="zh-CN"/>
        </w:rPr>
        <w:t>世界</w:t>
      </w:r>
      <w:r w:rsidRPr="00F76B8F">
        <w:rPr>
          <w:rFonts w:hint="eastAsia"/>
          <w:lang w:val="en-US" w:eastAsia="zh-CN"/>
        </w:rPr>
        <w:t>电</w:t>
      </w:r>
      <w:r w:rsidRPr="00F76B8F">
        <w:rPr>
          <w:lang w:val="en-US" w:eastAsia="zh-CN"/>
        </w:rPr>
        <w:t>信发展大会（</w:t>
      </w:r>
      <w:r w:rsidRPr="00F76B8F">
        <w:rPr>
          <w:lang w:val="en-US" w:eastAsia="zh-CN"/>
        </w:rPr>
        <w:t>WTDC-17</w:t>
      </w:r>
      <w:r w:rsidRPr="00F76B8F">
        <w:rPr>
          <w:rFonts w:hint="eastAsia"/>
          <w:lang w:val="en-US" w:eastAsia="zh-CN"/>
        </w:rPr>
        <w:t>）强调</w:t>
      </w:r>
      <w:r w:rsidRPr="00F76B8F">
        <w:rPr>
          <w:lang w:val="en-US" w:eastAsia="zh-CN"/>
        </w:rPr>
        <w:t>了伙伴关系</w:t>
      </w:r>
      <w:r w:rsidRPr="00F76B8F">
        <w:rPr>
          <w:rFonts w:hint="eastAsia"/>
          <w:lang w:val="en-US" w:eastAsia="zh-CN"/>
        </w:rPr>
        <w:t>、协</w:t>
      </w:r>
      <w:r w:rsidRPr="00F76B8F">
        <w:rPr>
          <w:lang w:val="en-US" w:eastAsia="zh-CN"/>
        </w:rPr>
        <w:t>作以及资源筹措</w:t>
      </w:r>
      <w:r w:rsidR="004A0832">
        <w:rPr>
          <w:rFonts w:hint="eastAsia"/>
          <w:lang w:val="en-US" w:eastAsia="zh-CN"/>
        </w:rPr>
        <w:t>在</w:t>
      </w:r>
      <w:r w:rsidR="004A0832" w:rsidRPr="00F76B8F">
        <w:rPr>
          <w:rFonts w:hint="eastAsia"/>
          <w:lang w:val="en-US" w:eastAsia="zh-CN"/>
        </w:rPr>
        <w:t>支持实施</w:t>
      </w:r>
      <w:r w:rsidR="004A0832" w:rsidRPr="00F76B8F">
        <w:rPr>
          <w:lang w:val="en-US" w:eastAsia="zh-CN"/>
        </w:rPr>
        <w:t>《</w:t>
      </w:r>
      <w:r w:rsidR="004A0832" w:rsidRPr="00F76B8F">
        <w:rPr>
          <w:rFonts w:hint="eastAsia"/>
          <w:lang w:val="en-US" w:eastAsia="zh-CN"/>
        </w:rPr>
        <w:t>布</w:t>
      </w:r>
      <w:r w:rsidR="004A0832" w:rsidRPr="00F76B8F">
        <w:rPr>
          <w:lang w:val="en-US" w:eastAsia="zh-CN"/>
        </w:rPr>
        <w:t>宜诺斯艾利斯行动计划》</w:t>
      </w:r>
      <w:r w:rsidR="004A0832" w:rsidRPr="00F76B8F">
        <w:rPr>
          <w:rFonts w:hint="eastAsia"/>
          <w:lang w:val="en-US" w:eastAsia="zh-CN"/>
        </w:rPr>
        <w:t>（</w:t>
      </w:r>
      <w:r w:rsidR="004A0832">
        <w:rPr>
          <w:rFonts w:hint="eastAsia"/>
          <w:lang w:val="en-US" w:eastAsia="zh-CN"/>
        </w:rPr>
        <w:t>包括</w:t>
      </w:r>
      <w:r w:rsidR="004A0832" w:rsidRPr="00F76B8F">
        <w:rPr>
          <w:rFonts w:hint="eastAsia"/>
          <w:lang w:val="en-US" w:eastAsia="zh-CN"/>
        </w:rPr>
        <w:t>电信发展局运作规划、项目和区域性举措）</w:t>
      </w:r>
      <w:r w:rsidR="004A0832">
        <w:rPr>
          <w:rFonts w:hint="eastAsia"/>
          <w:lang w:val="en-US" w:eastAsia="zh-CN"/>
        </w:rPr>
        <w:t>、</w:t>
      </w:r>
      <w:r w:rsidR="004A0832" w:rsidRPr="00F76B8F">
        <w:rPr>
          <w:lang w:val="en-US" w:eastAsia="zh-CN"/>
        </w:rPr>
        <w:t>信息社会世界峰会（</w:t>
      </w:r>
      <w:r w:rsidR="004A0832" w:rsidRPr="00F76B8F">
        <w:rPr>
          <w:lang w:val="en-US" w:eastAsia="zh-CN"/>
        </w:rPr>
        <w:t>WSIS</w:t>
      </w:r>
      <w:r w:rsidR="004A0832" w:rsidRPr="00F76B8F">
        <w:rPr>
          <w:lang w:val="en-US" w:eastAsia="zh-CN"/>
        </w:rPr>
        <w:t>）</w:t>
      </w:r>
      <w:r w:rsidR="004A0832" w:rsidRPr="00F76B8F">
        <w:rPr>
          <w:rFonts w:hint="eastAsia"/>
          <w:lang w:val="en-US" w:eastAsia="zh-CN"/>
        </w:rPr>
        <w:t>行动方面</w:t>
      </w:r>
      <w:r w:rsidR="004A0832">
        <w:rPr>
          <w:rFonts w:hint="eastAsia"/>
          <w:lang w:val="en-US" w:eastAsia="zh-CN"/>
        </w:rPr>
        <w:t>和</w:t>
      </w:r>
      <w:r w:rsidR="00234B23" w:rsidRPr="00F76B8F">
        <w:rPr>
          <w:rFonts w:hint="eastAsia"/>
          <w:lang w:val="en-US" w:eastAsia="zh-CN"/>
        </w:rPr>
        <w:t>可持续发展目标（</w:t>
      </w:r>
      <w:r w:rsidR="00234B23" w:rsidRPr="00F76B8F">
        <w:rPr>
          <w:lang w:val="en-US" w:eastAsia="zh-CN"/>
        </w:rPr>
        <w:t>SDG</w:t>
      </w:r>
      <w:r w:rsidR="00234B23" w:rsidRPr="00F76B8F">
        <w:rPr>
          <w:rFonts w:hint="eastAsia"/>
          <w:lang w:val="en-US" w:eastAsia="zh-CN"/>
        </w:rPr>
        <w:t>）</w:t>
      </w:r>
      <w:r w:rsidR="00234B23">
        <w:rPr>
          <w:rFonts w:hint="eastAsia"/>
          <w:lang w:val="en-US" w:eastAsia="zh-CN"/>
        </w:rPr>
        <w:t>方面</w:t>
      </w:r>
      <w:r w:rsidRPr="00F76B8F">
        <w:rPr>
          <w:lang w:val="en-US" w:eastAsia="zh-CN"/>
        </w:rPr>
        <w:t>的关键</w:t>
      </w:r>
      <w:r w:rsidRPr="00F76B8F">
        <w:rPr>
          <w:rFonts w:hint="eastAsia"/>
          <w:lang w:val="en-US" w:eastAsia="zh-CN"/>
        </w:rPr>
        <w:t>作用</w:t>
      </w:r>
      <w:bookmarkEnd w:id="9"/>
      <w:r w:rsidR="00234B23">
        <w:rPr>
          <w:rFonts w:hint="eastAsia"/>
          <w:lang w:val="en-US" w:eastAsia="zh-CN"/>
        </w:rPr>
        <w:t>，特别是在</w:t>
      </w:r>
      <w:r w:rsidR="00234B23">
        <w:rPr>
          <w:rFonts w:hint="eastAsia"/>
          <w:lang w:val="en-US" w:eastAsia="zh-CN"/>
        </w:rPr>
        <w:t>SDG17</w:t>
      </w:r>
      <w:r w:rsidR="00234B23">
        <w:rPr>
          <w:rFonts w:hint="eastAsia"/>
          <w:lang w:val="en-US" w:eastAsia="zh-CN"/>
        </w:rPr>
        <w:t>方面的作用。</w:t>
      </w:r>
    </w:p>
    <w:p w:rsidR="00F76B8F" w:rsidRDefault="00F76B8F" w:rsidP="00196EFF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WTDC-17</w:t>
      </w:r>
      <w:r>
        <w:rPr>
          <w:rFonts w:hint="eastAsia"/>
          <w:lang w:val="en-US" w:eastAsia="zh-CN"/>
        </w:rPr>
        <w:t>行动</w:t>
      </w:r>
      <w:r>
        <w:rPr>
          <w:lang w:val="en-US" w:eastAsia="zh-CN"/>
        </w:rPr>
        <w:t>计划</w:t>
      </w:r>
      <w:r>
        <w:rPr>
          <w:rFonts w:hint="eastAsia"/>
          <w:lang w:val="en-US" w:eastAsia="zh-CN"/>
        </w:rPr>
        <w:t>表明</w:t>
      </w:r>
      <w:r>
        <w:rPr>
          <w:lang w:val="en-US" w:eastAsia="zh-CN"/>
        </w:rPr>
        <w:t>，在可能的情况下，应通过与其它组织和利益攸关方（包括部门成员、学术界、非</w:t>
      </w:r>
      <w:r>
        <w:rPr>
          <w:rFonts w:hint="eastAsia"/>
          <w:lang w:val="en-US" w:eastAsia="zh-CN"/>
        </w:rPr>
        <w:t>政府</w:t>
      </w:r>
      <w:r>
        <w:rPr>
          <w:lang w:val="en-US" w:eastAsia="zh-CN"/>
        </w:rPr>
        <w:t>组织、其它联合国机构和网络）的合作实施各项目，以便充分利用根据各项目开发的产品和服务产生的影响</w:t>
      </w:r>
      <w:r>
        <w:rPr>
          <w:rFonts w:hint="eastAsia"/>
          <w:lang w:val="en-US" w:eastAsia="zh-CN"/>
        </w:rPr>
        <w:t>。进一步来说，</w:t>
      </w:r>
      <w:r w:rsidRPr="00C94C59">
        <w:rPr>
          <w:rFonts w:ascii="SimSun" w:eastAsia="SimSun" w:hAnsi="SimSun"/>
          <w:lang w:val="en-US" w:eastAsia="zh-CN"/>
        </w:rPr>
        <w:t>“</w:t>
      </w:r>
      <w:r>
        <w:rPr>
          <w:lang w:val="en-US" w:eastAsia="zh-CN"/>
        </w:rPr>
        <w:t>各区域性举措则</w:t>
      </w:r>
      <w:r>
        <w:rPr>
          <w:rFonts w:hint="eastAsia"/>
          <w:lang w:val="en-US" w:eastAsia="zh-CN"/>
        </w:rPr>
        <w:t>旨在</w:t>
      </w:r>
      <w:r>
        <w:rPr>
          <w:lang w:val="en-US" w:eastAsia="zh-CN"/>
        </w:rPr>
        <w:t>解决具体的电信</w:t>
      </w:r>
      <w:r>
        <w:rPr>
          <w:rFonts w:hint="eastAsia"/>
          <w:lang w:val="en-US" w:eastAsia="zh-CN"/>
        </w:rPr>
        <w:t>/</w:t>
      </w:r>
      <w:r w:rsidR="0065034D" w:rsidRPr="004F0D73">
        <w:rPr>
          <w:rFonts w:cstheme="minorHAnsi"/>
          <w:lang w:eastAsia="zh-CN"/>
        </w:rPr>
        <w:t>信息通信技术</w:t>
      </w:r>
      <w:r w:rsidR="0065034D">
        <w:rPr>
          <w:rFonts w:cstheme="minorHAnsi" w:hint="eastAsia"/>
          <w:lang w:eastAsia="zh-CN"/>
        </w:rPr>
        <w:t>（</w:t>
      </w:r>
      <w:r w:rsidR="0065034D">
        <w:rPr>
          <w:rFonts w:cstheme="minorHAnsi" w:hint="eastAsia"/>
          <w:lang w:eastAsia="zh-CN"/>
        </w:rPr>
        <w:t>I</w:t>
      </w:r>
      <w:r>
        <w:rPr>
          <w:lang w:val="en-US" w:eastAsia="zh-CN"/>
        </w:rPr>
        <w:t>CT</w:t>
      </w:r>
      <w:r w:rsidR="0065034D">
        <w:rPr>
          <w:rFonts w:hint="eastAsia"/>
          <w:lang w:val="en-US" w:eastAsia="zh-CN"/>
        </w:rPr>
        <w:t>）</w:t>
      </w:r>
      <w:r>
        <w:rPr>
          <w:lang w:val="en-US" w:eastAsia="zh-CN"/>
        </w:rPr>
        <w:t>优先</w:t>
      </w:r>
      <w:r>
        <w:rPr>
          <w:rFonts w:hint="eastAsia"/>
          <w:lang w:val="en-US" w:eastAsia="zh-CN"/>
        </w:rPr>
        <w:t>问题</w:t>
      </w:r>
      <w:r>
        <w:rPr>
          <w:lang w:val="en-US" w:eastAsia="zh-CN"/>
        </w:rPr>
        <w:t>，通过伙伴关系和资源筹措实施项目。</w:t>
      </w:r>
      <w:r w:rsidRPr="00C94C59">
        <w:rPr>
          <w:rFonts w:ascii="SimSun" w:eastAsia="SimSun" w:hAnsi="SimSun"/>
          <w:lang w:val="en-US" w:eastAsia="zh-CN"/>
        </w:rPr>
        <w:t>”</w:t>
      </w:r>
    </w:p>
    <w:p w:rsidR="00F76B8F" w:rsidRDefault="00F76B8F" w:rsidP="00196EFF">
      <w:pPr>
        <w:ind w:firstLineChars="200" w:firstLine="480"/>
        <w:rPr>
          <w:lang w:val="en-US" w:eastAsia="zh-CN"/>
        </w:rPr>
      </w:pPr>
      <w:bookmarkStart w:id="10" w:name="lt_pId034"/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决议做出决议，</w:t>
      </w:r>
      <w:r w:rsidRPr="00C94C59">
        <w:rPr>
          <w:rFonts w:ascii="SimSun" w:eastAsia="SimSun" w:hAnsi="SimSun"/>
          <w:lang w:val="en-US" w:eastAsia="zh-CN"/>
        </w:rPr>
        <w:t>“</w:t>
      </w:r>
      <w:r w:rsidRPr="00C26365">
        <w:rPr>
          <w:rFonts w:cstheme="minorHAnsi" w:hint="eastAsia"/>
          <w:lang w:eastAsia="zh-CN"/>
        </w:rPr>
        <w:t>电信发展局</w:t>
      </w:r>
      <w:r w:rsidR="000A7428">
        <w:rPr>
          <w:rFonts w:cstheme="minorHAnsi" w:hint="eastAsia"/>
          <w:lang w:eastAsia="zh-CN"/>
        </w:rPr>
        <w:t>（</w:t>
      </w:r>
      <w:r w:rsidR="000A7428">
        <w:rPr>
          <w:rFonts w:cstheme="minorHAnsi" w:hint="eastAsia"/>
          <w:lang w:eastAsia="zh-CN"/>
        </w:rPr>
        <w:t>BDT</w:t>
      </w:r>
      <w:r w:rsidR="000A7428">
        <w:rPr>
          <w:rFonts w:cstheme="minorHAnsi" w:hint="eastAsia"/>
          <w:lang w:eastAsia="zh-CN"/>
        </w:rPr>
        <w:t>）</w:t>
      </w:r>
      <w:r w:rsidRPr="00C26365">
        <w:rPr>
          <w:rFonts w:cstheme="minorHAnsi"/>
          <w:lang w:eastAsia="zh-CN"/>
        </w:rPr>
        <w:t>继续</w:t>
      </w:r>
      <w:r w:rsidRPr="00C26365">
        <w:rPr>
          <w:rFonts w:cstheme="minorHAnsi" w:hint="eastAsia"/>
          <w:lang w:eastAsia="zh-CN"/>
        </w:rPr>
        <w:t>积极</w:t>
      </w:r>
      <w:r w:rsidRPr="00C26365">
        <w:rPr>
          <w:rFonts w:cstheme="minorHAnsi"/>
          <w:lang w:eastAsia="zh-CN"/>
        </w:rPr>
        <w:t>与成员国、</w:t>
      </w:r>
      <w:r w:rsidRPr="00C26365">
        <w:rPr>
          <w:rFonts w:cstheme="minorHAnsi"/>
          <w:lang w:eastAsia="zh-CN"/>
        </w:rPr>
        <w:t>ITU-D</w:t>
      </w:r>
      <w:r w:rsidRPr="00C26365">
        <w:rPr>
          <w:rFonts w:cstheme="minorHAnsi"/>
          <w:lang w:eastAsia="zh-CN"/>
        </w:rPr>
        <w:t>部门成员、金融机构和国际组织结成伙伴关系，以便资助这些举措活动的实施；</w:t>
      </w:r>
      <w:r w:rsidRPr="00C94C59">
        <w:rPr>
          <w:rFonts w:ascii="SimSun" w:eastAsia="SimSun" w:hAnsi="SimSun"/>
          <w:lang w:val="en-US" w:eastAsia="zh-CN"/>
        </w:rPr>
        <w:t>”</w:t>
      </w:r>
      <w:r>
        <w:rPr>
          <w:rFonts w:ascii="SimSun" w:eastAsia="SimSun" w:hAnsi="SimSun"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呼吁</w:t>
      </w:r>
      <w:r w:rsidRPr="00C94C59">
        <w:rPr>
          <w:rFonts w:ascii="SimSun" w:eastAsia="SimSun" w:hAnsi="SimSun"/>
          <w:lang w:val="en-US" w:eastAsia="zh-CN"/>
        </w:rPr>
        <w:t>“</w:t>
      </w:r>
      <w:r w:rsidRPr="00C26365">
        <w:rPr>
          <w:rFonts w:cstheme="minorHAnsi"/>
          <w:lang w:eastAsia="zh-CN"/>
        </w:rPr>
        <w:t>国际金融组织</w:t>
      </w:r>
      <w:r w:rsidRPr="00C26365">
        <w:rPr>
          <w:rFonts w:cstheme="minorHAnsi"/>
          <w:lang w:eastAsia="zh-CN"/>
        </w:rPr>
        <w:t>/</w:t>
      </w:r>
      <w:r w:rsidRPr="00C26365">
        <w:rPr>
          <w:rFonts w:cstheme="minorHAnsi"/>
          <w:lang w:eastAsia="zh-CN"/>
        </w:rPr>
        <w:t>机构、设备供应商和运营商</w:t>
      </w:r>
      <w:r w:rsidRPr="00C26365">
        <w:rPr>
          <w:rFonts w:cstheme="minorHAnsi"/>
          <w:lang w:eastAsia="zh-CN"/>
        </w:rPr>
        <w:t>/</w:t>
      </w:r>
      <w:r w:rsidRPr="00C26365">
        <w:rPr>
          <w:rFonts w:cstheme="minorHAnsi"/>
          <w:lang w:eastAsia="zh-CN"/>
        </w:rPr>
        <w:t>业务提供商全面或部分资助这些区域批准的举措</w:t>
      </w:r>
      <w:bookmarkEnd w:id="10"/>
      <w:r w:rsidR="00196EFF">
        <w:rPr>
          <w:rFonts w:cstheme="minorHAnsi" w:hint="eastAsia"/>
          <w:lang w:eastAsia="zh-CN"/>
        </w:rPr>
        <w:t>”</w:t>
      </w:r>
      <w:r w:rsidR="00234B23">
        <w:rPr>
          <w:rFonts w:cstheme="minorHAnsi" w:hint="eastAsia"/>
          <w:lang w:eastAsia="zh-CN"/>
        </w:rPr>
        <w:t>。</w:t>
      </w:r>
    </w:p>
    <w:p w:rsidR="00F76B8F" w:rsidRDefault="00F76B8F" w:rsidP="00196EFF">
      <w:pPr>
        <w:ind w:firstLineChars="200" w:firstLine="480"/>
        <w:rPr>
          <w:lang w:val="en-US" w:eastAsia="zh-CN"/>
        </w:rPr>
      </w:pPr>
      <w:bookmarkStart w:id="11" w:name="lt_pId035"/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71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</w:t>
      </w:r>
      <w:proofErr w:type="gramStart"/>
      <w:r>
        <w:rPr>
          <w:rFonts w:hint="eastAsia"/>
          <w:lang w:val="en-US" w:eastAsia="zh-CN"/>
        </w:rPr>
        <w:t>亦</w:t>
      </w:r>
      <w:r>
        <w:rPr>
          <w:lang w:val="en-US" w:eastAsia="zh-CN"/>
        </w:rPr>
        <w:t>认识</w:t>
      </w:r>
      <w:proofErr w:type="gramEnd"/>
      <w:r>
        <w:rPr>
          <w:rFonts w:hint="eastAsia"/>
          <w:lang w:val="en-US" w:eastAsia="zh-CN"/>
        </w:rPr>
        <w:t>到</w:t>
      </w:r>
      <w:r>
        <w:rPr>
          <w:lang w:val="en-US" w:eastAsia="zh-CN"/>
        </w:rPr>
        <w:t>，</w:t>
      </w:r>
      <w:r w:rsidRPr="00C94C59">
        <w:rPr>
          <w:rFonts w:ascii="SimSun" w:eastAsia="SimSun" w:hAnsi="SimSun"/>
          <w:lang w:val="en-US" w:eastAsia="zh-CN"/>
        </w:rPr>
        <w:t>“</w:t>
      </w:r>
      <w:r w:rsidRPr="004F0D73">
        <w:rPr>
          <w:rFonts w:cstheme="minorHAnsi"/>
          <w:lang w:eastAsia="zh-CN"/>
        </w:rPr>
        <w:t>公有和私营部门之间，包括国际电联与国家、区域性、国际和政府间组织等其他实体之间酌情建立的合作伙伴关系，继续是实现可持续电信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发展的关键</w:t>
      </w:r>
      <w:bookmarkEnd w:id="11"/>
      <w:r w:rsidR="00196EFF">
        <w:rPr>
          <w:rFonts w:cstheme="minorHAnsi" w:hint="eastAsia"/>
          <w:lang w:eastAsia="zh-CN"/>
        </w:rPr>
        <w:t>”</w:t>
      </w:r>
      <w:r w:rsidR="00234B23">
        <w:rPr>
          <w:rFonts w:cstheme="minorHAnsi" w:hint="eastAsia"/>
          <w:lang w:eastAsia="zh-CN"/>
        </w:rPr>
        <w:t>。</w:t>
      </w:r>
    </w:p>
    <w:p w:rsidR="00F76B8F" w:rsidRPr="00A40542" w:rsidRDefault="00F76B8F" w:rsidP="00196EFF">
      <w:pPr>
        <w:pStyle w:val="Heading1"/>
        <w:rPr>
          <w:lang w:eastAsia="zh-CN"/>
        </w:rPr>
      </w:pPr>
      <w:r w:rsidRPr="00A40542">
        <w:rPr>
          <w:rFonts w:hint="eastAsia"/>
          <w:lang w:eastAsia="zh-CN"/>
        </w:rPr>
        <w:t>2</w:t>
      </w:r>
      <w:r w:rsidRPr="00A40542">
        <w:rPr>
          <w:rFonts w:hint="eastAsia"/>
          <w:lang w:eastAsia="zh-CN"/>
        </w:rPr>
        <w:tab/>
      </w:r>
      <w:r w:rsidRPr="00A40542">
        <w:rPr>
          <w:rFonts w:hint="eastAsia"/>
          <w:lang w:eastAsia="zh-CN"/>
        </w:rPr>
        <w:t>战略</w:t>
      </w:r>
      <w:r w:rsidRPr="00A40542">
        <w:rPr>
          <w:lang w:eastAsia="zh-CN"/>
        </w:rPr>
        <w:t>目标</w:t>
      </w:r>
    </w:p>
    <w:p w:rsidR="00F76B8F" w:rsidRPr="001F6788" w:rsidRDefault="00F76B8F" w:rsidP="00196EFF">
      <w:pPr>
        <w:ind w:firstLineChars="200" w:firstLine="480"/>
        <w:rPr>
          <w:lang w:eastAsia="zh-CN"/>
        </w:rPr>
      </w:pPr>
      <w:r w:rsidRPr="001F6788">
        <w:rPr>
          <w:lang w:eastAsia="zh-CN"/>
        </w:rPr>
        <w:t>根据</w:t>
      </w:r>
      <w:r w:rsidRPr="001F6788">
        <w:rPr>
          <w:lang w:eastAsia="zh-CN"/>
        </w:rPr>
        <w:t>WTDC-17</w:t>
      </w:r>
      <w:r w:rsidRPr="001F6788">
        <w:rPr>
          <w:lang w:eastAsia="zh-CN"/>
        </w:rPr>
        <w:t>的输出成果，目标确定为推进与包括其它联合国机构、国际和区域性组织、来自发达国家和发展中国家的国际电联成员国、国际电</w:t>
      </w:r>
      <w:proofErr w:type="gramStart"/>
      <w:r w:rsidRPr="001F6788">
        <w:rPr>
          <w:lang w:eastAsia="zh-CN"/>
        </w:rPr>
        <w:t>联部门</w:t>
      </w:r>
      <w:proofErr w:type="gramEnd"/>
      <w:r w:rsidRPr="001F6788">
        <w:rPr>
          <w:lang w:eastAsia="zh-CN"/>
        </w:rPr>
        <w:t>成员、部门准成员、学术成员及其他相关合作伙伴在内的各</w:t>
      </w:r>
      <w:proofErr w:type="gramStart"/>
      <w:r w:rsidRPr="001F6788">
        <w:rPr>
          <w:lang w:eastAsia="zh-CN"/>
        </w:rPr>
        <w:t>类利益</w:t>
      </w:r>
      <w:proofErr w:type="gramEnd"/>
      <w:r w:rsidRPr="001F6788">
        <w:rPr>
          <w:lang w:eastAsia="zh-CN"/>
        </w:rPr>
        <w:t>攸关方的伙伴关系并开展合作，避免重复工作并支持</w:t>
      </w:r>
      <w:r w:rsidRPr="001F6788">
        <w:rPr>
          <w:lang w:eastAsia="zh-CN"/>
        </w:rPr>
        <w:t>ITU-D</w:t>
      </w:r>
      <w:r w:rsidR="000A7428">
        <w:rPr>
          <w:lang w:eastAsia="zh-CN"/>
        </w:rPr>
        <w:t>落实各项</w:t>
      </w:r>
      <w:r w:rsidR="000A7428">
        <w:rPr>
          <w:rFonts w:hint="eastAsia"/>
          <w:lang w:eastAsia="zh-CN"/>
        </w:rPr>
        <w:t>方案</w:t>
      </w:r>
      <w:r w:rsidRPr="001F6788">
        <w:rPr>
          <w:lang w:eastAsia="zh-CN"/>
        </w:rPr>
        <w:t>和区域性举措。</w:t>
      </w:r>
    </w:p>
    <w:p w:rsidR="00F76B8F" w:rsidRPr="00C76187" w:rsidRDefault="00F76B8F" w:rsidP="00196EFF">
      <w:pPr>
        <w:pStyle w:val="Heading1"/>
        <w:rPr>
          <w:lang w:eastAsia="zh-CN"/>
        </w:rPr>
      </w:pPr>
      <w:r w:rsidRPr="00C76187">
        <w:rPr>
          <w:lang w:eastAsia="zh-CN"/>
        </w:rPr>
        <w:t>3</w:t>
      </w:r>
      <w:r w:rsidRPr="00C76187">
        <w:rPr>
          <w:lang w:eastAsia="zh-CN"/>
        </w:rPr>
        <w:tab/>
      </w:r>
      <w:r w:rsidRPr="00C76187">
        <w:rPr>
          <w:rFonts w:hint="eastAsia"/>
          <w:lang w:eastAsia="zh-CN"/>
        </w:rPr>
        <w:t>状态</w:t>
      </w:r>
      <w:r w:rsidRPr="00C76187">
        <w:rPr>
          <w:lang w:eastAsia="zh-CN"/>
        </w:rPr>
        <w:t>分析</w:t>
      </w:r>
    </w:p>
    <w:p w:rsidR="00214E9B" w:rsidRPr="006B3619" w:rsidRDefault="00214E9B" w:rsidP="00196EFF">
      <w:pPr>
        <w:ind w:firstLineChars="200" w:firstLine="480"/>
        <w:rPr>
          <w:rFonts w:asciiTheme="minorEastAsia" w:hAnsiTheme="minorEastAsia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</w:t>
      </w:r>
      <w:r w:rsidR="000A7428" w:rsidRPr="00C26365">
        <w:rPr>
          <w:rFonts w:cstheme="minorHAnsi" w:hint="eastAsia"/>
          <w:lang w:eastAsia="zh-CN"/>
        </w:rPr>
        <w:t>电信发展局</w:t>
      </w:r>
      <w:r w:rsidR="000A7428">
        <w:rPr>
          <w:rFonts w:hint="eastAsia"/>
          <w:lang w:eastAsia="zh-CN"/>
        </w:rPr>
        <w:t>和各利益攸关方</w:t>
      </w:r>
      <w:r>
        <w:rPr>
          <w:rFonts w:hint="eastAsia"/>
          <w:lang w:eastAsia="zh-CN"/>
        </w:rPr>
        <w:t>签署了</w:t>
      </w:r>
      <w:r>
        <w:rPr>
          <w:rFonts w:hint="eastAsia"/>
          <w:lang w:eastAsia="zh-CN"/>
        </w:rPr>
        <w:t>43</w:t>
      </w:r>
      <w:r>
        <w:rPr>
          <w:rFonts w:hint="eastAsia"/>
          <w:lang w:eastAsia="zh-CN"/>
        </w:rPr>
        <w:t>项新协议和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项增补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修订，估计价值</w:t>
      </w:r>
      <w:r>
        <w:rPr>
          <w:rFonts w:hint="eastAsia"/>
          <w:lang w:eastAsia="zh-CN"/>
        </w:rPr>
        <w:t>1090</w:t>
      </w:r>
      <w:r>
        <w:rPr>
          <w:rFonts w:hint="eastAsia"/>
          <w:lang w:eastAsia="zh-CN"/>
        </w:rPr>
        <w:t>万美元，由</w:t>
      </w:r>
      <w:r w:rsidR="000A7428" w:rsidRPr="00C26365">
        <w:rPr>
          <w:rFonts w:cstheme="minorHAnsi" w:hint="eastAsia"/>
          <w:lang w:eastAsia="zh-CN"/>
        </w:rPr>
        <w:t>电信发展局</w:t>
      </w:r>
      <w:r>
        <w:rPr>
          <w:rFonts w:hint="eastAsia"/>
          <w:lang w:eastAsia="zh-CN"/>
        </w:rPr>
        <w:t>和外部合作伙伴</w:t>
      </w:r>
      <w:r w:rsidR="00483B6E">
        <w:rPr>
          <w:rFonts w:hint="eastAsia"/>
          <w:lang w:eastAsia="zh-CN"/>
        </w:rPr>
        <w:t>共同出资。这些协议的列表及详细</w:t>
      </w:r>
      <w:r w:rsidR="00483B6E" w:rsidRPr="00EA169A">
        <w:rPr>
          <w:rFonts w:asciiTheme="majorEastAsia" w:eastAsiaTheme="majorEastAsia" w:hAnsiTheme="majorEastAsia"/>
          <w:bCs/>
          <w:iCs/>
          <w:lang w:eastAsia="zh-CN"/>
        </w:rPr>
        <w:t>信息</w:t>
      </w:r>
      <w:r w:rsidR="00483B6E">
        <w:rPr>
          <w:rFonts w:asciiTheme="majorEastAsia" w:eastAsiaTheme="majorEastAsia" w:hAnsiTheme="majorEastAsia" w:hint="eastAsia"/>
          <w:bCs/>
          <w:iCs/>
          <w:lang w:eastAsia="zh-CN"/>
        </w:rPr>
        <w:t>（</w:t>
      </w:r>
      <w:proofErr w:type="gramStart"/>
      <w:r w:rsidR="00483B6E">
        <w:rPr>
          <w:rFonts w:asciiTheme="majorEastAsia" w:eastAsiaTheme="majorEastAsia" w:hAnsiTheme="majorEastAsia" w:hint="eastAsia"/>
          <w:bCs/>
          <w:iCs/>
          <w:lang w:eastAsia="zh-CN"/>
        </w:rPr>
        <w:t>如签署</w:t>
      </w:r>
      <w:proofErr w:type="gramEnd"/>
      <w:r w:rsidR="00483B6E">
        <w:rPr>
          <w:rFonts w:asciiTheme="majorEastAsia" w:eastAsiaTheme="majorEastAsia" w:hAnsiTheme="majorEastAsia" w:hint="eastAsia"/>
          <w:bCs/>
          <w:iCs/>
          <w:lang w:eastAsia="zh-CN"/>
        </w:rPr>
        <w:t>人，伙伴关系类型</w:t>
      </w:r>
      <w:r w:rsidR="00B75349">
        <w:rPr>
          <w:rStyle w:val="FootnoteReference"/>
          <w:szCs w:val="24"/>
        </w:rPr>
        <w:footnoteReference w:id="1"/>
      </w:r>
      <w:r w:rsidR="00483B6E">
        <w:rPr>
          <w:rFonts w:asciiTheme="majorEastAsia" w:eastAsiaTheme="majorEastAsia" w:hAnsiTheme="majorEastAsia" w:hint="eastAsia"/>
          <w:bCs/>
          <w:iCs/>
          <w:lang w:eastAsia="zh-CN"/>
        </w:rPr>
        <w:t>，生效日期，价值和目标）</w:t>
      </w:r>
      <w:r w:rsidR="00483B6E" w:rsidRPr="00EA169A">
        <w:rPr>
          <w:rFonts w:asciiTheme="majorEastAsia" w:eastAsiaTheme="majorEastAsia" w:hAnsiTheme="majorEastAsia"/>
          <w:bCs/>
          <w:iCs/>
          <w:lang w:eastAsia="zh-CN"/>
        </w:rPr>
        <w:t>见</w:t>
      </w:r>
      <w:r w:rsidR="00C67619">
        <w:fldChar w:fldCharType="begin"/>
      </w:r>
      <w:r w:rsidR="00C67619">
        <w:rPr>
          <w:lang w:eastAsia="zh-CN"/>
        </w:rPr>
        <w:instrText xml:space="preserve"> HYPERLINK "https://www.itu.int/md/D18-TDAG24-INF-0004/" </w:instrText>
      </w:r>
      <w:r w:rsidR="00C67619">
        <w:fldChar w:fldCharType="separate"/>
      </w:r>
      <w:r w:rsidR="00C67619" w:rsidRPr="001B090F">
        <w:rPr>
          <w:rStyle w:val="Hyperlink"/>
          <w:szCs w:val="24"/>
          <w:lang w:eastAsia="zh-CN"/>
        </w:rPr>
        <w:t>INF/3</w:t>
      </w:r>
      <w:r w:rsidR="00C67619">
        <w:rPr>
          <w:rStyle w:val="Hyperlink"/>
          <w:szCs w:val="24"/>
        </w:rPr>
        <w:fldChar w:fldCharType="end"/>
      </w:r>
      <w:r w:rsidR="00483B6E" w:rsidRPr="00EA169A">
        <w:rPr>
          <w:rFonts w:asciiTheme="majorEastAsia" w:eastAsiaTheme="majorEastAsia" w:hAnsiTheme="majorEastAsia" w:hint="eastAsia"/>
          <w:bCs/>
          <w:iCs/>
          <w:lang w:eastAsia="zh-CN"/>
        </w:rPr>
        <w:t>号</w:t>
      </w:r>
      <w:r w:rsidR="00483B6E">
        <w:rPr>
          <w:rFonts w:asciiTheme="majorEastAsia" w:eastAsiaTheme="majorEastAsia" w:hAnsiTheme="majorEastAsia" w:hint="eastAsia"/>
          <w:bCs/>
          <w:iCs/>
          <w:lang w:eastAsia="zh-CN"/>
        </w:rPr>
        <w:t>情况通报</w:t>
      </w:r>
      <w:r w:rsidR="00483B6E" w:rsidRPr="00EA169A">
        <w:rPr>
          <w:rFonts w:asciiTheme="majorEastAsia" w:eastAsiaTheme="majorEastAsia" w:hAnsiTheme="majorEastAsia" w:hint="eastAsia"/>
          <w:bCs/>
          <w:iCs/>
          <w:lang w:eastAsia="zh-CN"/>
        </w:rPr>
        <w:t>文件</w:t>
      </w:r>
      <w:r w:rsidR="00C67619">
        <w:rPr>
          <w:rStyle w:val="FootnoteReference"/>
          <w:szCs w:val="24"/>
        </w:rPr>
        <w:footnoteReference w:id="2"/>
      </w:r>
      <w:r w:rsidR="00483B6E">
        <w:rPr>
          <w:rFonts w:hint="eastAsia"/>
          <w:lang w:eastAsia="zh-CN"/>
        </w:rPr>
        <w:t>。</w:t>
      </w:r>
      <w:r w:rsidR="006B3619">
        <w:rPr>
          <w:rFonts w:asciiTheme="minorEastAsia" w:hAnsiTheme="minorEastAsia" w:hint="eastAsia"/>
          <w:color w:val="333333"/>
          <w:lang w:eastAsia="zh-CN"/>
        </w:rPr>
        <w:t>由于国际电联成员和合作伙伴以及电信发展局外</w:t>
      </w:r>
      <w:r w:rsidR="006B3619" w:rsidRPr="006B3619">
        <w:rPr>
          <w:rFonts w:asciiTheme="minorEastAsia" w:hAnsiTheme="minorEastAsia" w:hint="eastAsia"/>
          <w:color w:val="333333"/>
          <w:lang w:eastAsia="zh-CN"/>
        </w:rPr>
        <w:t>地和总部工作人员的共同支持和努力，这些协议得以缔结。</w:t>
      </w:r>
    </w:p>
    <w:p w:rsidR="00214E9B" w:rsidRPr="00B75349" w:rsidRDefault="00214E9B" w:rsidP="003F48D1">
      <w:pPr>
        <w:ind w:firstLineChars="200" w:firstLine="480"/>
        <w:rPr>
          <w:rFonts w:asciiTheme="minorEastAsia" w:hAnsiTheme="minorEastAsia"/>
          <w:lang w:eastAsia="zh-CN"/>
        </w:rPr>
      </w:pP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年期间，</w:t>
      </w:r>
      <w:r w:rsidR="000A7428" w:rsidRPr="00C26365">
        <w:rPr>
          <w:rFonts w:cstheme="minorHAnsi" w:hint="eastAsia"/>
          <w:lang w:eastAsia="zh-CN"/>
        </w:rPr>
        <w:t>电信发展局</w:t>
      </w:r>
      <w:r>
        <w:rPr>
          <w:rFonts w:hint="eastAsia"/>
          <w:lang w:eastAsia="zh-CN"/>
        </w:rPr>
        <w:t>和各合作伙伴之间签署了</w:t>
      </w:r>
      <w:r w:rsidRPr="00176345">
        <w:rPr>
          <w:lang w:eastAsia="zh-CN"/>
        </w:rPr>
        <w:t>200</w:t>
      </w:r>
      <w:r w:rsidRPr="00214E9B">
        <w:rPr>
          <w:rFonts w:asciiTheme="minorEastAsia" w:hAnsiTheme="minorEastAsia"/>
          <w:lang w:eastAsia="zh-CN"/>
        </w:rPr>
        <w:t>项新</w:t>
      </w:r>
      <w:r w:rsidR="00B75349">
        <w:rPr>
          <w:rFonts w:asciiTheme="minorEastAsia" w:hAnsiTheme="minorEastAsia" w:hint="eastAsia"/>
          <w:lang w:eastAsia="zh-CN"/>
        </w:rPr>
        <w:t>的伙伴关系</w:t>
      </w:r>
      <w:r w:rsidRPr="00214E9B">
        <w:rPr>
          <w:rFonts w:asciiTheme="minorEastAsia" w:hAnsiTheme="minorEastAsia"/>
          <w:lang w:eastAsia="zh-CN"/>
        </w:rPr>
        <w:t>协议和</w:t>
      </w:r>
      <w:r>
        <w:rPr>
          <w:lang w:eastAsia="zh-CN"/>
        </w:rPr>
        <w:t>3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项</w:t>
      </w:r>
      <w:r>
        <w:rPr>
          <w:lang w:eastAsia="zh-CN"/>
        </w:rPr>
        <w:t>增补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修订</w:t>
      </w:r>
      <w:r w:rsidR="00B75349">
        <w:rPr>
          <w:rFonts w:hint="eastAsia"/>
          <w:lang w:eastAsia="zh-CN"/>
        </w:rPr>
        <w:t>，</w:t>
      </w:r>
      <w:r w:rsidR="00B75349" w:rsidRPr="00B75349">
        <w:rPr>
          <w:rFonts w:asciiTheme="minorEastAsia" w:hAnsiTheme="minorEastAsia" w:hint="eastAsia"/>
          <w:color w:val="333333"/>
          <w:lang w:eastAsia="zh-CN"/>
        </w:rPr>
        <w:t>按受益区域和行动领域分列如下</w:t>
      </w:r>
      <w:r w:rsidR="00B75349">
        <w:rPr>
          <w:rFonts w:asciiTheme="minorEastAsia" w:hAnsiTheme="minorEastAsia" w:hint="eastAsia"/>
          <w:color w:val="333333"/>
          <w:lang w:eastAsia="zh-CN"/>
        </w:rPr>
        <w:t>。</w:t>
      </w:r>
    </w:p>
    <w:p w:rsidR="00C76187" w:rsidRDefault="00C67619" w:rsidP="00C76187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/>
          <w:szCs w:val="24"/>
          <w:lang w:eastAsia="zh-CN"/>
        </w:rPr>
      </w:pPr>
      <w:r>
        <w:rPr>
          <w:rFonts w:asciiTheme="minorEastAsia" w:eastAsiaTheme="minorEastAsia" w:hAnsiTheme="minorEastAsia" w:cs="Calibri" w:hint="eastAsia"/>
          <w:b/>
          <w:szCs w:val="24"/>
          <w:lang w:eastAsia="zh-CN"/>
        </w:rPr>
        <w:lastRenderedPageBreak/>
        <w:t>图表</w:t>
      </w:r>
      <w:r w:rsidR="003F48D1">
        <w:rPr>
          <w:rFonts w:ascii="Microsoft YaHei" w:eastAsia="Microsoft YaHei" w:hAnsi="Microsoft YaHei" w:cs="Microsoft YaHei" w:hint="eastAsia"/>
          <w:b/>
          <w:szCs w:val="24"/>
          <w:lang w:eastAsia="zh-CN"/>
        </w:rPr>
        <w:t>：</w:t>
      </w:r>
      <w:r>
        <w:rPr>
          <w:rFonts w:ascii="Calibri" w:hAnsi="Calibri" w:cs="Calibri"/>
          <w:b/>
          <w:szCs w:val="24"/>
          <w:lang w:eastAsia="zh-CN"/>
        </w:rPr>
        <w:t>2015</w:t>
      </w:r>
      <w:r>
        <w:rPr>
          <w:rFonts w:asciiTheme="minorEastAsia" w:eastAsiaTheme="minorEastAsia" w:hAnsiTheme="minorEastAsia" w:cs="Calibri" w:hint="eastAsia"/>
          <w:b/>
          <w:szCs w:val="24"/>
          <w:lang w:eastAsia="zh-CN"/>
        </w:rPr>
        <w:t>年至</w:t>
      </w:r>
      <w:r w:rsidR="00C76187" w:rsidRPr="003E6492">
        <w:rPr>
          <w:rFonts w:ascii="Calibri" w:hAnsi="Calibri" w:cs="Calibri"/>
          <w:b/>
          <w:szCs w:val="24"/>
          <w:lang w:eastAsia="zh-CN"/>
        </w:rPr>
        <w:t>2018</w:t>
      </w:r>
      <w:r>
        <w:rPr>
          <w:rFonts w:asciiTheme="minorEastAsia" w:eastAsiaTheme="minorEastAsia" w:hAnsiTheme="minorEastAsia" w:cs="Calibri" w:hint="eastAsia"/>
          <w:b/>
          <w:szCs w:val="24"/>
          <w:lang w:eastAsia="zh-CN"/>
        </w:rPr>
        <w:t>年期间签署的协议</w:t>
      </w:r>
    </w:p>
    <w:p w:rsidR="00C76187" w:rsidRDefault="00C76187" w:rsidP="00C76187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079D4A16" wp14:editId="382FF2A1">
            <wp:extent cx="4981575" cy="28289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6187" w:rsidRPr="00A439F7" w:rsidRDefault="00C76187" w:rsidP="00C76187">
      <w:pPr>
        <w:pStyle w:val="ListParagraph"/>
        <w:keepNext/>
        <w:spacing w:before="0"/>
        <w:ind w:left="0"/>
        <w:contextualSpacing w:val="0"/>
        <w:jc w:val="center"/>
        <w:rPr>
          <w:rFonts w:ascii="Calibri" w:hAnsi="Calibri" w:cs="Calibri"/>
          <w:b/>
          <w:bCs/>
          <w:i/>
          <w:iCs/>
          <w:sz w:val="2"/>
          <w:szCs w:val="2"/>
        </w:rPr>
      </w:pPr>
    </w:p>
    <w:p w:rsidR="00C76187" w:rsidRPr="00F0087F" w:rsidRDefault="00C76187" w:rsidP="00C76187">
      <w:pPr>
        <w:pStyle w:val="ListParagraph"/>
        <w:keepNext/>
        <w:ind w:left="0"/>
        <w:contextualSpacing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227BCCA7" wp14:editId="0266E50F">
            <wp:extent cx="5029200" cy="2733675"/>
            <wp:effectExtent l="0" t="0" r="1905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6187" w:rsidRPr="003F48D1" w:rsidRDefault="00C67619" w:rsidP="003F48D1">
      <w:pPr>
        <w:ind w:left="709"/>
        <w:rPr>
          <w:rFonts w:eastAsia="STKaiti"/>
          <w:lang w:eastAsia="zh-CN"/>
        </w:rPr>
      </w:pPr>
      <w:r w:rsidRPr="003F48D1">
        <w:rPr>
          <w:rFonts w:eastAsia="STKaiti" w:hint="eastAsia"/>
          <w:lang w:eastAsia="zh-CN"/>
        </w:rPr>
        <w:t>注</w:t>
      </w:r>
      <w:r w:rsidR="003F48D1" w:rsidRPr="003F48D1">
        <w:rPr>
          <w:rFonts w:eastAsia="STKaiti" w:hint="eastAsia"/>
          <w:lang w:eastAsia="zh-CN"/>
        </w:rPr>
        <w:t>：</w:t>
      </w:r>
      <w:r w:rsidRPr="003F48D1">
        <w:rPr>
          <w:rFonts w:eastAsia="STKaiti" w:hint="eastAsia"/>
          <w:lang w:eastAsia="zh-CN"/>
        </w:rPr>
        <w:t>2015</w:t>
      </w:r>
      <w:r w:rsidRPr="003F48D1">
        <w:rPr>
          <w:rFonts w:eastAsia="STKaiti" w:hint="eastAsia"/>
          <w:lang w:eastAsia="zh-CN"/>
        </w:rPr>
        <w:t>年为落实</w:t>
      </w:r>
      <w:r w:rsidR="003F48D1" w:rsidRPr="003F48D1">
        <w:rPr>
          <w:rFonts w:ascii="SimSun" w:eastAsia="STKaiti" w:hAnsi="SimSun" w:hint="eastAsia"/>
          <w:lang w:eastAsia="zh-CN"/>
        </w:rPr>
        <w:t>“</w:t>
      </w:r>
      <w:r w:rsidRPr="003F48D1">
        <w:rPr>
          <w:rFonts w:eastAsia="STKaiti" w:hint="eastAsia"/>
          <w:lang w:eastAsia="zh-CN"/>
        </w:rPr>
        <w:t>国际电联高级培训中心联合能力建设活动</w:t>
      </w:r>
      <w:r w:rsidR="003F48D1" w:rsidRPr="003F48D1">
        <w:rPr>
          <w:rFonts w:ascii="SimSun" w:eastAsia="STKaiti" w:hAnsi="SimSun" w:hint="eastAsia"/>
          <w:lang w:eastAsia="zh-CN"/>
        </w:rPr>
        <w:t>”</w:t>
      </w:r>
      <w:r w:rsidRPr="003F48D1">
        <w:rPr>
          <w:rFonts w:eastAsia="STKaiti" w:hint="eastAsia"/>
          <w:lang w:eastAsia="zh-CN"/>
        </w:rPr>
        <w:t>签署了</w:t>
      </w:r>
      <w:r w:rsidRPr="003F48D1">
        <w:rPr>
          <w:rFonts w:eastAsia="STKaiti" w:hint="eastAsia"/>
          <w:lang w:eastAsia="zh-CN"/>
        </w:rPr>
        <w:t>28</w:t>
      </w:r>
      <w:r w:rsidRPr="003F48D1">
        <w:rPr>
          <w:rFonts w:eastAsia="STKaiti" w:hint="eastAsia"/>
          <w:lang w:eastAsia="zh-CN"/>
        </w:rPr>
        <w:t>项协议</w:t>
      </w:r>
    </w:p>
    <w:p w:rsidR="0065034D" w:rsidRPr="003F48D1" w:rsidRDefault="0065034D" w:rsidP="003F48D1">
      <w:pPr>
        <w:rPr>
          <w:sz w:val="20"/>
        </w:rPr>
      </w:pPr>
      <w:bookmarkStart w:id="12" w:name="lt_pId044"/>
      <w:proofErr w:type="spellStart"/>
      <w:r w:rsidRPr="003F48D1">
        <w:rPr>
          <w:rFonts w:hint="eastAsia"/>
          <w:sz w:val="20"/>
        </w:rPr>
        <w:t>图中文字</w:t>
      </w:r>
      <w:proofErr w:type="spellEnd"/>
      <w:r w:rsidR="003F48D1" w:rsidRPr="003F48D1">
        <w:rPr>
          <w:rFonts w:hint="eastAsia"/>
          <w:sz w:val="20"/>
        </w:rPr>
        <w:t>：</w:t>
      </w:r>
    </w:p>
    <w:p w:rsidR="0065034D" w:rsidRPr="003F48D1" w:rsidRDefault="0065034D" w:rsidP="003F48D1">
      <w:pPr>
        <w:spacing w:before="80"/>
        <w:rPr>
          <w:sz w:val="20"/>
        </w:rPr>
      </w:pPr>
      <w:proofErr w:type="spellStart"/>
      <w:r w:rsidRPr="003F48D1">
        <w:rPr>
          <w:rFonts w:hint="eastAsia"/>
          <w:sz w:val="20"/>
        </w:rPr>
        <w:t>上图从左到右依次：非洲，美洲，阿拉伯国家，亚太，独联体国家，欧洲，全球</w:t>
      </w:r>
      <w:proofErr w:type="spellEnd"/>
    </w:p>
    <w:p w:rsidR="0065034D" w:rsidRPr="003F48D1" w:rsidRDefault="0065034D" w:rsidP="003F48D1">
      <w:pPr>
        <w:topLinePunct/>
        <w:spacing w:before="80"/>
        <w:rPr>
          <w:sz w:val="20"/>
          <w:lang w:eastAsia="zh-CN"/>
        </w:rPr>
      </w:pPr>
      <w:r w:rsidRPr="003F48D1">
        <w:rPr>
          <w:rFonts w:hint="eastAsia"/>
          <w:sz w:val="20"/>
          <w:lang w:eastAsia="zh-CN"/>
        </w:rPr>
        <w:t>下图从上到下依次：数据和指标；气候变化</w:t>
      </w:r>
      <w:r w:rsidRPr="003F48D1">
        <w:rPr>
          <w:rFonts w:hint="eastAsia"/>
          <w:sz w:val="20"/>
          <w:lang w:eastAsia="zh-CN"/>
        </w:rPr>
        <w:t>/</w:t>
      </w:r>
      <w:r w:rsidRPr="003F48D1">
        <w:rPr>
          <w:rFonts w:hint="eastAsia"/>
          <w:sz w:val="20"/>
          <w:lang w:eastAsia="zh-CN"/>
        </w:rPr>
        <w:t>电子废弃物；创新；基础设施；</w:t>
      </w:r>
      <w:r w:rsidRPr="003F48D1">
        <w:rPr>
          <w:sz w:val="20"/>
          <w:lang w:eastAsia="zh-CN"/>
        </w:rPr>
        <w:t>ICT</w:t>
      </w:r>
      <w:r w:rsidR="00A847D6" w:rsidRPr="003F48D1">
        <w:rPr>
          <w:rFonts w:hint="eastAsia"/>
          <w:sz w:val="20"/>
          <w:lang w:eastAsia="zh-CN"/>
        </w:rPr>
        <w:t>-</w:t>
      </w:r>
      <w:r w:rsidR="00821F9A" w:rsidRPr="003F48D1">
        <w:rPr>
          <w:rFonts w:hint="eastAsia"/>
          <w:sz w:val="20"/>
          <w:lang w:eastAsia="zh-CN"/>
        </w:rPr>
        <w:t>应用；通用；环境建设；应急</w:t>
      </w:r>
      <w:r w:rsidR="003F48D1">
        <w:rPr>
          <w:rFonts w:hint="eastAsia"/>
          <w:sz w:val="20"/>
          <w:lang w:eastAsia="zh-CN"/>
        </w:rPr>
        <w:t>；</w:t>
      </w:r>
      <w:r w:rsidR="00A847D6" w:rsidRPr="003F48D1">
        <w:rPr>
          <w:rFonts w:hint="eastAsia"/>
          <w:sz w:val="20"/>
          <w:lang w:eastAsia="zh-CN"/>
        </w:rPr>
        <w:t>数字包容；网络安全；能力建设</w:t>
      </w:r>
    </w:p>
    <w:p w:rsidR="00C76187" w:rsidRPr="00D37F9E" w:rsidRDefault="0065034D" w:rsidP="00B737C8">
      <w:pPr>
        <w:pStyle w:val="Heading1"/>
        <w:rPr>
          <w:lang w:val="en-US" w:eastAsia="zh-CN"/>
        </w:rPr>
      </w:pPr>
      <w:r w:rsidRPr="00D37F9E">
        <w:rPr>
          <w:lang w:eastAsia="zh-CN"/>
        </w:rPr>
        <w:t>4</w:t>
      </w:r>
      <w:r w:rsidRPr="00D37F9E">
        <w:rPr>
          <w:lang w:eastAsia="zh-CN"/>
        </w:rPr>
        <w:tab/>
      </w:r>
      <w:bookmarkEnd w:id="12"/>
      <w:r w:rsidR="00C76187" w:rsidRPr="00D37F9E">
        <w:rPr>
          <w:rFonts w:hint="eastAsia"/>
          <w:lang w:val="en-US" w:eastAsia="zh-CN"/>
        </w:rPr>
        <w:t>主要</w:t>
      </w:r>
      <w:r w:rsidR="00C76187" w:rsidRPr="00D37F9E">
        <w:rPr>
          <w:lang w:val="en-US" w:eastAsia="zh-CN"/>
        </w:rPr>
        <w:t>行动</w:t>
      </w:r>
      <w:r w:rsidR="00C76187" w:rsidRPr="00D37F9E">
        <w:rPr>
          <w:rFonts w:hint="eastAsia"/>
          <w:lang w:val="en-US" w:eastAsia="zh-CN"/>
        </w:rPr>
        <w:t>与</w:t>
      </w:r>
      <w:r w:rsidR="00C76187" w:rsidRPr="00D37F9E">
        <w:rPr>
          <w:lang w:val="en-US" w:eastAsia="zh-CN"/>
        </w:rPr>
        <w:t>成果</w:t>
      </w:r>
    </w:p>
    <w:p w:rsidR="00C76187" w:rsidRPr="00D37F9E" w:rsidRDefault="00C76187" w:rsidP="00B737C8">
      <w:pPr>
        <w:pStyle w:val="Heading2"/>
        <w:rPr>
          <w:rFonts w:cstheme="minorHAnsi"/>
          <w:lang w:val="en-US" w:eastAsia="zh-CN"/>
        </w:rPr>
      </w:pPr>
      <w:r w:rsidRPr="00D37F9E">
        <w:rPr>
          <w:rFonts w:cstheme="minorHAnsi"/>
          <w:lang w:val="en-US" w:eastAsia="zh-CN"/>
        </w:rPr>
        <w:t>4.1</w:t>
      </w:r>
      <w:r w:rsidRPr="00D37F9E">
        <w:rPr>
          <w:rFonts w:cstheme="minorHAnsi"/>
          <w:lang w:val="en-US" w:eastAsia="zh-CN"/>
        </w:rPr>
        <w:tab/>
      </w:r>
      <w:r w:rsidR="00EE0FA3" w:rsidRPr="00D37F9E">
        <w:rPr>
          <w:rFonts w:hint="eastAsia"/>
          <w:lang w:eastAsia="zh-CN"/>
        </w:rPr>
        <w:t>外部行动与</w:t>
      </w:r>
      <w:r w:rsidR="009013D5" w:rsidRPr="00D37F9E">
        <w:rPr>
          <w:rFonts w:hint="eastAsia"/>
          <w:lang w:eastAsia="zh-CN"/>
        </w:rPr>
        <w:t>成果</w:t>
      </w:r>
    </w:p>
    <w:p w:rsidR="00387786" w:rsidRPr="00D37F9E" w:rsidRDefault="00387786" w:rsidP="00B737C8">
      <w:pPr>
        <w:ind w:firstLineChars="200" w:firstLine="480"/>
        <w:rPr>
          <w:lang w:val="en-US" w:eastAsia="zh-CN"/>
        </w:rPr>
      </w:pPr>
      <w:r w:rsidRPr="00D37F9E">
        <w:rPr>
          <w:rFonts w:hint="eastAsia"/>
          <w:lang w:val="en-US" w:eastAsia="zh-CN"/>
        </w:rPr>
        <w:t>伙伴关系和资源</w:t>
      </w:r>
      <w:r w:rsidR="00BD5E50" w:rsidRPr="00D37F9E">
        <w:rPr>
          <w:rFonts w:hint="eastAsia"/>
          <w:lang w:val="en-US" w:eastAsia="zh-CN"/>
        </w:rPr>
        <w:t>筹措</w:t>
      </w:r>
      <w:r w:rsidRPr="00D37F9E">
        <w:rPr>
          <w:rFonts w:hint="eastAsia"/>
          <w:lang w:val="en-US" w:eastAsia="zh-CN"/>
        </w:rPr>
        <w:t>主要是建立关系的活动，建立在信任、信心和尊重的基础上。虽然</w:t>
      </w:r>
      <w:r w:rsidR="003817F5" w:rsidRPr="00D37F9E">
        <w:rPr>
          <w:lang w:eastAsia="zh-CN"/>
        </w:rPr>
        <w:t>电信发展局</w:t>
      </w:r>
      <w:r w:rsidRPr="00D37F9E">
        <w:rPr>
          <w:rFonts w:hint="eastAsia"/>
          <w:lang w:val="en-US" w:eastAsia="zh-CN"/>
        </w:rPr>
        <w:t>特别重视培养与传统合作伙伴的关系，鼓励他们建立持久的关系，</w:t>
      </w:r>
      <w:r w:rsidR="00BD5E50" w:rsidRPr="00D37F9E">
        <w:rPr>
          <w:rFonts w:hint="eastAsia"/>
          <w:lang w:val="en-US" w:eastAsia="zh-CN"/>
        </w:rPr>
        <w:t>但它也认识到扩大合作伙伴组合并使其多样化的重要性。</w:t>
      </w:r>
      <w:r w:rsidR="003817F5" w:rsidRPr="00D37F9E">
        <w:rPr>
          <w:lang w:eastAsia="zh-CN"/>
        </w:rPr>
        <w:t>电信发展局</w:t>
      </w:r>
      <w:r w:rsidR="00BD5E50" w:rsidRPr="00D37F9E">
        <w:rPr>
          <w:rFonts w:hint="eastAsia"/>
          <w:lang w:val="en-US" w:eastAsia="zh-CN"/>
        </w:rPr>
        <w:t>正在</w:t>
      </w:r>
      <w:r w:rsidR="009E5A6B" w:rsidRPr="00D37F9E">
        <w:rPr>
          <w:rFonts w:hint="eastAsia"/>
          <w:lang w:val="en-US" w:eastAsia="zh-CN"/>
        </w:rPr>
        <w:t>与各实体</w:t>
      </w:r>
      <w:r w:rsidR="00BD5E50" w:rsidRPr="00D37F9E">
        <w:rPr>
          <w:rFonts w:hint="eastAsia"/>
          <w:lang w:val="en-US" w:eastAsia="zh-CN"/>
        </w:rPr>
        <w:t>召开</w:t>
      </w:r>
      <w:r w:rsidR="009E5A6B" w:rsidRPr="00D37F9E">
        <w:rPr>
          <w:rFonts w:hint="eastAsia"/>
          <w:lang w:val="en-US" w:eastAsia="zh-CN"/>
        </w:rPr>
        <w:t>会议，落实战略任务</w:t>
      </w:r>
      <w:r w:rsidRPr="00D37F9E">
        <w:rPr>
          <w:rFonts w:hint="eastAsia"/>
          <w:lang w:val="en-US" w:eastAsia="zh-CN"/>
        </w:rPr>
        <w:t>，为</w:t>
      </w:r>
      <w:r w:rsidR="003817F5" w:rsidRPr="00D37F9E">
        <w:rPr>
          <w:lang w:eastAsia="zh-CN"/>
        </w:rPr>
        <w:t>电信发展局</w:t>
      </w:r>
      <w:r w:rsidRPr="00D37F9E">
        <w:rPr>
          <w:rFonts w:hint="eastAsia"/>
          <w:lang w:val="en-US" w:eastAsia="zh-CN"/>
        </w:rPr>
        <w:t>与</w:t>
      </w:r>
      <w:r w:rsidR="00BD5E50" w:rsidRPr="00D37F9E">
        <w:rPr>
          <w:lang w:val="en-US" w:eastAsia="zh-CN"/>
        </w:rPr>
        <w:t>ICT</w:t>
      </w:r>
      <w:r w:rsidR="00BD5E50" w:rsidRPr="00D37F9E">
        <w:rPr>
          <w:rFonts w:hint="eastAsia"/>
          <w:lang w:val="en-US" w:eastAsia="zh-CN"/>
        </w:rPr>
        <w:t>生态系统中的各利益攸关方建立伙伴关系创造</w:t>
      </w:r>
      <w:r w:rsidRPr="00D37F9E">
        <w:rPr>
          <w:rFonts w:hint="eastAsia"/>
          <w:lang w:val="en-US" w:eastAsia="zh-CN"/>
        </w:rPr>
        <w:t>机会。已经与卫生</w:t>
      </w:r>
      <w:r w:rsidRPr="00D37F9E">
        <w:rPr>
          <w:rFonts w:hint="eastAsia"/>
          <w:lang w:val="en-US" w:eastAsia="zh-CN"/>
        </w:rPr>
        <w:t>/</w:t>
      </w:r>
      <w:r w:rsidRPr="00D37F9E">
        <w:rPr>
          <w:rFonts w:hint="eastAsia"/>
          <w:lang w:val="en-US" w:eastAsia="zh-CN"/>
        </w:rPr>
        <w:t>制药、金融、农业和环境等各个部门</w:t>
      </w:r>
      <w:r w:rsidR="00BD5E50" w:rsidRPr="00D37F9E">
        <w:rPr>
          <w:rFonts w:hint="eastAsia"/>
          <w:lang w:val="en-US" w:eastAsia="zh-CN"/>
        </w:rPr>
        <w:t>相关</w:t>
      </w:r>
      <w:r w:rsidRPr="00D37F9E">
        <w:rPr>
          <w:rFonts w:hint="eastAsia"/>
          <w:lang w:val="en-US" w:eastAsia="zh-CN"/>
        </w:rPr>
        <w:t>的实体签署了协议</w:t>
      </w:r>
      <w:r w:rsidR="00C71619" w:rsidRPr="00D37F9E">
        <w:rPr>
          <w:rFonts w:hint="eastAsia"/>
          <w:lang w:val="en-US" w:eastAsia="zh-CN"/>
        </w:rPr>
        <w:t>：</w:t>
      </w:r>
      <w:r w:rsidRPr="00D37F9E">
        <w:rPr>
          <w:rFonts w:hint="eastAsia"/>
          <w:lang w:val="en-US" w:eastAsia="zh-CN"/>
        </w:rPr>
        <w:t>例如，与</w:t>
      </w:r>
      <w:r w:rsidR="003817F5" w:rsidRPr="00D37F9E">
        <w:rPr>
          <w:color w:val="000000"/>
          <w:lang w:eastAsia="zh-CN"/>
        </w:rPr>
        <w:t>联合国环境规划</w:t>
      </w:r>
      <w:r w:rsidR="003817F5" w:rsidRPr="00D37F9E">
        <w:rPr>
          <w:rFonts w:ascii="SimSun" w:eastAsia="SimSun" w:hAnsi="SimSun" w:cs="SimSun" w:hint="eastAsia"/>
          <w:color w:val="000000"/>
          <w:lang w:eastAsia="zh-CN"/>
        </w:rPr>
        <w:t>署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UNEP</w:t>
      </w:r>
      <w:r w:rsidR="00BD5E50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、联合国大学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UNU</w:t>
      </w:r>
      <w:r w:rsidR="00BD5E50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</w:t>
      </w:r>
      <w:r w:rsidR="003817F5" w:rsidRPr="00D37F9E">
        <w:rPr>
          <w:color w:val="000000"/>
          <w:lang w:eastAsia="zh-CN"/>
        </w:rPr>
        <w:t>联合国工业发展组</w:t>
      </w:r>
      <w:r w:rsidR="003817F5" w:rsidRPr="00D37F9E">
        <w:rPr>
          <w:rFonts w:ascii="SimSun" w:eastAsia="SimSun" w:hAnsi="SimSun" w:cs="SimSun" w:hint="eastAsia"/>
          <w:color w:val="000000"/>
          <w:lang w:eastAsia="zh-CN"/>
        </w:rPr>
        <w:t>织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UNIDO</w:t>
      </w:r>
      <w:r w:rsidR="00BD5E50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</w:t>
      </w:r>
      <w:r w:rsidR="00B64CC9" w:rsidRPr="00D37F9E">
        <w:rPr>
          <w:rFonts w:hint="eastAsia"/>
          <w:lang w:val="en-US" w:eastAsia="zh-CN"/>
        </w:rPr>
        <w:t>《</w:t>
      </w:r>
      <w:r w:rsidRPr="00D37F9E">
        <w:rPr>
          <w:rFonts w:hint="eastAsia"/>
          <w:lang w:val="en-US" w:eastAsia="zh-CN"/>
        </w:rPr>
        <w:t>巴塞尔公约</w:t>
      </w:r>
      <w:r w:rsidR="00B64CC9" w:rsidRPr="00D37F9E">
        <w:rPr>
          <w:rFonts w:hint="eastAsia"/>
          <w:lang w:val="en-US" w:eastAsia="zh-CN"/>
        </w:rPr>
        <w:t>》</w:t>
      </w:r>
      <w:r w:rsidRPr="00D37F9E">
        <w:rPr>
          <w:rFonts w:hint="eastAsia"/>
          <w:lang w:val="en-US" w:eastAsia="zh-CN"/>
        </w:rPr>
        <w:t>秘书处</w:t>
      </w:r>
      <w:r w:rsidRPr="00D37F9E">
        <w:rPr>
          <w:rFonts w:hint="eastAsia"/>
          <w:lang w:val="en-US" w:eastAsia="zh-CN"/>
        </w:rPr>
        <w:lastRenderedPageBreak/>
        <w:t>/</w:t>
      </w:r>
      <w:r w:rsidR="00B64CC9" w:rsidRPr="00D37F9E">
        <w:rPr>
          <w:rFonts w:hint="eastAsia"/>
          <w:lang w:val="en-US" w:eastAsia="zh-CN"/>
        </w:rPr>
        <w:t>《</w:t>
      </w:r>
      <w:r w:rsidR="00B64CC9" w:rsidRPr="00D37F9E">
        <w:rPr>
          <w:rFonts w:hint="eastAsia"/>
          <w:lang w:eastAsia="zh-CN"/>
        </w:rPr>
        <w:t>斯德哥尔摩公约》秘书处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SBC/SSC</w:t>
      </w:r>
      <w:r w:rsidR="00BD5E50" w:rsidRPr="00D37F9E">
        <w:rPr>
          <w:rFonts w:hint="eastAsia"/>
          <w:lang w:eastAsia="zh-CN"/>
        </w:rPr>
        <w:t>）</w:t>
      </w:r>
      <w:r w:rsidR="00C71619" w:rsidRPr="00D37F9E">
        <w:rPr>
          <w:rStyle w:val="FootnoteReference"/>
          <w:szCs w:val="24"/>
        </w:rPr>
        <w:footnoteReference w:id="3"/>
      </w:r>
      <w:r w:rsidRPr="00D37F9E">
        <w:rPr>
          <w:rFonts w:hint="eastAsia"/>
          <w:lang w:val="en-US" w:eastAsia="zh-CN"/>
        </w:rPr>
        <w:t>、</w:t>
      </w:r>
      <w:r w:rsidR="00BD5E50" w:rsidRPr="00D37F9E">
        <w:rPr>
          <w:rFonts w:hint="eastAsia"/>
          <w:lang w:val="en-US" w:eastAsia="zh-CN"/>
        </w:rPr>
        <w:t>联合国培</w:t>
      </w:r>
      <w:r w:rsidRPr="00D37F9E">
        <w:rPr>
          <w:rFonts w:hint="eastAsia"/>
          <w:lang w:val="en-US" w:eastAsia="zh-CN"/>
        </w:rPr>
        <w:t>训研</w:t>
      </w:r>
      <w:r w:rsidR="00BD5E50" w:rsidRPr="00D37F9E">
        <w:rPr>
          <w:rFonts w:hint="eastAsia"/>
          <w:lang w:val="en-US" w:eastAsia="zh-CN"/>
        </w:rPr>
        <w:t>究</w:t>
      </w:r>
      <w:r w:rsidRPr="00D37F9E">
        <w:rPr>
          <w:rFonts w:hint="eastAsia"/>
          <w:lang w:val="en-US" w:eastAsia="zh-CN"/>
        </w:rPr>
        <w:t>所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UNITAR</w:t>
      </w:r>
      <w:r w:rsidR="00BD5E50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</w:t>
      </w:r>
      <w:r w:rsidR="00BD5E50" w:rsidRPr="00D37F9E">
        <w:rPr>
          <w:rFonts w:hint="eastAsia"/>
          <w:lang w:val="en-US" w:eastAsia="zh-CN"/>
        </w:rPr>
        <w:t>国际</w:t>
      </w:r>
      <w:r w:rsidRPr="00D37F9E">
        <w:rPr>
          <w:rFonts w:hint="eastAsia"/>
          <w:lang w:val="en-US" w:eastAsia="zh-CN"/>
        </w:rPr>
        <w:t>劳工组织</w:t>
      </w:r>
      <w:r w:rsidR="00BD5E50" w:rsidRPr="00D37F9E">
        <w:rPr>
          <w:rFonts w:hint="eastAsia"/>
          <w:lang w:val="en-US" w:eastAsia="zh-CN"/>
        </w:rPr>
        <w:t>（</w:t>
      </w:r>
      <w:r w:rsidR="00BD5E50" w:rsidRPr="00D37F9E">
        <w:rPr>
          <w:lang w:eastAsia="zh-CN"/>
        </w:rPr>
        <w:t>ILO</w:t>
      </w:r>
      <w:r w:rsidR="00BD5E50" w:rsidRPr="00D37F9E">
        <w:rPr>
          <w:rFonts w:hint="eastAsia"/>
          <w:lang w:eastAsia="zh-CN"/>
        </w:rPr>
        <w:t>）</w:t>
      </w:r>
      <w:r w:rsidR="00CD709D" w:rsidRPr="00D37F9E">
        <w:rPr>
          <w:rFonts w:hint="eastAsia"/>
          <w:lang w:val="en-US" w:eastAsia="zh-CN"/>
        </w:rPr>
        <w:t>、国际固体废物</w:t>
      </w:r>
      <w:r w:rsidRPr="00D37F9E">
        <w:rPr>
          <w:rFonts w:hint="eastAsia"/>
          <w:lang w:val="en-US" w:eastAsia="zh-CN"/>
        </w:rPr>
        <w:t>组</w:t>
      </w:r>
      <w:r w:rsidR="00CD709D" w:rsidRPr="00D37F9E">
        <w:rPr>
          <w:rFonts w:hint="eastAsia"/>
          <w:lang w:val="en-US" w:eastAsia="zh-CN"/>
        </w:rPr>
        <w:t>织（</w:t>
      </w:r>
      <w:r w:rsidR="00CD709D" w:rsidRPr="00D37F9E">
        <w:rPr>
          <w:lang w:eastAsia="zh-CN"/>
        </w:rPr>
        <w:t>ISWA</w:t>
      </w:r>
      <w:r w:rsidR="00CD709D" w:rsidRPr="00D37F9E">
        <w:rPr>
          <w:rFonts w:hint="eastAsia"/>
          <w:lang w:eastAsia="zh-CN"/>
        </w:rPr>
        <w:t>）</w:t>
      </w:r>
      <w:r w:rsidR="00C71619" w:rsidRPr="00D37F9E">
        <w:rPr>
          <w:rStyle w:val="FootnoteReference"/>
          <w:szCs w:val="24"/>
        </w:rPr>
        <w:footnoteReference w:id="4"/>
      </w:r>
      <w:r w:rsidRPr="00D37F9E">
        <w:rPr>
          <w:rFonts w:hint="eastAsia"/>
          <w:lang w:val="en-US" w:eastAsia="zh-CN"/>
        </w:rPr>
        <w:t>、</w:t>
      </w:r>
      <w:r w:rsidR="00CD709D" w:rsidRPr="00D37F9E">
        <w:rPr>
          <w:rFonts w:hint="eastAsia"/>
          <w:lang w:eastAsia="zh-CN"/>
        </w:rPr>
        <w:t>联合国大学欧洲校务中心</w:t>
      </w:r>
      <w:r w:rsidR="00CD709D" w:rsidRPr="00D37F9E">
        <w:rPr>
          <w:lang w:eastAsia="zh-CN"/>
        </w:rPr>
        <w:t>可持续</w:t>
      </w:r>
      <w:r w:rsidR="00CD709D" w:rsidRPr="00D37F9E">
        <w:rPr>
          <w:rFonts w:hint="eastAsia"/>
          <w:lang w:eastAsia="zh-CN"/>
        </w:rPr>
        <w:t>周期</w:t>
      </w:r>
      <w:r w:rsidR="00CD709D" w:rsidRPr="00D37F9E">
        <w:rPr>
          <w:lang w:eastAsia="zh-CN"/>
        </w:rPr>
        <w:t>计划</w:t>
      </w:r>
      <w:r w:rsidR="008E4942" w:rsidRPr="00D37F9E">
        <w:rPr>
          <w:rFonts w:hint="eastAsia"/>
          <w:lang w:eastAsia="zh-CN"/>
        </w:rPr>
        <w:t>（</w:t>
      </w:r>
      <w:r w:rsidR="008E4942" w:rsidRPr="00D37F9E">
        <w:rPr>
          <w:lang w:eastAsia="zh-CN"/>
        </w:rPr>
        <w:t>UN-</w:t>
      </w:r>
      <w:proofErr w:type="spellStart"/>
      <w:r w:rsidR="008E4942" w:rsidRPr="00D37F9E">
        <w:rPr>
          <w:lang w:eastAsia="zh-CN"/>
        </w:rPr>
        <w:t>ViE</w:t>
      </w:r>
      <w:proofErr w:type="spellEnd"/>
      <w:r w:rsidR="008E4942" w:rsidRPr="00D37F9E">
        <w:rPr>
          <w:lang w:eastAsia="zh-CN"/>
        </w:rPr>
        <w:t xml:space="preserve"> SCYCLE</w:t>
      </w:r>
      <w:r w:rsidR="00C71619" w:rsidRPr="00D37F9E">
        <w:rPr>
          <w:rFonts w:hint="eastAsia"/>
          <w:lang w:eastAsia="zh-CN"/>
        </w:rPr>
        <w:t>）</w:t>
      </w:r>
      <w:r w:rsidR="00C71619" w:rsidRPr="00D37F9E">
        <w:rPr>
          <w:rStyle w:val="FootnoteReference"/>
          <w:szCs w:val="24"/>
        </w:rPr>
        <w:footnoteReference w:id="5"/>
      </w:r>
      <w:r w:rsidR="008E4942" w:rsidRPr="00D37F9E">
        <w:rPr>
          <w:rFonts w:hint="eastAsia"/>
          <w:lang w:eastAsia="zh-CN"/>
        </w:rPr>
        <w:t>签署了</w:t>
      </w:r>
      <w:r w:rsidR="00CD709D" w:rsidRPr="00D37F9E">
        <w:rPr>
          <w:rFonts w:hint="eastAsia"/>
          <w:lang w:eastAsia="zh-CN"/>
        </w:rPr>
        <w:t>电子废弃物项目</w:t>
      </w:r>
      <w:r w:rsidR="008E4942" w:rsidRPr="00D37F9E">
        <w:rPr>
          <w:rFonts w:hint="eastAsia"/>
          <w:lang w:eastAsia="zh-CN"/>
        </w:rPr>
        <w:t>的协议</w:t>
      </w:r>
      <w:r w:rsidRPr="00D37F9E">
        <w:rPr>
          <w:rFonts w:hint="eastAsia"/>
          <w:lang w:val="en-US" w:eastAsia="zh-CN"/>
        </w:rPr>
        <w:t>；与世</w:t>
      </w:r>
      <w:r w:rsidR="00A95EE7" w:rsidRPr="00D37F9E">
        <w:rPr>
          <w:rFonts w:hint="eastAsia"/>
          <w:lang w:val="en-US" w:eastAsia="zh-CN"/>
        </w:rPr>
        <w:t>界</w:t>
      </w:r>
      <w:r w:rsidRPr="00D37F9E">
        <w:rPr>
          <w:rFonts w:hint="eastAsia"/>
          <w:lang w:val="en-US" w:eastAsia="zh-CN"/>
        </w:rPr>
        <w:t>卫</w:t>
      </w:r>
      <w:r w:rsidR="00A95EE7" w:rsidRPr="00D37F9E">
        <w:rPr>
          <w:rFonts w:hint="eastAsia"/>
          <w:lang w:val="en-US" w:eastAsia="zh-CN"/>
        </w:rPr>
        <w:t>生</w:t>
      </w:r>
      <w:r w:rsidRPr="00D37F9E">
        <w:rPr>
          <w:rFonts w:hint="eastAsia"/>
          <w:lang w:val="en-US" w:eastAsia="zh-CN"/>
        </w:rPr>
        <w:t>组织</w:t>
      </w:r>
      <w:r w:rsidR="00A95EE7" w:rsidRPr="00D37F9E">
        <w:rPr>
          <w:rFonts w:hint="eastAsia"/>
          <w:lang w:val="en-US" w:eastAsia="zh-CN"/>
        </w:rPr>
        <w:t>（</w:t>
      </w:r>
      <w:r w:rsidR="008E4942" w:rsidRPr="00D37F9E">
        <w:rPr>
          <w:lang w:eastAsia="zh-CN"/>
        </w:rPr>
        <w:t>WHO</w:t>
      </w:r>
      <w:r w:rsidR="00A95EE7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、世界糖尿病基金会、皮埃尔·法布尔基金会、欧盟</w:t>
      </w:r>
      <w:r w:rsidR="00B64CC9" w:rsidRPr="00D37F9E">
        <w:rPr>
          <w:rFonts w:hint="eastAsia"/>
          <w:lang w:val="en-US" w:eastAsia="zh-CN"/>
        </w:rPr>
        <w:t>（</w:t>
      </w:r>
      <w:r w:rsidR="008E4942" w:rsidRPr="00D37F9E">
        <w:rPr>
          <w:lang w:eastAsia="zh-CN"/>
        </w:rPr>
        <w:t>EU</w:t>
      </w:r>
      <w:r w:rsidR="00B64CC9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、</w:t>
      </w:r>
      <w:r w:rsidRPr="00D37F9E">
        <w:rPr>
          <w:lang w:val="en-US" w:eastAsia="zh-CN"/>
        </w:rPr>
        <w:t>ARM</w:t>
      </w:r>
      <w:r w:rsidRPr="00D37F9E">
        <w:rPr>
          <w:lang w:val="en-US" w:eastAsia="zh-CN"/>
        </w:rPr>
        <w:t>、</w:t>
      </w:r>
      <w:r w:rsidR="00B64CC9" w:rsidRPr="00D37F9E">
        <w:rPr>
          <w:color w:val="000000"/>
          <w:lang w:eastAsia="zh-CN"/>
        </w:rPr>
        <w:t>全球移动通信系统协</w:t>
      </w:r>
      <w:r w:rsidR="00B64CC9" w:rsidRPr="00D37F9E">
        <w:rPr>
          <w:rFonts w:ascii="SimSun" w:eastAsia="SimSun" w:hAnsi="SimSun" w:cs="SimSun" w:hint="eastAsia"/>
          <w:color w:val="000000"/>
          <w:lang w:eastAsia="zh-CN"/>
        </w:rPr>
        <w:t>会（</w:t>
      </w:r>
      <w:r w:rsidRPr="00D37F9E">
        <w:rPr>
          <w:lang w:val="en-US" w:eastAsia="zh-CN"/>
        </w:rPr>
        <w:t>GSMA</w:t>
      </w:r>
      <w:r w:rsidR="00B64CC9" w:rsidRPr="00D37F9E">
        <w:rPr>
          <w:rFonts w:hint="eastAsia"/>
          <w:lang w:val="en-US" w:eastAsia="zh-CN"/>
        </w:rPr>
        <w:t>）</w:t>
      </w:r>
      <w:r w:rsidRPr="00D37F9E">
        <w:rPr>
          <w:rFonts w:hint="eastAsia"/>
          <w:lang w:val="en-US" w:eastAsia="zh-CN"/>
        </w:rPr>
        <w:t>、赛诺菲·阿凡提斯</w:t>
      </w:r>
      <w:r w:rsidR="00C71619" w:rsidRPr="00D37F9E">
        <w:rPr>
          <w:rFonts w:hint="eastAsia"/>
          <w:lang w:val="en-US" w:eastAsia="zh-CN"/>
        </w:rPr>
        <w:t>（</w:t>
      </w:r>
      <w:r w:rsidR="00C71619" w:rsidRPr="00D37F9E">
        <w:rPr>
          <w:lang w:eastAsia="zh-CN"/>
        </w:rPr>
        <w:t xml:space="preserve">Sanofi </w:t>
      </w:r>
      <w:proofErr w:type="spellStart"/>
      <w:r w:rsidR="00C71619" w:rsidRPr="00D37F9E">
        <w:rPr>
          <w:lang w:eastAsia="zh-CN"/>
        </w:rPr>
        <w:t>Avantis</w:t>
      </w:r>
      <w:proofErr w:type="spellEnd"/>
      <w:r w:rsidR="00C71619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集团、诺华</w:t>
      </w:r>
      <w:r w:rsidR="00C71619" w:rsidRPr="00D37F9E">
        <w:rPr>
          <w:rFonts w:hint="eastAsia"/>
          <w:lang w:val="en-US" w:eastAsia="zh-CN"/>
        </w:rPr>
        <w:t>（</w:t>
      </w:r>
      <w:r w:rsidR="00C71619" w:rsidRPr="00D37F9E">
        <w:rPr>
          <w:lang w:eastAsia="zh-CN"/>
        </w:rPr>
        <w:t>Novartis</w:t>
      </w:r>
      <w:r w:rsidR="00C71619" w:rsidRPr="00D37F9E">
        <w:rPr>
          <w:rFonts w:hint="eastAsia"/>
          <w:lang w:eastAsia="zh-CN"/>
        </w:rPr>
        <w:t>）</w:t>
      </w:r>
      <w:r w:rsidRPr="00D37F9E">
        <w:rPr>
          <w:rFonts w:hint="eastAsia"/>
          <w:lang w:val="en-US" w:eastAsia="zh-CN"/>
        </w:rPr>
        <w:t>制药公司、葛兰素史克</w:t>
      </w:r>
      <w:r w:rsidR="00C71619" w:rsidRPr="00D37F9E">
        <w:rPr>
          <w:rFonts w:hint="eastAsia"/>
          <w:lang w:val="en-US" w:eastAsia="zh-CN"/>
        </w:rPr>
        <w:t>（</w:t>
      </w:r>
      <w:proofErr w:type="spellStart"/>
      <w:r w:rsidR="00C71619" w:rsidRPr="00D37F9E">
        <w:rPr>
          <w:lang w:eastAsia="zh-CN"/>
        </w:rPr>
        <w:t>Glaxosmithkline</w:t>
      </w:r>
      <w:proofErr w:type="spellEnd"/>
      <w:r w:rsidR="00C71619" w:rsidRPr="00D37F9E">
        <w:rPr>
          <w:lang w:eastAsia="zh-CN"/>
        </w:rPr>
        <w:t xml:space="preserve"> </w:t>
      </w:r>
      <w:r w:rsidRPr="00D37F9E">
        <w:rPr>
          <w:rFonts w:hint="eastAsia"/>
          <w:lang w:val="en-US" w:eastAsia="zh-CN"/>
        </w:rPr>
        <w:t>(</w:t>
      </w:r>
      <w:r w:rsidRPr="00D37F9E">
        <w:rPr>
          <w:lang w:val="en-US" w:eastAsia="zh-CN"/>
        </w:rPr>
        <w:t>GSK</w:t>
      </w:r>
      <w:r w:rsidRPr="00D37F9E">
        <w:rPr>
          <w:rFonts w:hint="eastAsia"/>
          <w:lang w:val="en-US" w:eastAsia="zh-CN"/>
        </w:rPr>
        <w:t>)</w:t>
      </w:r>
      <w:r w:rsidR="008E4942" w:rsidRPr="00D37F9E">
        <w:rPr>
          <w:rFonts w:hint="eastAsia"/>
          <w:lang w:val="en-US" w:eastAsia="zh-CN"/>
        </w:rPr>
        <w:t>服务公司和挪威卫生局签署了</w:t>
      </w:r>
      <w:r w:rsidRPr="00D37F9E">
        <w:rPr>
          <w:rFonts w:hint="eastAsia"/>
          <w:lang w:val="en-US" w:eastAsia="zh-CN"/>
        </w:rPr>
        <w:t>开展</w:t>
      </w:r>
      <w:r w:rsidR="008E4942" w:rsidRPr="00D37F9E">
        <w:rPr>
          <w:rFonts w:hint="eastAsia"/>
          <w:lang w:val="en-US" w:eastAsia="zh-CN"/>
        </w:rPr>
        <w:t>移动卫生</w:t>
      </w:r>
      <w:r w:rsidRPr="00D37F9E">
        <w:rPr>
          <w:rFonts w:hint="eastAsia"/>
          <w:lang w:val="en-US" w:eastAsia="zh-CN"/>
        </w:rPr>
        <w:t>项目</w:t>
      </w:r>
      <w:r w:rsidR="008E4942" w:rsidRPr="00D37F9E">
        <w:rPr>
          <w:rFonts w:hint="eastAsia"/>
          <w:lang w:val="en-US" w:eastAsia="zh-CN"/>
        </w:rPr>
        <w:t>的协议；与粮农组织（</w:t>
      </w:r>
      <w:r w:rsidR="008E4942" w:rsidRPr="00D37F9E">
        <w:rPr>
          <w:lang w:val="en-US" w:eastAsia="zh-CN"/>
        </w:rPr>
        <w:t>FAO</w:t>
      </w:r>
      <w:r w:rsidR="008E4942" w:rsidRPr="00D37F9E">
        <w:rPr>
          <w:rFonts w:hint="eastAsia"/>
          <w:lang w:val="en-US" w:eastAsia="zh-CN"/>
        </w:rPr>
        <w:t>）签署了有关</w:t>
      </w:r>
      <w:r w:rsidRPr="00D37F9E">
        <w:rPr>
          <w:rFonts w:hint="eastAsia"/>
          <w:lang w:val="en-US" w:eastAsia="zh-CN"/>
        </w:rPr>
        <w:t>电子农业</w:t>
      </w:r>
      <w:r w:rsidR="008E4942" w:rsidRPr="00D37F9E">
        <w:rPr>
          <w:rFonts w:hint="eastAsia"/>
          <w:lang w:val="en-US" w:eastAsia="zh-CN"/>
        </w:rPr>
        <w:t>的协议</w:t>
      </w:r>
      <w:r w:rsidRPr="00D37F9E">
        <w:rPr>
          <w:rFonts w:hint="eastAsia"/>
          <w:lang w:val="en-US" w:eastAsia="zh-CN"/>
        </w:rPr>
        <w:t>；以及</w:t>
      </w:r>
      <w:r w:rsidR="008E4942" w:rsidRPr="00D37F9E">
        <w:rPr>
          <w:rFonts w:hint="eastAsia"/>
          <w:lang w:val="en-US" w:eastAsia="zh-CN"/>
        </w:rPr>
        <w:t>与</w:t>
      </w:r>
      <w:r w:rsidR="00C71619" w:rsidRPr="00D37F9E">
        <w:rPr>
          <w:color w:val="000000"/>
          <w:lang w:eastAsia="zh-CN"/>
        </w:rPr>
        <w:t>比尔及梅琳达</w:t>
      </w:r>
      <w:r w:rsidR="003C7F93" w:rsidRPr="003C7F93">
        <w:rPr>
          <w:color w:val="000000"/>
          <w:lang w:eastAsia="zh-CN"/>
        </w:rPr>
        <w:t>•</w:t>
      </w:r>
      <w:r w:rsidR="00C71619" w:rsidRPr="00D37F9E">
        <w:rPr>
          <w:color w:val="000000"/>
          <w:lang w:eastAsia="zh-CN"/>
        </w:rPr>
        <w:t>盖茨基金</w:t>
      </w:r>
      <w:r w:rsidR="00C71619" w:rsidRPr="00D37F9E">
        <w:rPr>
          <w:rFonts w:ascii="SimSun" w:eastAsia="SimSun" w:hAnsi="SimSun" w:cs="SimSun" w:hint="eastAsia"/>
          <w:color w:val="000000"/>
          <w:lang w:eastAsia="zh-CN"/>
        </w:rPr>
        <w:t>会</w:t>
      </w:r>
      <w:r w:rsidR="008E4942" w:rsidRPr="00D37F9E">
        <w:rPr>
          <w:rFonts w:hint="eastAsia"/>
          <w:lang w:val="en-US" w:eastAsia="zh-CN"/>
        </w:rPr>
        <w:t>签署了</w:t>
      </w:r>
      <w:r w:rsidR="00C71619" w:rsidRPr="00D37F9E">
        <w:rPr>
          <w:color w:val="000000"/>
          <w:lang w:eastAsia="zh-CN"/>
        </w:rPr>
        <w:t>金融包容</w:t>
      </w:r>
      <w:proofErr w:type="gramStart"/>
      <w:r w:rsidR="00C71619" w:rsidRPr="00D37F9E">
        <w:rPr>
          <w:color w:val="000000"/>
          <w:lang w:eastAsia="zh-CN"/>
        </w:rPr>
        <w:t>性全球</w:t>
      </w:r>
      <w:proofErr w:type="gramEnd"/>
      <w:r w:rsidR="00C71619" w:rsidRPr="00D37F9E">
        <w:rPr>
          <w:color w:val="000000"/>
          <w:lang w:eastAsia="zh-CN"/>
        </w:rPr>
        <w:t>举</w:t>
      </w:r>
      <w:r w:rsidR="00C71619" w:rsidRPr="00D37F9E">
        <w:rPr>
          <w:rFonts w:ascii="SimSun" w:eastAsia="SimSun" w:hAnsi="SimSun" w:cs="SimSun" w:hint="eastAsia"/>
          <w:color w:val="000000"/>
          <w:lang w:eastAsia="zh-CN"/>
        </w:rPr>
        <w:t>措</w:t>
      </w:r>
      <w:r w:rsidR="008E4942" w:rsidRPr="00D37F9E">
        <w:rPr>
          <w:rFonts w:hint="eastAsia"/>
          <w:lang w:val="en-US" w:eastAsia="zh-CN"/>
        </w:rPr>
        <w:t>（</w:t>
      </w:r>
      <w:r w:rsidR="008E4942" w:rsidRPr="00D37F9E">
        <w:rPr>
          <w:lang w:eastAsia="zh-CN"/>
        </w:rPr>
        <w:t>FIGI</w:t>
      </w:r>
      <w:r w:rsidR="008E4942" w:rsidRPr="00D37F9E">
        <w:rPr>
          <w:rFonts w:hint="eastAsia"/>
          <w:lang w:eastAsia="zh-CN"/>
        </w:rPr>
        <w:t>）</w:t>
      </w:r>
      <w:r w:rsidR="00A95EE7" w:rsidRPr="00D37F9E">
        <w:rPr>
          <w:rFonts w:hint="eastAsia"/>
          <w:lang w:val="en-US" w:eastAsia="zh-CN"/>
        </w:rPr>
        <w:t>。</w:t>
      </w:r>
    </w:p>
    <w:p w:rsidR="00C76187" w:rsidRPr="00D37F9E" w:rsidRDefault="00A95EE7" w:rsidP="00B737C8">
      <w:pPr>
        <w:ind w:firstLineChars="200" w:firstLine="480"/>
      </w:pPr>
      <w:r w:rsidRPr="00D37F9E">
        <w:rPr>
          <w:rFonts w:hint="eastAsia"/>
        </w:rPr>
        <w:t>与主要利益攸关方建立伙伴关系，使</w:t>
      </w:r>
      <w:r w:rsidR="003817F5" w:rsidRPr="00D37F9E">
        <w:rPr>
          <w:rFonts w:hint="eastAsia"/>
        </w:rPr>
        <w:t>电信发展局</w:t>
      </w:r>
      <w:r w:rsidRPr="00D37F9E">
        <w:rPr>
          <w:rFonts w:hint="eastAsia"/>
        </w:rPr>
        <w:t>能够筹集资源，分担项目成本，防止工作重叠和重复，</w:t>
      </w:r>
      <w:r w:rsidR="0026193B" w:rsidRPr="00D37F9E">
        <w:rPr>
          <w:rFonts w:hint="eastAsia"/>
        </w:rPr>
        <w:t>提高</w:t>
      </w:r>
      <w:r w:rsidRPr="00D37F9E">
        <w:rPr>
          <w:rFonts w:hint="eastAsia"/>
        </w:rPr>
        <w:t>项目</w:t>
      </w:r>
      <w:r w:rsidR="0026193B" w:rsidRPr="00D37F9E">
        <w:rPr>
          <w:rFonts w:hint="eastAsia"/>
        </w:rPr>
        <w:t>的</w:t>
      </w:r>
      <w:r w:rsidRPr="00D37F9E">
        <w:rPr>
          <w:rFonts w:hint="eastAsia"/>
        </w:rPr>
        <w:t>影响</w:t>
      </w:r>
      <w:r w:rsidR="0026193B" w:rsidRPr="00D37F9E">
        <w:rPr>
          <w:rFonts w:hint="eastAsia"/>
        </w:rPr>
        <w:t>力，并</w:t>
      </w:r>
      <w:proofErr w:type="gramStart"/>
      <w:r w:rsidR="0026193B" w:rsidRPr="00D37F9E">
        <w:rPr>
          <w:rFonts w:hint="eastAsia"/>
        </w:rPr>
        <w:t>提</w:t>
      </w:r>
      <w:r w:rsidR="002F70A4" w:rsidRPr="00D37F9E">
        <w:rPr>
          <w:rFonts w:hint="eastAsia"/>
        </w:rPr>
        <w:t>增加</w:t>
      </w:r>
      <w:proofErr w:type="gramEnd"/>
      <w:r w:rsidR="003817F5" w:rsidRPr="00D37F9E">
        <w:rPr>
          <w:rFonts w:hint="eastAsia"/>
        </w:rPr>
        <w:t>电信发展局</w:t>
      </w:r>
      <w:r w:rsidR="002F70A4" w:rsidRPr="00D37F9E">
        <w:rPr>
          <w:rFonts w:hint="eastAsia"/>
        </w:rPr>
        <w:t>对外部受众的</w:t>
      </w:r>
      <w:r w:rsidR="00744B5F" w:rsidRPr="00D37F9E">
        <w:rPr>
          <w:rFonts w:hint="eastAsia"/>
        </w:rPr>
        <w:t>知名</w:t>
      </w:r>
      <w:r w:rsidR="002F70A4" w:rsidRPr="00D37F9E">
        <w:rPr>
          <w:rFonts w:hint="eastAsia"/>
        </w:rPr>
        <w:t>度。它还提供了通过联合宣传</w:t>
      </w:r>
      <w:r w:rsidRPr="00D37F9E">
        <w:rPr>
          <w:rFonts w:hint="eastAsia"/>
        </w:rPr>
        <w:t>活动接触非传统资源伙伴的新机会。</w:t>
      </w:r>
    </w:p>
    <w:p w:rsidR="00D665A1" w:rsidRPr="00D37F9E" w:rsidRDefault="00D665A1" w:rsidP="00B737C8">
      <w:pPr>
        <w:ind w:firstLineChars="200" w:firstLine="480"/>
        <w:rPr>
          <w:color w:val="333333"/>
          <w:lang w:eastAsia="zh-CN"/>
        </w:rPr>
      </w:pPr>
      <w:r w:rsidRPr="00D37F9E">
        <w:rPr>
          <w:rFonts w:hint="eastAsia"/>
          <w:color w:val="333333"/>
          <w:lang w:eastAsia="zh-CN"/>
        </w:rPr>
        <w:t>及时有效地</w:t>
      </w:r>
      <w:proofErr w:type="gramStart"/>
      <w:r w:rsidRPr="00D37F9E">
        <w:rPr>
          <w:rFonts w:hint="eastAsia"/>
          <w:color w:val="333333"/>
          <w:lang w:eastAsia="zh-CN"/>
        </w:rPr>
        <w:t>实施伙伴</w:t>
      </w:r>
      <w:proofErr w:type="gramEnd"/>
      <w:r w:rsidRPr="00D37F9E">
        <w:rPr>
          <w:rFonts w:hint="eastAsia"/>
          <w:color w:val="333333"/>
          <w:lang w:eastAsia="zh-CN"/>
        </w:rPr>
        <w:t>关系产品</w:t>
      </w:r>
      <w:r w:rsidR="00B737C8">
        <w:rPr>
          <w:rFonts w:hint="eastAsia"/>
          <w:color w:val="333333"/>
          <w:lang w:eastAsia="zh-CN"/>
        </w:rPr>
        <w:t>（</w:t>
      </w:r>
      <w:r w:rsidR="002F70A4" w:rsidRPr="00D37F9E">
        <w:rPr>
          <w:rFonts w:hint="eastAsia"/>
          <w:color w:val="333333"/>
          <w:lang w:eastAsia="zh-CN"/>
        </w:rPr>
        <w:t>如</w:t>
      </w:r>
      <w:r w:rsidRPr="00D37F9E">
        <w:rPr>
          <w:rFonts w:hint="eastAsia"/>
          <w:color w:val="333333"/>
          <w:lang w:eastAsia="zh-CN"/>
        </w:rPr>
        <w:t>项目和赞助</w:t>
      </w:r>
      <w:r w:rsidR="00B737C8">
        <w:rPr>
          <w:rFonts w:hint="eastAsia"/>
          <w:color w:val="333333"/>
          <w:lang w:eastAsia="zh-CN"/>
        </w:rPr>
        <w:t>），</w:t>
      </w:r>
      <w:r w:rsidR="00BC45D4" w:rsidRPr="00D37F9E">
        <w:rPr>
          <w:rFonts w:hint="eastAsia"/>
          <w:color w:val="333333"/>
          <w:lang w:eastAsia="zh-CN"/>
        </w:rPr>
        <w:t>取得高质量的成果和沟通，</w:t>
      </w:r>
      <w:r w:rsidR="002F70A4" w:rsidRPr="00D37F9E">
        <w:rPr>
          <w:rFonts w:hint="eastAsia"/>
          <w:color w:val="333333"/>
          <w:lang w:eastAsia="zh-CN"/>
        </w:rPr>
        <w:t>这</w:t>
      </w:r>
      <w:r w:rsidR="00BC45D4" w:rsidRPr="00D37F9E">
        <w:rPr>
          <w:rFonts w:hint="eastAsia"/>
          <w:color w:val="333333"/>
          <w:lang w:eastAsia="zh-CN"/>
        </w:rPr>
        <w:t>对于为加强未来的伙伴关系和资源筹措而获得伙伴的信任、信心和满意</w:t>
      </w:r>
      <w:r w:rsidR="002F70A4" w:rsidRPr="00D37F9E">
        <w:rPr>
          <w:rFonts w:hint="eastAsia"/>
          <w:color w:val="333333"/>
          <w:lang w:eastAsia="zh-CN"/>
        </w:rPr>
        <w:t>至关重要。一个很好的例子是与欧</w:t>
      </w:r>
      <w:r w:rsidR="0084569B" w:rsidRPr="00D37F9E">
        <w:rPr>
          <w:rFonts w:hint="eastAsia"/>
          <w:color w:val="333333"/>
          <w:lang w:eastAsia="zh-CN"/>
        </w:rPr>
        <w:t>洲</w:t>
      </w:r>
      <w:r w:rsidRPr="00D37F9E">
        <w:rPr>
          <w:rFonts w:hint="eastAsia"/>
          <w:color w:val="333333"/>
          <w:lang w:eastAsia="zh-CN"/>
        </w:rPr>
        <w:t>委员会</w:t>
      </w:r>
      <w:r w:rsidR="002F70A4" w:rsidRPr="00D37F9E">
        <w:rPr>
          <w:rFonts w:hint="eastAsia"/>
          <w:color w:val="333333"/>
          <w:lang w:eastAsia="zh-CN"/>
        </w:rPr>
        <w:t>关于“通过改善和协调非洲大陆的频谱使</w:t>
      </w:r>
      <w:r w:rsidRPr="00D37F9E">
        <w:rPr>
          <w:rFonts w:hint="eastAsia"/>
          <w:color w:val="333333"/>
          <w:lang w:eastAsia="zh-CN"/>
        </w:rPr>
        <w:t>用和监管，提高无线宽带普及率”</w:t>
      </w:r>
      <w:r w:rsidR="002F70A4" w:rsidRPr="00D37F9E">
        <w:rPr>
          <w:rFonts w:hint="eastAsia"/>
          <w:color w:val="333333"/>
          <w:lang w:eastAsia="zh-CN"/>
        </w:rPr>
        <w:t>的伙伴关系</w:t>
      </w:r>
      <w:r w:rsidRPr="00D37F9E">
        <w:rPr>
          <w:rFonts w:hint="eastAsia"/>
          <w:color w:val="333333"/>
          <w:lang w:eastAsia="zh-CN"/>
        </w:rPr>
        <w:t>，总价值为</w:t>
      </w:r>
      <w:r w:rsidRPr="00D37F9E">
        <w:rPr>
          <w:rFonts w:hint="eastAsia"/>
          <w:color w:val="333333"/>
          <w:lang w:eastAsia="zh-CN"/>
        </w:rPr>
        <w:t>550</w:t>
      </w:r>
      <w:r w:rsidR="002F70A4" w:rsidRPr="00D37F9E">
        <w:rPr>
          <w:rFonts w:hint="eastAsia"/>
          <w:color w:val="333333"/>
          <w:lang w:eastAsia="zh-CN"/>
        </w:rPr>
        <w:t>万欧元，既鼓励加强与非洲联盟的伙伴关系，</w:t>
      </w:r>
      <w:r w:rsidR="00BC45D4" w:rsidRPr="00D37F9E">
        <w:rPr>
          <w:rFonts w:hint="eastAsia"/>
          <w:color w:val="333333"/>
          <w:lang w:eastAsia="zh-CN"/>
        </w:rPr>
        <w:t>同时</w:t>
      </w:r>
      <w:r w:rsidR="002F70A4" w:rsidRPr="00D37F9E">
        <w:rPr>
          <w:rFonts w:hint="eastAsia"/>
          <w:color w:val="333333"/>
          <w:lang w:eastAsia="zh-CN"/>
        </w:rPr>
        <w:t>也</w:t>
      </w:r>
      <w:r w:rsidR="00BC45D4" w:rsidRPr="00D37F9E">
        <w:rPr>
          <w:rFonts w:hint="eastAsia"/>
          <w:color w:val="333333"/>
          <w:lang w:eastAsia="zh-CN"/>
        </w:rPr>
        <w:t>促进</w:t>
      </w:r>
      <w:r w:rsidRPr="00D37F9E">
        <w:rPr>
          <w:rFonts w:hint="eastAsia"/>
          <w:color w:val="333333"/>
          <w:lang w:eastAsia="zh-CN"/>
        </w:rPr>
        <w:t>国际电联内部的团队合作。</w:t>
      </w:r>
    </w:p>
    <w:p w:rsidR="00C76187" w:rsidRPr="00D37F9E" w:rsidRDefault="008E0E1C" w:rsidP="00704705">
      <w:pPr>
        <w:ind w:firstLineChars="200" w:firstLine="480"/>
        <w:rPr>
          <w:rFonts w:cs="Calibri"/>
          <w:b/>
          <w:bCs/>
          <w:iCs/>
        </w:rPr>
      </w:pPr>
      <w:r w:rsidRPr="00D37F9E">
        <w:rPr>
          <w:rFonts w:hint="eastAsia"/>
          <w:color w:val="333333"/>
          <w:lang w:eastAsia="zh-CN"/>
        </w:rPr>
        <w:t>在</w:t>
      </w:r>
      <w:r w:rsidR="00B737C8" w:rsidRPr="00B737C8">
        <w:rPr>
          <w:rFonts w:eastAsia="STKaiti"/>
        </w:rPr>
        <w:fldChar w:fldCharType="begin"/>
      </w:r>
      <w:r w:rsidR="00B737C8" w:rsidRPr="00B737C8">
        <w:rPr>
          <w:rFonts w:eastAsia="STKaiti"/>
          <w:lang w:eastAsia="zh-CN"/>
        </w:rPr>
        <w:instrText xml:space="preserve"> HYPERLINK "http://www.itu.int/go/en/itudsponsorships" </w:instrText>
      </w:r>
      <w:r w:rsidR="00B737C8" w:rsidRPr="00B737C8">
        <w:rPr>
          <w:rFonts w:eastAsia="STKaiti"/>
        </w:rPr>
      </w:r>
      <w:r w:rsidR="00B737C8" w:rsidRPr="00B737C8">
        <w:rPr>
          <w:rFonts w:eastAsia="STKaiti"/>
        </w:rPr>
        <w:fldChar w:fldCharType="separate"/>
      </w:r>
      <w:r w:rsidRPr="00B737C8">
        <w:rPr>
          <w:rStyle w:val="Hyperlink"/>
          <w:rFonts w:eastAsia="STKaiti" w:hint="eastAsia"/>
          <w:lang w:eastAsia="zh-CN"/>
        </w:rPr>
        <w:t>赞助机会平台</w:t>
      </w:r>
      <w:r w:rsidR="00B737C8" w:rsidRPr="00B737C8">
        <w:rPr>
          <w:rFonts w:eastAsia="STKaiti"/>
        </w:rPr>
        <w:fldChar w:fldCharType="end"/>
      </w:r>
      <w:r w:rsidR="009F71BC" w:rsidRPr="00D37F9E">
        <w:rPr>
          <w:rFonts w:hint="eastAsia"/>
          <w:color w:val="333333"/>
          <w:lang w:eastAsia="zh-CN"/>
        </w:rPr>
        <w:t>上已经提出了利用</w:t>
      </w:r>
      <w:r w:rsidR="003817F5" w:rsidRPr="00D37F9E">
        <w:rPr>
          <w:rFonts w:hint="eastAsia"/>
          <w:color w:val="333333"/>
          <w:lang w:eastAsia="zh-CN"/>
        </w:rPr>
        <w:t>电信发展局</w:t>
      </w:r>
      <w:r w:rsidRPr="00D37F9E">
        <w:rPr>
          <w:rFonts w:hint="eastAsia"/>
          <w:color w:val="333333"/>
          <w:lang w:eastAsia="zh-CN"/>
        </w:rPr>
        <w:t>组织的活动</w:t>
      </w:r>
      <w:r w:rsidR="00B737C8">
        <w:rPr>
          <w:rFonts w:hint="eastAsia"/>
          <w:color w:val="333333"/>
          <w:lang w:eastAsia="zh-CN"/>
        </w:rPr>
        <w:t>（</w:t>
      </w:r>
      <w:r w:rsidRPr="00D37F9E">
        <w:rPr>
          <w:rFonts w:hint="eastAsia"/>
          <w:color w:val="333333"/>
          <w:lang w:eastAsia="zh-CN"/>
        </w:rPr>
        <w:t>例如全球监管机构</w:t>
      </w:r>
      <w:r w:rsidR="00744B5F" w:rsidRPr="00D37F9E">
        <w:rPr>
          <w:rFonts w:hint="eastAsia"/>
          <w:color w:val="333333"/>
          <w:lang w:eastAsia="zh-CN"/>
        </w:rPr>
        <w:t>专题</w:t>
      </w:r>
      <w:r w:rsidRPr="00D37F9E">
        <w:rPr>
          <w:rFonts w:hint="eastAsia"/>
          <w:color w:val="333333"/>
          <w:lang w:eastAsia="zh-CN"/>
        </w:rPr>
        <w:t>研讨会</w:t>
      </w:r>
      <w:r w:rsidR="00B737C8">
        <w:rPr>
          <w:rFonts w:hint="eastAsia"/>
          <w:color w:val="333333"/>
          <w:lang w:eastAsia="zh-CN"/>
        </w:rPr>
        <w:t>（</w:t>
      </w:r>
      <w:r w:rsidRPr="00D37F9E">
        <w:rPr>
          <w:color w:val="333333"/>
          <w:lang w:eastAsia="zh-CN"/>
        </w:rPr>
        <w:t>GSR</w:t>
      </w:r>
      <w:r w:rsidR="00704705">
        <w:rPr>
          <w:color w:val="333333"/>
          <w:lang w:eastAsia="zh-CN"/>
        </w:rPr>
        <w:t>-</w:t>
      </w:r>
      <w:r w:rsidRPr="00D37F9E">
        <w:rPr>
          <w:color w:val="333333"/>
          <w:lang w:eastAsia="zh-CN"/>
        </w:rPr>
        <w:t>18</w:t>
      </w:r>
      <w:r w:rsidR="00B737C8">
        <w:rPr>
          <w:rFonts w:hint="eastAsia"/>
          <w:color w:val="333333"/>
          <w:lang w:eastAsia="zh-CN"/>
        </w:rPr>
        <w:t>）</w:t>
      </w:r>
      <w:r w:rsidRPr="00D37F9E">
        <w:rPr>
          <w:rFonts w:hint="eastAsia"/>
          <w:color w:val="333333"/>
          <w:lang w:eastAsia="zh-CN"/>
        </w:rPr>
        <w:t>和</w:t>
      </w:r>
      <w:r w:rsidRPr="00D37F9E">
        <w:rPr>
          <w:color w:val="333333"/>
          <w:lang w:eastAsia="zh-CN"/>
        </w:rPr>
        <w:t>ITU-D</w:t>
      </w:r>
      <w:r w:rsidRPr="00D37F9E">
        <w:rPr>
          <w:rFonts w:hint="eastAsia"/>
          <w:color w:val="333333"/>
          <w:lang w:eastAsia="zh-CN"/>
        </w:rPr>
        <w:t>研究组</w:t>
      </w:r>
      <w:r w:rsidR="00B737C8">
        <w:rPr>
          <w:rFonts w:hint="eastAsia"/>
          <w:color w:val="333333"/>
          <w:lang w:eastAsia="zh-CN"/>
        </w:rPr>
        <w:t>（</w:t>
      </w:r>
      <w:r w:rsidRPr="00D37F9E">
        <w:rPr>
          <w:color w:val="333333"/>
          <w:lang w:eastAsia="zh-CN"/>
        </w:rPr>
        <w:t>ITU-D RGM</w:t>
      </w:r>
      <w:r w:rsidR="00704705">
        <w:rPr>
          <w:color w:val="333333"/>
          <w:lang w:eastAsia="zh-CN"/>
        </w:rPr>
        <w:t>-</w:t>
      </w:r>
      <w:r w:rsidRPr="00D37F9E">
        <w:rPr>
          <w:color w:val="333333"/>
          <w:lang w:eastAsia="zh-CN"/>
        </w:rPr>
        <w:t>18</w:t>
      </w:r>
      <w:r w:rsidR="00B737C8">
        <w:rPr>
          <w:rFonts w:hint="eastAsia"/>
          <w:color w:val="333333"/>
          <w:lang w:eastAsia="zh-CN"/>
        </w:rPr>
        <w:t>）</w:t>
      </w:r>
      <w:r w:rsidR="00744B5F" w:rsidRPr="00D37F9E">
        <w:rPr>
          <w:rFonts w:hint="eastAsia"/>
          <w:color w:val="333333"/>
          <w:lang w:eastAsia="zh-CN"/>
        </w:rPr>
        <w:t>的</w:t>
      </w:r>
      <w:r w:rsidRPr="00D37F9E">
        <w:rPr>
          <w:rFonts w:hint="eastAsia"/>
          <w:color w:val="333333"/>
          <w:lang w:eastAsia="zh-CN"/>
        </w:rPr>
        <w:t>会外</w:t>
      </w:r>
      <w:r w:rsidRPr="00D37F9E">
        <w:rPr>
          <w:rFonts w:hint="eastAsia"/>
          <w:color w:val="333333"/>
          <w:lang w:eastAsia="zh-CN"/>
        </w:rPr>
        <w:t>/</w:t>
      </w:r>
      <w:r w:rsidR="00744B5F" w:rsidRPr="00D37F9E">
        <w:rPr>
          <w:rFonts w:hint="eastAsia"/>
          <w:color w:val="333333"/>
          <w:lang w:eastAsia="zh-CN"/>
        </w:rPr>
        <w:t>社交活动</w:t>
      </w:r>
      <w:r w:rsidRPr="00D37F9E">
        <w:rPr>
          <w:rFonts w:hint="eastAsia"/>
          <w:color w:val="333333"/>
          <w:lang w:eastAsia="zh-CN"/>
        </w:rPr>
        <w:t>赞助方案。</w:t>
      </w:r>
      <w:r w:rsidRPr="00D37F9E">
        <w:rPr>
          <w:rFonts w:ascii="Book Antiqua" w:eastAsia="SimSun" w:hAnsi="Book Antiqua"/>
        </w:rPr>
        <w:t>筹措的资源用于</w:t>
      </w:r>
      <w:r w:rsidR="00E8791A" w:rsidRPr="00D37F9E">
        <w:rPr>
          <w:rFonts w:ascii="Book Antiqua" w:eastAsia="SimSun" w:hAnsi="Book Antiqua"/>
        </w:rPr>
        <w:t>组织各项赞助活动</w:t>
      </w:r>
      <w:r w:rsidRPr="00D37F9E">
        <w:rPr>
          <w:rFonts w:ascii="Book Antiqua" w:eastAsia="SimSun" w:hAnsi="Book Antiqua"/>
        </w:rPr>
        <w:t>及</w:t>
      </w:r>
      <w:r w:rsidR="00EE0FA3" w:rsidRPr="00D37F9E">
        <w:rPr>
          <w:rFonts w:ascii="Book Antiqua" w:eastAsia="SimSun" w:hAnsi="Book Antiqua"/>
        </w:rPr>
        <w:t>有益</w:t>
      </w:r>
      <w:bookmarkStart w:id="13" w:name="_GoBack"/>
      <w:bookmarkEnd w:id="13"/>
      <w:r w:rsidR="00EE0FA3" w:rsidRPr="00D37F9E">
        <w:rPr>
          <w:rFonts w:ascii="Book Antiqua" w:eastAsia="SimSun" w:hAnsi="Book Antiqua"/>
        </w:rPr>
        <w:t>于</w:t>
      </w:r>
      <w:r w:rsidR="00744B5F" w:rsidRPr="00D37F9E">
        <w:rPr>
          <w:rFonts w:ascii="Book Antiqua" w:eastAsia="SimSun" w:hAnsi="Book Antiqua" w:hint="eastAsia"/>
        </w:rPr>
        <w:t>知名度</w:t>
      </w:r>
      <w:r w:rsidR="00EE0FA3" w:rsidRPr="00D37F9E">
        <w:rPr>
          <w:rFonts w:ascii="Book Antiqua" w:eastAsia="SimSun" w:hAnsi="Book Antiqua"/>
        </w:rPr>
        <w:t>的相关活动</w:t>
      </w:r>
      <w:r w:rsidRPr="00D37F9E">
        <w:rPr>
          <w:rFonts w:ascii="Book Antiqua" w:eastAsia="SimSun" w:hAnsi="Book Antiqua"/>
        </w:rPr>
        <w:t>，</w:t>
      </w:r>
      <w:r w:rsidR="00EE0FA3" w:rsidRPr="00D37F9E">
        <w:rPr>
          <w:rFonts w:ascii="Book Antiqua" w:eastAsia="SimSun" w:hAnsi="Book Antiqua"/>
        </w:rPr>
        <w:t>并作为落实各项活动、项目和</w:t>
      </w:r>
      <w:r w:rsidR="00E8791A" w:rsidRPr="00D37F9E">
        <w:rPr>
          <w:rFonts w:ascii="Book Antiqua" w:eastAsia="SimSun" w:hAnsi="Book Antiqua"/>
        </w:rPr>
        <w:t>举措的种子基金</w:t>
      </w:r>
      <w:r w:rsidRPr="00D37F9E">
        <w:rPr>
          <w:rFonts w:ascii="Book Antiqua" w:eastAsia="SimSun" w:hAnsi="Book Antiqua"/>
        </w:rPr>
        <w:t>，</w:t>
      </w:r>
      <w:r w:rsidR="00EE0FA3" w:rsidRPr="00D37F9E">
        <w:rPr>
          <w:rFonts w:ascii="Book Antiqua" w:eastAsia="SimSun" w:hAnsi="Book Antiqua"/>
        </w:rPr>
        <w:t>包括区域性举措在内，</w:t>
      </w:r>
      <w:r w:rsidRPr="00D37F9E">
        <w:rPr>
          <w:rFonts w:ascii="Book Antiqua" w:eastAsia="SimSun" w:hAnsi="Book Antiqua"/>
        </w:rPr>
        <w:t>也可能用作奖学</w:t>
      </w:r>
      <w:r w:rsidR="00EE0FA3" w:rsidRPr="00D37F9E">
        <w:rPr>
          <w:rFonts w:ascii="Book Antiqua" w:eastAsia="SimSun" w:hAnsi="Book Antiqua"/>
        </w:rPr>
        <w:t>金</w:t>
      </w:r>
      <w:r w:rsidR="00E8791A" w:rsidRPr="00D37F9E">
        <w:rPr>
          <w:rFonts w:ascii="Book Antiqua" w:eastAsia="SimSun" w:hAnsi="Book Antiqua" w:hint="eastAsia"/>
        </w:rPr>
        <w:t>。</w:t>
      </w:r>
    </w:p>
    <w:p w:rsidR="00C76187" w:rsidRPr="00D37F9E" w:rsidRDefault="00C76187" w:rsidP="00B737C8">
      <w:pPr>
        <w:pStyle w:val="Heading2"/>
        <w:rPr>
          <w:rFonts w:cstheme="minorHAnsi"/>
          <w:lang w:val="en-US" w:eastAsia="zh-CN"/>
        </w:rPr>
      </w:pPr>
      <w:r w:rsidRPr="00D37F9E">
        <w:rPr>
          <w:rFonts w:cstheme="minorHAnsi"/>
          <w:lang w:val="en-US" w:eastAsia="zh-CN"/>
        </w:rPr>
        <w:t>4</w:t>
      </w:r>
      <w:r w:rsidR="00EE0FA3" w:rsidRPr="00D37F9E">
        <w:rPr>
          <w:rFonts w:cstheme="minorHAnsi"/>
          <w:lang w:val="en-US" w:eastAsia="zh-CN"/>
        </w:rPr>
        <w:t>.2</w:t>
      </w:r>
      <w:r w:rsidR="00EE0FA3" w:rsidRPr="00D37F9E">
        <w:rPr>
          <w:rFonts w:cstheme="minorHAnsi"/>
          <w:lang w:val="en-US" w:eastAsia="zh-CN"/>
        </w:rPr>
        <w:tab/>
      </w:r>
      <w:r w:rsidR="00EE0FA3" w:rsidRPr="00D37F9E">
        <w:rPr>
          <w:rFonts w:hint="eastAsia"/>
          <w:lang w:eastAsia="zh-CN"/>
        </w:rPr>
        <w:t>内部行动与成果</w:t>
      </w:r>
    </w:p>
    <w:p w:rsidR="00036C69" w:rsidRPr="00D37F9E" w:rsidRDefault="003817F5" w:rsidP="00B737C8">
      <w:pPr>
        <w:ind w:firstLineChars="200" w:firstLine="480"/>
      </w:pPr>
      <w:r w:rsidRPr="00D37F9E">
        <w:t>电信发展局</w:t>
      </w:r>
      <w:r w:rsidR="00036C69" w:rsidRPr="00D37F9E">
        <w:rPr>
          <w:rFonts w:hint="eastAsia"/>
        </w:rPr>
        <w:t>承认伙伴关系和资源筹措是一项共同责任。在</w:t>
      </w:r>
      <w:r w:rsidRPr="00D37F9E">
        <w:t>电信发展局</w:t>
      </w:r>
      <w:r w:rsidR="009F71BC" w:rsidRPr="00D37F9E">
        <w:rPr>
          <w:rFonts w:hint="eastAsia"/>
        </w:rPr>
        <w:t>管理务虚会期间，专门举行了一次资源筹措会议，以便工作人员分享经验，讨论挑战和机遇，并由此</w:t>
      </w:r>
      <w:r w:rsidR="00036C69" w:rsidRPr="00D37F9E">
        <w:rPr>
          <w:rFonts w:hint="eastAsia"/>
        </w:rPr>
        <w:t>制定了路线图，其中包括以下</w:t>
      </w:r>
      <w:r w:rsidR="00036C69" w:rsidRPr="00D37F9E">
        <w:t>10</w:t>
      </w:r>
      <w:r w:rsidR="009F71BC" w:rsidRPr="00D37F9E">
        <w:rPr>
          <w:rFonts w:hint="eastAsia"/>
        </w:rPr>
        <w:t>项加强资源筹措的优先行动：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1)</w:t>
      </w:r>
      <w:r w:rsidRPr="00D37F9E">
        <w:rPr>
          <w:lang w:eastAsia="zh-CN"/>
        </w:rPr>
        <w:tab/>
      </w:r>
      <w:r w:rsidR="00F227E3" w:rsidRPr="00D37F9E">
        <w:rPr>
          <w:lang w:val="en-US" w:eastAsia="zh-CN"/>
        </w:rPr>
        <w:t>资源筹措战略；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2)</w:t>
      </w:r>
      <w:r w:rsidRPr="00D37F9E">
        <w:rPr>
          <w:lang w:eastAsia="zh-CN"/>
        </w:rPr>
        <w:tab/>
      </w:r>
      <w:r w:rsidR="00F227E3" w:rsidRPr="00D37F9E">
        <w:rPr>
          <w:lang w:val="en-US" w:eastAsia="zh-CN"/>
        </w:rPr>
        <w:t>人性化的通信</w:t>
      </w:r>
      <w:r w:rsidR="0041286A" w:rsidRPr="00D37F9E">
        <w:rPr>
          <w:lang w:val="en-US" w:eastAsia="zh-CN"/>
        </w:rPr>
        <w:t>包装</w:t>
      </w:r>
      <w:r w:rsidR="00F227E3" w:rsidRPr="00D37F9E">
        <w:rPr>
          <w:lang w:val="en-US" w:eastAsia="zh-CN"/>
        </w:rPr>
        <w:t>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3)</w:t>
      </w:r>
      <w:r w:rsidRPr="00D37F9E">
        <w:rPr>
          <w:lang w:eastAsia="zh-CN"/>
        </w:rPr>
        <w:tab/>
      </w:r>
      <w:r w:rsidR="00F227E3" w:rsidRPr="00D37F9E">
        <w:rPr>
          <w:lang w:val="en-US" w:eastAsia="zh-CN"/>
        </w:rPr>
        <w:t>与高资源</w:t>
      </w:r>
      <w:r w:rsidR="0041286A" w:rsidRPr="00D37F9E">
        <w:rPr>
          <w:lang w:val="en-US" w:eastAsia="zh-CN"/>
        </w:rPr>
        <w:t>值</w:t>
      </w:r>
      <w:r w:rsidR="00F227E3" w:rsidRPr="00D37F9E">
        <w:rPr>
          <w:lang w:val="en-US" w:eastAsia="zh-CN"/>
        </w:rPr>
        <w:t>伙伴建立关系的标准；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4)</w:t>
      </w:r>
      <w:r w:rsidRPr="00D37F9E">
        <w:rPr>
          <w:lang w:eastAsia="zh-CN"/>
        </w:rPr>
        <w:tab/>
      </w:r>
      <w:r w:rsidR="00F227E3" w:rsidRPr="00D37F9E">
        <w:rPr>
          <w:lang w:val="en-US" w:eastAsia="zh-CN"/>
        </w:rPr>
        <w:t>提高资源合作伙伴意识和改进其考虑的重点领域市场研究报告</w:t>
      </w:r>
      <w:r w:rsidR="00DF54F8" w:rsidRPr="00D37F9E">
        <w:rPr>
          <w:rFonts w:hint="eastAsia"/>
          <w:lang w:val="en-US" w:eastAsia="zh-CN"/>
        </w:rPr>
        <w:t>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5)</w:t>
      </w:r>
      <w:r w:rsidRPr="00D37F9E">
        <w:rPr>
          <w:lang w:eastAsia="zh-CN"/>
        </w:rPr>
        <w:tab/>
      </w:r>
      <w:r w:rsidR="00821F9A" w:rsidRPr="00D37F9E">
        <w:rPr>
          <w:rFonts w:hint="eastAsia"/>
          <w:color w:val="333333"/>
          <w:lang w:eastAsia="zh-CN"/>
        </w:rPr>
        <w:t>国际电联</w:t>
      </w:r>
      <w:r w:rsidR="00821F9A" w:rsidRPr="00D37F9E">
        <w:rPr>
          <w:rFonts w:hint="eastAsia"/>
          <w:color w:val="333333"/>
          <w:lang w:eastAsia="zh-CN"/>
        </w:rPr>
        <w:t>/</w:t>
      </w:r>
      <w:r w:rsidR="00821F9A" w:rsidRPr="00D37F9E">
        <w:rPr>
          <w:rFonts w:hint="eastAsia"/>
          <w:color w:val="333333"/>
          <w:lang w:eastAsia="zh-CN"/>
        </w:rPr>
        <w:t>电信发展局管理层支持的重点领域大规模转型举措</w:t>
      </w:r>
      <w:r w:rsidR="00DF54F8" w:rsidRPr="00D37F9E">
        <w:rPr>
          <w:rFonts w:hint="eastAsia"/>
          <w:color w:val="333333"/>
          <w:lang w:eastAsia="zh-CN"/>
        </w:rPr>
        <w:t>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6)</w:t>
      </w:r>
      <w:r w:rsidRPr="00D37F9E">
        <w:rPr>
          <w:lang w:eastAsia="zh-CN"/>
        </w:rPr>
        <w:tab/>
      </w:r>
      <w:r w:rsidR="00821F9A" w:rsidRPr="00D37F9E">
        <w:rPr>
          <w:rFonts w:hint="eastAsia"/>
          <w:color w:val="333333"/>
          <w:lang w:eastAsia="zh-CN"/>
        </w:rPr>
        <w:t>发展灵活的合作机制</w:t>
      </w:r>
      <w:r w:rsidR="00DF54F8" w:rsidRPr="00D37F9E">
        <w:rPr>
          <w:rFonts w:hint="eastAsia"/>
          <w:color w:val="333333"/>
          <w:lang w:eastAsia="zh-CN"/>
        </w:rPr>
        <w:t>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7)</w:t>
      </w:r>
      <w:r w:rsidRPr="00D37F9E">
        <w:rPr>
          <w:lang w:eastAsia="zh-CN"/>
        </w:rPr>
        <w:tab/>
      </w:r>
      <w:r w:rsidR="00821F9A" w:rsidRPr="00D37F9E">
        <w:rPr>
          <w:rFonts w:hint="eastAsia"/>
          <w:lang w:val="en-US" w:eastAsia="zh-CN"/>
        </w:rPr>
        <w:t>员工培训；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8)</w:t>
      </w:r>
      <w:r w:rsidRPr="00D37F9E">
        <w:rPr>
          <w:lang w:eastAsia="zh-CN"/>
        </w:rPr>
        <w:tab/>
      </w:r>
      <w:r w:rsidR="00821F9A" w:rsidRPr="00D37F9E">
        <w:rPr>
          <w:rFonts w:hint="eastAsia"/>
          <w:color w:val="333333"/>
          <w:lang w:eastAsia="zh-CN"/>
        </w:rPr>
        <w:t>为</w:t>
      </w:r>
      <w:r w:rsidR="0041286A" w:rsidRPr="00D37F9E">
        <w:rPr>
          <w:rFonts w:hint="eastAsia"/>
          <w:color w:val="333333"/>
          <w:lang w:eastAsia="zh-CN"/>
        </w:rPr>
        <w:t>在重要关注领域拥有重要信息的</w:t>
      </w:r>
      <w:r w:rsidR="00821F9A" w:rsidRPr="00D37F9E">
        <w:rPr>
          <w:rFonts w:hint="eastAsia"/>
          <w:color w:val="333333"/>
          <w:lang w:eastAsia="zh-CN"/>
        </w:rPr>
        <w:t>企业所有者和所有资源合作伙伴提供的工具；</w:t>
      </w:r>
    </w:p>
    <w:p w:rsidR="00C76187" w:rsidRPr="00D37F9E" w:rsidRDefault="00B737C8" w:rsidP="00B737C8">
      <w:pPr>
        <w:pStyle w:val="enumlev1"/>
        <w:rPr>
          <w:lang w:eastAsia="zh-CN"/>
        </w:rPr>
      </w:pPr>
      <w:r w:rsidRPr="00D37F9E">
        <w:rPr>
          <w:lang w:eastAsia="zh-CN"/>
        </w:rPr>
        <w:t>9)</w:t>
      </w:r>
      <w:r w:rsidRPr="00D37F9E">
        <w:rPr>
          <w:lang w:eastAsia="zh-CN"/>
        </w:rPr>
        <w:tab/>
      </w:r>
      <w:r w:rsidR="0041286A" w:rsidRPr="00D37F9E">
        <w:rPr>
          <w:rFonts w:hint="eastAsia"/>
          <w:color w:val="333333"/>
          <w:lang w:eastAsia="zh-CN"/>
        </w:rPr>
        <w:t>使用适当的资源筹措</w:t>
      </w:r>
      <w:r w:rsidR="00821F9A" w:rsidRPr="00D37F9E">
        <w:rPr>
          <w:rFonts w:hint="eastAsia"/>
          <w:color w:val="333333"/>
          <w:lang w:eastAsia="zh-CN"/>
        </w:rPr>
        <w:t>管理工具，包括清晰的报告和针对企业所有者的</w:t>
      </w:r>
      <w:r w:rsidR="00DF54F8" w:rsidRPr="00D37F9E">
        <w:rPr>
          <w:rFonts w:hint="eastAsia"/>
          <w:color w:val="333333"/>
          <w:lang w:val="en-US" w:eastAsia="zh-CN"/>
        </w:rPr>
        <w:t>目标</w:t>
      </w:r>
      <w:r w:rsidR="0041286A" w:rsidRPr="00D37F9E">
        <w:rPr>
          <w:color w:val="000000"/>
          <w:lang w:eastAsia="zh-CN"/>
        </w:rPr>
        <w:t>关键业绩指标</w:t>
      </w:r>
      <w:r w:rsidR="0041286A" w:rsidRPr="00D37F9E">
        <w:rPr>
          <w:rFonts w:hint="eastAsia"/>
          <w:color w:val="000000"/>
          <w:lang w:eastAsia="zh-CN"/>
        </w:rPr>
        <w:t>（</w:t>
      </w:r>
      <w:r w:rsidR="00821F9A" w:rsidRPr="00D37F9E">
        <w:rPr>
          <w:color w:val="333333"/>
          <w:lang w:eastAsia="zh-CN"/>
        </w:rPr>
        <w:t>KPI</w:t>
      </w:r>
      <w:r w:rsidR="0041286A" w:rsidRPr="00D37F9E">
        <w:rPr>
          <w:rFonts w:hint="eastAsia"/>
          <w:color w:val="333333"/>
          <w:lang w:eastAsia="zh-CN"/>
        </w:rPr>
        <w:t>）；</w:t>
      </w:r>
      <w:r w:rsidR="00DF54F8" w:rsidRPr="00D37F9E">
        <w:rPr>
          <w:rFonts w:hint="eastAsia"/>
          <w:color w:val="333333"/>
          <w:lang w:eastAsia="zh-CN"/>
        </w:rPr>
        <w:t>以</w:t>
      </w:r>
      <w:r w:rsidR="0041286A" w:rsidRPr="00D37F9E">
        <w:rPr>
          <w:rFonts w:hint="eastAsia"/>
          <w:color w:val="333333"/>
          <w:lang w:eastAsia="zh-CN"/>
        </w:rPr>
        <w:t>及</w:t>
      </w:r>
    </w:p>
    <w:p w:rsidR="00DF54F8" w:rsidRPr="00D37F9E" w:rsidRDefault="00B737C8" w:rsidP="00B737C8">
      <w:pPr>
        <w:pStyle w:val="enumlev1"/>
        <w:rPr>
          <w:b/>
          <w:bCs/>
          <w:lang w:eastAsia="zh-CN"/>
        </w:rPr>
      </w:pPr>
      <w:r w:rsidRPr="00D37F9E">
        <w:rPr>
          <w:lang w:eastAsia="zh-CN"/>
        </w:rPr>
        <w:t>10)</w:t>
      </w:r>
      <w:r w:rsidRPr="00D37F9E">
        <w:rPr>
          <w:lang w:eastAsia="zh-CN"/>
        </w:rPr>
        <w:tab/>
      </w:r>
      <w:r w:rsidR="00821F9A" w:rsidRPr="00D37F9E">
        <w:rPr>
          <w:rFonts w:hint="eastAsia"/>
          <w:color w:val="333333"/>
          <w:lang w:eastAsia="zh-CN"/>
        </w:rPr>
        <w:t>利用现有平台加强和培育合作伙伴关系。</w:t>
      </w:r>
    </w:p>
    <w:p w:rsidR="00D37F9E" w:rsidRPr="00D37F9E" w:rsidRDefault="00D37F9E" w:rsidP="00B737C8">
      <w:pPr>
        <w:ind w:firstLineChars="200" w:firstLine="480"/>
        <w:rPr>
          <w:lang w:eastAsia="zh-CN"/>
        </w:rPr>
      </w:pPr>
      <w:r w:rsidRPr="00D37F9E">
        <w:rPr>
          <w:rFonts w:hint="eastAsia"/>
          <w:lang w:eastAsia="zh-CN"/>
        </w:rPr>
        <w:t>为落实以上措施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实施了下列措施</w:t>
      </w:r>
      <w:r w:rsidR="00B737C8">
        <w:rPr>
          <w:rFonts w:hint="eastAsia"/>
          <w:lang w:eastAsia="zh-CN"/>
        </w:rPr>
        <w:t>：</w:t>
      </w:r>
      <w:r w:rsidRPr="00D37F9E">
        <w:rPr>
          <w:lang w:eastAsia="zh-CN"/>
        </w:rPr>
        <w:t>2018</w:t>
      </w:r>
      <w:r w:rsidRPr="00D37F9E">
        <w:rPr>
          <w:rFonts w:hint="eastAsia"/>
          <w:lang w:eastAsia="zh-CN"/>
        </w:rPr>
        <w:t>年</w:t>
      </w:r>
      <w:r w:rsidRPr="00D37F9E">
        <w:rPr>
          <w:lang w:eastAsia="zh-CN"/>
        </w:rPr>
        <w:t>7</w:t>
      </w:r>
      <w:r w:rsidRPr="00D37F9E">
        <w:rPr>
          <w:rFonts w:hint="eastAsia"/>
          <w:lang w:eastAsia="zh-CN"/>
        </w:rPr>
        <w:t>月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向来自外地的</w:t>
      </w:r>
      <w:r w:rsidRPr="00D37F9E">
        <w:rPr>
          <w:lang w:eastAsia="zh-CN"/>
        </w:rPr>
        <w:t>P2</w:t>
      </w:r>
      <w:r w:rsidRPr="00D37F9E">
        <w:rPr>
          <w:rFonts w:hint="eastAsia"/>
          <w:lang w:eastAsia="zh-CN"/>
        </w:rPr>
        <w:t>和</w:t>
      </w:r>
      <w:r w:rsidRPr="00D37F9E">
        <w:rPr>
          <w:lang w:eastAsia="zh-CN"/>
        </w:rPr>
        <w:t>P3</w:t>
      </w:r>
      <w:r w:rsidRPr="00D37F9E">
        <w:rPr>
          <w:rFonts w:hint="eastAsia"/>
          <w:lang w:eastAsia="zh-CN"/>
        </w:rPr>
        <w:t>级工作人员提供了资源筹措培训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在美洲</w:t>
      </w:r>
      <w:r w:rsidR="00B737C8">
        <w:rPr>
          <w:rFonts w:hint="eastAsia"/>
          <w:lang w:eastAsia="zh-CN"/>
        </w:rPr>
        <w:t>（</w:t>
      </w:r>
      <w:r w:rsidRPr="00D37F9E">
        <w:rPr>
          <w:rFonts w:hint="eastAsia"/>
          <w:lang w:eastAsia="zh-CN"/>
        </w:rPr>
        <w:t>美国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和亚太</w:t>
      </w:r>
      <w:r w:rsidR="00B737C8">
        <w:rPr>
          <w:rFonts w:hint="eastAsia"/>
          <w:lang w:eastAsia="zh-CN"/>
        </w:rPr>
        <w:t>（</w:t>
      </w:r>
      <w:r w:rsidRPr="00D37F9E">
        <w:rPr>
          <w:rFonts w:hint="eastAsia"/>
          <w:lang w:eastAsia="zh-CN"/>
        </w:rPr>
        <w:t>菲律宾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进行了路演</w:t>
      </w:r>
      <w:r w:rsidRPr="00D37F9E">
        <w:rPr>
          <w:rFonts w:hint="eastAsia"/>
          <w:lang w:eastAsia="zh-CN"/>
        </w:rPr>
        <w:t>/</w:t>
      </w:r>
      <w:r w:rsidRPr="00D37F9E">
        <w:rPr>
          <w:rFonts w:hint="eastAsia"/>
          <w:lang w:eastAsia="zh-CN"/>
        </w:rPr>
        <w:t>战略访问，并与现有和潜</w:t>
      </w:r>
      <w:r w:rsidRPr="00D37F9E">
        <w:rPr>
          <w:rFonts w:hint="eastAsia"/>
          <w:lang w:eastAsia="zh-CN"/>
        </w:rPr>
        <w:lastRenderedPageBreak/>
        <w:t>在合作伙伴、双边</w:t>
      </w:r>
      <w:r w:rsidRPr="00D37F9E">
        <w:rPr>
          <w:rFonts w:hint="eastAsia"/>
          <w:lang w:eastAsia="zh-CN"/>
        </w:rPr>
        <w:t>/</w:t>
      </w:r>
      <w:r w:rsidRPr="00D37F9E">
        <w:rPr>
          <w:rFonts w:hint="eastAsia"/>
          <w:lang w:eastAsia="zh-CN"/>
        </w:rPr>
        <w:t>多边机构和金融机构</w:t>
      </w:r>
      <w:r w:rsidR="00B737C8">
        <w:rPr>
          <w:rFonts w:hint="eastAsia"/>
          <w:lang w:eastAsia="zh-CN"/>
        </w:rPr>
        <w:t>（</w:t>
      </w:r>
      <w:r w:rsidRPr="00D37F9E">
        <w:rPr>
          <w:rFonts w:hint="eastAsia"/>
          <w:lang w:eastAsia="zh-CN"/>
        </w:rPr>
        <w:t>如欧佩克国际发展基金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OFID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Pr="00D37F9E">
        <w:rPr>
          <w:lang w:eastAsia="zh-CN"/>
        </w:rPr>
        <w:t>AFD</w:t>
      </w:r>
      <w:r w:rsidRPr="00D37F9E">
        <w:rPr>
          <w:rFonts w:hint="eastAsia"/>
          <w:lang w:eastAsia="zh-CN"/>
        </w:rPr>
        <w:t>、</w:t>
      </w:r>
      <w:r w:rsidRPr="00D37F9E">
        <w:rPr>
          <w:lang w:eastAsia="zh-CN"/>
        </w:rPr>
        <w:t>ADA</w:t>
      </w:r>
      <w:r w:rsidRPr="00D37F9E">
        <w:rPr>
          <w:rFonts w:hint="eastAsia"/>
          <w:lang w:eastAsia="zh-CN"/>
        </w:rPr>
        <w:t>、欧洲委员会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EC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、世界银行、</w:t>
      </w:r>
      <w:r w:rsidRPr="00D37F9E">
        <w:rPr>
          <w:lang w:eastAsia="zh-CN"/>
        </w:rPr>
        <w:t>IFC</w:t>
      </w:r>
      <w:r w:rsidRPr="00D37F9E">
        <w:rPr>
          <w:rFonts w:hint="eastAsia"/>
          <w:lang w:eastAsia="zh-CN"/>
        </w:rPr>
        <w:t>、亚洲开发银行、伊斯兰开发银行等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、联合国机构</w:t>
      </w:r>
      <w:r w:rsidR="00B737C8">
        <w:rPr>
          <w:rFonts w:hint="eastAsia"/>
          <w:lang w:eastAsia="zh-CN"/>
        </w:rPr>
        <w:t>（</w:t>
      </w:r>
      <w:r w:rsidRPr="00D37F9E">
        <w:rPr>
          <w:rFonts w:hint="eastAsia"/>
          <w:lang w:eastAsia="zh-CN"/>
        </w:rPr>
        <w:t>如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工发组织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UNIDO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="00780ABA">
        <w:rPr>
          <w:rFonts w:hint="eastAsia"/>
          <w:lang w:eastAsia="zh-CN"/>
        </w:rPr>
        <w:t>世界</w:t>
      </w:r>
      <w:r w:rsidRPr="00D37F9E">
        <w:rPr>
          <w:rFonts w:hint="eastAsia"/>
          <w:lang w:eastAsia="zh-CN"/>
        </w:rPr>
        <w:t>卫生组织</w:t>
      </w:r>
      <w:r w:rsidR="00B737C8">
        <w:rPr>
          <w:rFonts w:hint="eastAsia"/>
          <w:lang w:eastAsia="zh-CN"/>
        </w:rPr>
        <w:t>（</w:t>
      </w:r>
      <w:r w:rsidR="00780ABA" w:rsidRPr="00780ABA">
        <w:rPr>
          <w:lang w:eastAsia="zh-CN"/>
        </w:rPr>
        <w:t>WHO</w:t>
      </w:r>
      <w:r w:rsidR="00B737C8">
        <w:rPr>
          <w:lang w:eastAsia="zh-CN"/>
        </w:rPr>
        <w:t>）</w:t>
      </w:r>
      <w:r w:rsidRPr="00780ABA">
        <w:rPr>
          <w:lang w:eastAsia="zh-CN"/>
        </w:rPr>
        <w:t>、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开发计划署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UNDP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内罗毕办事处</w:t>
      </w:r>
      <w:r w:rsidR="00B737C8">
        <w:rPr>
          <w:rFonts w:hint="eastAsia"/>
          <w:lang w:eastAsia="zh-CN"/>
        </w:rPr>
        <w:t>（</w:t>
      </w:r>
      <w:r w:rsidRPr="00D37F9E">
        <w:rPr>
          <w:rFonts w:ascii="Calibri" w:eastAsiaTheme="minorHAnsi" w:hAnsi="Calibri"/>
          <w:lang w:eastAsia="zh-CN"/>
        </w:rPr>
        <w:t>UNOP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人口基金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UNFPA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环发会议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UNCERF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、</w:t>
      </w:r>
      <w:r w:rsidR="00780ABA" w:rsidRPr="00D37F9E">
        <w:rPr>
          <w:rFonts w:hint="eastAsia"/>
          <w:lang w:eastAsia="zh-CN"/>
        </w:rPr>
        <w:t>联合国</w:t>
      </w:r>
      <w:r w:rsidRPr="00D37F9E">
        <w:rPr>
          <w:rFonts w:hint="eastAsia"/>
          <w:lang w:eastAsia="zh-CN"/>
        </w:rPr>
        <w:t>经社部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UNDESA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等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和基金会</w:t>
      </w:r>
      <w:r w:rsidR="00B737C8">
        <w:rPr>
          <w:rFonts w:hint="eastAsia"/>
          <w:lang w:eastAsia="zh-CN"/>
        </w:rPr>
        <w:t>（</w:t>
      </w:r>
      <w:r w:rsidRPr="00D37F9E">
        <w:rPr>
          <w:rFonts w:hint="eastAsia"/>
          <w:lang w:eastAsia="zh-CN"/>
        </w:rPr>
        <w:t>如克林顿基金会、联合国基金会、花旗</w:t>
      </w:r>
      <w:r w:rsidR="00B737C8">
        <w:rPr>
          <w:rFonts w:hint="eastAsia"/>
          <w:lang w:eastAsia="zh-CN"/>
        </w:rPr>
        <w:t>（</w:t>
      </w:r>
      <w:r w:rsidRPr="00D37F9E">
        <w:rPr>
          <w:lang w:eastAsia="zh-CN"/>
        </w:rPr>
        <w:t>Citi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基金会、</w:t>
      </w:r>
      <w:r w:rsidRPr="00D37F9E">
        <w:rPr>
          <w:lang w:eastAsia="zh-CN"/>
        </w:rPr>
        <w:t>Telefonica</w:t>
      </w:r>
      <w:r w:rsidRPr="00D37F9E">
        <w:rPr>
          <w:rFonts w:hint="eastAsia"/>
          <w:lang w:eastAsia="zh-CN"/>
        </w:rPr>
        <w:t>基金会、</w:t>
      </w:r>
      <w:proofErr w:type="spellStart"/>
      <w:r w:rsidRPr="00D37F9E">
        <w:rPr>
          <w:lang w:eastAsia="zh-CN"/>
        </w:rPr>
        <w:t>ProFuturo</w:t>
      </w:r>
      <w:proofErr w:type="spellEnd"/>
      <w:r w:rsidRPr="00D37F9E">
        <w:rPr>
          <w:rFonts w:hint="eastAsia"/>
          <w:lang w:eastAsia="zh-CN"/>
        </w:rPr>
        <w:t>基金会等</w:t>
      </w:r>
      <w:r w:rsidR="00B737C8">
        <w:rPr>
          <w:rFonts w:hint="eastAsia"/>
          <w:lang w:eastAsia="zh-CN"/>
        </w:rPr>
        <w:t>）</w:t>
      </w:r>
      <w:r w:rsidRPr="00D37F9E">
        <w:rPr>
          <w:rFonts w:hint="eastAsia"/>
          <w:lang w:eastAsia="zh-CN"/>
        </w:rPr>
        <w:t>开展了多次外联宣传活动。其目的是提高对国际电联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特别是对电信发展局的认识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并增加伙伴关系机会和筹措资源。考虑到过去和即将举行的</w:t>
      </w:r>
      <w:r w:rsidRPr="00D37F9E">
        <w:rPr>
          <w:lang w:eastAsia="zh-CN"/>
        </w:rPr>
        <w:t>电信发展局</w:t>
      </w:r>
      <w:r w:rsidRPr="00D37F9E">
        <w:rPr>
          <w:rFonts w:hint="eastAsia"/>
          <w:lang w:eastAsia="zh-CN"/>
        </w:rPr>
        <w:t>管理务虚会的成果</w:t>
      </w:r>
      <w:r w:rsidR="00B737C8">
        <w:rPr>
          <w:rFonts w:hint="eastAsia"/>
          <w:lang w:eastAsia="zh-CN"/>
        </w:rPr>
        <w:t>，</w:t>
      </w:r>
      <w:r w:rsidRPr="00D37F9E">
        <w:rPr>
          <w:rFonts w:hint="eastAsia"/>
          <w:lang w:eastAsia="zh-CN"/>
        </w:rPr>
        <w:t>将进一步完善电信发展</w:t>
      </w:r>
      <w:proofErr w:type="gramStart"/>
      <w:r w:rsidRPr="00D37F9E">
        <w:rPr>
          <w:rFonts w:hint="eastAsia"/>
          <w:lang w:eastAsia="zh-CN"/>
        </w:rPr>
        <w:t>局资源</w:t>
      </w:r>
      <w:proofErr w:type="gramEnd"/>
      <w:r w:rsidRPr="00D37F9E">
        <w:rPr>
          <w:rFonts w:hint="eastAsia"/>
          <w:lang w:eastAsia="zh-CN"/>
        </w:rPr>
        <w:t>筹措战略。</w:t>
      </w:r>
    </w:p>
    <w:p w:rsidR="00C76187" w:rsidRPr="00D37F9E" w:rsidRDefault="00040B40" w:rsidP="00B737C8">
      <w:pPr>
        <w:ind w:firstLineChars="200" w:firstLine="480"/>
        <w:rPr>
          <w:lang w:val="en-US" w:eastAsia="zh-CN"/>
        </w:rPr>
      </w:pPr>
      <w:r w:rsidRPr="00D37F9E">
        <w:rPr>
          <w:rFonts w:hint="eastAsia"/>
          <w:lang w:eastAsia="zh-CN"/>
        </w:rPr>
        <w:t>此外，伙伴关系协议</w:t>
      </w:r>
      <w:r w:rsidR="00036C69" w:rsidRPr="00D37F9E">
        <w:rPr>
          <w:rFonts w:hint="eastAsia"/>
          <w:lang w:eastAsia="zh-CN"/>
        </w:rPr>
        <w:t>数据库定期更新，该数据库是</w:t>
      </w:r>
      <w:r w:rsidR="003817F5" w:rsidRPr="00D37F9E">
        <w:rPr>
          <w:rFonts w:hint="eastAsia"/>
          <w:lang w:eastAsia="zh-CN"/>
        </w:rPr>
        <w:t>电信发展局</w:t>
      </w:r>
      <w:r w:rsidRPr="00D37F9E">
        <w:rPr>
          <w:rFonts w:hint="eastAsia"/>
          <w:lang w:eastAsia="zh-CN"/>
        </w:rPr>
        <w:t>与各利益攸关方签署的所有协议</w:t>
      </w:r>
      <w:r w:rsidR="00036C69" w:rsidRPr="00D37F9E">
        <w:rPr>
          <w:rFonts w:hint="eastAsia"/>
          <w:lang w:eastAsia="zh-CN"/>
        </w:rPr>
        <w:t>的记录保存系统</w:t>
      </w:r>
      <w:r w:rsidRPr="00D37F9E">
        <w:rPr>
          <w:rFonts w:hint="eastAsia"/>
          <w:lang w:eastAsia="zh-CN"/>
        </w:rPr>
        <w:t>。</w:t>
      </w:r>
      <w:r w:rsidR="003817F5" w:rsidRPr="00D37F9E">
        <w:rPr>
          <w:rFonts w:cs="SimSun" w:hint="eastAsia"/>
          <w:lang w:eastAsia="zh-CN"/>
        </w:rPr>
        <w:t>电信发展局</w:t>
      </w:r>
      <w:r w:rsidRPr="00D37F9E">
        <w:rPr>
          <w:rFonts w:cs="SimSun" w:hint="eastAsia"/>
          <w:lang w:eastAsia="zh-CN"/>
        </w:rPr>
        <w:t>的</w:t>
      </w:r>
      <w:r w:rsidR="007939DD" w:rsidRPr="00D37F9E">
        <w:rPr>
          <w:lang w:eastAsia="zh-CN"/>
        </w:rPr>
        <w:t>工作人员可以用一项搜索</w:t>
      </w:r>
      <w:r w:rsidR="00036C69" w:rsidRPr="00D37F9E">
        <w:rPr>
          <w:lang w:eastAsia="zh-CN"/>
        </w:rPr>
        <w:t>工具为即将开展的活动、项目和举措确定潜在的合作伙伴。</w:t>
      </w:r>
    </w:p>
    <w:p w:rsidR="00C76187" w:rsidRPr="00D37F9E" w:rsidRDefault="00C76187" w:rsidP="00B737C8">
      <w:pPr>
        <w:pStyle w:val="Heading1"/>
        <w:rPr>
          <w:lang w:val="en-US" w:eastAsia="zh-CN"/>
        </w:rPr>
      </w:pPr>
      <w:r w:rsidRPr="00D37F9E">
        <w:rPr>
          <w:rFonts w:hint="eastAsia"/>
          <w:lang w:eastAsia="zh-CN"/>
        </w:rPr>
        <w:t>5</w:t>
      </w:r>
      <w:r w:rsidRPr="00D37F9E">
        <w:rPr>
          <w:lang w:eastAsia="zh-CN"/>
        </w:rPr>
        <w:tab/>
      </w:r>
      <w:r w:rsidRPr="00D37F9E">
        <w:rPr>
          <w:rFonts w:hint="eastAsia"/>
          <w:lang w:eastAsia="zh-CN"/>
        </w:rPr>
        <w:t>展望</w:t>
      </w:r>
      <w:r w:rsidRPr="00D37F9E">
        <w:rPr>
          <w:lang w:eastAsia="zh-CN"/>
        </w:rPr>
        <w:t>未来</w:t>
      </w:r>
    </w:p>
    <w:p w:rsidR="00C76187" w:rsidRPr="00D37F9E" w:rsidRDefault="003817F5" w:rsidP="00B737C8">
      <w:pPr>
        <w:ind w:firstLineChars="200" w:firstLine="480"/>
        <w:rPr>
          <w:lang w:val="en-US" w:eastAsia="zh-CN"/>
        </w:rPr>
      </w:pPr>
      <w:r w:rsidRPr="00D37F9E">
        <w:rPr>
          <w:lang w:val="en-US" w:eastAsia="zh-CN"/>
        </w:rPr>
        <w:t>电信发展局</w:t>
      </w:r>
      <w:r w:rsidR="00EE5032" w:rsidRPr="00D37F9E">
        <w:rPr>
          <w:lang w:val="en-US" w:eastAsia="zh-CN"/>
        </w:rPr>
        <w:t>主任正在审议</w:t>
      </w:r>
      <w:r w:rsidRPr="00D37F9E">
        <w:rPr>
          <w:lang w:val="en-US" w:eastAsia="zh-CN"/>
        </w:rPr>
        <w:t>电信发展</w:t>
      </w:r>
      <w:proofErr w:type="gramStart"/>
      <w:r w:rsidRPr="00D37F9E">
        <w:rPr>
          <w:lang w:val="en-US" w:eastAsia="zh-CN"/>
        </w:rPr>
        <w:t>局</w:t>
      </w:r>
      <w:r w:rsidR="00EE5032" w:rsidRPr="00D37F9E">
        <w:rPr>
          <w:lang w:val="en-US" w:eastAsia="zh-CN"/>
        </w:rPr>
        <w:t>资源</w:t>
      </w:r>
      <w:proofErr w:type="gramEnd"/>
      <w:r w:rsidR="00EE5032" w:rsidRPr="00D37F9E">
        <w:rPr>
          <w:lang w:val="en-US" w:eastAsia="zh-CN"/>
        </w:rPr>
        <w:t>筹措、赞助、伙伴关系和项目执行的方法，在</w:t>
      </w:r>
      <w:r w:rsidR="00EE5032" w:rsidRPr="00D37F9E">
        <w:rPr>
          <w:lang w:val="en-US" w:eastAsia="zh-CN"/>
        </w:rPr>
        <w:t>TDAG</w:t>
      </w:r>
      <w:r w:rsidR="00EE5032" w:rsidRPr="00D37F9E">
        <w:rPr>
          <w:lang w:val="en-US" w:eastAsia="zh-CN"/>
        </w:rPr>
        <w:t>之前的</w:t>
      </w:r>
      <w:r w:rsidR="00B01E5A" w:rsidRPr="00D37F9E">
        <w:rPr>
          <w:rFonts w:hint="eastAsia"/>
          <w:lang w:val="en-US" w:eastAsia="zh-CN"/>
        </w:rPr>
        <w:t>务虚</w:t>
      </w:r>
      <w:r w:rsidR="00B01E5A" w:rsidRPr="00D37F9E">
        <w:rPr>
          <w:lang w:val="en-US" w:eastAsia="zh-CN"/>
        </w:rPr>
        <w:t>会中将会</w:t>
      </w:r>
      <w:r w:rsidR="00BF5C52" w:rsidRPr="00D37F9E">
        <w:rPr>
          <w:rFonts w:hint="eastAsia"/>
          <w:lang w:val="en-US" w:eastAsia="zh-CN"/>
        </w:rPr>
        <w:t>就此进行探讨</w:t>
      </w:r>
      <w:r w:rsidR="00B01E5A" w:rsidRPr="00D37F9E">
        <w:rPr>
          <w:rFonts w:hint="eastAsia"/>
          <w:lang w:val="en-US" w:eastAsia="zh-CN"/>
        </w:rPr>
        <w:t>。</w:t>
      </w:r>
    </w:p>
    <w:p w:rsidR="00C76187" w:rsidRPr="00D37F9E" w:rsidRDefault="00EE5032" w:rsidP="00B737C8">
      <w:pPr>
        <w:ind w:firstLineChars="200" w:firstLine="480"/>
        <w:rPr>
          <w:lang w:val="en-US" w:eastAsia="zh-CN"/>
        </w:rPr>
      </w:pPr>
      <w:r w:rsidRPr="00D37F9E">
        <w:rPr>
          <w:lang w:val="en-US" w:eastAsia="zh-CN"/>
        </w:rPr>
        <w:t>基于以上考虑，</w:t>
      </w:r>
      <w:r w:rsidR="00ED6C92" w:rsidRPr="00D37F9E">
        <w:rPr>
          <w:rFonts w:hint="eastAsia"/>
          <w:lang w:eastAsia="zh-CN"/>
        </w:rPr>
        <w:t>电信发展局将继续</w:t>
      </w:r>
      <w:r w:rsidR="007939DD" w:rsidRPr="00D37F9E">
        <w:rPr>
          <w:rFonts w:hint="eastAsia"/>
          <w:lang w:eastAsia="zh-CN"/>
        </w:rPr>
        <w:t>改进其资源筹措的工具和服务，并</w:t>
      </w:r>
      <w:r w:rsidR="00ED6C92" w:rsidRPr="00D37F9E">
        <w:rPr>
          <w:rFonts w:hint="eastAsia"/>
          <w:lang w:eastAsia="zh-CN"/>
        </w:rPr>
        <w:t>与融合</w:t>
      </w:r>
      <w:r w:rsidR="00ED6C92" w:rsidRPr="00D37F9E">
        <w:rPr>
          <w:lang w:eastAsia="zh-CN"/>
        </w:rPr>
        <w:t>生态系统中</w:t>
      </w:r>
      <w:r w:rsidR="00ED6C92" w:rsidRPr="00D37F9E">
        <w:rPr>
          <w:rFonts w:hint="eastAsia"/>
          <w:lang w:eastAsia="zh-CN"/>
        </w:rPr>
        <w:t>电信</w:t>
      </w:r>
      <w:r w:rsidR="00ED6C92" w:rsidRPr="00D37F9E">
        <w:rPr>
          <w:rFonts w:hint="eastAsia"/>
          <w:lang w:eastAsia="zh-CN"/>
        </w:rPr>
        <w:t>/ICT</w:t>
      </w:r>
      <w:r w:rsidR="00ED6C92" w:rsidRPr="00D37F9E">
        <w:rPr>
          <w:rFonts w:hint="eastAsia"/>
          <w:lang w:eastAsia="zh-CN"/>
        </w:rPr>
        <w:t>领域</w:t>
      </w:r>
      <w:r w:rsidR="00ED6C92" w:rsidRPr="00D37F9E">
        <w:rPr>
          <w:lang w:eastAsia="zh-CN"/>
        </w:rPr>
        <w:t>内外</w:t>
      </w:r>
      <w:r w:rsidRPr="00D37F9E">
        <w:rPr>
          <w:rFonts w:hint="eastAsia"/>
          <w:lang w:eastAsia="zh-CN"/>
        </w:rPr>
        <w:t>的传统和非传统合作伙伴加强合作关系，</w:t>
      </w:r>
      <w:r w:rsidR="007939DD" w:rsidRPr="00D37F9E">
        <w:rPr>
          <w:rFonts w:hint="eastAsia"/>
          <w:lang w:eastAsia="zh-CN"/>
        </w:rPr>
        <w:t>以</w:t>
      </w:r>
      <w:r w:rsidR="00ED6C92" w:rsidRPr="00D37F9E">
        <w:rPr>
          <w:rFonts w:hint="eastAsia"/>
          <w:lang w:eastAsia="zh-CN"/>
        </w:rPr>
        <w:t>落实包括区域性举措在内的全球、区域性和</w:t>
      </w:r>
      <w:r w:rsidR="00ED6C92" w:rsidRPr="00D37F9E">
        <w:rPr>
          <w:lang w:eastAsia="zh-CN"/>
        </w:rPr>
        <w:t>国家</w:t>
      </w:r>
      <w:r w:rsidR="00ED6C92" w:rsidRPr="00D37F9E">
        <w:rPr>
          <w:rFonts w:hint="eastAsia"/>
          <w:lang w:eastAsia="zh-CN"/>
        </w:rPr>
        <w:t>项目与举措。</w:t>
      </w:r>
    </w:p>
    <w:p w:rsidR="00C76187" w:rsidRPr="00D37F9E" w:rsidRDefault="00ED6C92" w:rsidP="00B737C8">
      <w:pPr>
        <w:ind w:firstLineChars="200" w:firstLine="480"/>
        <w:rPr>
          <w:lang w:val="en-US" w:eastAsia="zh-CN"/>
        </w:rPr>
      </w:pPr>
      <w:r w:rsidRPr="00D37F9E">
        <w:rPr>
          <w:rFonts w:hint="eastAsia"/>
          <w:lang w:eastAsia="zh-CN"/>
        </w:rPr>
        <w:t>请国际电联成员与电信发展局合作，落实</w:t>
      </w:r>
      <w:r w:rsidRPr="00D37F9E">
        <w:rPr>
          <w:rFonts w:hint="eastAsia"/>
          <w:lang w:eastAsia="zh-CN"/>
        </w:rPr>
        <w:t>WTDC-1</w:t>
      </w:r>
      <w:r w:rsidRPr="00D37F9E">
        <w:rPr>
          <w:lang w:eastAsia="zh-CN"/>
        </w:rPr>
        <w:t>7</w:t>
      </w:r>
      <w:r w:rsidR="00BF5C52" w:rsidRPr="00D37F9E">
        <w:rPr>
          <w:rFonts w:hint="eastAsia"/>
          <w:lang w:eastAsia="zh-CN"/>
        </w:rPr>
        <w:t>的成果，实施</w:t>
      </w:r>
      <w:r w:rsidRPr="00D37F9E">
        <w:rPr>
          <w:rFonts w:hint="eastAsia"/>
          <w:lang w:eastAsia="zh-CN"/>
        </w:rPr>
        <w:t>WSIS</w:t>
      </w:r>
      <w:r w:rsidR="00EE0FA3" w:rsidRPr="00D37F9E">
        <w:rPr>
          <w:rFonts w:hint="eastAsia"/>
          <w:lang w:eastAsia="zh-CN"/>
        </w:rPr>
        <w:t>和</w:t>
      </w:r>
      <w:r w:rsidR="00EE0FA3" w:rsidRPr="00D37F9E">
        <w:rPr>
          <w:lang w:val="en-US" w:eastAsia="zh-CN"/>
        </w:rPr>
        <w:t>PP-18</w:t>
      </w:r>
      <w:r w:rsidRPr="00D37F9E">
        <w:rPr>
          <w:rFonts w:hint="eastAsia"/>
          <w:lang w:eastAsia="zh-CN"/>
        </w:rPr>
        <w:t>制定的目标，</w:t>
      </w:r>
      <w:r w:rsidR="00BF5C52" w:rsidRPr="00D37F9E">
        <w:rPr>
          <w:rFonts w:hint="eastAsia"/>
          <w:lang w:eastAsia="zh-CN"/>
        </w:rPr>
        <w:t>特别是新的目标</w:t>
      </w:r>
      <w:r w:rsidR="00BF5C52" w:rsidRPr="00D37F9E">
        <w:rPr>
          <w:rFonts w:hint="eastAsia"/>
          <w:lang w:eastAsia="zh-CN"/>
        </w:rPr>
        <w:t>5</w:t>
      </w:r>
      <w:r w:rsidR="00BF5C52" w:rsidRPr="00D37F9E">
        <w:rPr>
          <w:rFonts w:hint="eastAsia"/>
          <w:lang w:eastAsia="zh-CN"/>
        </w:rPr>
        <w:t>，同时为实现可持续发展目标</w:t>
      </w:r>
      <w:r w:rsidRPr="00D37F9E">
        <w:rPr>
          <w:rFonts w:hint="eastAsia"/>
          <w:lang w:eastAsia="zh-CN"/>
        </w:rPr>
        <w:t>做出贡献，其中特别考虑可持续发展目标</w:t>
      </w:r>
      <w:r w:rsidRPr="00D37F9E">
        <w:rPr>
          <w:lang w:val="en-US" w:eastAsia="zh-CN"/>
        </w:rPr>
        <w:t>17</w:t>
      </w:r>
      <w:r w:rsidRPr="00D37F9E">
        <w:rPr>
          <w:rFonts w:hint="eastAsia"/>
          <w:lang w:eastAsia="zh-CN"/>
        </w:rPr>
        <w:t>。</w:t>
      </w:r>
    </w:p>
    <w:p w:rsidR="00B737C8" w:rsidRDefault="00B737C8" w:rsidP="00B737C8">
      <w:pPr>
        <w:rPr>
          <w:lang w:val="en-US"/>
        </w:rPr>
      </w:pPr>
    </w:p>
    <w:p w:rsidR="00C76187" w:rsidRPr="007F1A2A" w:rsidRDefault="00C76187" w:rsidP="00BF5C52">
      <w:pPr>
        <w:pStyle w:val="CEONormal"/>
        <w:spacing w:after="0"/>
        <w:ind w:firstLineChars="200" w:firstLine="480"/>
        <w:jc w:val="center"/>
        <w:rPr>
          <w:rFonts w:asciiTheme="minorHAnsi" w:hAnsiTheme="minorHAnsi" w:cs="Calibri"/>
          <w:sz w:val="24"/>
          <w:szCs w:val="24"/>
        </w:rPr>
      </w:pPr>
      <w:r w:rsidRPr="00D37F9E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C76187" w:rsidRPr="007F1A2A" w:rsidSect="00F82898">
      <w:headerReference w:type="default" r:id="rId13"/>
      <w:footerReference w:type="default" r:id="rId14"/>
      <w:footerReference w:type="first" r:id="rId15"/>
      <w:pgSz w:w="11907" w:h="16834" w:code="9"/>
      <w:pgMar w:top="1418" w:right="1134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FC" w:rsidRDefault="003A08FC">
      <w:r>
        <w:separator/>
      </w:r>
    </w:p>
  </w:endnote>
  <w:endnote w:type="continuationSeparator" w:id="0">
    <w:p w:rsidR="003A08FC" w:rsidRDefault="003A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25" w:rsidRPr="00777265" w:rsidRDefault="00227325" w:rsidP="00C9374B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196EFF">
      <w:rPr>
        <w:caps w:val="0"/>
        <w:sz w:val="18"/>
        <w:szCs w:val="18"/>
        <w:lang w:val="en-US"/>
      </w:rPr>
      <w:t>P:\CHI\ITU-D\CONF-D\TDAG19\000\021C.docx</w:t>
    </w:r>
    <w:r w:rsidRPr="003125C3">
      <w:rPr>
        <w:caps w:val="0"/>
        <w:sz w:val="18"/>
        <w:szCs w:val="18"/>
        <w:lang w:val="en-US"/>
      </w:rPr>
      <w:fldChar w:fldCharType="end"/>
    </w:r>
    <w:r w:rsidR="00F82898">
      <w:rPr>
        <w:caps w:val="0"/>
        <w:sz w:val="18"/>
        <w:szCs w:val="18"/>
        <w:lang w:val="en-US"/>
      </w:rPr>
      <w:t xml:space="preserve"> (449227</w:t>
    </w:r>
    <w:r>
      <w:rPr>
        <w:caps w:val="0"/>
        <w:sz w:val="18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82898" w:rsidRPr="004D495C" w:rsidTr="00F62B2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="00EF7D67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/姓名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82898" w:rsidRPr="00E41CCE" w:rsidRDefault="00F82898" w:rsidP="00F82898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电信发展局创新</w:t>
          </w:r>
          <w:r>
            <w:rPr>
              <w:sz w:val="18"/>
              <w:szCs w:val="18"/>
              <w:lang w:val="en-US" w:eastAsia="zh-CN"/>
            </w:rPr>
            <w:t>和伙伴</w:t>
          </w:r>
          <w:r>
            <w:rPr>
              <w:rFonts w:hint="eastAsia"/>
              <w:sz w:val="18"/>
              <w:szCs w:val="18"/>
              <w:lang w:val="en-US" w:eastAsia="zh-CN"/>
            </w:rPr>
            <w:t>关系</w:t>
          </w:r>
          <w:r>
            <w:rPr>
              <w:sz w:val="18"/>
              <w:szCs w:val="18"/>
              <w:lang w:val="en-US" w:eastAsia="zh-CN"/>
            </w:rPr>
            <w:t>部主任金</w:t>
          </w:r>
          <w:r>
            <w:rPr>
              <w:rFonts w:hint="eastAsia"/>
              <w:sz w:val="18"/>
              <w:szCs w:val="18"/>
              <w:lang w:val="en-US" w:eastAsia="zh-CN"/>
            </w:rPr>
            <w:t>恩珠博士</w:t>
          </w:r>
        </w:p>
      </w:tc>
      <w:bookmarkStart w:id="15" w:name="OrgName"/>
      <w:bookmarkEnd w:id="15"/>
    </w:tr>
    <w:tr w:rsidR="00F82898" w:rsidRPr="004D495C" w:rsidTr="00F62B29">
      <w:tc>
        <w:tcPr>
          <w:tcW w:w="1526" w:type="dxa"/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82898" w:rsidRPr="00E41CCE" w:rsidRDefault="00F82898" w:rsidP="00F8289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41CCE">
            <w:rPr>
              <w:sz w:val="18"/>
              <w:szCs w:val="18"/>
              <w:lang w:val="en-US"/>
            </w:rPr>
            <w:t>+41 22 730 5900</w:t>
          </w:r>
        </w:p>
      </w:tc>
      <w:bookmarkStart w:id="16" w:name="PhoneNo"/>
      <w:bookmarkEnd w:id="16"/>
    </w:tr>
    <w:tr w:rsidR="00F82898" w:rsidRPr="004D495C" w:rsidTr="00F62B29">
      <w:tc>
        <w:tcPr>
          <w:tcW w:w="1526" w:type="dxa"/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82898" w:rsidRPr="004D495C" w:rsidRDefault="00F82898" w:rsidP="00F8289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82898" w:rsidRPr="00E41CCE" w:rsidRDefault="00704705" w:rsidP="00F8289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F82898" w:rsidRPr="00E41CCE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  <w:r w:rsidR="00F82898" w:rsidRPr="00E41CCE">
            <w:rPr>
              <w:sz w:val="18"/>
              <w:szCs w:val="18"/>
              <w:lang w:val="en-US"/>
            </w:rPr>
            <w:t xml:space="preserve"> </w:t>
          </w:r>
        </w:p>
      </w:tc>
      <w:bookmarkStart w:id="17" w:name="Email"/>
      <w:bookmarkEnd w:id="17"/>
    </w:tr>
  </w:tbl>
  <w:p w:rsidR="00227325" w:rsidRPr="008D71B5" w:rsidRDefault="00704705" w:rsidP="008D71B5">
    <w:pPr>
      <w:pStyle w:val="Footer"/>
      <w:spacing w:before="120"/>
      <w:jc w:val="center"/>
      <w:rPr>
        <w:sz w:val="20"/>
      </w:rPr>
    </w:pPr>
    <w:hyperlink r:id="rId2" w:history="1">
      <w:r w:rsidR="00227325" w:rsidRPr="008D71B5">
        <w:rPr>
          <w:rStyle w:val="Hyperlink"/>
          <w:caps w:val="0"/>
          <w:noProof w:val="0"/>
          <w:sz w:val="20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FC" w:rsidRDefault="003A08FC">
      <w:r>
        <w:t>____________________</w:t>
      </w:r>
    </w:p>
  </w:footnote>
  <w:footnote w:type="continuationSeparator" w:id="0">
    <w:p w:rsidR="003A08FC" w:rsidRDefault="003A08FC">
      <w:r>
        <w:continuationSeparator/>
      </w:r>
    </w:p>
  </w:footnote>
  <w:footnote w:id="1">
    <w:p w:rsidR="00B75349" w:rsidRPr="00EB2399" w:rsidRDefault="00B75349" w:rsidP="00B75349">
      <w:pPr>
        <w:pStyle w:val="FootnoteText"/>
        <w:tabs>
          <w:tab w:val="clear" w:pos="255"/>
          <w:tab w:val="left" w:pos="0"/>
        </w:tabs>
        <w:spacing w:before="0"/>
        <w:ind w:left="142" w:hanging="142"/>
        <w:rPr>
          <w:sz w:val="18"/>
          <w:szCs w:val="18"/>
          <w:lang w:val="en-US" w:eastAsia="zh-CN"/>
        </w:rPr>
      </w:pPr>
      <w:r w:rsidRPr="00EB2399">
        <w:rPr>
          <w:rStyle w:val="FootnoteReference"/>
          <w:szCs w:val="18"/>
        </w:rPr>
        <w:footnoteRef/>
      </w:r>
      <w:r w:rsidR="00C67619">
        <w:rPr>
          <w:rFonts w:hint="eastAsia"/>
          <w:sz w:val="18"/>
          <w:szCs w:val="18"/>
          <w:lang w:eastAsia="zh-CN"/>
        </w:rPr>
        <w:t xml:space="preserve"> </w:t>
      </w:r>
      <w:r w:rsidRPr="00C76187">
        <w:rPr>
          <w:bCs/>
          <w:sz w:val="18"/>
          <w:szCs w:val="18"/>
          <w:lang w:eastAsia="zh-CN"/>
        </w:rPr>
        <w:t>谅解备忘录、合作协议、项目文件</w:t>
      </w:r>
      <w:r>
        <w:rPr>
          <w:bCs/>
          <w:sz w:val="18"/>
          <w:szCs w:val="18"/>
          <w:lang w:eastAsia="zh-CN"/>
        </w:rPr>
        <w:t>、</w:t>
      </w:r>
      <w:r w:rsidRPr="00C76187">
        <w:rPr>
          <w:bCs/>
          <w:sz w:val="18"/>
          <w:szCs w:val="18"/>
          <w:lang w:eastAsia="zh-CN"/>
        </w:rPr>
        <w:t>自愿捐赠协议、</w:t>
      </w:r>
      <w:r>
        <w:rPr>
          <w:rFonts w:hint="eastAsia"/>
          <w:bCs/>
          <w:sz w:val="18"/>
          <w:szCs w:val="18"/>
          <w:lang w:eastAsia="zh-CN"/>
        </w:rPr>
        <w:t>赞助协议等。</w:t>
      </w:r>
    </w:p>
  </w:footnote>
  <w:footnote w:id="2">
    <w:p w:rsidR="00C67619" w:rsidRPr="0053794D" w:rsidRDefault="00C67619" w:rsidP="00196EFF">
      <w:pPr>
        <w:pStyle w:val="FootnoteText"/>
        <w:rPr>
          <w:sz w:val="18"/>
          <w:szCs w:val="18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53794D">
        <w:rPr>
          <w:sz w:val="18"/>
          <w:szCs w:val="18"/>
          <w:lang w:eastAsia="zh-CN"/>
        </w:rPr>
        <w:t xml:space="preserve">a) </w:t>
      </w:r>
      <w:r w:rsidRPr="00B75349">
        <w:rPr>
          <w:color w:val="000000"/>
          <w:sz w:val="18"/>
          <w:szCs w:val="18"/>
          <w:lang w:eastAsia="zh-CN"/>
        </w:rPr>
        <w:t>现金捐</w:t>
      </w:r>
      <w:r w:rsidR="00E10A2A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赠</w:t>
      </w:r>
      <w:r w:rsidRPr="00B75349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的协议和项目</w:t>
      </w:r>
      <w:r w:rsidR="00196EFF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，</w:t>
      </w:r>
      <w:r w:rsidRPr="0053794D">
        <w:rPr>
          <w:sz w:val="18"/>
          <w:szCs w:val="18"/>
          <w:lang w:eastAsia="zh-CN"/>
        </w:rPr>
        <w:t xml:space="preserve">b) </w:t>
      </w:r>
      <w:r>
        <w:rPr>
          <w:rFonts w:hint="eastAsia"/>
          <w:sz w:val="18"/>
          <w:szCs w:val="18"/>
          <w:lang w:eastAsia="zh-CN"/>
        </w:rPr>
        <w:t>无</w:t>
      </w:r>
      <w:r w:rsidRPr="00B75349">
        <w:rPr>
          <w:color w:val="000000"/>
          <w:sz w:val="18"/>
          <w:szCs w:val="18"/>
          <w:lang w:eastAsia="zh-CN"/>
        </w:rPr>
        <w:t>现金捐</w:t>
      </w:r>
      <w:r w:rsidR="00E10A2A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赠</w:t>
      </w:r>
      <w:r w:rsidRPr="00B75349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的协议和项目</w:t>
      </w:r>
      <w:r w:rsidR="00196EFF">
        <w:rPr>
          <w:rFonts w:ascii="SimSun" w:eastAsia="SimSun" w:hAnsi="SimSun" w:cs="SimSun" w:hint="eastAsia"/>
          <w:color w:val="000000"/>
          <w:sz w:val="18"/>
          <w:szCs w:val="18"/>
          <w:lang w:eastAsia="zh-CN"/>
        </w:rPr>
        <w:t>，</w:t>
      </w:r>
      <w:r w:rsidRPr="0053794D">
        <w:rPr>
          <w:sz w:val="18"/>
          <w:szCs w:val="18"/>
          <w:lang w:eastAsia="zh-CN"/>
        </w:rPr>
        <w:t xml:space="preserve">c) </w:t>
      </w:r>
      <w:r>
        <w:rPr>
          <w:rFonts w:hint="eastAsia"/>
          <w:bCs/>
          <w:sz w:val="18"/>
          <w:szCs w:val="18"/>
          <w:lang w:eastAsia="zh-CN"/>
        </w:rPr>
        <w:t>赞助协议</w:t>
      </w:r>
      <w:r w:rsidR="00196EFF">
        <w:rPr>
          <w:rFonts w:hint="eastAsia"/>
          <w:bCs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eastAsia="zh-CN"/>
        </w:rPr>
        <w:t>及</w:t>
      </w:r>
      <w:r w:rsidRPr="0053794D">
        <w:rPr>
          <w:sz w:val="18"/>
          <w:szCs w:val="18"/>
          <w:lang w:eastAsia="zh-CN"/>
        </w:rPr>
        <w:t xml:space="preserve">d) </w:t>
      </w:r>
      <w:r w:rsidRPr="00B75349">
        <w:rPr>
          <w:rFonts w:hint="eastAsia"/>
          <w:sz w:val="18"/>
          <w:szCs w:val="18"/>
          <w:lang w:eastAsia="zh-CN"/>
        </w:rPr>
        <w:t>增补</w:t>
      </w:r>
      <w:r w:rsidRPr="00B75349">
        <w:rPr>
          <w:rFonts w:hint="eastAsia"/>
          <w:sz w:val="18"/>
          <w:szCs w:val="18"/>
          <w:lang w:eastAsia="zh-CN"/>
        </w:rPr>
        <w:t>/</w:t>
      </w:r>
      <w:r w:rsidRPr="00B75349">
        <w:rPr>
          <w:rFonts w:hint="eastAsia"/>
          <w:sz w:val="18"/>
          <w:szCs w:val="18"/>
          <w:lang w:eastAsia="zh-CN"/>
        </w:rPr>
        <w:t>修订</w:t>
      </w:r>
      <w:r>
        <w:rPr>
          <w:rFonts w:hint="eastAsia"/>
          <w:sz w:val="18"/>
          <w:szCs w:val="18"/>
          <w:lang w:eastAsia="zh-CN"/>
        </w:rPr>
        <w:t>。</w:t>
      </w:r>
    </w:p>
  </w:footnote>
  <w:footnote w:id="3">
    <w:p w:rsidR="00C71619" w:rsidRPr="003817F5" w:rsidRDefault="00C71619" w:rsidP="00C71619">
      <w:pPr>
        <w:pStyle w:val="FootnoteText"/>
        <w:spacing w:before="0"/>
        <w:rPr>
          <w:sz w:val="18"/>
          <w:szCs w:val="18"/>
          <w:lang w:val="en-US" w:eastAsia="zh-CN"/>
        </w:rPr>
      </w:pPr>
      <w:r w:rsidRPr="00EB2399">
        <w:rPr>
          <w:rStyle w:val="FootnoteReference"/>
          <w:szCs w:val="18"/>
        </w:rPr>
        <w:footnoteRef/>
      </w:r>
      <w:r>
        <w:rPr>
          <w:rFonts w:hint="eastAsia"/>
          <w:sz w:val="18"/>
          <w:szCs w:val="18"/>
          <w:lang w:val="en-US" w:eastAsia="zh-CN"/>
        </w:rPr>
        <w:t>《</w:t>
      </w:r>
      <w:r w:rsidRPr="00B64CC9"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巴塞尔公约</w:t>
      </w:r>
      <w:r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》</w:t>
      </w:r>
      <w:r w:rsidRPr="00B64CC9"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和</w:t>
      </w:r>
      <w:r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《</w:t>
      </w:r>
      <w:r w:rsidRPr="00B64CC9"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斯德哥尔摩公约</w:t>
      </w:r>
      <w:r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》</w:t>
      </w:r>
      <w:r w:rsidRPr="00B64CC9">
        <w:rPr>
          <w:rFonts w:asciiTheme="minorEastAsia" w:hAnsiTheme="minorEastAsia" w:hint="eastAsia"/>
          <w:color w:val="333333"/>
          <w:sz w:val="18"/>
          <w:szCs w:val="18"/>
          <w:lang w:eastAsia="zh-CN"/>
        </w:rPr>
        <w:t>秘书处</w:t>
      </w:r>
    </w:p>
  </w:footnote>
  <w:footnote w:id="4">
    <w:p w:rsidR="00C71619" w:rsidRPr="00EB2399" w:rsidRDefault="00C71619" w:rsidP="00C71619">
      <w:pPr>
        <w:pStyle w:val="FootnoteText"/>
        <w:spacing w:before="0"/>
        <w:rPr>
          <w:sz w:val="18"/>
          <w:szCs w:val="18"/>
          <w:lang w:eastAsia="zh-CN"/>
        </w:rPr>
      </w:pPr>
      <w:r w:rsidRPr="00EB2399">
        <w:rPr>
          <w:rStyle w:val="FootnoteReference"/>
          <w:szCs w:val="18"/>
        </w:rPr>
        <w:footnoteRef/>
      </w:r>
      <w:r w:rsidRPr="00EB2399">
        <w:rPr>
          <w:sz w:val="18"/>
          <w:szCs w:val="18"/>
          <w:lang w:eastAsia="zh-CN"/>
        </w:rPr>
        <w:t xml:space="preserve"> </w:t>
      </w:r>
      <w:r w:rsidRPr="00C1754F">
        <w:rPr>
          <w:sz w:val="18"/>
          <w:szCs w:val="18"/>
          <w:lang w:eastAsia="zh-CN"/>
        </w:rPr>
        <w:t>国际固体废物协会</w:t>
      </w:r>
    </w:p>
  </w:footnote>
  <w:footnote w:id="5">
    <w:p w:rsidR="00C71619" w:rsidRPr="00EB2399" w:rsidRDefault="00C71619" w:rsidP="00C71619">
      <w:pPr>
        <w:pStyle w:val="FootnoteText"/>
        <w:spacing w:before="0"/>
        <w:rPr>
          <w:sz w:val="18"/>
          <w:szCs w:val="18"/>
          <w:lang w:eastAsia="zh-CN"/>
        </w:rPr>
      </w:pPr>
      <w:r w:rsidRPr="00EB2399">
        <w:rPr>
          <w:rStyle w:val="FootnoteReference"/>
          <w:szCs w:val="18"/>
        </w:rPr>
        <w:footnoteRef/>
      </w:r>
      <w:r>
        <w:rPr>
          <w:rFonts w:hint="eastAsia"/>
          <w:sz w:val="18"/>
          <w:szCs w:val="18"/>
          <w:lang w:eastAsia="zh-CN"/>
        </w:rPr>
        <w:t xml:space="preserve"> </w:t>
      </w:r>
      <w:r w:rsidRPr="007C73A8">
        <w:rPr>
          <w:rFonts w:hint="eastAsia"/>
          <w:sz w:val="18"/>
          <w:szCs w:val="18"/>
          <w:lang w:eastAsia="zh-CN"/>
        </w:rPr>
        <w:t>联合国大学欧洲校务中心</w:t>
      </w:r>
      <w:r w:rsidRPr="007C73A8">
        <w:rPr>
          <w:sz w:val="18"/>
          <w:szCs w:val="18"/>
          <w:lang w:eastAsia="zh-CN"/>
        </w:rPr>
        <w:t>可持续</w:t>
      </w:r>
      <w:r w:rsidRPr="007C73A8">
        <w:rPr>
          <w:rFonts w:hint="eastAsia"/>
          <w:sz w:val="18"/>
          <w:szCs w:val="18"/>
          <w:lang w:eastAsia="zh-CN"/>
        </w:rPr>
        <w:t>周期</w:t>
      </w:r>
      <w:r w:rsidRPr="007C73A8">
        <w:rPr>
          <w:sz w:val="18"/>
          <w:szCs w:val="18"/>
          <w:lang w:eastAsia="zh-CN"/>
        </w:rPr>
        <w:t>计划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25" w:rsidRPr="00F82898" w:rsidRDefault="00227325" w:rsidP="0041294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22"/>
        <w:szCs w:val="22"/>
        <w:lang w:val="es-ES_tradnl"/>
      </w:rPr>
    </w:pPr>
    <w:r w:rsidRPr="00F82898">
      <w:rPr>
        <w:rFonts w:ascii="Calibri" w:eastAsia="SimSun" w:hAnsi="Calibri"/>
        <w:sz w:val="22"/>
        <w:szCs w:val="22"/>
      </w:rPr>
      <w:tab/>
    </w:r>
    <w:r w:rsidRPr="00F82898">
      <w:rPr>
        <w:rFonts w:ascii="Calibri" w:eastAsia="SimSun" w:hAnsi="Calibri"/>
        <w:sz w:val="22"/>
        <w:szCs w:val="22"/>
        <w:lang w:val="es-ES_tradnl"/>
      </w:rPr>
      <w:t>TDAG-19/</w:t>
    </w:r>
    <w:bookmarkStart w:id="14" w:name="DocNo2"/>
    <w:bookmarkEnd w:id="14"/>
    <w:r w:rsidRPr="00F82898">
      <w:rPr>
        <w:rFonts w:ascii="Calibri" w:eastAsia="SimSun" w:hAnsi="Calibri"/>
        <w:sz w:val="22"/>
        <w:szCs w:val="22"/>
        <w:lang w:val="es-ES_tradnl"/>
      </w:rPr>
      <w:t>2</w:t>
    </w:r>
    <w:r w:rsidR="00F82898" w:rsidRPr="00F82898">
      <w:rPr>
        <w:rFonts w:ascii="Calibri" w:eastAsia="SimSun" w:hAnsi="Calibri"/>
        <w:sz w:val="22"/>
        <w:szCs w:val="22"/>
        <w:lang w:val="es-ES_tradnl"/>
      </w:rPr>
      <w:t>1</w:t>
    </w:r>
    <w:r w:rsidRPr="00F82898">
      <w:rPr>
        <w:rFonts w:ascii="Calibri" w:eastAsia="SimSun" w:hAnsi="Calibri"/>
        <w:sz w:val="22"/>
        <w:szCs w:val="22"/>
        <w:lang w:val="es-ES_tradnl"/>
      </w:rPr>
      <w:t>-C</w:t>
    </w:r>
    <w:r w:rsidRPr="00F82898">
      <w:rPr>
        <w:rFonts w:ascii="Calibri" w:eastAsia="SimSun" w:hAnsi="Calibri"/>
        <w:sz w:val="22"/>
        <w:szCs w:val="22"/>
        <w:lang w:val="es-ES_tradnl"/>
      </w:rPr>
      <w:tab/>
    </w:r>
    <w:r w:rsidRPr="00F82898">
      <w:rPr>
        <w:rFonts w:ascii="Calibri" w:eastAsia="SimSun" w:hAnsi="Calibri"/>
        <w:sz w:val="22"/>
        <w:szCs w:val="22"/>
      </w:rPr>
      <w:fldChar w:fldCharType="begin"/>
    </w:r>
    <w:r w:rsidRPr="00F82898">
      <w:rPr>
        <w:rFonts w:ascii="Calibri" w:eastAsia="SimSun" w:hAnsi="Calibri"/>
        <w:sz w:val="22"/>
        <w:szCs w:val="22"/>
        <w:lang w:val="es-ES_tradnl"/>
      </w:rPr>
      <w:instrText xml:space="preserve"> PAGE </w:instrText>
    </w:r>
    <w:r w:rsidRPr="00F82898">
      <w:rPr>
        <w:rFonts w:ascii="Calibri" w:eastAsia="SimSun" w:hAnsi="Calibri"/>
        <w:sz w:val="22"/>
        <w:szCs w:val="22"/>
      </w:rPr>
      <w:fldChar w:fldCharType="separate"/>
    </w:r>
    <w:r w:rsidR="00704705">
      <w:rPr>
        <w:rFonts w:ascii="Calibri" w:eastAsia="SimSun" w:hAnsi="Calibri"/>
        <w:noProof/>
        <w:sz w:val="22"/>
        <w:szCs w:val="22"/>
        <w:lang w:val="es-ES_tradnl"/>
      </w:rPr>
      <w:t>5</w:t>
    </w:r>
    <w:r w:rsidRPr="00F82898">
      <w:rPr>
        <w:rFonts w:ascii="Calibri" w:eastAsia="SimSun" w:hAnsi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310"/>
    <w:multiLevelType w:val="hybridMultilevel"/>
    <w:tmpl w:val="10A28CBC"/>
    <w:lvl w:ilvl="0" w:tplc="3D2E9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69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86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25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2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C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390518D"/>
    <w:multiLevelType w:val="hybridMultilevel"/>
    <w:tmpl w:val="86482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4C8"/>
    <w:multiLevelType w:val="hybridMultilevel"/>
    <w:tmpl w:val="1E1ED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44D96"/>
    <w:multiLevelType w:val="hybridMultilevel"/>
    <w:tmpl w:val="8AE4C518"/>
    <w:lvl w:ilvl="0" w:tplc="2FA2D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523C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8C2B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0C0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2EB5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A6CA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1828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4609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530A4"/>
    <w:multiLevelType w:val="hybridMultilevel"/>
    <w:tmpl w:val="56EE58CC"/>
    <w:lvl w:ilvl="0" w:tplc="7AAC98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8A28B556" w:tentative="1">
      <w:start w:val="1"/>
      <w:numFmt w:val="lowerLetter"/>
      <w:lvlText w:val="%2."/>
      <w:lvlJc w:val="left"/>
      <w:pPr>
        <w:ind w:left="1440" w:hanging="360"/>
      </w:pPr>
    </w:lvl>
    <w:lvl w:ilvl="2" w:tplc="524E122C" w:tentative="1">
      <w:start w:val="1"/>
      <w:numFmt w:val="lowerRoman"/>
      <w:lvlText w:val="%3."/>
      <w:lvlJc w:val="right"/>
      <w:pPr>
        <w:ind w:left="2160" w:hanging="180"/>
      </w:pPr>
    </w:lvl>
    <w:lvl w:ilvl="3" w:tplc="921810F0" w:tentative="1">
      <w:start w:val="1"/>
      <w:numFmt w:val="decimal"/>
      <w:lvlText w:val="%4."/>
      <w:lvlJc w:val="left"/>
      <w:pPr>
        <w:ind w:left="2880" w:hanging="360"/>
      </w:pPr>
    </w:lvl>
    <w:lvl w:ilvl="4" w:tplc="2A2EB54E" w:tentative="1">
      <w:start w:val="1"/>
      <w:numFmt w:val="lowerLetter"/>
      <w:lvlText w:val="%5."/>
      <w:lvlJc w:val="left"/>
      <w:pPr>
        <w:ind w:left="3600" w:hanging="360"/>
      </w:pPr>
    </w:lvl>
    <w:lvl w:ilvl="5" w:tplc="1E94803C" w:tentative="1">
      <w:start w:val="1"/>
      <w:numFmt w:val="lowerRoman"/>
      <w:lvlText w:val="%6."/>
      <w:lvlJc w:val="right"/>
      <w:pPr>
        <w:ind w:left="4320" w:hanging="180"/>
      </w:pPr>
    </w:lvl>
    <w:lvl w:ilvl="6" w:tplc="10D28D6E" w:tentative="1">
      <w:start w:val="1"/>
      <w:numFmt w:val="decimal"/>
      <w:lvlText w:val="%7."/>
      <w:lvlJc w:val="left"/>
      <w:pPr>
        <w:ind w:left="5040" w:hanging="360"/>
      </w:pPr>
    </w:lvl>
    <w:lvl w:ilvl="7" w:tplc="4DBC8000" w:tentative="1">
      <w:start w:val="1"/>
      <w:numFmt w:val="lowerLetter"/>
      <w:lvlText w:val="%8."/>
      <w:lvlJc w:val="left"/>
      <w:pPr>
        <w:ind w:left="5760" w:hanging="360"/>
      </w:pPr>
    </w:lvl>
    <w:lvl w:ilvl="8" w:tplc="1396C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361F8"/>
    <w:multiLevelType w:val="hybridMultilevel"/>
    <w:tmpl w:val="7E9C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72AF5"/>
    <w:multiLevelType w:val="multilevel"/>
    <w:tmpl w:val="8B78F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multilevel"/>
    <w:tmpl w:val="90582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9B"/>
    <w:rsid w:val="00002716"/>
    <w:rsid w:val="00005791"/>
    <w:rsid w:val="0002520B"/>
    <w:rsid w:val="00036C69"/>
    <w:rsid w:val="00037A9E"/>
    <w:rsid w:val="00037F91"/>
    <w:rsid w:val="00040B40"/>
    <w:rsid w:val="000539F1"/>
    <w:rsid w:val="00055A2A"/>
    <w:rsid w:val="000615C1"/>
    <w:rsid w:val="0009225C"/>
    <w:rsid w:val="000A17C4"/>
    <w:rsid w:val="000A346A"/>
    <w:rsid w:val="000A7428"/>
    <w:rsid w:val="000B2352"/>
    <w:rsid w:val="000C7B84"/>
    <w:rsid w:val="000D261B"/>
    <w:rsid w:val="000D5042"/>
    <w:rsid w:val="000D58A3"/>
    <w:rsid w:val="000E3ED4"/>
    <w:rsid w:val="000F2D39"/>
    <w:rsid w:val="000F6644"/>
    <w:rsid w:val="00100833"/>
    <w:rsid w:val="00111891"/>
    <w:rsid w:val="00113EE8"/>
    <w:rsid w:val="0011455A"/>
    <w:rsid w:val="00114A65"/>
    <w:rsid w:val="00141699"/>
    <w:rsid w:val="00142687"/>
    <w:rsid w:val="00147000"/>
    <w:rsid w:val="00153C3C"/>
    <w:rsid w:val="001609CD"/>
    <w:rsid w:val="00163091"/>
    <w:rsid w:val="001645CB"/>
    <w:rsid w:val="00166305"/>
    <w:rsid w:val="001703C6"/>
    <w:rsid w:val="00173781"/>
    <w:rsid w:val="00174D96"/>
    <w:rsid w:val="00175C4C"/>
    <w:rsid w:val="00175CAE"/>
    <w:rsid w:val="00176345"/>
    <w:rsid w:val="00176DFF"/>
    <w:rsid w:val="00181ADD"/>
    <w:rsid w:val="001828DB"/>
    <w:rsid w:val="001830FF"/>
    <w:rsid w:val="001850FE"/>
    <w:rsid w:val="00185135"/>
    <w:rsid w:val="0019037C"/>
    <w:rsid w:val="001905A9"/>
    <w:rsid w:val="00191273"/>
    <w:rsid w:val="001942A7"/>
    <w:rsid w:val="0019587B"/>
    <w:rsid w:val="00196EFF"/>
    <w:rsid w:val="001A163D"/>
    <w:rsid w:val="001A441E"/>
    <w:rsid w:val="001B357F"/>
    <w:rsid w:val="001C3702"/>
    <w:rsid w:val="001C4656"/>
    <w:rsid w:val="001D2542"/>
    <w:rsid w:val="001F1B3F"/>
    <w:rsid w:val="001F23E6"/>
    <w:rsid w:val="001F4238"/>
    <w:rsid w:val="001F6788"/>
    <w:rsid w:val="00200A38"/>
    <w:rsid w:val="00200A46"/>
    <w:rsid w:val="002061CB"/>
    <w:rsid w:val="00211B6F"/>
    <w:rsid w:val="002123C2"/>
    <w:rsid w:val="00214E9B"/>
    <w:rsid w:val="00217CC3"/>
    <w:rsid w:val="00220AB6"/>
    <w:rsid w:val="0022120F"/>
    <w:rsid w:val="00227325"/>
    <w:rsid w:val="0022754A"/>
    <w:rsid w:val="00234B23"/>
    <w:rsid w:val="00236560"/>
    <w:rsid w:val="0023662E"/>
    <w:rsid w:val="00245D0F"/>
    <w:rsid w:val="002548C3"/>
    <w:rsid w:val="00257ACD"/>
    <w:rsid w:val="0026193B"/>
    <w:rsid w:val="00262908"/>
    <w:rsid w:val="002650F4"/>
    <w:rsid w:val="002715FD"/>
    <w:rsid w:val="00285B33"/>
    <w:rsid w:val="00294678"/>
    <w:rsid w:val="002A093E"/>
    <w:rsid w:val="002B4FC3"/>
    <w:rsid w:val="002B69C8"/>
    <w:rsid w:val="002C1EC7"/>
    <w:rsid w:val="002C67C5"/>
    <w:rsid w:val="002C7EA3"/>
    <w:rsid w:val="002D20AE"/>
    <w:rsid w:val="002D6C61"/>
    <w:rsid w:val="002E2104"/>
    <w:rsid w:val="002E4DA2"/>
    <w:rsid w:val="002E6963"/>
    <w:rsid w:val="002F05D8"/>
    <w:rsid w:val="002F098D"/>
    <w:rsid w:val="002F2DE0"/>
    <w:rsid w:val="002F5E25"/>
    <w:rsid w:val="002F70A4"/>
    <w:rsid w:val="003125C3"/>
    <w:rsid w:val="00312AE6"/>
    <w:rsid w:val="00317D1A"/>
    <w:rsid w:val="003211FF"/>
    <w:rsid w:val="00327247"/>
    <w:rsid w:val="00327A9D"/>
    <w:rsid w:val="0033130E"/>
    <w:rsid w:val="00336825"/>
    <w:rsid w:val="00345B28"/>
    <w:rsid w:val="00360B73"/>
    <w:rsid w:val="003817F5"/>
    <w:rsid w:val="0038365A"/>
    <w:rsid w:val="00386A89"/>
    <w:rsid w:val="00387786"/>
    <w:rsid w:val="00390604"/>
    <w:rsid w:val="0039387B"/>
    <w:rsid w:val="0039648E"/>
    <w:rsid w:val="003A08FC"/>
    <w:rsid w:val="003A5AFE"/>
    <w:rsid w:val="003A5D5F"/>
    <w:rsid w:val="003A7FFE"/>
    <w:rsid w:val="003B0A63"/>
    <w:rsid w:val="003B50E1"/>
    <w:rsid w:val="003C1746"/>
    <w:rsid w:val="003C58BF"/>
    <w:rsid w:val="003C7F93"/>
    <w:rsid w:val="003D451D"/>
    <w:rsid w:val="003F2DD8"/>
    <w:rsid w:val="003F48D1"/>
    <w:rsid w:val="003F50B2"/>
    <w:rsid w:val="00401BFF"/>
    <w:rsid w:val="004122C5"/>
    <w:rsid w:val="0041286A"/>
    <w:rsid w:val="00412940"/>
    <w:rsid w:val="00413B78"/>
    <w:rsid w:val="00416DDE"/>
    <w:rsid w:val="0043419E"/>
    <w:rsid w:val="004341E1"/>
    <w:rsid w:val="0044411E"/>
    <w:rsid w:val="00453435"/>
    <w:rsid w:val="00466398"/>
    <w:rsid w:val="00483B6E"/>
    <w:rsid w:val="0049128B"/>
    <w:rsid w:val="00493B49"/>
    <w:rsid w:val="00495501"/>
    <w:rsid w:val="004A070A"/>
    <w:rsid w:val="004A0832"/>
    <w:rsid w:val="004A320E"/>
    <w:rsid w:val="004A4E9C"/>
    <w:rsid w:val="004B1A3C"/>
    <w:rsid w:val="004C189D"/>
    <w:rsid w:val="004C5C6B"/>
    <w:rsid w:val="004C7026"/>
    <w:rsid w:val="004D2CC3"/>
    <w:rsid w:val="004D35CB"/>
    <w:rsid w:val="004E20E5"/>
    <w:rsid w:val="004E64EA"/>
    <w:rsid w:val="004E7828"/>
    <w:rsid w:val="004F0E9D"/>
    <w:rsid w:val="004F46AA"/>
    <w:rsid w:val="004F6A70"/>
    <w:rsid w:val="00502ABF"/>
    <w:rsid w:val="00504DB0"/>
    <w:rsid w:val="0054420E"/>
    <w:rsid w:val="00544D1B"/>
    <w:rsid w:val="00545A60"/>
    <w:rsid w:val="00545DC0"/>
    <w:rsid w:val="00545F6C"/>
    <w:rsid w:val="00554989"/>
    <w:rsid w:val="0055720C"/>
    <w:rsid w:val="0056423B"/>
    <w:rsid w:val="00567A14"/>
    <w:rsid w:val="00573424"/>
    <w:rsid w:val="0057402F"/>
    <w:rsid w:val="00583B21"/>
    <w:rsid w:val="005849D6"/>
    <w:rsid w:val="00585367"/>
    <w:rsid w:val="00592518"/>
    <w:rsid w:val="00592E87"/>
    <w:rsid w:val="0059499C"/>
    <w:rsid w:val="00594C4D"/>
    <w:rsid w:val="005A33B0"/>
    <w:rsid w:val="005A3E62"/>
    <w:rsid w:val="005B725F"/>
    <w:rsid w:val="005C2DC2"/>
    <w:rsid w:val="005C304A"/>
    <w:rsid w:val="005D07C5"/>
    <w:rsid w:val="005D57C8"/>
    <w:rsid w:val="005D70FA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4AAA"/>
    <w:rsid w:val="00625FB8"/>
    <w:rsid w:val="006261BD"/>
    <w:rsid w:val="00636284"/>
    <w:rsid w:val="00645AE9"/>
    <w:rsid w:val="0064623F"/>
    <w:rsid w:val="0064734E"/>
    <w:rsid w:val="00650137"/>
    <w:rsid w:val="0065034D"/>
    <w:rsid w:val="006506FE"/>
    <w:rsid w:val="006509D7"/>
    <w:rsid w:val="0065521B"/>
    <w:rsid w:val="00660CFA"/>
    <w:rsid w:val="00671EF6"/>
    <w:rsid w:val="0067205B"/>
    <w:rsid w:val="006748F8"/>
    <w:rsid w:val="00680489"/>
    <w:rsid w:val="00694D10"/>
    <w:rsid w:val="006A7710"/>
    <w:rsid w:val="006A7A61"/>
    <w:rsid w:val="006B2216"/>
    <w:rsid w:val="006B2FFB"/>
    <w:rsid w:val="006B3619"/>
    <w:rsid w:val="006C10A2"/>
    <w:rsid w:val="006C1F18"/>
    <w:rsid w:val="006C7DD3"/>
    <w:rsid w:val="006D40D5"/>
    <w:rsid w:val="006F009A"/>
    <w:rsid w:val="006F1646"/>
    <w:rsid w:val="006F3D93"/>
    <w:rsid w:val="007019B1"/>
    <w:rsid w:val="00703E66"/>
    <w:rsid w:val="00704705"/>
    <w:rsid w:val="00716ACD"/>
    <w:rsid w:val="00717FED"/>
    <w:rsid w:val="00721657"/>
    <w:rsid w:val="00727B1A"/>
    <w:rsid w:val="007342F7"/>
    <w:rsid w:val="00744B5F"/>
    <w:rsid w:val="00745F13"/>
    <w:rsid w:val="00752258"/>
    <w:rsid w:val="00762880"/>
    <w:rsid w:val="00772290"/>
    <w:rsid w:val="00777265"/>
    <w:rsid w:val="007805E7"/>
    <w:rsid w:val="00780ABA"/>
    <w:rsid w:val="0078222A"/>
    <w:rsid w:val="00787D48"/>
    <w:rsid w:val="007939DD"/>
    <w:rsid w:val="007A4E50"/>
    <w:rsid w:val="007B18A7"/>
    <w:rsid w:val="007B250E"/>
    <w:rsid w:val="007C27FC"/>
    <w:rsid w:val="007C51FF"/>
    <w:rsid w:val="007C73A8"/>
    <w:rsid w:val="007D50E4"/>
    <w:rsid w:val="008028CE"/>
    <w:rsid w:val="0080332E"/>
    <w:rsid w:val="008141E0"/>
    <w:rsid w:val="00816EE1"/>
    <w:rsid w:val="00816F88"/>
    <w:rsid w:val="00821F9A"/>
    <w:rsid w:val="00822323"/>
    <w:rsid w:val="00823118"/>
    <w:rsid w:val="00833024"/>
    <w:rsid w:val="00844A56"/>
    <w:rsid w:val="0084569B"/>
    <w:rsid w:val="00852081"/>
    <w:rsid w:val="00852B46"/>
    <w:rsid w:val="00862E07"/>
    <w:rsid w:val="00866A8E"/>
    <w:rsid w:val="008717AC"/>
    <w:rsid w:val="00874DFD"/>
    <w:rsid w:val="00877D86"/>
    <w:rsid w:val="00883086"/>
    <w:rsid w:val="008879FD"/>
    <w:rsid w:val="00894C37"/>
    <w:rsid w:val="008A00EA"/>
    <w:rsid w:val="008A3F93"/>
    <w:rsid w:val="008A6236"/>
    <w:rsid w:val="008A6E1C"/>
    <w:rsid w:val="008A72FD"/>
    <w:rsid w:val="008A7CF0"/>
    <w:rsid w:val="008B2EDF"/>
    <w:rsid w:val="008B54CB"/>
    <w:rsid w:val="008B5A3D"/>
    <w:rsid w:val="008C2B02"/>
    <w:rsid w:val="008C4010"/>
    <w:rsid w:val="008C4FDF"/>
    <w:rsid w:val="008C6B1F"/>
    <w:rsid w:val="008D18A4"/>
    <w:rsid w:val="008D5E4F"/>
    <w:rsid w:val="008D71B5"/>
    <w:rsid w:val="008E028F"/>
    <w:rsid w:val="008E0E1C"/>
    <w:rsid w:val="008E2D9B"/>
    <w:rsid w:val="008E4942"/>
    <w:rsid w:val="008F14F5"/>
    <w:rsid w:val="008F71C1"/>
    <w:rsid w:val="009013D5"/>
    <w:rsid w:val="00902D41"/>
    <w:rsid w:val="00906835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84DE2"/>
    <w:rsid w:val="00993F46"/>
    <w:rsid w:val="00997358"/>
    <w:rsid w:val="009A452B"/>
    <w:rsid w:val="009B050C"/>
    <w:rsid w:val="009B087F"/>
    <w:rsid w:val="009C110B"/>
    <w:rsid w:val="009C5441"/>
    <w:rsid w:val="009D119F"/>
    <w:rsid w:val="009E5A6B"/>
    <w:rsid w:val="009E6147"/>
    <w:rsid w:val="009F3940"/>
    <w:rsid w:val="009F3EB2"/>
    <w:rsid w:val="009F6EB1"/>
    <w:rsid w:val="009F71BC"/>
    <w:rsid w:val="00A20267"/>
    <w:rsid w:val="00A3158C"/>
    <w:rsid w:val="00A33E32"/>
    <w:rsid w:val="00A40542"/>
    <w:rsid w:val="00A53E7C"/>
    <w:rsid w:val="00A60087"/>
    <w:rsid w:val="00A6642F"/>
    <w:rsid w:val="00A67039"/>
    <w:rsid w:val="00A67D34"/>
    <w:rsid w:val="00A705E8"/>
    <w:rsid w:val="00A847D6"/>
    <w:rsid w:val="00A9392C"/>
    <w:rsid w:val="00A9462B"/>
    <w:rsid w:val="00A95EE7"/>
    <w:rsid w:val="00A97D59"/>
    <w:rsid w:val="00AA193B"/>
    <w:rsid w:val="00AA3E09"/>
    <w:rsid w:val="00AA4BEF"/>
    <w:rsid w:val="00AB4962"/>
    <w:rsid w:val="00AB70FC"/>
    <w:rsid w:val="00AB740F"/>
    <w:rsid w:val="00AC7221"/>
    <w:rsid w:val="00AC7FBC"/>
    <w:rsid w:val="00AD0A21"/>
    <w:rsid w:val="00AE5961"/>
    <w:rsid w:val="00AE70B3"/>
    <w:rsid w:val="00AF4971"/>
    <w:rsid w:val="00B01046"/>
    <w:rsid w:val="00B01E5A"/>
    <w:rsid w:val="00B310F9"/>
    <w:rsid w:val="00B37866"/>
    <w:rsid w:val="00B412FB"/>
    <w:rsid w:val="00B4576B"/>
    <w:rsid w:val="00B46350"/>
    <w:rsid w:val="00B64CC9"/>
    <w:rsid w:val="00B737C8"/>
    <w:rsid w:val="00B75349"/>
    <w:rsid w:val="00B83D5E"/>
    <w:rsid w:val="00B8460A"/>
    <w:rsid w:val="00B8650D"/>
    <w:rsid w:val="00B879B4"/>
    <w:rsid w:val="00B879EA"/>
    <w:rsid w:val="00B90F07"/>
    <w:rsid w:val="00B91C8C"/>
    <w:rsid w:val="00B97BB9"/>
    <w:rsid w:val="00BA0009"/>
    <w:rsid w:val="00BA04A4"/>
    <w:rsid w:val="00BA47DD"/>
    <w:rsid w:val="00BA4D75"/>
    <w:rsid w:val="00BB1863"/>
    <w:rsid w:val="00BB25EE"/>
    <w:rsid w:val="00BB363A"/>
    <w:rsid w:val="00BC10A0"/>
    <w:rsid w:val="00BC45D4"/>
    <w:rsid w:val="00BC7BA2"/>
    <w:rsid w:val="00BD426B"/>
    <w:rsid w:val="00BD5E50"/>
    <w:rsid w:val="00BD79F0"/>
    <w:rsid w:val="00BE217A"/>
    <w:rsid w:val="00BE2B4D"/>
    <w:rsid w:val="00BF5C52"/>
    <w:rsid w:val="00C015F8"/>
    <w:rsid w:val="00C07E26"/>
    <w:rsid w:val="00C1011C"/>
    <w:rsid w:val="00C1754F"/>
    <w:rsid w:val="00C177C5"/>
    <w:rsid w:val="00C33219"/>
    <w:rsid w:val="00C4038C"/>
    <w:rsid w:val="00C42BA2"/>
    <w:rsid w:val="00C44066"/>
    <w:rsid w:val="00C44E13"/>
    <w:rsid w:val="00C52E56"/>
    <w:rsid w:val="00C60A41"/>
    <w:rsid w:val="00C62DE8"/>
    <w:rsid w:val="00C62DFB"/>
    <w:rsid w:val="00C66F4D"/>
    <w:rsid w:val="00C67619"/>
    <w:rsid w:val="00C71619"/>
    <w:rsid w:val="00C723DB"/>
    <w:rsid w:val="00C76187"/>
    <w:rsid w:val="00C86600"/>
    <w:rsid w:val="00C87BCA"/>
    <w:rsid w:val="00C9374B"/>
    <w:rsid w:val="00C94506"/>
    <w:rsid w:val="00C954BC"/>
    <w:rsid w:val="00CA1F0B"/>
    <w:rsid w:val="00CA49B2"/>
    <w:rsid w:val="00CB110F"/>
    <w:rsid w:val="00CB1767"/>
    <w:rsid w:val="00CB2A2E"/>
    <w:rsid w:val="00CB338A"/>
    <w:rsid w:val="00CB5494"/>
    <w:rsid w:val="00CB79C5"/>
    <w:rsid w:val="00CC411F"/>
    <w:rsid w:val="00CC4B75"/>
    <w:rsid w:val="00CC732E"/>
    <w:rsid w:val="00CD709D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25A22"/>
    <w:rsid w:val="00D35BDD"/>
    <w:rsid w:val="00D37F9E"/>
    <w:rsid w:val="00D61557"/>
    <w:rsid w:val="00D63006"/>
    <w:rsid w:val="00D665A1"/>
    <w:rsid w:val="00D72301"/>
    <w:rsid w:val="00D91B97"/>
    <w:rsid w:val="00D93ACC"/>
    <w:rsid w:val="00D93C08"/>
    <w:rsid w:val="00D95DAC"/>
    <w:rsid w:val="00DB1171"/>
    <w:rsid w:val="00DB1519"/>
    <w:rsid w:val="00DB2840"/>
    <w:rsid w:val="00DD39EF"/>
    <w:rsid w:val="00DD66B4"/>
    <w:rsid w:val="00DE1972"/>
    <w:rsid w:val="00DE27AB"/>
    <w:rsid w:val="00DE4507"/>
    <w:rsid w:val="00DF2AB3"/>
    <w:rsid w:val="00DF54F8"/>
    <w:rsid w:val="00DF7250"/>
    <w:rsid w:val="00DF7AE9"/>
    <w:rsid w:val="00E00CAA"/>
    <w:rsid w:val="00E03EBF"/>
    <w:rsid w:val="00E05209"/>
    <w:rsid w:val="00E10A2A"/>
    <w:rsid w:val="00E2258E"/>
    <w:rsid w:val="00E260C2"/>
    <w:rsid w:val="00E32596"/>
    <w:rsid w:val="00E368F7"/>
    <w:rsid w:val="00E36EB8"/>
    <w:rsid w:val="00E37FB8"/>
    <w:rsid w:val="00E40B07"/>
    <w:rsid w:val="00E41EDA"/>
    <w:rsid w:val="00E42326"/>
    <w:rsid w:val="00E43544"/>
    <w:rsid w:val="00E44D89"/>
    <w:rsid w:val="00E477EA"/>
    <w:rsid w:val="00E5101F"/>
    <w:rsid w:val="00E63B14"/>
    <w:rsid w:val="00E83810"/>
    <w:rsid w:val="00E86933"/>
    <w:rsid w:val="00E8791A"/>
    <w:rsid w:val="00E93922"/>
    <w:rsid w:val="00E97298"/>
    <w:rsid w:val="00E97753"/>
    <w:rsid w:val="00E97E58"/>
    <w:rsid w:val="00EA2BC2"/>
    <w:rsid w:val="00EA7DE7"/>
    <w:rsid w:val="00EB7A8A"/>
    <w:rsid w:val="00ED1724"/>
    <w:rsid w:val="00ED2F48"/>
    <w:rsid w:val="00ED6C92"/>
    <w:rsid w:val="00ED6F3E"/>
    <w:rsid w:val="00EE0FA3"/>
    <w:rsid w:val="00EE3A64"/>
    <w:rsid w:val="00EE5032"/>
    <w:rsid w:val="00EF01CF"/>
    <w:rsid w:val="00EF7D67"/>
    <w:rsid w:val="00F03590"/>
    <w:rsid w:val="00F03622"/>
    <w:rsid w:val="00F03A8A"/>
    <w:rsid w:val="00F077FD"/>
    <w:rsid w:val="00F15CAF"/>
    <w:rsid w:val="00F204F3"/>
    <w:rsid w:val="00F227E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76B8F"/>
    <w:rsid w:val="00F81B54"/>
    <w:rsid w:val="00F82898"/>
    <w:rsid w:val="00F83146"/>
    <w:rsid w:val="00F9211C"/>
    <w:rsid w:val="00F93D2E"/>
    <w:rsid w:val="00F93E11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235"/>
    <w:rsid w:val="00FE1D5C"/>
    <w:rsid w:val="00FE2F8B"/>
    <w:rsid w:val="00FE490B"/>
    <w:rsid w:val="00FE5204"/>
    <w:rsid w:val="00FF287F"/>
    <w:rsid w:val="00FF4C82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FF596CD-21FA-4E46-AFDF-11A7419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(NECG) Footnote Reference,Appel note de bas de p + 11 pt,Appel note de bas de p1,FR,Footnote,Footnote symbol,Italic,Ref,Style 12,Style 124,Style 13,Style 17,Style 3,de nota al pie,fr,o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uiPriority w:val="99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link w:val="SourceChar"/>
    <w:qFormat/>
    <w:rsid w:val="001A163D"/>
    <w:rPr>
      <w:b/>
    </w:rPr>
  </w:style>
  <w:style w:type="paragraph" w:customStyle="1" w:styleId="Title1">
    <w:name w:val="Title 1"/>
    <w:basedOn w:val="Source"/>
    <w:next w:val="Title2"/>
    <w:link w:val="Title1Char"/>
    <w:qFormat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character" w:customStyle="1" w:styleId="SourceChar">
    <w:name w:val="Source Char"/>
    <w:link w:val="Source"/>
    <w:locked/>
    <w:rsid w:val="008E2D9B"/>
    <w:rPr>
      <w:rFonts w:asciiTheme="minorHAnsi" w:hAnsiTheme="minorHAnsi"/>
      <w:b/>
      <w:sz w:val="24"/>
      <w:lang w:val="en-GB" w:eastAsia="en-US"/>
    </w:rPr>
  </w:style>
  <w:style w:type="character" w:customStyle="1" w:styleId="Title1Char">
    <w:name w:val="Title 1 Char"/>
    <w:link w:val="Title1"/>
    <w:locked/>
    <w:rsid w:val="008E2D9B"/>
    <w:rPr>
      <w:rFonts w:asciiTheme="minorHAnsi" w:hAnsiTheme="minorHAnsi" w:cs="Times New Roman Bold"/>
      <w:b/>
      <w:sz w:val="24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99"/>
    <w:qFormat/>
    <w:rsid w:val="008E2D9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99"/>
    <w:rsid w:val="008E2D9B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1D2542"/>
    <w:rPr>
      <w:color w:val="800080" w:themeColor="followedHyperlink"/>
      <w:u w:val="single"/>
    </w:rPr>
  </w:style>
  <w:style w:type="paragraph" w:styleId="Date">
    <w:name w:val="Date"/>
    <w:basedOn w:val="Normal"/>
    <w:link w:val="DateChar"/>
    <w:rsid w:val="00C937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eastAsia="SimSun" w:hAnsi="Calibri"/>
      <w:sz w:val="20"/>
      <w:lang w:val="ru-RU" w:eastAsia="zh-CN"/>
    </w:rPr>
  </w:style>
  <w:style w:type="character" w:customStyle="1" w:styleId="DateChar">
    <w:name w:val="Date Char"/>
    <w:basedOn w:val="DefaultParagraphFont"/>
    <w:link w:val="Date"/>
    <w:rsid w:val="00C9374B"/>
    <w:rPr>
      <w:rFonts w:ascii="Calibri" w:eastAsia="SimSun" w:hAnsi="Calibri"/>
      <w:lang w:val="ru-RU"/>
    </w:rPr>
  </w:style>
  <w:style w:type="paragraph" w:customStyle="1" w:styleId="firstfooter0">
    <w:name w:val="firstfooter"/>
    <w:basedOn w:val="Normal"/>
    <w:rsid w:val="00C937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uiPriority w:val="99"/>
    <w:qFormat/>
    <w:rsid w:val="00C9374B"/>
    <w:rPr>
      <w:rFonts w:asciiTheme="minorHAnsi" w:hAnsiTheme="minorHAns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9374B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9374B"/>
    <w:rPr>
      <w:rFonts w:asciiTheme="minorHAnsi" w:hAnsiTheme="minorHAnsi"/>
      <w:b/>
      <w:sz w:val="24"/>
      <w:lang w:val="en-GB" w:eastAsia="en-US"/>
    </w:rPr>
  </w:style>
  <w:style w:type="paragraph" w:customStyle="1" w:styleId="MinusFootnote">
    <w:name w:val="MinusFootnote"/>
    <w:basedOn w:val="Normal"/>
    <w:rsid w:val="00C9374B"/>
    <w:pPr>
      <w:ind w:left="-1701" w:hanging="284"/>
    </w:pPr>
    <w:rPr>
      <w:rFonts w:ascii="Calibri" w:eastAsia="SimSun" w:hAnsi="Calibri"/>
      <w:lang w:val="ru-RU" w:eastAsia="zh-CN"/>
    </w:rPr>
  </w:style>
  <w:style w:type="paragraph" w:customStyle="1" w:styleId="Part">
    <w:name w:val="Part"/>
    <w:basedOn w:val="Normal"/>
    <w:next w:val="Normal"/>
    <w:rsid w:val="00C9374B"/>
    <w:pPr>
      <w:spacing w:before="600"/>
      <w:jc w:val="center"/>
    </w:pPr>
    <w:rPr>
      <w:rFonts w:ascii="Calibri" w:eastAsia="SimSun" w:hAnsi="Calibri"/>
      <w:caps/>
      <w:sz w:val="26"/>
      <w:lang w:val="ru-RU" w:eastAsia="zh-CN"/>
    </w:rPr>
  </w:style>
  <w:style w:type="paragraph" w:customStyle="1" w:styleId="Reasons">
    <w:name w:val="Reasons"/>
    <w:basedOn w:val="Normal"/>
    <w:qFormat/>
    <w:rsid w:val="00C9374B"/>
    <w:rPr>
      <w:rFonts w:ascii="Calibri" w:eastAsia="SimSun" w:hAnsi="Calibri"/>
      <w:lang w:val="ru-RU" w:eastAsia="zh-CN"/>
    </w:rPr>
  </w:style>
  <w:style w:type="paragraph" w:customStyle="1" w:styleId="Section1">
    <w:name w:val="Section 1"/>
    <w:basedOn w:val="ChapNo"/>
    <w:next w:val="Normal"/>
    <w:rsid w:val="00C9374B"/>
    <w:pPr>
      <w:keepNext w:val="0"/>
      <w:keepLines w:val="0"/>
    </w:pPr>
    <w:rPr>
      <w:rFonts w:ascii="Calibri" w:eastAsia="SimSun" w:hAnsi="Calibri"/>
      <w:b w:val="0"/>
      <w:caps w:val="0"/>
      <w:lang w:val="ru-RU" w:eastAsia="zh-CN"/>
    </w:rPr>
  </w:style>
  <w:style w:type="paragraph" w:customStyle="1" w:styleId="Section2">
    <w:name w:val="Section 2"/>
    <w:basedOn w:val="Section1"/>
    <w:next w:val="Normal"/>
    <w:rsid w:val="00C9374B"/>
    <w:pPr>
      <w:spacing w:before="240"/>
    </w:pPr>
    <w:rPr>
      <w:b/>
      <w:i/>
    </w:rPr>
  </w:style>
  <w:style w:type="paragraph" w:customStyle="1" w:styleId="Volumetitle">
    <w:name w:val="Volume_title"/>
    <w:basedOn w:val="Normal"/>
    <w:qFormat/>
    <w:rsid w:val="00C937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Proposal">
    <w:name w:val="Proposal"/>
    <w:basedOn w:val="Normal"/>
    <w:next w:val="Normal"/>
    <w:rsid w:val="00C937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Times New Roman" w:hAnsi="Times New Roman Bold"/>
    </w:rPr>
  </w:style>
  <w:style w:type="character" w:customStyle="1" w:styleId="enumlev1Char">
    <w:name w:val="enumlev1 Char"/>
    <w:basedOn w:val="DefaultParagraphFont"/>
    <w:link w:val="enumlev1"/>
    <w:rsid w:val="00C9374B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qFormat/>
    <w:rsid w:val="00C9374B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C9374B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C9374B"/>
    <w:pPr>
      <w:keepNext/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74B"/>
    <w:pPr>
      <w:spacing w:before="0"/>
    </w:pPr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B"/>
    <w:rPr>
      <w:rFonts w:ascii="Segoe UI" w:eastAsia="SimSun" w:hAnsi="Segoe UI" w:cs="Segoe UI"/>
      <w:sz w:val="18"/>
      <w:szCs w:val="18"/>
      <w:lang w:val="ru-RU"/>
    </w:rPr>
  </w:style>
  <w:style w:type="paragraph" w:customStyle="1" w:styleId="BDTcontributionH1">
    <w:name w:val="BDT_contributionH1"/>
    <w:basedOn w:val="Normal"/>
    <w:next w:val="Normal"/>
    <w:rsid w:val="00F8289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C76187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C76187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CEOParagraph1">
    <w:name w:val="CEO_Paragraph1."/>
    <w:basedOn w:val="Normal"/>
    <w:rsid w:val="00C76187"/>
    <w:pPr>
      <w:keepNext/>
      <w:numPr>
        <w:numId w:val="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5EE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5E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171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8" w:color="EEEEEE"/>
                        <w:right w:val="single" w:sz="6" w:space="11" w:color="EEEEEE"/>
                      </w:divBdr>
                      <w:divsChild>
                        <w:div w:id="7686186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D14-WTDC17-C-0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WTDC17-C-0115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DAG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9\Charts%20TDAG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19\Charts%20TDAG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1" baseline="0"/>
              <a:t>新签署协议的受益区域</a:t>
            </a:r>
            <a:endParaRPr lang="en-US" sz="1200" b="1" baseline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Sheet1!$C$6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Sheet1!$C$7:$C$13</c:f>
              <c:numCache>
                <c:formatCode>General</c:formatCode>
                <c:ptCount val="7"/>
                <c:pt idx="0">
                  <c:v>16.5</c:v>
                </c:pt>
                <c:pt idx="1">
                  <c:v>9</c:v>
                </c:pt>
                <c:pt idx="2">
                  <c:v>7</c:v>
                </c:pt>
                <c:pt idx="3">
                  <c:v>15</c:v>
                </c:pt>
                <c:pt idx="4">
                  <c:v>3</c:v>
                </c:pt>
                <c:pt idx="5">
                  <c:v>7.5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Sheet1!$D$7:$D$13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Sheet1!$E$7:$E$13</c:f>
              <c:numCache>
                <c:formatCode>General</c:formatCode>
                <c:ptCount val="7"/>
                <c:pt idx="0">
                  <c:v>5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Sheet1!$A$7:$A$13</c:f>
              <c:strCache>
                <c:ptCount val="7"/>
                <c:pt idx="0">
                  <c:v>AFR</c:v>
                </c:pt>
                <c:pt idx="1">
                  <c:v>AMS</c:v>
                </c:pt>
                <c:pt idx="2">
                  <c:v>ARB</c:v>
                </c:pt>
                <c:pt idx="3">
                  <c:v>ASP</c:v>
                </c:pt>
                <c:pt idx="4">
                  <c:v>CIS</c:v>
                </c:pt>
                <c:pt idx="5">
                  <c:v>EUR</c:v>
                </c:pt>
                <c:pt idx="6">
                  <c:v>GLO</c:v>
                </c:pt>
              </c:strCache>
            </c:strRef>
          </c:cat>
          <c:val>
            <c:numRef>
              <c:f>Sheet1!$F$7:$F$13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98328"/>
        <c:axId val="3840987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Sheet1!$A$7:$A$13</c15:sqref>
                        </c15:formulaRef>
                      </c:ext>
                    </c:extLst>
                    <c:strCache>
                      <c:ptCount val="7"/>
                      <c:pt idx="0">
                        <c:v>AFR</c:v>
                      </c:pt>
                      <c:pt idx="1">
                        <c:v>AMS</c:v>
                      </c:pt>
                      <c:pt idx="2">
                        <c:v>ARB</c:v>
                      </c:pt>
                      <c:pt idx="3">
                        <c:v>ASP</c:v>
                      </c:pt>
                      <c:pt idx="4">
                        <c:v>CIS</c:v>
                      </c:pt>
                      <c:pt idx="5">
                        <c:v>EUR</c:v>
                      </c:pt>
                      <c:pt idx="6">
                        <c:v>GLO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Sheet1!$B$7:$B$13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</c15:ser>
            </c15:filteredBarSeries>
          </c:ext>
        </c:extLst>
      </c:barChart>
      <c:catAx>
        <c:axId val="38409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098720"/>
        <c:crosses val="autoZero"/>
        <c:auto val="1"/>
        <c:lblAlgn val="ctr"/>
        <c:lblOffset val="100"/>
        <c:noMultiLvlLbl val="0"/>
      </c:catAx>
      <c:valAx>
        <c:axId val="38409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409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1"/>
              <a:t>新签署协议的行动领域</a:t>
            </a:r>
            <a:endParaRPr lang="en-US" sz="12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Sheet1!$C$21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Sheet1!$C$22:$C$32</c:f>
              <c:numCache>
                <c:formatCode>General</c:formatCode>
                <c:ptCount val="11"/>
                <c:pt idx="0">
                  <c:v>34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Sheet1!$D$22:$D$32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9</c:v>
                </c:pt>
                <c:pt idx="7">
                  <c:v>5</c:v>
                </c:pt>
                <c:pt idx="8">
                  <c:v>1</c:v>
                </c:pt>
                <c:pt idx="1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Sheet1!$E$22:$E$32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20</c:v>
                </c:pt>
                <c:pt idx="6">
                  <c:v>11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Sheet1!$A$22:$A$32</c:f>
              <c:strCache>
                <c:ptCount val="11"/>
                <c:pt idx="0">
                  <c:v>Capacity Building</c:v>
                </c:pt>
                <c:pt idx="1">
                  <c:v>Cybersecurity</c:v>
                </c:pt>
                <c:pt idx="2">
                  <c:v>Digital Inclusion</c:v>
                </c:pt>
                <c:pt idx="3">
                  <c:v>Emergency</c:v>
                </c:pt>
                <c:pt idx="4">
                  <c:v>Enabling Environment</c:v>
                </c:pt>
                <c:pt idx="5">
                  <c:v>Generic</c:v>
                </c:pt>
                <c:pt idx="6">
                  <c:v>ICT-Applications</c:v>
                </c:pt>
                <c:pt idx="7">
                  <c:v>Infrastructure</c:v>
                </c:pt>
                <c:pt idx="8">
                  <c:v>Innovation</c:v>
                </c:pt>
                <c:pt idx="9">
                  <c:v>Climate Ch. / e-waste</c:v>
                </c:pt>
                <c:pt idx="10">
                  <c:v>Statistics and Indicators</c:v>
                </c:pt>
              </c:strCache>
            </c:strRef>
          </c:cat>
          <c:val>
            <c:numRef>
              <c:f>Sheet1!$F$22:$F$32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14</c:v>
                </c:pt>
                <c:pt idx="5">
                  <c:v>3</c:v>
                </c:pt>
                <c:pt idx="6">
                  <c:v>3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0484752"/>
        <c:axId val="4204843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Sheet1!$B$21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Sheet1!$A$22:$A$32</c15:sqref>
                        </c15:formulaRef>
                      </c:ext>
                    </c:extLst>
                    <c:strCache>
                      <c:ptCount val="11"/>
                      <c:pt idx="0">
                        <c:v>Capacity Building</c:v>
                      </c:pt>
                      <c:pt idx="1">
                        <c:v>Cybersecurity</c:v>
                      </c:pt>
                      <c:pt idx="2">
                        <c:v>Digital Inclusion</c:v>
                      </c:pt>
                      <c:pt idx="3">
                        <c:v>Emergency</c:v>
                      </c:pt>
                      <c:pt idx="4">
                        <c:v>Enabling Environment</c:v>
                      </c:pt>
                      <c:pt idx="5">
                        <c:v>Generic</c:v>
                      </c:pt>
                      <c:pt idx="6">
                        <c:v>ICT-Applications</c:v>
                      </c:pt>
                      <c:pt idx="7">
                        <c:v>Infrastructure</c:v>
                      </c:pt>
                      <c:pt idx="8">
                        <c:v>Innovation</c:v>
                      </c:pt>
                      <c:pt idx="9">
                        <c:v>Climate Ch. / e-waste</c:v>
                      </c:pt>
                      <c:pt idx="10">
                        <c:v>Statistics and Indicators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Sheet1!$B$22:$B$32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</c15:ser>
            </c15:filteredBarSeries>
          </c:ext>
        </c:extLst>
      </c:barChart>
      <c:catAx>
        <c:axId val="42048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0484360"/>
        <c:crosses val="autoZero"/>
        <c:auto val="1"/>
        <c:lblAlgn val="ctr"/>
        <c:lblOffset val="100"/>
        <c:noMultiLvlLbl val="0"/>
      </c:catAx>
      <c:valAx>
        <c:axId val="420484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048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B4CD-1732-4B5E-842D-0CA6B967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14</TotalTime>
  <Pages>5</Pages>
  <Words>3112</Words>
  <Characters>700</Characters>
  <Application>Microsoft Office Word</Application>
  <DocSecurity>0</DocSecurity>
  <Lines>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Zheng, Bingyue</dc:creator>
  <cp:lastModifiedBy>Tang, Ting</cp:lastModifiedBy>
  <cp:revision>8</cp:revision>
  <cp:lastPrinted>2019-02-25T13:31:00Z</cp:lastPrinted>
  <dcterms:created xsi:type="dcterms:W3CDTF">2019-03-13T08:52:00Z</dcterms:created>
  <dcterms:modified xsi:type="dcterms:W3CDTF">2019-03-13T09:09:00Z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_DocHome">
    <vt:i4>-1490862857</vt:i4>
  </property>
</Properties>
</file>