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0953B8" w14:paraId="615A9EC1" w14:textId="77777777" w:rsidTr="000953B8">
        <w:trPr>
          <w:cantSplit/>
          <w:trHeight w:val="1134"/>
        </w:trPr>
        <w:tc>
          <w:tcPr>
            <w:tcW w:w="6804" w:type="dxa"/>
          </w:tcPr>
          <w:p w14:paraId="3FC32455" w14:textId="77777777" w:rsidR="000953B8" w:rsidRDefault="000953B8" w:rsidP="000953B8">
            <w:pPr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0E0862D3" w14:textId="3C55B3EF" w:rsidR="000953B8" w:rsidRPr="00421F93" w:rsidRDefault="000953B8" w:rsidP="000953B8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24th Meeting, Geneva, 3-5 April 2019</w:t>
            </w:r>
          </w:p>
        </w:tc>
        <w:tc>
          <w:tcPr>
            <w:tcW w:w="3227" w:type="dxa"/>
          </w:tcPr>
          <w:p w14:paraId="72C3ECA6" w14:textId="673E4FE4" w:rsidR="000953B8" w:rsidRPr="00D96B4B" w:rsidRDefault="000953B8" w:rsidP="000953B8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5C8BDA22" wp14:editId="7C3C314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CD6" w:rsidRPr="00C324A8" w14:paraId="6F95AA1C" w14:textId="77777777" w:rsidTr="000953B8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C893517" w14:textId="77777777" w:rsidR="00306CD6" w:rsidRPr="00D96B4B" w:rsidRDefault="00306CD6" w:rsidP="00306CD6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66C6B188" w14:textId="0B32E369" w:rsidR="00306CD6" w:rsidRPr="00303F1F" w:rsidRDefault="00306CD6" w:rsidP="00306CD6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306CD6" w:rsidRPr="0038489B" w14:paraId="693A7838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5BABF01A" w14:textId="77777777" w:rsidR="00306CD6" w:rsidRPr="00D96B4B" w:rsidRDefault="00306CD6" w:rsidP="00306CD6">
            <w:pPr>
              <w:pStyle w:val="Committee"/>
              <w:spacing w:before="0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14:paraId="6E270011" w14:textId="477DD4D7" w:rsidR="00306CD6" w:rsidRPr="00303F1F" w:rsidRDefault="00306CD6" w:rsidP="00306CD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4" w:name="DocRef1"/>
            <w:bookmarkEnd w:id="4"/>
            <w:r>
              <w:rPr>
                <w:b/>
                <w:bCs/>
                <w:lang w:val="en-US"/>
              </w:rPr>
              <w:t>TDAG-19</w:t>
            </w:r>
            <w:r w:rsidRPr="00A54E72">
              <w:rPr>
                <w:b/>
                <w:bCs/>
                <w:lang w:val="en-US"/>
              </w:rPr>
              <w:t>/</w:t>
            </w:r>
            <w:bookmarkStart w:id="5" w:name="DocNo1"/>
            <w:bookmarkEnd w:id="5"/>
            <w:r>
              <w:rPr>
                <w:b/>
                <w:bCs/>
                <w:lang w:val="en-US"/>
              </w:rPr>
              <w:t>21-E</w:t>
            </w:r>
          </w:p>
        </w:tc>
      </w:tr>
      <w:tr w:rsidR="00306CD6" w:rsidRPr="00C324A8" w14:paraId="474D4EBC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0322F9DA" w14:textId="77777777" w:rsidR="00306CD6" w:rsidRPr="00E07105" w:rsidRDefault="00306CD6" w:rsidP="00306CD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227" w:type="dxa"/>
          </w:tcPr>
          <w:p w14:paraId="6FD7DD2F" w14:textId="6026FD17" w:rsidR="00306CD6" w:rsidRPr="00C14AAD" w:rsidRDefault="001B090F" w:rsidP="00BA0DB3">
            <w:pPr>
              <w:spacing w:before="0" w:line="240" w:lineRule="atLeast"/>
              <w:rPr>
                <w:b/>
                <w:bCs/>
                <w:szCs w:val="24"/>
                <w:lang w:val="fr-FR"/>
              </w:rPr>
            </w:pPr>
            <w:r>
              <w:rPr>
                <w:b/>
                <w:bCs/>
                <w:szCs w:val="28"/>
              </w:rPr>
              <w:t>1</w:t>
            </w:r>
            <w:r w:rsidR="00BA0DB3">
              <w:rPr>
                <w:b/>
                <w:bCs/>
                <w:szCs w:val="28"/>
              </w:rPr>
              <w:t>9</w:t>
            </w:r>
            <w:r w:rsidR="00306CD6">
              <w:rPr>
                <w:b/>
                <w:bCs/>
                <w:szCs w:val="28"/>
              </w:rPr>
              <w:t xml:space="preserve"> February </w:t>
            </w:r>
            <w:r w:rsidR="00306CD6" w:rsidRPr="008F5D48">
              <w:rPr>
                <w:b/>
                <w:bCs/>
                <w:szCs w:val="28"/>
              </w:rPr>
              <w:t>201</w:t>
            </w:r>
            <w:r w:rsidR="00306CD6">
              <w:rPr>
                <w:b/>
                <w:bCs/>
                <w:szCs w:val="28"/>
              </w:rPr>
              <w:t>9</w:t>
            </w:r>
          </w:p>
        </w:tc>
      </w:tr>
      <w:bookmarkEnd w:id="6"/>
      <w:bookmarkEnd w:id="7"/>
      <w:tr w:rsidR="00306CD6" w:rsidRPr="00C324A8" w14:paraId="396E2691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7BD25A09" w14:textId="77777777" w:rsidR="00306CD6" w:rsidRPr="00D96B4B" w:rsidRDefault="00306CD6" w:rsidP="00306CD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27" w:type="dxa"/>
          </w:tcPr>
          <w:p w14:paraId="4FD50002" w14:textId="7CC586C9" w:rsidR="00306CD6" w:rsidRPr="00D96B4B" w:rsidRDefault="00306CD6" w:rsidP="00306CD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Original: </w:t>
            </w:r>
            <w:r w:rsidRPr="00B62876">
              <w:rPr>
                <w:b/>
                <w:bCs/>
                <w:szCs w:val="24"/>
                <w:lang w:val="fr-FR"/>
              </w:rPr>
              <w:t>English</w:t>
            </w:r>
          </w:p>
        </w:tc>
      </w:tr>
      <w:tr w:rsidR="00291AA3" w:rsidRPr="00C324A8" w14:paraId="5AF8E1B8" w14:textId="77777777" w:rsidTr="000953B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1CA5A59" w14:textId="77777777" w:rsidR="00291AA3" w:rsidRPr="00D83BF5" w:rsidRDefault="00291AA3" w:rsidP="000953B8">
            <w:pPr>
              <w:pStyle w:val="Source"/>
              <w:spacing w:before="240" w:after="240"/>
              <w:jc w:val="center"/>
            </w:pPr>
            <w:bookmarkStart w:id="8" w:name="dbluepink" w:colFirst="0" w:colLast="0"/>
            <w:bookmarkStart w:id="9" w:name="dorlang" w:colFirst="1" w:colLast="1"/>
            <w:r w:rsidRPr="00230826">
              <w:rPr>
                <w:bCs/>
                <w:sz w:val="28"/>
                <w:szCs w:val="28"/>
                <w:lang w:val="en-US"/>
              </w:rPr>
              <w:t>Director, Telecommunication Development Bureau</w:t>
            </w:r>
          </w:p>
        </w:tc>
      </w:tr>
      <w:tr w:rsidR="00291AA3" w:rsidRPr="00C324A8" w14:paraId="07662215" w14:textId="77777777" w:rsidTr="000953B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18F8446F" w14:textId="77777777" w:rsidR="00291AA3" w:rsidRDefault="00291AA3" w:rsidP="000953B8">
            <w:pPr>
              <w:pStyle w:val="Title1"/>
              <w:spacing w:before="120" w:after="120"/>
              <w:jc w:val="center"/>
            </w:pPr>
            <w:r>
              <w:rPr>
                <w:b w:val="0"/>
                <w:bCs/>
                <w:sz w:val="28"/>
                <w:szCs w:val="28"/>
              </w:rPr>
              <w:t>ITU-D PARTNERSHIP AND RESOURCE MOBILIZATION</w:t>
            </w:r>
          </w:p>
        </w:tc>
      </w:tr>
      <w:tr w:rsidR="00291AA3" w:rsidRPr="00C324A8" w14:paraId="5C3F9C68" w14:textId="77777777" w:rsidTr="000953B8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36253D" w14:textId="77777777" w:rsidR="00291AA3" w:rsidRPr="00B911B2" w:rsidRDefault="00291AA3" w:rsidP="000953B8">
            <w:pPr>
              <w:pStyle w:val="Title1"/>
              <w:spacing w:before="120" w:after="120"/>
              <w:rPr>
                <w:caps/>
                <w:szCs w:val="28"/>
              </w:rPr>
            </w:pPr>
          </w:p>
        </w:tc>
      </w:tr>
      <w:tr w:rsidR="00291AA3" w:rsidRPr="00C324A8" w14:paraId="0F7C617B" w14:textId="77777777" w:rsidTr="000953B8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1661" w14:textId="77777777" w:rsidR="00291AA3" w:rsidRPr="008A3933" w:rsidRDefault="00291AA3" w:rsidP="000953B8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74473D7C" w14:textId="2E51202C" w:rsidR="00291AA3" w:rsidRPr="007F1A2A" w:rsidRDefault="00291AA3" w:rsidP="007F64B0">
            <w:pPr>
              <w:rPr>
                <w:szCs w:val="24"/>
              </w:rPr>
            </w:pPr>
            <w:r w:rsidRPr="007F1A2A">
              <w:rPr>
                <w:szCs w:val="24"/>
              </w:rPr>
              <w:t>The importance of partnerships and resource mobilization was highlighted by WTDC-17. This document presents an overview of the key objective, actions for result-based management, and way forward to enhance partnership and mobilize resources.</w:t>
            </w:r>
          </w:p>
          <w:p w14:paraId="6C0EAB5D" w14:textId="77777777" w:rsidR="00291AA3" w:rsidRPr="00D9621A" w:rsidRDefault="00291AA3" w:rsidP="000953B8">
            <w:pPr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</w:t>
            </w:r>
            <w:r>
              <w:rPr>
                <w:b/>
                <w:bCs/>
              </w:rPr>
              <w:t>:</w:t>
            </w:r>
          </w:p>
          <w:p w14:paraId="09D10F97" w14:textId="794BFD11" w:rsidR="00291AA3" w:rsidRPr="007F1A2A" w:rsidRDefault="00291AA3" w:rsidP="007F64B0">
            <w:pPr>
              <w:rPr>
                <w:szCs w:val="24"/>
              </w:rPr>
            </w:pPr>
            <w:r w:rsidRPr="007F1A2A">
              <w:rPr>
                <w:szCs w:val="24"/>
                <w:lang w:eastAsia="pl-PL"/>
              </w:rPr>
              <w:t>TDAG is invited to note this document and provide guidance as deemed appropriate.</w:t>
            </w:r>
          </w:p>
          <w:p w14:paraId="344FD0A0" w14:textId="77777777" w:rsidR="00291AA3" w:rsidRPr="00D9621A" w:rsidRDefault="00291AA3" w:rsidP="000953B8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</w:t>
            </w:r>
            <w:r>
              <w:rPr>
                <w:b/>
                <w:bCs/>
                <w:szCs w:val="24"/>
              </w:rPr>
              <w:t>:</w:t>
            </w:r>
          </w:p>
          <w:p w14:paraId="4ECB12E7" w14:textId="04F58121" w:rsidR="00113FA3" w:rsidRPr="006B45C5" w:rsidRDefault="00113FA3" w:rsidP="006B45C5">
            <w:pPr>
              <w:rPr>
                <w:rStyle w:val="Hyperlink"/>
                <w:color w:val="auto"/>
                <w:szCs w:val="24"/>
                <w:u w:val="none"/>
                <w:lang w:val="en-US"/>
              </w:rPr>
            </w:pPr>
            <w:r w:rsidRPr="006B45C5">
              <w:rPr>
                <w:rStyle w:val="Hyperlink"/>
                <w:color w:val="auto"/>
                <w:szCs w:val="24"/>
                <w:u w:val="none"/>
                <w:lang w:val="en-US"/>
              </w:rPr>
              <w:t>PP</w:t>
            </w:r>
            <w:r w:rsidR="006B45C5" w:rsidRPr="006B45C5">
              <w:rPr>
                <w:rStyle w:val="Hyperlink"/>
                <w:color w:val="auto"/>
                <w:szCs w:val="24"/>
                <w:u w:val="none"/>
                <w:lang w:val="en-US"/>
              </w:rPr>
              <w:t xml:space="preserve"> Resolution 71, Annex 1,</w:t>
            </w:r>
            <w:r w:rsidRPr="006B45C5">
              <w:rPr>
                <w:rStyle w:val="Hyperlink"/>
                <w:color w:val="auto"/>
                <w:szCs w:val="24"/>
                <w:u w:val="none"/>
                <w:lang w:val="en-US"/>
              </w:rPr>
              <w:t xml:space="preserve"> Goal 5</w:t>
            </w:r>
            <w:r w:rsidR="006B45C5" w:rsidRPr="006B45C5">
              <w:rPr>
                <w:rStyle w:val="Hyperlink"/>
                <w:color w:val="auto"/>
                <w:szCs w:val="24"/>
                <w:u w:val="none"/>
                <w:lang w:val="en-US"/>
              </w:rPr>
              <w:t xml:space="preserve"> and Outcome D.1.e</w:t>
            </w:r>
            <w:r w:rsidRPr="006B45C5">
              <w:rPr>
                <w:rStyle w:val="Hyperlink"/>
                <w:color w:val="auto"/>
                <w:szCs w:val="24"/>
                <w:u w:val="none"/>
                <w:lang w:val="en-US"/>
              </w:rPr>
              <w:t xml:space="preserve">; </w:t>
            </w:r>
          </w:p>
          <w:p w14:paraId="1A281A0F" w14:textId="596789BB" w:rsidR="00291AA3" w:rsidRPr="00B21793" w:rsidRDefault="009B38D4" w:rsidP="00306CD6">
            <w:pPr>
              <w:spacing w:after="120"/>
              <w:rPr>
                <w:szCs w:val="24"/>
                <w:lang w:val="en-US"/>
              </w:rPr>
            </w:pPr>
            <w:hyperlink r:id="rId13" w:history="1">
              <w:r w:rsidR="00291AA3" w:rsidRPr="006B45C5">
                <w:rPr>
                  <w:rStyle w:val="Hyperlink"/>
                  <w:color w:val="auto"/>
                  <w:u w:val="none"/>
                </w:rPr>
                <w:t>WTDC Resolution 17 (Rev. Buenos Aires, 2017)</w:t>
              </w:r>
            </w:hyperlink>
            <w:r w:rsidR="00113FA3" w:rsidRPr="006B45C5">
              <w:t>,</w:t>
            </w:r>
            <w:r w:rsidR="00291AA3" w:rsidRPr="006B45C5">
              <w:t xml:space="preserve"> and </w:t>
            </w:r>
            <w:r w:rsidR="00291AA3" w:rsidRPr="006B45C5">
              <w:rPr>
                <w:rStyle w:val="Hyperlink"/>
                <w:color w:val="auto"/>
                <w:szCs w:val="24"/>
                <w:u w:val="none"/>
                <w:lang w:val="en-US"/>
              </w:rPr>
              <w:t>71 (Rev. Buenos Aires, 2017)</w:t>
            </w:r>
          </w:p>
        </w:tc>
      </w:tr>
    </w:tbl>
    <w:p w14:paraId="1BAFF579" w14:textId="77777777" w:rsidR="00C03B17" w:rsidRDefault="00C03B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Hei" w:cs="Calibri"/>
          <w:b/>
          <w:sz w:val="28"/>
          <w:szCs w:val="28"/>
          <w:lang w:val="en-US"/>
        </w:rPr>
      </w:pPr>
      <w:bookmarkStart w:id="10" w:name="Proposal"/>
      <w:bookmarkEnd w:id="8"/>
      <w:bookmarkEnd w:id="9"/>
      <w:bookmarkEnd w:id="10"/>
      <w:r>
        <w:rPr>
          <w:rFonts w:cs="Calibri"/>
          <w:sz w:val="28"/>
          <w:szCs w:val="28"/>
          <w:lang w:val="en-US"/>
        </w:rPr>
        <w:br w:type="page"/>
      </w:r>
    </w:p>
    <w:p w14:paraId="31B46FB8" w14:textId="6A2800B4" w:rsidR="008B5772" w:rsidRPr="003E6492" w:rsidRDefault="00762F99" w:rsidP="000253AA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3E6492">
        <w:rPr>
          <w:rFonts w:asciiTheme="minorHAnsi" w:hAnsiTheme="minorHAnsi" w:cs="Calibri"/>
          <w:sz w:val="24"/>
          <w:szCs w:val="24"/>
          <w:lang w:val="en-US"/>
        </w:rPr>
        <w:lastRenderedPageBreak/>
        <w:t>Background</w:t>
      </w:r>
    </w:p>
    <w:p w14:paraId="722EBCFC" w14:textId="12419F2A" w:rsidR="00BC6611" w:rsidRPr="007F1A2A" w:rsidRDefault="00C62B71">
      <w:pPr>
        <w:spacing w:after="120"/>
        <w:rPr>
          <w:lang w:val="en-US"/>
        </w:rPr>
      </w:pPr>
      <w:r w:rsidRPr="007F1A2A">
        <w:rPr>
          <w:lang w:val="en-US"/>
        </w:rPr>
        <w:t>The World Telecommunication Development Conference 2017 (</w:t>
      </w:r>
      <w:r w:rsidR="00824C81" w:rsidRPr="007F1A2A">
        <w:rPr>
          <w:lang w:val="en-US"/>
        </w:rPr>
        <w:t>WTDC-17</w:t>
      </w:r>
      <w:r w:rsidRPr="007F1A2A">
        <w:rPr>
          <w:lang w:val="en-US"/>
        </w:rPr>
        <w:t>)</w:t>
      </w:r>
      <w:r w:rsidR="00BA77EE" w:rsidRPr="007F1A2A">
        <w:rPr>
          <w:lang w:val="en-US"/>
        </w:rPr>
        <w:t xml:space="preserve"> highlighted </w:t>
      </w:r>
      <w:r w:rsidR="000A239A" w:rsidRPr="007F1A2A">
        <w:rPr>
          <w:lang w:val="en-US"/>
        </w:rPr>
        <w:t>the critical role of partnership</w:t>
      </w:r>
      <w:r w:rsidR="00E60394" w:rsidRPr="007F1A2A">
        <w:rPr>
          <w:lang w:val="en-US"/>
        </w:rPr>
        <w:t>s,</w:t>
      </w:r>
      <w:r w:rsidR="000A239A" w:rsidRPr="007F1A2A">
        <w:rPr>
          <w:lang w:val="en-US"/>
        </w:rPr>
        <w:t xml:space="preserve"> collaboration </w:t>
      </w:r>
      <w:r w:rsidR="00E60394" w:rsidRPr="007F1A2A">
        <w:rPr>
          <w:lang w:val="en-US"/>
        </w:rPr>
        <w:t xml:space="preserve">and </w:t>
      </w:r>
      <w:r w:rsidR="000A239A" w:rsidRPr="007F1A2A">
        <w:rPr>
          <w:lang w:val="en-US"/>
        </w:rPr>
        <w:t xml:space="preserve">resource mobilization </w:t>
      </w:r>
      <w:r w:rsidR="00E60394" w:rsidRPr="007F1A2A">
        <w:rPr>
          <w:lang w:val="en-US"/>
        </w:rPr>
        <w:t xml:space="preserve">in supporting the </w:t>
      </w:r>
      <w:r w:rsidR="000A239A" w:rsidRPr="007F1A2A">
        <w:rPr>
          <w:lang w:val="en-US"/>
        </w:rPr>
        <w:t>implement</w:t>
      </w:r>
      <w:r w:rsidR="00E60394" w:rsidRPr="007F1A2A">
        <w:rPr>
          <w:lang w:val="en-US"/>
        </w:rPr>
        <w:t>ation of</w:t>
      </w:r>
      <w:r w:rsidR="000A239A" w:rsidRPr="007F1A2A">
        <w:rPr>
          <w:lang w:val="en-US"/>
        </w:rPr>
        <w:t xml:space="preserve"> the Buenos Aires</w:t>
      </w:r>
      <w:r w:rsidR="00BB5DA2" w:rsidRPr="007F1A2A">
        <w:rPr>
          <w:lang w:val="en-US"/>
        </w:rPr>
        <w:t xml:space="preserve"> Action Plan</w:t>
      </w:r>
      <w:r w:rsidR="00DD6C92">
        <w:rPr>
          <w:lang w:val="en-US"/>
        </w:rPr>
        <w:t xml:space="preserve"> (</w:t>
      </w:r>
      <w:r w:rsidR="007F64B0">
        <w:rPr>
          <w:lang w:val="en-US"/>
        </w:rPr>
        <w:t xml:space="preserve">which includes the </w:t>
      </w:r>
      <w:r w:rsidR="00DD6C92" w:rsidRPr="007F1A2A">
        <w:rPr>
          <w:lang w:val="en-US"/>
        </w:rPr>
        <w:t xml:space="preserve">BDT operational plan, </w:t>
      </w:r>
      <w:r w:rsidR="007F64B0">
        <w:rPr>
          <w:lang w:val="en-US"/>
        </w:rPr>
        <w:t xml:space="preserve">the </w:t>
      </w:r>
      <w:r w:rsidR="00DD6C92" w:rsidRPr="007F1A2A">
        <w:rPr>
          <w:lang w:val="en-US"/>
        </w:rPr>
        <w:t xml:space="preserve">projects, and </w:t>
      </w:r>
      <w:r w:rsidR="007F64B0">
        <w:rPr>
          <w:lang w:val="en-US"/>
        </w:rPr>
        <w:t xml:space="preserve">the </w:t>
      </w:r>
      <w:r w:rsidR="00DD6C92" w:rsidRPr="007F1A2A">
        <w:rPr>
          <w:lang w:val="en-US"/>
        </w:rPr>
        <w:t>Regional Initiative</w:t>
      </w:r>
      <w:r w:rsidR="00DD6C92">
        <w:rPr>
          <w:lang w:val="en-US"/>
        </w:rPr>
        <w:t>s)</w:t>
      </w:r>
      <w:r w:rsidR="001B7B8D">
        <w:rPr>
          <w:lang w:val="en-US"/>
        </w:rPr>
        <w:t>,</w:t>
      </w:r>
      <w:r w:rsidR="00BB5DA2" w:rsidRPr="007F1A2A">
        <w:rPr>
          <w:lang w:val="en-US"/>
        </w:rPr>
        <w:t xml:space="preserve"> WSIS </w:t>
      </w:r>
      <w:r w:rsidR="00E60394" w:rsidRPr="007F1A2A">
        <w:rPr>
          <w:lang w:val="en-US"/>
        </w:rPr>
        <w:t xml:space="preserve">Action </w:t>
      </w:r>
      <w:r w:rsidR="001800DE" w:rsidRPr="007F1A2A">
        <w:rPr>
          <w:lang w:val="en-US"/>
        </w:rPr>
        <w:t>Line</w:t>
      </w:r>
      <w:r w:rsidR="007F64B0">
        <w:rPr>
          <w:lang w:val="en-US"/>
        </w:rPr>
        <w:t>s</w:t>
      </w:r>
      <w:r w:rsidR="008459D2">
        <w:rPr>
          <w:lang w:val="en-US"/>
        </w:rPr>
        <w:t xml:space="preserve"> </w:t>
      </w:r>
      <w:r w:rsidR="007F64B0">
        <w:rPr>
          <w:lang w:val="en-US"/>
        </w:rPr>
        <w:t xml:space="preserve">and </w:t>
      </w:r>
      <w:r w:rsidR="00B27915" w:rsidRPr="007F1A2A">
        <w:rPr>
          <w:rFonts w:cs="Calibri"/>
          <w:szCs w:val="24"/>
          <w:lang w:val="en-US"/>
        </w:rPr>
        <w:t>Sustainable Development Goals (</w:t>
      </w:r>
      <w:r w:rsidR="00BC6611" w:rsidRPr="007F1A2A">
        <w:rPr>
          <w:lang w:val="en-US"/>
        </w:rPr>
        <w:t>SDGs</w:t>
      </w:r>
      <w:r w:rsidR="00B27915" w:rsidRPr="007F1A2A">
        <w:rPr>
          <w:lang w:val="en-US"/>
        </w:rPr>
        <w:t>)</w:t>
      </w:r>
      <w:r w:rsidR="00BC6611" w:rsidRPr="007F1A2A">
        <w:rPr>
          <w:lang w:val="en-US"/>
        </w:rPr>
        <w:t>, SDG 17 in particular</w:t>
      </w:r>
      <w:r w:rsidR="00E62A8A" w:rsidRPr="007F1A2A">
        <w:rPr>
          <w:lang w:val="en-US"/>
        </w:rPr>
        <w:t xml:space="preserve">. </w:t>
      </w:r>
    </w:p>
    <w:p w14:paraId="0614F2E8" w14:textId="2CC5CE4C" w:rsidR="002909B3" w:rsidRPr="007F1A2A" w:rsidRDefault="00E62A8A">
      <w:pPr>
        <w:spacing w:after="120"/>
        <w:rPr>
          <w:lang w:val="en-US"/>
        </w:rPr>
      </w:pPr>
      <w:r w:rsidRPr="007F1A2A">
        <w:rPr>
          <w:lang w:val="en-US"/>
        </w:rPr>
        <w:t xml:space="preserve">WTDC-17 Action </w:t>
      </w:r>
      <w:r w:rsidR="003A30E5" w:rsidRPr="007F1A2A">
        <w:rPr>
          <w:lang w:val="en-US"/>
        </w:rPr>
        <w:t>P</w:t>
      </w:r>
      <w:r w:rsidRPr="007F1A2A">
        <w:rPr>
          <w:lang w:val="en-US"/>
        </w:rPr>
        <w:t xml:space="preserve">lan indicates that </w:t>
      </w:r>
      <w:proofErr w:type="spellStart"/>
      <w:r w:rsidRPr="007F1A2A">
        <w:rPr>
          <w:lang w:val="en-US"/>
        </w:rPr>
        <w:t>programmes</w:t>
      </w:r>
      <w:proofErr w:type="spellEnd"/>
      <w:r w:rsidRPr="007F1A2A">
        <w:rPr>
          <w:lang w:val="en-US"/>
        </w:rPr>
        <w:t xml:space="preserve"> should be, where possible, implemented in partnership with other organizations and stakeholders, including Sector Members, Academia, non-governmental organizations, other United Nations agencies and networks</w:t>
      </w:r>
      <w:r w:rsidR="004B2531" w:rsidRPr="007F1A2A">
        <w:rPr>
          <w:lang w:val="en-US"/>
        </w:rPr>
        <w:t>, in order</w:t>
      </w:r>
      <w:r w:rsidRPr="007F1A2A">
        <w:rPr>
          <w:lang w:val="en-US"/>
        </w:rPr>
        <w:t xml:space="preserve"> to leverage the impact of the products and services developed under the </w:t>
      </w:r>
      <w:proofErr w:type="spellStart"/>
      <w:r w:rsidRPr="007F1A2A">
        <w:rPr>
          <w:lang w:val="en-US"/>
        </w:rPr>
        <w:t>programmes</w:t>
      </w:r>
      <w:proofErr w:type="spellEnd"/>
      <w:r w:rsidR="00D861F8" w:rsidRPr="007F1A2A">
        <w:rPr>
          <w:lang w:val="en-US"/>
        </w:rPr>
        <w:t>.</w:t>
      </w:r>
      <w:r w:rsidR="0007786F" w:rsidRPr="007F1A2A">
        <w:rPr>
          <w:lang w:val="en-US"/>
        </w:rPr>
        <w:t xml:space="preserve"> </w:t>
      </w:r>
      <w:r w:rsidR="00BC6611" w:rsidRPr="007F1A2A">
        <w:rPr>
          <w:lang w:val="en-US"/>
        </w:rPr>
        <w:t xml:space="preserve">More </w:t>
      </w:r>
      <w:proofErr w:type="spellStart"/>
      <w:r w:rsidR="00BC6611" w:rsidRPr="007F1A2A">
        <w:rPr>
          <w:lang w:val="en-US"/>
        </w:rPr>
        <w:t>specifically,</w:t>
      </w:r>
      <w:r w:rsidR="00D861F8" w:rsidRPr="007F1A2A">
        <w:rPr>
          <w:lang w:val="en-US"/>
        </w:rPr>
        <w:t>”</w:t>
      </w:r>
      <w:r w:rsidRPr="007F1A2A">
        <w:rPr>
          <w:lang w:val="en-US"/>
        </w:rPr>
        <w:t>Regional</w:t>
      </w:r>
      <w:proofErr w:type="spellEnd"/>
      <w:r w:rsidRPr="007F1A2A">
        <w:rPr>
          <w:lang w:val="en-US"/>
        </w:rPr>
        <w:t xml:space="preserve"> </w:t>
      </w:r>
      <w:r w:rsidR="00871604" w:rsidRPr="007F1A2A">
        <w:rPr>
          <w:lang w:val="en-US"/>
        </w:rPr>
        <w:t>Initiatives</w:t>
      </w:r>
      <w:r w:rsidRPr="007F1A2A">
        <w:rPr>
          <w:lang w:val="en-US"/>
        </w:rPr>
        <w:t xml:space="preserve"> are intended to address specific telecommunication/ICT priority areas, through partnership and resource mobilization to implement projects.</w:t>
      </w:r>
      <w:r w:rsidR="00D861F8" w:rsidRPr="007F1A2A">
        <w:rPr>
          <w:lang w:val="en-US"/>
        </w:rPr>
        <w:t>”</w:t>
      </w:r>
    </w:p>
    <w:p w14:paraId="515F2A76" w14:textId="669383C2" w:rsidR="000A239A" w:rsidRPr="007F1A2A" w:rsidRDefault="007F64B0" w:rsidP="003E6492">
      <w:pPr>
        <w:spacing w:after="120"/>
        <w:rPr>
          <w:lang w:val="en-US"/>
        </w:rPr>
      </w:pPr>
      <w:r>
        <w:rPr>
          <w:lang w:val="en-US"/>
        </w:rPr>
        <w:t xml:space="preserve">WTDC </w:t>
      </w:r>
      <w:r w:rsidR="000A239A" w:rsidRPr="007F1A2A">
        <w:rPr>
          <w:lang w:val="en-US"/>
        </w:rPr>
        <w:t>Resolution 17 resolves, among others, “that BDT continue to actively conclude partnerships with Member States, ITU-D Sector Members, financial insti</w:t>
      </w:r>
      <w:r w:rsidR="00871604" w:rsidRPr="007F1A2A">
        <w:rPr>
          <w:lang w:val="en-US"/>
        </w:rPr>
        <w:t>tu</w:t>
      </w:r>
      <w:r w:rsidR="000A239A" w:rsidRPr="007F1A2A">
        <w:rPr>
          <w:lang w:val="en-US"/>
        </w:rPr>
        <w:t xml:space="preserve">tions and international organizations in order to sponsor implementation activities for these initiatives” and appeals “to international financial </w:t>
      </w:r>
      <w:r w:rsidR="00871604" w:rsidRPr="007F1A2A">
        <w:rPr>
          <w:lang w:val="en-US"/>
        </w:rPr>
        <w:t>organizations</w:t>
      </w:r>
      <w:r w:rsidR="000A239A" w:rsidRPr="007F1A2A">
        <w:rPr>
          <w:lang w:val="en-US"/>
        </w:rPr>
        <w:t>/agencies, equipment suppliers and operators/service providers to contribute, fully or partially, to financing these regionally approved initiatives”.</w:t>
      </w:r>
    </w:p>
    <w:p w14:paraId="4AECC037" w14:textId="77777777" w:rsidR="00E62A8A" w:rsidRPr="007F1A2A" w:rsidRDefault="000A239A" w:rsidP="003E6492">
      <w:pPr>
        <w:spacing w:after="120"/>
        <w:rPr>
          <w:lang w:val="en-US"/>
        </w:rPr>
      </w:pPr>
      <w:r w:rsidRPr="007F1A2A">
        <w:rPr>
          <w:lang w:val="en-US"/>
        </w:rPr>
        <w:t>Resolution 71</w:t>
      </w:r>
      <w:r w:rsidR="00BC6611" w:rsidRPr="007F1A2A">
        <w:rPr>
          <w:lang w:val="en-US"/>
        </w:rPr>
        <w:t xml:space="preserve"> also</w:t>
      </w:r>
      <w:r w:rsidRPr="007F1A2A">
        <w:rPr>
          <w:lang w:val="en-US"/>
        </w:rPr>
        <w:t xml:space="preserve"> considers that “partnership between and among the public and private sectors, including ITU and other entities such as national, regional, international and intergovernmental organizations, as appro</w:t>
      </w:r>
      <w:r w:rsidR="003D36D6" w:rsidRPr="007F1A2A">
        <w:rPr>
          <w:lang w:val="en-US"/>
        </w:rPr>
        <w:t>priate, continue to be key to promoting sustainable telecommunication/information and communication technology (ICT) development”</w:t>
      </w:r>
      <w:r w:rsidR="00EC75D6" w:rsidRPr="007F1A2A">
        <w:rPr>
          <w:lang w:val="en-US"/>
        </w:rPr>
        <w:t>.</w:t>
      </w:r>
      <w:r w:rsidR="003D36D6" w:rsidRPr="007F1A2A">
        <w:rPr>
          <w:lang w:val="en-US"/>
        </w:rPr>
        <w:t xml:space="preserve"> </w:t>
      </w:r>
    </w:p>
    <w:p w14:paraId="7796E587" w14:textId="77777777" w:rsidR="00762F99" w:rsidRPr="003E6492" w:rsidRDefault="00762F99" w:rsidP="00254957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3E6492">
        <w:rPr>
          <w:rFonts w:asciiTheme="minorHAnsi" w:hAnsiTheme="minorHAnsi" w:cs="Calibri"/>
          <w:sz w:val="24"/>
          <w:szCs w:val="24"/>
          <w:lang w:val="en-US"/>
        </w:rPr>
        <w:t>Strategic Objective</w:t>
      </w:r>
    </w:p>
    <w:p w14:paraId="72F06D4B" w14:textId="2C89FCF6" w:rsidR="00D171E8" w:rsidRPr="007F1A2A" w:rsidRDefault="00762F99">
      <w:pPr>
        <w:pStyle w:val="CEONormal"/>
        <w:rPr>
          <w:rFonts w:asciiTheme="minorHAnsi" w:eastAsia="Times New Roman" w:hAnsiTheme="minorHAnsi" w:cs="Times New Roman"/>
          <w:sz w:val="24"/>
          <w:szCs w:val="20"/>
          <w:lang w:val="en-US"/>
        </w:rPr>
      </w:pPr>
      <w:r w:rsidRPr="007F1A2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In accordance </w:t>
      </w:r>
      <w:r w:rsidR="009421D9" w:rsidRPr="007F1A2A">
        <w:rPr>
          <w:rFonts w:asciiTheme="minorHAnsi" w:eastAsia="Times New Roman" w:hAnsiTheme="minorHAnsi" w:cs="Times New Roman"/>
          <w:sz w:val="24"/>
          <w:szCs w:val="20"/>
          <w:lang w:val="en-US"/>
        </w:rPr>
        <w:t>with the outcome</w:t>
      </w:r>
      <w:r w:rsidR="00D171E8" w:rsidRPr="007F1A2A">
        <w:rPr>
          <w:rFonts w:asciiTheme="minorHAnsi" w:eastAsia="Times New Roman" w:hAnsiTheme="minorHAnsi" w:cs="Times New Roman"/>
          <w:sz w:val="24"/>
          <w:szCs w:val="20"/>
          <w:lang w:val="en-US"/>
        </w:rPr>
        <w:t>s</w:t>
      </w:r>
      <w:r w:rsidR="009421D9" w:rsidRPr="007F1A2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of WTDC-17, the objective is to facilitate, develop and strengthen </w:t>
      </w:r>
      <w:r w:rsidR="00D171E8" w:rsidRPr="007F1A2A">
        <w:rPr>
          <w:rFonts w:asciiTheme="minorHAnsi" w:eastAsia="Times New Roman" w:hAnsiTheme="minorHAnsi" w:cs="Times New Roman"/>
          <w:sz w:val="24"/>
          <w:szCs w:val="20"/>
          <w:lang w:val="en-US"/>
        </w:rPr>
        <w:t>partnership</w:t>
      </w:r>
      <w:r w:rsidR="00D861F8" w:rsidRPr="007F1A2A">
        <w:rPr>
          <w:rFonts w:asciiTheme="minorHAnsi" w:eastAsia="Times New Roman" w:hAnsiTheme="minorHAnsi" w:cs="Times New Roman"/>
          <w:sz w:val="24"/>
          <w:szCs w:val="20"/>
          <w:lang w:val="en-US"/>
        </w:rPr>
        <w:t>s</w:t>
      </w:r>
      <w:r w:rsidR="00D171E8" w:rsidRPr="007F1A2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</w:t>
      </w:r>
      <w:r w:rsidR="00214DA8" w:rsidRPr="007F1A2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and cooperation with diverse stakeholders including other United Nations agencies, international and regional organizations, ITU Member States, ITU-D Sector Members, Associates, Academia and other relevant partners from developed and developing countries, to enhance </w:t>
      </w:r>
      <w:r w:rsidR="00EC75D6" w:rsidRPr="007F1A2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resource mobilization, </w:t>
      </w:r>
      <w:r w:rsidR="00214DA8" w:rsidRPr="007F1A2A">
        <w:rPr>
          <w:rFonts w:asciiTheme="minorHAnsi" w:eastAsia="Times New Roman" w:hAnsiTheme="minorHAnsi" w:cs="Times New Roman"/>
          <w:sz w:val="24"/>
          <w:szCs w:val="20"/>
          <w:lang w:val="en-US"/>
        </w:rPr>
        <w:t>avoid duplication of efforts and</w:t>
      </w:r>
      <w:r w:rsidR="00B42EA5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</w:t>
      </w:r>
      <w:r w:rsidR="00214DA8" w:rsidRPr="007F1A2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support ITU-D in the implementation of </w:t>
      </w:r>
      <w:proofErr w:type="spellStart"/>
      <w:r w:rsidR="00214DA8" w:rsidRPr="007F1A2A">
        <w:rPr>
          <w:rFonts w:asciiTheme="minorHAnsi" w:eastAsia="Times New Roman" w:hAnsiTheme="minorHAnsi" w:cs="Times New Roman"/>
          <w:sz w:val="24"/>
          <w:szCs w:val="20"/>
          <w:lang w:val="en-US"/>
        </w:rPr>
        <w:t>Programmes</w:t>
      </w:r>
      <w:proofErr w:type="spellEnd"/>
      <w:r w:rsidR="00214DA8" w:rsidRPr="007F1A2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and Regional Initiatives</w:t>
      </w:r>
      <w:r w:rsidR="000D2CA5" w:rsidRPr="007F1A2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. </w:t>
      </w:r>
    </w:p>
    <w:p w14:paraId="0C9DBCD4" w14:textId="77777777" w:rsidR="002961D5" w:rsidRPr="003E6492" w:rsidRDefault="002961D5" w:rsidP="00254957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3E6492">
        <w:rPr>
          <w:rFonts w:asciiTheme="minorHAnsi" w:hAnsiTheme="minorHAnsi" w:cs="Calibri"/>
          <w:sz w:val="24"/>
          <w:szCs w:val="24"/>
          <w:lang w:val="en-US"/>
        </w:rPr>
        <w:t>Status Analysis</w:t>
      </w:r>
    </w:p>
    <w:p w14:paraId="781C1D2E" w14:textId="126304C0" w:rsidR="007D5D21" w:rsidRDefault="007D5D21">
      <w:pPr>
        <w:spacing w:after="120"/>
      </w:pPr>
      <w:r>
        <w:t xml:space="preserve">In 2018, </w:t>
      </w:r>
      <w:r w:rsidR="00C978C3">
        <w:t>4</w:t>
      </w:r>
      <w:r w:rsidR="003C19A2">
        <w:t>3</w:t>
      </w:r>
      <w:r w:rsidR="00C978C3">
        <w:t xml:space="preserve"> </w:t>
      </w:r>
      <w:r>
        <w:t xml:space="preserve">new partnership agreements and 7 addenda/amendments </w:t>
      </w:r>
      <w:r w:rsidR="001B090F">
        <w:t>were</w:t>
      </w:r>
      <w:r>
        <w:t xml:space="preserve"> signed between BDT and various stakeholders, with an estimated value of USD </w:t>
      </w:r>
      <w:r w:rsidR="00254957" w:rsidRPr="00CC6DA8">
        <w:t>10.</w:t>
      </w:r>
      <w:r w:rsidR="00CC6DA8">
        <w:t>9</w:t>
      </w:r>
      <w:r w:rsidR="00254957">
        <w:t xml:space="preserve"> </w:t>
      </w:r>
      <w:r>
        <w:t>million</w:t>
      </w:r>
      <w:r w:rsidR="00254957">
        <w:t>, co</w:t>
      </w:r>
      <w:r w:rsidR="00254957">
        <w:noBreakHyphen/>
        <w:t>financed by BDT and external partners.</w:t>
      </w:r>
      <w:r>
        <w:t xml:space="preserve"> The list of these agreements with detailed information (e.g. signatories, type of partnership</w:t>
      </w:r>
      <w:r w:rsidR="00143033">
        <w:rPr>
          <w:rStyle w:val="FootnoteReference"/>
          <w:szCs w:val="24"/>
        </w:rPr>
        <w:footnoteReference w:id="2"/>
      </w:r>
      <w:r>
        <w:t xml:space="preserve">, </w:t>
      </w:r>
      <w:proofErr w:type="gramStart"/>
      <w:r>
        <w:t>date</w:t>
      </w:r>
      <w:proofErr w:type="gramEnd"/>
      <w:r>
        <w:t xml:space="preserve"> of entry into force, value and objective) is provided in </w:t>
      </w:r>
      <w:r w:rsidRPr="00093188">
        <w:rPr>
          <w:szCs w:val="24"/>
        </w:rPr>
        <w:t>Document</w:t>
      </w:r>
      <w:r w:rsidR="00933B66">
        <w:rPr>
          <w:szCs w:val="24"/>
        </w:rPr>
        <w:t xml:space="preserve"> </w:t>
      </w:r>
      <w:hyperlink r:id="rId14" w:history="1">
        <w:r w:rsidR="00933B66" w:rsidRPr="001B090F">
          <w:rPr>
            <w:rStyle w:val="Hyperlink"/>
            <w:szCs w:val="24"/>
          </w:rPr>
          <w:t>INF/3</w:t>
        </w:r>
      </w:hyperlink>
      <w:bookmarkStart w:id="11" w:name="_GoBack"/>
      <w:bookmarkEnd w:id="11"/>
      <w:r w:rsidR="00756D48">
        <w:rPr>
          <w:rStyle w:val="FootnoteReference"/>
          <w:szCs w:val="24"/>
        </w:rPr>
        <w:footnoteReference w:id="3"/>
      </w:r>
      <w:r w:rsidR="00933B66">
        <w:rPr>
          <w:szCs w:val="24"/>
        </w:rPr>
        <w:t>. C</w:t>
      </w:r>
      <w:r>
        <w:rPr>
          <w:szCs w:val="24"/>
        </w:rPr>
        <w:t>onclu</w:t>
      </w:r>
      <w:r w:rsidR="001B090F">
        <w:rPr>
          <w:szCs w:val="24"/>
        </w:rPr>
        <w:t>ding</w:t>
      </w:r>
      <w:r>
        <w:rPr>
          <w:szCs w:val="24"/>
        </w:rPr>
        <w:t xml:space="preserve"> these agreements has been possible </w:t>
      </w:r>
      <w:r w:rsidRPr="007F1A2A">
        <w:rPr>
          <w:rFonts w:cs="Calibri"/>
          <w:szCs w:val="24"/>
          <w:lang w:val="en-US"/>
        </w:rPr>
        <w:t xml:space="preserve">thanks to </w:t>
      </w:r>
      <w:r>
        <w:rPr>
          <w:rFonts w:cs="Calibri"/>
          <w:szCs w:val="24"/>
          <w:lang w:val="en-US"/>
        </w:rPr>
        <w:t xml:space="preserve">the </w:t>
      </w:r>
      <w:r w:rsidRPr="007F1A2A">
        <w:rPr>
          <w:rFonts w:cs="Calibri"/>
          <w:szCs w:val="24"/>
          <w:lang w:val="en-US"/>
        </w:rPr>
        <w:t xml:space="preserve">combined </w:t>
      </w:r>
      <w:r>
        <w:rPr>
          <w:rFonts w:cs="Calibri"/>
          <w:szCs w:val="24"/>
          <w:lang w:val="en-US"/>
        </w:rPr>
        <w:t xml:space="preserve">support and </w:t>
      </w:r>
      <w:r w:rsidRPr="007F1A2A">
        <w:rPr>
          <w:rFonts w:cs="Calibri"/>
          <w:szCs w:val="24"/>
          <w:lang w:val="en-US"/>
        </w:rPr>
        <w:t xml:space="preserve">efforts of </w:t>
      </w:r>
      <w:r>
        <w:rPr>
          <w:rFonts w:cs="Calibri"/>
          <w:szCs w:val="24"/>
          <w:lang w:val="en-US"/>
        </w:rPr>
        <w:t xml:space="preserve">ITU </w:t>
      </w:r>
      <w:r w:rsidR="000431A5">
        <w:rPr>
          <w:rFonts w:cs="Calibri"/>
          <w:szCs w:val="24"/>
          <w:lang w:val="en-US"/>
        </w:rPr>
        <w:t>m</w:t>
      </w:r>
      <w:r>
        <w:rPr>
          <w:rFonts w:cs="Calibri"/>
          <w:szCs w:val="24"/>
          <w:lang w:val="en-US"/>
        </w:rPr>
        <w:t xml:space="preserve">embership and partners as well as of </w:t>
      </w:r>
      <w:r w:rsidRPr="007F1A2A">
        <w:rPr>
          <w:rFonts w:cs="Calibri"/>
          <w:szCs w:val="24"/>
          <w:lang w:val="en-US"/>
        </w:rPr>
        <w:t xml:space="preserve">the BDT staff </w:t>
      </w:r>
      <w:r>
        <w:rPr>
          <w:rFonts w:cs="Calibri"/>
          <w:szCs w:val="24"/>
          <w:lang w:val="en-US"/>
        </w:rPr>
        <w:t xml:space="preserve">both in the field and </w:t>
      </w:r>
      <w:r w:rsidRPr="007F1A2A">
        <w:rPr>
          <w:rFonts w:cs="Calibri"/>
          <w:szCs w:val="24"/>
          <w:lang w:val="en-US"/>
        </w:rPr>
        <w:t>at headquarters</w:t>
      </w:r>
      <w:r>
        <w:rPr>
          <w:rFonts w:cs="Calibri"/>
          <w:szCs w:val="24"/>
          <w:lang w:val="en-US"/>
        </w:rPr>
        <w:t>.</w:t>
      </w:r>
    </w:p>
    <w:p w14:paraId="1A61B7C2" w14:textId="125A8E3B" w:rsidR="002961D5" w:rsidRPr="00400D2F" w:rsidRDefault="00400D2F" w:rsidP="007D5D21">
      <w:pPr>
        <w:spacing w:after="120"/>
      </w:pPr>
      <w:r w:rsidRPr="00400D2F">
        <w:t xml:space="preserve">Between 2015 and 2018, </w:t>
      </w:r>
      <w:r w:rsidR="003C19A2">
        <w:t>200</w:t>
      </w:r>
      <w:r w:rsidR="003C19A2" w:rsidRPr="00400D2F">
        <w:t xml:space="preserve"> </w:t>
      </w:r>
      <w:r w:rsidRPr="00400D2F">
        <w:t xml:space="preserve">new partnership agreements and </w:t>
      </w:r>
      <w:r w:rsidR="00AD1ACC">
        <w:t>3</w:t>
      </w:r>
      <w:r w:rsidR="00B81A0B">
        <w:t>9</w:t>
      </w:r>
      <w:r w:rsidRPr="00400D2F">
        <w:t xml:space="preserve"> addenda/amendments </w:t>
      </w:r>
      <w:r w:rsidR="001B090F">
        <w:t>were</w:t>
      </w:r>
      <w:r w:rsidRPr="00400D2F">
        <w:t xml:space="preserve"> signed</w:t>
      </w:r>
      <w:r w:rsidR="00D61310">
        <w:t xml:space="preserve"> </w:t>
      </w:r>
      <w:r w:rsidRPr="00400D2F">
        <w:t xml:space="preserve">between BDT and </w:t>
      </w:r>
      <w:r w:rsidR="001B090F">
        <w:t xml:space="preserve">various </w:t>
      </w:r>
      <w:r w:rsidR="007D5D21">
        <w:t>partners</w:t>
      </w:r>
      <w:r w:rsidR="000253AA">
        <w:t>,</w:t>
      </w:r>
      <w:r w:rsidR="007D5D21">
        <w:t xml:space="preserve"> with the following distribution, </w:t>
      </w:r>
      <w:r w:rsidRPr="00400D2F">
        <w:t>per beneficiary region</w:t>
      </w:r>
      <w:r w:rsidR="00504F61">
        <w:t>s</w:t>
      </w:r>
      <w:r w:rsidRPr="00400D2F">
        <w:t xml:space="preserve"> and per area</w:t>
      </w:r>
      <w:r w:rsidR="00504F61">
        <w:t>s</w:t>
      </w:r>
      <w:r w:rsidRPr="00400D2F">
        <w:t xml:space="preserve"> of action. </w:t>
      </w:r>
    </w:p>
    <w:p w14:paraId="31D33D6F" w14:textId="5E2011C4" w:rsidR="009A6F66" w:rsidRDefault="009A6F66" w:rsidP="00756D48">
      <w:pPr>
        <w:pStyle w:val="ListParagraph"/>
        <w:keepNext/>
        <w:ind w:left="0"/>
        <w:contextualSpacing w:val="0"/>
        <w:jc w:val="center"/>
        <w:rPr>
          <w:rFonts w:ascii="Calibri" w:hAnsi="Calibri" w:cs="Calibri"/>
          <w:b/>
          <w:bCs w:val="0"/>
          <w:sz w:val="24"/>
          <w:szCs w:val="24"/>
        </w:rPr>
      </w:pPr>
      <w:r w:rsidRPr="003E6492">
        <w:rPr>
          <w:rFonts w:ascii="Calibri" w:hAnsi="Calibri" w:cs="Calibri"/>
          <w:b/>
          <w:bCs w:val="0"/>
          <w:sz w:val="24"/>
          <w:szCs w:val="24"/>
        </w:rPr>
        <w:lastRenderedPageBreak/>
        <w:t xml:space="preserve">Charts: </w:t>
      </w:r>
      <w:r w:rsidR="00504F61">
        <w:rPr>
          <w:rFonts w:ascii="Calibri" w:hAnsi="Calibri" w:cs="Calibri"/>
          <w:b/>
          <w:bCs w:val="0"/>
          <w:sz w:val="24"/>
          <w:szCs w:val="24"/>
        </w:rPr>
        <w:t>A</w:t>
      </w:r>
      <w:r w:rsidRPr="003E6492">
        <w:rPr>
          <w:rFonts w:ascii="Calibri" w:hAnsi="Calibri" w:cs="Calibri"/>
          <w:b/>
          <w:bCs w:val="0"/>
          <w:sz w:val="24"/>
          <w:szCs w:val="24"/>
        </w:rPr>
        <w:t>greements signed between 201</w:t>
      </w:r>
      <w:r w:rsidR="00291AA3" w:rsidRPr="003E6492">
        <w:rPr>
          <w:rFonts w:ascii="Calibri" w:hAnsi="Calibri" w:cs="Calibri"/>
          <w:b/>
          <w:bCs w:val="0"/>
          <w:sz w:val="24"/>
          <w:szCs w:val="24"/>
        </w:rPr>
        <w:t>5</w:t>
      </w:r>
      <w:r w:rsidRPr="003E6492">
        <w:rPr>
          <w:rFonts w:ascii="Calibri" w:hAnsi="Calibri" w:cs="Calibri"/>
          <w:b/>
          <w:bCs w:val="0"/>
          <w:sz w:val="24"/>
          <w:szCs w:val="24"/>
        </w:rPr>
        <w:t xml:space="preserve"> and 201</w:t>
      </w:r>
      <w:r w:rsidR="00291AA3" w:rsidRPr="003E6492">
        <w:rPr>
          <w:rFonts w:ascii="Calibri" w:hAnsi="Calibri" w:cs="Calibri"/>
          <w:b/>
          <w:bCs w:val="0"/>
          <w:sz w:val="24"/>
          <w:szCs w:val="24"/>
        </w:rPr>
        <w:t>8</w:t>
      </w:r>
    </w:p>
    <w:p w14:paraId="14C2E292" w14:textId="299AA417" w:rsidR="007D5D21" w:rsidRDefault="00A439F7" w:rsidP="00291AA3">
      <w:pPr>
        <w:pStyle w:val="ListParagraph"/>
        <w:keepNext/>
        <w:ind w:left="0"/>
        <w:contextualSpacing w:val="0"/>
        <w:jc w:val="center"/>
        <w:rPr>
          <w:rFonts w:ascii="Calibri" w:hAnsi="Calibri" w:cs="Calibri"/>
          <w:b/>
          <w:bCs w:val="0"/>
          <w:i/>
          <w:iCs/>
          <w:sz w:val="22"/>
          <w:szCs w:val="22"/>
        </w:rPr>
      </w:pPr>
      <w:r>
        <w:rPr>
          <w:noProof/>
          <w:lang w:val="en-GB"/>
        </w:rPr>
        <w:drawing>
          <wp:inline distT="0" distB="0" distL="0" distR="0" wp14:anchorId="2C95D987" wp14:editId="294E4996">
            <wp:extent cx="4981575" cy="2828925"/>
            <wp:effectExtent l="0" t="0" r="9525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5A106F6" w14:textId="77777777" w:rsidR="007D5D21" w:rsidRPr="00A439F7" w:rsidRDefault="007D5D21" w:rsidP="00254957">
      <w:pPr>
        <w:pStyle w:val="ListParagraph"/>
        <w:keepNext/>
        <w:spacing w:before="0" w:after="0"/>
        <w:ind w:left="0"/>
        <w:contextualSpacing w:val="0"/>
        <w:jc w:val="center"/>
        <w:rPr>
          <w:rFonts w:ascii="Calibri" w:hAnsi="Calibri" w:cs="Calibri"/>
          <w:b/>
          <w:bCs w:val="0"/>
          <w:i/>
          <w:iCs/>
          <w:sz w:val="2"/>
          <w:szCs w:val="2"/>
        </w:rPr>
      </w:pPr>
    </w:p>
    <w:p w14:paraId="31048C6B" w14:textId="774E506C" w:rsidR="007D5D21" w:rsidRPr="00F0087F" w:rsidRDefault="00A439F7" w:rsidP="00291AA3">
      <w:pPr>
        <w:pStyle w:val="ListParagraph"/>
        <w:keepNext/>
        <w:ind w:left="0"/>
        <w:contextualSpacing w:val="0"/>
        <w:jc w:val="center"/>
        <w:rPr>
          <w:rFonts w:ascii="Calibri" w:hAnsi="Calibri" w:cs="Calibri"/>
          <w:b/>
          <w:bCs w:val="0"/>
          <w:i/>
          <w:iCs/>
          <w:sz w:val="22"/>
          <w:szCs w:val="22"/>
        </w:rPr>
      </w:pPr>
      <w:r>
        <w:rPr>
          <w:noProof/>
          <w:lang w:val="en-GB"/>
        </w:rPr>
        <w:drawing>
          <wp:inline distT="0" distB="0" distL="0" distR="0" wp14:anchorId="12703852" wp14:editId="6F839F15">
            <wp:extent cx="5029200" cy="2733675"/>
            <wp:effectExtent l="0" t="0" r="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7F2EAE1" w14:textId="3366ED17" w:rsidR="00E7118A" w:rsidRPr="00C978C3" w:rsidRDefault="007D5D21" w:rsidP="00C978C3">
      <w:pPr>
        <w:tabs>
          <w:tab w:val="clear" w:pos="794"/>
          <w:tab w:val="left" w:pos="1134"/>
        </w:tabs>
        <w:spacing w:before="0"/>
        <w:ind w:left="709" w:right="709"/>
        <w:rPr>
          <w:rFonts w:ascii="Calibri" w:hAnsi="Calibri" w:cs="Calibri"/>
          <w:i/>
          <w:iCs/>
          <w:szCs w:val="24"/>
          <w:lang w:val="en-US"/>
        </w:rPr>
      </w:pPr>
      <w:r w:rsidRPr="00C978C3">
        <w:rPr>
          <w:rFonts w:cs="Calibri"/>
          <w:i/>
          <w:iCs/>
          <w:sz w:val="18"/>
          <w:szCs w:val="18"/>
        </w:rPr>
        <w:t>Note: In 2015, 28 agreements were signed for implementation of the “Joint Capacity-Building Activities under the ITU Academy Centres of Excellence”</w:t>
      </w:r>
    </w:p>
    <w:p w14:paraId="1D8AFF52" w14:textId="57580CE1" w:rsidR="006C1D80" w:rsidRPr="00B964A2" w:rsidRDefault="006C1D80" w:rsidP="006C1D80">
      <w:pPr>
        <w:pStyle w:val="ListParagraph"/>
        <w:spacing w:before="0"/>
        <w:ind w:left="0"/>
        <w:contextualSpacing w:val="0"/>
        <w:jc w:val="center"/>
        <w:rPr>
          <w:rFonts w:ascii="Calibri" w:hAnsi="Calibri" w:cs="Calibri"/>
          <w:sz w:val="18"/>
          <w:szCs w:val="18"/>
        </w:rPr>
      </w:pPr>
    </w:p>
    <w:p w14:paraId="70B3FE4A" w14:textId="7CE1ED22" w:rsidR="00BB5DA2" w:rsidRPr="003E6492" w:rsidRDefault="00783CFB" w:rsidP="00C978C3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3E6492">
        <w:rPr>
          <w:rFonts w:asciiTheme="minorHAnsi" w:hAnsiTheme="minorHAnsi" w:cs="Calibri"/>
          <w:sz w:val="24"/>
          <w:szCs w:val="24"/>
          <w:lang w:val="en-US"/>
        </w:rPr>
        <w:t xml:space="preserve">Key </w:t>
      </w:r>
      <w:r w:rsidR="001800DE" w:rsidRPr="003E6492">
        <w:rPr>
          <w:rFonts w:asciiTheme="minorHAnsi" w:hAnsiTheme="minorHAnsi" w:cs="Calibri"/>
          <w:sz w:val="24"/>
          <w:szCs w:val="24"/>
          <w:lang w:val="en-US"/>
        </w:rPr>
        <w:t>A</w:t>
      </w:r>
      <w:r w:rsidRPr="003E6492">
        <w:rPr>
          <w:rFonts w:asciiTheme="minorHAnsi" w:hAnsiTheme="minorHAnsi" w:cs="Calibri"/>
          <w:sz w:val="24"/>
          <w:szCs w:val="24"/>
          <w:lang w:val="en-US"/>
        </w:rPr>
        <w:t>ctions</w:t>
      </w:r>
      <w:r w:rsidR="00792520" w:rsidRPr="003E6492">
        <w:rPr>
          <w:rFonts w:asciiTheme="minorHAnsi" w:hAnsiTheme="minorHAnsi" w:cs="Calibri"/>
          <w:sz w:val="24"/>
          <w:szCs w:val="24"/>
          <w:lang w:val="en-US"/>
        </w:rPr>
        <w:t xml:space="preserve"> and </w:t>
      </w:r>
      <w:r w:rsidR="001800DE" w:rsidRPr="003E6492">
        <w:rPr>
          <w:rFonts w:asciiTheme="minorHAnsi" w:hAnsiTheme="minorHAnsi" w:cs="Calibri"/>
          <w:sz w:val="24"/>
          <w:szCs w:val="24"/>
          <w:lang w:val="en-US"/>
        </w:rPr>
        <w:t>O</w:t>
      </w:r>
      <w:r w:rsidR="00792520" w:rsidRPr="003E6492">
        <w:rPr>
          <w:rFonts w:asciiTheme="minorHAnsi" w:hAnsiTheme="minorHAnsi" w:cs="Calibri"/>
          <w:sz w:val="24"/>
          <w:szCs w:val="24"/>
          <w:lang w:val="en-US"/>
        </w:rPr>
        <w:t>utcomes</w:t>
      </w:r>
    </w:p>
    <w:p w14:paraId="2B3C1551" w14:textId="694A092C" w:rsidR="005F5767" w:rsidRPr="003E6492" w:rsidRDefault="002C127B" w:rsidP="00C978C3">
      <w:pPr>
        <w:pStyle w:val="BDTcontributionH1"/>
        <w:keepLines w:val="0"/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3E6492">
        <w:rPr>
          <w:rFonts w:asciiTheme="minorHAnsi" w:hAnsiTheme="minorHAnsi" w:cs="Calibri"/>
          <w:sz w:val="24"/>
          <w:szCs w:val="24"/>
          <w:lang w:val="en-US"/>
        </w:rPr>
        <w:t>External actions and outcomes</w:t>
      </w:r>
    </w:p>
    <w:p w14:paraId="644F7AA6" w14:textId="6932AEB8" w:rsidR="005F5767" w:rsidRDefault="00DD13A4">
      <w:pPr>
        <w:pStyle w:val="CEOParagraph1"/>
        <w:keepNext w:val="0"/>
        <w:numPr>
          <w:ilvl w:val="0"/>
          <w:numId w:val="0"/>
        </w:num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Theme="minorHAnsi" w:hAnsiTheme="minorHAnsi"/>
          <w:b w:val="0"/>
          <w:bCs w:val="0"/>
          <w:sz w:val="24"/>
          <w:szCs w:val="24"/>
        </w:rPr>
      </w:pPr>
      <w:proofErr w:type="spellStart"/>
      <w:r w:rsidRPr="00DD13A4">
        <w:rPr>
          <w:rFonts w:asciiTheme="minorHAnsi" w:hAnsiTheme="minorHAnsi"/>
          <w:b w:val="0"/>
          <w:bCs w:val="0"/>
          <w:sz w:val="24"/>
          <w:szCs w:val="24"/>
        </w:rPr>
        <w:t>Partneship</w:t>
      </w:r>
      <w:proofErr w:type="spellEnd"/>
      <w:r w:rsidRPr="00DD13A4">
        <w:rPr>
          <w:rFonts w:asciiTheme="minorHAnsi" w:hAnsiTheme="minorHAnsi"/>
          <w:b w:val="0"/>
          <w:bCs w:val="0"/>
          <w:sz w:val="24"/>
          <w:szCs w:val="24"/>
        </w:rPr>
        <w:t xml:space="preserve"> and resource mobilization are primarily relationship-building </w:t>
      </w:r>
      <w:r w:rsidR="001B090F" w:rsidRPr="00DD13A4">
        <w:rPr>
          <w:rFonts w:asciiTheme="minorHAnsi" w:hAnsiTheme="minorHAnsi"/>
          <w:b w:val="0"/>
          <w:bCs w:val="0"/>
          <w:sz w:val="24"/>
          <w:szCs w:val="24"/>
        </w:rPr>
        <w:t>activit</w:t>
      </w:r>
      <w:r w:rsidR="001B090F">
        <w:rPr>
          <w:rFonts w:asciiTheme="minorHAnsi" w:hAnsiTheme="minorHAnsi"/>
          <w:b w:val="0"/>
          <w:bCs w:val="0"/>
          <w:sz w:val="24"/>
          <w:szCs w:val="24"/>
        </w:rPr>
        <w:t>ies</w:t>
      </w:r>
      <w:r w:rsidRPr="00DD13A4">
        <w:rPr>
          <w:rFonts w:asciiTheme="minorHAnsi" w:hAnsiTheme="minorHAnsi"/>
          <w:b w:val="0"/>
          <w:bCs w:val="0"/>
          <w:sz w:val="24"/>
          <w:szCs w:val="24"/>
        </w:rPr>
        <w:t xml:space="preserve">, anchored on trust, confidence and respect.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While BDT </w:t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t xml:space="preserve">is paying particular attention to </w:t>
      </w:r>
      <w:r w:rsidR="007F64B0">
        <w:rPr>
          <w:rFonts w:asciiTheme="minorHAnsi" w:hAnsiTheme="minorHAnsi"/>
          <w:b w:val="0"/>
          <w:bCs w:val="0"/>
          <w:sz w:val="24"/>
          <w:szCs w:val="24"/>
        </w:rPr>
        <w:t xml:space="preserve">nurturing </w:t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t>relationship</w:t>
      </w:r>
      <w:r w:rsidR="007F64B0">
        <w:rPr>
          <w:rFonts w:asciiTheme="minorHAnsi" w:hAnsiTheme="minorHAnsi"/>
          <w:b w:val="0"/>
          <w:bCs w:val="0"/>
          <w:sz w:val="24"/>
          <w:szCs w:val="24"/>
        </w:rPr>
        <w:t>s</w:t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t xml:space="preserve"> with tradi</w:t>
      </w:r>
      <w:r w:rsidR="00547D12">
        <w:rPr>
          <w:rFonts w:asciiTheme="minorHAnsi" w:hAnsiTheme="minorHAnsi"/>
          <w:b w:val="0"/>
          <w:bCs w:val="0"/>
          <w:sz w:val="24"/>
          <w:szCs w:val="24"/>
        </w:rPr>
        <w:t>ti</w:t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t xml:space="preserve">onal partners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encouraging them to engage </w:t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t>in lasting relationship</w:t>
      </w:r>
      <w:r w:rsidR="007F64B0">
        <w:rPr>
          <w:rFonts w:asciiTheme="minorHAnsi" w:hAnsiTheme="minorHAnsi"/>
          <w:b w:val="0"/>
          <w:bCs w:val="0"/>
          <w:sz w:val="24"/>
          <w:szCs w:val="24"/>
        </w:rPr>
        <w:t>s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, </w:t>
      </w:r>
      <w:r w:rsidR="007F64B0">
        <w:rPr>
          <w:rFonts w:asciiTheme="minorHAnsi" w:hAnsiTheme="minorHAnsi"/>
          <w:b w:val="0"/>
          <w:bCs w:val="0"/>
          <w:sz w:val="24"/>
          <w:szCs w:val="24"/>
        </w:rPr>
        <w:t xml:space="preserve">it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also </w:t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t xml:space="preserve">recognizes the importance of widening and diversifying its partner portfolio. </w:t>
      </w:r>
      <w:r w:rsidR="002C127B">
        <w:rPr>
          <w:rFonts w:asciiTheme="minorHAnsi" w:hAnsiTheme="minorHAnsi"/>
          <w:b w:val="0"/>
          <w:bCs w:val="0"/>
          <w:sz w:val="24"/>
          <w:szCs w:val="24"/>
        </w:rPr>
        <w:t xml:space="preserve">Meetings and strategic missions are </w:t>
      </w:r>
      <w:r w:rsidR="00547D12">
        <w:rPr>
          <w:rFonts w:asciiTheme="minorHAnsi" w:hAnsiTheme="minorHAnsi"/>
          <w:b w:val="0"/>
          <w:bCs w:val="0"/>
          <w:sz w:val="24"/>
          <w:szCs w:val="24"/>
        </w:rPr>
        <w:t xml:space="preserve">being </w:t>
      </w:r>
      <w:r w:rsidR="002C127B">
        <w:rPr>
          <w:rFonts w:asciiTheme="minorHAnsi" w:hAnsiTheme="minorHAnsi"/>
          <w:b w:val="0"/>
          <w:bCs w:val="0"/>
          <w:sz w:val="24"/>
          <w:szCs w:val="24"/>
        </w:rPr>
        <w:t>carried out to various entities</w:t>
      </w:r>
      <w:r w:rsidR="00030B0E">
        <w:rPr>
          <w:rFonts w:asciiTheme="minorHAnsi" w:hAnsiTheme="minorHAnsi"/>
          <w:b w:val="0"/>
          <w:bCs w:val="0"/>
          <w:sz w:val="24"/>
          <w:szCs w:val="24"/>
        </w:rPr>
        <w:t xml:space="preserve">,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opening up opportunities for </w:t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t xml:space="preserve">BDT </w:t>
      </w:r>
      <w:r w:rsidR="002C127B">
        <w:rPr>
          <w:rFonts w:asciiTheme="minorHAnsi" w:hAnsiTheme="minorHAnsi"/>
          <w:b w:val="0"/>
          <w:bCs w:val="0"/>
          <w:sz w:val="24"/>
          <w:szCs w:val="24"/>
        </w:rPr>
        <w:t xml:space="preserve">to enter </w:t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t xml:space="preserve">into partnership with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various stakeholders </w:t>
      </w:r>
      <w:r w:rsidR="00B42EA5">
        <w:rPr>
          <w:rFonts w:asciiTheme="minorHAnsi" w:hAnsiTheme="minorHAnsi"/>
          <w:b w:val="0"/>
          <w:bCs w:val="0"/>
          <w:sz w:val="24"/>
          <w:szCs w:val="24"/>
        </w:rPr>
        <w:t>in the ICT ecosystem</w:t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t xml:space="preserve">. Agreements have been signed with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entities </w:t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t xml:space="preserve">pertaining to various sectors such as health/pharmaceutical, finance, agriculture and </w:t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lastRenderedPageBreak/>
        <w:t>environment</w:t>
      </w:r>
      <w:r w:rsidR="00750400">
        <w:rPr>
          <w:rFonts w:asciiTheme="minorHAnsi" w:hAnsiTheme="minorHAnsi"/>
          <w:b w:val="0"/>
          <w:bCs w:val="0"/>
          <w:sz w:val="24"/>
          <w:szCs w:val="24"/>
        </w:rPr>
        <w:t>:</w:t>
      </w:r>
      <w:r w:rsidR="00D61310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750400">
        <w:rPr>
          <w:rFonts w:asciiTheme="minorHAnsi" w:hAnsiTheme="minorHAnsi"/>
          <w:b w:val="0"/>
          <w:bCs w:val="0"/>
          <w:sz w:val="24"/>
          <w:szCs w:val="24"/>
        </w:rPr>
        <w:t xml:space="preserve">for example, </w:t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t xml:space="preserve">with UNEP, UNU, UNIDO, </w:t>
      </w:r>
      <w:r w:rsidR="009673F7">
        <w:rPr>
          <w:rFonts w:asciiTheme="minorHAnsi" w:hAnsiTheme="minorHAnsi"/>
          <w:b w:val="0"/>
          <w:bCs w:val="0"/>
          <w:sz w:val="24"/>
          <w:szCs w:val="24"/>
        </w:rPr>
        <w:t>SBC/SSC</w:t>
      </w:r>
      <w:r w:rsidR="009673F7">
        <w:rPr>
          <w:rStyle w:val="FootnoteReference"/>
          <w:b w:val="0"/>
          <w:bCs w:val="0"/>
          <w:szCs w:val="24"/>
        </w:rPr>
        <w:footnoteReference w:id="4"/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t xml:space="preserve">, UNITAR, ILO, </w:t>
      </w:r>
      <w:r w:rsidR="009673F7">
        <w:rPr>
          <w:rFonts w:asciiTheme="minorHAnsi" w:hAnsiTheme="minorHAnsi"/>
          <w:b w:val="0"/>
          <w:bCs w:val="0"/>
          <w:sz w:val="24"/>
          <w:szCs w:val="24"/>
        </w:rPr>
        <w:t>ISWA</w:t>
      </w:r>
      <w:r w:rsidR="009673F7">
        <w:rPr>
          <w:rStyle w:val="FootnoteReference"/>
          <w:b w:val="0"/>
          <w:bCs w:val="0"/>
          <w:szCs w:val="24"/>
        </w:rPr>
        <w:footnoteReference w:id="5"/>
      </w:r>
      <w:r w:rsidR="005F5767" w:rsidRPr="00EC4343">
        <w:rPr>
          <w:rFonts w:asciiTheme="minorHAnsi" w:hAnsiTheme="minorHAnsi"/>
          <w:b w:val="0"/>
          <w:bCs w:val="0"/>
          <w:sz w:val="24"/>
          <w:szCs w:val="24"/>
        </w:rPr>
        <w:t xml:space="preserve">, </w:t>
      </w:r>
      <w:r w:rsidR="009673F7">
        <w:rPr>
          <w:rFonts w:asciiTheme="minorHAnsi" w:hAnsiTheme="minorHAnsi"/>
          <w:b w:val="0"/>
          <w:bCs w:val="0"/>
          <w:sz w:val="24"/>
          <w:szCs w:val="24"/>
        </w:rPr>
        <w:t>UN-</w:t>
      </w:r>
      <w:proofErr w:type="spellStart"/>
      <w:r w:rsidR="009673F7">
        <w:rPr>
          <w:rFonts w:asciiTheme="minorHAnsi" w:hAnsiTheme="minorHAnsi"/>
          <w:b w:val="0"/>
          <w:bCs w:val="0"/>
          <w:sz w:val="24"/>
          <w:szCs w:val="24"/>
        </w:rPr>
        <w:t>ViE</w:t>
      </w:r>
      <w:proofErr w:type="spellEnd"/>
      <w:r w:rsidR="009673F7">
        <w:rPr>
          <w:rFonts w:asciiTheme="minorHAnsi" w:hAnsiTheme="minorHAnsi"/>
          <w:b w:val="0"/>
          <w:bCs w:val="0"/>
          <w:sz w:val="24"/>
          <w:szCs w:val="24"/>
        </w:rPr>
        <w:t xml:space="preserve"> SCYCLE</w:t>
      </w:r>
      <w:r w:rsidR="009673F7">
        <w:rPr>
          <w:rStyle w:val="FootnoteReference"/>
          <w:b w:val="0"/>
          <w:bCs w:val="0"/>
          <w:szCs w:val="24"/>
        </w:rPr>
        <w:footnoteReference w:id="6"/>
      </w:r>
      <w:r w:rsidR="005F5767" w:rsidRPr="00EC4343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t xml:space="preserve">for projects on e-waste; with WHO, </w:t>
      </w:r>
      <w:r w:rsidR="005F5767" w:rsidRPr="00EC4343">
        <w:rPr>
          <w:rFonts w:asciiTheme="minorHAnsi" w:hAnsiTheme="minorHAnsi"/>
          <w:b w:val="0"/>
          <w:bCs w:val="0"/>
          <w:sz w:val="24"/>
          <w:szCs w:val="24"/>
        </w:rPr>
        <w:t xml:space="preserve">World Diabetes Foundation, Pierre Fabre Foundation, EU, ARM, </w:t>
      </w:r>
      <w:r w:rsidR="00E4530E">
        <w:rPr>
          <w:rFonts w:asciiTheme="minorHAnsi" w:hAnsiTheme="minorHAnsi"/>
          <w:b w:val="0"/>
          <w:bCs w:val="0"/>
          <w:sz w:val="24"/>
          <w:szCs w:val="24"/>
        </w:rPr>
        <w:t xml:space="preserve">GSMA, Sanofi </w:t>
      </w:r>
      <w:proofErr w:type="spellStart"/>
      <w:r w:rsidR="00E4530E">
        <w:rPr>
          <w:rFonts w:asciiTheme="minorHAnsi" w:hAnsiTheme="minorHAnsi"/>
          <w:b w:val="0"/>
          <w:bCs w:val="0"/>
          <w:sz w:val="24"/>
          <w:szCs w:val="24"/>
        </w:rPr>
        <w:t>Avantis</w:t>
      </w:r>
      <w:proofErr w:type="spellEnd"/>
      <w:r w:rsidR="00E4530E">
        <w:rPr>
          <w:rFonts w:asciiTheme="minorHAnsi" w:hAnsiTheme="minorHAnsi"/>
          <w:b w:val="0"/>
          <w:bCs w:val="0"/>
          <w:sz w:val="24"/>
          <w:szCs w:val="24"/>
        </w:rPr>
        <w:t xml:space="preserve"> Group, Novar</w:t>
      </w:r>
      <w:r w:rsidR="005F5767" w:rsidRPr="00EC4343">
        <w:rPr>
          <w:rFonts w:asciiTheme="minorHAnsi" w:hAnsiTheme="minorHAnsi"/>
          <w:b w:val="0"/>
          <w:bCs w:val="0"/>
          <w:sz w:val="24"/>
          <w:szCs w:val="24"/>
        </w:rPr>
        <w:t xml:space="preserve">tis Pharma AG, </w:t>
      </w:r>
      <w:proofErr w:type="spellStart"/>
      <w:r w:rsidR="00EA7E28">
        <w:rPr>
          <w:rFonts w:asciiTheme="minorHAnsi" w:hAnsiTheme="minorHAnsi"/>
          <w:b w:val="0"/>
          <w:bCs w:val="0"/>
          <w:sz w:val="24"/>
          <w:szCs w:val="24"/>
        </w:rPr>
        <w:t>Glaxosmithkline</w:t>
      </w:r>
      <w:proofErr w:type="spellEnd"/>
      <w:r w:rsidR="00EA7E28">
        <w:rPr>
          <w:rFonts w:asciiTheme="minorHAnsi" w:hAnsiTheme="minorHAnsi"/>
          <w:b w:val="0"/>
          <w:bCs w:val="0"/>
          <w:sz w:val="24"/>
          <w:szCs w:val="24"/>
        </w:rPr>
        <w:t xml:space="preserve"> (</w:t>
      </w:r>
      <w:r w:rsidR="005F5767" w:rsidRPr="00EC4343">
        <w:rPr>
          <w:rFonts w:asciiTheme="minorHAnsi" w:hAnsiTheme="minorHAnsi"/>
          <w:b w:val="0"/>
          <w:bCs w:val="0"/>
          <w:sz w:val="24"/>
          <w:szCs w:val="24"/>
        </w:rPr>
        <w:t>GSK</w:t>
      </w:r>
      <w:r w:rsidR="00EA7E28">
        <w:rPr>
          <w:rFonts w:asciiTheme="minorHAnsi" w:hAnsiTheme="minorHAnsi"/>
          <w:b w:val="0"/>
          <w:bCs w:val="0"/>
          <w:sz w:val="24"/>
          <w:szCs w:val="24"/>
        </w:rPr>
        <w:t>)</w:t>
      </w:r>
      <w:r w:rsidR="005F5767" w:rsidRPr="00EC4343">
        <w:rPr>
          <w:rFonts w:asciiTheme="minorHAnsi" w:hAnsiTheme="minorHAnsi"/>
          <w:b w:val="0"/>
          <w:bCs w:val="0"/>
          <w:sz w:val="24"/>
          <w:szCs w:val="24"/>
        </w:rPr>
        <w:t xml:space="preserve"> Services</w:t>
      </w:r>
      <w:r w:rsidR="00EA7E28">
        <w:rPr>
          <w:rFonts w:asciiTheme="minorHAnsi" w:hAnsiTheme="minorHAnsi"/>
          <w:b w:val="0"/>
          <w:bCs w:val="0"/>
          <w:sz w:val="24"/>
          <w:szCs w:val="24"/>
        </w:rPr>
        <w:t xml:space="preserve"> and </w:t>
      </w:r>
      <w:r w:rsidR="005F5767" w:rsidRPr="00EC4343">
        <w:rPr>
          <w:rFonts w:asciiTheme="minorHAnsi" w:hAnsiTheme="minorHAnsi"/>
          <w:b w:val="0"/>
          <w:bCs w:val="0"/>
          <w:sz w:val="24"/>
          <w:szCs w:val="24"/>
        </w:rPr>
        <w:t>Norwegian Directorate of Health</w:t>
      </w:r>
      <w:r w:rsidR="00EE3EBB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5F5767" w:rsidRPr="00EC4343">
        <w:rPr>
          <w:rFonts w:asciiTheme="minorHAnsi" w:hAnsiTheme="minorHAnsi"/>
          <w:b w:val="0"/>
          <w:bCs w:val="0"/>
          <w:sz w:val="24"/>
          <w:szCs w:val="24"/>
        </w:rPr>
        <w:t xml:space="preserve">for </w:t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t xml:space="preserve">projects on </w:t>
      </w:r>
      <w:r w:rsidR="005F5767" w:rsidRPr="00EC4343">
        <w:rPr>
          <w:rFonts w:asciiTheme="minorHAnsi" w:hAnsiTheme="minorHAnsi"/>
          <w:b w:val="0"/>
          <w:bCs w:val="0"/>
          <w:sz w:val="24"/>
          <w:szCs w:val="24"/>
        </w:rPr>
        <w:t>m</w:t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noBreakHyphen/>
      </w:r>
      <w:r w:rsidR="005F5767" w:rsidRPr="00EC4343">
        <w:rPr>
          <w:rFonts w:asciiTheme="minorHAnsi" w:hAnsiTheme="minorHAnsi"/>
          <w:b w:val="0"/>
          <w:bCs w:val="0"/>
          <w:sz w:val="24"/>
          <w:szCs w:val="24"/>
        </w:rPr>
        <w:t>Health</w:t>
      </w:r>
      <w:r>
        <w:rPr>
          <w:rFonts w:asciiTheme="minorHAnsi" w:hAnsiTheme="minorHAnsi"/>
          <w:b w:val="0"/>
          <w:bCs w:val="0"/>
          <w:sz w:val="24"/>
          <w:szCs w:val="24"/>
        </w:rPr>
        <w:t>;</w:t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B42EA5" w:rsidRPr="00EC4343">
        <w:rPr>
          <w:rFonts w:asciiTheme="minorHAnsi" w:hAnsiTheme="minorHAnsi"/>
          <w:b w:val="0"/>
          <w:bCs w:val="0"/>
          <w:sz w:val="24"/>
          <w:szCs w:val="24"/>
        </w:rPr>
        <w:t>with FAO on e</w:t>
      </w:r>
      <w:r w:rsidR="00B42EA5">
        <w:rPr>
          <w:rFonts w:asciiTheme="minorHAnsi" w:hAnsiTheme="minorHAnsi"/>
          <w:b w:val="0"/>
          <w:bCs w:val="0"/>
          <w:sz w:val="24"/>
          <w:szCs w:val="24"/>
        </w:rPr>
        <w:noBreakHyphen/>
      </w:r>
      <w:r w:rsidR="00B42EA5" w:rsidRPr="00EC4343">
        <w:rPr>
          <w:rFonts w:asciiTheme="minorHAnsi" w:hAnsiTheme="minorHAnsi"/>
          <w:b w:val="0"/>
          <w:bCs w:val="0"/>
          <w:sz w:val="24"/>
          <w:szCs w:val="24"/>
        </w:rPr>
        <w:t>Agriculture</w:t>
      </w:r>
      <w:r w:rsidR="00B42EA5">
        <w:rPr>
          <w:rFonts w:asciiTheme="minorHAnsi" w:hAnsiTheme="minorHAnsi"/>
          <w:b w:val="0"/>
          <w:bCs w:val="0"/>
          <w:sz w:val="24"/>
          <w:szCs w:val="24"/>
        </w:rPr>
        <w:t xml:space="preserve">; and </w:t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t xml:space="preserve">with </w:t>
      </w:r>
      <w:r w:rsidR="005F5767" w:rsidRPr="00EC4343">
        <w:rPr>
          <w:rFonts w:asciiTheme="minorHAnsi" w:hAnsiTheme="minorHAnsi"/>
          <w:b w:val="0"/>
          <w:bCs w:val="0"/>
          <w:sz w:val="24"/>
          <w:szCs w:val="24"/>
        </w:rPr>
        <w:t xml:space="preserve">Bill and Melinda Gates Foundation for </w:t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t xml:space="preserve">the </w:t>
      </w:r>
      <w:r w:rsidR="005F5767" w:rsidRPr="00EC4343">
        <w:rPr>
          <w:rFonts w:asciiTheme="minorHAnsi" w:hAnsiTheme="minorHAnsi"/>
          <w:b w:val="0"/>
          <w:bCs w:val="0"/>
          <w:sz w:val="24"/>
          <w:szCs w:val="24"/>
        </w:rPr>
        <w:t>Financial Inclusion Global Initiative (FIGI</w:t>
      </w:r>
      <w:r w:rsidR="00B42EA5">
        <w:rPr>
          <w:rFonts w:asciiTheme="minorHAnsi" w:hAnsiTheme="minorHAnsi"/>
          <w:b w:val="0"/>
          <w:bCs w:val="0"/>
          <w:sz w:val="24"/>
          <w:szCs w:val="24"/>
        </w:rPr>
        <w:t>)</w:t>
      </w:r>
      <w:r w:rsidR="005F5767">
        <w:rPr>
          <w:rFonts w:asciiTheme="minorHAnsi" w:hAnsiTheme="minorHAnsi"/>
          <w:b w:val="0"/>
          <w:bCs w:val="0"/>
          <w:sz w:val="24"/>
          <w:szCs w:val="24"/>
        </w:rPr>
        <w:t xml:space="preserve"> .</w:t>
      </w:r>
    </w:p>
    <w:p w14:paraId="225578E4" w14:textId="433E1AC5" w:rsidR="000F512C" w:rsidRDefault="000F512C">
      <w:pPr>
        <w:pStyle w:val="CEOParagraph1"/>
        <w:keepNext w:val="0"/>
        <w:numPr>
          <w:ilvl w:val="0"/>
          <w:numId w:val="0"/>
        </w:num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 xml:space="preserve">Entering </w:t>
      </w:r>
      <w:r w:rsidR="007F64B0">
        <w:rPr>
          <w:rFonts w:asciiTheme="minorHAnsi" w:hAnsiTheme="minorHAnsi"/>
          <w:b w:val="0"/>
          <w:bCs w:val="0"/>
          <w:sz w:val="24"/>
          <w:szCs w:val="24"/>
        </w:rPr>
        <w:t xml:space="preserve">a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partnership with key stakeholders </w:t>
      </w:r>
      <w:r w:rsidR="00765B6F">
        <w:rPr>
          <w:rFonts w:asciiTheme="minorHAnsi" w:hAnsiTheme="minorHAnsi"/>
          <w:b w:val="0"/>
          <w:bCs w:val="0"/>
          <w:sz w:val="24"/>
          <w:szCs w:val="24"/>
        </w:rPr>
        <w:t>allows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030B0E">
        <w:rPr>
          <w:rFonts w:asciiTheme="minorHAnsi" w:hAnsiTheme="minorHAnsi"/>
          <w:b w:val="0"/>
          <w:bCs w:val="0"/>
          <w:sz w:val="24"/>
          <w:szCs w:val="24"/>
        </w:rPr>
        <w:t xml:space="preserve">BDT to raise </w:t>
      </w:r>
      <w:r w:rsidR="005C1B02">
        <w:rPr>
          <w:rFonts w:asciiTheme="minorHAnsi" w:hAnsiTheme="minorHAnsi"/>
          <w:b w:val="0"/>
          <w:bCs w:val="0"/>
          <w:sz w:val="24"/>
          <w:szCs w:val="24"/>
        </w:rPr>
        <w:t xml:space="preserve">resources, </w:t>
      </w:r>
      <w:r w:rsidR="00030B0E">
        <w:rPr>
          <w:rFonts w:asciiTheme="minorHAnsi" w:hAnsiTheme="minorHAnsi"/>
          <w:b w:val="0"/>
          <w:bCs w:val="0"/>
          <w:sz w:val="24"/>
          <w:szCs w:val="24"/>
        </w:rPr>
        <w:t xml:space="preserve">share </w:t>
      </w:r>
      <w:r w:rsidRPr="000F512C">
        <w:rPr>
          <w:rFonts w:asciiTheme="minorHAnsi" w:hAnsiTheme="minorHAnsi"/>
          <w:b w:val="0"/>
          <w:bCs w:val="0"/>
          <w:sz w:val="24"/>
          <w:szCs w:val="24"/>
        </w:rPr>
        <w:t xml:space="preserve">projects’ cost, </w:t>
      </w:r>
      <w:r w:rsidR="00030B0E">
        <w:rPr>
          <w:rFonts w:asciiTheme="minorHAnsi" w:hAnsiTheme="minorHAnsi"/>
          <w:b w:val="0"/>
          <w:bCs w:val="0"/>
          <w:sz w:val="24"/>
          <w:szCs w:val="24"/>
        </w:rPr>
        <w:t xml:space="preserve">prevent </w:t>
      </w:r>
      <w:r w:rsidRPr="000F512C">
        <w:rPr>
          <w:rFonts w:asciiTheme="minorHAnsi" w:hAnsiTheme="minorHAnsi"/>
          <w:b w:val="0"/>
          <w:bCs w:val="0"/>
          <w:sz w:val="24"/>
          <w:szCs w:val="24"/>
        </w:rPr>
        <w:t xml:space="preserve">overlap and duplication of work, </w:t>
      </w:r>
      <w:r w:rsidR="00030B0E">
        <w:rPr>
          <w:rFonts w:asciiTheme="minorHAnsi" w:hAnsiTheme="minorHAnsi"/>
          <w:b w:val="0"/>
          <w:bCs w:val="0"/>
          <w:sz w:val="24"/>
          <w:szCs w:val="24"/>
        </w:rPr>
        <w:t xml:space="preserve">increase </w:t>
      </w:r>
      <w:r w:rsidRPr="000F512C">
        <w:rPr>
          <w:rFonts w:asciiTheme="minorHAnsi" w:hAnsiTheme="minorHAnsi"/>
          <w:b w:val="0"/>
          <w:bCs w:val="0"/>
          <w:sz w:val="24"/>
          <w:szCs w:val="24"/>
        </w:rPr>
        <w:t>projects’ impact</w:t>
      </w:r>
      <w:r w:rsidR="007F64B0">
        <w:rPr>
          <w:rFonts w:asciiTheme="minorHAnsi" w:hAnsiTheme="minorHAnsi"/>
          <w:b w:val="0"/>
          <w:bCs w:val="0"/>
          <w:sz w:val="24"/>
          <w:szCs w:val="24"/>
        </w:rPr>
        <w:t>,</w:t>
      </w:r>
      <w:r w:rsidRPr="000F512C">
        <w:rPr>
          <w:rFonts w:asciiTheme="minorHAnsi" w:hAnsiTheme="minorHAnsi"/>
          <w:b w:val="0"/>
          <w:bCs w:val="0"/>
          <w:sz w:val="24"/>
          <w:szCs w:val="24"/>
        </w:rPr>
        <w:t xml:space="preserve"> and enhanc</w:t>
      </w:r>
      <w:r w:rsidR="00547D12">
        <w:rPr>
          <w:rFonts w:asciiTheme="minorHAnsi" w:hAnsiTheme="minorHAnsi"/>
          <w:b w:val="0"/>
          <w:bCs w:val="0"/>
          <w:sz w:val="24"/>
          <w:szCs w:val="24"/>
        </w:rPr>
        <w:t xml:space="preserve">e </w:t>
      </w:r>
      <w:r w:rsidR="00765B6F">
        <w:rPr>
          <w:rFonts w:asciiTheme="minorHAnsi" w:hAnsiTheme="minorHAnsi"/>
          <w:b w:val="0"/>
          <w:bCs w:val="0"/>
          <w:sz w:val="24"/>
          <w:szCs w:val="24"/>
        </w:rPr>
        <w:t>BDT</w:t>
      </w:r>
      <w:r w:rsidR="007F64B0">
        <w:rPr>
          <w:rFonts w:asciiTheme="minorHAnsi" w:hAnsiTheme="minorHAnsi"/>
          <w:b w:val="0"/>
          <w:bCs w:val="0"/>
          <w:sz w:val="24"/>
          <w:szCs w:val="24"/>
        </w:rPr>
        <w:t>’s</w:t>
      </w:r>
      <w:r w:rsidR="00765B6F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0F512C">
        <w:rPr>
          <w:rFonts w:asciiTheme="minorHAnsi" w:hAnsiTheme="minorHAnsi"/>
          <w:b w:val="0"/>
          <w:bCs w:val="0"/>
          <w:sz w:val="24"/>
          <w:szCs w:val="24"/>
        </w:rPr>
        <w:t>visibility toward</w:t>
      </w:r>
      <w:r w:rsidR="00030B0E">
        <w:rPr>
          <w:rFonts w:asciiTheme="minorHAnsi" w:hAnsiTheme="minorHAnsi"/>
          <w:b w:val="0"/>
          <w:bCs w:val="0"/>
          <w:sz w:val="24"/>
          <w:szCs w:val="24"/>
        </w:rPr>
        <w:t>s</w:t>
      </w:r>
      <w:r w:rsidRPr="000F512C">
        <w:rPr>
          <w:rFonts w:asciiTheme="minorHAnsi" w:hAnsiTheme="minorHAnsi"/>
          <w:b w:val="0"/>
          <w:bCs w:val="0"/>
          <w:sz w:val="24"/>
          <w:szCs w:val="24"/>
        </w:rPr>
        <w:t xml:space="preserve"> external audience</w:t>
      </w:r>
      <w:r w:rsidR="007F64B0">
        <w:rPr>
          <w:rFonts w:asciiTheme="minorHAnsi" w:hAnsiTheme="minorHAnsi"/>
          <w:b w:val="0"/>
          <w:bCs w:val="0"/>
          <w:sz w:val="24"/>
          <w:szCs w:val="24"/>
        </w:rPr>
        <w:t>s</w:t>
      </w:r>
      <w:r w:rsidRPr="000F512C">
        <w:rPr>
          <w:rFonts w:asciiTheme="minorHAnsi" w:hAnsiTheme="minorHAnsi"/>
          <w:b w:val="0"/>
          <w:bCs w:val="0"/>
          <w:sz w:val="24"/>
          <w:szCs w:val="24"/>
        </w:rPr>
        <w:t xml:space="preserve">.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It also offers </w:t>
      </w:r>
      <w:r w:rsidRPr="000F512C">
        <w:rPr>
          <w:rFonts w:asciiTheme="minorHAnsi" w:hAnsiTheme="minorHAnsi"/>
          <w:b w:val="0"/>
          <w:bCs w:val="0"/>
          <w:sz w:val="24"/>
          <w:szCs w:val="24"/>
        </w:rPr>
        <w:t>new opportunities to reach non</w:t>
      </w:r>
      <w:r w:rsidR="00030B0E">
        <w:rPr>
          <w:rFonts w:asciiTheme="minorHAnsi" w:hAnsiTheme="minorHAnsi"/>
          <w:b w:val="0"/>
          <w:bCs w:val="0"/>
          <w:sz w:val="24"/>
          <w:szCs w:val="24"/>
        </w:rPr>
        <w:noBreakHyphen/>
      </w:r>
      <w:r w:rsidRPr="000F512C">
        <w:rPr>
          <w:rFonts w:asciiTheme="minorHAnsi" w:hAnsiTheme="minorHAnsi"/>
          <w:b w:val="0"/>
          <w:bCs w:val="0"/>
          <w:sz w:val="24"/>
          <w:szCs w:val="24"/>
        </w:rPr>
        <w:t xml:space="preserve">traditional </w:t>
      </w:r>
      <w:r w:rsidR="00030B0E">
        <w:rPr>
          <w:rFonts w:asciiTheme="minorHAnsi" w:hAnsiTheme="minorHAnsi"/>
          <w:b w:val="0"/>
          <w:bCs w:val="0"/>
          <w:sz w:val="24"/>
          <w:szCs w:val="24"/>
        </w:rPr>
        <w:t xml:space="preserve">resource </w:t>
      </w:r>
      <w:r w:rsidRPr="000F512C">
        <w:rPr>
          <w:rFonts w:asciiTheme="minorHAnsi" w:hAnsiTheme="minorHAnsi"/>
          <w:b w:val="0"/>
          <w:bCs w:val="0"/>
          <w:sz w:val="24"/>
          <w:szCs w:val="24"/>
        </w:rPr>
        <w:t>partners through joint outreach activities.</w:t>
      </w:r>
    </w:p>
    <w:p w14:paraId="1A4F253D" w14:textId="13CECAEA" w:rsidR="00683E6F" w:rsidRDefault="00504F61">
      <w:pPr>
        <w:pStyle w:val="CEOParagraph1"/>
        <w:keepNext w:val="0"/>
        <w:numPr>
          <w:ilvl w:val="0"/>
          <w:numId w:val="0"/>
        </w:num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 xml:space="preserve">Timely and efficient implementation of partnership products (e.g., projects and sponsorships) </w:t>
      </w:r>
      <w:r>
        <w:rPr>
          <w:b w:val="0"/>
          <w:bCs w:val="0"/>
          <w:sz w:val="24"/>
          <w:szCs w:val="24"/>
        </w:rPr>
        <w:t xml:space="preserve">with </w:t>
      </w:r>
      <w:r w:rsidR="00683E6F" w:rsidRPr="00683E6F">
        <w:rPr>
          <w:b w:val="0"/>
          <w:bCs w:val="0"/>
          <w:sz w:val="24"/>
          <w:szCs w:val="24"/>
        </w:rPr>
        <w:t xml:space="preserve">quality </w:t>
      </w:r>
      <w:r>
        <w:rPr>
          <w:b w:val="0"/>
          <w:bCs w:val="0"/>
          <w:sz w:val="24"/>
          <w:szCs w:val="24"/>
        </w:rPr>
        <w:t xml:space="preserve">outcomes and </w:t>
      </w:r>
      <w:r w:rsidR="00683E6F" w:rsidRPr="00683E6F">
        <w:rPr>
          <w:b w:val="0"/>
          <w:bCs w:val="0"/>
          <w:sz w:val="24"/>
          <w:szCs w:val="24"/>
        </w:rPr>
        <w:t>communication</w:t>
      </w:r>
      <w:r>
        <w:rPr>
          <w:b w:val="0"/>
          <w:bCs w:val="0"/>
          <w:sz w:val="24"/>
          <w:szCs w:val="24"/>
        </w:rPr>
        <w:t xml:space="preserve">s is </w:t>
      </w:r>
      <w:r w:rsidR="00683E6F" w:rsidRPr="00683E6F">
        <w:rPr>
          <w:b w:val="0"/>
          <w:bCs w:val="0"/>
          <w:sz w:val="24"/>
          <w:szCs w:val="24"/>
        </w:rPr>
        <w:t xml:space="preserve">essential to gain </w:t>
      </w:r>
      <w:r w:rsidR="001B090F">
        <w:rPr>
          <w:b w:val="0"/>
          <w:bCs w:val="0"/>
          <w:sz w:val="24"/>
          <w:szCs w:val="24"/>
        </w:rPr>
        <w:t xml:space="preserve">the </w:t>
      </w:r>
      <w:r w:rsidR="00172546">
        <w:rPr>
          <w:b w:val="0"/>
          <w:bCs w:val="0"/>
          <w:sz w:val="24"/>
          <w:szCs w:val="24"/>
        </w:rPr>
        <w:t xml:space="preserve">trust, </w:t>
      </w:r>
      <w:r w:rsidR="00683E6F" w:rsidRPr="00683E6F">
        <w:rPr>
          <w:b w:val="0"/>
          <w:bCs w:val="0"/>
          <w:sz w:val="24"/>
          <w:szCs w:val="24"/>
        </w:rPr>
        <w:t xml:space="preserve">confidence </w:t>
      </w:r>
      <w:r w:rsidR="00172546">
        <w:rPr>
          <w:b w:val="0"/>
          <w:bCs w:val="0"/>
          <w:sz w:val="24"/>
          <w:szCs w:val="24"/>
        </w:rPr>
        <w:t xml:space="preserve">and satisfaction </w:t>
      </w:r>
      <w:r w:rsidR="00683E6F" w:rsidRPr="00683E6F">
        <w:rPr>
          <w:b w:val="0"/>
          <w:bCs w:val="0"/>
          <w:sz w:val="24"/>
          <w:szCs w:val="24"/>
        </w:rPr>
        <w:t>of the partner</w:t>
      </w:r>
      <w:r w:rsidR="00172546">
        <w:rPr>
          <w:b w:val="0"/>
          <w:bCs w:val="0"/>
          <w:sz w:val="24"/>
          <w:szCs w:val="24"/>
        </w:rPr>
        <w:t>(</w:t>
      </w:r>
      <w:r w:rsidR="00683E6F" w:rsidRPr="00683E6F">
        <w:rPr>
          <w:b w:val="0"/>
          <w:bCs w:val="0"/>
          <w:sz w:val="24"/>
          <w:szCs w:val="24"/>
        </w:rPr>
        <w:t>s</w:t>
      </w:r>
      <w:r w:rsidR="00172546">
        <w:rPr>
          <w:b w:val="0"/>
          <w:bCs w:val="0"/>
          <w:sz w:val="24"/>
          <w:szCs w:val="24"/>
        </w:rPr>
        <w:t>)</w:t>
      </w:r>
      <w:r w:rsidR="00B53DBD">
        <w:rPr>
          <w:b w:val="0"/>
          <w:bCs w:val="0"/>
          <w:sz w:val="24"/>
          <w:szCs w:val="24"/>
        </w:rPr>
        <w:t xml:space="preserve"> </w:t>
      </w:r>
      <w:r w:rsidR="00683E6F" w:rsidRPr="00683E6F">
        <w:rPr>
          <w:b w:val="0"/>
          <w:bCs w:val="0"/>
          <w:sz w:val="24"/>
          <w:szCs w:val="24"/>
        </w:rPr>
        <w:t>for</w:t>
      </w:r>
      <w:r w:rsidR="00B53DBD">
        <w:rPr>
          <w:b w:val="0"/>
          <w:bCs w:val="0"/>
          <w:sz w:val="24"/>
          <w:szCs w:val="24"/>
        </w:rPr>
        <w:t xml:space="preserve"> enhancing </w:t>
      </w:r>
      <w:r w:rsidR="00683E6F" w:rsidRPr="00683E6F">
        <w:rPr>
          <w:b w:val="0"/>
          <w:bCs w:val="0"/>
          <w:sz w:val="24"/>
          <w:szCs w:val="24"/>
        </w:rPr>
        <w:t xml:space="preserve">future </w:t>
      </w:r>
      <w:r w:rsidR="00172546">
        <w:rPr>
          <w:b w:val="0"/>
          <w:bCs w:val="0"/>
          <w:sz w:val="24"/>
          <w:szCs w:val="24"/>
        </w:rPr>
        <w:t>partnership</w:t>
      </w:r>
      <w:r w:rsidR="001B090F">
        <w:rPr>
          <w:b w:val="0"/>
          <w:bCs w:val="0"/>
          <w:sz w:val="24"/>
          <w:szCs w:val="24"/>
        </w:rPr>
        <w:t>s</w:t>
      </w:r>
      <w:r w:rsidR="00172546">
        <w:rPr>
          <w:b w:val="0"/>
          <w:bCs w:val="0"/>
          <w:sz w:val="24"/>
          <w:szCs w:val="24"/>
        </w:rPr>
        <w:t xml:space="preserve"> and mobilization of </w:t>
      </w:r>
      <w:r w:rsidR="00683E6F" w:rsidRPr="00683E6F">
        <w:rPr>
          <w:b w:val="0"/>
          <w:bCs w:val="0"/>
          <w:sz w:val="24"/>
          <w:szCs w:val="24"/>
        </w:rPr>
        <w:t>resource</w:t>
      </w:r>
      <w:r w:rsidR="00172546">
        <w:rPr>
          <w:b w:val="0"/>
          <w:bCs w:val="0"/>
          <w:sz w:val="24"/>
          <w:szCs w:val="24"/>
        </w:rPr>
        <w:t>s</w:t>
      </w:r>
      <w:r w:rsidR="00683E6F" w:rsidRPr="00683E6F">
        <w:rPr>
          <w:b w:val="0"/>
          <w:bCs w:val="0"/>
          <w:sz w:val="24"/>
          <w:szCs w:val="24"/>
        </w:rPr>
        <w:t>.</w:t>
      </w:r>
      <w:r w:rsidR="00683E6F">
        <w:rPr>
          <w:sz w:val="24"/>
          <w:szCs w:val="24"/>
        </w:rPr>
        <w:t xml:space="preserve"> </w:t>
      </w:r>
      <w:r w:rsidR="00186CAE" w:rsidRPr="00683E6F">
        <w:rPr>
          <w:rFonts w:asciiTheme="minorHAnsi" w:hAnsiTheme="minorHAnsi"/>
          <w:b w:val="0"/>
          <w:bCs w:val="0"/>
          <w:sz w:val="24"/>
          <w:szCs w:val="24"/>
        </w:rPr>
        <w:t xml:space="preserve">A good example is </w:t>
      </w:r>
      <w:r w:rsidR="00B53DBD">
        <w:rPr>
          <w:rFonts w:asciiTheme="minorHAnsi" w:hAnsiTheme="minorHAnsi"/>
          <w:b w:val="0"/>
          <w:bCs w:val="0"/>
          <w:sz w:val="24"/>
          <w:szCs w:val="24"/>
        </w:rPr>
        <w:t xml:space="preserve">the </w:t>
      </w:r>
      <w:r w:rsidR="00186CAE" w:rsidRPr="00683E6F">
        <w:rPr>
          <w:rFonts w:asciiTheme="minorHAnsi" w:hAnsiTheme="minorHAnsi"/>
          <w:b w:val="0"/>
          <w:bCs w:val="0"/>
          <w:sz w:val="24"/>
          <w:szCs w:val="24"/>
        </w:rPr>
        <w:t xml:space="preserve">partnership with the European Commission </w:t>
      </w:r>
      <w:r w:rsidR="00B53DBD">
        <w:rPr>
          <w:rFonts w:asciiTheme="minorHAnsi" w:hAnsiTheme="minorHAnsi"/>
          <w:b w:val="0"/>
          <w:bCs w:val="0"/>
          <w:sz w:val="24"/>
          <w:szCs w:val="24"/>
        </w:rPr>
        <w:t>relating to</w:t>
      </w:r>
      <w:r w:rsidR="00186CAE" w:rsidRPr="00683E6F">
        <w:rPr>
          <w:rFonts w:asciiTheme="minorHAnsi" w:hAnsiTheme="minorHAnsi"/>
          <w:b w:val="0"/>
          <w:bCs w:val="0"/>
          <w:sz w:val="24"/>
          <w:szCs w:val="24"/>
        </w:rPr>
        <w:t xml:space="preserve"> “Increasing wireless broadband penetration through improved and harmonized spectrum utilization and regulation in the African continent” for a total value of EUR 5.5 million</w:t>
      </w:r>
      <w:r w:rsidR="00B53DBD">
        <w:rPr>
          <w:rFonts w:asciiTheme="minorHAnsi" w:hAnsiTheme="minorHAnsi"/>
          <w:b w:val="0"/>
          <w:bCs w:val="0"/>
          <w:sz w:val="24"/>
          <w:szCs w:val="24"/>
        </w:rPr>
        <w:t>, which encourages to enhance partnership with African Union as well as team-work within ITU.</w:t>
      </w:r>
    </w:p>
    <w:p w14:paraId="12383E9A" w14:textId="26EC9B22" w:rsidR="0053343F" w:rsidRPr="00066E28" w:rsidRDefault="0053343F">
      <w:pPr>
        <w:pStyle w:val="CEOParagraph1"/>
        <w:keepNext w:val="0"/>
        <w:numPr>
          <w:ilvl w:val="0"/>
          <w:numId w:val="0"/>
        </w:num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Theme="minorHAnsi" w:hAnsiTheme="minorHAnsi" w:cs="Calibri"/>
          <w:b w:val="0"/>
          <w:bCs w:val="0"/>
          <w:iCs/>
          <w:sz w:val="24"/>
          <w:szCs w:val="24"/>
        </w:rPr>
      </w:pPr>
      <w:r>
        <w:rPr>
          <w:rFonts w:asciiTheme="minorHAnsi" w:hAnsiTheme="minorHAnsi" w:cs="Calibri"/>
          <w:b w:val="0"/>
          <w:bCs w:val="0"/>
          <w:iCs/>
          <w:sz w:val="24"/>
          <w:szCs w:val="24"/>
        </w:rPr>
        <w:t>Sponsorship packages for side</w:t>
      </w:r>
      <w:r w:rsidR="00B53DBD">
        <w:rPr>
          <w:rFonts w:asciiTheme="minorHAnsi" w:hAnsiTheme="minorHAnsi" w:cs="Calibri"/>
          <w:b w:val="0"/>
          <w:bCs w:val="0"/>
          <w:iCs/>
          <w:sz w:val="24"/>
          <w:szCs w:val="24"/>
        </w:rPr>
        <w:t>/</w:t>
      </w:r>
      <w:r>
        <w:rPr>
          <w:rFonts w:asciiTheme="minorHAnsi" w:hAnsiTheme="minorHAnsi" w:cs="Calibri"/>
          <w:b w:val="0"/>
          <w:bCs w:val="0"/>
          <w:iCs/>
          <w:sz w:val="24"/>
          <w:szCs w:val="24"/>
        </w:rPr>
        <w:t xml:space="preserve">social events </w:t>
      </w:r>
      <w:r w:rsidR="007F64B0">
        <w:rPr>
          <w:rFonts w:asciiTheme="minorHAnsi" w:hAnsiTheme="minorHAnsi" w:cs="Calibri"/>
          <w:b w:val="0"/>
          <w:bCs w:val="0"/>
          <w:iCs/>
          <w:sz w:val="24"/>
          <w:szCs w:val="24"/>
        </w:rPr>
        <w:t xml:space="preserve">on </w:t>
      </w:r>
      <w:r>
        <w:rPr>
          <w:rFonts w:asciiTheme="minorHAnsi" w:hAnsiTheme="minorHAnsi" w:cs="Calibri"/>
          <w:b w:val="0"/>
          <w:bCs w:val="0"/>
          <w:iCs/>
          <w:sz w:val="24"/>
          <w:szCs w:val="24"/>
        </w:rPr>
        <w:t>the occasion</w:t>
      </w:r>
      <w:r w:rsidR="00FB7DD2">
        <w:rPr>
          <w:rFonts w:asciiTheme="minorHAnsi" w:hAnsiTheme="minorHAnsi" w:cs="Calibri"/>
          <w:b w:val="0"/>
          <w:bCs w:val="0"/>
          <w:iCs/>
          <w:sz w:val="24"/>
          <w:szCs w:val="24"/>
        </w:rPr>
        <w:t xml:space="preserve"> of </w:t>
      </w:r>
      <w:r w:rsidR="007F64B0">
        <w:rPr>
          <w:rFonts w:asciiTheme="minorHAnsi" w:hAnsiTheme="minorHAnsi" w:cs="Calibri"/>
          <w:b w:val="0"/>
          <w:bCs w:val="0"/>
          <w:iCs/>
          <w:sz w:val="24"/>
          <w:szCs w:val="24"/>
        </w:rPr>
        <w:t>BDT-</w:t>
      </w:r>
      <w:r w:rsidR="00FB7DD2">
        <w:rPr>
          <w:rFonts w:asciiTheme="minorHAnsi" w:hAnsiTheme="minorHAnsi" w:cs="Calibri"/>
          <w:b w:val="0"/>
          <w:bCs w:val="0"/>
          <w:iCs/>
          <w:sz w:val="24"/>
          <w:szCs w:val="24"/>
        </w:rPr>
        <w:t>organized events</w:t>
      </w:r>
      <w:r w:rsidR="00B42EA5">
        <w:rPr>
          <w:rFonts w:asciiTheme="minorHAnsi" w:hAnsiTheme="minorHAnsi" w:cs="Calibri"/>
          <w:b w:val="0"/>
          <w:bCs w:val="0"/>
          <w:iCs/>
          <w:sz w:val="24"/>
          <w:szCs w:val="24"/>
        </w:rPr>
        <w:t xml:space="preserve"> (e.g.</w:t>
      </w:r>
      <w:r>
        <w:rPr>
          <w:rFonts w:asciiTheme="minorHAnsi" w:hAnsiTheme="minorHAnsi" w:cs="Calibri"/>
          <w:b w:val="0"/>
          <w:bCs w:val="0"/>
          <w:iCs/>
          <w:sz w:val="24"/>
          <w:szCs w:val="24"/>
        </w:rPr>
        <w:t xml:space="preserve"> </w:t>
      </w:r>
      <w:r w:rsidRPr="000A34A1">
        <w:rPr>
          <w:rFonts w:asciiTheme="minorHAnsi" w:hAnsiTheme="minorHAnsi"/>
          <w:b w:val="0"/>
          <w:bCs w:val="0"/>
          <w:sz w:val="24"/>
          <w:szCs w:val="24"/>
        </w:rPr>
        <w:t>G</w:t>
      </w:r>
      <w:r>
        <w:rPr>
          <w:rFonts w:asciiTheme="minorHAnsi" w:hAnsiTheme="minorHAnsi"/>
          <w:b w:val="0"/>
          <w:bCs w:val="0"/>
          <w:sz w:val="24"/>
          <w:szCs w:val="24"/>
        </w:rPr>
        <w:t>lobal Symposium for Regulators (G</w:t>
      </w:r>
      <w:r w:rsidRPr="000A34A1">
        <w:rPr>
          <w:rFonts w:asciiTheme="minorHAnsi" w:hAnsiTheme="minorHAnsi"/>
          <w:b w:val="0"/>
          <w:bCs w:val="0"/>
          <w:sz w:val="24"/>
          <w:szCs w:val="24"/>
        </w:rPr>
        <w:t>SR</w:t>
      </w:r>
      <w:r w:rsidRPr="000A34A1">
        <w:rPr>
          <w:rFonts w:asciiTheme="minorHAnsi" w:hAnsiTheme="minorHAnsi"/>
          <w:b w:val="0"/>
          <w:bCs w:val="0"/>
          <w:sz w:val="24"/>
          <w:szCs w:val="24"/>
        </w:rPr>
        <w:noBreakHyphen/>
        <w:t>1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8) and </w:t>
      </w:r>
      <w:r w:rsidRPr="0017143D">
        <w:rPr>
          <w:rFonts w:asciiTheme="minorHAnsi" w:hAnsiTheme="minorHAnsi"/>
          <w:b w:val="0"/>
          <w:bCs w:val="0"/>
          <w:sz w:val="24"/>
          <w:szCs w:val="24"/>
        </w:rPr>
        <w:t>ITU-D Study Group</w:t>
      </w:r>
      <w:r w:rsidR="00B53DBD">
        <w:rPr>
          <w:rFonts w:asciiTheme="minorHAnsi" w:hAnsiTheme="minorHAnsi"/>
          <w:b w:val="0"/>
          <w:bCs w:val="0"/>
          <w:sz w:val="24"/>
          <w:szCs w:val="24"/>
        </w:rPr>
        <w:t>s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(ITU-D RGM</w:t>
      </w:r>
      <w:r w:rsidR="00030B0E">
        <w:rPr>
          <w:rFonts w:asciiTheme="minorHAnsi" w:hAnsiTheme="minorHAnsi"/>
          <w:b w:val="0"/>
          <w:bCs w:val="0"/>
          <w:sz w:val="24"/>
          <w:szCs w:val="24"/>
        </w:rPr>
        <w:noBreakHyphen/>
      </w:r>
      <w:r>
        <w:rPr>
          <w:rFonts w:asciiTheme="minorHAnsi" w:hAnsiTheme="minorHAnsi"/>
          <w:b w:val="0"/>
          <w:bCs w:val="0"/>
          <w:sz w:val="24"/>
          <w:szCs w:val="24"/>
        </w:rPr>
        <w:t>18)</w:t>
      </w:r>
      <w:r w:rsidR="00B42EA5">
        <w:rPr>
          <w:rFonts w:asciiTheme="minorHAnsi" w:hAnsiTheme="minorHAnsi"/>
          <w:b w:val="0"/>
          <w:bCs w:val="0"/>
          <w:sz w:val="24"/>
          <w:szCs w:val="24"/>
        </w:rPr>
        <w:t>)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have been </w:t>
      </w:r>
      <w:r w:rsidR="00B42EA5">
        <w:rPr>
          <w:rFonts w:asciiTheme="minorHAnsi" w:hAnsiTheme="minorHAnsi"/>
          <w:b w:val="0"/>
          <w:bCs w:val="0"/>
          <w:sz w:val="24"/>
          <w:szCs w:val="24"/>
        </w:rPr>
        <w:t xml:space="preserve">proposed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on the </w:t>
      </w:r>
      <w:hyperlink r:id="rId17" w:history="1">
        <w:r w:rsidRPr="002F2E06">
          <w:rPr>
            <w:rStyle w:val="Hyperlink"/>
            <w:rFonts w:asciiTheme="minorHAnsi" w:hAnsiTheme="minorHAnsi" w:cs="Calibri"/>
            <w:b w:val="0"/>
            <w:bCs w:val="0"/>
            <w:i/>
            <w:iCs/>
            <w:sz w:val="24"/>
            <w:szCs w:val="24"/>
          </w:rPr>
          <w:t>sponsorship opportunities platform</w:t>
        </w:r>
      </w:hyperlink>
      <w:r w:rsidR="00B42EA5">
        <w:rPr>
          <w:rFonts w:asciiTheme="minorHAnsi" w:hAnsiTheme="minorHAnsi"/>
          <w:b w:val="0"/>
          <w:bCs w:val="0"/>
          <w:sz w:val="24"/>
          <w:szCs w:val="24"/>
        </w:rPr>
        <w:t>. R</w:t>
      </w:r>
      <w:r w:rsidRPr="000A34A1">
        <w:rPr>
          <w:rFonts w:asciiTheme="minorHAnsi" w:hAnsiTheme="minorHAnsi"/>
          <w:b w:val="0"/>
          <w:bCs w:val="0"/>
          <w:sz w:val="24"/>
          <w:szCs w:val="24"/>
        </w:rPr>
        <w:t xml:space="preserve">esources mobilized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are being </w:t>
      </w:r>
      <w:r w:rsidRPr="000A34A1">
        <w:rPr>
          <w:rFonts w:asciiTheme="minorHAnsi" w:hAnsiTheme="minorHAnsi"/>
          <w:b w:val="0"/>
          <w:bCs w:val="0"/>
          <w:sz w:val="24"/>
          <w:szCs w:val="24"/>
        </w:rPr>
        <w:t xml:space="preserve">used to organize sponsored activities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and related visibility benefits </w:t>
      </w:r>
      <w:r w:rsidRPr="000A34A1">
        <w:rPr>
          <w:rFonts w:asciiTheme="minorHAnsi" w:hAnsiTheme="minorHAnsi"/>
          <w:b w:val="0"/>
          <w:bCs w:val="0"/>
          <w:sz w:val="24"/>
          <w:szCs w:val="24"/>
        </w:rPr>
        <w:t>as well as to serve as seed-fund</w:t>
      </w:r>
      <w:r w:rsidR="00030B0E">
        <w:rPr>
          <w:rFonts w:asciiTheme="minorHAnsi" w:hAnsiTheme="minorHAnsi"/>
          <w:b w:val="0"/>
          <w:bCs w:val="0"/>
          <w:sz w:val="24"/>
          <w:szCs w:val="24"/>
        </w:rPr>
        <w:t>s</w:t>
      </w:r>
      <w:r w:rsidRPr="000A34A1">
        <w:rPr>
          <w:rFonts w:asciiTheme="minorHAnsi" w:hAnsiTheme="minorHAnsi"/>
          <w:b w:val="0"/>
          <w:bCs w:val="0"/>
          <w:sz w:val="24"/>
          <w:szCs w:val="24"/>
        </w:rPr>
        <w:t xml:space="preserve"> for the implementation of activities, projects and initiatives, including the Regional Initiatives</w:t>
      </w:r>
      <w:r w:rsidR="00B53DBD">
        <w:rPr>
          <w:rFonts w:asciiTheme="minorHAnsi" w:hAnsiTheme="minorHAnsi"/>
          <w:b w:val="0"/>
          <w:bCs w:val="0"/>
          <w:sz w:val="24"/>
          <w:szCs w:val="24"/>
        </w:rPr>
        <w:t>, and possibly fellowship</w:t>
      </w:r>
      <w:r w:rsidRPr="000A34A1">
        <w:rPr>
          <w:rFonts w:asciiTheme="minorHAnsi" w:hAnsiTheme="minorHAnsi"/>
          <w:b w:val="0"/>
          <w:bCs w:val="0"/>
          <w:sz w:val="24"/>
          <w:szCs w:val="24"/>
        </w:rPr>
        <w:t>.</w:t>
      </w:r>
    </w:p>
    <w:p w14:paraId="2C49E3D1" w14:textId="717A54B6" w:rsidR="002C127B" w:rsidRPr="003E6492" w:rsidRDefault="002C127B" w:rsidP="003F63FD">
      <w:pPr>
        <w:pStyle w:val="BDTcontributionH1"/>
        <w:keepLines w:val="0"/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3E6492">
        <w:rPr>
          <w:rFonts w:asciiTheme="minorHAnsi" w:hAnsiTheme="minorHAnsi" w:cs="Calibri"/>
          <w:sz w:val="24"/>
          <w:szCs w:val="24"/>
          <w:lang w:val="en-US"/>
        </w:rPr>
        <w:t>Internal actions and outcomes</w:t>
      </w:r>
    </w:p>
    <w:p w14:paraId="0908EEE9" w14:textId="1EF9F214" w:rsidR="00143033" w:rsidRDefault="002C127B">
      <w:pPr>
        <w:pStyle w:val="CEOParagraph1"/>
        <w:keepNext w:val="0"/>
        <w:numPr>
          <w:ilvl w:val="0"/>
          <w:numId w:val="0"/>
        </w:num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 xml:space="preserve">Partnership and resource mobilization is </w:t>
      </w:r>
      <w:r w:rsidR="00DD13A4">
        <w:rPr>
          <w:rFonts w:asciiTheme="minorHAnsi" w:hAnsiTheme="minorHAnsi"/>
          <w:b w:val="0"/>
          <w:bCs w:val="0"/>
          <w:sz w:val="24"/>
          <w:szCs w:val="24"/>
        </w:rPr>
        <w:t xml:space="preserve">recognized </w:t>
      </w:r>
      <w:r w:rsidR="00C952E6">
        <w:rPr>
          <w:rFonts w:asciiTheme="minorHAnsi" w:hAnsiTheme="minorHAnsi"/>
          <w:b w:val="0"/>
          <w:bCs w:val="0"/>
          <w:sz w:val="24"/>
          <w:szCs w:val="24"/>
        </w:rPr>
        <w:t xml:space="preserve">by BDT as a common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responsibility. </w:t>
      </w:r>
      <w:proofErr w:type="gramStart"/>
      <w:r w:rsidR="00765B6F">
        <w:rPr>
          <w:rFonts w:asciiTheme="minorHAnsi" w:hAnsiTheme="minorHAnsi"/>
          <w:b w:val="0"/>
          <w:bCs w:val="0"/>
          <w:sz w:val="24"/>
          <w:szCs w:val="24"/>
        </w:rPr>
        <w:t xml:space="preserve">A </w:t>
      </w:r>
      <w:r w:rsidR="005D34A6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C952E6">
        <w:rPr>
          <w:rFonts w:asciiTheme="minorHAnsi" w:hAnsiTheme="minorHAnsi"/>
          <w:b w:val="0"/>
          <w:bCs w:val="0"/>
          <w:sz w:val="24"/>
          <w:szCs w:val="24"/>
        </w:rPr>
        <w:t>session</w:t>
      </w:r>
      <w:proofErr w:type="gramEnd"/>
      <w:r w:rsidR="00C952E6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7F64B0">
        <w:rPr>
          <w:rFonts w:asciiTheme="minorHAnsi" w:hAnsiTheme="minorHAnsi"/>
          <w:b w:val="0"/>
          <w:bCs w:val="0"/>
          <w:sz w:val="24"/>
          <w:szCs w:val="24"/>
        </w:rPr>
        <w:t>was</w:t>
      </w:r>
      <w:r w:rsidR="00C952E6">
        <w:rPr>
          <w:rFonts w:asciiTheme="minorHAnsi" w:hAnsiTheme="minorHAnsi"/>
          <w:b w:val="0"/>
          <w:bCs w:val="0"/>
          <w:sz w:val="24"/>
          <w:szCs w:val="24"/>
        </w:rPr>
        <w:t xml:space="preserve"> dedicated to resource mobilization </w:t>
      </w:r>
      <w:r w:rsidR="00B42EA5">
        <w:rPr>
          <w:rFonts w:asciiTheme="minorHAnsi" w:hAnsiTheme="minorHAnsi"/>
          <w:b w:val="0"/>
          <w:bCs w:val="0"/>
          <w:sz w:val="24"/>
          <w:szCs w:val="24"/>
        </w:rPr>
        <w:t xml:space="preserve">during </w:t>
      </w:r>
      <w:r w:rsidR="00C952E6">
        <w:rPr>
          <w:rFonts w:asciiTheme="minorHAnsi" w:hAnsiTheme="minorHAnsi"/>
          <w:b w:val="0"/>
          <w:bCs w:val="0"/>
          <w:sz w:val="24"/>
          <w:szCs w:val="24"/>
        </w:rPr>
        <w:t xml:space="preserve">the </w:t>
      </w:r>
      <w:r w:rsidR="00030B0E">
        <w:rPr>
          <w:rFonts w:asciiTheme="minorHAnsi" w:hAnsiTheme="minorHAnsi"/>
          <w:b w:val="0"/>
          <w:bCs w:val="0"/>
          <w:sz w:val="24"/>
          <w:szCs w:val="24"/>
        </w:rPr>
        <w:t xml:space="preserve">BDT management retreat </w:t>
      </w:r>
      <w:r w:rsidR="00C952E6">
        <w:rPr>
          <w:rFonts w:asciiTheme="minorHAnsi" w:hAnsiTheme="minorHAnsi"/>
          <w:b w:val="0"/>
          <w:bCs w:val="0"/>
          <w:sz w:val="24"/>
          <w:szCs w:val="24"/>
        </w:rPr>
        <w:t xml:space="preserve">in order for staff to share </w:t>
      </w:r>
      <w:r w:rsidR="007F64B0">
        <w:rPr>
          <w:rFonts w:asciiTheme="minorHAnsi" w:hAnsiTheme="minorHAnsi"/>
          <w:b w:val="0"/>
          <w:bCs w:val="0"/>
          <w:sz w:val="24"/>
          <w:szCs w:val="24"/>
        </w:rPr>
        <w:t xml:space="preserve">their </w:t>
      </w:r>
      <w:r w:rsidR="00C952E6">
        <w:rPr>
          <w:rFonts w:asciiTheme="minorHAnsi" w:hAnsiTheme="minorHAnsi"/>
          <w:b w:val="0"/>
          <w:bCs w:val="0"/>
          <w:sz w:val="24"/>
          <w:szCs w:val="24"/>
        </w:rPr>
        <w:t>experience and discuss challenges and opportunities</w:t>
      </w:r>
      <w:r w:rsidR="0053343F">
        <w:rPr>
          <w:rFonts w:asciiTheme="minorHAnsi" w:hAnsiTheme="minorHAnsi"/>
          <w:b w:val="0"/>
          <w:bCs w:val="0"/>
          <w:sz w:val="24"/>
          <w:szCs w:val="24"/>
        </w:rPr>
        <w:t>.</w:t>
      </w:r>
      <w:r w:rsidR="00143033">
        <w:rPr>
          <w:rFonts w:asciiTheme="minorHAnsi" w:hAnsiTheme="minorHAnsi"/>
          <w:b w:val="0"/>
          <w:bCs w:val="0"/>
          <w:sz w:val="24"/>
          <w:szCs w:val="24"/>
        </w:rPr>
        <w:t xml:space="preserve"> As a result</w:t>
      </w:r>
      <w:r w:rsidR="005D34A6">
        <w:rPr>
          <w:rFonts w:asciiTheme="minorHAnsi" w:hAnsiTheme="minorHAnsi"/>
          <w:b w:val="0"/>
          <w:bCs w:val="0"/>
          <w:sz w:val="24"/>
          <w:szCs w:val="24"/>
        </w:rPr>
        <w:t>,</w:t>
      </w:r>
      <w:r w:rsidR="00143033">
        <w:rPr>
          <w:rFonts w:asciiTheme="minorHAnsi" w:hAnsiTheme="minorHAnsi"/>
          <w:b w:val="0"/>
          <w:bCs w:val="0"/>
          <w:sz w:val="24"/>
          <w:szCs w:val="24"/>
        </w:rPr>
        <w:t xml:space="preserve"> a roadmap was developed with the following ten priority actions to strengthen resource mobilization:</w:t>
      </w:r>
    </w:p>
    <w:p w14:paraId="16C2FA5B" w14:textId="3E1847BC" w:rsidR="00143033" w:rsidRDefault="00143033" w:rsidP="00BA1A88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/>
        <w:ind w:left="567" w:hanging="567"/>
        <w:textAlignment w:val="auto"/>
      </w:pPr>
      <w:r>
        <w:rPr>
          <w:lang w:val="en-US"/>
        </w:rPr>
        <w:t xml:space="preserve">Resource </w:t>
      </w:r>
      <w:r w:rsidR="005D34A6">
        <w:rPr>
          <w:lang w:val="en-US"/>
        </w:rPr>
        <w:t>m</w:t>
      </w:r>
      <w:r>
        <w:rPr>
          <w:lang w:val="en-US"/>
        </w:rPr>
        <w:t>obilization strategy</w:t>
      </w:r>
      <w:r w:rsidR="001B090F">
        <w:rPr>
          <w:lang w:val="en-US"/>
        </w:rPr>
        <w:t>;</w:t>
      </w:r>
    </w:p>
    <w:p w14:paraId="510B4322" w14:textId="4484D46F" w:rsidR="00143033" w:rsidRDefault="00143033" w:rsidP="00BA1A88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/>
        <w:ind w:left="567" w:hanging="567"/>
        <w:textAlignment w:val="auto"/>
      </w:pPr>
      <w:r>
        <w:rPr>
          <w:lang w:val="en-US"/>
        </w:rPr>
        <w:t>Packaged communication with a human touch</w:t>
      </w:r>
      <w:r w:rsidR="001B090F">
        <w:rPr>
          <w:lang w:val="en-US"/>
        </w:rPr>
        <w:t>;</w:t>
      </w:r>
    </w:p>
    <w:p w14:paraId="381B5388" w14:textId="36D677B2" w:rsidR="00143033" w:rsidRDefault="00143033" w:rsidP="00BA1A88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/>
        <w:ind w:left="567" w:hanging="567"/>
        <w:textAlignment w:val="auto"/>
      </w:pPr>
      <w:r>
        <w:rPr>
          <w:lang w:val="en-US"/>
        </w:rPr>
        <w:t>Criteria for engagement with high value resource partners</w:t>
      </w:r>
      <w:r w:rsidR="001B090F">
        <w:rPr>
          <w:lang w:val="en-US"/>
        </w:rPr>
        <w:t>;</w:t>
      </w:r>
    </w:p>
    <w:p w14:paraId="0B605CA1" w14:textId="5CBACB8B" w:rsidR="00143033" w:rsidRDefault="00143033" w:rsidP="00BA1A88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/>
        <w:ind w:left="567" w:hanging="567"/>
        <w:textAlignment w:val="auto"/>
      </w:pPr>
      <w:r>
        <w:rPr>
          <w:lang w:val="en-US"/>
        </w:rPr>
        <w:t>Market research reports on focus areas to raise awareness and improve consideration by resource partners</w:t>
      </w:r>
      <w:r w:rsidR="001B090F">
        <w:rPr>
          <w:lang w:val="en-US"/>
        </w:rPr>
        <w:t>;</w:t>
      </w:r>
    </w:p>
    <w:p w14:paraId="0ACE4643" w14:textId="783C9776" w:rsidR="00143033" w:rsidRDefault="00143033" w:rsidP="00BA1A88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/>
        <w:ind w:left="567" w:hanging="567"/>
        <w:textAlignment w:val="auto"/>
      </w:pPr>
      <w:r>
        <w:rPr>
          <w:lang w:val="en-US"/>
        </w:rPr>
        <w:t>Large scale transformative initiatives for focus areas</w:t>
      </w:r>
      <w:r w:rsidR="005D34A6">
        <w:rPr>
          <w:lang w:val="en-US"/>
        </w:rPr>
        <w:t xml:space="preserve"> </w:t>
      </w:r>
      <w:r w:rsidRPr="007F2395">
        <w:rPr>
          <w:lang w:val="en-US"/>
        </w:rPr>
        <w:t>champion</w:t>
      </w:r>
      <w:r w:rsidR="00AE612E" w:rsidRPr="007F2395">
        <w:rPr>
          <w:lang w:val="en-US"/>
        </w:rPr>
        <w:t>ed</w:t>
      </w:r>
      <w:r w:rsidRPr="007F2395">
        <w:rPr>
          <w:lang w:val="en-US"/>
        </w:rPr>
        <w:t xml:space="preserve"> by </w:t>
      </w:r>
      <w:r w:rsidR="00444C8D" w:rsidRPr="007F2395">
        <w:rPr>
          <w:lang w:val="en-US"/>
        </w:rPr>
        <w:t>ITU/BDT management</w:t>
      </w:r>
      <w:r w:rsidR="001B090F" w:rsidRPr="007F2395">
        <w:rPr>
          <w:lang w:val="en-US"/>
        </w:rPr>
        <w:t>;</w:t>
      </w:r>
    </w:p>
    <w:p w14:paraId="266A2D8A" w14:textId="478B705E" w:rsidR="00143033" w:rsidRDefault="00143033" w:rsidP="00BA1A88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/>
        <w:ind w:left="567" w:hanging="567"/>
        <w:textAlignment w:val="auto"/>
      </w:pPr>
      <w:r>
        <w:rPr>
          <w:lang w:val="en-US"/>
        </w:rPr>
        <w:t>Development of flexible mechanisms to partner</w:t>
      </w:r>
      <w:r w:rsidR="001B090F">
        <w:rPr>
          <w:lang w:val="en-US"/>
        </w:rPr>
        <w:t>;</w:t>
      </w:r>
    </w:p>
    <w:p w14:paraId="5261DF9F" w14:textId="24695E83" w:rsidR="00143033" w:rsidRDefault="00143033" w:rsidP="00BA1A88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/>
        <w:ind w:left="567" w:hanging="567"/>
        <w:textAlignment w:val="auto"/>
      </w:pPr>
      <w:r>
        <w:rPr>
          <w:lang w:val="en-US"/>
        </w:rPr>
        <w:t>Training for staff</w:t>
      </w:r>
      <w:r w:rsidR="001B090F">
        <w:rPr>
          <w:lang w:val="en-US"/>
        </w:rPr>
        <w:t>;</w:t>
      </w:r>
    </w:p>
    <w:p w14:paraId="0FCCC476" w14:textId="20FD5E69" w:rsidR="00143033" w:rsidRDefault="005D34A6" w:rsidP="00BA1A88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/>
        <w:ind w:left="567" w:hanging="567"/>
        <w:textAlignment w:val="auto"/>
      </w:pPr>
      <w:r>
        <w:rPr>
          <w:lang w:val="en-US"/>
        </w:rPr>
        <w:t>T</w:t>
      </w:r>
      <w:r w:rsidR="00143033">
        <w:rPr>
          <w:lang w:val="en-US"/>
        </w:rPr>
        <w:t xml:space="preserve">ool for business owners with </w:t>
      </w:r>
      <w:r>
        <w:rPr>
          <w:lang w:val="en-US"/>
        </w:rPr>
        <w:t>critical</w:t>
      </w:r>
      <w:r w:rsidR="00143033">
        <w:rPr>
          <w:lang w:val="en-US"/>
        </w:rPr>
        <w:t xml:space="preserve"> information on key areas of interest and all resource partners</w:t>
      </w:r>
      <w:r w:rsidR="001B090F">
        <w:rPr>
          <w:lang w:val="en-US"/>
        </w:rPr>
        <w:t>;</w:t>
      </w:r>
    </w:p>
    <w:p w14:paraId="3D999359" w14:textId="468F4C2E" w:rsidR="00143033" w:rsidRPr="00B57D99" w:rsidRDefault="00143033" w:rsidP="00BA1A88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/>
        <w:ind w:left="567" w:hanging="567"/>
        <w:textAlignment w:val="auto"/>
      </w:pPr>
      <w:r>
        <w:rPr>
          <w:lang w:val="en-US"/>
        </w:rPr>
        <w:t xml:space="preserve">Use of an appropriate tool for resource mobilization management including clear reporting and </w:t>
      </w:r>
      <w:r w:rsidRPr="00B57D99">
        <w:rPr>
          <w:lang w:val="en-US"/>
        </w:rPr>
        <w:t>target KPI for business owners</w:t>
      </w:r>
      <w:r w:rsidR="001B090F">
        <w:rPr>
          <w:lang w:val="en-US"/>
        </w:rPr>
        <w:t>; and</w:t>
      </w:r>
    </w:p>
    <w:p w14:paraId="47B684D0" w14:textId="77777777" w:rsidR="00143033" w:rsidRPr="00B57D99" w:rsidRDefault="00143033" w:rsidP="00BA1A88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/>
        <w:ind w:left="567" w:hanging="567"/>
        <w:textAlignment w:val="auto"/>
      </w:pPr>
      <w:r w:rsidRPr="00B57D99">
        <w:rPr>
          <w:lang w:val="en-US"/>
        </w:rPr>
        <w:t>Leverage existing platforms to reinforce and nurture partnership.</w:t>
      </w:r>
    </w:p>
    <w:p w14:paraId="5E849151" w14:textId="2F916796" w:rsidR="0033664C" w:rsidRPr="00756D48" w:rsidRDefault="00B57D99">
      <w:pPr>
        <w:rPr>
          <w:b/>
          <w:bCs/>
          <w:szCs w:val="24"/>
        </w:rPr>
      </w:pPr>
      <w:r w:rsidRPr="00756D48">
        <w:rPr>
          <w:szCs w:val="24"/>
        </w:rPr>
        <w:lastRenderedPageBreak/>
        <w:t xml:space="preserve">To implement the above, </w:t>
      </w:r>
      <w:r w:rsidR="00AE612E">
        <w:rPr>
          <w:szCs w:val="24"/>
        </w:rPr>
        <w:t>the following</w:t>
      </w:r>
      <w:r w:rsidR="00B53DBD">
        <w:rPr>
          <w:szCs w:val="24"/>
        </w:rPr>
        <w:t>s</w:t>
      </w:r>
      <w:r w:rsidR="00AE612E">
        <w:rPr>
          <w:szCs w:val="24"/>
        </w:rPr>
        <w:t xml:space="preserve"> were </w:t>
      </w:r>
      <w:r w:rsidR="00B53DBD">
        <w:rPr>
          <w:szCs w:val="24"/>
        </w:rPr>
        <w:t>implemented</w:t>
      </w:r>
      <w:r w:rsidR="00AE612E">
        <w:rPr>
          <w:szCs w:val="24"/>
        </w:rPr>
        <w:t xml:space="preserve">: </w:t>
      </w:r>
      <w:r w:rsidRPr="00756D48">
        <w:rPr>
          <w:szCs w:val="24"/>
        </w:rPr>
        <w:t>a</w:t>
      </w:r>
      <w:r w:rsidR="00143033" w:rsidRPr="00756D48">
        <w:rPr>
          <w:szCs w:val="24"/>
        </w:rPr>
        <w:t xml:space="preserve"> t</w:t>
      </w:r>
      <w:r w:rsidR="002C127B" w:rsidRPr="00756D48">
        <w:rPr>
          <w:szCs w:val="24"/>
        </w:rPr>
        <w:t xml:space="preserve">raining on resource mobilization </w:t>
      </w:r>
      <w:r w:rsidR="00A33398" w:rsidRPr="00756D48">
        <w:rPr>
          <w:szCs w:val="24"/>
        </w:rPr>
        <w:t>was</w:t>
      </w:r>
      <w:r w:rsidR="002C127B" w:rsidRPr="00756D48">
        <w:rPr>
          <w:szCs w:val="24"/>
        </w:rPr>
        <w:t xml:space="preserve"> provided to P</w:t>
      </w:r>
      <w:r w:rsidR="00F664E4" w:rsidRPr="00756D48">
        <w:rPr>
          <w:szCs w:val="24"/>
        </w:rPr>
        <w:t>2</w:t>
      </w:r>
      <w:r w:rsidR="002C127B" w:rsidRPr="00756D48">
        <w:rPr>
          <w:szCs w:val="24"/>
        </w:rPr>
        <w:t xml:space="preserve"> and P</w:t>
      </w:r>
      <w:r w:rsidR="00F664E4" w:rsidRPr="00756D48">
        <w:rPr>
          <w:szCs w:val="24"/>
        </w:rPr>
        <w:t>3</w:t>
      </w:r>
      <w:r w:rsidR="002C127B" w:rsidRPr="00756D48">
        <w:rPr>
          <w:szCs w:val="24"/>
        </w:rPr>
        <w:t xml:space="preserve"> level staff from the field</w:t>
      </w:r>
      <w:r w:rsidR="00143033" w:rsidRPr="00756D48">
        <w:rPr>
          <w:szCs w:val="24"/>
        </w:rPr>
        <w:t xml:space="preserve"> in July 2018</w:t>
      </w:r>
      <w:r w:rsidRPr="00756D48">
        <w:rPr>
          <w:szCs w:val="24"/>
        </w:rPr>
        <w:t>, roadshows</w:t>
      </w:r>
      <w:r w:rsidR="00756D48">
        <w:rPr>
          <w:szCs w:val="24"/>
        </w:rPr>
        <w:t>/strategic missions</w:t>
      </w:r>
      <w:r w:rsidRPr="00756D48">
        <w:rPr>
          <w:szCs w:val="24"/>
        </w:rPr>
        <w:t xml:space="preserve"> in the America</w:t>
      </w:r>
      <w:r w:rsidR="00756D48">
        <w:rPr>
          <w:szCs w:val="24"/>
        </w:rPr>
        <w:t>s</w:t>
      </w:r>
      <w:r w:rsidRPr="00756D48">
        <w:rPr>
          <w:szCs w:val="24"/>
        </w:rPr>
        <w:t xml:space="preserve"> (USA) and </w:t>
      </w:r>
      <w:r w:rsidR="00756D48">
        <w:rPr>
          <w:szCs w:val="24"/>
        </w:rPr>
        <w:t>in</w:t>
      </w:r>
      <w:r w:rsidRPr="00756D48">
        <w:rPr>
          <w:szCs w:val="24"/>
        </w:rPr>
        <w:t xml:space="preserve"> </w:t>
      </w:r>
      <w:r w:rsidR="00B53DBD">
        <w:rPr>
          <w:szCs w:val="24"/>
        </w:rPr>
        <w:t xml:space="preserve">the </w:t>
      </w:r>
      <w:r w:rsidRPr="00756D48">
        <w:rPr>
          <w:szCs w:val="24"/>
        </w:rPr>
        <w:t>Asia-Pacific (Philippine</w:t>
      </w:r>
      <w:r w:rsidR="00756D48">
        <w:rPr>
          <w:szCs w:val="24"/>
        </w:rPr>
        <w:t>s</w:t>
      </w:r>
      <w:r w:rsidRPr="00756D48">
        <w:rPr>
          <w:szCs w:val="24"/>
        </w:rPr>
        <w:t>)</w:t>
      </w:r>
      <w:r w:rsidR="00AE612E">
        <w:rPr>
          <w:szCs w:val="24"/>
        </w:rPr>
        <w:t>,</w:t>
      </w:r>
      <w:r w:rsidRPr="00756D48">
        <w:rPr>
          <w:szCs w:val="24"/>
        </w:rPr>
        <w:t xml:space="preserve"> as well as numerous </w:t>
      </w:r>
      <w:r w:rsidR="00B53DBD">
        <w:rPr>
          <w:szCs w:val="24"/>
        </w:rPr>
        <w:t>outreach actions w</w:t>
      </w:r>
      <w:r w:rsidRPr="00756D48">
        <w:rPr>
          <w:szCs w:val="24"/>
        </w:rPr>
        <w:t>ith existing and potential partners</w:t>
      </w:r>
      <w:r w:rsidR="00756D48">
        <w:rPr>
          <w:szCs w:val="24"/>
        </w:rPr>
        <w:t>, bi-/multi-</w:t>
      </w:r>
      <w:r w:rsidR="00AE612E">
        <w:rPr>
          <w:szCs w:val="24"/>
        </w:rPr>
        <w:t>lateral</w:t>
      </w:r>
      <w:r w:rsidR="00756D48">
        <w:rPr>
          <w:szCs w:val="24"/>
        </w:rPr>
        <w:t xml:space="preserve"> agencies and finance institutions </w:t>
      </w:r>
      <w:r w:rsidRPr="00756D48">
        <w:rPr>
          <w:szCs w:val="24"/>
        </w:rPr>
        <w:t>(e.g., OFID, AFD, ADA</w:t>
      </w:r>
      <w:r w:rsidR="000431A5">
        <w:rPr>
          <w:szCs w:val="24"/>
        </w:rPr>
        <w:t xml:space="preserve">, </w:t>
      </w:r>
      <w:r w:rsidR="00756D48">
        <w:rPr>
          <w:szCs w:val="24"/>
        </w:rPr>
        <w:t xml:space="preserve">EC, World Bank, IFC, Asian Development Bank, </w:t>
      </w:r>
      <w:r w:rsidR="000431A5">
        <w:rPr>
          <w:szCs w:val="24"/>
        </w:rPr>
        <w:t xml:space="preserve">Islamic </w:t>
      </w:r>
      <w:r w:rsidR="00756D48">
        <w:rPr>
          <w:szCs w:val="24"/>
        </w:rPr>
        <w:t xml:space="preserve">Development </w:t>
      </w:r>
      <w:r w:rsidR="000431A5">
        <w:rPr>
          <w:szCs w:val="24"/>
        </w:rPr>
        <w:t>Bank</w:t>
      </w:r>
      <w:r w:rsidR="004C439C">
        <w:rPr>
          <w:szCs w:val="24"/>
        </w:rPr>
        <w:t xml:space="preserve"> etc.</w:t>
      </w:r>
      <w:r w:rsidRPr="00756D48">
        <w:rPr>
          <w:szCs w:val="24"/>
        </w:rPr>
        <w:t xml:space="preserve">), </w:t>
      </w:r>
      <w:r w:rsidR="000431A5">
        <w:rPr>
          <w:szCs w:val="24"/>
        </w:rPr>
        <w:t xml:space="preserve">UN </w:t>
      </w:r>
      <w:r w:rsidRPr="00756D48">
        <w:rPr>
          <w:szCs w:val="24"/>
        </w:rPr>
        <w:t>agencies</w:t>
      </w:r>
      <w:r w:rsidR="000431A5">
        <w:rPr>
          <w:szCs w:val="24"/>
        </w:rPr>
        <w:t xml:space="preserve"> (e.g., UNIDO, WHO, UNDP, </w:t>
      </w:r>
      <w:r w:rsidR="000431A5" w:rsidRPr="00054B21">
        <w:rPr>
          <w:rFonts w:ascii="Calibri" w:eastAsiaTheme="minorHAnsi" w:hAnsi="Calibri"/>
          <w:szCs w:val="24"/>
          <w:lang w:val="en-US"/>
        </w:rPr>
        <w:t>UNOP</w:t>
      </w:r>
      <w:r w:rsidR="000431A5">
        <w:rPr>
          <w:szCs w:val="24"/>
        </w:rPr>
        <w:t xml:space="preserve">, </w:t>
      </w:r>
      <w:r w:rsidR="00756D48">
        <w:rPr>
          <w:szCs w:val="24"/>
        </w:rPr>
        <w:t>UNFPA, UNCERF</w:t>
      </w:r>
      <w:r w:rsidR="000431A5">
        <w:rPr>
          <w:szCs w:val="24"/>
        </w:rPr>
        <w:t>, UNDESA</w:t>
      </w:r>
      <w:r w:rsidR="004C439C">
        <w:rPr>
          <w:szCs w:val="24"/>
        </w:rPr>
        <w:t xml:space="preserve"> etc.</w:t>
      </w:r>
      <w:r w:rsidR="000431A5">
        <w:rPr>
          <w:szCs w:val="24"/>
        </w:rPr>
        <w:t xml:space="preserve">) </w:t>
      </w:r>
      <w:r w:rsidRPr="00756D48">
        <w:rPr>
          <w:szCs w:val="24"/>
        </w:rPr>
        <w:t>and foundations</w:t>
      </w:r>
      <w:r w:rsidR="004A0874" w:rsidRPr="00756D48">
        <w:rPr>
          <w:szCs w:val="24"/>
        </w:rPr>
        <w:t xml:space="preserve"> </w:t>
      </w:r>
      <w:r w:rsidRPr="00756D48">
        <w:rPr>
          <w:szCs w:val="24"/>
        </w:rPr>
        <w:t>(e.g., Clinton Foundation, UN</w:t>
      </w:r>
      <w:r w:rsidR="00756D48">
        <w:rPr>
          <w:szCs w:val="24"/>
        </w:rPr>
        <w:t> </w:t>
      </w:r>
      <w:r w:rsidRPr="00756D48">
        <w:rPr>
          <w:szCs w:val="24"/>
        </w:rPr>
        <w:t xml:space="preserve">Foundation, </w:t>
      </w:r>
      <w:r w:rsidR="00756D48">
        <w:rPr>
          <w:szCs w:val="24"/>
        </w:rPr>
        <w:t xml:space="preserve">Citi Foundation, </w:t>
      </w:r>
      <w:r w:rsidRPr="00756D48">
        <w:rPr>
          <w:szCs w:val="24"/>
        </w:rPr>
        <w:t xml:space="preserve">Telefonica Foundation, </w:t>
      </w:r>
      <w:proofErr w:type="spellStart"/>
      <w:r w:rsidRPr="00BA1A88">
        <w:t>ProFuturo</w:t>
      </w:r>
      <w:proofErr w:type="spellEnd"/>
      <w:r w:rsidRPr="00BA1A88">
        <w:t xml:space="preserve"> Foundation</w:t>
      </w:r>
      <w:r w:rsidR="004C439C">
        <w:t xml:space="preserve"> etc.</w:t>
      </w:r>
      <w:r w:rsidRPr="00756D48">
        <w:rPr>
          <w:szCs w:val="24"/>
        </w:rPr>
        <w:t>)</w:t>
      </w:r>
      <w:r w:rsidR="00AE612E">
        <w:rPr>
          <w:szCs w:val="24"/>
        </w:rPr>
        <w:t xml:space="preserve">. </w:t>
      </w:r>
      <w:r w:rsidRPr="00756D48">
        <w:rPr>
          <w:szCs w:val="24"/>
        </w:rPr>
        <w:t xml:space="preserve"> </w:t>
      </w:r>
      <w:r w:rsidR="00AE612E">
        <w:rPr>
          <w:szCs w:val="24"/>
        </w:rPr>
        <w:t xml:space="preserve">The </w:t>
      </w:r>
      <w:r w:rsidR="0002664E" w:rsidRPr="00756D48">
        <w:rPr>
          <w:szCs w:val="24"/>
        </w:rPr>
        <w:t xml:space="preserve">aim </w:t>
      </w:r>
      <w:r w:rsidR="00AE612E">
        <w:rPr>
          <w:szCs w:val="24"/>
        </w:rPr>
        <w:t xml:space="preserve">was to raise </w:t>
      </w:r>
      <w:r w:rsidR="00703D4D" w:rsidRPr="00756D48">
        <w:rPr>
          <w:szCs w:val="24"/>
        </w:rPr>
        <w:t xml:space="preserve">awareness </w:t>
      </w:r>
      <w:r w:rsidR="004C439C">
        <w:rPr>
          <w:szCs w:val="24"/>
        </w:rPr>
        <w:t xml:space="preserve">of ITU, </w:t>
      </w:r>
      <w:r w:rsidR="00703D4D" w:rsidRPr="00756D48">
        <w:rPr>
          <w:szCs w:val="24"/>
        </w:rPr>
        <w:t xml:space="preserve">BDT </w:t>
      </w:r>
      <w:r w:rsidR="004C439C">
        <w:rPr>
          <w:szCs w:val="24"/>
        </w:rPr>
        <w:t>in particular as well as</w:t>
      </w:r>
      <w:r w:rsidR="00703D4D" w:rsidRPr="00756D48">
        <w:rPr>
          <w:szCs w:val="24"/>
        </w:rPr>
        <w:t xml:space="preserve"> </w:t>
      </w:r>
      <w:r w:rsidR="004A0874" w:rsidRPr="00756D48">
        <w:rPr>
          <w:szCs w:val="24"/>
        </w:rPr>
        <w:t>enhanc</w:t>
      </w:r>
      <w:r w:rsidR="00AE612E">
        <w:rPr>
          <w:szCs w:val="24"/>
        </w:rPr>
        <w:t>e</w:t>
      </w:r>
      <w:r w:rsidR="004A0874" w:rsidRPr="00756D48">
        <w:rPr>
          <w:szCs w:val="24"/>
        </w:rPr>
        <w:t xml:space="preserve"> partnership opportunities</w:t>
      </w:r>
      <w:r w:rsidR="00172546" w:rsidRPr="00756D48">
        <w:rPr>
          <w:szCs w:val="24"/>
        </w:rPr>
        <w:t xml:space="preserve"> and mobiliz</w:t>
      </w:r>
      <w:r w:rsidR="00AE612E">
        <w:rPr>
          <w:szCs w:val="24"/>
        </w:rPr>
        <w:t>e</w:t>
      </w:r>
      <w:r w:rsidR="00172546" w:rsidRPr="00756D48">
        <w:rPr>
          <w:szCs w:val="24"/>
        </w:rPr>
        <w:t xml:space="preserve"> resources</w:t>
      </w:r>
      <w:r w:rsidR="004A0874" w:rsidRPr="00756D48">
        <w:rPr>
          <w:szCs w:val="24"/>
        </w:rPr>
        <w:t>.</w:t>
      </w:r>
      <w:r w:rsidR="0033664C" w:rsidRPr="00756D48">
        <w:rPr>
          <w:szCs w:val="24"/>
        </w:rPr>
        <w:t xml:space="preserve"> </w:t>
      </w:r>
      <w:r w:rsidR="00756D48">
        <w:rPr>
          <w:szCs w:val="24"/>
        </w:rPr>
        <w:t>A r</w:t>
      </w:r>
      <w:r w:rsidRPr="00756D48">
        <w:rPr>
          <w:szCs w:val="24"/>
        </w:rPr>
        <w:t xml:space="preserve">esource mobilization strategy for BDT is </w:t>
      </w:r>
      <w:r w:rsidR="004C439C">
        <w:rPr>
          <w:szCs w:val="24"/>
        </w:rPr>
        <w:t xml:space="preserve">to be further </w:t>
      </w:r>
      <w:r w:rsidRPr="00756D48">
        <w:rPr>
          <w:szCs w:val="24"/>
        </w:rPr>
        <w:t>refined</w:t>
      </w:r>
      <w:r w:rsidR="000431A5">
        <w:rPr>
          <w:szCs w:val="24"/>
        </w:rPr>
        <w:t>,</w:t>
      </w:r>
      <w:r w:rsidRPr="00756D48">
        <w:rPr>
          <w:szCs w:val="24"/>
        </w:rPr>
        <w:t xml:space="preserve"> taking in</w:t>
      </w:r>
      <w:r w:rsidR="00756D48">
        <w:rPr>
          <w:szCs w:val="24"/>
        </w:rPr>
        <w:t>t</w:t>
      </w:r>
      <w:r w:rsidRPr="00756D48">
        <w:rPr>
          <w:szCs w:val="24"/>
        </w:rPr>
        <w:t xml:space="preserve">o account the outcomes of </w:t>
      </w:r>
      <w:r w:rsidR="00756D48">
        <w:rPr>
          <w:szCs w:val="24"/>
        </w:rPr>
        <w:t xml:space="preserve">past and forthcoming </w:t>
      </w:r>
      <w:r w:rsidRPr="00756D48">
        <w:rPr>
          <w:szCs w:val="24"/>
        </w:rPr>
        <w:t>BDT management retreat</w:t>
      </w:r>
      <w:r w:rsidR="00AE612E">
        <w:rPr>
          <w:szCs w:val="24"/>
        </w:rPr>
        <w:t>s</w:t>
      </w:r>
      <w:r w:rsidR="000431A5">
        <w:rPr>
          <w:szCs w:val="24"/>
        </w:rPr>
        <w:t xml:space="preserve">. </w:t>
      </w:r>
    </w:p>
    <w:p w14:paraId="2ECD796F" w14:textId="0026D76C" w:rsidR="003043F4" w:rsidRDefault="002D2572" w:rsidP="00172546">
      <w:pPr>
        <w:pStyle w:val="CEOParagraph1"/>
        <w:keepNext w:val="0"/>
        <w:numPr>
          <w:ilvl w:val="0"/>
          <w:numId w:val="0"/>
        </w:numPr>
        <w:overflowPunct w:val="0"/>
        <w:autoSpaceDE w:val="0"/>
        <w:autoSpaceDN w:val="0"/>
        <w:adjustRightInd w:val="0"/>
        <w:spacing w:before="180" w:after="0"/>
        <w:textAlignment w:val="baseline"/>
        <w:rPr>
          <w:b w:val="0"/>
          <w:bCs w:val="0"/>
          <w:szCs w:val="24"/>
        </w:rPr>
      </w:pPr>
      <w:r w:rsidRPr="00756D48">
        <w:rPr>
          <w:rFonts w:asciiTheme="minorHAnsi" w:eastAsia="Times New Roman" w:hAnsiTheme="minorHAnsi"/>
          <w:b w:val="0"/>
          <w:bCs w:val="0"/>
          <w:sz w:val="24"/>
          <w:szCs w:val="24"/>
          <w:lang w:val="en-GB"/>
        </w:rPr>
        <w:t>In addition,</w:t>
      </w:r>
      <w:r w:rsidRPr="00B57D99">
        <w:rPr>
          <w:szCs w:val="24"/>
        </w:rPr>
        <w:t xml:space="preserve"> </w:t>
      </w:r>
      <w:r w:rsidRPr="00B57D99">
        <w:rPr>
          <w:rFonts w:asciiTheme="minorHAnsi" w:hAnsiTheme="minorHAnsi"/>
          <w:b w:val="0"/>
          <w:bCs w:val="0"/>
          <w:sz w:val="24"/>
          <w:szCs w:val="24"/>
        </w:rPr>
        <w:t>t</w:t>
      </w:r>
      <w:r w:rsidR="002C127B" w:rsidRPr="00B57D99">
        <w:rPr>
          <w:rFonts w:asciiTheme="minorHAnsi" w:hAnsiTheme="minorHAnsi"/>
          <w:b w:val="0"/>
          <w:bCs w:val="0"/>
          <w:sz w:val="24"/>
          <w:szCs w:val="24"/>
        </w:rPr>
        <w:t>he partnership agreement</w:t>
      </w:r>
      <w:r w:rsidR="00030B0E" w:rsidRPr="00B57D99">
        <w:rPr>
          <w:rFonts w:asciiTheme="minorHAnsi" w:hAnsiTheme="minorHAnsi"/>
          <w:b w:val="0"/>
          <w:bCs w:val="0"/>
          <w:sz w:val="24"/>
          <w:szCs w:val="24"/>
        </w:rPr>
        <w:t>s</w:t>
      </w:r>
      <w:r w:rsidR="00113FA3" w:rsidRPr="00B57D99">
        <w:rPr>
          <w:rFonts w:asciiTheme="minorHAnsi" w:hAnsiTheme="minorHAnsi"/>
          <w:b w:val="0"/>
          <w:bCs w:val="0"/>
          <w:sz w:val="24"/>
          <w:szCs w:val="24"/>
        </w:rPr>
        <w:t>’</w:t>
      </w:r>
      <w:r w:rsidR="002C127B" w:rsidRPr="00B57D99">
        <w:rPr>
          <w:rFonts w:asciiTheme="minorHAnsi" w:hAnsiTheme="minorHAnsi"/>
          <w:b w:val="0"/>
          <w:bCs w:val="0"/>
          <w:sz w:val="24"/>
          <w:szCs w:val="24"/>
        </w:rPr>
        <w:t xml:space="preserve"> database</w:t>
      </w:r>
      <w:r w:rsidR="00B42EA5" w:rsidRPr="00B57D99">
        <w:rPr>
          <w:rFonts w:asciiTheme="minorHAnsi" w:hAnsiTheme="minorHAnsi"/>
          <w:b w:val="0"/>
          <w:bCs w:val="0"/>
          <w:sz w:val="24"/>
          <w:szCs w:val="24"/>
        </w:rPr>
        <w:t>,</w:t>
      </w:r>
      <w:r w:rsidR="00113FA3" w:rsidRPr="00B57D99">
        <w:rPr>
          <w:rFonts w:asciiTheme="minorHAnsi" w:hAnsiTheme="minorHAnsi"/>
          <w:b w:val="0"/>
          <w:bCs w:val="0"/>
          <w:sz w:val="24"/>
          <w:szCs w:val="24"/>
        </w:rPr>
        <w:t xml:space="preserve"> which</w:t>
      </w:r>
      <w:r w:rsidR="002C127B" w:rsidRPr="00B57D99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5E29E1" w:rsidRPr="00B57D99">
        <w:rPr>
          <w:rFonts w:asciiTheme="minorHAnsi" w:hAnsiTheme="minorHAnsi"/>
          <w:b w:val="0"/>
          <w:bCs w:val="0"/>
          <w:sz w:val="24"/>
          <w:szCs w:val="24"/>
        </w:rPr>
        <w:t>serve</w:t>
      </w:r>
      <w:r w:rsidR="00047072" w:rsidRPr="00B57D99">
        <w:rPr>
          <w:rFonts w:asciiTheme="minorHAnsi" w:hAnsiTheme="minorHAnsi"/>
          <w:b w:val="0"/>
          <w:bCs w:val="0"/>
          <w:sz w:val="24"/>
          <w:szCs w:val="24"/>
        </w:rPr>
        <w:t>s</w:t>
      </w:r>
      <w:r w:rsidR="005E29E1" w:rsidRPr="00B57D99">
        <w:rPr>
          <w:rFonts w:asciiTheme="minorHAnsi" w:hAnsiTheme="minorHAnsi"/>
          <w:b w:val="0"/>
          <w:bCs w:val="0"/>
          <w:sz w:val="24"/>
          <w:szCs w:val="24"/>
        </w:rPr>
        <w:t xml:space="preserve"> as </w:t>
      </w:r>
      <w:r w:rsidR="00A33398" w:rsidRPr="00B57D99">
        <w:rPr>
          <w:rFonts w:asciiTheme="minorHAnsi" w:hAnsiTheme="minorHAnsi"/>
          <w:b w:val="0"/>
          <w:bCs w:val="0"/>
          <w:sz w:val="24"/>
          <w:szCs w:val="24"/>
        </w:rPr>
        <w:t xml:space="preserve">a </w:t>
      </w:r>
      <w:r w:rsidR="0068213F" w:rsidRPr="00B57D99">
        <w:rPr>
          <w:rFonts w:asciiTheme="minorHAnsi" w:hAnsiTheme="minorHAnsi"/>
          <w:b w:val="0"/>
          <w:bCs w:val="0"/>
          <w:sz w:val="24"/>
          <w:szCs w:val="24"/>
        </w:rPr>
        <w:t>record</w:t>
      </w:r>
      <w:r w:rsidR="00C66630" w:rsidRPr="00B57D99">
        <w:rPr>
          <w:rFonts w:asciiTheme="minorHAnsi" w:hAnsiTheme="minorHAnsi"/>
          <w:b w:val="0"/>
          <w:bCs w:val="0"/>
          <w:sz w:val="24"/>
          <w:szCs w:val="24"/>
        </w:rPr>
        <w:t>-</w:t>
      </w:r>
      <w:r w:rsidR="0068213F" w:rsidRPr="00B57D99">
        <w:rPr>
          <w:rFonts w:asciiTheme="minorHAnsi" w:hAnsiTheme="minorHAnsi"/>
          <w:b w:val="0"/>
          <w:bCs w:val="0"/>
          <w:sz w:val="24"/>
          <w:szCs w:val="24"/>
        </w:rPr>
        <w:t>keeping</w:t>
      </w:r>
      <w:r w:rsidR="0068213F" w:rsidRPr="002C127B">
        <w:rPr>
          <w:rFonts w:asciiTheme="minorHAnsi" w:hAnsiTheme="minorHAnsi"/>
          <w:b w:val="0"/>
          <w:bCs w:val="0"/>
          <w:sz w:val="24"/>
          <w:szCs w:val="24"/>
        </w:rPr>
        <w:t xml:space="preserve"> system </w:t>
      </w:r>
      <w:r w:rsidR="00C66630" w:rsidRPr="002C127B">
        <w:rPr>
          <w:rFonts w:asciiTheme="minorHAnsi" w:hAnsiTheme="minorHAnsi"/>
          <w:b w:val="0"/>
          <w:bCs w:val="0"/>
          <w:sz w:val="24"/>
          <w:szCs w:val="24"/>
        </w:rPr>
        <w:t>for all</w:t>
      </w:r>
      <w:r w:rsidR="008D151B" w:rsidRPr="002C127B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68213F" w:rsidRPr="002C127B">
        <w:rPr>
          <w:rFonts w:asciiTheme="minorHAnsi" w:hAnsiTheme="minorHAnsi"/>
          <w:b w:val="0"/>
          <w:bCs w:val="0"/>
          <w:sz w:val="24"/>
          <w:szCs w:val="24"/>
        </w:rPr>
        <w:t xml:space="preserve">agreements signed by </w:t>
      </w:r>
      <w:r w:rsidR="00AE3836" w:rsidRPr="002C127B">
        <w:rPr>
          <w:rFonts w:asciiTheme="minorHAnsi" w:hAnsiTheme="minorHAnsi"/>
          <w:b w:val="0"/>
          <w:bCs w:val="0"/>
          <w:sz w:val="24"/>
          <w:szCs w:val="24"/>
        </w:rPr>
        <w:t xml:space="preserve">BDT </w:t>
      </w:r>
      <w:r w:rsidR="0068213F" w:rsidRPr="002C127B">
        <w:rPr>
          <w:rFonts w:asciiTheme="minorHAnsi" w:hAnsiTheme="minorHAnsi"/>
          <w:b w:val="0"/>
          <w:bCs w:val="0"/>
          <w:sz w:val="24"/>
          <w:szCs w:val="24"/>
        </w:rPr>
        <w:t>with various stakeholders</w:t>
      </w:r>
      <w:r w:rsidR="00B42EA5">
        <w:rPr>
          <w:rFonts w:asciiTheme="minorHAnsi" w:hAnsiTheme="minorHAnsi"/>
          <w:b w:val="0"/>
          <w:bCs w:val="0"/>
          <w:sz w:val="24"/>
          <w:szCs w:val="24"/>
        </w:rPr>
        <w:t>,</w:t>
      </w:r>
      <w:r w:rsidR="002C127B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A33398">
        <w:rPr>
          <w:rFonts w:asciiTheme="minorHAnsi" w:hAnsiTheme="minorHAnsi"/>
          <w:b w:val="0"/>
          <w:bCs w:val="0"/>
          <w:sz w:val="24"/>
          <w:szCs w:val="24"/>
        </w:rPr>
        <w:t>is</w:t>
      </w:r>
      <w:r w:rsidR="002C127B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116121">
        <w:rPr>
          <w:rFonts w:asciiTheme="minorHAnsi" w:hAnsiTheme="minorHAnsi"/>
          <w:b w:val="0"/>
          <w:bCs w:val="0"/>
          <w:sz w:val="24"/>
          <w:szCs w:val="24"/>
        </w:rPr>
        <w:t xml:space="preserve">regularly </w:t>
      </w:r>
      <w:r w:rsidR="002C127B">
        <w:rPr>
          <w:rFonts w:asciiTheme="minorHAnsi" w:hAnsiTheme="minorHAnsi"/>
          <w:b w:val="0"/>
          <w:bCs w:val="0"/>
          <w:sz w:val="24"/>
          <w:szCs w:val="24"/>
        </w:rPr>
        <w:t>updated</w:t>
      </w:r>
      <w:r w:rsidR="0053343F">
        <w:rPr>
          <w:rFonts w:asciiTheme="minorHAnsi" w:hAnsiTheme="minorHAnsi"/>
          <w:b w:val="0"/>
          <w:bCs w:val="0"/>
          <w:sz w:val="24"/>
          <w:szCs w:val="24"/>
        </w:rPr>
        <w:t>.</w:t>
      </w:r>
      <w:r w:rsidR="00D61310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2E5BA6" w:rsidRPr="002C127B">
        <w:rPr>
          <w:rFonts w:asciiTheme="minorHAnsi" w:hAnsiTheme="minorHAnsi"/>
          <w:b w:val="0"/>
          <w:bCs w:val="0"/>
          <w:sz w:val="24"/>
          <w:szCs w:val="24"/>
        </w:rPr>
        <w:t xml:space="preserve">A search tool </w:t>
      </w:r>
      <w:r w:rsidR="00C66630" w:rsidRPr="002C127B">
        <w:rPr>
          <w:rFonts w:asciiTheme="minorHAnsi" w:hAnsiTheme="minorHAnsi"/>
          <w:b w:val="0"/>
          <w:bCs w:val="0"/>
          <w:sz w:val="24"/>
          <w:szCs w:val="24"/>
        </w:rPr>
        <w:t xml:space="preserve">allows </w:t>
      </w:r>
      <w:r w:rsidR="0053343F">
        <w:rPr>
          <w:rFonts w:asciiTheme="minorHAnsi" w:hAnsiTheme="minorHAnsi"/>
          <w:b w:val="0"/>
          <w:bCs w:val="0"/>
          <w:sz w:val="24"/>
          <w:szCs w:val="24"/>
        </w:rPr>
        <w:t xml:space="preserve">BDT staff </w:t>
      </w:r>
      <w:r w:rsidR="002E5BA6" w:rsidRPr="002C127B">
        <w:rPr>
          <w:rFonts w:asciiTheme="minorHAnsi" w:hAnsiTheme="minorHAnsi"/>
          <w:b w:val="0"/>
          <w:bCs w:val="0"/>
          <w:sz w:val="24"/>
          <w:szCs w:val="24"/>
        </w:rPr>
        <w:t xml:space="preserve">to identify </w:t>
      </w:r>
      <w:r w:rsidR="005F3E01" w:rsidRPr="002C127B">
        <w:rPr>
          <w:rFonts w:asciiTheme="minorHAnsi" w:hAnsiTheme="minorHAnsi"/>
          <w:b w:val="0"/>
          <w:bCs w:val="0"/>
          <w:sz w:val="24"/>
          <w:szCs w:val="24"/>
        </w:rPr>
        <w:t xml:space="preserve">potential partners </w:t>
      </w:r>
      <w:r w:rsidR="00824C81" w:rsidRPr="002C127B">
        <w:rPr>
          <w:rFonts w:asciiTheme="minorHAnsi" w:hAnsiTheme="minorHAnsi"/>
          <w:b w:val="0"/>
          <w:bCs w:val="0"/>
          <w:sz w:val="24"/>
          <w:szCs w:val="24"/>
        </w:rPr>
        <w:t xml:space="preserve">for </w:t>
      </w:r>
      <w:r w:rsidR="005F3E01" w:rsidRPr="002C127B">
        <w:rPr>
          <w:rFonts w:asciiTheme="minorHAnsi" w:hAnsiTheme="minorHAnsi"/>
          <w:b w:val="0"/>
          <w:bCs w:val="0"/>
          <w:sz w:val="24"/>
          <w:szCs w:val="24"/>
        </w:rPr>
        <w:t xml:space="preserve">upcoming </w:t>
      </w:r>
      <w:r w:rsidR="0068213F" w:rsidRPr="002C127B">
        <w:rPr>
          <w:rFonts w:asciiTheme="minorHAnsi" w:hAnsiTheme="minorHAnsi"/>
          <w:b w:val="0"/>
          <w:bCs w:val="0"/>
          <w:sz w:val="24"/>
          <w:szCs w:val="24"/>
        </w:rPr>
        <w:t>activit</w:t>
      </w:r>
      <w:r w:rsidR="00824C81" w:rsidRPr="002C127B">
        <w:rPr>
          <w:rFonts w:asciiTheme="minorHAnsi" w:hAnsiTheme="minorHAnsi"/>
          <w:b w:val="0"/>
          <w:bCs w:val="0"/>
          <w:sz w:val="24"/>
          <w:szCs w:val="24"/>
        </w:rPr>
        <w:t>ies</w:t>
      </w:r>
      <w:r w:rsidR="0068213F" w:rsidRPr="002C127B">
        <w:rPr>
          <w:rFonts w:asciiTheme="minorHAnsi" w:hAnsiTheme="minorHAnsi"/>
          <w:b w:val="0"/>
          <w:bCs w:val="0"/>
          <w:sz w:val="24"/>
          <w:szCs w:val="24"/>
        </w:rPr>
        <w:t>, projects and initiatives</w:t>
      </w:r>
      <w:r w:rsidR="00407533">
        <w:rPr>
          <w:rFonts w:asciiTheme="minorHAnsi" w:hAnsiTheme="minorHAnsi"/>
          <w:b w:val="0"/>
          <w:bCs w:val="0"/>
          <w:sz w:val="24"/>
          <w:szCs w:val="24"/>
        </w:rPr>
        <w:t>.</w:t>
      </w:r>
    </w:p>
    <w:p w14:paraId="40683D4E" w14:textId="4B76FB65" w:rsidR="008B5772" w:rsidRPr="003E6492" w:rsidRDefault="00C70B37" w:rsidP="003F63FD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3E6492">
        <w:rPr>
          <w:rFonts w:asciiTheme="minorHAnsi" w:hAnsiTheme="minorHAnsi" w:cs="Calibri"/>
          <w:sz w:val="24"/>
          <w:szCs w:val="24"/>
          <w:lang w:val="en-US"/>
        </w:rPr>
        <w:t>Way</w:t>
      </w:r>
      <w:r w:rsidR="00417970" w:rsidRPr="003E6492">
        <w:rPr>
          <w:rFonts w:asciiTheme="minorHAnsi" w:hAnsiTheme="minorHAnsi" w:cs="Calibri"/>
          <w:sz w:val="24"/>
          <w:szCs w:val="24"/>
          <w:lang w:val="en-US"/>
        </w:rPr>
        <w:t xml:space="preserve"> F</w:t>
      </w:r>
      <w:r w:rsidR="0023382C" w:rsidRPr="003E6492">
        <w:rPr>
          <w:rFonts w:asciiTheme="minorHAnsi" w:hAnsiTheme="minorHAnsi" w:cs="Calibri"/>
          <w:sz w:val="24"/>
          <w:szCs w:val="24"/>
          <w:lang w:val="en-US"/>
        </w:rPr>
        <w:t>orward</w:t>
      </w:r>
    </w:p>
    <w:p w14:paraId="718684F6" w14:textId="6D22F205" w:rsidR="00143033" w:rsidRDefault="00143033">
      <w:pPr>
        <w:pStyle w:val="CEONormal"/>
        <w:spacing w:after="0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>The BDT Director is reviewing BDT</w:t>
      </w:r>
      <w:r w:rsidR="00691ABF">
        <w:rPr>
          <w:rFonts w:asciiTheme="minorHAnsi" w:hAnsiTheme="minorHAnsi" w:cs="Calibri"/>
          <w:sz w:val="24"/>
          <w:szCs w:val="24"/>
          <w:lang w:val="en-US"/>
        </w:rPr>
        <w:t>’s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approach to resource mobilization, sponsorship, partnership and project execution. This will be addressed during the retreat just prior to TDAG.</w:t>
      </w:r>
    </w:p>
    <w:p w14:paraId="7A04B9EA" w14:textId="70AB94F6" w:rsidR="008B5772" w:rsidRPr="007F1A2A" w:rsidRDefault="002D2572">
      <w:pPr>
        <w:pStyle w:val="CEONormal"/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 xml:space="preserve">Taking the above into consideration, </w:t>
      </w:r>
      <w:r w:rsidR="008B5772" w:rsidRPr="007F1A2A">
        <w:rPr>
          <w:rFonts w:asciiTheme="minorHAnsi" w:hAnsiTheme="minorHAnsi" w:cs="Calibri"/>
          <w:sz w:val="24"/>
          <w:szCs w:val="24"/>
          <w:lang w:val="en-US"/>
        </w:rPr>
        <w:t xml:space="preserve">BDT will </w:t>
      </w:r>
      <w:r w:rsidR="004A0874">
        <w:rPr>
          <w:rFonts w:asciiTheme="minorHAnsi" w:hAnsiTheme="minorHAnsi" w:cs="Calibri"/>
          <w:sz w:val="24"/>
          <w:szCs w:val="24"/>
          <w:lang w:val="en-US"/>
        </w:rPr>
        <w:t xml:space="preserve">continue to </w:t>
      </w:r>
      <w:r w:rsidR="004C439C">
        <w:rPr>
          <w:rFonts w:asciiTheme="minorHAnsi" w:hAnsiTheme="minorHAnsi" w:cs="Calibri"/>
          <w:sz w:val="24"/>
          <w:szCs w:val="24"/>
          <w:lang w:val="en-US"/>
        </w:rPr>
        <w:t>improve</w:t>
      </w:r>
      <w:r w:rsidR="00D63271" w:rsidRPr="007F1A2A">
        <w:rPr>
          <w:rFonts w:asciiTheme="minorHAnsi" w:hAnsiTheme="minorHAnsi" w:cs="Calibri"/>
          <w:sz w:val="24"/>
          <w:szCs w:val="24"/>
          <w:lang w:val="en-US"/>
        </w:rPr>
        <w:t xml:space="preserve"> its resource mobilization tools </w:t>
      </w:r>
      <w:r w:rsidR="00E87916">
        <w:rPr>
          <w:rFonts w:asciiTheme="minorHAnsi" w:hAnsiTheme="minorHAnsi" w:cs="Calibri"/>
          <w:sz w:val="24"/>
          <w:szCs w:val="24"/>
          <w:lang w:val="en-US"/>
        </w:rPr>
        <w:t xml:space="preserve">and services </w:t>
      </w:r>
      <w:r w:rsidR="0079032C" w:rsidRPr="007F1A2A">
        <w:rPr>
          <w:rFonts w:asciiTheme="minorHAnsi" w:hAnsiTheme="minorHAnsi" w:cs="Calibri"/>
          <w:sz w:val="24"/>
          <w:szCs w:val="24"/>
          <w:lang w:val="en-US"/>
        </w:rPr>
        <w:t xml:space="preserve">as well as </w:t>
      </w:r>
      <w:r w:rsidR="004A0874">
        <w:rPr>
          <w:rFonts w:asciiTheme="minorHAnsi" w:hAnsiTheme="minorHAnsi" w:cs="Calibri"/>
          <w:sz w:val="24"/>
          <w:szCs w:val="24"/>
          <w:lang w:val="en-US"/>
        </w:rPr>
        <w:t xml:space="preserve">to </w:t>
      </w:r>
      <w:r w:rsidR="00064903" w:rsidRPr="007F1A2A">
        <w:rPr>
          <w:rFonts w:asciiTheme="minorHAnsi" w:hAnsiTheme="minorHAnsi" w:cs="Calibri"/>
          <w:sz w:val="24"/>
          <w:szCs w:val="24"/>
          <w:lang w:val="en-US"/>
        </w:rPr>
        <w:t xml:space="preserve">strengthen the cooperative relationship </w:t>
      </w:r>
      <w:r w:rsidR="00D63271" w:rsidRPr="007F1A2A">
        <w:rPr>
          <w:rFonts w:asciiTheme="minorHAnsi" w:hAnsiTheme="minorHAnsi" w:cs="Calibri"/>
          <w:sz w:val="24"/>
          <w:szCs w:val="24"/>
          <w:lang w:val="en-US"/>
        </w:rPr>
        <w:t>with traditional and non</w:t>
      </w:r>
      <w:r w:rsidR="00C97B05" w:rsidRPr="007F1A2A">
        <w:rPr>
          <w:rFonts w:asciiTheme="minorHAnsi" w:hAnsiTheme="minorHAnsi" w:cs="Calibri"/>
          <w:sz w:val="24"/>
          <w:szCs w:val="24"/>
          <w:lang w:val="en-US"/>
        </w:rPr>
        <w:t>-</w:t>
      </w:r>
      <w:r w:rsidR="00D63271" w:rsidRPr="007F1A2A">
        <w:rPr>
          <w:rFonts w:asciiTheme="minorHAnsi" w:hAnsiTheme="minorHAnsi" w:cs="Calibri"/>
          <w:sz w:val="24"/>
          <w:szCs w:val="24"/>
          <w:lang w:val="en-US"/>
        </w:rPr>
        <w:t>traditional</w:t>
      </w:r>
      <w:r w:rsidR="008B5772" w:rsidRPr="007F1A2A">
        <w:rPr>
          <w:rFonts w:asciiTheme="minorHAnsi" w:hAnsiTheme="minorHAnsi" w:cs="Calibri"/>
          <w:sz w:val="24"/>
          <w:szCs w:val="24"/>
          <w:lang w:val="en-US"/>
        </w:rPr>
        <w:t xml:space="preserve"> partners </w:t>
      </w:r>
      <w:r w:rsidR="00034D75" w:rsidRPr="007F1A2A">
        <w:rPr>
          <w:rFonts w:asciiTheme="minorHAnsi" w:hAnsiTheme="minorHAnsi" w:cs="Calibri"/>
          <w:sz w:val="24"/>
          <w:szCs w:val="24"/>
          <w:lang w:val="en-US"/>
        </w:rPr>
        <w:t>from</w:t>
      </w:r>
      <w:r w:rsidR="009E69A9" w:rsidRPr="007F1A2A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B42EA5">
        <w:rPr>
          <w:rFonts w:asciiTheme="minorHAnsi" w:hAnsiTheme="minorHAnsi" w:cs="Calibri"/>
          <w:sz w:val="24"/>
          <w:szCs w:val="24"/>
          <w:lang w:val="en-US"/>
        </w:rPr>
        <w:t xml:space="preserve">the </w:t>
      </w:r>
      <w:r w:rsidR="00064903" w:rsidRPr="007F1A2A">
        <w:rPr>
          <w:rFonts w:asciiTheme="minorHAnsi" w:hAnsiTheme="minorHAnsi" w:cs="Calibri"/>
          <w:sz w:val="24"/>
          <w:szCs w:val="24"/>
          <w:lang w:val="en-US"/>
        </w:rPr>
        <w:t>telecommunication/</w:t>
      </w:r>
      <w:r w:rsidR="009E69A9" w:rsidRPr="007F1A2A">
        <w:rPr>
          <w:rFonts w:asciiTheme="minorHAnsi" w:hAnsiTheme="minorHAnsi" w:cs="Calibri"/>
          <w:sz w:val="24"/>
          <w:szCs w:val="24"/>
          <w:lang w:val="en-US"/>
        </w:rPr>
        <w:t>ICT</w:t>
      </w:r>
      <w:r w:rsidR="00064903" w:rsidRPr="007F1A2A">
        <w:rPr>
          <w:rFonts w:asciiTheme="minorHAnsi" w:hAnsiTheme="minorHAnsi" w:cs="Calibri"/>
          <w:sz w:val="24"/>
          <w:szCs w:val="24"/>
          <w:lang w:val="en-US"/>
        </w:rPr>
        <w:t xml:space="preserve"> sector</w:t>
      </w:r>
      <w:r w:rsidR="00034D75" w:rsidRPr="007F1A2A">
        <w:rPr>
          <w:rFonts w:asciiTheme="minorHAnsi" w:hAnsiTheme="minorHAnsi" w:cs="Calibri"/>
          <w:sz w:val="24"/>
          <w:szCs w:val="24"/>
          <w:lang w:val="en-US"/>
        </w:rPr>
        <w:t xml:space="preserve"> and beyond in the converged</w:t>
      </w:r>
      <w:r w:rsidR="009E69A9" w:rsidRPr="007F1A2A">
        <w:rPr>
          <w:rFonts w:asciiTheme="minorHAnsi" w:hAnsiTheme="minorHAnsi" w:cs="Calibri"/>
          <w:sz w:val="24"/>
          <w:szCs w:val="24"/>
          <w:lang w:val="en-US"/>
        </w:rPr>
        <w:t xml:space="preserve"> ecosystem </w:t>
      </w:r>
      <w:r w:rsidR="00D63271" w:rsidRPr="007F1A2A">
        <w:rPr>
          <w:rFonts w:asciiTheme="minorHAnsi" w:hAnsiTheme="minorHAnsi" w:cs="Calibri"/>
          <w:sz w:val="24"/>
          <w:szCs w:val="24"/>
          <w:lang w:val="en-US"/>
        </w:rPr>
        <w:t xml:space="preserve">for the </w:t>
      </w:r>
      <w:r w:rsidR="008B5772" w:rsidRPr="007F1A2A">
        <w:rPr>
          <w:rFonts w:asciiTheme="minorHAnsi" w:hAnsiTheme="minorHAnsi" w:cs="Calibri"/>
          <w:sz w:val="24"/>
          <w:szCs w:val="24"/>
          <w:lang w:val="en-US"/>
        </w:rPr>
        <w:t>implement</w:t>
      </w:r>
      <w:r w:rsidR="00D63271" w:rsidRPr="007F1A2A">
        <w:rPr>
          <w:rFonts w:asciiTheme="minorHAnsi" w:hAnsiTheme="minorHAnsi" w:cs="Calibri"/>
          <w:sz w:val="24"/>
          <w:szCs w:val="24"/>
          <w:lang w:val="en-US"/>
        </w:rPr>
        <w:t>ation of global</w:t>
      </w:r>
      <w:r w:rsidR="0079032C" w:rsidRPr="007F1A2A">
        <w:rPr>
          <w:rFonts w:asciiTheme="minorHAnsi" w:hAnsiTheme="minorHAnsi" w:cs="Calibri"/>
          <w:sz w:val="24"/>
          <w:szCs w:val="24"/>
          <w:lang w:val="en-US"/>
        </w:rPr>
        <w:t xml:space="preserve">, </w:t>
      </w:r>
      <w:r w:rsidR="00D63271" w:rsidRPr="007F1A2A">
        <w:rPr>
          <w:rFonts w:asciiTheme="minorHAnsi" w:hAnsiTheme="minorHAnsi" w:cs="Calibri"/>
          <w:sz w:val="24"/>
          <w:szCs w:val="24"/>
          <w:lang w:val="en-US"/>
        </w:rPr>
        <w:t xml:space="preserve">regional </w:t>
      </w:r>
      <w:r w:rsidR="0079032C" w:rsidRPr="007F1A2A">
        <w:rPr>
          <w:rFonts w:asciiTheme="minorHAnsi" w:hAnsiTheme="minorHAnsi" w:cs="Calibri"/>
          <w:sz w:val="24"/>
          <w:szCs w:val="24"/>
          <w:lang w:val="en-US"/>
        </w:rPr>
        <w:t xml:space="preserve">and national </w:t>
      </w:r>
      <w:r w:rsidR="008B5772" w:rsidRPr="007F1A2A">
        <w:rPr>
          <w:rFonts w:asciiTheme="minorHAnsi" w:hAnsiTheme="minorHAnsi" w:cs="Calibri"/>
          <w:sz w:val="24"/>
          <w:szCs w:val="24"/>
          <w:lang w:val="en-US"/>
        </w:rPr>
        <w:t>projects and initiatives</w:t>
      </w:r>
      <w:r w:rsidR="00765B6F">
        <w:rPr>
          <w:rFonts w:asciiTheme="minorHAnsi" w:hAnsiTheme="minorHAnsi" w:cs="Calibri"/>
          <w:sz w:val="24"/>
          <w:szCs w:val="24"/>
          <w:lang w:val="en-US"/>
        </w:rPr>
        <w:t>,</w:t>
      </w:r>
      <w:r w:rsidR="008B5772" w:rsidRPr="007F1A2A">
        <w:rPr>
          <w:rFonts w:asciiTheme="minorHAnsi" w:hAnsiTheme="minorHAnsi" w:cs="Calibri"/>
          <w:sz w:val="24"/>
          <w:szCs w:val="24"/>
          <w:lang w:val="en-US"/>
        </w:rPr>
        <w:t xml:space="preserve"> including </w:t>
      </w:r>
      <w:r w:rsidR="008F22D6" w:rsidRPr="007F1A2A">
        <w:rPr>
          <w:rFonts w:asciiTheme="minorHAnsi" w:hAnsiTheme="minorHAnsi" w:cs="Calibri"/>
          <w:sz w:val="24"/>
          <w:szCs w:val="24"/>
          <w:lang w:val="en-US"/>
        </w:rPr>
        <w:t xml:space="preserve">the </w:t>
      </w:r>
      <w:r w:rsidR="00DB5C1A" w:rsidRPr="007F1A2A">
        <w:rPr>
          <w:rFonts w:asciiTheme="minorHAnsi" w:hAnsiTheme="minorHAnsi" w:cs="Calibri"/>
          <w:sz w:val="24"/>
          <w:szCs w:val="24"/>
          <w:lang w:val="en-US"/>
        </w:rPr>
        <w:t>Regional Initiatives</w:t>
      </w:r>
      <w:r w:rsidR="008B5772" w:rsidRPr="007F1A2A">
        <w:rPr>
          <w:rFonts w:asciiTheme="minorHAnsi" w:hAnsiTheme="minorHAnsi" w:cs="Calibri"/>
          <w:sz w:val="24"/>
          <w:szCs w:val="24"/>
          <w:lang w:val="en-US"/>
        </w:rPr>
        <w:t xml:space="preserve">. </w:t>
      </w:r>
    </w:p>
    <w:p w14:paraId="225D4B62" w14:textId="017EA638" w:rsidR="000D60C5" w:rsidRDefault="008B5772" w:rsidP="00113FA3">
      <w:pPr>
        <w:pStyle w:val="CEONormal"/>
        <w:spacing w:after="0"/>
        <w:rPr>
          <w:rFonts w:asciiTheme="minorHAnsi" w:hAnsiTheme="minorHAnsi" w:cs="Calibri"/>
          <w:sz w:val="24"/>
          <w:szCs w:val="24"/>
          <w:lang w:val="en-US"/>
        </w:rPr>
      </w:pPr>
      <w:r w:rsidRPr="007F1A2A">
        <w:rPr>
          <w:rFonts w:asciiTheme="minorHAnsi" w:hAnsiTheme="minorHAnsi" w:cs="Calibri"/>
          <w:sz w:val="24"/>
          <w:szCs w:val="24"/>
          <w:lang w:val="en-US"/>
        </w:rPr>
        <w:t xml:space="preserve">ITU </w:t>
      </w:r>
      <w:r w:rsidR="005D34A6">
        <w:rPr>
          <w:rFonts w:asciiTheme="minorHAnsi" w:hAnsiTheme="minorHAnsi" w:cs="Calibri"/>
          <w:sz w:val="24"/>
          <w:szCs w:val="24"/>
          <w:lang w:val="en-US"/>
        </w:rPr>
        <w:t>m</w:t>
      </w:r>
      <w:r w:rsidR="000D60C5" w:rsidRPr="007F1A2A">
        <w:rPr>
          <w:rFonts w:asciiTheme="minorHAnsi" w:hAnsiTheme="minorHAnsi" w:cs="Calibri"/>
          <w:sz w:val="24"/>
          <w:szCs w:val="24"/>
          <w:lang w:val="en-US"/>
        </w:rPr>
        <w:t xml:space="preserve">embership </w:t>
      </w:r>
      <w:r w:rsidR="0023382C" w:rsidRPr="007F1A2A">
        <w:rPr>
          <w:rFonts w:asciiTheme="minorHAnsi" w:hAnsiTheme="minorHAnsi" w:cs="Calibri"/>
          <w:sz w:val="24"/>
          <w:szCs w:val="24"/>
          <w:lang w:val="en-US"/>
        </w:rPr>
        <w:t xml:space="preserve">is </w:t>
      </w:r>
      <w:r w:rsidRPr="007F1A2A">
        <w:rPr>
          <w:rFonts w:asciiTheme="minorHAnsi" w:hAnsiTheme="minorHAnsi" w:cs="Calibri"/>
          <w:sz w:val="24"/>
          <w:szCs w:val="24"/>
          <w:lang w:val="en-US"/>
        </w:rPr>
        <w:t xml:space="preserve">invited to </w:t>
      </w:r>
      <w:r w:rsidR="00D63271" w:rsidRPr="007F1A2A">
        <w:rPr>
          <w:rFonts w:asciiTheme="minorHAnsi" w:hAnsiTheme="minorHAnsi" w:cs="Calibri"/>
          <w:sz w:val="24"/>
          <w:szCs w:val="24"/>
          <w:lang w:val="en-US"/>
        </w:rPr>
        <w:t xml:space="preserve">partner with BDT </w:t>
      </w:r>
      <w:r w:rsidR="0079032C" w:rsidRPr="007F1A2A">
        <w:rPr>
          <w:rFonts w:asciiTheme="minorHAnsi" w:hAnsiTheme="minorHAnsi" w:cs="Calibri"/>
          <w:sz w:val="24"/>
          <w:szCs w:val="24"/>
          <w:lang w:val="en-US"/>
        </w:rPr>
        <w:t xml:space="preserve">for </w:t>
      </w:r>
      <w:r w:rsidR="00DB5C1A" w:rsidRPr="007F1A2A">
        <w:rPr>
          <w:rFonts w:asciiTheme="minorHAnsi" w:hAnsiTheme="minorHAnsi" w:cs="Calibri"/>
          <w:sz w:val="24"/>
          <w:szCs w:val="24"/>
          <w:lang w:val="en-US"/>
        </w:rPr>
        <w:t xml:space="preserve">the </w:t>
      </w:r>
      <w:r w:rsidR="0079032C" w:rsidRPr="007F1A2A">
        <w:rPr>
          <w:rFonts w:asciiTheme="minorHAnsi" w:hAnsiTheme="minorHAnsi" w:cs="Calibri"/>
          <w:sz w:val="24"/>
          <w:szCs w:val="24"/>
          <w:lang w:val="en-US"/>
        </w:rPr>
        <w:t xml:space="preserve">implementation of </w:t>
      </w:r>
      <w:r w:rsidRPr="007F1A2A">
        <w:rPr>
          <w:rFonts w:asciiTheme="minorHAnsi" w:hAnsiTheme="minorHAnsi" w:cs="Calibri"/>
          <w:sz w:val="24"/>
          <w:szCs w:val="24"/>
          <w:lang w:val="en-US"/>
        </w:rPr>
        <w:t>WTDC</w:t>
      </w:r>
      <w:r w:rsidR="0079032C" w:rsidRPr="007F1A2A">
        <w:rPr>
          <w:rFonts w:asciiTheme="minorHAnsi" w:hAnsiTheme="minorHAnsi" w:cs="Calibri"/>
          <w:sz w:val="24"/>
          <w:szCs w:val="24"/>
          <w:lang w:val="en-US"/>
        </w:rPr>
        <w:t>-1</w:t>
      </w:r>
      <w:r w:rsidR="009E69A9" w:rsidRPr="007F1A2A">
        <w:rPr>
          <w:rFonts w:asciiTheme="minorHAnsi" w:hAnsiTheme="minorHAnsi" w:cs="Calibri"/>
          <w:sz w:val="24"/>
          <w:szCs w:val="24"/>
          <w:lang w:val="en-US"/>
        </w:rPr>
        <w:t>7</w:t>
      </w:r>
      <w:r w:rsidR="0079032C" w:rsidRPr="007F1A2A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D63271" w:rsidRPr="007F1A2A">
        <w:rPr>
          <w:rFonts w:asciiTheme="minorHAnsi" w:hAnsiTheme="minorHAnsi" w:cs="Calibri"/>
          <w:sz w:val="24"/>
          <w:szCs w:val="24"/>
          <w:lang w:val="en-US"/>
        </w:rPr>
        <w:t>outcomes</w:t>
      </w:r>
      <w:r w:rsidR="0023382C" w:rsidRPr="007F1A2A">
        <w:rPr>
          <w:rFonts w:asciiTheme="minorHAnsi" w:hAnsiTheme="minorHAnsi" w:cs="Calibri"/>
          <w:sz w:val="24"/>
          <w:szCs w:val="24"/>
          <w:lang w:val="en-US"/>
        </w:rPr>
        <w:t>,</w:t>
      </w:r>
      <w:r w:rsidRPr="007F1A2A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20513A" w:rsidRPr="007F1A2A">
        <w:rPr>
          <w:rFonts w:asciiTheme="minorHAnsi" w:hAnsiTheme="minorHAnsi" w:cs="Calibri"/>
          <w:sz w:val="24"/>
          <w:szCs w:val="24"/>
          <w:lang w:val="en-US"/>
        </w:rPr>
        <w:t>WSIS</w:t>
      </w:r>
      <w:r w:rsidR="00113FA3">
        <w:rPr>
          <w:rFonts w:asciiTheme="minorHAnsi" w:hAnsiTheme="minorHAnsi" w:cs="Calibri"/>
          <w:sz w:val="24"/>
          <w:szCs w:val="24"/>
          <w:lang w:val="en-US"/>
        </w:rPr>
        <w:t xml:space="preserve"> G</w:t>
      </w:r>
      <w:r w:rsidR="00D63271" w:rsidRPr="007F1A2A">
        <w:rPr>
          <w:rFonts w:asciiTheme="minorHAnsi" w:hAnsiTheme="minorHAnsi" w:cs="Calibri"/>
          <w:sz w:val="24"/>
          <w:szCs w:val="24"/>
          <w:lang w:val="en-US"/>
        </w:rPr>
        <w:t>oals</w:t>
      </w:r>
      <w:r w:rsidR="00113FA3">
        <w:rPr>
          <w:rFonts w:asciiTheme="minorHAnsi" w:hAnsiTheme="minorHAnsi" w:cs="Calibri"/>
          <w:sz w:val="24"/>
          <w:szCs w:val="24"/>
          <w:lang w:val="en-US"/>
        </w:rPr>
        <w:t xml:space="preserve">, and PP-18 Goals – especially new Goal 5 - as well as the </w:t>
      </w:r>
      <w:r w:rsidR="00D63271" w:rsidRPr="007F1A2A">
        <w:rPr>
          <w:rFonts w:asciiTheme="minorHAnsi" w:hAnsiTheme="minorHAnsi" w:cs="Calibri"/>
          <w:sz w:val="24"/>
          <w:szCs w:val="24"/>
          <w:lang w:val="en-US"/>
        </w:rPr>
        <w:t>contribut</w:t>
      </w:r>
      <w:r w:rsidR="00113FA3">
        <w:rPr>
          <w:rFonts w:asciiTheme="minorHAnsi" w:hAnsiTheme="minorHAnsi" w:cs="Calibri"/>
          <w:sz w:val="24"/>
          <w:szCs w:val="24"/>
          <w:lang w:val="en-US"/>
        </w:rPr>
        <w:t xml:space="preserve">ion </w:t>
      </w:r>
      <w:r w:rsidR="00D63271" w:rsidRPr="007F1A2A">
        <w:rPr>
          <w:rFonts w:asciiTheme="minorHAnsi" w:hAnsiTheme="minorHAnsi" w:cs="Calibri"/>
          <w:sz w:val="24"/>
          <w:szCs w:val="24"/>
          <w:lang w:val="en-US"/>
        </w:rPr>
        <w:t xml:space="preserve">to the </w:t>
      </w:r>
      <w:r w:rsidR="00C97B05" w:rsidRPr="007F1A2A">
        <w:rPr>
          <w:rFonts w:asciiTheme="minorHAnsi" w:hAnsiTheme="minorHAnsi" w:cs="Calibri"/>
          <w:sz w:val="24"/>
          <w:szCs w:val="24"/>
          <w:lang w:val="en-US"/>
        </w:rPr>
        <w:t>Sustainable</w:t>
      </w:r>
      <w:r w:rsidR="00D63271" w:rsidRPr="007F1A2A">
        <w:rPr>
          <w:rFonts w:asciiTheme="minorHAnsi" w:hAnsiTheme="minorHAnsi" w:cs="Calibri"/>
          <w:sz w:val="24"/>
          <w:szCs w:val="24"/>
          <w:lang w:val="en-US"/>
        </w:rPr>
        <w:t xml:space="preserve"> Development Goals (SDGs)</w:t>
      </w:r>
      <w:r w:rsidR="00B27915" w:rsidRPr="007F1A2A">
        <w:rPr>
          <w:rFonts w:asciiTheme="minorHAnsi" w:hAnsiTheme="minorHAnsi" w:cs="Calibri"/>
          <w:sz w:val="24"/>
          <w:szCs w:val="24"/>
          <w:lang w:val="en-US"/>
        </w:rPr>
        <w:t>, taking into account SDG 17 in particular.</w:t>
      </w:r>
    </w:p>
    <w:p w14:paraId="572B15BA" w14:textId="13259CB6" w:rsidR="00BE27BF" w:rsidRPr="007F1A2A" w:rsidRDefault="00E250B6" w:rsidP="00425F08">
      <w:pPr>
        <w:pStyle w:val="CEONormal"/>
        <w:spacing w:after="0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  <w:lang w:val="en-US"/>
        </w:rPr>
        <w:t>_______________</w:t>
      </w:r>
    </w:p>
    <w:sectPr w:rsidR="00BE27BF" w:rsidRPr="007F1A2A" w:rsidSect="005B1696">
      <w:headerReference w:type="default" r:id="rId18"/>
      <w:footerReference w:type="first" r:id="rId19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4C273" w14:textId="77777777" w:rsidR="00E23018" w:rsidRDefault="00E23018">
      <w:r>
        <w:separator/>
      </w:r>
    </w:p>
    <w:p w14:paraId="2374959D" w14:textId="77777777" w:rsidR="00E23018" w:rsidRDefault="00E23018"/>
  </w:endnote>
  <w:endnote w:type="continuationSeparator" w:id="0">
    <w:p w14:paraId="6D440D2E" w14:textId="77777777" w:rsidR="00E23018" w:rsidRDefault="00E23018">
      <w:r>
        <w:continuationSeparator/>
      </w:r>
    </w:p>
    <w:p w14:paraId="66BA89E8" w14:textId="77777777" w:rsidR="00E23018" w:rsidRDefault="00E23018"/>
  </w:endnote>
  <w:endnote w:type="continuationNotice" w:id="1">
    <w:p w14:paraId="2515DACC" w14:textId="77777777" w:rsidR="00E23018" w:rsidRDefault="00E2301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650814" w:rsidRPr="009359B8" w14:paraId="4CD82069" w14:textId="77777777" w:rsidTr="0009539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6BED275" w14:textId="77777777" w:rsidR="00650814" w:rsidRPr="004D495C" w:rsidRDefault="00650814" w:rsidP="0065081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19CB5A2" w14:textId="77777777" w:rsidR="00650814" w:rsidRPr="004D495C" w:rsidRDefault="00650814" w:rsidP="0065081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3F0ED9C" w14:textId="77777777" w:rsidR="00650814" w:rsidRPr="00103886" w:rsidRDefault="00650814" w:rsidP="00650814">
          <w:pPr>
            <w:pStyle w:val="FirstFooter"/>
            <w:tabs>
              <w:tab w:val="left" w:pos="1201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Dr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Eun-Ju</w:t>
          </w:r>
          <w:proofErr w:type="spellEnd"/>
          <w:r>
            <w:rPr>
              <w:sz w:val="18"/>
              <w:szCs w:val="18"/>
              <w:lang w:val="en-US"/>
            </w:rPr>
            <w:t xml:space="preserve"> Kim, Chief, Innovation and Partnership Department </w:t>
          </w:r>
          <w:r w:rsidRPr="00547BAC">
            <w:rPr>
              <w:sz w:val="18"/>
              <w:szCs w:val="18"/>
              <w:lang w:val="en-GB"/>
            </w:rPr>
            <w:t>Telecommunication Development Bureau</w:t>
          </w:r>
        </w:p>
      </w:tc>
    </w:tr>
    <w:tr w:rsidR="00650814" w:rsidRPr="009359B8" w14:paraId="37EC7025" w14:textId="77777777" w:rsidTr="00095399">
      <w:tc>
        <w:tcPr>
          <w:tcW w:w="1526" w:type="dxa"/>
          <w:shd w:val="clear" w:color="auto" w:fill="auto"/>
        </w:tcPr>
        <w:p w14:paraId="1A603277" w14:textId="77777777" w:rsidR="00650814" w:rsidRPr="004D495C" w:rsidRDefault="00650814" w:rsidP="0065081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77CBC4B" w14:textId="77777777" w:rsidR="00650814" w:rsidRPr="004D495C" w:rsidRDefault="00650814" w:rsidP="0065081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7508AE0" w14:textId="77777777" w:rsidR="00650814" w:rsidRPr="00103886" w:rsidRDefault="00650814" w:rsidP="0065081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+41 22 730 5900</w:t>
          </w:r>
        </w:p>
      </w:tc>
    </w:tr>
    <w:tr w:rsidR="00650814" w:rsidRPr="009359B8" w14:paraId="53DE4E6E" w14:textId="77777777" w:rsidTr="00095399">
      <w:tc>
        <w:tcPr>
          <w:tcW w:w="1526" w:type="dxa"/>
          <w:shd w:val="clear" w:color="auto" w:fill="auto"/>
        </w:tcPr>
        <w:p w14:paraId="0496FAD6" w14:textId="77777777" w:rsidR="00650814" w:rsidRPr="004D495C" w:rsidRDefault="00650814" w:rsidP="0065081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F218A7B" w14:textId="77777777" w:rsidR="00650814" w:rsidRPr="004D495C" w:rsidRDefault="00650814" w:rsidP="0065081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4CA6701" w14:textId="77777777" w:rsidR="00650814" w:rsidRPr="00103886" w:rsidRDefault="009B38D4" w:rsidP="0065081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650814" w:rsidRPr="00996114">
              <w:rPr>
                <w:rStyle w:val="Hyperlink"/>
                <w:sz w:val="18"/>
                <w:szCs w:val="18"/>
                <w:lang w:val="en-US"/>
              </w:rPr>
              <w:t>eun-ju.kim@itu.int</w:t>
            </w:r>
          </w:hyperlink>
          <w:r w:rsidR="00650814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714F1EE7" w14:textId="77777777" w:rsidR="007156A3" w:rsidRPr="00547039" w:rsidRDefault="009B38D4" w:rsidP="00547039">
    <w:pPr>
      <w:jc w:val="center"/>
      <w:rPr>
        <w:lang w:val="en-US"/>
      </w:rPr>
    </w:pPr>
    <w:hyperlink r:id="rId2" w:history="1">
      <w:r w:rsidR="00547039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907CF" w14:textId="77777777" w:rsidR="00E23018" w:rsidRDefault="00E23018" w:rsidP="00AD5B8E">
      <w:r>
        <w:separator/>
      </w:r>
    </w:p>
  </w:footnote>
  <w:footnote w:type="continuationSeparator" w:id="0">
    <w:p w14:paraId="229B73F4" w14:textId="77777777" w:rsidR="00E23018" w:rsidRDefault="00E23018">
      <w:r>
        <w:continuationSeparator/>
      </w:r>
    </w:p>
    <w:p w14:paraId="40BC1F46" w14:textId="77777777" w:rsidR="00E23018" w:rsidRDefault="00E23018"/>
  </w:footnote>
  <w:footnote w:type="continuationNotice" w:id="1">
    <w:p w14:paraId="3F0DB204" w14:textId="77777777" w:rsidR="00E23018" w:rsidRDefault="00E23018">
      <w:pPr>
        <w:spacing w:before="0"/>
      </w:pPr>
    </w:p>
  </w:footnote>
  <w:footnote w:id="2">
    <w:p w14:paraId="27AD8EEE" w14:textId="5DD1AC98" w:rsidR="00143033" w:rsidRPr="00EB2399" w:rsidRDefault="00143033" w:rsidP="00756D48">
      <w:pPr>
        <w:pStyle w:val="FootnoteText"/>
        <w:tabs>
          <w:tab w:val="clear" w:pos="255"/>
          <w:tab w:val="left" w:pos="0"/>
        </w:tabs>
        <w:spacing w:before="0"/>
        <w:ind w:left="142" w:hanging="142"/>
        <w:rPr>
          <w:sz w:val="18"/>
          <w:szCs w:val="18"/>
          <w:lang w:val="en-US"/>
        </w:rPr>
      </w:pPr>
      <w:r w:rsidRPr="00EB2399">
        <w:rPr>
          <w:rStyle w:val="FootnoteReference"/>
          <w:szCs w:val="18"/>
        </w:rPr>
        <w:footnoteRef/>
      </w:r>
      <w:r w:rsidRPr="00EB2399">
        <w:rPr>
          <w:sz w:val="18"/>
          <w:szCs w:val="18"/>
        </w:rPr>
        <w:t xml:space="preserve"> Memorandum of Understanding, Cooperation Agreement, </w:t>
      </w:r>
      <w:r w:rsidR="0037795A">
        <w:rPr>
          <w:sz w:val="18"/>
          <w:szCs w:val="18"/>
        </w:rPr>
        <w:t xml:space="preserve">Project </w:t>
      </w:r>
      <w:r w:rsidR="00B411CF">
        <w:rPr>
          <w:sz w:val="18"/>
          <w:szCs w:val="18"/>
        </w:rPr>
        <w:t>D</w:t>
      </w:r>
      <w:r w:rsidR="0037795A">
        <w:rPr>
          <w:sz w:val="18"/>
          <w:szCs w:val="18"/>
        </w:rPr>
        <w:t xml:space="preserve">ocument, </w:t>
      </w:r>
      <w:r w:rsidRPr="00EB2399">
        <w:rPr>
          <w:sz w:val="18"/>
          <w:szCs w:val="18"/>
        </w:rPr>
        <w:t>Voluntary Contribution Agreement, Sponsorship Agreement, etc.</w:t>
      </w:r>
    </w:p>
  </w:footnote>
  <w:footnote w:id="3">
    <w:p w14:paraId="35C64CB4" w14:textId="33322B85" w:rsidR="00756D48" w:rsidRPr="0053794D" w:rsidRDefault="00756D48" w:rsidP="00756D48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53794D">
        <w:rPr>
          <w:sz w:val="18"/>
          <w:szCs w:val="18"/>
        </w:rPr>
        <w:t xml:space="preserve">a) </w:t>
      </w:r>
      <w:r>
        <w:rPr>
          <w:sz w:val="18"/>
          <w:szCs w:val="18"/>
        </w:rPr>
        <w:t>A</w:t>
      </w:r>
      <w:r w:rsidRPr="0053794D">
        <w:rPr>
          <w:sz w:val="18"/>
          <w:szCs w:val="18"/>
        </w:rPr>
        <w:t xml:space="preserve">greements and </w:t>
      </w:r>
      <w:r>
        <w:rPr>
          <w:sz w:val="18"/>
          <w:szCs w:val="18"/>
        </w:rPr>
        <w:t>P</w:t>
      </w:r>
      <w:r w:rsidRPr="0053794D">
        <w:rPr>
          <w:sz w:val="18"/>
          <w:szCs w:val="18"/>
        </w:rPr>
        <w:t xml:space="preserve">rojects with cash contribution, b) </w:t>
      </w:r>
      <w:r>
        <w:rPr>
          <w:sz w:val="18"/>
          <w:szCs w:val="18"/>
        </w:rPr>
        <w:t>A</w:t>
      </w:r>
      <w:r w:rsidRPr="0053794D">
        <w:rPr>
          <w:sz w:val="18"/>
          <w:szCs w:val="18"/>
        </w:rPr>
        <w:t xml:space="preserve">greements and </w:t>
      </w:r>
      <w:r>
        <w:rPr>
          <w:sz w:val="18"/>
          <w:szCs w:val="18"/>
        </w:rPr>
        <w:t>P</w:t>
      </w:r>
      <w:r w:rsidRPr="0053794D">
        <w:rPr>
          <w:sz w:val="18"/>
          <w:szCs w:val="18"/>
        </w:rPr>
        <w:t xml:space="preserve">rojects without cash contribution, c) </w:t>
      </w:r>
      <w:r>
        <w:rPr>
          <w:sz w:val="18"/>
          <w:szCs w:val="18"/>
        </w:rPr>
        <w:t>S</w:t>
      </w:r>
      <w:r w:rsidRPr="0053794D">
        <w:rPr>
          <w:sz w:val="18"/>
          <w:szCs w:val="18"/>
        </w:rPr>
        <w:t xml:space="preserve">ponsorship </w:t>
      </w:r>
      <w:r>
        <w:rPr>
          <w:sz w:val="18"/>
          <w:szCs w:val="18"/>
        </w:rPr>
        <w:t>A</w:t>
      </w:r>
      <w:r w:rsidRPr="0053794D">
        <w:rPr>
          <w:sz w:val="18"/>
          <w:szCs w:val="18"/>
        </w:rPr>
        <w:t>greements</w:t>
      </w:r>
      <w:r>
        <w:rPr>
          <w:sz w:val="18"/>
          <w:szCs w:val="18"/>
        </w:rPr>
        <w:t>,</w:t>
      </w:r>
      <w:r w:rsidRPr="0053794D">
        <w:rPr>
          <w:sz w:val="18"/>
          <w:szCs w:val="18"/>
        </w:rPr>
        <w:t xml:space="preserve"> and d) </w:t>
      </w:r>
      <w:r>
        <w:rPr>
          <w:sz w:val="18"/>
          <w:szCs w:val="18"/>
        </w:rPr>
        <w:t>A</w:t>
      </w:r>
      <w:r w:rsidRPr="0053794D">
        <w:rPr>
          <w:sz w:val="18"/>
          <w:szCs w:val="18"/>
        </w:rPr>
        <w:t>ddenda/</w:t>
      </w:r>
      <w:r>
        <w:rPr>
          <w:sz w:val="18"/>
          <w:szCs w:val="18"/>
        </w:rPr>
        <w:t>A</w:t>
      </w:r>
      <w:r w:rsidRPr="0053794D">
        <w:rPr>
          <w:sz w:val="18"/>
          <w:szCs w:val="18"/>
        </w:rPr>
        <w:t>mendments</w:t>
      </w:r>
      <w:r>
        <w:rPr>
          <w:sz w:val="18"/>
          <w:szCs w:val="18"/>
        </w:rPr>
        <w:t>.</w:t>
      </w:r>
    </w:p>
  </w:footnote>
  <w:footnote w:id="4">
    <w:p w14:paraId="4A858118" w14:textId="6EC2D326" w:rsidR="009673F7" w:rsidRPr="00EB2399" w:rsidRDefault="009673F7" w:rsidP="00EB2399">
      <w:pPr>
        <w:pStyle w:val="FootnoteText"/>
        <w:spacing w:before="0"/>
        <w:rPr>
          <w:sz w:val="18"/>
          <w:szCs w:val="18"/>
          <w:lang w:val="en-US"/>
        </w:rPr>
      </w:pPr>
      <w:r w:rsidRPr="00EB2399">
        <w:rPr>
          <w:rStyle w:val="FootnoteReference"/>
          <w:szCs w:val="18"/>
        </w:rPr>
        <w:footnoteRef/>
      </w:r>
      <w:r w:rsidRPr="00EB2399">
        <w:rPr>
          <w:sz w:val="18"/>
          <w:szCs w:val="18"/>
        </w:rPr>
        <w:t xml:space="preserve"> Secretariats of the Basel and Stockholm Convention</w:t>
      </w:r>
    </w:p>
  </w:footnote>
  <w:footnote w:id="5">
    <w:p w14:paraId="1FEC4D19" w14:textId="6BAA01AB" w:rsidR="009673F7" w:rsidRPr="00EB2399" w:rsidRDefault="009673F7" w:rsidP="00EB2399">
      <w:pPr>
        <w:pStyle w:val="FootnoteText"/>
        <w:spacing w:before="0"/>
        <w:rPr>
          <w:sz w:val="18"/>
          <w:szCs w:val="18"/>
        </w:rPr>
      </w:pPr>
      <w:r w:rsidRPr="00EB2399">
        <w:rPr>
          <w:rStyle w:val="FootnoteReference"/>
          <w:szCs w:val="18"/>
        </w:rPr>
        <w:footnoteRef/>
      </w:r>
      <w:r w:rsidRPr="00EB2399">
        <w:rPr>
          <w:sz w:val="18"/>
          <w:szCs w:val="18"/>
        </w:rPr>
        <w:t xml:space="preserve"> International Solid Waste Association</w:t>
      </w:r>
    </w:p>
  </w:footnote>
  <w:footnote w:id="6">
    <w:p w14:paraId="622CC376" w14:textId="41B52DAF" w:rsidR="009673F7" w:rsidRPr="00EB2399" w:rsidRDefault="009673F7" w:rsidP="00EB2399">
      <w:pPr>
        <w:pStyle w:val="FootnoteText"/>
        <w:spacing w:before="0"/>
        <w:rPr>
          <w:sz w:val="18"/>
          <w:szCs w:val="18"/>
        </w:rPr>
      </w:pPr>
      <w:r w:rsidRPr="00EB2399">
        <w:rPr>
          <w:rStyle w:val="FootnoteReference"/>
          <w:szCs w:val="18"/>
        </w:rPr>
        <w:footnoteRef/>
      </w:r>
      <w:r w:rsidRPr="00EB2399">
        <w:rPr>
          <w:sz w:val="18"/>
          <w:szCs w:val="18"/>
        </w:rPr>
        <w:t xml:space="preserve"> United Nations University Vice Rectorate in Europe</w:t>
      </w:r>
      <w:r w:rsidRPr="00EB2399">
        <w:rPr>
          <w:b/>
          <w:bCs/>
          <w:sz w:val="18"/>
          <w:szCs w:val="18"/>
        </w:rPr>
        <w:t>,</w:t>
      </w:r>
      <w:r w:rsidRPr="00EB2399">
        <w:rPr>
          <w:sz w:val="18"/>
          <w:szCs w:val="18"/>
        </w:rPr>
        <w:t xml:space="preserve"> Sustainable Cycles Programme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A26FC" w14:textId="316680FA" w:rsidR="000B6330" w:rsidRPr="00172694" w:rsidRDefault="00A525CC" w:rsidP="005F7FD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lang w:val="de-DE"/>
      </w:rPr>
    </w:pPr>
    <w:r w:rsidRPr="00972BCD">
      <w:rPr>
        <w:sz w:val="22"/>
        <w:szCs w:val="22"/>
      </w:rPr>
      <w:tab/>
    </w:r>
    <w:bookmarkStart w:id="12" w:name="DocRef2"/>
    <w:bookmarkEnd w:id="12"/>
    <w:r w:rsidRPr="00A54E72">
      <w:rPr>
        <w:sz w:val="22"/>
        <w:szCs w:val="22"/>
        <w:lang w:val="de-CH"/>
      </w:rPr>
      <w:t>TDAG1</w:t>
    </w:r>
    <w:r w:rsidR="005F7FDB">
      <w:rPr>
        <w:sz w:val="22"/>
        <w:szCs w:val="22"/>
        <w:lang w:val="de-CH"/>
      </w:rPr>
      <w:t>9</w:t>
    </w:r>
    <w:r w:rsidRPr="00A54E72">
      <w:rPr>
        <w:sz w:val="22"/>
        <w:szCs w:val="22"/>
        <w:lang w:val="de-CH"/>
      </w:rPr>
      <w:t>/</w:t>
    </w:r>
    <w:bookmarkStart w:id="13" w:name="DocNo2"/>
    <w:bookmarkEnd w:id="13"/>
    <w:r w:rsidR="008132AC">
      <w:rPr>
        <w:sz w:val="22"/>
        <w:szCs w:val="22"/>
        <w:lang w:val="de-CH"/>
      </w:rPr>
      <w:t>2</w:t>
    </w:r>
    <w:r w:rsidR="009E0739">
      <w:rPr>
        <w:sz w:val="22"/>
        <w:szCs w:val="22"/>
        <w:lang w:val="de-CH"/>
      </w:rPr>
      <w:t>1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9B38D4">
      <w:rPr>
        <w:noProof/>
        <w:sz w:val="22"/>
        <w:szCs w:val="22"/>
        <w:lang w:val="de-CH"/>
      </w:rPr>
      <w:t>5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A1AD5"/>
    <w:multiLevelType w:val="hybridMultilevel"/>
    <w:tmpl w:val="C728BC86"/>
    <w:lvl w:ilvl="0" w:tplc="14882620">
      <w:start w:val="1"/>
      <w:numFmt w:val="lowerLetter"/>
      <w:pStyle w:val="CEOParagraphabc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9865045"/>
    <w:multiLevelType w:val="hybridMultilevel"/>
    <w:tmpl w:val="57D84DA0"/>
    <w:lvl w:ilvl="0" w:tplc="860A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5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CD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0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A6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C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27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D2269"/>
    <w:multiLevelType w:val="multilevel"/>
    <w:tmpl w:val="C2BE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3672AF5"/>
    <w:multiLevelType w:val="multilevel"/>
    <w:tmpl w:val="8B78F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AAA4585"/>
    <w:multiLevelType w:val="hybridMultilevel"/>
    <w:tmpl w:val="90D02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5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CD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0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A6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C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27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3"/>
    <w:rsid w:val="00000673"/>
    <w:rsid w:val="00000FF1"/>
    <w:rsid w:val="00001467"/>
    <w:rsid w:val="00002716"/>
    <w:rsid w:val="00005791"/>
    <w:rsid w:val="00013A55"/>
    <w:rsid w:val="000140F6"/>
    <w:rsid w:val="00016A33"/>
    <w:rsid w:val="0001746F"/>
    <w:rsid w:val="000212AA"/>
    <w:rsid w:val="00021E50"/>
    <w:rsid w:val="000222F9"/>
    <w:rsid w:val="000234B4"/>
    <w:rsid w:val="0002520B"/>
    <w:rsid w:val="000253AA"/>
    <w:rsid w:val="0002664E"/>
    <w:rsid w:val="00027E4F"/>
    <w:rsid w:val="00030B0E"/>
    <w:rsid w:val="00030DD0"/>
    <w:rsid w:val="00031F00"/>
    <w:rsid w:val="00034D75"/>
    <w:rsid w:val="00035BA5"/>
    <w:rsid w:val="00035FA7"/>
    <w:rsid w:val="00037A9E"/>
    <w:rsid w:val="00037F91"/>
    <w:rsid w:val="000431A5"/>
    <w:rsid w:val="00046E97"/>
    <w:rsid w:val="00047072"/>
    <w:rsid w:val="00047B46"/>
    <w:rsid w:val="0005150C"/>
    <w:rsid w:val="000539F1"/>
    <w:rsid w:val="00054B21"/>
    <w:rsid w:val="00055A2A"/>
    <w:rsid w:val="00055DE9"/>
    <w:rsid w:val="00056BED"/>
    <w:rsid w:val="00056E48"/>
    <w:rsid w:val="000615C1"/>
    <w:rsid w:val="00063432"/>
    <w:rsid w:val="00064903"/>
    <w:rsid w:val="00066E28"/>
    <w:rsid w:val="00067C7B"/>
    <w:rsid w:val="000700D0"/>
    <w:rsid w:val="000727B0"/>
    <w:rsid w:val="000733D7"/>
    <w:rsid w:val="00073974"/>
    <w:rsid w:val="00074EA2"/>
    <w:rsid w:val="0007692F"/>
    <w:rsid w:val="000769F8"/>
    <w:rsid w:val="00076D3D"/>
    <w:rsid w:val="00077155"/>
    <w:rsid w:val="0007786F"/>
    <w:rsid w:val="000806BC"/>
    <w:rsid w:val="00082CF2"/>
    <w:rsid w:val="00084CA2"/>
    <w:rsid w:val="00087675"/>
    <w:rsid w:val="00090DAB"/>
    <w:rsid w:val="0009225C"/>
    <w:rsid w:val="00093188"/>
    <w:rsid w:val="000940BC"/>
    <w:rsid w:val="000953B8"/>
    <w:rsid w:val="0009557E"/>
    <w:rsid w:val="0009797A"/>
    <w:rsid w:val="00097DE0"/>
    <w:rsid w:val="000A17C4"/>
    <w:rsid w:val="000A239A"/>
    <w:rsid w:val="000A34A1"/>
    <w:rsid w:val="000A395E"/>
    <w:rsid w:val="000A4BB3"/>
    <w:rsid w:val="000A6BF3"/>
    <w:rsid w:val="000B20E5"/>
    <w:rsid w:val="000B2352"/>
    <w:rsid w:val="000B5260"/>
    <w:rsid w:val="000B6330"/>
    <w:rsid w:val="000C4987"/>
    <w:rsid w:val="000C4D19"/>
    <w:rsid w:val="000C5AF7"/>
    <w:rsid w:val="000C7B84"/>
    <w:rsid w:val="000D261B"/>
    <w:rsid w:val="000D2CA5"/>
    <w:rsid w:val="000D3EF0"/>
    <w:rsid w:val="000D4337"/>
    <w:rsid w:val="000D5479"/>
    <w:rsid w:val="000D58A3"/>
    <w:rsid w:val="000D60C5"/>
    <w:rsid w:val="000E1E12"/>
    <w:rsid w:val="000E2A41"/>
    <w:rsid w:val="000E37E6"/>
    <w:rsid w:val="000E3ED4"/>
    <w:rsid w:val="000E3F9C"/>
    <w:rsid w:val="000F1550"/>
    <w:rsid w:val="000F17F3"/>
    <w:rsid w:val="000F2A9D"/>
    <w:rsid w:val="000F2BCA"/>
    <w:rsid w:val="000F512C"/>
    <w:rsid w:val="000F5373"/>
    <w:rsid w:val="000F6644"/>
    <w:rsid w:val="00100335"/>
    <w:rsid w:val="00100833"/>
    <w:rsid w:val="00102F72"/>
    <w:rsid w:val="00103464"/>
    <w:rsid w:val="001061C7"/>
    <w:rsid w:val="00112CC1"/>
    <w:rsid w:val="00113C2C"/>
    <w:rsid w:val="00113EE8"/>
    <w:rsid w:val="00113FA3"/>
    <w:rsid w:val="0011455A"/>
    <w:rsid w:val="00114A65"/>
    <w:rsid w:val="00116121"/>
    <w:rsid w:val="00116C5F"/>
    <w:rsid w:val="00127C68"/>
    <w:rsid w:val="00131739"/>
    <w:rsid w:val="00132D41"/>
    <w:rsid w:val="00132FD8"/>
    <w:rsid w:val="00133061"/>
    <w:rsid w:val="00134AB7"/>
    <w:rsid w:val="00136869"/>
    <w:rsid w:val="00141489"/>
    <w:rsid w:val="00141699"/>
    <w:rsid w:val="00141D0A"/>
    <w:rsid w:val="00141FAC"/>
    <w:rsid w:val="00143033"/>
    <w:rsid w:val="00146F49"/>
    <w:rsid w:val="00147000"/>
    <w:rsid w:val="00151734"/>
    <w:rsid w:val="0015260A"/>
    <w:rsid w:val="00153B9E"/>
    <w:rsid w:val="00163091"/>
    <w:rsid w:val="001644C4"/>
    <w:rsid w:val="001645CB"/>
    <w:rsid w:val="00165B1D"/>
    <w:rsid w:val="00166305"/>
    <w:rsid w:val="00166467"/>
    <w:rsid w:val="001703C6"/>
    <w:rsid w:val="0017143D"/>
    <w:rsid w:val="00172546"/>
    <w:rsid w:val="00172694"/>
    <w:rsid w:val="00173781"/>
    <w:rsid w:val="00175CAE"/>
    <w:rsid w:val="00177B08"/>
    <w:rsid w:val="001800DE"/>
    <w:rsid w:val="0018112A"/>
    <w:rsid w:val="001828DB"/>
    <w:rsid w:val="001850FE"/>
    <w:rsid w:val="00185135"/>
    <w:rsid w:val="001855FE"/>
    <w:rsid w:val="0018567C"/>
    <w:rsid w:val="00186CAE"/>
    <w:rsid w:val="0019037C"/>
    <w:rsid w:val="001905A9"/>
    <w:rsid w:val="00190D0D"/>
    <w:rsid w:val="00191273"/>
    <w:rsid w:val="001942A7"/>
    <w:rsid w:val="0019526F"/>
    <w:rsid w:val="0019587B"/>
    <w:rsid w:val="001A163D"/>
    <w:rsid w:val="001A2ED1"/>
    <w:rsid w:val="001A39A3"/>
    <w:rsid w:val="001A441E"/>
    <w:rsid w:val="001A6733"/>
    <w:rsid w:val="001A6DC9"/>
    <w:rsid w:val="001B090F"/>
    <w:rsid w:val="001B2FEC"/>
    <w:rsid w:val="001B357F"/>
    <w:rsid w:val="001B66A4"/>
    <w:rsid w:val="001B7B8D"/>
    <w:rsid w:val="001C1680"/>
    <w:rsid w:val="001C291A"/>
    <w:rsid w:val="001C3702"/>
    <w:rsid w:val="001C4656"/>
    <w:rsid w:val="001C6703"/>
    <w:rsid w:val="001C6AEB"/>
    <w:rsid w:val="001D2CB2"/>
    <w:rsid w:val="001D371D"/>
    <w:rsid w:val="001D42A3"/>
    <w:rsid w:val="001D5FA0"/>
    <w:rsid w:val="001D76C6"/>
    <w:rsid w:val="001E16A4"/>
    <w:rsid w:val="001E5172"/>
    <w:rsid w:val="001E5A87"/>
    <w:rsid w:val="001F237C"/>
    <w:rsid w:val="001F23E6"/>
    <w:rsid w:val="001F28E6"/>
    <w:rsid w:val="001F4238"/>
    <w:rsid w:val="001F50BD"/>
    <w:rsid w:val="001F5729"/>
    <w:rsid w:val="001F5C81"/>
    <w:rsid w:val="001F6F86"/>
    <w:rsid w:val="00200A38"/>
    <w:rsid w:val="00200A46"/>
    <w:rsid w:val="0020182F"/>
    <w:rsid w:val="00203B72"/>
    <w:rsid w:val="00203E00"/>
    <w:rsid w:val="0020513A"/>
    <w:rsid w:val="00206EB5"/>
    <w:rsid w:val="00211B6F"/>
    <w:rsid w:val="00211E87"/>
    <w:rsid w:val="00213048"/>
    <w:rsid w:val="00214DA8"/>
    <w:rsid w:val="00217CC3"/>
    <w:rsid w:val="002201E6"/>
    <w:rsid w:val="00220AB6"/>
    <w:rsid w:val="0022120F"/>
    <w:rsid w:val="00222820"/>
    <w:rsid w:val="002259DC"/>
    <w:rsid w:val="002266DB"/>
    <w:rsid w:val="0022754A"/>
    <w:rsid w:val="00230826"/>
    <w:rsid w:val="002320D1"/>
    <w:rsid w:val="0023382C"/>
    <w:rsid w:val="00236560"/>
    <w:rsid w:val="0023662E"/>
    <w:rsid w:val="00237ECB"/>
    <w:rsid w:val="002405DF"/>
    <w:rsid w:val="00241828"/>
    <w:rsid w:val="002455E0"/>
    <w:rsid w:val="00245D0F"/>
    <w:rsid w:val="002463BF"/>
    <w:rsid w:val="00252CCB"/>
    <w:rsid w:val="002548C3"/>
    <w:rsid w:val="00254957"/>
    <w:rsid w:val="00254C8C"/>
    <w:rsid w:val="002563FC"/>
    <w:rsid w:val="00257ACD"/>
    <w:rsid w:val="00260D80"/>
    <w:rsid w:val="00262908"/>
    <w:rsid w:val="00265091"/>
    <w:rsid w:val="002650F4"/>
    <w:rsid w:val="0026600A"/>
    <w:rsid w:val="002662A5"/>
    <w:rsid w:val="002663BA"/>
    <w:rsid w:val="002703CC"/>
    <w:rsid w:val="002715FD"/>
    <w:rsid w:val="002756CD"/>
    <w:rsid w:val="002761E2"/>
    <w:rsid w:val="00277B46"/>
    <w:rsid w:val="0028335E"/>
    <w:rsid w:val="002849BD"/>
    <w:rsid w:val="002854BF"/>
    <w:rsid w:val="00285B33"/>
    <w:rsid w:val="00287D3F"/>
    <w:rsid w:val="002909B3"/>
    <w:rsid w:val="00291AA3"/>
    <w:rsid w:val="00294A96"/>
    <w:rsid w:val="002961D5"/>
    <w:rsid w:val="002967B0"/>
    <w:rsid w:val="00296BAB"/>
    <w:rsid w:val="002970A3"/>
    <w:rsid w:val="0029748A"/>
    <w:rsid w:val="002B049F"/>
    <w:rsid w:val="002B3E20"/>
    <w:rsid w:val="002B4AE9"/>
    <w:rsid w:val="002B74A8"/>
    <w:rsid w:val="002C127B"/>
    <w:rsid w:val="002C1EC7"/>
    <w:rsid w:val="002C27BB"/>
    <w:rsid w:val="002C2BB1"/>
    <w:rsid w:val="002C3A92"/>
    <w:rsid w:val="002C7D9F"/>
    <w:rsid w:val="002C7EA3"/>
    <w:rsid w:val="002D1F75"/>
    <w:rsid w:val="002D20AE"/>
    <w:rsid w:val="002D2572"/>
    <w:rsid w:val="002D4896"/>
    <w:rsid w:val="002D6C61"/>
    <w:rsid w:val="002D6D39"/>
    <w:rsid w:val="002D7225"/>
    <w:rsid w:val="002D72EB"/>
    <w:rsid w:val="002E2104"/>
    <w:rsid w:val="002E29BE"/>
    <w:rsid w:val="002E302D"/>
    <w:rsid w:val="002E3204"/>
    <w:rsid w:val="002E340C"/>
    <w:rsid w:val="002E42F6"/>
    <w:rsid w:val="002E5800"/>
    <w:rsid w:val="002E5BA6"/>
    <w:rsid w:val="002E6963"/>
    <w:rsid w:val="002E701F"/>
    <w:rsid w:val="002F05D8"/>
    <w:rsid w:val="002F0A42"/>
    <w:rsid w:val="002F1592"/>
    <w:rsid w:val="002F2AE5"/>
    <w:rsid w:val="002F2DE0"/>
    <w:rsid w:val="002F2E06"/>
    <w:rsid w:val="002F4EB4"/>
    <w:rsid w:val="002F5E25"/>
    <w:rsid w:val="002F7E7A"/>
    <w:rsid w:val="0030036B"/>
    <w:rsid w:val="003028A3"/>
    <w:rsid w:val="00303F1F"/>
    <w:rsid w:val="003043F4"/>
    <w:rsid w:val="00306CD6"/>
    <w:rsid w:val="0031209F"/>
    <w:rsid w:val="003125C3"/>
    <w:rsid w:val="003127AA"/>
    <w:rsid w:val="00312AE6"/>
    <w:rsid w:val="003170F9"/>
    <w:rsid w:val="0031783D"/>
    <w:rsid w:val="00317D1A"/>
    <w:rsid w:val="003205CE"/>
    <w:rsid w:val="003211FF"/>
    <w:rsid w:val="00321F94"/>
    <w:rsid w:val="003227BD"/>
    <w:rsid w:val="00322E6F"/>
    <w:rsid w:val="00324877"/>
    <w:rsid w:val="003255ED"/>
    <w:rsid w:val="00327247"/>
    <w:rsid w:val="00327A9D"/>
    <w:rsid w:val="0033130E"/>
    <w:rsid w:val="003314BF"/>
    <w:rsid w:val="00333B1E"/>
    <w:rsid w:val="00334771"/>
    <w:rsid w:val="00335AFE"/>
    <w:rsid w:val="0033664C"/>
    <w:rsid w:val="00337869"/>
    <w:rsid w:val="00342EBC"/>
    <w:rsid w:val="00343049"/>
    <w:rsid w:val="00343828"/>
    <w:rsid w:val="0034689A"/>
    <w:rsid w:val="00352AFB"/>
    <w:rsid w:val="00355A4C"/>
    <w:rsid w:val="00356321"/>
    <w:rsid w:val="00357B28"/>
    <w:rsid w:val="00360B73"/>
    <w:rsid w:val="00360C9B"/>
    <w:rsid w:val="00367481"/>
    <w:rsid w:val="00367536"/>
    <w:rsid w:val="00370703"/>
    <w:rsid w:val="0037445E"/>
    <w:rsid w:val="00375D75"/>
    <w:rsid w:val="0037616F"/>
    <w:rsid w:val="0037795A"/>
    <w:rsid w:val="003810A6"/>
    <w:rsid w:val="0038365A"/>
    <w:rsid w:val="00385758"/>
    <w:rsid w:val="00386A89"/>
    <w:rsid w:val="00391FF3"/>
    <w:rsid w:val="003921B3"/>
    <w:rsid w:val="0039494E"/>
    <w:rsid w:val="0039648E"/>
    <w:rsid w:val="003A30E5"/>
    <w:rsid w:val="003A43E8"/>
    <w:rsid w:val="003A5310"/>
    <w:rsid w:val="003A5AFE"/>
    <w:rsid w:val="003A5D5F"/>
    <w:rsid w:val="003A7FFE"/>
    <w:rsid w:val="003B0A63"/>
    <w:rsid w:val="003B22A3"/>
    <w:rsid w:val="003B3ADB"/>
    <w:rsid w:val="003B4AAF"/>
    <w:rsid w:val="003B50E1"/>
    <w:rsid w:val="003B6779"/>
    <w:rsid w:val="003B6FA4"/>
    <w:rsid w:val="003C1746"/>
    <w:rsid w:val="003C19A2"/>
    <w:rsid w:val="003C58BF"/>
    <w:rsid w:val="003D023C"/>
    <w:rsid w:val="003D088A"/>
    <w:rsid w:val="003D36D6"/>
    <w:rsid w:val="003D36E8"/>
    <w:rsid w:val="003D3812"/>
    <w:rsid w:val="003D451D"/>
    <w:rsid w:val="003D57E7"/>
    <w:rsid w:val="003D70A1"/>
    <w:rsid w:val="003D73CF"/>
    <w:rsid w:val="003E2C03"/>
    <w:rsid w:val="003E4AB0"/>
    <w:rsid w:val="003E6492"/>
    <w:rsid w:val="003E66DE"/>
    <w:rsid w:val="003F043A"/>
    <w:rsid w:val="003F2DD8"/>
    <w:rsid w:val="003F50B2"/>
    <w:rsid w:val="003F6147"/>
    <w:rsid w:val="003F63FD"/>
    <w:rsid w:val="00400408"/>
    <w:rsid w:val="00400D2F"/>
    <w:rsid w:val="00401BFF"/>
    <w:rsid w:val="00401FBD"/>
    <w:rsid w:val="00404424"/>
    <w:rsid w:val="00404793"/>
    <w:rsid w:val="0040575F"/>
    <w:rsid w:val="00406D11"/>
    <w:rsid w:val="00407533"/>
    <w:rsid w:val="00407AEC"/>
    <w:rsid w:val="00410D97"/>
    <w:rsid w:val="004122C5"/>
    <w:rsid w:val="00413B6E"/>
    <w:rsid w:val="00413B78"/>
    <w:rsid w:val="00415E93"/>
    <w:rsid w:val="00416DDE"/>
    <w:rsid w:val="00416F89"/>
    <w:rsid w:val="00417970"/>
    <w:rsid w:val="00422899"/>
    <w:rsid w:val="0042426F"/>
    <w:rsid w:val="00425F08"/>
    <w:rsid w:val="0043048E"/>
    <w:rsid w:val="00432273"/>
    <w:rsid w:val="00435FED"/>
    <w:rsid w:val="00436B08"/>
    <w:rsid w:val="004375BF"/>
    <w:rsid w:val="00440BC2"/>
    <w:rsid w:val="00441250"/>
    <w:rsid w:val="00442412"/>
    <w:rsid w:val="0044411E"/>
    <w:rsid w:val="00444C8D"/>
    <w:rsid w:val="00450952"/>
    <w:rsid w:val="0045096D"/>
    <w:rsid w:val="00453435"/>
    <w:rsid w:val="00461F71"/>
    <w:rsid w:val="00464ED0"/>
    <w:rsid w:val="00465A95"/>
    <w:rsid w:val="00466398"/>
    <w:rsid w:val="00467BD2"/>
    <w:rsid w:val="00470C13"/>
    <w:rsid w:val="00470E19"/>
    <w:rsid w:val="00471D35"/>
    <w:rsid w:val="00476C4C"/>
    <w:rsid w:val="00476C9F"/>
    <w:rsid w:val="00480364"/>
    <w:rsid w:val="0048295E"/>
    <w:rsid w:val="00483954"/>
    <w:rsid w:val="00485C14"/>
    <w:rsid w:val="0049128B"/>
    <w:rsid w:val="00493B49"/>
    <w:rsid w:val="00493DC2"/>
    <w:rsid w:val="00495501"/>
    <w:rsid w:val="004A070A"/>
    <w:rsid w:val="004A0874"/>
    <w:rsid w:val="004A22D1"/>
    <w:rsid w:val="004A320E"/>
    <w:rsid w:val="004A47DE"/>
    <w:rsid w:val="004A4E9C"/>
    <w:rsid w:val="004A67A3"/>
    <w:rsid w:val="004B09A8"/>
    <w:rsid w:val="004B1A3C"/>
    <w:rsid w:val="004B1E59"/>
    <w:rsid w:val="004B2531"/>
    <w:rsid w:val="004B325D"/>
    <w:rsid w:val="004B424A"/>
    <w:rsid w:val="004B5C84"/>
    <w:rsid w:val="004B5EFF"/>
    <w:rsid w:val="004C3093"/>
    <w:rsid w:val="004C3EF5"/>
    <w:rsid w:val="004C439C"/>
    <w:rsid w:val="004C6351"/>
    <w:rsid w:val="004D2CC3"/>
    <w:rsid w:val="004D33C9"/>
    <w:rsid w:val="004D35CB"/>
    <w:rsid w:val="004D3816"/>
    <w:rsid w:val="004D3F0A"/>
    <w:rsid w:val="004D496D"/>
    <w:rsid w:val="004D5ED2"/>
    <w:rsid w:val="004E02B8"/>
    <w:rsid w:val="004E057D"/>
    <w:rsid w:val="004E1A1B"/>
    <w:rsid w:val="004E20E5"/>
    <w:rsid w:val="004E5B04"/>
    <w:rsid w:val="004E64EA"/>
    <w:rsid w:val="004E6F66"/>
    <w:rsid w:val="004E7342"/>
    <w:rsid w:val="004E7828"/>
    <w:rsid w:val="004F3883"/>
    <w:rsid w:val="004F46AA"/>
    <w:rsid w:val="004F5E54"/>
    <w:rsid w:val="004F6A70"/>
    <w:rsid w:val="00501D31"/>
    <w:rsid w:val="0050239A"/>
    <w:rsid w:val="00502ABF"/>
    <w:rsid w:val="00503720"/>
    <w:rsid w:val="00504DB0"/>
    <w:rsid w:val="00504F61"/>
    <w:rsid w:val="00507C35"/>
    <w:rsid w:val="00514D2F"/>
    <w:rsid w:val="0052080D"/>
    <w:rsid w:val="0052160B"/>
    <w:rsid w:val="00521C73"/>
    <w:rsid w:val="00523E53"/>
    <w:rsid w:val="005271E1"/>
    <w:rsid w:val="0052779A"/>
    <w:rsid w:val="00530BA0"/>
    <w:rsid w:val="0053343F"/>
    <w:rsid w:val="00534D4D"/>
    <w:rsid w:val="00536C63"/>
    <w:rsid w:val="005378F0"/>
    <w:rsid w:val="00541309"/>
    <w:rsid w:val="0054175C"/>
    <w:rsid w:val="0054246D"/>
    <w:rsid w:val="00544035"/>
    <w:rsid w:val="0054420E"/>
    <w:rsid w:val="00544D1B"/>
    <w:rsid w:val="00545DC0"/>
    <w:rsid w:val="00545F6C"/>
    <w:rsid w:val="00547039"/>
    <w:rsid w:val="00547255"/>
    <w:rsid w:val="00547D12"/>
    <w:rsid w:val="00552536"/>
    <w:rsid w:val="0055277F"/>
    <w:rsid w:val="00555A7A"/>
    <w:rsid w:val="0055720C"/>
    <w:rsid w:val="005617FF"/>
    <w:rsid w:val="00561ED4"/>
    <w:rsid w:val="005621E5"/>
    <w:rsid w:val="0056423B"/>
    <w:rsid w:val="00567B43"/>
    <w:rsid w:val="00573424"/>
    <w:rsid w:val="0057402F"/>
    <w:rsid w:val="00574ECB"/>
    <w:rsid w:val="005756B1"/>
    <w:rsid w:val="00575E2F"/>
    <w:rsid w:val="00576D6B"/>
    <w:rsid w:val="00577576"/>
    <w:rsid w:val="005849D6"/>
    <w:rsid w:val="00585367"/>
    <w:rsid w:val="005857F4"/>
    <w:rsid w:val="00586034"/>
    <w:rsid w:val="0058737E"/>
    <w:rsid w:val="00592518"/>
    <w:rsid w:val="00592B84"/>
    <w:rsid w:val="00592E87"/>
    <w:rsid w:val="00594C4D"/>
    <w:rsid w:val="005967FA"/>
    <w:rsid w:val="00596EE9"/>
    <w:rsid w:val="00597DEB"/>
    <w:rsid w:val="005A33B0"/>
    <w:rsid w:val="005A3E51"/>
    <w:rsid w:val="005A4204"/>
    <w:rsid w:val="005A59F5"/>
    <w:rsid w:val="005A73DE"/>
    <w:rsid w:val="005B1696"/>
    <w:rsid w:val="005B21F5"/>
    <w:rsid w:val="005B2826"/>
    <w:rsid w:val="005B5372"/>
    <w:rsid w:val="005B7FD8"/>
    <w:rsid w:val="005C0AD5"/>
    <w:rsid w:val="005C1B02"/>
    <w:rsid w:val="005C2DC2"/>
    <w:rsid w:val="005C304A"/>
    <w:rsid w:val="005C34F6"/>
    <w:rsid w:val="005C3502"/>
    <w:rsid w:val="005C6AC0"/>
    <w:rsid w:val="005C7A7D"/>
    <w:rsid w:val="005C7C98"/>
    <w:rsid w:val="005D2D59"/>
    <w:rsid w:val="005D34A6"/>
    <w:rsid w:val="005D3761"/>
    <w:rsid w:val="005D40BF"/>
    <w:rsid w:val="005D5289"/>
    <w:rsid w:val="005D57C8"/>
    <w:rsid w:val="005D605E"/>
    <w:rsid w:val="005D7761"/>
    <w:rsid w:val="005E0278"/>
    <w:rsid w:val="005E090D"/>
    <w:rsid w:val="005E27AD"/>
    <w:rsid w:val="005E29E1"/>
    <w:rsid w:val="005E3CA0"/>
    <w:rsid w:val="005E44B1"/>
    <w:rsid w:val="005E44CA"/>
    <w:rsid w:val="005E5233"/>
    <w:rsid w:val="005E5307"/>
    <w:rsid w:val="005E60B3"/>
    <w:rsid w:val="005E67B0"/>
    <w:rsid w:val="005E7047"/>
    <w:rsid w:val="005E777F"/>
    <w:rsid w:val="005F121E"/>
    <w:rsid w:val="005F1CA7"/>
    <w:rsid w:val="005F3E01"/>
    <w:rsid w:val="005F43DD"/>
    <w:rsid w:val="005F51A9"/>
    <w:rsid w:val="005F5767"/>
    <w:rsid w:val="005F658D"/>
    <w:rsid w:val="005F6A71"/>
    <w:rsid w:val="005F7416"/>
    <w:rsid w:val="005F7FDB"/>
    <w:rsid w:val="006005C9"/>
    <w:rsid w:val="00600C11"/>
    <w:rsid w:val="00600FFB"/>
    <w:rsid w:val="00601464"/>
    <w:rsid w:val="00601A35"/>
    <w:rsid w:val="0060615B"/>
    <w:rsid w:val="00606B89"/>
    <w:rsid w:val="0061066F"/>
    <w:rsid w:val="00612BBB"/>
    <w:rsid w:val="00614AAE"/>
    <w:rsid w:val="006153BB"/>
    <w:rsid w:val="0062133C"/>
    <w:rsid w:val="00621AA5"/>
    <w:rsid w:val="0062344B"/>
    <w:rsid w:val="00623F30"/>
    <w:rsid w:val="00624490"/>
    <w:rsid w:val="00624FCB"/>
    <w:rsid w:val="006252DA"/>
    <w:rsid w:val="00625FB8"/>
    <w:rsid w:val="006261BD"/>
    <w:rsid w:val="00626841"/>
    <w:rsid w:val="00627146"/>
    <w:rsid w:val="00627C2A"/>
    <w:rsid w:val="00631B8E"/>
    <w:rsid w:val="00631DCE"/>
    <w:rsid w:val="00631FFD"/>
    <w:rsid w:val="0063411B"/>
    <w:rsid w:val="00640134"/>
    <w:rsid w:val="00640718"/>
    <w:rsid w:val="00644BB3"/>
    <w:rsid w:val="00645D78"/>
    <w:rsid w:val="0064734E"/>
    <w:rsid w:val="00650137"/>
    <w:rsid w:val="00650814"/>
    <w:rsid w:val="006509D7"/>
    <w:rsid w:val="0065195E"/>
    <w:rsid w:val="00651CE8"/>
    <w:rsid w:val="00653AD6"/>
    <w:rsid w:val="00654B5A"/>
    <w:rsid w:val="006550B1"/>
    <w:rsid w:val="0065521B"/>
    <w:rsid w:val="00656EFA"/>
    <w:rsid w:val="00657707"/>
    <w:rsid w:val="0066335F"/>
    <w:rsid w:val="00663BEB"/>
    <w:rsid w:val="006640E7"/>
    <w:rsid w:val="006642AF"/>
    <w:rsid w:val="00664E01"/>
    <w:rsid w:val="00666BCB"/>
    <w:rsid w:val="00671EF6"/>
    <w:rsid w:val="0067205B"/>
    <w:rsid w:val="00672F93"/>
    <w:rsid w:val="006748F8"/>
    <w:rsid w:val="00680489"/>
    <w:rsid w:val="00681608"/>
    <w:rsid w:val="006818F8"/>
    <w:rsid w:val="0068213F"/>
    <w:rsid w:val="00683C32"/>
    <w:rsid w:val="00683E6F"/>
    <w:rsid w:val="006858B4"/>
    <w:rsid w:val="0069009D"/>
    <w:rsid w:val="00690BB2"/>
    <w:rsid w:val="00691ABF"/>
    <w:rsid w:val="00692B64"/>
    <w:rsid w:val="00693C16"/>
    <w:rsid w:val="006A00B2"/>
    <w:rsid w:val="006A572A"/>
    <w:rsid w:val="006A63A4"/>
    <w:rsid w:val="006A7710"/>
    <w:rsid w:val="006A7A0B"/>
    <w:rsid w:val="006A7A61"/>
    <w:rsid w:val="006B1E59"/>
    <w:rsid w:val="006B2FFB"/>
    <w:rsid w:val="006B362B"/>
    <w:rsid w:val="006B45C5"/>
    <w:rsid w:val="006C074B"/>
    <w:rsid w:val="006C10A2"/>
    <w:rsid w:val="006C1D80"/>
    <w:rsid w:val="006C1F18"/>
    <w:rsid w:val="006C5727"/>
    <w:rsid w:val="006C61C9"/>
    <w:rsid w:val="006C70C5"/>
    <w:rsid w:val="006C7DAE"/>
    <w:rsid w:val="006D11E0"/>
    <w:rsid w:val="006D1BE4"/>
    <w:rsid w:val="006D40D5"/>
    <w:rsid w:val="006D615B"/>
    <w:rsid w:val="006D7847"/>
    <w:rsid w:val="006E1567"/>
    <w:rsid w:val="006E1808"/>
    <w:rsid w:val="006E663B"/>
    <w:rsid w:val="006E791C"/>
    <w:rsid w:val="006F009A"/>
    <w:rsid w:val="006F0FAB"/>
    <w:rsid w:val="006F3D93"/>
    <w:rsid w:val="006F42B6"/>
    <w:rsid w:val="006F60F8"/>
    <w:rsid w:val="007019B1"/>
    <w:rsid w:val="0070259A"/>
    <w:rsid w:val="00703D4D"/>
    <w:rsid w:val="007055EC"/>
    <w:rsid w:val="007073FA"/>
    <w:rsid w:val="007073FB"/>
    <w:rsid w:val="007077BF"/>
    <w:rsid w:val="00710593"/>
    <w:rsid w:val="0071082E"/>
    <w:rsid w:val="00712F8C"/>
    <w:rsid w:val="007156A3"/>
    <w:rsid w:val="007165B6"/>
    <w:rsid w:val="00721524"/>
    <w:rsid w:val="00721657"/>
    <w:rsid w:val="00721A36"/>
    <w:rsid w:val="00723824"/>
    <w:rsid w:val="00727B1A"/>
    <w:rsid w:val="0073110E"/>
    <w:rsid w:val="007339A8"/>
    <w:rsid w:val="00733BF8"/>
    <w:rsid w:val="007348F6"/>
    <w:rsid w:val="00734A4F"/>
    <w:rsid w:val="007370F2"/>
    <w:rsid w:val="0073713B"/>
    <w:rsid w:val="00740FAC"/>
    <w:rsid w:val="0074139C"/>
    <w:rsid w:val="007437FD"/>
    <w:rsid w:val="00745E63"/>
    <w:rsid w:val="00746BAF"/>
    <w:rsid w:val="00750400"/>
    <w:rsid w:val="00751AA4"/>
    <w:rsid w:val="00752258"/>
    <w:rsid w:val="00753EDA"/>
    <w:rsid w:val="00755384"/>
    <w:rsid w:val="007562CB"/>
    <w:rsid w:val="00756808"/>
    <w:rsid w:val="00756D48"/>
    <w:rsid w:val="00757E7A"/>
    <w:rsid w:val="00762880"/>
    <w:rsid w:val="00762AD6"/>
    <w:rsid w:val="00762F99"/>
    <w:rsid w:val="00763258"/>
    <w:rsid w:val="00763DBD"/>
    <w:rsid w:val="00765B6F"/>
    <w:rsid w:val="00766B88"/>
    <w:rsid w:val="00767D1E"/>
    <w:rsid w:val="007714F0"/>
    <w:rsid w:val="00772290"/>
    <w:rsid w:val="00773170"/>
    <w:rsid w:val="0077525C"/>
    <w:rsid w:val="00775392"/>
    <w:rsid w:val="00777265"/>
    <w:rsid w:val="007805E7"/>
    <w:rsid w:val="0078222A"/>
    <w:rsid w:val="00783CFB"/>
    <w:rsid w:val="00785B16"/>
    <w:rsid w:val="00787D48"/>
    <w:rsid w:val="0079032C"/>
    <w:rsid w:val="00792520"/>
    <w:rsid w:val="00794CB5"/>
    <w:rsid w:val="0079572C"/>
    <w:rsid w:val="00796DAF"/>
    <w:rsid w:val="00797614"/>
    <w:rsid w:val="007A0EAC"/>
    <w:rsid w:val="007A1154"/>
    <w:rsid w:val="007A4E50"/>
    <w:rsid w:val="007A59A9"/>
    <w:rsid w:val="007A60EF"/>
    <w:rsid w:val="007B18A7"/>
    <w:rsid w:val="007B250E"/>
    <w:rsid w:val="007B5DD0"/>
    <w:rsid w:val="007C2467"/>
    <w:rsid w:val="007C27FC"/>
    <w:rsid w:val="007C51FF"/>
    <w:rsid w:val="007C5C00"/>
    <w:rsid w:val="007C6F70"/>
    <w:rsid w:val="007D2834"/>
    <w:rsid w:val="007D50E4"/>
    <w:rsid w:val="007D54B9"/>
    <w:rsid w:val="007D5867"/>
    <w:rsid w:val="007D5D21"/>
    <w:rsid w:val="007D75DF"/>
    <w:rsid w:val="007D765B"/>
    <w:rsid w:val="007E0CBC"/>
    <w:rsid w:val="007E1626"/>
    <w:rsid w:val="007E22C3"/>
    <w:rsid w:val="007E249F"/>
    <w:rsid w:val="007E47A3"/>
    <w:rsid w:val="007E5CD4"/>
    <w:rsid w:val="007E6B95"/>
    <w:rsid w:val="007F0014"/>
    <w:rsid w:val="007F1A2A"/>
    <w:rsid w:val="007F2395"/>
    <w:rsid w:val="007F25EA"/>
    <w:rsid w:val="007F2B4E"/>
    <w:rsid w:val="007F435B"/>
    <w:rsid w:val="007F594E"/>
    <w:rsid w:val="007F64B0"/>
    <w:rsid w:val="00800B73"/>
    <w:rsid w:val="008027AC"/>
    <w:rsid w:val="008028CE"/>
    <w:rsid w:val="0080332E"/>
    <w:rsid w:val="00806301"/>
    <w:rsid w:val="00811FC8"/>
    <w:rsid w:val="008126AE"/>
    <w:rsid w:val="0081285B"/>
    <w:rsid w:val="008132AC"/>
    <w:rsid w:val="008141E0"/>
    <w:rsid w:val="00816EE1"/>
    <w:rsid w:val="00816F88"/>
    <w:rsid w:val="00817D3E"/>
    <w:rsid w:val="008212BA"/>
    <w:rsid w:val="00822323"/>
    <w:rsid w:val="00824C81"/>
    <w:rsid w:val="00826A61"/>
    <w:rsid w:val="00827123"/>
    <w:rsid w:val="008274BF"/>
    <w:rsid w:val="00833024"/>
    <w:rsid w:val="00834D1B"/>
    <w:rsid w:val="00840CD5"/>
    <w:rsid w:val="008419B1"/>
    <w:rsid w:val="00843152"/>
    <w:rsid w:val="008439F5"/>
    <w:rsid w:val="00844A56"/>
    <w:rsid w:val="0084589A"/>
    <w:rsid w:val="008459D2"/>
    <w:rsid w:val="00852081"/>
    <w:rsid w:val="00852B98"/>
    <w:rsid w:val="00857AD7"/>
    <w:rsid w:val="0086299A"/>
    <w:rsid w:val="00867A5C"/>
    <w:rsid w:val="00867B76"/>
    <w:rsid w:val="00871604"/>
    <w:rsid w:val="00872A6C"/>
    <w:rsid w:val="00873615"/>
    <w:rsid w:val="00873DA8"/>
    <w:rsid w:val="00874DFD"/>
    <w:rsid w:val="00877A02"/>
    <w:rsid w:val="008802F9"/>
    <w:rsid w:val="008816A7"/>
    <w:rsid w:val="00881BF7"/>
    <w:rsid w:val="00882777"/>
    <w:rsid w:val="00882E82"/>
    <w:rsid w:val="00883086"/>
    <w:rsid w:val="00884E68"/>
    <w:rsid w:val="00886184"/>
    <w:rsid w:val="008879FD"/>
    <w:rsid w:val="008933F8"/>
    <w:rsid w:val="00894C37"/>
    <w:rsid w:val="008A00EA"/>
    <w:rsid w:val="008A154F"/>
    <w:rsid w:val="008A3F93"/>
    <w:rsid w:val="008A5C0E"/>
    <w:rsid w:val="008A5E5F"/>
    <w:rsid w:val="008A6236"/>
    <w:rsid w:val="008A6E1C"/>
    <w:rsid w:val="008A72FD"/>
    <w:rsid w:val="008B2EDF"/>
    <w:rsid w:val="008B386B"/>
    <w:rsid w:val="008B4CE9"/>
    <w:rsid w:val="008B54CB"/>
    <w:rsid w:val="008B5772"/>
    <w:rsid w:val="008B5A3D"/>
    <w:rsid w:val="008B6C4A"/>
    <w:rsid w:val="008B7A57"/>
    <w:rsid w:val="008C2889"/>
    <w:rsid w:val="008C4010"/>
    <w:rsid w:val="008C4FDF"/>
    <w:rsid w:val="008C6B1F"/>
    <w:rsid w:val="008C7F88"/>
    <w:rsid w:val="008D151B"/>
    <w:rsid w:val="008D2D8F"/>
    <w:rsid w:val="008D5785"/>
    <w:rsid w:val="008D5E4F"/>
    <w:rsid w:val="008D6127"/>
    <w:rsid w:val="008D72DD"/>
    <w:rsid w:val="008E2FD3"/>
    <w:rsid w:val="008E330E"/>
    <w:rsid w:val="008E3D3A"/>
    <w:rsid w:val="008E468F"/>
    <w:rsid w:val="008F14F5"/>
    <w:rsid w:val="008F22D6"/>
    <w:rsid w:val="008F6DD5"/>
    <w:rsid w:val="008F71C1"/>
    <w:rsid w:val="00902777"/>
    <w:rsid w:val="00902D41"/>
    <w:rsid w:val="00902F49"/>
    <w:rsid w:val="00904486"/>
    <w:rsid w:val="00904AE0"/>
    <w:rsid w:val="00911036"/>
    <w:rsid w:val="009111C9"/>
    <w:rsid w:val="00914004"/>
    <w:rsid w:val="009157BC"/>
    <w:rsid w:val="0092197F"/>
    <w:rsid w:val="00921D5B"/>
    <w:rsid w:val="00922EC1"/>
    <w:rsid w:val="00926D94"/>
    <w:rsid w:val="009272DD"/>
    <w:rsid w:val="00927934"/>
    <w:rsid w:val="009301F1"/>
    <w:rsid w:val="009305B6"/>
    <w:rsid w:val="00930EF3"/>
    <w:rsid w:val="00933B66"/>
    <w:rsid w:val="00934AAE"/>
    <w:rsid w:val="009359B8"/>
    <w:rsid w:val="00937843"/>
    <w:rsid w:val="009405B2"/>
    <w:rsid w:val="00941F3E"/>
    <w:rsid w:val="009421D9"/>
    <w:rsid w:val="009431F8"/>
    <w:rsid w:val="00943BD5"/>
    <w:rsid w:val="00947A35"/>
    <w:rsid w:val="00947A74"/>
    <w:rsid w:val="009507F6"/>
    <w:rsid w:val="0095107D"/>
    <w:rsid w:val="00951C2A"/>
    <w:rsid w:val="009549EF"/>
    <w:rsid w:val="00960B85"/>
    <w:rsid w:val="00960D36"/>
    <w:rsid w:val="00960DF0"/>
    <w:rsid w:val="009611BC"/>
    <w:rsid w:val="009625CF"/>
    <w:rsid w:val="009641D4"/>
    <w:rsid w:val="00964E57"/>
    <w:rsid w:val="00965E4B"/>
    <w:rsid w:val="00966CB5"/>
    <w:rsid w:val="009673F7"/>
    <w:rsid w:val="00973004"/>
    <w:rsid w:val="00973355"/>
    <w:rsid w:val="009733DE"/>
    <w:rsid w:val="00975786"/>
    <w:rsid w:val="00976CA0"/>
    <w:rsid w:val="009772E1"/>
    <w:rsid w:val="0098070F"/>
    <w:rsid w:val="00981CB7"/>
    <w:rsid w:val="0098270A"/>
    <w:rsid w:val="00983E1F"/>
    <w:rsid w:val="0098422E"/>
    <w:rsid w:val="009848B2"/>
    <w:rsid w:val="00985BE1"/>
    <w:rsid w:val="00986235"/>
    <w:rsid w:val="00991752"/>
    <w:rsid w:val="00991C71"/>
    <w:rsid w:val="009922E2"/>
    <w:rsid w:val="00993F46"/>
    <w:rsid w:val="0099432B"/>
    <w:rsid w:val="00994993"/>
    <w:rsid w:val="0099651E"/>
    <w:rsid w:val="00996579"/>
    <w:rsid w:val="00997358"/>
    <w:rsid w:val="009A452B"/>
    <w:rsid w:val="009A47FC"/>
    <w:rsid w:val="009A6F66"/>
    <w:rsid w:val="009A7F08"/>
    <w:rsid w:val="009B050C"/>
    <w:rsid w:val="009B087F"/>
    <w:rsid w:val="009B0F49"/>
    <w:rsid w:val="009B3792"/>
    <w:rsid w:val="009B38D4"/>
    <w:rsid w:val="009B5237"/>
    <w:rsid w:val="009B6D31"/>
    <w:rsid w:val="009B74C3"/>
    <w:rsid w:val="009C05C7"/>
    <w:rsid w:val="009C080E"/>
    <w:rsid w:val="009C110B"/>
    <w:rsid w:val="009C1998"/>
    <w:rsid w:val="009C5441"/>
    <w:rsid w:val="009C5C60"/>
    <w:rsid w:val="009D119F"/>
    <w:rsid w:val="009D1418"/>
    <w:rsid w:val="009D2055"/>
    <w:rsid w:val="009D277D"/>
    <w:rsid w:val="009D35C3"/>
    <w:rsid w:val="009D3CD9"/>
    <w:rsid w:val="009D49A2"/>
    <w:rsid w:val="009D6EDF"/>
    <w:rsid w:val="009E0739"/>
    <w:rsid w:val="009E08DA"/>
    <w:rsid w:val="009E1AEE"/>
    <w:rsid w:val="009E258F"/>
    <w:rsid w:val="009E43EB"/>
    <w:rsid w:val="009E52E9"/>
    <w:rsid w:val="009E69A9"/>
    <w:rsid w:val="009E7934"/>
    <w:rsid w:val="009F3940"/>
    <w:rsid w:val="009F3EB2"/>
    <w:rsid w:val="009F6682"/>
    <w:rsid w:val="009F6EB1"/>
    <w:rsid w:val="009F71CC"/>
    <w:rsid w:val="00A06CF5"/>
    <w:rsid w:val="00A07114"/>
    <w:rsid w:val="00A072A5"/>
    <w:rsid w:val="00A0774C"/>
    <w:rsid w:val="00A116B8"/>
    <w:rsid w:val="00A11D05"/>
    <w:rsid w:val="00A12C88"/>
    <w:rsid w:val="00A130A2"/>
    <w:rsid w:val="00A13162"/>
    <w:rsid w:val="00A15456"/>
    <w:rsid w:val="00A1699D"/>
    <w:rsid w:val="00A20267"/>
    <w:rsid w:val="00A25157"/>
    <w:rsid w:val="00A25498"/>
    <w:rsid w:val="00A257BD"/>
    <w:rsid w:val="00A26890"/>
    <w:rsid w:val="00A30F89"/>
    <w:rsid w:val="00A3158C"/>
    <w:rsid w:val="00A317BD"/>
    <w:rsid w:val="00A3274C"/>
    <w:rsid w:val="00A32DF3"/>
    <w:rsid w:val="00A33398"/>
    <w:rsid w:val="00A33750"/>
    <w:rsid w:val="00A33E32"/>
    <w:rsid w:val="00A34306"/>
    <w:rsid w:val="00A35E20"/>
    <w:rsid w:val="00A3722F"/>
    <w:rsid w:val="00A3765C"/>
    <w:rsid w:val="00A40D40"/>
    <w:rsid w:val="00A42046"/>
    <w:rsid w:val="00A42715"/>
    <w:rsid w:val="00A43972"/>
    <w:rsid w:val="00A439F7"/>
    <w:rsid w:val="00A5093B"/>
    <w:rsid w:val="00A5188D"/>
    <w:rsid w:val="00A525CC"/>
    <w:rsid w:val="00A52A03"/>
    <w:rsid w:val="00A53E7C"/>
    <w:rsid w:val="00A546E8"/>
    <w:rsid w:val="00A55E5E"/>
    <w:rsid w:val="00A565EE"/>
    <w:rsid w:val="00A569F6"/>
    <w:rsid w:val="00A60087"/>
    <w:rsid w:val="00A632E3"/>
    <w:rsid w:val="00A65C4B"/>
    <w:rsid w:val="00A66A8F"/>
    <w:rsid w:val="00A702EF"/>
    <w:rsid w:val="00A705E8"/>
    <w:rsid w:val="00A72C20"/>
    <w:rsid w:val="00A735DA"/>
    <w:rsid w:val="00A73AF2"/>
    <w:rsid w:val="00A7722F"/>
    <w:rsid w:val="00A9129A"/>
    <w:rsid w:val="00A92BF3"/>
    <w:rsid w:val="00A9392C"/>
    <w:rsid w:val="00A9462B"/>
    <w:rsid w:val="00A97D59"/>
    <w:rsid w:val="00AA2CBC"/>
    <w:rsid w:val="00AA2CDE"/>
    <w:rsid w:val="00AA3E09"/>
    <w:rsid w:val="00AA4BEF"/>
    <w:rsid w:val="00AA5BFB"/>
    <w:rsid w:val="00AA5C81"/>
    <w:rsid w:val="00AA6368"/>
    <w:rsid w:val="00AB052D"/>
    <w:rsid w:val="00AB1714"/>
    <w:rsid w:val="00AB4962"/>
    <w:rsid w:val="00AB734E"/>
    <w:rsid w:val="00AB740F"/>
    <w:rsid w:val="00AC44F4"/>
    <w:rsid w:val="00AC717C"/>
    <w:rsid w:val="00AC7221"/>
    <w:rsid w:val="00AD1ACC"/>
    <w:rsid w:val="00AD1D5E"/>
    <w:rsid w:val="00AD2E82"/>
    <w:rsid w:val="00AD410D"/>
    <w:rsid w:val="00AD5B8E"/>
    <w:rsid w:val="00AD5F0B"/>
    <w:rsid w:val="00AD7121"/>
    <w:rsid w:val="00AD7267"/>
    <w:rsid w:val="00AE3836"/>
    <w:rsid w:val="00AE5961"/>
    <w:rsid w:val="00AE6026"/>
    <w:rsid w:val="00AE612E"/>
    <w:rsid w:val="00AF43FA"/>
    <w:rsid w:val="00AF4971"/>
    <w:rsid w:val="00AF4A94"/>
    <w:rsid w:val="00AF5580"/>
    <w:rsid w:val="00B01046"/>
    <w:rsid w:val="00B022A1"/>
    <w:rsid w:val="00B025C1"/>
    <w:rsid w:val="00B0652C"/>
    <w:rsid w:val="00B06A28"/>
    <w:rsid w:val="00B073B5"/>
    <w:rsid w:val="00B11176"/>
    <w:rsid w:val="00B12F57"/>
    <w:rsid w:val="00B21793"/>
    <w:rsid w:val="00B219E7"/>
    <w:rsid w:val="00B22114"/>
    <w:rsid w:val="00B26734"/>
    <w:rsid w:val="00B26C9E"/>
    <w:rsid w:val="00B27915"/>
    <w:rsid w:val="00B30707"/>
    <w:rsid w:val="00B310F9"/>
    <w:rsid w:val="00B339D3"/>
    <w:rsid w:val="00B36275"/>
    <w:rsid w:val="00B37414"/>
    <w:rsid w:val="00B37866"/>
    <w:rsid w:val="00B411CF"/>
    <w:rsid w:val="00B412FB"/>
    <w:rsid w:val="00B415C2"/>
    <w:rsid w:val="00B42EA5"/>
    <w:rsid w:val="00B44D27"/>
    <w:rsid w:val="00B4576B"/>
    <w:rsid w:val="00B46350"/>
    <w:rsid w:val="00B51B8D"/>
    <w:rsid w:val="00B53DBD"/>
    <w:rsid w:val="00B5528A"/>
    <w:rsid w:val="00B55BFB"/>
    <w:rsid w:val="00B57D99"/>
    <w:rsid w:val="00B600D3"/>
    <w:rsid w:val="00B642E0"/>
    <w:rsid w:val="00B66E8F"/>
    <w:rsid w:val="00B67170"/>
    <w:rsid w:val="00B674AE"/>
    <w:rsid w:val="00B67AEC"/>
    <w:rsid w:val="00B73285"/>
    <w:rsid w:val="00B75640"/>
    <w:rsid w:val="00B7628C"/>
    <w:rsid w:val="00B76DC0"/>
    <w:rsid w:val="00B81A0B"/>
    <w:rsid w:val="00B83D5E"/>
    <w:rsid w:val="00B84528"/>
    <w:rsid w:val="00B8460A"/>
    <w:rsid w:val="00B85A70"/>
    <w:rsid w:val="00B8650D"/>
    <w:rsid w:val="00B877CA"/>
    <w:rsid w:val="00B879B4"/>
    <w:rsid w:val="00B90F07"/>
    <w:rsid w:val="00B91E09"/>
    <w:rsid w:val="00B92ABF"/>
    <w:rsid w:val="00B933CE"/>
    <w:rsid w:val="00B943DD"/>
    <w:rsid w:val="00B964A2"/>
    <w:rsid w:val="00B97BB9"/>
    <w:rsid w:val="00BA0009"/>
    <w:rsid w:val="00BA0DB3"/>
    <w:rsid w:val="00BA1A88"/>
    <w:rsid w:val="00BA49D2"/>
    <w:rsid w:val="00BA4CFC"/>
    <w:rsid w:val="00BA4D45"/>
    <w:rsid w:val="00BA5903"/>
    <w:rsid w:val="00BA77EE"/>
    <w:rsid w:val="00BB1863"/>
    <w:rsid w:val="00BB1EEF"/>
    <w:rsid w:val="00BB20EE"/>
    <w:rsid w:val="00BB25EE"/>
    <w:rsid w:val="00BB288D"/>
    <w:rsid w:val="00BB363A"/>
    <w:rsid w:val="00BB420F"/>
    <w:rsid w:val="00BB4ED7"/>
    <w:rsid w:val="00BB5DA2"/>
    <w:rsid w:val="00BB7655"/>
    <w:rsid w:val="00BC10A0"/>
    <w:rsid w:val="00BC1C54"/>
    <w:rsid w:val="00BC3666"/>
    <w:rsid w:val="00BC3689"/>
    <w:rsid w:val="00BC54F6"/>
    <w:rsid w:val="00BC6611"/>
    <w:rsid w:val="00BC79E3"/>
    <w:rsid w:val="00BC7BA2"/>
    <w:rsid w:val="00BC7CDE"/>
    <w:rsid w:val="00BD426B"/>
    <w:rsid w:val="00BD56EB"/>
    <w:rsid w:val="00BD7829"/>
    <w:rsid w:val="00BD79F0"/>
    <w:rsid w:val="00BD7C18"/>
    <w:rsid w:val="00BE27BF"/>
    <w:rsid w:val="00BE2B4D"/>
    <w:rsid w:val="00BE402E"/>
    <w:rsid w:val="00BE7B85"/>
    <w:rsid w:val="00BF02A8"/>
    <w:rsid w:val="00BF0363"/>
    <w:rsid w:val="00BF1109"/>
    <w:rsid w:val="00BF3699"/>
    <w:rsid w:val="00BF4D7D"/>
    <w:rsid w:val="00BF67CA"/>
    <w:rsid w:val="00BF71EB"/>
    <w:rsid w:val="00BF72B0"/>
    <w:rsid w:val="00C015F8"/>
    <w:rsid w:val="00C01D12"/>
    <w:rsid w:val="00C02B4C"/>
    <w:rsid w:val="00C03132"/>
    <w:rsid w:val="00C032A0"/>
    <w:rsid w:val="00C03B17"/>
    <w:rsid w:val="00C04CC0"/>
    <w:rsid w:val="00C075BF"/>
    <w:rsid w:val="00C07B06"/>
    <w:rsid w:val="00C07E26"/>
    <w:rsid w:val="00C1011C"/>
    <w:rsid w:val="00C11E27"/>
    <w:rsid w:val="00C1260C"/>
    <w:rsid w:val="00C12E45"/>
    <w:rsid w:val="00C12F94"/>
    <w:rsid w:val="00C14AAD"/>
    <w:rsid w:val="00C177C5"/>
    <w:rsid w:val="00C21DCA"/>
    <w:rsid w:val="00C21E0E"/>
    <w:rsid w:val="00C24EDB"/>
    <w:rsid w:val="00C2526A"/>
    <w:rsid w:val="00C27127"/>
    <w:rsid w:val="00C34EC3"/>
    <w:rsid w:val="00C37D73"/>
    <w:rsid w:val="00C37F4A"/>
    <w:rsid w:val="00C4038C"/>
    <w:rsid w:val="00C4056B"/>
    <w:rsid w:val="00C41B23"/>
    <w:rsid w:val="00C42BA2"/>
    <w:rsid w:val="00C43812"/>
    <w:rsid w:val="00C44066"/>
    <w:rsid w:val="00C44E13"/>
    <w:rsid w:val="00C561A9"/>
    <w:rsid w:val="00C60430"/>
    <w:rsid w:val="00C60A41"/>
    <w:rsid w:val="00C62B71"/>
    <w:rsid w:val="00C62DE8"/>
    <w:rsid w:val="00C62DFB"/>
    <w:rsid w:val="00C65093"/>
    <w:rsid w:val="00C660BF"/>
    <w:rsid w:val="00C66630"/>
    <w:rsid w:val="00C66F4D"/>
    <w:rsid w:val="00C67992"/>
    <w:rsid w:val="00C70B37"/>
    <w:rsid w:val="00C724A2"/>
    <w:rsid w:val="00C74DDB"/>
    <w:rsid w:val="00C75827"/>
    <w:rsid w:val="00C7757D"/>
    <w:rsid w:val="00C820CE"/>
    <w:rsid w:val="00C83BAC"/>
    <w:rsid w:val="00C85971"/>
    <w:rsid w:val="00C861D8"/>
    <w:rsid w:val="00C86600"/>
    <w:rsid w:val="00C87246"/>
    <w:rsid w:val="00C8757E"/>
    <w:rsid w:val="00C87BCA"/>
    <w:rsid w:val="00C91B31"/>
    <w:rsid w:val="00C922E8"/>
    <w:rsid w:val="00C930FC"/>
    <w:rsid w:val="00C93292"/>
    <w:rsid w:val="00C9381B"/>
    <w:rsid w:val="00C93A51"/>
    <w:rsid w:val="00C944FE"/>
    <w:rsid w:val="00C94506"/>
    <w:rsid w:val="00C949D4"/>
    <w:rsid w:val="00C952E6"/>
    <w:rsid w:val="00C954BC"/>
    <w:rsid w:val="00C9576B"/>
    <w:rsid w:val="00C978C3"/>
    <w:rsid w:val="00C97B05"/>
    <w:rsid w:val="00C97BA6"/>
    <w:rsid w:val="00CA1F0B"/>
    <w:rsid w:val="00CA7E7B"/>
    <w:rsid w:val="00CB110F"/>
    <w:rsid w:val="00CB2A2E"/>
    <w:rsid w:val="00CB338A"/>
    <w:rsid w:val="00CB486D"/>
    <w:rsid w:val="00CB5F38"/>
    <w:rsid w:val="00CB79C5"/>
    <w:rsid w:val="00CC3C87"/>
    <w:rsid w:val="00CC411F"/>
    <w:rsid w:val="00CC4B75"/>
    <w:rsid w:val="00CC6B31"/>
    <w:rsid w:val="00CC6DA8"/>
    <w:rsid w:val="00CC732E"/>
    <w:rsid w:val="00CC7B8F"/>
    <w:rsid w:val="00CD16A6"/>
    <w:rsid w:val="00CD7207"/>
    <w:rsid w:val="00CD7548"/>
    <w:rsid w:val="00CE0767"/>
    <w:rsid w:val="00CE07CE"/>
    <w:rsid w:val="00CE0DBE"/>
    <w:rsid w:val="00CE0F79"/>
    <w:rsid w:val="00CE4734"/>
    <w:rsid w:val="00CE5E4D"/>
    <w:rsid w:val="00CF02C4"/>
    <w:rsid w:val="00CF15CA"/>
    <w:rsid w:val="00CF167F"/>
    <w:rsid w:val="00CF2409"/>
    <w:rsid w:val="00CF3A3C"/>
    <w:rsid w:val="00CF59B3"/>
    <w:rsid w:val="00CF72E5"/>
    <w:rsid w:val="00D01B0C"/>
    <w:rsid w:val="00D01F54"/>
    <w:rsid w:val="00D03D7A"/>
    <w:rsid w:val="00D04568"/>
    <w:rsid w:val="00D04B5B"/>
    <w:rsid w:val="00D05D08"/>
    <w:rsid w:val="00D06198"/>
    <w:rsid w:val="00D0620C"/>
    <w:rsid w:val="00D10FC7"/>
    <w:rsid w:val="00D1680B"/>
    <w:rsid w:val="00D171E8"/>
    <w:rsid w:val="00D209FE"/>
    <w:rsid w:val="00D20E99"/>
    <w:rsid w:val="00D21C83"/>
    <w:rsid w:val="00D23D68"/>
    <w:rsid w:val="00D23EF0"/>
    <w:rsid w:val="00D2546D"/>
    <w:rsid w:val="00D301A7"/>
    <w:rsid w:val="00D35BDD"/>
    <w:rsid w:val="00D35C44"/>
    <w:rsid w:val="00D4770B"/>
    <w:rsid w:val="00D53917"/>
    <w:rsid w:val="00D61024"/>
    <w:rsid w:val="00D61310"/>
    <w:rsid w:val="00D63006"/>
    <w:rsid w:val="00D63271"/>
    <w:rsid w:val="00D66338"/>
    <w:rsid w:val="00D664BF"/>
    <w:rsid w:val="00D67B98"/>
    <w:rsid w:val="00D72301"/>
    <w:rsid w:val="00D81B3E"/>
    <w:rsid w:val="00D82402"/>
    <w:rsid w:val="00D82848"/>
    <w:rsid w:val="00D861F8"/>
    <w:rsid w:val="00D86915"/>
    <w:rsid w:val="00D911DE"/>
    <w:rsid w:val="00D91B97"/>
    <w:rsid w:val="00D93ACC"/>
    <w:rsid w:val="00D93C08"/>
    <w:rsid w:val="00D94671"/>
    <w:rsid w:val="00D94848"/>
    <w:rsid w:val="00D9534D"/>
    <w:rsid w:val="00D95853"/>
    <w:rsid w:val="00D95DAC"/>
    <w:rsid w:val="00D96BA5"/>
    <w:rsid w:val="00DA0829"/>
    <w:rsid w:val="00DA0B53"/>
    <w:rsid w:val="00DA1A7B"/>
    <w:rsid w:val="00DA31E6"/>
    <w:rsid w:val="00DA328C"/>
    <w:rsid w:val="00DA4D98"/>
    <w:rsid w:val="00DA5D91"/>
    <w:rsid w:val="00DB1171"/>
    <w:rsid w:val="00DB1519"/>
    <w:rsid w:val="00DB2840"/>
    <w:rsid w:val="00DB3F8C"/>
    <w:rsid w:val="00DB5C1A"/>
    <w:rsid w:val="00DB7054"/>
    <w:rsid w:val="00DC0287"/>
    <w:rsid w:val="00DC0B5C"/>
    <w:rsid w:val="00DC1824"/>
    <w:rsid w:val="00DC1BD3"/>
    <w:rsid w:val="00DC4A9D"/>
    <w:rsid w:val="00DC683B"/>
    <w:rsid w:val="00DC7777"/>
    <w:rsid w:val="00DD13A4"/>
    <w:rsid w:val="00DD444A"/>
    <w:rsid w:val="00DD461E"/>
    <w:rsid w:val="00DD66B4"/>
    <w:rsid w:val="00DD6C92"/>
    <w:rsid w:val="00DD717D"/>
    <w:rsid w:val="00DE1972"/>
    <w:rsid w:val="00DE27AB"/>
    <w:rsid w:val="00DE6921"/>
    <w:rsid w:val="00DE791C"/>
    <w:rsid w:val="00DF1D87"/>
    <w:rsid w:val="00DF2AB3"/>
    <w:rsid w:val="00DF5323"/>
    <w:rsid w:val="00DF7250"/>
    <w:rsid w:val="00DF7FB1"/>
    <w:rsid w:val="00E00CAA"/>
    <w:rsid w:val="00E03EBF"/>
    <w:rsid w:val="00E04AFD"/>
    <w:rsid w:val="00E05209"/>
    <w:rsid w:val="00E1036D"/>
    <w:rsid w:val="00E13516"/>
    <w:rsid w:val="00E13AFC"/>
    <w:rsid w:val="00E15AC0"/>
    <w:rsid w:val="00E17FB2"/>
    <w:rsid w:val="00E21B56"/>
    <w:rsid w:val="00E2258E"/>
    <w:rsid w:val="00E23018"/>
    <w:rsid w:val="00E23460"/>
    <w:rsid w:val="00E250B6"/>
    <w:rsid w:val="00E2547B"/>
    <w:rsid w:val="00E260C2"/>
    <w:rsid w:val="00E3000B"/>
    <w:rsid w:val="00E300F8"/>
    <w:rsid w:val="00E32596"/>
    <w:rsid w:val="00E326CD"/>
    <w:rsid w:val="00E32AD8"/>
    <w:rsid w:val="00E34838"/>
    <w:rsid w:val="00E368F7"/>
    <w:rsid w:val="00E36EB8"/>
    <w:rsid w:val="00E37FB8"/>
    <w:rsid w:val="00E40075"/>
    <w:rsid w:val="00E40B07"/>
    <w:rsid w:val="00E4180C"/>
    <w:rsid w:val="00E42326"/>
    <w:rsid w:val="00E43164"/>
    <w:rsid w:val="00E43271"/>
    <w:rsid w:val="00E43544"/>
    <w:rsid w:val="00E43E47"/>
    <w:rsid w:val="00E44D89"/>
    <w:rsid w:val="00E4530E"/>
    <w:rsid w:val="00E465C4"/>
    <w:rsid w:val="00E477EA"/>
    <w:rsid w:val="00E52DB2"/>
    <w:rsid w:val="00E531B9"/>
    <w:rsid w:val="00E53BB1"/>
    <w:rsid w:val="00E5446B"/>
    <w:rsid w:val="00E54E15"/>
    <w:rsid w:val="00E5601A"/>
    <w:rsid w:val="00E56359"/>
    <w:rsid w:val="00E60394"/>
    <w:rsid w:val="00E61308"/>
    <w:rsid w:val="00E6134F"/>
    <w:rsid w:val="00E62A8A"/>
    <w:rsid w:val="00E63B14"/>
    <w:rsid w:val="00E65CA0"/>
    <w:rsid w:val="00E7118A"/>
    <w:rsid w:val="00E72918"/>
    <w:rsid w:val="00E741BC"/>
    <w:rsid w:val="00E77E75"/>
    <w:rsid w:val="00E80EBC"/>
    <w:rsid w:val="00E817AF"/>
    <w:rsid w:val="00E83810"/>
    <w:rsid w:val="00E83B9D"/>
    <w:rsid w:val="00E86933"/>
    <w:rsid w:val="00E86CF1"/>
    <w:rsid w:val="00E87916"/>
    <w:rsid w:val="00E97298"/>
    <w:rsid w:val="00E97753"/>
    <w:rsid w:val="00EA5E97"/>
    <w:rsid w:val="00EA7DE7"/>
    <w:rsid w:val="00EA7E28"/>
    <w:rsid w:val="00EB1FE7"/>
    <w:rsid w:val="00EB2399"/>
    <w:rsid w:val="00EB7A8A"/>
    <w:rsid w:val="00EC009A"/>
    <w:rsid w:val="00EC4343"/>
    <w:rsid w:val="00EC4C08"/>
    <w:rsid w:val="00EC58A0"/>
    <w:rsid w:val="00EC5F29"/>
    <w:rsid w:val="00EC6135"/>
    <w:rsid w:val="00EC6909"/>
    <w:rsid w:val="00EC75D6"/>
    <w:rsid w:val="00EC7705"/>
    <w:rsid w:val="00ED08B9"/>
    <w:rsid w:val="00ED161D"/>
    <w:rsid w:val="00ED2081"/>
    <w:rsid w:val="00ED2C92"/>
    <w:rsid w:val="00ED340F"/>
    <w:rsid w:val="00ED5B31"/>
    <w:rsid w:val="00ED75D2"/>
    <w:rsid w:val="00EE3A64"/>
    <w:rsid w:val="00EE3CB2"/>
    <w:rsid w:val="00EE3EBB"/>
    <w:rsid w:val="00EE4A40"/>
    <w:rsid w:val="00EE50E5"/>
    <w:rsid w:val="00EE6084"/>
    <w:rsid w:val="00EF01CF"/>
    <w:rsid w:val="00EF1132"/>
    <w:rsid w:val="00EF41A6"/>
    <w:rsid w:val="00EF4C17"/>
    <w:rsid w:val="00EF5806"/>
    <w:rsid w:val="00EF6751"/>
    <w:rsid w:val="00EF69D8"/>
    <w:rsid w:val="00EF6F25"/>
    <w:rsid w:val="00F0087F"/>
    <w:rsid w:val="00F03590"/>
    <w:rsid w:val="00F03622"/>
    <w:rsid w:val="00F041CD"/>
    <w:rsid w:val="00F063AD"/>
    <w:rsid w:val="00F071FA"/>
    <w:rsid w:val="00F07482"/>
    <w:rsid w:val="00F077FD"/>
    <w:rsid w:val="00F112BB"/>
    <w:rsid w:val="00F12CE3"/>
    <w:rsid w:val="00F1732E"/>
    <w:rsid w:val="00F177DA"/>
    <w:rsid w:val="00F2035E"/>
    <w:rsid w:val="00F204F3"/>
    <w:rsid w:val="00F218AB"/>
    <w:rsid w:val="00F223DB"/>
    <w:rsid w:val="00F238B3"/>
    <w:rsid w:val="00F25586"/>
    <w:rsid w:val="00F260AE"/>
    <w:rsid w:val="00F2651D"/>
    <w:rsid w:val="00F27362"/>
    <w:rsid w:val="00F3050E"/>
    <w:rsid w:val="00F31005"/>
    <w:rsid w:val="00F31498"/>
    <w:rsid w:val="00F31E81"/>
    <w:rsid w:val="00F3297C"/>
    <w:rsid w:val="00F32FEF"/>
    <w:rsid w:val="00F33B37"/>
    <w:rsid w:val="00F3433C"/>
    <w:rsid w:val="00F36A83"/>
    <w:rsid w:val="00F401EB"/>
    <w:rsid w:val="00F417BE"/>
    <w:rsid w:val="00F428B9"/>
    <w:rsid w:val="00F42E13"/>
    <w:rsid w:val="00F42F1C"/>
    <w:rsid w:val="00F43B44"/>
    <w:rsid w:val="00F440E5"/>
    <w:rsid w:val="00F4478A"/>
    <w:rsid w:val="00F448F6"/>
    <w:rsid w:val="00F46F76"/>
    <w:rsid w:val="00F52741"/>
    <w:rsid w:val="00F52DB0"/>
    <w:rsid w:val="00F53D8A"/>
    <w:rsid w:val="00F559DA"/>
    <w:rsid w:val="00F5624A"/>
    <w:rsid w:val="00F571CA"/>
    <w:rsid w:val="00F57C83"/>
    <w:rsid w:val="00F626F7"/>
    <w:rsid w:val="00F6325D"/>
    <w:rsid w:val="00F65BAC"/>
    <w:rsid w:val="00F664E4"/>
    <w:rsid w:val="00F66C68"/>
    <w:rsid w:val="00F732A7"/>
    <w:rsid w:val="00F736A5"/>
    <w:rsid w:val="00F74A95"/>
    <w:rsid w:val="00F80754"/>
    <w:rsid w:val="00F85ECB"/>
    <w:rsid w:val="00F90469"/>
    <w:rsid w:val="00F90577"/>
    <w:rsid w:val="00F9211C"/>
    <w:rsid w:val="00F92208"/>
    <w:rsid w:val="00F930A2"/>
    <w:rsid w:val="00F93C89"/>
    <w:rsid w:val="00FA095D"/>
    <w:rsid w:val="00FA0F10"/>
    <w:rsid w:val="00FA6C8B"/>
    <w:rsid w:val="00FB2911"/>
    <w:rsid w:val="00FB3589"/>
    <w:rsid w:val="00FB3CB4"/>
    <w:rsid w:val="00FB4139"/>
    <w:rsid w:val="00FB4604"/>
    <w:rsid w:val="00FB476E"/>
    <w:rsid w:val="00FB7DD2"/>
    <w:rsid w:val="00FC0D90"/>
    <w:rsid w:val="00FC16B5"/>
    <w:rsid w:val="00FC213D"/>
    <w:rsid w:val="00FC3560"/>
    <w:rsid w:val="00FC38A7"/>
    <w:rsid w:val="00FC3E92"/>
    <w:rsid w:val="00FC7D8C"/>
    <w:rsid w:val="00FD3980"/>
    <w:rsid w:val="00FD431E"/>
    <w:rsid w:val="00FD5A2C"/>
    <w:rsid w:val="00FE0D47"/>
    <w:rsid w:val="00FE1D5C"/>
    <w:rsid w:val="00FE2406"/>
    <w:rsid w:val="00FE2F8B"/>
    <w:rsid w:val="00FE3669"/>
    <w:rsid w:val="00FE5204"/>
    <w:rsid w:val="00FE6562"/>
    <w:rsid w:val="00FE7929"/>
    <w:rsid w:val="00FE7D3C"/>
    <w:rsid w:val="00FF287F"/>
    <w:rsid w:val="00FF3CB3"/>
    <w:rsid w:val="00FF501F"/>
    <w:rsid w:val="00FF7150"/>
    <w:rsid w:val="00FF74A8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E18B0F82-ACC8-4285-A933-4A6D8790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contributionH1">
    <w:name w:val="BDT_contributionH1"/>
    <w:basedOn w:val="Normal"/>
    <w:next w:val="Normal"/>
    <w:rsid w:val="008B577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Normal">
    <w:name w:val="CEO_Normal"/>
    <w:link w:val="CEONormalChar"/>
    <w:rsid w:val="008B5772"/>
    <w:pPr>
      <w:spacing w:before="120" w:after="120"/>
    </w:pPr>
    <w:rPr>
      <w:rFonts w:ascii="Calibri" w:eastAsia="SimSun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8B5772"/>
    <w:rPr>
      <w:rFonts w:ascii="Calibri" w:eastAsia="SimSun" w:hAnsi="Calibri" w:cs="Simplified Arabic"/>
      <w:sz w:val="22"/>
      <w:szCs w:val="19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8B57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5772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8B5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7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Theme="minorEastAsia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772"/>
    <w:rPr>
      <w:rFonts w:asciiTheme="minorHAnsi" w:eastAsiaTheme="minorEastAsia" w:hAnsiTheme="minorHAnsi" w:cstheme="minorBidi"/>
    </w:rPr>
  </w:style>
  <w:style w:type="paragraph" w:customStyle="1" w:styleId="CEOParagraph1">
    <w:name w:val="CEO_Paragraph1."/>
    <w:basedOn w:val="Normal"/>
    <w:rsid w:val="008B5772"/>
    <w:pPr>
      <w:keepNext/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  <w:lang w:val="en-US"/>
    </w:rPr>
  </w:style>
  <w:style w:type="paragraph" w:customStyle="1" w:styleId="CEOParagraphabc">
    <w:name w:val="CEO_Paragraph abc)"/>
    <w:basedOn w:val="Normal"/>
    <w:rsid w:val="008B5772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Theme="minorHAnsi" w:hAnsi="Calibri"/>
      <w:b/>
      <w:bCs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B577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5772"/>
    <w:rPr>
      <w:rFonts w:ascii="Segoe UI" w:hAnsi="Segoe UI" w:cs="Segoe UI"/>
      <w:sz w:val="18"/>
      <w:szCs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D03D7A"/>
    <w:rPr>
      <w:i/>
      <w:iCs/>
    </w:rPr>
  </w:style>
  <w:style w:type="character" w:customStyle="1" w:styleId="ms-rtethemeforecolor-2-0">
    <w:name w:val="ms-rtethemeforecolor-2-0"/>
    <w:basedOn w:val="DefaultParagraphFont"/>
    <w:rsid w:val="00D03D7A"/>
  </w:style>
  <w:style w:type="paragraph" w:styleId="Revision">
    <w:name w:val="Revision"/>
    <w:hidden/>
    <w:uiPriority w:val="99"/>
    <w:semiHidden/>
    <w:rsid w:val="006B362B"/>
    <w:rPr>
      <w:rFonts w:asciiTheme="minorHAnsi" w:hAnsiTheme="minorHAnsi"/>
      <w:sz w:val="24"/>
      <w:lang w:val="en-GB" w:eastAsia="en-US"/>
    </w:rPr>
  </w:style>
  <w:style w:type="character" w:customStyle="1" w:styleId="ms-rtefontface-5">
    <w:name w:val="ms-rtefontface-5"/>
    <w:basedOn w:val="DefaultParagraphFont"/>
    <w:rsid w:val="00FB29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509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65093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C7777"/>
    <w:rPr>
      <w:rFonts w:ascii="Verdana" w:eastAsia="SimHei" w:hAnsi="Verdana" w:cs="Simplified Arabic"/>
      <w:bCs/>
      <w:sz w:val="19"/>
      <w:szCs w:val="28"/>
    </w:rPr>
  </w:style>
  <w:style w:type="character" w:styleId="FollowedHyperlink">
    <w:name w:val="FollowedHyperlink"/>
    <w:basedOn w:val="DefaultParagraphFont"/>
    <w:semiHidden/>
    <w:unhideWhenUsed/>
    <w:rsid w:val="000C4D19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0D2CA5"/>
  </w:style>
  <w:style w:type="character" w:styleId="Strong">
    <w:name w:val="Strong"/>
    <w:basedOn w:val="DefaultParagraphFont"/>
    <w:uiPriority w:val="22"/>
    <w:qFormat/>
    <w:rsid w:val="00941F3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D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6D94"/>
    <w:rPr>
      <w:rFonts w:ascii="Calibri" w:eastAsiaTheme="minorEastAsia" w:hAnsi="Calibri" w:cstheme="minorBidi"/>
      <w:sz w:val="22"/>
      <w:szCs w:val="21"/>
    </w:rPr>
  </w:style>
  <w:style w:type="paragraph" w:styleId="NoSpacing">
    <w:name w:val="No Spacing"/>
    <w:uiPriority w:val="1"/>
    <w:qFormat/>
    <w:rsid w:val="0017254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0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D14-WTDC17-C-0115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itu.int/go/en/itudsponsorships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TDAG24-INF-0003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eun-ju.kim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on\Local%20Settings\Temporary%20Internet%20Files\Content.Outlook\1XY9WCVR\PE_WTDC14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TDAG\2019\Charts%20TDAG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TDAG\2019\Charts%20TDAG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Beneficiary</a:t>
            </a:r>
            <a:r>
              <a:rPr lang="en-US" sz="1200" b="1" baseline="0"/>
              <a:t> Regions of new signed Agreements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1"/>
          <c:order val="1"/>
          <c:tx>
            <c:strRef>
              <c:f>Sheet1!$C$6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Sheet1!$A$7:$A$13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Sheet1!$C$7:$C$13</c:f>
              <c:numCache>
                <c:formatCode>General</c:formatCode>
                <c:ptCount val="7"/>
                <c:pt idx="0">
                  <c:v>16.5</c:v>
                </c:pt>
                <c:pt idx="1">
                  <c:v>9</c:v>
                </c:pt>
                <c:pt idx="2">
                  <c:v>7</c:v>
                </c:pt>
                <c:pt idx="3">
                  <c:v>15</c:v>
                </c:pt>
                <c:pt idx="4">
                  <c:v>3</c:v>
                </c:pt>
                <c:pt idx="5">
                  <c:v>7.5</c:v>
                </c:pt>
                <c:pt idx="6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Sheet1!$D$6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Sheet1!$A$7:$A$13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Sheet1!$D$7:$D$13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15</c:v>
                </c:pt>
              </c:numCache>
            </c:numRef>
          </c:val>
        </c:ser>
        <c:ser>
          <c:idx val="3"/>
          <c:order val="3"/>
          <c:tx>
            <c:strRef>
              <c:f>Sheet1!$E$6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Sheet1!$A$7:$A$13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Sheet1!$E$7:$E$13</c:f>
              <c:numCache>
                <c:formatCode>General</c:formatCode>
                <c:ptCount val="7"/>
                <c:pt idx="0">
                  <c:v>5</c:v>
                </c:pt>
                <c:pt idx="1">
                  <c:v>8</c:v>
                </c:pt>
                <c:pt idx="2">
                  <c:v>3</c:v>
                </c:pt>
                <c:pt idx="3">
                  <c:v>8</c:v>
                </c:pt>
                <c:pt idx="4">
                  <c:v>1</c:v>
                </c:pt>
                <c:pt idx="5">
                  <c:v>2</c:v>
                </c:pt>
                <c:pt idx="6">
                  <c:v>33</c:v>
                </c:pt>
              </c:numCache>
            </c:numRef>
          </c:val>
        </c:ser>
        <c:ser>
          <c:idx val="4"/>
          <c:order val="4"/>
          <c:tx>
            <c:strRef>
              <c:f>Sheet1!$F$6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Sheet1!$A$7:$A$13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Sheet1!$F$7:$F$13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3</c:v>
                </c:pt>
                <c:pt idx="3">
                  <c:v>7</c:v>
                </c:pt>
                <c:pt idx="4">
                  <c:v>1</c:v>
                </c:pt>
                <c:pt idx="5">
                  <c:v>2</c:v>
                </c:pt>
                <c:pt idx="6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00767864"/>
        <c:axId val="40088763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Sheet1!$B$6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Sheet1!$A$7:$A$13</c15:sqref>
                        </c15:formulaRef>
                      </c:ext>
                    </c:extLst>
                    <c:strCache>
                      <c:ptCount val="7"/>
                      <c:pt idx="0">
                        <c:v>AFR</c:v>
                      </c:pt>
                      <c:pt idx="1">
                        <c:v>AMS</c:v>
                      </c:pt>
                      <c:pt idx="2">
                        <c:v>ARB</c:v>
                      </c:pt>
                      <c:pt idx="3">
                        <c:v>ASP</c:v>
                      </c:pt>
                      <c:pt idx="4">
                        <c:v>CIS</c:v>
                      </c:pt>
                      <c:pt idx="5">
                        <c:v>EUR</c:v>
                      </c:pt>
                      <c:pt idx="6">
                        <c:v>GLO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Sheet1!$B$7:$B$13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</c15:ser>
            </c15:filteredBarSeries>
          </c:ext>
        </c:extLst>
      </c:barChart>
      <c:catAx>
        <c:axId val="400767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0887632"/>
        <c:crosses val="autoZero"/>
        <c:auto val="1"/>
        <c:lblAlgn val="ctr"/>
        <c:lblOffset val="100"/>
        <c:noMultiLvlLbl val="0"/>
      </c:catAx>
      <c:valAx>
        <c:axId val="400887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0767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Areas of Action</a:t>
            </a:r>
            <a:r>
              <a:rPr lang="en-US" sz="1200" b="1" baseline="0"/>
              <a:t> of new signed Agreeements</a:t>
            </a:r>
            <a:endParaRPr lang="en-US" sz="1200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1"/>
          <c:order val="1"/>
          <c:tx>
            <c:strRef>
              <c:f>Sheet1!$C$21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Sheet1!$A$22:$A$32</c:f>
              <c:strCache>
                <c:ptCount val="11"/>
                <c:pt idx="0">
                  <c:v>Capacity Building</c:v>
                </c:pt>
                <c:pt idx="1">
                  <c:v>Cybersecurity</c:v>
                </c:pt>
                <c:pt idx="2">
                  <c:v>Digital Inclusion</c:v>
                </c:pt>
                <c:pt idx="3">
                  <c:v>Emergency</c:v>
                </c:pt>
                <c:pt idx="4">
                  <c:v>Enabling Environment</c:v>
                </c:pt>
                <c:pt idx="5">
                  <c:v>Generic</c:v>
                </c:pt>
                <c:pt idx="6">
                  <c:v>ICT-Applications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Climate Ch. / e-waste</c:v>
                </c:pt>
                <c:pt idx="10">
                  <c:v>Statistics and Indicators</c:v>
                </c:pt>
              </c:strCache>
            </c:strRef>
          </c:cat>
          <c:val>
            <c:numRef>
              <c:f>Sheet1!$C$22:$C$32</c:f>
              <c:numCache>
                <c:formatCode>General</c:formatCode>
                <c:ptCount val="11"/>
                <c:pt idx="0">
                  <c:v>34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  <c:pt idx="4">
                  <c:v>7</c:v>
                </c:pt>
                <c:pt idx="5">
                  <c:v>3</c:v>
                </c:pt>
                <c:pt idx="6">
                  <c:v>6</c:v>
                </c:pt>
                <c:pt idx="7">
                  <c:v>8</c:v>
                </c:pt>
                <c:pt idx="8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Sheet1!$D$21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Sheet1!$A$22:$A$32</c:f>
              <c:strCache>
                <c:ptCount val="11"/>
                <c:pt idx="0">
                  <c:v>Capacity Building</c:v>
                </c:pt>
                <c:pt idx="1">
                  <c:v>Cybersecurity</c:v>
                </c:pt>
                <c:pt idx="2">
                  <c:v>Digital Inclusion</c:v>
                </c:pt>
                <c:pt idx="3">
                  <c:v>Emergency</c:v>
                </c:pt>
                <c:pt idx="4">
                  <c:v>Enabling Environment</c:v>
                </c:pt>
                <c:pt idx="5">
                  <c:v>Generic</c:v>
                </c:pt>
                <c:pt idx="6">
                  <c:v>ICT-Applications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Climate Ch. / e-waste</c:v>
                </c:pt>
                <c:pt idx="10">
                  <c:v>Statistics and Indicators</c:v>
                </c:pt>
              </c:strCache>
            </c:strRef>
          </c:cat>
          <c:val>
            <c:numRef>
              <c:f>Sheet1!$D$22:$D$32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9</c:v>
                </c:pt>
                <c:pt idx="7">
                  <c:v>5</c:v>
                </c:pt>
                <c:pt idx="8">
                  <c:v>1</c:v>
                </c:pt>
                <c:pt idx="1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Sheet1!$E$21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Sheet1!$A$22:$A$32</c:f>
              <c:strCache>
                <c:ptCount val="11"/>
                <c:pt idx="0">
                  <c:v>Capacity Building</c:v>
                </c:pt>
                <c:pt idx="1">
                  <c:v>Cybersecurity</c:v>
                </c:pt>
                <c:pt idx="2">
                  <c:v>Digital Inclusion</c:v>
                </c:pt>
                <c:pt idx="3">
                  <c:v>Emergency</c:v>
                </c:pt>
                <c:pt idx="4">
                  <c:v>Enabling Environment</c:v>
                </c:pt>
                <c:pt idx="5">
                  <c:v>Generic</c:v>
                </c:pt>
                <c:pt idx="6">
                  <c:v>ICT-Applications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Climate Ch. / e-waste</c:v>
                </c:pt>
                <c:pt idx="10">
                  <c:v>Statistics and Indicators</c:v>
                </c:pt>
              </c:strCache>
            </c:strRef>
          </c:cat>
          <c:val>
            <c:numRef>
              <c:f>Sheet1!$E$22:$E$32</c:f>
              <c:numCache>
                <c:formatCode>General</c:formatCode>
                <c:ptCount val="11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8</c:v>
                </c:pt>
                <c:pt idx="5">
                  <c:v>20</c:v>
                </c:pt>
                <c:pt idx="6">
                  <c:v>11</c:v>
                </c:pt>
                <c:pt idx="7">
                  <c:v>5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ser>
          <c:idx val="4"/>
          <c:order val="4"/>
          <c:tx>
            <c:strRef>
              <c:f>Sheet1!$F$21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Sheet1!$A$22:$A$32</c:f>
              <c:strCache>
                <c:ptCount val="11"/>
                <c:pt idx="0">
                  <c:v>Capacity Building</c:v>
                </c:pt>
                <c:pt idx="1">
                  <c:v>Cybersecurity</c:v>
                </c:pt>
                <c:pt idx="2">
                  <c:v>Digital Inclusion</c:v>
                </c:pt>
                <c:pt idx="3">
                  <c:v>Emergency</c:v>
                </c:pt>
                <c:pt idx="4">
                  <c:v>Enabling Environment</c:v>
                </c:pt>
                <c:pt idx="5">
                  <c:v>Generic</c:v>
                </c:pt>
                <c:pt idx="6">
                  <c:v>ICT-Applications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Climate Ch. / e-waste</c:v>
                </c:pt>
                <c:pt idx="10">
                  <c:v>Statistics and Indicators</c:v>
                </c:pt>
              </c:strCache>
            </c:strRef>
          </c:cat>
          <c:val>
            <c:numRef>
              <c:f>Sheet1!$F$22:$F$32</c:f>
              <c:numCache>
                <c:formatCode>General</c:formatCode>
                <c:ptCount val="11"/>
                <c:pt idx="0">
                  <c:v>3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14</c:v>
                </c:pt>
                <c:pt idx="5">
                  <c:v>3</c:v>
                </c:pt>
                <c:pt idx="6">
                  <c:v>3</c:v>
                </c:pt>
                <c:pt idx="7">
                  <c:v>9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00778512"/>
        <c:axId val="40098401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Sheet1!$B$21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Sheet1!$A$22:$A$32</c15:sqref>
                        </c15:formulaRef>
                      </c:ext>
                    </c:extLst>
                    <c:strCache>
                      <c:ptCount val="11"/>
                      <c:pt idx="0">
                        <c:v>Capacity Building</c:v>
                      </c:pt>
                      <c:pt idx="1">
                        <c:v>Cybersecurity</c:v>
                      </c:pt>
                      <c:pt idx="2">
                        <c:v>Digital Inclusion</c:v>
                      </c:pt>
                      <c:pt idx="3">
                        <c:v>Emergency</c:v>
                      </c:pt>
                      <c:pt idx="4">
                        <c:v>Enabling Environment</c:v>
                      </c:pt>
                      <c:pt idx="5">
                        <c:v>Generic</c:v>
                      </c:pt>
                      <c:pt idx="6">
                        <c:v>ICT-Applications</c:v>
                      </c:pt>
                      <c:pt idx="7">
                        <c:v>Infrastructure</c:v>
                      </c:pt>
                      <c:pt idx="8">
                        <c:v>Innovation</c:v>
                      </c:pt>
                      <c:pt idx="9">
                        <c:v>Climate Ch. / e-waste</c:v>
                      </c:pt>
                      <c:pt idx="10">
                        <c:v>Statistics and Indicators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Sheet1!$B$22:$B$32</c15:sqref>
                        </c15:formulaRef>
                      </c:ext>
                    </c:extLst>
                    <c:numCache>
                      <c:formatCode>General</c:formatCode>
                      <c:ptCount val="11"/>
                    </c:numCache>
                  </c:numRef>
                </c:val>
              </c15:ser>
            </c15:filteredBarSeries>
          </c:ext>
        </c:extLst>
      </c:barChart>
      <c:catAx>
        <c:axId val="400778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0984016"/>
        <c:crosses val="autoZero"/>
        <c:auto val="1"/>
        <c:lblAlgn val="ctr"/>
        <c:lblOffset val="100"/>
        <c:noMultiLvlLbl val="0"/>
      </c:catAx>
      <c:valAx>
        <c:axId val="400984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0778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bb021d-947f-43a0-81ba-2a21b0d60df9">XMDQHHHA4CRK-2051021946-15</_dlc_DocId>
    <_dlc_DocIdUrl xmlns="10bb021d-947f-43a0-81ba-2a21b0d60df9">
      <Url>https://intranet.itu.int/sites/ITU-D/tdag/_layouts/15/DocIdRedir.aspx?ID=XMDQHHHA4CRK-2051021946-15</Url>
      <Description>XMDQHHHA4CRK-2051021946-15</Description>
    </_dlc_DocIdUrl>
    <Comments xmlns="bc0480e9-89b5-4e04-9897-b8ef005e5e50" xsi:nil="true"/>
    <Doc_x0020_No xmlns="bc0480e9-89b5-4e04-9897-b8ef005e5e50">43</Doc_x0020_No>
    <Focal_x0020_Points xmlns="bc0480e9-89b5-4e04-9897-b8ef005e5e50">
      <Value>Guyot S.</Value>
    </Focal_x0020_Points>
    <Doc_x0020_posted xmlns="bc0480e9-89b5-4e04-9897-b8ef005e5e50">not posted</Doc_x0020_posted>
    <Responsible xmlns="bc0480e9-89b5-4e04-9897-b8ef005e5e50">Kim E.J.</Responsible>
    <base xmlns="bc0480e9-89b5-4e04-9897-b8ef005e5e50">TDAG23</bas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AE1A9AE5B140B8F0EC84C61387A2" ma:contentTypeVersion="18" ma:contentTypeDescription="Create a new document." ma:contentTypeScope="" ma:versionID="5e64a1d579fdee9abdbf12d32a65059a">
  <xsd:schema xmlns:xsd="http://www.w3.org/2001/XMLSchema" xmlns:xs="http://www.w3.org/2001/XMLSchema" xmlns:p="http://schemas.microsoft.com/office/2006/metadata/properties" xmlns:ns2="10bb021d-947f-43a0-81ba-2a21b0d60df9" xmlns:ns3="bc0480e9-89b5-4e04-9897-b8ef005e5e50" targetNamespace="http://schemas.microsoft.com/office/2006/metadata/properties" ma:root="true" ma:fieldsID="d38661aed2f8f4fe0c9a90883688a0ee" ns2:_="" ns3:_="">
    <xsd:import namespace="10bb021d-947f-43a0-81ba-2a21b0d60df9"/>
    <xsd:import namespace="bc0480e9-89b5-4e04-9897-b8ef005e5e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ments" minOccurs="0"/>
                <xsd:element ref="ns3:Responsible"/>
                <xsd:element ref="ns3:Focal_x0020_Points" minOccurs="0"/>
                <xsd:element ref="ns3:Doc_x0020_posted"/>
                <xsd:element ref="ns3:Doc_x0020_No"/>
                <xsd:element ref="ns3:Doc_x0020_No_x003a_Doc_x0020_Title" minOccurs="0"/>
                <xsd:element ref="ns3:Doc_x0020_No_x003a_Doc_x0020_No" minOccurs="0"/>
                <xsd:element ref="ns3:Doc_x0020_No_x003a_Doc_x0020_Source" minOccurs="0"/>
                <xsd:element ref="ns3:Doc_x0020_No_x003a_Presenter" minOccurs="0"/>
                <xsd:element ref="ns3:Doc_x0020_No_x003a_URL" minOccurs="0"/>
                <xsd:element ref="ns3:b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80e9-89b5-4e04-9897-b8ef005e5e50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  <xsd:element name="Responsible" ma:index="12" ma:displayName="Responsible" ma:format="Dropdown" ma:internalName="Responsible">
      <xsd:simpleType>
        <xsd:restriction base="dms:Choice">
          <xsd:enumeration value="Alhaddad E."/>
          <xsd:enumeration value="Ba A."/>
          <xsd:enumeration value="Guillot A."/>
          <xsd:enumeration value="Huseinovic K."/>
          <xsd:enumeration value="Kim E.J."/>
          <xsd:enumeration value="Koroivuki I."/>
          <xsd:enumeration value="Lusweti P."/>
          <xsd:enumeration value="Oparin K."/>
          <xsd:enumeration value="Ponder J."/>
          <xsd:enumeration value="Ramos B."/>
          <xsd:enumeration value="Rugege A."/>
          <xsd:enumeration value="Torigoe Y."/>
          <xsd:enumeration value="Zavazava C."/>
        </xsd:restriction>
      </xsd:simpleType>
    </xsd:element>
    <xsd:element name="Focal_x0020_Points" ma:index="13" nillable="true" ma:displayName="Focal Points" ma:internalName="Focal_x0020_Poi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ini M."/>
                    <xsd:enumeration value="Alhaddad E."/>
                    <xsd:enumeration value="Ba A."/>
                    <xsd:enumeration value="Ba M."/>
                    <xsd:enumeration value="Bozsoki I."/>
                    <xsd:enumeration value="Byamba G."/>
                    <xsd:enumeration value="Cabral P."/>
                    <xsd:enumeration value="Cleveland T."/>
                    <xsd:enumeration value="Comas Barnés M."/>
                    <xsd:enumeration value="Daigele V."/>
                    <xsd:enumeration value="Delgado M."/>
                    <xsd:enumeration value="Eskandar H."/>
                    <xsd:enumeration value="Gbaguidi C."/>
                    <xsd:enumeration value="Gray V."/>
                    <xsd:enumeration value="Guillot A."/>
                    <xsd:enumeration value="Guyot S."/>
                    <xsd:enumeration value="Huseinovic K."/>
                    <xsd:enumeration value="Jongou R."/>
                    <xsd:enumeration value="Karyabwite D."/>
                    <xsd:enumeration value="Kim E.J."/>
                    <xsd:enumeration value="Koroivuki I."/>
                    <xsd:enumeration value="Lozanova Y."/>
                    <xsd:enumeration value="Lusweti P."/>
                    <xsd:enumeration value="Maddens S."/>
                    <xsd:enumeration value="Maia Reboucas, A."/>
                    <xsd:enumeration value="Obiso, M."/>
                    <xsd:enumeration value="Oparin K."/>
                    <xsd:enumeration value="Poll S."/>
                    <xsd:enumeration value="Ponder J."/>
                    <xsd:enumeration value="Prado C."/>
                    <xsd:enumeration value="Ramos B."/>
                    <xsd:enumeration value="Rugege A."/>
                    <xsd:enumeration value="Scarabino S."/>
                    <xsd:enumeration value="Schorr S."/>
                    <xsd:enumeration value="Skhirtladze R."/>
                    <xsd:enumeration value="Sund C."/>
                    <xsd:enumeration value="Teltscher S."/>
                    <xsd:enumeration value="Torigoe Y."/>
                    <xsd:enumeration value="Zavazava C."/>
                  </xsd:restriction>
                </xsd:simpleType>
              </xsd:element>
            </xsd:sequence>
          </xsd:extension>
        </xsd:complexContent>
      </xsd:complexType>
    </xsd:element>
    <xsd:element name="Doc_x0020_posted" ma:index="14" ma:displayName="Doc posted" ma:default="not posted" ma:format="RadioButtons" ma:internalName="Doc_x0020_posted">
      <xsd:simpleType>
        <xsd:restriction base="dms:Choice">
          <xsd:enumeration value="posted"/>
          <xsd:enumeration value="not posted"/>
        </xsd:restriction>
      </xsd:simpleType>
    </xsd:element>
    <xsd:element name="Doc_x0020_No" ma:index="15" ma:displayName="Doc No" ma:indexed="true" ma:list="{c571b9a2-8c27-4c1b-a0a6-2785140dd718}" ma:internalName="Doc_x0020_No" ma:readOnly="false" ma:showField="Doc_x0020_No">
      <xsd:simpleType>
        <xsd:restriction base="dms:Lookup"/>
      </xsd:simpleType>
    </xsd:element>
    <xsd:element name="Doc_x0020_No_x003a_Doc_x0020_Title" ma:index="16" nillable="true" ma:displayName="Doc No:Doc Title" ma:list="{c571b9a2-8c27-4c1b-a0a6-2785140dd718}" ma:internalName="Doc_x0020_No_x003a_Doc_x0020_Title" ma:readOnly="true" ma:showField="Title" ma:web="117000de-26cc-44b9-a624-eac198371aac">
      <xsd:simpleType>
        <xsd:restriction base="dms:Lookup"/>
      </xsd:simpleType>
    </xsd:element>
    <xsd:element name="Doc_x0020_No_x003a_Doc_x0020_No" ma:index="17" nillable="true" ma:displayName="Doc No:Doc No" ma:list="{c571b9a2-8c27-4c1b-a0a6-2785140dd718}" ma:internalName="Doc_x0020_No_x003a_Doc_x0020_No" ma:readOnly="true" ma:showField="Doc_x0020_No" ma:web="117000de-26cc-44b9-a624-eac198371aac">
      <xsd:simpleType>
        <xsd:restriction base="dms:Lookup"/>
      </xsd:simpleType>
    </xsd:element>
    <xsd:element name="Doc_x0020_No_x003a_Doc_x0020_Source" ma:index="18" nillable="true" ma:displayName="Doc No:Doc Source" ma:list="{c571b9a2-8c27-4c1b-a0a6-2785140dd718}" ma:internalName="Doc_x0020_No_x003a_Doc_x0020_Source" ma:readOnly="true" ma:showField="Doc_x0020_Source" ma:web="117000de-26cc-44b9-a624-eac198371aac">
      <xsd:simpleType>
        <xsd:restriction base="dms:Lookup"/>
      </xsd:simpleType>
    </xsd:element>
    <xsd:element name="Doc_x0020_No_x003a_Presenter" ma:index="19" nillable="true" ma:displayName="Doc No:Presenter" ma:list="{c571b9a2-8c27-4c1b-a0a6-2785140dd718}" ma:internalName="Doc_x0020_No_x003a_Presenter" ma:readOnly="true" ma:showField="Presenter" ma:web="117000de-26cc-44b9-a624-eac198371aac">
      <xsd:simpleType>
        <xsd:restriction base="dms:Lookup"/>
      </xsd:simpleType>
    </xsd:element>
    <xsd:element name="Doc_x0020_No_x003a_URL" ma:index="20" nillable="true" ma:displayName="Doc No:URL" ma:list="{c571b9a2-8c27-4c1b-a0a6-2785140dd718}" ma:internalName="Doc_x0020_No_x003a_URL" ma:readOnly="true" ma:showField="URL" ma:web="117000de-26cc-44b9-a624-eac198371aac">
      <xsd:simpleType>
        <xsd:restriction base="dms:Lookup"/>
      </xsd:simpleType>
    </xsd:element>
    <xsd:element name="base" ma:index="22" ma:displayName="base" ma:default="TDAG23" ma:internalName="b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34CB-FCD7-45BD-8A9D-C67003996F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C4CFAF-FA7B-4752-966D-2C70E3CA06D5}">
  <ds:schemaRefs>
    <ds:schemaRef ds:uri="bc0480e9-89b5-4e04-9897-b8ef005e5e5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10bb021d-947f-43a0-81ba-2a21b0d60df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016A11-D75F-4191-84C1-F6270BF7F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bc0480e9-89b5-4e04-9897-b8ef005e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AC9683-D21B-4E7B-B8E4-57334961F2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F21783-B7A5-44FC-8201-E65CFD37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PE_WTDC14.dotm</Template>
  <TotalTime>4</TotalTime>
  <Pages>5</Pages>
  <Words>1362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ITU-D PARTNERSHIP AND RESOURCE MOBILIZATION</vt:lpstr>
    </vt:vector>
  </TitlesOfParts>
  <Manager>General Secretariat - Pool</Manager>
  <Company>International Telecommunication Union (ITU)</Company>
  <LinksUpToDate>false</LinksUpToDate>
  <CharactersWithSpaces>10006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ITU-D PARTNERSHIP AND RESOURCE MOBILIZATION</dc:title>
  <dc:creator>BDT</dc:creator>
  <cp:lastModifiedBy>BDT</cp:lastModifiedBy>
  <cp:revision>5</cp:revision>
  <cp:lastPrinted>2019-02-13T08:13:00Z</cp:lastPrinted>
  <dcterms:created xsi:type="dcterms:W3CDTF">2019-02-15T17:17:00Z</dcterms:created>
  <dcterms:modified xsi:type="dcterms:W3CDTF">2019-03-21T15:08:00Z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0x0101001526AE1A9AE5B140B8F0EC84C61387A2</vt:lpwstr>
  </property>
  <property fmtid="{D5CDD505-2E9C-101B-9397-08002B2CF9AE}" pid="9" name="_dlc_DocIdItemGuid">
    <vt:lpwstr>36760fcd-ab37-4d63-99b1-fe60a94c9bbf</vt:lpwstr>
  </property>
</Properties>
</file>