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1024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7251"/>
        <w:gridCol w:w="2996"/>
      </w:tblGrid>
      <w:tr w:rsidR="0021438F" w:rsidRPr="00156BF6" w:rsidTr="006D7E3A">
        <w:trPr>
          <w:cantSplit/>
          <w:trHeight w:val="1134"/>
        </w:trPr>
        <w:tc>
          <w:tcPr>
            <w:tcW w:w="7251" w:type="dxa"/>
          </w:tcPr>
          <w:p w:rsidR="0021438F" w:rsidRPr="000C61E9" w:rsidRDefault="0021438F" w:rsidP="00000AC9">
            <w:pPr>
              <w:tabs>
                <w:tab w:val="left" w:pos="1871"/>
                <w:tab w:val="left" w:pos="2268"/>
              </w:tabs>
              <w:spacing w:before="20" w:after="48"/>
              <w:ind w:left="34"/>
              <w:rPr>
                <w:b/>
                <w:bCs/>
                <w:sz w:val="32"/>
                <w:szCs w:val="32"/>
              </w:rPr>
            </w:pPr>
            <w:r w:rsidRPr="000C61E9">
              <w:rPr>
                <w:b/>
                <w:sz w:val="32"/>
                <w:szCs w:val="32"/>
              </w:rPr>
              <w:t>Groupe</w:t>
            </w:r>
            <w:r w:rsidRPr="000C61E9">
              <w:rPr>
                <w:b/>
                <w:bCs/>
                <w:sz w:val="32"/>
                <w:szCs w:val="32"/>
              </w:rPr>
              <w:t xml:space="preserve"> consultatif pour le développement </w:t>
            </w:r>
            <w:r w:rsidRPr="000C61E9">
              <w:rPr>
                <w:b/>
                <w:bCs/>
                <w:sz w:val="32"/>
                <w:szCs w:val="32"/>
              </w:rPr>
              <w:br/>
              <w:t>des télécommunications (GCDT)</w:t>
            </w:r>
          </w:p>
          <w:p w:rsidR="0021438F" w:rsidRPr="00156BF6" w:rsidRDefault="00D87E6C" w:rsidP="00000AC9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6231B0">
              <w:rPr>
                <w:b/>
                <w:bCs/>
                <w:sz w:val="26"/>
                <w:szCs w:val="26"/>
                <w:lang w:val="fr-FR"/>
              </w:rPr>
              <w:t>2</w:t>
            </w:r>
            <w:r>
              <w:rPr>
                <w:b/>
                <w:bCs/>
                <w:sz w:val="26"/>
                <w:szCs w:val="26"/>
                <w:lang w:val="fr-FR"/>
              </w:rPr>
              <w:t>4</w:t>
            </w:r>
            <w:r w:rsidRPr="006231B0">
              <w:rPr>
                <w:b/>
                <w:bCs/>
                <w:sz w:val="26"/>
                <w:szCs w:val="26"/>
                <w:lang w:val="fr-FR"/>
              </w:rPr>
              <w:t xml:space="preserve">ème réunion, Genève, </w:t>
            </w:r>
            <w:r>
              <w:rPr>
                <w:b/>
                <w:bCs/>
                <w:sz w:val="26"/>
                <w:szCs w:val="26"/>
                <w:lang w:val="fr-FR"/>
              </w:rPr>
              <w:t>3</w:t>
            </w:r>
            <w:r w:rsidRPr="006231B0">
              <w:rPr>
                <w:b/>
                <w:bCs/>
                <w:sz w:val="26"/>
                <w:szCs w:val="26"/>
                <w:lang w:val="fr-FR"/>
              </w:rPr>
              <w:t>-</w:t>
            </w:r>
            <w:r>
              <w:rPr>
                <w:b/>
                <w:bCs/>
                <w:sz w:val="26"/>
                <w:szCs w:val="26"/>
                <w:lang w:val="fr-FR"/>
              </w:rPr>
              <w:t>5</w:t>
            </w:r>
            <w:r w:rsidRPr="006231B0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fr-FR"/>
              </w:rPr>
              <w:t>avril</w:t>
            </w:r>
            <w:r w:rsidRPr="006231B0">
              <w:rPr>
                <w:b/>
                <w:bCs/>
                <w:sz w:val="26"/>
                <w:szCs w:val="26"/>
                <w:lang w:val="fr-FR"/>
              </w:rPr>
              <w:t xml:space="preserve"> 201</w:t>
            </w:r>
            <w:r>
              <w:rPr>
                <w:b/>
                <w:bCs/>
                <w:sz w:val="26"/>
                <w:szCs w:val="26"/>
                <w:lang w:val="fr-FR"/>
              </w:rPr>
              <w:t>9</w:t>
            </w:r>
          </w:p>
        </w:tc>
        <w:tc>
          <w:tcPr>
            <w:tcW w:w="2996" w:type="dxa"/>
          </w:tcPr>
          <w:p w:rsidR="0021438F" w:rsidRPr="00156BF6" w:rsidRDefault="00D87E6C" w:rsidP="00000AC9">
            <w:pPr>
              <w:spacing w:before="0"/>
              <w:ind w:right="142"/>
              <w:jc w:val="right"/>
            </w:pPr>
            <w:r w:rsidRPr="008E52B1">
              <w:rPr>
                <w:noProof/>
                <w:color w:val="3399FF"/>
                <w:lang w:val="fr-FR" w:eastAsia="zh-CN"/>
              </w:rPr>
              <w:drawing>
                <wp:inline distT="0" distB="0" distL="0" distR="0" wp14:anchorId="2058137A" wp14:editId="6DF0039D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156BF6" w:rsidTr="000C61E9">
        <w:trPr>
          <w:cantSplit/>
        </w:trPr>
        <w:tc>
          <w:tcPr>
            <w:tcW w:w="7251" w:type="dxa"/>
            <w:tcBorders>
              <w:top w:val="single" w:sz="12" w:space="0" w:color="auto"/>
            </w:tcBorders>
          </w:tcPr>
          <w:p w:rsidR="00683C32" w:rsidRPr="00156BF6" w:rsidRDefault="00683C32" w:rsidP="00000AC9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996" w:type="dxa"/>
            <w:tcBorders>
              <w:top w:val="single" w:sz="12" w:space="0" w:color="auto"/>
            </w:tcBorders>
          </w:tcPr>
          <w:p w:rsidR="00683C32" w:rsidRPr="00156BF6" w:rsidRDefault="00683C32" w:rsidP="00000AC9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156BF6" w:rsidTr="000C61E9">
        <w:trPr>
          <w:cantSplit/>
        </w:trPr>
        <w:tc>
          <w:tcPr>
            <w:tcW w:w="7251" w:type="dxa"/>
          </w:tcPr>
          <w:p w:rsidR="00683C32" w:rsidRPr="00156BF6" w:rsidRDefault="00683C32" w:rsidP="00000AC9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2996" w:type="dxa"/>
          </w:tcPr>
          <w:p w:rsidR="00683C32" w:rsidRPr="00156BF6" w:rsidRDefault="00323587" w:rsidP="00000AC9">
            <w:pPr>
              <w:spacing w:before="0"/>
              <w:rPr>
                <w:bCs/>
                <w:szCs w:val="24"/>
              </w:rPr>
            </w:pPr>
            <w:r w:rsidRPr="008F5D48">
              <w:rPr>
                <w:b/>
                <w:bCs/>
                <w:szCs w:val="28"/>
              </w:rPr>
              <w:t xml:space="preserve">Document </w:t>
            </w:r>
            <w:bookmarkStart w:id="0" w:name="DocRef1"/>
            <w:bookmarkEnd w:id="0"/>
            <w:r w:rsidRPr="008F5D48">
              <w:rPr>
                <w:b/>
                <w:bCs/>
                <w:szCs w:val="28"/>
              </w:rPr>
              <w:t>TDAG</w:t>
            </w:r>
            <w:r w:rsidR="008F20EB">
              <w:rPr>
                <w:b/>
                <w:bCs/>
                <w:szCs w:val="28"/>
              </w:rPr>
              <w:t>-</w:t>
            </w:r>
            <w:r w:rsidRPr="008F5D48">
              <w:rPr>
                <w:b/>
                <w:bCs/>
                <w:szCs w:val="28"/>
              </w:rPr>
              <w:t>1</w:t>
            </w:r>
            <w:r w:rsidR="00D87E6C">
              <w:rPr>
                <w:b/>
                <w:bCs/>
                <w:szCs w:val="28"/>
              </w:rPr>
              <w:t>9</w:t>
            </w:r>
            <w:r w:rsidRPr="008F5D48">
              <w:rPr>
                <w:b/>
                <w:bCs/>
                <w:szCs w:val="28"/>
              </w:rPr>
              <w:t>/</w:t>
            </w:r>
            <w:bookmarkStart w:id="1" w:name="DocNo1"/>
            <w:bookmarkEnd w:id="1"/>
            <w:r w:rsidR="008528CB">
              <w:rPr>
                <w:b/>
                <w:bCs/>
                <w:szCs w:val="28"/>
              </w:rPr>
              <w:t>21</w:t>
            </w:r>
            <w:r w:rsidRPr="008F5D48">
              <w:rPr>
                <w:b/>
                <w:bCs/>
                <w:szCs w:val="28"/>
              </w:rPr>
              <w:t>-F</w:t>
            </w:r>
          </w:p>
        </w:tc>
      </w:tr>
      <w:tr w:rsidR="00683C32" w:rsidRPr="00156BF6" w:rsidTr="000C61E9">
        <w:trPr>
          <w:cantSplit/>
        </w:trPr>
        <w:tc>
          <w:tcPr>
            <w:tcW w:w="7251" w:type="dxa"/>
          </w:tcPr>
          <w:p w:rsidR="00683C32" w:rsidRPr="00156BF6" w:rsidRDefault="00683C32" w:rsidP="00000AC9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2996" w:type="dxa"/>
          </w:tcPr>
          <w:p w:rsidR="00683C32" w:rsidRPr="00156BF6" w:rsidRDefault="008528CB" w:rsidP="00000AC9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19 février</w:t>
            </w:r>
            <w:r w:rsidR="00323587" w:rsidRPr="008F5D48">
              <w:rPr>
                <w:b/>
                <w:bCs/>
                <w:szCs w:val="28"/>
              </w:rPr>
              <w:t xml:space="preserve"> 201</w:t>
            </w:r>
            <w:r w:rsidR="00D87E6C">
              <w:rPr>
                <w:b/>
                <w:bCs/>
                <w:szCs w:val="28"/>
              </w:rPr>
              <w:t>9</w:t>
            </w:r>
          </w:p>
        </w:tc>
      </w:tr>
      <w:tr w:rsidR="00683C32" w:rsidRPr="00156BF6" w:rsidTr="000C61E9">
        <w:trPr>
          <w:cantSplit/>
        </w:trPr>
        <w:tc>
          <w:tcPr>
            <w:tcW w:w="7251" w:type="dxa"/>
          </w:tcPr>
          <w:p w:rsidR="00683C32" w:rsidRPr="00156BF6" w:rsidRDefault="00683C32" w:rsidP="00000AC9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2996" w:type="dxa"/>
          </w:tcPr>
          <w:p w:rsidR="00514D2F" w:rsidRPr="00156BF6" w:rsidRDefault="00323587" w:rsidP="00000AC9">
            <w:pPr>
              <w:spacing w:before="0"/>
              <w:rPr>
                <w:szCs w:val="24"/>
              </w:rPr>
            </w:pPr>
            <w:r w:rsidRPr="008F5D48">
              <w:rPr>
                <w:b/>
                <w:szCs w:val="28"/>
              </w:rPr>
              <w:t>Original:</w:t>
            </w:r>
            <w:bookmarkStart w:id="3" w:name="Original"/>
            <w:bookmarkEnd w:id="3"/>
            <w:r w:rsidR="008528CB">
              <w:rPr>
                <w:b/>
                <w:szCs w:val="28"/>
              </w:rPr>
              <w:t xml:space="preserve"> anglais</w:t>
            </w:r>
          </w:p>
        </w:tc>
      </w:tr>
      <w:tr w:rsidR="00A13162" w:rsidRPr="00156BF6" w:rsidTr="000C61E9">
        <w:trPr>
          <w:cantSplit/>
          <w:trHeight w:val="852"/>
        </w:trPr>
        <w:tc>
          <w:tcPr>
            <w:tcW w:w="10247" w:type="dxa"/>
            <w:gridSpan w:val="2"/>
          </w:tcPr>
          <w:p w:rsidR="00A13162" w:rsidRPr="008528CB" w:rsidRDefault="008528CB" w:rsidP="00000AC9">
            <w:pPr>
              <w:pStyle w:val="Source"/>
              <w:rPr>
                <w:lang w:val="fr-FR"/>
              </w:rPr>
            </w:pPr>
            <w:bookmarkStart w:id="4" w:name="Source"/>
            <w:bookmarkEnd w:id="4"/>
            <w:r w:rsidRPr="008528CB">
              <w:rPr>
                <w:lang w:val="fr-FR"/>
              </w:rPr>
              <w:t>Directrice du Bureau de développement des télécommunications</w:t>
            </w:r>
          </w:p>
        </w:tc>
      </w:tr>
      <w:tr w:rsidR="00AC6F14" w:rsidRPr="00156BF6" w:rsidTr="000C61E9">
        <w:trPr>
          <w:cantSplit/>
        </w:trPr>
        <w:tc>
          <w:tcPr>
            <w:tcW w:w="10247" w:type="dxa"/>
            <w:gridSpan w:val="2"/>
          </w:tcPr>
          <w:p w:rsidR="00AC6F14" w:rsidRPr="00156BF6" w:rsidRDefault="008528CB" w:rsidP="00000AC9">
            <w:pPr>
              <w:pStyle w:val="Title1"/>
            </w:pPr>
            <w:bookmarkStart w:id="5" w:name="Title"/>
            <w:bookmarkEnd w:id="5"/>
            <w:r w:rsidRPr="008528CB">
              <w:t>PARTENARIATS ET MOBILISATION DES RESSOURCES À L</w:t>
            </w:r>
            <w:r w:rsidR="00000AC9">
              <w:t>'</w:t>
            </w:r>
            <w:r w:rsidR="0088783B">
              <w:t>UIT-</w:t>
            </w:r>
            <w:r w:rsidRPr="008528CB">
              <w:t>D</w:t>
            </w:r>
          </w:p>
        </w:tc>
      </w:tr>
      <w:tr w:rsidR="00A721F4" w:rsidRPr="00156BF6" w:rsidTr="000C61E9">
        <w:trPr>
          <w:cantSplit/>
        </w:trPr>
        <w:tc>
          <w:tcPr>
            <w:tcW w:w="10247" w:type="dxa"/>
            <w:gridSpan w:val="2"/>
            <w:tcBorders>
              <w:bottom w:val="single" w:sz="4" w:space="0" w:color="auto"/>
            </w:tcBorders>
          </w:tcPr>
          <w:p w:rsidR="00A721F4" w:rsidRPr="00156BF6" w:rsidRDefault="00A721F4" w:rsidP="00000AC9"/>
        </w:tc>
      </w:tr>
      <w:tr w:rsidR="00A721F4" w:rsidRPr="00FA4B6F" w:rsidTr="000C61E9">
        <w:trPr>
          <w:cantSplit/>
        </w:trPr>
        <w:tc>
          <w:tcPr>
            <w:tcW w:w="10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F4" w:rsidRPr="00156BF6" w:rsidRDefault="00156BF6" w:rsidP="00000AC9">
            <w:pPr>
              <w:rPr>
                <w:b/>
                <w:bCs/>
                <w:szCs w:val="24"/>
              </w:rPr>
            </w:pPr>
            <w:r w:rsidRPr="00156BF6">
              <w:rPr>
                <w:b/>
                <w:bCs/>
                <w:szCs w:val="24"/>
              </w:rPr>
              <w:t>Résumé:</w:t>
            </w:r>
          </w:p>
          <w:p w:rsidR="00A721F4" w:rsidRPr="00156BF6" w:rsidRDefault="008528CB" w:rsidP="00000AC9">
            <w:pPr>
              <w:rPr>
                <w:szCs w:val="24"/>
              </w:rPr>
            </w:pPr>
            <w:r w:rsidRPr="008528CB">
              <w:rPr>
                <w:szCs w:val="24"/>
              </w:rPr>
              <w:t>L</w:t>
            </w:r>
            <w:r w:rsidR="00000AC9">
              <w:rPr>
                <w:szCs w:val="24"/>
              </w:rPr>
              <w:t>'</w:t>
            </w:r>
            <w:r w:rsidRPr="008528CB">
              <w:rPr>
                <w:szCs w:val="24"/>
              </w:rPr>
              <w:t>importance des partenariats et de la mobilisation des ressources a été soulignée par la CMDT 17. Le présent document présente un aperçu de l</w:t>
            </w:r>
            <w:r w:rsidR="00000AC9">
              <w:rPr>
                <w:szCs w:val="24"/>
              </w:rPr>
              <w:t>'</w:t>
            </w:r>
            <w:r w:rsidRPr="008528CB">
              <w:rPr>
                <w:szCs w:val="24"/>
              </w:rPr>
              <w:t>objectif principal, des mesures adoptées dans le cadre de la gestion axée sur les résultats, et des perspectives envisageables pour renforcer les partenariats et mobiliser des ressources.</w:t>
            </w:r>
          </w:p>
          <w:p w:rsidR="00A721F4" w:rsidRPr="00156BF6" w:rsidRDefault="00156BF6" w:rsidP="00000AC9">
            <w:pPr>
              <w:rPr>
                <w:b/>
                <w:bCs/>
                <w:szCs w:val="24"/>
              </w:rPr>
            </w:pPr>
            <w:r w:rsidRPr="00156BF6">
              <w:rPr>
                <w:b/>
                <w:bCs/>
                <w:szCs w:val="24"/>
              </w:rPr>
              <w:t>Suite à donner:</w:t>
            </w:r>
          </w:p>
          <w:p w:rsidR="00A721F4" w:rsidRPr="00156BF6" w:rsidRDefault="008528CB" w:rsidP="00000AC9">
            <w:pPr>
              <w:rPr>
                <w:szCs w:val="24"/>
              </w:rPr>
            </w:pPr>
            <w:r w:rsidRPr="008528CB">
              <w:rPr>
                <w:szCs w:val="24"/>
              </w:rPr>
              <w:t>Le GCDT est invité à prendre note du présent document et à fournir les indications qu</w:t>
            </w:r>
            <w:r w:rsidR="00000AC9">
              <w:rPr>
                <w:szCs w:val="24"/>
              </w:rPr>
              <w:t>'</w:t>
            </w:r>
            <w:r w:rsidRPr="008528CB">
              <w:rPr>
                <w:szCs w:val="24"/>
              </w:rPr>
              <w:t>il jugera utiles.</w:t>
            </w:r>
          </w:p>
          <w:p w:rsidR="00A721F4" w:rsidRPr="00156BF6" w:rsidRDefault="00156BF6" w:rsidP="00000AC9">
            <w:pPr>
              <w:rPr>
                <w:b/>
                <w:bCs/>
                <w:szCs w:val="24"/>
              </w:rPr>
            </w:pPr>
            <w:r w:rsidRPr="00156BF6">
              <w:rPr>
                <w:b/>
                <w:bCs/>
                <w:szCs w:val="24"/>
              </w:rPr>
              <w:t>Références:</w:t>
            </w:r>
          </w:p>
          <w:p w:rsidR="0088783B" w:rsidRDefault="008528CB" w:rsidP="0088783B">
            <w:pPr>
              <w:spacing w:after="120"/>
            </w:pPr>
            <w:r>
              <w:t>But 5 et Résultat D.1.e de l</w:t>
            </w:r>
            <w:r w:rsidR="00000AC9">
              <w:t>'</w:t>
            </w:r>
            <w:r>
              <w:t>Annexe 1 de la Résolution 71 (Rév. Dubaï 2018) de la Conférence de plénipotentiaires</w:t>
            </w:r>
          </w:p>
          <w:p w:rsidR="00A721F4" w:rsidRPr="003A28B9" w:rsidRDefault="008528CB" w:rsidP="0088783B">
            <w:pPr>
              <w:spacing w:after="120"/>
              <w:rPr>
                <w:lang w:val="es-ES"/>
              </w:rPr>
            </w:pPr>
            <w:r>
              <w:t xml:space="preserve">Résolutions 17 (Rév. Buenos Aires, 2017) et 71 (Rév. </w:t>
            </w:r>
            <w:r w:rsidRPr="003A28B9">
              <w:rPr>
                <w:lang w:val="es-ES"/>
              </w:rPr>
              <w:t>Buenos Aires, 2017) de la CMDT</w:t>
            </w:r>
          </w:p>
        </w:tc>
      </w:tr>
    </w:tbl>
    <w:p w:rsidR="00000AC9" w:rsidRPr="003A28B9" w:rsidRDefault="00000AC9" w:rsidP="00000AC9">
      <w:pPr>
        <w:rPr>
          <w:lang w:val="es-ES"/>
        </w:rPr>
      </w:pPr>
      <w:r w:rsidRPr="003A28B9">
        <w:rPr>
          <w:lang w:val="es-ES"/>
        </w:rPr>
        <w:br w:type="page"/>
      </w:r>
    </w:p>
    <w:p w:rsidR="00000AC9" w:rsidRPr="00321406" w:rsidRDefault="00000AC9" w:rsidP="00000AC9">
      <w:pPr>
        <w:pStyle w:val="Heading1"/>
        <w:rPr>
          <w:lang w:val="fr-FR"/>
        </w:rPr>
      </w:pPr>
      <w:bookmarkStart w:id="6" w:name="Proposal"/>
      <w:bookmarkEnd w:id="6"/>
      <w:r w:rsidRPr="00321406">
        <w:rPr>
          <w:lang w:val="fr-FR"/>
        </w:rPr>
        <w:lastRenderedPageBreak/>
        <w:t>1</w:t>
      </w:r>
      <w:r w:rsidRPr="00321406">
        <w:rPr>
          <w:lang w:val="fr-FR"/>
        </w:rPr>
        <w:tab/>
      </w:r>
      <w:bookmarkStart w:id="7" w:name="_Hlk3451476"/>
      <w:r w:rsidRPr="00321406">
        <w:rPr>
          <w:lang w:val="fr-FR"/>
        </w:rPr>
        <w:t>Rappel</w:t>
      </w:r>
    </w:p>
    <w:p w:rsidR="00000AC9" w:rsidRPr="00321406" w:rsidRDefault="00000AC9" w:rsidP="00000AC9">
      <w:pPr>
        <w:rPr>
          <w:lang w:val="fr-FR"/>
        </w:rPr>
      </w:pPr>
      <w:r w:rsidRPr="00321406">
        <w:rPr>
          <w:lang w:val="fr-FR"/>
        </w:rPr>
        <w:t>La Conférence mondiale de développement des télécommunications de 2017 (CMDT-17) a mis en lumière l</w:t>
      </w:r>
      <w:r>
        <w:rPr>
          <w:lang w:val="fr-FR"/>
        </w:rPr>
        <w:t>'</w:t>
      </w:r>
      <w:r w:rsidRPr="00321406">
        <w:rPr>
          <w:lang w:val="fr-FR"/>
        </w:rPr>
        <w:t xml:space="preserve">importance des partenariats, de la collaboration et de la mobilisation des ressources pour appuyer la mise en </w:t>
      </w:r>
      <w:r w:rsidR="007421A4" w:rsidRPr="00321406">
        <w:rPr>
          <w:lang w:val="fr-FR"/>
        </w:rPr>
        <w:t>œuvre</w:t>
      </w:r>
      <w:r w:rsidRPr="00321406">
        <w:rPr>
          <w:lang w:val="fr-FR"/>
        </w:rPr>
        <w:t xml:space="preserve"> du Plan d</w:t>
      </w:r>
      <w:r>
        <w:rPr>
          <w:lang w:val="fr-FR"/>
        </w:rPr>
        <w:t>'</w:t>
      </w:r>
      <w:r w:rsidRPr="00321406">
        <w:rPr>
          <w:lang w:val="fr-FR"/>
        </w:rPr>
        <w:t>action de Buenos Aires (plan opérationnel, projets et initiatives régionales du BDT)</w:t>
      </w:r>
      <w:r>
        <w:rPr>
          <w:lang w:val="fr-FR"/>
        </w:rPr>
        <w:t xml:space="preserve">, </w:t>
      </w:r>
      <w:r w:rsidRPr="00321406">
        <w:rPr>
          <w:lang w:val="fr-FR"/>
        </w:rPr>
        <w:t>des grandes orientations du SMSI</w:t>
      </w:r>
      <w:r>
        <w:rPr>
          <w:lang w:val="fr-FR"/>
        </w:rPr>
        <w:t xml:space="preserve"> et </w:t>
      </w:r>
      <w:r w:rsidRPr="00321406">
        <w:rPr>
          <w:lang w:val="fr-FR"/>
        </w:rPr>
        <w:t>des Objectifs de développement durable, en particulier l</w:t>
      </w:r>
      <w:r>
        <w:rPr>
          <w:lang w:val="fr-FR"/>
        </w:rPr>
        <w:t>'</w:t>
      </w:r>
      <w:r w:rsidR="007421A4">
        <w:rPr>
          <w:lang w:val="fr-FR"/>
        </w:rPr>
        <w:t>Objectif 17.</w:t>
      </w:r>
    </w:p>
    <w:bookmarkEnd w:id="7"/>
    <w:p w:rsidR="00000AC9" w:rsidRDefault="00000AC9" w:rsidP="007421A4">
      <w:pPr>
        <w:rPr>
          <w:lang w:val="fr-FR"/>
        </w:rPr>
      </w:pPr>
      <w:r w:rsidRPr="004E7011">
        <w:rPr>
          <w:lang w:val="fr-FR"/>
        </w:rPr>
        <w:t>Le Plan d</w:t>
      </w:r>
      <w:r>
        <w:rPr>
          <w:lang w:val="fr-FR"/>
        </w:rPr>
        <w:t>'</w:t>
      </w:r>
      <w:r w:rsidRPr="004E7011">
        <w:rPr>
          <w:lang w:val="fr-FR"/>
        </w:rPr>
        <w:t xml:space="preserve">action de la CMDT-17 indique que, lorsque cela est possible, les programmes devraient être mis en </w:t>
      </w:r>
      <w:r w:rsidR="007421A4" w:rsidRPr="004E7011">
        <w:rPr>
          <w:lang w:val="fr-FR"/>
        </w:rPr>
        <w:t>œuvre</w:t>
      </w:r>
      <w:r w:rsidRPr="004E7011">
        <w:rPr>
          <w:lang w:val="fr-FR"/>
        </w:rPr>
        <w:t xml:space="preserve"> en partenariat avec d</w:t>
      </w:r>
      <w:r>
        <w:rPr>
          <w:lang w:val="fr-FR"/>
        </w:rPr>
        <w:t>'</w:t>
      </w:r>
      <w:r w:rsidRPr="004E7011">
        <w:rPr>
          <w:lang w:val="fr-FR"/>
        </w:rPr>
        <w:t>autres organisations et parties prenantes, y compris des Membres de Secteur, des établissements universitaires, des organisations non gouvernementales, et d</w:t>
      </w:r>
      <w:r>
        <w:rPr>
          <w:lang w:val="fr-FR"/>
        </w:rPr>
        <w:t>'</w:t>
      </w:r>
      <w:r w:rsidRPr="004E7011">
        <w:rPr>
          <w:lang w:val="fr-FR"/>
        </w:rPr>
        <w:t>autres institutions et réseaux du système des Nations Unies, afin de tirer parti de l</w:t>
      </w:r>
      <w:r>
        <w:rPr>
          <w:lang w:val="fr-FR"/>
        </w:rPr>
        <w:t>'</w:t>
      </w:r>
      <w:r w:rsidRPr="004E7011">
        <w:rPr>
          <w:lang w:val="fr-FR"/>
        </w:rPr>
        <w:t xml:space="preserve">impact des produits et des services mis au point dans le cadre des programmes. Plus précisément, "les initiatives régionales ont pour objet de traiter différents domaines prioritaires des télécommunications/TIC, par le biais de partenariats et de la mobilisation de ressources, afin de mettre en </w:t>
      </w:r>
      <w:r w:rsidR="007421A4" w:rsidRPr="004E7011">
        <w:rPr>
          <w:lang w:val="fr-FR"/>
        </w:rPr>
        <w:t>œuvre</w:t>
      </w:r>
      <w:r w:rsidRPr="004E7011">
        <w:rPr>
          <w:lang w:val="fr-FR"/>
        </w:rPr>
        <w:t xml:space="preserve"> des projets</w:t>
      </w:r>
      <w:r w:rsidR="0088783B">
        <w:rPr>
          <w:lang w:val="fr-FR"/>
        </w:rPr>
        <w:t>".</w:t>
      </w:r>
    </w:p>
    <w:p w:rsidR="00000AC9" w:rsidRPr="00321406" w:rsidRDefault="00000AC9" w:rsidP="00000AC9">
      <w:pPr>
        <w:rPr>
          <w:lang w:val="fr-FR"/>
        </w:rPr>
      </w:pPr>
      <w:r w:rsidRPr="00321406">
        <w:rPr>
          <w:lang w:val="fr-FR"/>
        </w:rPr>
        <w:t xml:space="preserve">La Résolution 17 de la CMDT indique notamment "que le BDT doit continuer de conclure activement des partenariats avec des </w:t>
      </w:r>
      <w:r w:rsidR="007421A4" w:rsidRPr="00321406">
        <w:rPr>
          <w:lang w:val="fr-FR"/>
        </w:rPr>
        <w:t>États</w:t>
      </w:r>
      <w:r w:rsidRPr="00321406">
        <w:rPr>
          <w:lang w:val="fr-FR"/>
        </w:rPr>
        <w:t xml:space="preserve"> Membres, des Membres du Secteur de l</w:t>
      </w:r>
      <w:r>
        <w:rPr>
          <w:lang w:val="fr-FR"/>
        </w:rPr>
        <w:t>'</w:t>
      </w:r>
      <w:r w:rsidRPr="00321406">
        <w:rPr>
          <w:lang w:val="fr-FR"/>
        </w:rPr>
        <w:t>UIT-D et des institutions de financement, ainsi qu</w:t>
      </w:r>
      <w:r>
        <w:rPr>
          <w:lang w:val="fr-FR"/>
        </w:rPr>
        <w:t>'</w:t>
      </w:r>
      <w:r w:rsidRPr="00321406">
        <w:rPr>
          <w:lang w:val="fr-FR"/>
        </w:rPr>
        <w:t xml:space="preserve">avec des organisations internationales, afin de financer les activités de mise en </w:t>
      </w:r>
      <w:r w:rsidR="007421A4" w:rsidRPr="00321406">
        <w:rPr>
          <w:lang w:val="fr-FR"/>
        </w:rPr>
        <w:t>œuvre</w:t>
      </w:r>
      <w:r w:rsidRPr="00321406">
        <w:rPr>
          <w:lang w:val="fr-FR"/>
        </w:rPr>
        <w:t xml:space="preserve"> de ces initiatives" et demande "aux organisations ou organismes internationaux de financement, aux équipementiers ainsi qu</w:t>
      </w:r>
      <w:r>
        <w:rPr>
          <w:lang w:val="fr-FR"/>
        </w:rPr>
        <w:t>'</w:t>
      </w:r>
      <w:r w:rsidRPr="00321406">
        <w:rPr>
          <w:lang w:val="fr-FR"/>
        </w:rPr>
        <w:t>aux opérateurs/fournisseurs de services, de contribuer, en partie ou en totalité, au financement de ces initiatives approuvées au niveau régional".</w:t>
      </w:r>
    </w:p>
    <w:p w:rsidR="00000AC9" w:rsidRPr="00321406" w:rsidRDefault="00000AC9" w:rsidP="007421A4">
      <w:pPr>
        <w:rPr>
          <w:lang w:val="fr-FR"/>
        </w:rPr>
      </w:pPr>
      <w:r>
        <w:rPr>
          <w:lang w:val="fr-FR"/>
        </w:rPr>
        <w:t xml:space="preserve">Dans la Résolution 71, on considère aussi </w:t>
      </w:r>
      <w:r w:rsidRPr="00321406">
        <w:rPr>
          <w:lang w:val="fr-FR"/>
        </w:rPr>
        <w:t>"</w:t>
      </w:r>
      <w:r>
        <w:rPr>
          <w:lang w:val="fr-FR"/>
        </w:rPr>
        <w:t xml:space="preserve">que </w:t>
      </w:r>
      <w:r w:rsidRPr="00321406">
        <w:rPr>
          <w:lang w:val="fr-FR"/>
        </w:rPr>
        <w:t>des partenariats entre le secteur public et le secteur privé, y compris avec l</w:t>
      </w:r>
      <w:r>
        <w:rPr>
          <w:lang w:val="fr-FR"/>
        </w:rPr>
        <w:t>'</w:t>
      </w:r>
      <w:r w:rsidRPr="00321406">
        <w:rPr>
          <w:lang w:val="fr-FR"/>
        </w:rPr>
        <w:t>UIT et d</w:t>
      </w:r>
      <w:r>
        <w:rPr>
          <w:lang w:val="fr-FR"/>
        </w:rPr>
        <w:t>'</w:t>
      </w:r>
      <w:r w:rsidRPr="00321406">
        <w:rPr>
          <w:lang w:val="fr-FR"/>
        </w:rPr>
        <w:t>autres entités, par exemple des organisations nationales, régionales, internationales ou intergouvernementales, le cas échéant, continuent d</w:t>
      </w:r>
      <w:r>
        <w:rPr>
          <w:lang w:val="fr-FR"/>
        </w:rPr>
        <w:t>'</w:t>
      </w:r>
      <w:r w:rsidRPr="00321406">
        <w:rPr>
          <w:lang w:val="fr-FR"/>
        </w:rPr>
        <w:t>être indispensables pour promouvoir le développement durable des télécommunications/technologies de l</w:t>
      </w:r>
      <w:r>
        <w:rPr>
          <w:lang w:val="fr-FR"/>
        </w:rPr>
        <w:t>'</w:t>
      </w:r>
      <w:r w:rsidRPr="00321406">
        <w:rPr>
          <w:lang w:val="fr-FR"/>
        </w:rPr>
        <w:t>information et de la communication (TIC)".</w:t>
      </w:r>
    </w:p>
    <w:p w:rsidR="00000AC9" w:rsidRPr="00321406" w:rsidRDefault="00000AC9" w:rsidP="00000AC9">
      <w:pPr>
        <w:pStyle w:val="Heading1"/>
        <w:rPr>
          <w:lang w:val="fr-FR"/>
        </w:rPr>
      </w:pPr>
      <w:r w:rsidRPr="00321406">
        <w:rPr>
          <w:szCs w:val="24"/>
          <w:lang w:val="fr-FR"/>
        </w:rPr>
        <w:t>2</w:t>
      </w:r>
      <w:r w:rsidRPr="00321406">
        <w:rPr>
          <w:szCs w:val="24"/>
          <w:lang w:val="fr-FR"/>
        </w:rPr>
        <w:tab/>
      </w:r>
      <w:bookmarkStart w:id="8" w:name="_Hlk3451404"/>
      <w:r w:rsidRPr="00321406">
        <w:rPr>
          <w:lang w:val="fr-FR"/>
        </w:rPr>
        <w:t>Objectif stratégique</w:t>
      </w:r>
    </w:p>
    <w:p w:rsidR="00000AC9" w:rsidRPr="00321406" w:rsidRDefault="00000AC9" w:rsidP="00000AC9">
      <w:pPr>
        <w:rPr>
          <w:lang w:val="fr-FR"/>
        </w:rPr>
      </w:pPr>
      <w:r w:rsidRPr="00321406">
        <w:rPr>
          <w:lang w:val="fr-FR"/>
        </w:rPr>
        <w:t>Conformément aux résultats de la CMDT-17, l</w:t>
      </w:r>
      <w:r>
        <w:rPr>
          <w:lang w:val="fr-FR"/>
        </w:rPr>
        <w:t>'</w:t>
      </w:r>
      <w:r w:rsidRPr="00321406">
        <w:rPr>
          <w:lang w:val="fr-FR"/>
        </w:rPr>
        <w:t>objectif est de faciliter, de mettre au point et de renforcer les partenariats et la coopération avec diverses parties prenantes, y compris avec d</w:t>
      </w:r>
      <w:r>
        <w:rPr>
          <w:lang w:val="fr-FR"/>
        </w:rPr>
        <w:t>'</w:t>
      </w:r>
      <w:r w:rsidRPr="00321406">
        <w:rPr>
          <w:lang w:val="fr-FR"/>
        </w:rPr>
        <w:t xml:space="preserve">autres institutions des Nations Unies, des organisations internationales et régionales, les </w:t>
      </w:r>
      <w:r w:rsidR="007421A4" w:rsidRPr="00321406">
        <w:rPr>
          <w:lang w:val="fr-FR"/>
        </w:rPr>
        <w:t>États</w:t>
      </w:r>
      <w:r w:rsidRPr="00321406">
        <w:rPr>
          <w:lang w:val="fr-FR"/>
        </w:rPr>
        <w:t xml:space="preserve"> Membres de l</w:t>
      </w:r>
      <w:r>
        <w:rPr>
          <w:lang w:val="fr-FR"/>
        </w:rPr>
        <w:t>'</w:t>
      </w:r>
      <w:r w:rsidRPr="00321406">
        <w:rPr>
          <w:lang w:val="fr-FR"/>
        </w:rPr>
        <w:t>UIT, les Membres du Secteur de l</w:t>
      </w:r>
      <w:r>
        <w:rPr>
          <w:lang w:val="fr-FR"/>
        </w:rPr>
        <w:t>'</w:t>
      </w:r>
      <w:r w:rsidRPr="00321406">
        <w:rPr>
          <w:lang w:val="fr-FR"/>
        </w:rPr>
        <w:t xml:space="preserve">UIT-D, les </w:t>
      </w:r>
      <w:r w:rsidR="007421A4">
        <w:rPr>
          <w:lang w:val="fr-FR"/>
        </w:rPr>
        <w:t>A</w:t>
      </w:r>
      <w:r w:rsidRPr="009D7E1B">
        <w:rPr>
          <w:lang w:val="fr-FR"/>
        </w:rPr>
        <w:t>ssociés</w:t>
      </w:r>
      <w:r w:rsidRPr="00321406">
        <w:rPr>
          <w:lang w:val="fr-FR"/>
        </w:rPr>
        <w:t>, les établissements universitaires et d</w:t>
      </w:r>
      <w:r>
        <w:rPr>
          <w:lang w:val="fr-FR"/>
        </w:rPr>
        <w:t>'</w:t>
      </w:r>
      <w:r w:rsidRPr="00321406">
        <w:rPr>
          <w:lang w:val="fr-FR"/>
        </w:rPr>
        <w:t>autres partenaires pertinents venant de pays développés ou de pays en développement, afin de renforcer la mobilisation des ressources, d</w:t>
      </w:r>
      <w:r>
        <w:rPr>
          <w:lang w:val="fr-FR"/>
        </w:rPr>
        <w:t>'</w:t>
      </w:r>
      <w:r w:rsidRPr="00321406">
        <w:rPr>
          <w:lang w:val="fr-FR"/>
        </w:rPr>
        <w:t>éviter tout chevauchement d</w:t>
      </w:r>
      <w:r>
        <w:rPr>
          <w:lang w:val="fr-FR"/>
        </w:rPr>
        <w:t>'</w:t>
      </w:r>
      <w:r w:rsidRPr="00321406">
        <w:rPr>
          <w:lang w:val="fr-FR"/>
        </w:rPr>
        <w:t>activité, et d</w:t>
      </w:r>
      <w:r>
        <w:rPr>
          <w:lang w:val="fr-FR"/>
        </w:rPr>
        <w:t>'</w:t>
      </w:r>
      <w:r w:rsidRPr="00321406">
        <w:rPr>
          <w:lang w:val="fr-FR"/>
        </w:rPr>
        <w:t>aider l</w:t>
      </w:r>
      <w:r>
        <w:rPr>
          <w:lang w:val="fr-FR"/>
        </w:rPr>
        <w:t>'</w:t>
      </w:r>
      <w:r w:rsidRPr="00321406">
        <w:rPr>
          <w:lang w:val="fr-FR"/>
        </w:rPr>
        <w:t xml:space="preserve">UIT-D à mettre en </w:t>
      </w:r>
      <w:r w:rsidR="007421A4" w:rsidRPr="00321406">
        <w:rPr>
          <w:lang w:val="fr-FR"/>
        </w:rPr>
        <w:t>œuvre</w:t>
      </w:r>
      <w:r w:rsidRPr="00321406">
        <w:rPr>
          <w:lang w:val="fr-FR"/>
        </w:rPr>
        <w:t xml:space="preserve"> les programmes et les initiatives régionales.</w:t>
      </w:r>
    </w:p>
    <w:bookmarkEnd w:id="8"/>
    <w:p w:rsidR="00000AC9" w:rsidRPr="00321406" w:rsidRDefault="00000AC9" w:rsidP="00000AC9">
      <w:pPr>
        <w:pStyle w:val="Heading1"/>
        <w:rPr>
          <w:lang w:val="fr-FR"/>
        </w:rPr>
      </w:pPr>
      <w:r w:rsidRPr="00321406">
        <w:rPr>
          <w:lang w:val="fr-FR"/>
        </w:rPr>
        <w:t>3</w:t>
      </w:r>
      <w:r w:rsidRPr="00321406">
        <w:rPr>
          <w:lang w:val="fr-FR"/>
        </w:rPr>
        <w:tab/>
        <w:t>Analyse de la situation</w:t>
      </w:r>
    </w:p>
    <w:p w:rsidR="00000AC9" w:rsidRPr="00321406" w:rsidRDefault="00000AC9" w:rsidP="00000AC9">
      <w:pPr>
        <w:rPr>
          <w:lang w:val="fr-FR"/>
        </w:rPr>
      </w:pPr>
      <w:r w:rsidRPr="00321406">
        <w:rPr>
          <w:lang w:val="fr-FR"/>
        </w:rPr>
        <w:t xml:space="preserve">En 2018, 43 nouveaux accords de partenariats et addenda/amendements ont été signés entre le BDT et différentes parties prenantes, </w:t>
      </w:r>
      <w:r>
        <w:rPr>
          <w:lang w:val="fr-FR"/>
        </w:rPr>
        <w:t>pour</w:t>
      </w:r>
      <w:r w:rsidRPr="00321406">
        <w:rPr>
          <w:lang w:val="fr-FR"/>
        </w:rPr>
        <w:t xml:space="preserve"> un montant estimé à 10,9 million</w:t>
      </w:r>
      <w:r w:rsidR="007421A4">
        <w:rPr>
          <w:lang w:val="fr-FR"/>
        </w:rPr>
        <w:t>s de dollars des États</w:t>
      </w:r>
      <w:r w:rsidR="007421A4">
        <w:rPr>
          <w:lang w:val="fr-FR"/>
        </w:rPr>
        <w:noBreakHyphen/>
      </w:r>
      <w:r w:rsidR="007421A4" w:rsidRPr="00321406">
        <w:rPr>
          <w:lang w:val="fr-FR"/>
        </w:rPr>
        <w:t>Unis</w:t>
      </w:r>
      <w:r w:rsidRPr="00321406">
        <w:rPr>
          <w:lang w:val="fr-FR"/>
        </w:rPr>
        <w:t>,</w:t>
      </w:r>
      <w:r>
        <w:rPr>
          <w:lang w:val="fr-FR"/>
        </w:rPr>
        <w:t xml:space="preserve"> </w:t>
      </w:r>
      <w:r w:rsidRPr="008F028A">
        <w:rPr>
          <w:lang w:val="fr-FR"/>
        </w:rPr>
        <w:t>une somme financée</w:t>
      </w:r>
      <w:r w:rsidRPr="00321406">
        <w:rPr>
          <w:lang w:val="fr-FR"/>
        </w:rPr>
        <w:t xml:space="preserve"> conjointement par le BDT et des partenaires extérieurs. La liste de ces accords ainsi que des informations détaillées (signataires, type de partenariat</w:t>
      </w:r>
      <w:r w:rsidRPr="00321406">
        <w:rPr>
          <w:vertAlign w:val="superscript"/>
          <w:lang w:val="fr-FR"/>
        </w:rPr>
        <w:footnoteReference w:id="1"/>
      </w:r>
      <w:r w:rsidRPr="00321406">
        <w:rPr>
          <w:lang w:val="fr-FR"/>
        </w:rPr>
        <w:t>, date d</w:t>
      </w:r>
      <w:r>
        <w:rPr>
          <w:lang w:val="fr-FR"/>
        </w:rPr>
        <w:t>'</w:t>
      </w:r>
      <w:r w:rsidRPr="00321406">
        <w:rPr>
          <w:lang w:val="fr-FR"/>
        </w:rPr>
        <w:t xml:space="preserve">entrée </w:t>
      </w:r>
      <w:r w:rsidRPr="00321406">
        <w:rPr>
          <w:lang w:val="fr-FR"/>
        </w:rPr>
        <w:lastRenderedPageBreak/>
        <w:t xml:space="preserve">en vigueur, </w:t>
      </w:r>
      <w:r>
        <w:rPr>
          <w:lang w:val="fr-FR"/>
        </w:rPr>
        <w:t>montant</w:t>
      </w:r>
      <w:r w:rsidRPr="00321406">
        <w:rPr>
          <w:lang w:val="fr-FR"/>
        </w:rPr>
        <w:t xml:space="preserve"> et objectif, etc.) figure dans le Document </w:t>
      </w:r>
      <w:hyperlink r:id="rId9" w:history="1">
        <w:r w:rsidRPr="00321406">
          <w:rPr>
            <w:rStyle w:val="Hyperlink"/>
            <w:szCs w:val="24"/>
            <w:lang w:val="fr-FR"/>
          </w:rPr>
          <w:t>INF/3</w:t>
        </w:r>
      </w:hyperlink>
      <w:r w:rsidRPr="00321406">
        <w:rPr>
          <w:vertAlign w:val="superscript"/>
          <w:lang w:val="fr-FR"/>
        </w:rPr>
        <w:footnoteReference w:id="2"/>
      </w:r>
      <w:r w:rsidRPr="00321406">
        <w:rPr>
          <w:lang w:val="fr-FR"/>
        </w:rPr>
        <w:t xml:space="preserve">. </w:t>
      </w:r>
      <w:r>
        <w:rPr>
          <w:lang w:val="fr-FR"/>
        </w:rPr>
        <w:t xml:space="preserve">Ces </w:t>
      </w:r>
      <w:r w:rsidRPr="00321406">
        <w:rPr>
          <w:lang w:val="fr-FR"/>
        </w:rPr>
        <w:t xml:space="preserve">accords </w:t>
      </w:r>
      <w:r>
        <w:rPr>
          <w:lang w:val="fr-FR"/>
        </w:rPr>
        <w:t>ont pu être conclus</w:t>
      </w:r>
      <w:r w:rsidRPr="00321406">
        <w:rPr>
          <w:lang w:val="fr-FR"/>
        </w:rPr>
        <w:t xml:space="preserve"> grâce au soutien et aux efforts conjoints des membres et des partenaires de l</w:t>
      </w:r>
      <w:r>
        <w:rPr>
          <w:lang w:val="fr-FR"/>
        </w:rPr>
        <w:t>'</w:t>
      </w:r>
      <w:r w:rsidRPr="00321406">
        <w:rPr>
          <w:lang w:val="fr-FR"/>
        </w:rPr>
        <w:t>UIT</w:t>
      </w:r>
      <w:r>
        <w:rPr>
          <w:lang w:val="fr-FR"/>
        </w:rPr>
        <w:t>,</w:t>
      </w:r>
      <w:r w:rsidRPr="00321406">
        <w:rPr>
          <w:lang w:val="fr-FR"/>
        </w:rPr>
        <w:t xml:space="preserve"> </w:t>
      </w:r>
      <w:r>
        <w:rPr>
          <w:lang w:val="fr-FR"/>
        </w:rPr>
        <w:t>et également grâce à l'action</w:t>
      </w:r>
      <w:r w:rsidRPr="00321406">
        <w:rPr>
          <w:lang w:val="fr-FR"/>
        </w:rPr>
        <w:t xml:space="preserve"> du personnel du BDT hors siège et au siège de l</w:t>
      </w:r>
      <w:r>
        <w:rPr>
          <w:lang w:val="fr-FR"/>
        </w:rPr>
        <w:t>'</w:t>
      </w:r>
      <w:r w:rsidRPr="00321406">
        <w:rPr>
          <w:lang w:val="fr-FR"/>
        </w:rPr>
        <w:t>Union.</w:t>
      </w:r>
    </w:p>
    <w:p w:rsidR="00000AC9" w:rsidRPr="00321406" w:rsidRDefault="00000AC9" w:rsidP="00000AC9">
      <w:pPr>
        <w:rPr>
          <w:lang w:val="fr-FR"/>
        </w:rPr>
      </w:pPr>
      <w:r w:rsidRPr="00321406">
        <w:rPr>
          <w:lang w:val="fr-FR"/>
        </w:rPr>
        <w:t xml:space="preserve">Entre 2015 et 2018, 200 nouveaux accords de partenariats et 39 addenda/amendements ont été signés entre le BDT et différents partenaires. Les </w:t>
      </w:r>
      <w:r w:rsidRPr="005E2994">
        <w:rPr>
          <w:lang w:val="fr-FR"/>
        </w:rPr>
        <w:t>diagrammes ci-après montrent la</w:t>
      </w:r>
      <w:r w:rsidRPr="00321406">
        <w:rPr>
          <w:lang w:val="fr-FR"/>
        </w:rPr>
        <w:t xml:space="preserve"> répartition de ces accords par région bénéficiaire et domaine d</w:t>
      </w:r>
      <w:r>
        <w:rPr>
          <w:lang w:val="fr-FR"/>
        </w:rPr>
        <w:t>'</w:t>
      </w:r>
      <w:r w:rsidRPr="00321406">
        <w:rPr>
          <w:lang w:val="fr-FR"/>
        </w:rPr>
        <w:t>activité.</w:t>
      </w:r>
    </w:p>
    <w:p w:rsidR="00000AC9" w:rsidRPr="00321406" w:rsidRDefault="00000AC9" w:rsidP="00793BFE">
      <w:pPr>
        <w:spacing w:after="120"/>
        <w:jc w:val="center"/>
        <w:rPr>
          <w:b/>
          <w:lang w:val="fr-FR"/>
        </w:rPr>
      </w:pPr>
      <w:r w:rsidRPr="00321406">
        <w:rPr>
          <w:b/>
          <w:lang w:val="fr-FR"/>
        </w:rPr>
        <w:t>Diagramme: Accords conclus entre 2015 et 2018</w:t>
      </w:r>
    </w:p>
    <w:p w:rsidR="00626CE4" w:rsidRDefault="00626CE4" w:rsidP="007421A4">
      <w:pPr>
        <w:pStyle w:val="Figuretitle"/>
        <w:spacing w:before="240" w:after="0"/>
        <w:rPr>
          <w:lang w:val="fr-FR"/>
        </w:rPr>
      </w:pPr>
      <w:r>
        <w:rPr>
          <w:lang w:val="fr-FR"/>
        </w:rPr>
        <w:t>Régions bénéficiaires des nouveaux accords signés</w:t>
      </w:r>
    </w:p>
    <w:p w:rsidR="00000AC9" w:rsidRDefault="00626CE4" w:rsidP="00793BFE">
      <w:pPr>
        <w:spacing w:before="0"/>
        <w:jc w:val="center"/>
        <w:rPr>
          <w:lang w:val="fr-FR"/>
        </w:rPr>
      </w:pPr>
      <w:r w:rsidRPr="00626CE4">
        <w:rPr>
          <w:noProof/>
          <w:lang w:val="fr-FR" w:eastAsia="zh-CN"/>
        </w:rPr>
        <w:drawing>
          <wp:inline distT="0" distB="0" distL="0" distR="0" wp14:anchorId="3D74192C" wp14:editId="7051AD53">
            <wp:extent cx="5069840" cy="2681605"/>
            <wp:effectExtent l="0" t="0" r="0" b="444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26CE4" w:rsidRDefault="00626CE4" w:rsidP="007421A4">
      <w:pPr>
        <w:pStyle w:val="Figuretitle"/>
        <w:spacing w:before="240" w:after="0"/>
        <w:rPr>
          <w:lang w:val="fr-FR"/>
        </w:rPr>
      </w:pPr>
      <w:r>
        <w:rPr>
          <w:lang w:val="fr-FR"/>
        </w:rPr>
        <w:t>Domaines d'activité des nouveaux accords signés</w:t>
      </w:r>
    </w:p>
    <w:p w:rsidR="00626CE4" w:rsidRPr="00321406" w:rsidRDefault="003A28B9" w:rsidP="003A28B9">
      <w:pPr>
        <w:jc w:val="center"/>
        <w:rPr>
          <w:lang w:val="fr-FR"/>
        </w:rPr>
      </w:pPr>
      <w:r w:rsidRPr="003A28B9">
        <w:rPr>
          <w:noProof/>
          <w:lang w:val="fr-FR" w:eastAsia="zh-CN"/>
        </w:rPr>
        <w:drawing>
          <wp:inline distT="0" distB="0" distL="0" distR="0" wp14:anchorId="45D0C9B7" wp14:editId="5EC7C217">
            <wp:extent cx="5461000" cy="2952750"/>
            <wp:effectExtent l="0" t="0" r="63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421A4" w:rsidRPr="007421A4" w:rsidRDefault="007421A4" w:rsidP="007421A4">
      <w:pPr>
        <w:tabs>
          <w:tab w:val="clear" w:pos="794"/>
          <w:tab w:val="left" w:pos="1134"/>
        </w:tabs>
        <w:spacing w:before="0"/>
        <w:ind w:left="709" w:right="709"/>
        <w:rPr>
          <w:rFonts w:ascii="Calibri" w:hAnsi="Calibri" w:cs="Calibri"/>
          <w:i/>
          <w:iCs/>
          <w:szCs w:val="24"/>
          <w:lang w:val="fr-FR"/>
        </w:rPr>
      </w:pPr>
      <w:r w:rsidRPr="007421A4">
        <w:rPr>
          <w:rFonts w:cs="Calibri"/>
          <w:i/>
          <w:iCs/>
          <w:sz w:val="18"/>
          <w:szCs w:val="18"/>
          <w:lang w:val="fr-FR"/>
        </w:rPr>
        <w:t>Note: En 2015, 28 accords ont été signés en vue de la mise en œuvre des "Activités communes de renforcement des capacités relevant des Centres d'excellence de l'Académie de l'UIT".</w:t>
      </w:r>
    </w:p>
    <w:p w:rsidR="00000AC9" w:rsidRPr="00321406" w:rsidRDefault="00000AC9" w:rsidP="00000AC9">
      <w:pPr>
        <w:pStyle w:val="Heading1"/>
        <w:rPr>
          <w:lang w:val="fr-FR"/>
        </w:rPr>
      </w:pPr>
      <w:r w:rsidRPr="00321406">
        <w:rPr>
          <w:lang w:val="fr-FR"/>
        </w:rPr>
        <w:lastRenderedPageBreak/>
        <w:t>4</w:t>
      </w:r>
      <w:r w:rsidRPr="00321406">
        <w:rPr>
          <w:lang w:val="fr-FR"/>
        </w:rPr>
        <w:tab/>
        <w:t>Actions entreprises et résultats obtenus</w:t>
      </w:r>
    </w:p>
    <w:p w:rsidR="00000AC9" w:rsidRPr="00321406" w:rsidRDefault="00000AC9" w:rsidP="00000AC9">
      <w:pPr>
        <w:pStyle w:val="Heading2"/>
        <w:rPr>
          <w:lang w:val="fr-FR"/>
        </w:rPr>
      </w:pPr>
      <w:r w:rsidRPr="00321406">
        <w:rPr>
          <w:lang w:val="fr-FR"/>
        </w:rPr>
        <w:t>4.1</w:t>
      </w:r>
      <w:r w:rsidRPr="00321406">
        <w:rPr>
          <w:lang w:val="fr-FR"/>
        </w:rPr>
        <w:tab/>
        <w:t>Actions externes et résultats obtenus</w:t>
      </w:r>
    </w:p>
    <w:p w:rsidR="00000AC9" w:rsidRPr="00321406" w:rsidRDefault="00000AC9" w:rsidP="00000AC9">
      <w:pPr>
        <w:rPr>
          <w:lang w:val="fr-FR"/>
        </w:rPr>
      </w:pPr>
      <w:r w:rsidRPr="00321406">
        <w:rPr>
          <w:lang w:val="fr-FR"/>
        </w:rPr>
        <w:t xml:space="preserve">Les partenariats et la mobilisation des ressources sont </w:t>
      </w:r>
      <w:r>
        <w:rPr>
          <w:lang w:val="fr-FR"/>
        </w:rPr>
        <w:t>avant tout</w:t>
      </w:r>
      <w:r w:rsidRPr="00321406">
        <w:rPr>
          <w:lang w:val="fr-FR"/>
        </w:rPr>
        <w:t xml:space="preserve"> des activités visant à nouer des relations fondées sur </w:t>
      </w:r>
      <w:r>
        <w:rPr>
          <w:lang w:val="fr-FR"/>
        </w:rPr>
        <w:t xml:space="preserve">la </w:t>
      </w:r>
      <w:r w:rsidRPr="00321406">
        <w:rPr>
          <w:lang w:val="fr-FR"/>
        </w:rPr>
        <w:t xml:space="preserve">confiance et le respect. </w:t>
      </w:r>
      <w:r>
        <w:rPr>
          <w:lang w:val="fr-FR"/>
        </w:rPr>
        <w:t>L</w:t>
      </w:r>
      <w:r w:rsidRPr="00321406">
        <w:rPr>
          <w:lang w:val="fr-FR"/>
        </w:rPr>
        <w:t xml:space="preserve">e BDT accorde une attention particulière à la nécessité de favoriser les relations avec les partenaires </w:t>
      </w:r>
      <w:r>
        <w:rPr>
          <w:lang w:val="fr-FR"/>
        </w:rPr>
        <w:t>traditionnels</w:t>
      </w:r>
      <w:r w:rsidRPr="00321406">
        <w:rPr>
          <w:lang w:val="fr-FR"/>
        </w:rPr>
        <w:t xml:space="preserve"> en faisant en sorte que </w:t>
      </w:r>
      <w:r>
        <w:rPr>
          <w:lang w:val="fr-FR"/>
        </w:rPr>
        <w:t>l</w:t>
      </w:r>
      <w:r w:rsidRPr="00321406">
        <w:rPr>
          <w:lang w:val="fr-FR"/>
        </w:rPr>
        <w:t xml:space="preserve">es relations soient durables, </w:t>
      </w:r>
      <w:r>
        <w:rPr>
          <w:lang w:val="fr-FR"/>
        </w:rPr>
        <w:t xml:space="preserve">mais </w:t>
      </w:r>
      <w:r w:rsidRPr="00321406">
        <w:rPr>
          <w:lang w:val="fr-FR"/>
        </w:rPr>
        <w:t>il reconnaît également qu</w:t>
      </w:r>
      <w:r>
        <w:rPr>
          <w:lang w:val="fr-FR"/>
        </w:rPr>
        <w:t>'</w:t>
      </w:r>
      <w:r w:rsidRPr="00321406">
        <w:rPr>
          <w:lang w:val="fr-FR"/>
        </w:rPr>
        <w:t>il est important d</w:t>
      </w:r>
      <w:r>
        <w:rPr>
          <w:lang w:val="fr-FR"/>
        </w:rPr>
        <w:t>'</w:t>
      </w:r>
      <w:r w:rsidRPr="00321406">
        <w:rPr>
          <w:lang w:val="fr-FR"/>
        </w:rPr>
        <w:t xml:space="preserve">élargir et de diversifier le nombre de ses partenaires. Des réunions sont organisées et des missions stratégiques sont </w:t>
      </w:r>
      <w:r>
        <w:rPr>
          <w:lang w:val="fr-FR"/>
        </w:rPr>
        <w:t>menées</w:t>
      </w:r>
      <w:r w:rsidRPr="00321406">
        <w:rPr>
          <w:lang w:val="fr-FR"/>
        </w:rPr>
        <w:t xml:space="preserve"> </w:t>
      </w:r>
      <w:r>
        <w:rPr>
          <w:lang w:val="fr-FR"/>
        </w:rPr>
        <w:t>auprès de diverses entités</w:t>
      </w:r>
      <w:r w:rsidRPr="00321406">
        <w:rPr>
          <w:lang w:val="fr-FR"/>
        </w:rPr>
        <w:t>, afin d</w:t>
      </w:r>
      <w:r>
        <w:rPr>
          <w:lang w:val="fr-FR"/>
        </w:rPr>
        <w:t>'</w:t>
      </w:r>
      <w:r w:rsidRPr="00321406">
        <w:rPr>
          <w:lang w:val="fr-FR"/>
        </w:rPr>
        <w:t>ouvrir au BDT des possibilités de nouer des partenariats avec différentes parties prenantes dans l</w:t>
      </w:r>
      <w:r>
        <w:rPr>
          <w:lang w:val="fr-FR"/>
        </w:rPr>
        <w:t>'</w:t>
      </w:r>
      <w:r w:rsidRPr="00321406">
        <w:rPr>
          <w:lang w:val="fr-FR"/>
        </w:rPr>
        <w:t>écosystème des TIC. Des accords ont été signés avec des entités relevant de différents secteurs tels que la santé</w:t>
      </w:r>
      <w:r>
        <w:rPr>
          <w:lang w:val="fr-FR"/>
        </w:rPr>
        <w:t xml:space="preserve"> et la</w:t>
      </w:r>
      <w:r w:rsidRPr="00321406">
        <w:rPr>
          <w:lang w:val="fr-FR"/>
        </w:rPr>
        <w:t xml:space="preserve"> pharmacie, la finance, l</w:t>
      </w:r>
      <w:r>
        <w:rPr>
          <w:lang w:val="fr-FR"/>
        </w:rPr>
        <w:t>'</w:t>
      </w:r>
      <w:r w:rsidRPr="00321406">
        <w:rPr>
          <w:lang w:val="fr-FR"/>
        </w:rPr>
        <w:t>agriculture et l</w:t>
      </w:r>
      <w:r>
        <w:rPr>
          <w:lang w:val="fr-FR"/>
        </w:rPr>
        <w:t>'</w:t>
      </w:r>
      <w:r w:rsidRPr="00321406">
        <w:rPr>
          <w:lang w:val="fr-FR"/>
        </w:rPr>
        <w:t>environnement: par exemple, avec le PNUE, l</w:t>
      </w:r>
      <w:r>
        <w:rPr>
          <w:lang w:val="fr-FR"/>
        </w:rPr>
        <w:t>'</w:t>
      </w:r>
      <w:r w:rsidRPr="00321406">
        <w:rPr>
          <w:lang w:val="fr-FR"/>
        </w:rPr>
        <w:t xml:space="preserve">UNU, </w:t>
      </w:r>
      <w:r>
        <w:rPr>
          <w:lang w:val="fr-FR"/>
        </w:rPr>
        <w:t>l'</w:t>
      </w:r>
      <w:r w:rsidRPr="00321406">
        <w:rPr>
          <w:lang w:val="fr-FR"/>
        </w:rPr>
        <w:t>ONUDI,</w:t>
      </w:r>
      <w:r>
        <w:rPr>
          <w:lang w:val="fr-FR"/>
        </w:rPr>
        <w:t xml:space="preserve"> le</w:t>
      </w:r>
      <w:r w:rsidRPr="00321406">
        <w:rPr>
          <w:lang w:val="fr-FR"/>
        </w:rPr>
        <w:t xml:space="preserve"> </w:t>
      </w:r>
      <w:r w:rsidRPr="001B3323">
        <w:rPr>
          <w:lang w:val="fr-FR"/>
        </w:rPr>
        <w:t>SBC/SSC</w:t>
      </w:r>
      <w:r w:rsidRPr="001B3323">
        <w:rPr>
          <w:vertAlign w:val="superscript"/>
          <w:lang w:val="fr-FR"/>
        </w:rPr>
        <w:footnoteReference w:id="3"/>
      </w:r>
      <w:r w:rsidRPr="001B3323">
        <w:rPr>
          <w:lang w:val="fr-FR"/>
        </w:rPr>
        <w:t>, l</w:t>
      </w:r>
      <w:r>
        <w:rPr>
          <w:lang w:val="fr-FR"/>
        </w:rPr>
        <w:t>'</w:t>
      </w:r>
      <w:r w:rsidRPr="001B3323">
        <w:rPr>
          <w:lang w:val="fr-FR"/>
        </w:rPr>
        <w:t>UNITAR, le BIT, l</w:t>
      </w:r>
      <w:r>
        <w:rPr>
          <w:lang w:val="fr-FR"/>
        </w:rPr>
        <w:t>'</w:t>
      </w:r>
      <w:r w:rsidRPr="001B3323">
        <w:rPr>
          <w:lang w:val="fr-FR"/>
        </w:rPr>
        <w:t>ISWA</w:t>
      </w:r>
      <w:r w:rsidRPr="001B3323">
        <w:rPr>
          <w:vertAlign w:val="superscript"/>
          <w:lang w:val="fr-FR"/>
        </w:rPr>
        <w:footnoteReference w:id="4"/>
      </w:r>
      <w:r w:rsidRPr="001B3323">
        <w:rPr>
          <w:lang w:val="fr-FR"/>
        </w:rPr>
        <w:t>, l</w:t>
      </w:r>
      <w:r>
        <w:rPr>
          <w:lang w:val="fr-FR"/>
        </w:rPr>
        <w:t>'</w:t>
      </w:r>
      <w:r w:rsidRPr="001B3323">
        <w:rPr>
          <w:lang w:val="fr-FR"/>
        </w:rPr>
        <w:t>UN-ViE SCYCLE</w:t>
      </w:r>
      <w:r w:rsidRPr="001B3323">
        <w:rPr>
          <w:vertAlign w:val="superscript"/>
          <w:lang w:val="fr-FR"/>
        </w:rPr>
        <w:footnoteReference w:id="5"/>
      </w:r>
      <w:r w:rsidRPr="001B3323">
        <w:rPr>
          <w:lang w:val="fr-FR"/>
        </w:rPr>
        <w:t xml:space="preserve"> pour </w:t>
      </w:r>
      <w:r>
        <w:rPr>
          <w:lang w:val="fr-FR"/>
        </w:rPr>
        <w:t>d</w:t>
      </w:r>
      <w:r w:rsidRPr="001B3323">
        <w:rPr>
          <w:lang w:val="fr-FR"/>
        </w:rPr>
        <w:t xml:space="preserve">es projets </w:t>
      </w:r>
      <w:r>
        <w:rPr>
          <w:lang w:val="fr-FR"/>
        </w:rPr>
        <w:t>relatifs aux</w:t>
      </w:r>
      <w:r w:rsidRPr="001B3323">
        <w:rPr>
          <w:lang w:val="fr-FR"/>
        </w:rPr>
        <w:t xml:space="preserve"> déchets d</w:t>
      </w:r>
      <w:r>
        <w:rPr>
          <w:lang w:val="fr-FR"/>
        </w:rPr>
        <w:t>'</w:t>
      </w:r>
      <w:r w:rsidRPr="001B3323">
        <w:rPr>
          <w:lang w:val="fr-FR"/>
        </w:rPr>
        <w:t>équipements électriques et électroniques</w:t>
      </w:r>
      <w:r>
        <w:rPr>
          <w:lang w:val="fr-FR"/>
        </w:rPr>
        <w:t xml:space="preserve"> (DEEE)</w:t>
      </w:r>
      <w:r w:rsidRPr="001B3323">
        <w:rPr>
          <w:lang w:val="fr-FR"/>
        </w:rPr>
        <w:t>; avec l</w:t>
      </w:r>
      <w:r>
        <w:rPr>
          <w:lang w:val="fr-FR"/>
        </w:rPr>
        <w:t>'</w:t>
      </w:r>
      <w:r w:rsidRPr="001B3323">
        <w:rPr>
          <w:lang w:val="fr-FR"/>
        </w:rPr>
        <w:t>OMS, la Fondation mondiale du diabète, la Fondation Pierre Fabre, l</w:t>
      </w:r>
      <w:r>
        <w:rPr>
          <w:lang w:val="fr-FR"/>
        </w:rPr>
        <w:t>'</w:t>
      </w:r>
      <w:r w:rsidRPr="001B3323">
        <w:rPr>
          <w:lang w:val="fr-FR"/>
        </w:rPr>
        <w:t xml:space="preserve">UE, ARM, la GSMA, Sanofi Avantis Group, Novartis Pharma AG, Glaxosmithkline (GSK) Services et la Direction norvégienne de la santé, pour des projets relatifs à la santé </w:t>
      </w:r>
      <w:r>
        <w:rPr>
          <w:lang w:val="fr-FR"/>
        </w:rPr>
        <w:t xml:space="preserve">sur </w:t>
      </w:r>
      <w:r w:rsidRPr="001B3323">
        <w:rPr>
          <w:lang w:val="fr-FR"/>
        </w:rPr>
        <w:t xml:space="preserve">mobile; avec la FAO </w:t>
      </w:r>
      <w:r>
        <w:rPr>
          <w:lang w:val="fr-FR"/>
        </w:rPr>
        <w:t>dans le domaine de</w:t>
      </w:r>
      <w:r w:rsidRPr="001B3323">
        <w:rPr>
          <w:lang w:val="fr-FR"/>
        </w:rPr>
        <w:t xml:space="preserve"> la cyberabriculture; et avec la Fondation Bill et Melinda Gates </w:t>
      </w:r>
      <w:r>
        <w:rPr>
          <w:lang w:val="fr-FR"/>
        </w:rPr>
        <w:t>dans le cadre de</w:t>
      </w:r>
      <w:r w:rsidRPr="001B3323">
        <w:rPr>
          <w:lang w:val="fr-FR"/>
        </w:rPr>
        <w:t xml:space="preserve"> l</w:t>
      </w:r>
      <w:r>
        <w:rPr>
          <w:lang w:val="fr-FR"/>
        </w:rPr>
        <w:t>'</w:t>
      </w:r>
      <w:r w:rsidRPr="001B3323">
        <w:rPr>
          <w:lang w:val="fr-FR"/>
        </w:rPr>
        <w:t>Initiative mondiale en faveur de l</w:t>
      </w:r>
      <w:r>
        <w:rPr>
          <w:lang w:val="fr-FR"/>
        </w:rPr>
        <w:t>'</w:t>
      </w:r>
      <w:r w:rsidRPr="001B3323">
        <w:rPr>
          <w:lang w:val="fr-FR"/>
        </w:rPr>
        <w:t>inclusion financière.</w:t>
      </w:r>
    </w:p>
    <w:p w:rsidR="00000AC9" w:rsidRPr="00321406" w:rsidRDefault="00000AC9" w:rsidP="00000AC9">
      <w:pPr>
        <w:rPr>
          <w:lang w:val="fr-FR"/>
        </w:rPr>
      </w:pPr>
      <w:r>
        <w:rPr>
          <w:lang w:val="fr-FR"/>
        </w:rPr>
        <w:t xml:space="preserve">La conclusion de </w:t>
      </w:r>
      <w:r w:rsidRPr="00321406">
        <w:rPr>
          <w:lang w:val="fr-FR"/>
        </w:rPr>
        <w:t>partenariats avec des acteurs clés permet aux BDT de mobiliser des ressources, de partager le coût des projets, d</w:t>
      </w:r>
      <w:r>
        <w:rPr>
          <w:lang w:val="fr-FR"/>
        </w:rPr>
        <w:t>'</w:t>
      </w:r>
      <w:r w:rsidRPr="00321406">
        <w:rPr>
          <w:lang w:val="fr-FR"/>
        </w:rPr>
        <w:t>éviter les chevauchements de travaux et les doubles emplois, d</w:t>
      </w:r>
      <w:r>
        <w:rPr>
          <w:lang w:val="fr-FR"/>
        </w:rPr>
        <w:t>'</w:t>
      </w:r>
      <w:r w:rsidRPr="00321406">
        <w:rPr>
          <w:lang w:val="fr-FR"/>
        </w:rPr>
        <w:t>a</w:t>
      </w:r>
      <w:r>
        <w:rPr>
          <w:lang w:val="fr-FR"/>
        </w:rPr>
        <w:t>ccroître les retombées</w:t>
      </w:r>
      <w:r w:rsidRPr="00321406">
        <w:rPr>
          <w:lang w:val="fr-FR"/>
        </w:rPr>
        <w:t xml:space="preserve"> des projets, et de renforcer la visibilité du BDT auprès des acteurs extérieurs. </w:t>
      </w:r>
      <w:r>
        <w:rPr>
          <w:lang w:val="fr-FR"/>
        </w:rPr>
        <w:t>Cela</w:t>
      </w:r>
      <w:r w:rsidRPr="00321406">
        <w:rPr>
          <w:lang w:val="fr-FR"/>
        </w:rPr>
        <w:t xml:space="preserve"> offre également </w:t>
      </w:r>
      <w:r>
        <w:rPr>
          <w:lang w:val="fr-FR"/>
        </w:rPr>
        <w:t xml:space="preserve">au BDT </w:t>
      </w:r>
      <w:r w:rsidRPr="00321406">
        <w:rPr>
          <w:lang w:val="fr-FR"/>
        </w:rPr>
        <w:t>de nouvelles chances d</w:t>
      </w:r>
      <w:r>
        <w:rPr>
          <w:lang w:val="fr-FR"/>
        </w:rPr>
        <w:t xml:space="preserve">'entrer en contact avec </w:t>
      </w:r>
      <w:r w:rsidRPr="00321406">
        <w:rPr>
          <w:lang w:val="fr-FR"/>
        </w:rPr>
        <w:t xml:space="preserve">des </w:t>
      </w:r>
      <w:r w:rsidRPr="00C83AF1">
        <w:rPr>
          <w:lang w:val="fr-FR"/>
        </w:rPr>
        <w:t>partenaires fournisseurs de ressources</w:t>
      </w:r>
      <w:r>
        <w:rPr>
          <w:lang w:val="fr-FR"/>
        </w:rPr>
        <w:t xml:space="preserve"> </w:t>
      </w:r>
      <w:r w:rsidRPr="00321406">
        <w:rPr>
          <w:lang w:val="fr-FR"/>
        </w:rPr>
        <w:t xml:space="preserve">non </w:t>
      </w:r>
      <w:r w:rsidRPr="008F028A">
        <w:rPr>
          <w:lang w:val="fr-FR"/>
        </w:rPr>
        <w:t>traditionnels</w:t>
      </w:r>
      <w:r w:rsidRPr="00321406">
        <w:rPr>
          <w:lang w:val="fr-FR"/>
        </w:rPr>
        <w:t xml:space="preserve"> au travers d</w:t>
      </w:r>
      <w:r>
        <w:rPr>
          <w:lang w:val="fr-FR"/>
        </w:rPr>
        <w:t>'</w:t>
      </w:r>
      <w:r w:rsidRPr="00321406">
        <w:rPr>
          <w:lang w:val="fr-FR"/>
        </w:rPr>
        <w:t>activités de sensibilisation conjointes.</w:t>
      </w:r>
    </w:p>
    <w:p w:rsidR="00000AC9" w:rsidRPr="00321406" w:rsidRDefault="00000AC9" w:rsidP="00000AC9">
      <w:pPr>
        <w:rPr>
          <w:lang w:val="fr-FR"/>
        </w:rPr>
      </w:pPr>
      <w:r>
        <w:rPr>
          <w:lang w:val="fr-FR"/>
        </w:rPr>
        <w:t>Il est essentiel de mettre</w:t>
      </w:r>
      <w:r w:rsidRPr="00321406">
        <w:rPr>
          <w:lang w:val="fr-FR"/>
        </w:rPr>
        <w:t xml:space="preserve"> en œuvre </w:t>
      </w:r>
      <w:r>
        <w:rPr>
          <w:lang w:val="fr-FR"/>
        </w:rPr>
        <w:t>l</w:t>
      </w:r>
      <w:r w:rsidRPr="00321406">
        <w:rPr>
          <w:lang w:val="fr-FR"/>
        </w:rPr>
        <w:t xml:space="preserve">es produits de partenariats (projets ou parrainages, par exemple) </w:t>
      </w:r>
      <w:r>
        <w:rPr>
          <w:lang w:val="fr-FR"/>
        </w:rPr>
        <w:t xml:space="preserve">de manière </w:t>
      </w:r>
      <w:r w:rsidRPr="00321406">
        <w:rPr>
          <w:lang w:val="fr-FR"/>
        </w:rPr>
        <w:t>rapide et</w:t>
      </w:r>
      <w:r>
        <w:rPr>
          <w:lang w:val="fr-FR"/>
        </w:rPr>
        <w:t xml:space="preserve"> </w:t>
      </w:r>
      <w:r w:rsidRPr="00321406">
        <w:rPr>
          <w:lang w:val="fr-FR"/>
        </w:rPr>
        <w:t xml:space="preserve">efficace </w:t>
      </w:r>
      <w:r>
        <w:rPr>
          <w:lang w:val="fr-FR"/>
        </w:rPr>
        <w:t>en les associant</w:t>
      </w:r>
      <w:r w:rsidRPr="00321406">
        <w:rPr>
          <w:lang w:val="fr-FR"/>
        </w:rPr>
        <w:t xml:space="preserve"> à des résultats et </w:t>
      </w:r>
      <w:r>
        <w:rPr>
          <w:lang w:val="fr-FR"/>
        </w:rPr>
        <w:t xml:space="preserve">à </w:t>
      </w:r>
      <w:r w:rsidRPr="00321406">
        <w:rPr>
          <w:lang w:val="fr-FR"/>
        </w:rPr>
        <w:t xml:space="preserve">une communication de qualité </w:t>
      </w:r>
      <w:r>
        <w:rPr>
          <w:lang w:val="fr-FR"/>
        </w:rPr>
        <w:t>afin de</w:t>
      </w:r>
      <w:r w:rsidRPr="00321406">
        <w:rPr>
          <w:lang w:val="fr-FR"/>
        </w:rPr>
        <w:t xml:space="preserve"> gagner la confiance et la satisfaction du/des partenaire(s) </w:t>
      </w:r>
      <w:r>
        <w:rPr>
          <w:lang w:val="fr-FR"/>
        </w:rPr>
        <w:t xml:space="preserve">en vue </w:t>
      </w:r>
      <w:r w:rsidRPr="00321406">
        <w:rPr>
          <w:lang w:val="fr-FR"/>
        </w:rPr>
        <w:t xml:space="preserve">de renforcer les </w:t>
      </w:r>
      <w:r>
        <w:rPr>
          <w:lang w:val="fr-FR"/>
        </w:rPr>
        <w:t xml:space="preserve">futurs </w:t>
      </w:r>
      <w:r w:rsidRPr="00321406">
        <w:rPr>
          <w:lang w:val="fr-FR"/>
        </w:rPr>
        <w:t xml:space="preserve">partenariats et </w:t>
      </w:r>
      <w:r>
        <w:rPr>
          <w:lang w:val="fr-FR"/>
        </w:rPr>
        <w:t xml:space="preserve">d'assurer </w:t>
      </w:r>
      <w:r w:rsidRPr="00321406">
        <w:rPr>
          <w:lang w:val="fr-FR"/>
        </w:rPr>
        <w:t>la mobilisation des ressources.</w:t>
      </w:r>
      <w:r w:rsidRPr="00321406">
        <w:rPr>
          <w:b/>
          <w:bCs/>
          <w:lang w:val="fr-FR"/>
        </w:rPr>
        <w:t xml:space="preserve"> </w:t>
      </w:r>
      <w:r>
        <w:rPr>
          <w:lang w:val="fr-FR"/>
        </w:rPr>
        <w:t>On peut citer, à titre d'</w:t>
      </w:r>
      <w:r w:rsidRPr="00321406">
        <w:rPr>
          <w:lang w:val="fr-FR"/>
        </w:rPr>
        <w:t>exemple</w:t>
      </w:r>
      <w:r>
        <w:rPr>
          <w:lang w:val="fr-FR"/>
        </w:rPr>
        <w:t>,</w:t>
      </w:r>
      <w:r w:rsidRPr="00321406">
        <w:rPr>
          <w:lang w:val="fr-FR"/>
        </w:rPr>
        <w:t xml:space="preserve"> le partenariat conclu avec la Commission européenne </w:t>
      </w:r>
      <w:r>
        <w:rPr>
          <w:lang w:val="fr-FR"/>
        </w:rPr>
        <w:t xml:space="preserve">qui vise à </w:t>
      </w:r>
      <w:r w:rsidR="007421A4">
        <w:rPr>
          <w:szCs w:val="24"/>
        </w:rPr>
        <w:t>"</w:t>
      </w:r>
      <w:r>
        <w:rPr>
          <w:lang w:val="fr-FR"/>
        </w:rPr>
        <w:t>accroître</w:t>
      </w:r>
      <w:r w:rsidRPr="00321406">
        <w:rPr>
          <w:lang w:val="fr-FR"/>
        </w:rPr>
        <w:t xml:space="preserve"> les taux de pénétration du large bande hertzien sur le continent africain grâce à une utilisation améliorée et harmonisée du spectre et </w:t>
      </w:r>
      <w:r>
        <w:rPr>
          <w:lang w:val="fr-FR"/>
        </w:rPr>
        <w:t>de</w:t>
      </w:r>
      <w:r w:rsidRPr="00321406">
        <w:rPr>
          <w:lang w:val="fr-FR"/>
        </w:rPr>
        <w:t xml:space="preserve"> la réglementation</w:t>
      </w:r>
      <w:r w:rsidR="007421A4">
        <w:rPr>
          <w:szCs w:val="24"/>
        </w:rPr>
        <w:t>"</w:t>
      </w:r>
      <w:r w:rsidRPr="00321406">
        <w:rPr>
          <w:lang w:val="fr-FR"/>
        </w:rPr>
        <w:t>, pour un montant total de 5,5 millions d</w:t>
      </w:r>
      <w:r>
        <w:rPr>
          <w:lang w:val="fr-FR"/>
        </w:rPr>
        <w:t>'</w:t>
      </w:r>
      <w:r w:rsidRPr="00321406">
        <w:rPr>
          <w:lang w:val="fr-FR"/>
        </w:rPr>
        <w:t xml:space="preserve">euros, qui </w:t>
      </w:r>
      <w:r>
        <w:rPr>
          <w:lang w:val="fr-FR"/>
        </w:rPr>
        <w:t>engage</w:t>
      </w:r>
      <w:r w:rsidRPr="00321406">
        <w:rPr>
          <w:lang w:val="fr-FR"/>
        </w:rPr>
        <w:t xml:space="preserve"> </w:t>
      </w:r>
      <w:r>
        <w:rPr>
          <w:lang w:val="fr-FR"/>
        </w:rPr>
        <w:t>à renforcer</w:t>
      </w:r>
      <w:r w:rsidRPr="00321406">
        <w:rPr>
          <w:lang w:val="fr-FR"/>
        </w:rPr>
        <w:t xml:space="preserve"> </w:t>
      </w:r>
      <w:r>
        <w:rPr>
          <w:lang w:val="fr-FR"/>
        </w:rPr>
        <w:t xml:space="preserve">aussi bien les </w:t>
      </w:r>
      <w:r w:rsidRPr="00321406">
        <w:rPr>
          <w:lang w:val="fr-FR"/>
        </w:rPr>
        <w:t>partenariats avec l</w:t>
      </w:r>
      <w:r>
        <w:rPr>
          <w:lang w:val="fr-FR"/>
        </w:rPr>
        <w:t>'</w:t>
      </w:r>
      <w:r w:rsidRPr="00321406">
        <w:rPr>
          <w:lang w:val="fr-FR"/>
        </w:rPr>
        <w:t xml:space="preserve">Union africaine </w:t>
      </w:r>
      <w:r>
        <w:rPr>
          <w:lang w:val="fr-FR"/>
        </w:rPr>
        <w:t>que la</w:t>
      </w:r>
      <w:r w:rsidRPr="00321406">
        <w:rPr>
          <w:lang w:val="fr-FR"/>
        </w:rPr>
        <w:t xml:space="preserve"> collaboration au sein même de l</w:t>
      </w:r>
      <w:r>
        <w:rPr>
          <w:lang w:val="fr-FR"/>
        </w:rPr>
        <w:t>'</w:t>
      </w:r>
      <w:r w:rsidRPr="00321406">
        <w:rPr>
          <w:lang w:val="fr-FR"/>
        </w:rPr>
        <w:t>UIT.</w:t>
      </w:r>
    </w:p>
    <w:p w:rsidR="00000AC9" w:rsidRPr="00321406" w:rsidRDefault="00000AC9" w:rsidP="007421A4">
      <w:pPr>
        <w:rPr>
          <w:lang w:val="fr-FR"/>
        </w:rPr>
      </w:pPr>
      <w:r w:rsidRPr="00321406">
        <w:rPr>
          <w:iCs/>
          <w:lang w:val="fr-FR"/>
        </w:rPr>
        <w:t xml:space="preserve">Des offres de parrainage pour les </w:t>
      </w:r>
      <w:r w:rsidRPr="00321406">
        <w:rPr>
          <w:szCs w:val="24"/>
          <w:lang w:val="fr-FR"/>
        </w:rPr>
        <w:t>manifestations parallèles et réceptions</w:t>
      </w:r>
      <w:r w:rsidRPr="00321406">
        <w:rPr>
          <w:iCs/>
          <w:lang w:val="fr-FR"/>
        </w:rPr>
        <w:t xml:space="preserve"> qui se déroulent à l</w:t>
      </w:r>
      <w:r>
        <w:rPr>
          <w:iCs/>
          <w:lang w:val="fr-FR"/>
        </w:rPr>
        <w:t>'</w:t>
      </w:r>
      <w:r w:rsidRPr="00321406">
        <w:rPr>
          <w:iCs/>
          <w:lang w:val="fr-FR"/>
        </w:rPr>
        <w:t>occasion de manifestations organisées par le BDT (</w:t>
      </w:r>
      <w:r>
        <w:rPr>
          <w:iCs/>
          <w:lang w:val="fr-FR"/>
        </w:rPr>
        <w:t xml:space="preserve">comme </w:t>
      </w:r>
      <w:r w:rsidRPr="00321406">
        <w:rPr>
          <w:iCs/>
          <w:lang w:val="fr-FR"/>
        </w:rPr>
        <w:t xml:space="preserve">le </w:t>
      </w:r>
      <w:r w:rsidRPr="00321406">
        <w:rPr>
          <w:szCs w:val="24"/>
          <w:lang w:val="fr-FR"/>
        </w:rPr>
        <w:t xml:space="preserve">Colloque mondial des régulateurs de 2018 </w:t>
      </w:r>
      <w:r w:rsidRPr="00321406">
        <w:rPr>
          <w:lang w:val="fr-FR"/>
        </w:rPr>
        <w:t>(GSR</w:t>
      </w:r>
      <w:r w:rsidRPr="00321406">
        <w:rPr>
          <w:lang w:val="fr-FR"/>
        </w:rPr>
        <w:noBreakHyphen/>
        <w:t xml:space="preserve">18) </w:t>
      </w:r>
      <w:r>
        <w:rPr>
          <w:lang w:val="fr-FR"/>
        </w:rPr>
        <w:t>ou</w:t>
      </w:r>
      <w:r w:rsidRPr="00321406">
        <w:rPr>
          <w:lang w:val="fr-FR"/>
        </w:rPr>
        <w:t xml:space="preserve"> les</w:t>
      </w:r>
      <w:r>
        <w:rPr>
          <w:lang w:val="fr-FR"/>
        </w:rPr>
        <w:t xml:space="preserve"> réunions des</w:t>
      </w:r>
      <w:r w:rsidRPr="00321406">
        <w:rPr>
          <w:lang w:val="fr-FR"/>
        </w:rPr>
        <w:t xml:space="preserve"> Commissions d</w:t>
      </w:r>
      <w:r>
        <w:rPr>
          <w:lang w:val="fr-FR"/>
        </w:rPr>
        <w:t>'</w:t>
      </w:r>
      <w:r w:rsidRPr="00321406">
        <w:rPr>
          <w:lang w:val="fr-FR"/>
        </w:rPr>
        <w:t>études de l</w:t>
      </w:r>
      <w:r>
        <w:rPr>
          <w:lang w:val="fr-FR"/>
        </w:rPr>
        <w:t>'</w:t>
      </w:r>
      <w:r w:rsidRPr="00321406">
        <w:rPr>
          <w:lang w:val="fr-FR"/>
        </w:rPr>
        <w:t>UIT-</w:t>
      </w:r>
      <w:r w:rsidRPr="00C0534F">
        <w:rPr>
          <w:lang w:val="fr-FR"/>
        </w:rPr>
        <w:t>D (Réunions des Groupes du Rapporteur, 2018)) ont été proposé</w:t>
      </w:r>
      <w:r>
        <w:rPr>
          <w:lang w:val="fr-FR"/>
        </w:rPr>
        <w:t>e</w:t>
      </w:r>
      <w:r w:rsidRPr="00C0534F">
        <w:rPr>
          <w:lang w:val="fr-FR"/>
        </w:rPr>
        <w:t>s sur</w:t>
      </w:r>
      <w:r w:rsidRPr="00321406">
        <w:rPr>
          <w:lang w:val="fr-FR"/>
        </w:rPr>
        <w:t xml:space="preserve"> la </w:t>
      </w:r>
      <w:hyperlink r:id="rId12" w:history="1">
        <w:r w:rsidRPr="00321406">
          <w:rPr>
            <w:rStyle w:val="Hyperlink"/>
            <w:i/>
            <w:iCs/>
            <w:lang w:val="fr-FR"/>
          </w:rPr>
          <w:t>plate-forme consacrée aux possibilités de parrainage</w:t>
        </w:r>
      </w:hyperlink>
      <w:r w:rsidRPr="00321406">
        <w:rPr>
          <w:lang w:val="fr-FR"/>
        </w:rPr>
        <w:t xml:space="preserve">. Les ressources mobilisées sont utilisées pour organiser des activités </w:t>
      </w:r>
      <w:r w:rsidRPr="008F028A">
        <w:rPr>
          <w:lang w:val="fr-FR"/>
        </w:rPr>
        <w:t>parrainées</w:t>
      </w:r>
      <w:r w:rsidRPr="00321406">
        <w:rPr>
          <w:lang w:val="fr-FR"/>
        </w:rPr>
        <w:t xml:space="preserve"> et renforcer la visibilité </w:t>
      </w:r>
      <w:r>
        <w:rPr>
          <w:lang w:val="fr-FR"/>
        </w:rPr>
        <w:t xml:space="preserve">qui en découle, </w:t>
      </w:r>
      <w:r w:rsidRPr="00321406">
        <w:rPr>
          <w:lang w:val="fr-FR"/>
        </w:rPr>
        <w:t>pour servir de fonds d</w:t>
      </w:r>
      <w:r>
        <w:rPr>
          <w:lang w:val="fr-FR"/>
        </w:rPr>
        <w:t>'</w:t>
      </w:r>
      <w:r w:rsidRPr="00321406">
        <w:rPr>
          <w:lang w:val="fr-FR"/>
        </w:rPr>
        <w:t xml:space="preserve">amorçage pour la mise en </w:t>
      </w:r>
      <w:r w:rsidR="007421A4" w:rsidRPr="00321406">
        <w:rPr>
          <w:lang w:val="fr-FR"/>
        </w:rPr>
        <w:t>œuvre</w:t>
      </w:r>
      <w:r w:rsidRPr="00321406">
        <w:rPr>
          <w:lang w:val="fr-FR"/>
        </w:rPr>
        <w:t xml:space="preserve"> d</w:t>
      </w:r>
      <w:r>
        <w:rPr>
          <w:lang w:val="fr-FR"/>
        </w:rPr>
        <w:t>'</w:t>
      </w:r>
      <w:r w:rsidRPr="00321406">
        <w:rPr>
          <w:lang w:val="fr-FR"/>
        </w:rPr>
        <w:t>activités, de projets et d</w:t>
      </w:r>
      <w:r>
        <w:rPr>
          <w:lang w:val="fr-FR"/>
        </w:rPr>
        <w:t>'</w:t>
      </w:r>
      <w:r w:rsidRPr="00321406">
        <w:rPr>
          <w:lang w:val="fr-FR"/>
        </w:rPr>
        <w:t>initiatives, y compris des initiatives régionales</w:t>
      </w:r>
      <w:r>
        <w:rPr>
          <w:lang w:val="fr-FR"/>
        </w:rPr>
        <w:t xml:space="preserve">, </w:t>
      </w:r>
      <w:r w:rsidRPr="00321406">
        <w:rPr>
          <w:lang w:val="fr-FR"/>
        </w:rPr>
        <w:t xml:space="preserve">et </w:t>
      </w:r>
      <w:r>
        <w:rPr>
          <w:lang w:val="fr-FR"/>
        </w:rPr>
        <w:t>au besoin</w:t>
      </w:r>
      <w:r w:rsidRPr="00321406">
        <w:rPr>
          <w:lang w:val="fr-FR"/>
        </w:rPr>
        <w:t xml:space="preserve"> </w:t>
      </w:r>
      <w:r>
        <w:rPr>
          <w:lang w:val="fr-FR"/>
        </w:rPr>
        <w:t>pour octroyer</w:t>
      </w:r>
      <w:r w:rsidRPr="00321406">
        <w:rPr>
          <w:lang w:val="fr-FR"/>
        </w:rPr>
        <w:t xml:space="preserve"> de</w:t>
      </w:r>
      <w:r>
        <w:rPr>
          <w:lang w:val="fr-FR"/>
        </w:rPr>
        <w:t>s</w:t>
      </w:r>
      <w:r w:rsidRPr="00321406">
        <w:rPr>
          <w:lang w:val="fr-FR"/>
        </w:rPr>
        <w:t xml:space="preserve"> bourses.</w:t>
      </w:r>
    </w:p>
    <w:p w:rsidR="00000AC9" w:rsidRPr="00321406" w:rsidRDefault="00000AC9" w:rsidP="00000AC9">
      <w:pPr>
        <w:pStyle w:val="Heading2"/>
        <w:rPr>
          <w:lang w:val="fr-FR"/>
        </w:rPr>
      </w:pPr>
      <w:r w:rsidRPr="00321406">
        <w:rPr>
          <w:lang w:val="fr-FR"/>
        </w:rPr>
        <w:lastRenderedPageBreak/>
        <w:t>4.2</w:t>
      </w:r>
      <w:r w:rsidRPr="00321406">
        <w:rPr>
          <w:lang w:val="fr-FR"/>
        </w:rPr>
        <w:tab/>
        <w:t>Actions internes et résultats obtenus</w:t>
      </w:r>
    </w:p>
    <w:p w:rsidR="00000AC9" w:rsidRPr="00321406" w:rsidRDefault="00000AC9" w:rsidP="00000AC9">
      <w:pPr>
        <w:rPr>
          <w:lang w:val="fr-FR"/>
        </w:rPr>
      </w:pPr>
      <w:r w:rsidRPr="00321406">
        <w:rPr>
          <w:lang w:val="fr-FR"/>
        </w:rPr>
        <w:t xml:space="preserve">Le BDT </w:t>
      </w:r>
      <w:r>
        <w:rPr>
          <w:lang w:val="fr-FR"/>
        </w:rPr>
        <w:t>reconnaît que</w:t>
      </w:r>
      <w:r w:rsidRPr="00321406">
        <w:rPr>
          <w:lang w:val="fr-FR"/>
        </w:rPr>
        <w:t xml:space="preserve"> l</w:t>
      </w:r>
      <w:r>
        <w:rPr>
          <w:lang w:val="fr-FR"/>
        </w:rPr>
        <w:t>a conclusion de</w:t>
      </w:r>
      <w:r w:rsidRPr="00321406">
        <w:rPr>
          <w:lang w:val="fr-FR"/>
        </w:rPr>
        <w:t xml:space="preserve"> partenariats et la mobilisation des </w:t>
      </w:r>
      <w:r w:rsidRPr="008F028A">
        <w:rPr>
          <w:lang w:val="fr-FR"/>
        </w:rPr>
        <w:t xml:space="preserve">ressources </w:t>
      </w:r>
      <w:r>
        <w:rPr>
          <w:lang w:val="fr-FR"/>
        </w:rPr>
        <w:t>sont une responsabilité commune</w:t>
      </w:r>
      <w:r w:rsidRPr="008F028A">
        <w:rPr>
          <w:lang w:val="fr-FR"/>
        </w:rPr>
        <w:t>. Pendant la retraite organisée pour l</w:t>
      </w:r>
      <w:r>
        <w:rPr>
          <w:lang w:val="fr-FR"/>
        </w:rPr>
        <w:t>'</w:t>
      </w:r>
      <w:r w:rsidRPr="008F028A">
        <w:rPr>
          <w:lang w:val="fr-FR"/>
        </w:rPr>
        <w:t>équipe de direction</w:t>
      </w:r>
      <w:r w:rsidRPr="00321406">
        <w:rPr>
          <w:lang w:val="fr-FR"/>
        </w:rPr>
        <w:t xml:space="preserve"> du BDT, une séance consacrée à la mobilisation des ressources </w:t>
      </w:r>
      <w:r>
        <w:rPr>
          <w:lang w:val="fr-FR"/>
        </w:rPr>
        <w:t>a permis</w:t>
      </w:r>
      <w:r w:rsidRPr="00321406">
        <w:rPr>
          <w:lang w:val="fr-FR"/>
        </w:rPr>
        <w:t xml:space="preserve"> aux </w:t>
      </w:r>
      <w:r w:rsidRPr="00AE0DFF">
        <w:rPr>
          <w:lang w:val="fr-FR"/>
        </w:rPr>
        <w:t>participants</w:t>
      </w:r>
      <w:r w:rsidRPr="00321406">
        <w:rPr>
          <w:lang w:val="fr-FR"/>
        </w:rPr>
        <w:t xml:space="preserve"> d</w:t>
      </w:r>
      <w:r>
        <w:rPr>
          <w:lang w:val="fr-FR"/>
        </w:rPr>
        <w:t>'</w:t>
      </w:r>
      <w:r w:rsidRPr="00321406">
        <w:rPr>
          <w:lang w:val="fr-FR"/>
        </w:rPr>
        <w:t>échanger des données d</w:t>
      </w:r>
      <w:r>
        <w:rPr>
          <w:lang w:val="fr-FR"/>
        </w:rPr>
        <w:t>'</w:t>
      </w:r>
      <w:r w:rsidRPr="00321406">
        <w:rPr>
          <w:lang w:val="fr-FR"/>
        </w:rPr>
        <w:t>expérience et d</w:t>
      </w:r>
      <w:r>
        <w:rPr>
          <w:lang w:val="fr-FR"/>
        </w:rPr>
        <w:t>'</w:t>
      </w:r>
      <w:r w:rsidRPr="00321406">
        <w:rPr>
          <w:lang w:val="fr-FR"/>
        </w:rPr>
        <w:t>aborder les défis à relever et les possibilités à exploiter</w:t>
      </w:r>
      <w:r w:rsidRPr="00401AA3">
        <w:rPr>
          <w:lang w:val="fr-FR"/>
        </w:rPr>
        <w:t>. Les discussions ont abouti à l</w:t>
      </w:r>
      <w:r>
        <w:rPr>
          <w:lang w:val="fr-FR"/>
        </w:rPr>
        <w:t>'</w:t>
      </w:r>
      <w:r w:rsidRPr="00321406">
        <w:rPr>
          <w:lang w:val="fr-FR"/>
        </w:rPr>
        <w:t>élaboration d</w:t>
      </w:r>
      <w:r>
        <w:rPr>
          <w:lang w:val="fr-FR"/>
        </w:rPr>
        <w:t>'</w:t>
      </w:r>
      <w:r w:rsidRPr="00321406">
        <w:rPr>
          <w:lang w:val="fr-FR"/>
        </w:rPr>
        <w:t xml:space="preserve">une feuille de route comprenant dix mesures prioritaires </w:t>
      </w:r>
      <w:r>
        <w:rPr>
          <w:lang w:val="fr-FR"/>
        </w:rPr>
        <w:t>pour</w:t>
      </w:r>
      <w:r w:rsidRPr="00321406">
        <w:rPr>
          <w:lang w:val="fr-FR"/>
        </w:rPr>
        <w:t xml:space="preserve"> renforcer la mobilisation</w:t>
      </w:r>
      <w:r>
        <w:rPr>
          <w:lang w:val="fr-FR"/>
        </w:rPr>
        <w:t xml:space="preserve"> des ressources</w:t>
      </w:r>
      <w:r w:rsidRPr="00321406">
        <w:rPr>
          <w:lang w:val="fr-FR"/>
        </w:rPr>
        <w:t>, à savoir:</w:t>
      </w:r>
    </w:p>
    <w:p w:rsidR="00000AC9" w:rsidRPr="00321406" w:rsidRDefault="007421A4" w:rsidP="00000AC9">
      <w:pPr>
        <w:pStyle w:val="enumlev1"/>
        <w:rPr>
          <w:lang w:val="fr-FR"/>
        </w:rPr>
      </w:pPr>
      <w:r>
        <w:rPr>
          <w:lang w:val="fr-FR"/>
        </w:rPr>
        <w:t>1)</w:t>
      </w:r>
      <w:r w:rsidR="00000AC9" w:rsidRPr="00321406">
        <w:rPr>
          <w:lang w:val="fr-FR"/>
        </w:rPr>
        <w:tab/>
      </w:r>
      <w:r w:rsidR="00000AC9">
        <w:rPr>
          <w:lang w:val="fr-FR"/>
        </w:rPr>
        <w:t>S</w:t>
      </w:r>
      <w:r w:rsidR="00000AC9" w:rsidRPr="00321406">
        <w:rPr>
          <w:lang w:val="fr-FR"/>
        </w:rPr>
        <w:t>tratégie de mobilisation des ressources</w:t>
      </w:r>
      <w:r w:rsidR="00794005">
        <w:rPr>
          <w:lang w:val="fr-FR"/>
        </w:rPr>
        <w:t>.</w:t>
      </w:r>
    </w:p>
    <w:p w:rsidR="00000AC9" w:rsidRPr="00321406" w:rsidRDefault="007421A4" w:rsidP="00000AC9">
      <w:pPr>
        <w:pStyle w:val="enumlev1"/>
        <w:rPr>
          <w:lang w:val="fr-FR"/>
        </w:rPr>
      </w:pPr>
      <w:r>
        <w:rPr>
          <w:lang w:val="fr-FR"/>
        </w:rPr>
        <w:t>2)</w:t>
      </w:r>
      <w:r w:rsidR="00000AC9" w:rsidRPr="00321406">
        <w:rPr>
          <w:lang w:val="fr-FR"/>
        </w:rPr>
        <w:tab/>
      </w:r>
      <w:r w:rsidR="00000AC9" w:rsidRPr="00713B26">
        <w:rPr>
          <w:lang w:val="fr-FR"/>
        </w:rPr>
        <w:t xml:space="preserve">Modèle </w:t>
      </w:r>
      <w:r w:rsidR="00000AC9" w:rsidRPr="00B168EF">
        <w:rPr>
          <w:lang w:val="fr-FR"/>
        </w:rPr>
        <w:t>de communication intégrant</w:t>
      </w:r>
      <w:r w:rsidR="00794005">
        <w:rPr>
          <w:lang w:val="fr-FR"/>
        </w:rPr>
        <w:t xml:space="preserve"> une dimension humaine.</w:t>
      </w:r>
    </w:p>
    <w:p w:rsidR="00000AC9" w:rsidRPr="00321406" w:rsidRDefault="007421A4" w:rsidP="00000AC9">
      <w:pPr>
        <w:pStyle w:val="enumlev1"/>
        <w:rPr>
          <w:lang w:val="fr-FR"/>
        </w:rPr>
      </w:pPr>
      <w:r>
        <w:rPr>
          <w:lang w:val="fr-FR"/>
        </w:rPr>
        <w:t>3)</w:t>
      </w:r>
      <w:r w:rsidR="00000AC9" w:rsidRPr="00321406">
        <w:rPr>
          <w:lang w:val="fr-FR"/>
        </w:rPr>
        <w:tab/>
        <w:t xml:space="preserve">Critères pour nouer des partenariats avec </w:t>
      </w:r>
      <w:r w:rsidR="00000AC9">
        <w:rPr>
          <w:lang w:val="fr-FR"/>
        </w:rPr>
        <w:t>de gros</w:t>
      </w:r>
      <w:r w:rsidR="00000AC9" w:rsidRPr="00321406">
        <w:rPr>
          <w:lang w:val="fr-FR"/>
        </w:rPr>
        <w:t xml:space="preserve"> partena</w:t>
      </w:r>
      <w:r w:rsidR="00794005">
        <w:rPr>
          <w:lang w:val="fr-FR"/>
        </w:rPr>
        <w:t>ires fournisseurs de ressources.</w:t>
      </w:r>
    </w:p>
    <w:p w:rsidR="00000AC9" w:rsidRPr="00321406" w:rsidRDefault="007421A4" w:rsidP="00000AC9">
      <w:pPr>
        <w:pStyle w:val="enumlev1"/>
        <w:rPr>
          <w:lang w:val="fr-FR"/>
        </w:rPr>
      </w:pPr>
      <w:r>
        <w:rPr>
          <w:lang w:val="fr-FR"/>
        </w:rPr>
        <w:t>4)</w:t>
      </w:r>
      <w:r w:rsidR="00000AC9" w:rsidRPr="00321406">
        <w:rPr>
          <w:lang w:val="fr-FR"/>
        </w:rPr>
        <w:tab/>
        <w:t>Rapports d</w:t>
      </w:r>
      <w:r w:rsidR="00000AC9">
        <w:rPr>
          <w:lang w:val="fr-FR"/>
        </w:rPr>
        <w:t>'</w:t>
      </w:r>
      <w:r w:rsidR="00000AC9" w:rsidRPr="00321406">
        <w:rPr>
          <w:lang w:val="fr-FR"/>
        </w:rPr>
        <w:t xml:space="preserve">études de marché sur </w:t>
      </w:r>
      <w:r w:rsidR="00000AC9">
        <w:rPr>
          <w:lang w:val="fr-FR"/>
        </w:rPr>
        <w:t>l</w:t>
      </w:r>
      <w:r w:rsidR="00000AC9" w:rsidRPr="00321406">
        <w:rPr>
          <w:lang w:val="fr-FR"/>
        </w:rPr>
        <w:t xml:space="preserve">es domaines prioritaires en vue de sensibiliser les partenaires fournisseurs de </w:t>
      </w:r>
      <w:r w:rsidR="00000AC9" w:rsidRPr="00B56898">
        <w:rPr>
          <w:lang w:val="fr-FR"/>
        </w:rPr>
        <w:t xml:space="preserve">ressources </w:t>
      </w:r>
      <w:r w:rsidR="00000AC9">
        <w:rPr>
          <w:lang w:val="fr-FR"/>
        </w:rPr>
        <w:t>et d'amener ces derniers à tenir</w:t>
      </w:r>
      <w:r w:rsidR="00000AC9" w:rsidRPr="00B56898">
        <w:rPr>
          <w:lang w:val="fr-FR"/>
        </w:rPr>
        <w:t xml:space="preserve"> davantage compte</w:t>
      </w:r>
      <w:r w:rsidR="00000AC9">
        <w:rPr>
          <w:lang w:val="fr-FR"/>
        </w:rPr>
        <w:t xml:space="preserve"> de ces domaines</w:t>
      </w:r>
      <w:r w:rsidR="00794005">
        <w:rPr>
          <w:lang w:val="fr-FR"/>
        </w:rPr>
        <w:t>.</w:t>
      </w:r>
    </w:p>
    <w:p w:rsidR="00000AC9" w:rsidRPr="00321406" w:rsidRDefault="007421A4" w:rsidP="00000AC9">
      <w:pPr>
        <w:pStyle w:val="enumlev1"/>
        <w:rPr>
          <w:lang w:val="fr-FR"/>
        </w:rPr>
      </w:pPr>
      <w:r>
        <w:rPr>
          <w:lang w:val="fr-FR"/>
        </w:rPr>
        <w:t>5)</w:t>
      </w:r>
      <w:r w:rsidR="00000AC9" w:rsidRPr="00321406">
        <w:rPr>
          <w:lang w:val="fr-FR"/>
        </w:rPr>
        <w:tab/>
        <w:t>Initiatives moteurs de changement de grande</w:t>
      </w:r>
      <w:r w:rsidR="00000AC9">
        <w:rPr>
          <w:lang w:val="fr-FR"/>
        </w:rPr>
        <w:t xml:space="preserve"> ampleur</w:t>
      </w:r>
      <w:r w:rsidR="00000AC9" w:rsidRPr="00321406">
        <w:rPr>
          <w:lang w:val="fr-FR"/>
        </w:rPr>
        <w:t xml:space="preserve"> dans les domaines prioritaires défendus vigoureusement par la direction de l</w:t>
      </w:r>
      <w:r w:rsidR="00000AC9">
        <w:rPr>
          <w:lang w:val="fr-FR"/>
        </w:rPr>
        <w:t>'</w:t>
      </w:r>
      <w:r w:rsidR="00794005">
        <w:rPr>
          <w:lang w:val="fr-FR"/>
        </w:rPr>
        <w:t>UIT/du BDT.</w:t>
      </w:r>
    </w:p>
    <w:p w:rsidR="00000AC9" w:rsidRPr="00321406" w:rsidRDefault="007421A4" w:rsidP="00000AC9">
      <w:pPr>
        <w:pStyle w:val="enumlev1"/>
        <w:rPr>
          <w:lang w:val="fr-FR"/>
        </w:rPr>
      </w:pPr>
      <w:r>
        <w:rPr>
          <w:lang w:val="fr-FR"/>
        </w:rPr>
        <w:t>6)</w:t>
      </w:r>
      <w:r w:rsidR="00000AC9" w:rsidRPr="00321406">
        <w:rPr>
          <w:lang w:val="fr-FR"/>
        </w:rPr>
        <w:tab/>
        <w:t xml:space="preserve">Mise au point de mécanismes souples pour </w:t>
      </w:r>
      <w:r w:rsidR="00000AC9">
        <w:rPr>
          <w:lang w:val="fr-FR"/>
        </w:rPr>
        <w:t>la conclusion de</w:t>
      </w:r>
      <w:r w:rsidR="00794005">
        <w:rPr>
          <w:lang w:val="fr-FR"/>
        </w:rPr>
        <w:t xml:space="preserve"> partenariats.</w:t>
      </w:r>
    </w:p>
    <w:p w:rsidR="00000AC9" w:rsidRPr="00321406" w:rsidRDefault="007421A4" w:rsidP="00000AC9">
      <w:pPr>
        <w:pStyle w:val="enumlev1"/>
        <w:rPr>
          <w:lang w:val="fr-FR"/>
        </w:rPr>
      </w:pPr>
      <w:r>
        <w:rPr>
          <w:lang w:val="fr-FR"/>
        </w:rPr>
        <w:t>7)</w:t>
      </w:r>
      <w:r w:rsidR="00794005">
        <w:rPr>
          <w:lang w:val="fr-FR"/>
        </w:rPr>
        <w:tab/>
        <w:t>Formation du personnel.</w:t>
      </w:r>
    </w:p>
    <w:p w:rsidR="00000AC9" w:rsidRPr="00321406" w:rsidRDefault="007421A4" w:rsidP="00000AC9">
      <w:pPr>
        <w:pStyle w:val="enumlev1"/>
        <w:rPr>
          <w:lang w:val="fr-FR"/>
        </w:rPr>
      </w:pPr>
      <w:r>
        <w:rPr>
          <w:lang w:val="fr-FR"/>
        </w:rPr>
        <w:t>8)</w:t>
      </w:r>
      <w:r w:rsidR="00000AC9" w:rsidRPr="00321406">
        <w:rPr>
          <w:lang w:val="fr-FR"/>
        </w:rPr>
        <w:tab/>
        <w:t>Outil à l</w:t>
      </w:r>
      <w:r w:rsidR="00000AC9">
        <w:rPr>
          <w:lang w:val="fr-FR"/>
        </w:rPr>
        <w:t>'</w:t>
      </w:r>
      <w:r w:rsidR="00000AC9" w:rsidRPr="00321406">
        <w:rPr>
          <w:lang w:val="fr-FR"/>
        </w:rPr>
        <w:t>intention des propriétaires d</w:t>
      </w:r>
      <w:r w:rsidR="00000AC9">
        <w:rPr>
          <w:lang w:val="fr-FR"/>
        </w:rPr>
        <w:t>'</w:t>
      </w:r>
      <w:r w:rsidR="00000AC9" w:rsidRPr="00321406">
        <w:rPr>
          <w:lang w:val="fr-FR"/>
        </w:rPr>
        <w:t xml:space="preserve">entreprises </w:t>
      </w:r>
      <w:r w:rsidR="00000AC9">
        <w:rPr>
          <w:lang w:val="fr-FR"/>
        </w:rPr>
        <w:t>rassemblant</w:t>
      </w:r>
      <w:r w:rsidR="00000AC9" w:rsidRPr="00321406">
        <w:rPr>
          <w:lang w:val="fr-FR"/>
        </w:rPr>
        <w:t xml:space="preserve"> des informations essentielles sur les principaux domaines d</w:t>
      </w:r>
      <w:r w:rsidR="00000AC9">
        <w:rPr>
          <w:lang w:val="fr-FR"/>
        </w:rPr>
        <w:t>'</w:t>
      </w:r>
      <w:r w:rsidR="00000AC9" w:rsidRPr="00321406">
        <w:rPr>
          <w:lang w:val="fr-FR"/>
        </w:rPr>
        <w:t xml:space="preserve">intérêt et </w:t>
      </w:r>
      <w:r w:rsidR="00000AC9">
        <w:rPr>
          <w:lang w:val="fr-FR"/>
        </w:rPr>
        <w:t>recensant</w:t>
      </w:r>
      <w:r w:rsidR="00000AC9" w:rsidRPr="00321406">
        <w:rPr>
          <w:lang w:val="fr-FR"/>
        </w:rPr>
        <w:t xml:space="preserve"> tous les partena</w:t>
      </w:r>
      <w:r w:rsidR="00794005">
        <w:rPr>
          <w:lang w:val="fr-FR"/>
        </w:rPr>
        <w:t>ires fournisseurs de ressources.</w:t>
      </w:r>
    </w:p>
    <w:p w:rsidR="00000AC9" w:rsidRPr="00321406" w:rsidRDefault="007421A4" w:rsidP="00000AC9">
      <w:pPr>
        <w:pStyle w:val="enumlev1"/>
        <w:rPr>
          <w:lang w:val="fr-FR"/>
        </w:rPr>
      </w:pPr>
      <w:r>
        <w:rPr>
          <w:lang w:val="fr-FR"/>
        </w:rPr>
        <w:t>9)</w:t>
      </w:r>
      <w:r w:rsidR="00000AC9" w:rsidRPr="00321406">
        <w:rPr>
          <w:lang w:val="fr-FR"/>
        </w:rPr>
        <w:tab/>
        <w:t>Utilisation d</w:t>
      </w:r>
      <w:r w:rsidR="00000AC9">
        <w:rPr>
          <w:lang w:val="fr-FR"/>
        </w:rPr>
        <w:t>'</w:t>
      </w:r>
      <w:r w:rsidR="00000AC9" w:rsidRPr="00321406">
        <w:rPr>
          <w:lang w:val="fr-FR"/>
        </w:rPr>
        <w:t xml:space="preserve">un outil approprié pour </w:t>
      </w:r>
      <w:r w:rsidR="00000AC9">
        <w:rPr>
          <w:lang w:val="fr-FR"/>
        </w:rPr>
        <w:t>gérer</w:t>
      </w:r>
      <w:r w:rsidR="00000AC9" w:rsidRPr="00321406">
        <w:rPr>
          <w:lang w:val="fr-FR"/>
        </w:rPr>
        <w:t xml:space="preserve"> la mobilisation des ressources, </w:t>
      </w:r>
      <w:r w:rsidR="00000AC9">
        <w:rPr>
          <w:lang w:val="fr-FR"/>
        </w:rPr>
        <w:t>prévoyant notamment</w:t>
      </w:r>
      <w:r w:rsidR="00000AC9" w:rsidRPr="00321406">
        <w:rPr>
          <w:lang w:val="fr-FR"/>
        </w:rPr>
        <w:t xml:space="preserve"> l</w:t>
      </w:r>
      <w:r w:rsidR="00000AC9">
        <w:rPr>
          <w:lang w:val="fr-FR"/>
        </w:rPr>
        <w:t xml:space="preserve">'établissement </w:t>
      </w:r>
      <w:r w:rsidR="00000AC9" w:rsidRPr="00321406">
        <w:rPr>
          <w:lang w:val="fr-FR"/>
        </w:rPr>
        <w:t xml:space="preserve">de comptes rendus clairs et </w:t>
      </w:r>
      <w:r w:rsidR="00000AC9">
        <w:rPr>
          <w:lang w:val="fr-FR"/>
        </w:rPr>
        <w:t xml:space="preserve">des </w:t>
      </w:r>
      <w:r w:rsidR="00000AC9" w:rsidRPr="00321406">
        <w:rPr>
          <w:lang w:val="fr-FR"/>
        </w:rPr>
        <w:t xml:space="preserve">indicateurs fondamentaux de performance (IFP) cibles </w:t>
      </w:r>
      <w:r w:rsidR="00000AC9">
        <w:rPr>
          <w:lang w:val="fr-FR"/>
        </w:rPr>
        <w:t>à l'intention des</w:t>
      </w:r>
      <w:r w:rsidR="00000AC9" w:rsidRPr="00321406">
        <w:rPr>
          <w:lang w:val="fr-FR"/>
        </w:rPr>
        <w:t xml:space="preserve"> propriétaires d</w:t>
      </w:r>
      <w:r w:rsidR="00794005">
        <w:rPr>
          <w:lang w:val="fr-FR"/>
        </w:rPr>
        <w:t>'entreprises.</w:t>
      </w:r>
    </w:p>
    <w:p w:rsidR="00000AC9" w:rsidRPr="00321406" w:rsidRDefault="007421A4" w:rsidP="00000AC9">
      <w:pPr>
        <w:pStyle w:val="enumlev1"/>
        <w:rPr>
          <w:lang w:val="fr-FR"/>
        </w:rPr>
      </w:pPr>
      <w:r>
        <w:rPr>
          <w:lang w:val="fr-FR"/>
        </w:rPr>
        <w:t>10)</w:t>
      </w:r>
      <w:r w:rsidR="00000AC9" w:rsidRPr="00321406">
        <w:rPr>
          <w:lang w:val="fr-FR"/>
        </w:rPr>
        <w:tab/>
      </w:r>
      <w:r w:rsidR="00000AC9">
        <w:rPr>
          <w:lang w:val="fr-FR"/>
        </w:rPr>
        <w:t>Exploitation</w:t>
      </w:r>
      <w:r w:rsidR="00000AC9" w:rsidRPr="00321406">
        <w:rPr>
          <w:lang w:val="fr-FR"/>
        </w:rPr>
        <w:t xml:space="preserve"> des plate</w:t>
      </w:r>
      <w:r w:rsidR="000B24B8">
        <w:rPr>
          <w:lang w:val="fr-FR"/>
        </w:rPr>
        <w:t>s-</w:t>
      </w:r>
      <w:r w:rsidR="00000AC9" w:rsidRPr="00321406">
        <w:rPr>
          <w:lang w:val="fr-FR"/>
        </w:rPr>
        <w:t>formes existantes pour renforcer et favoriser les partenariats.</w:t>
      </w:r>
    </w:p>
    <w:p w:rsidR="00000AC9" w:rsidRPr="00321406" w:rsidRDefault="00000AC9" w:rsidP="00000AC9">
      <w:pPr>
        <w:rPr>
          <w:b/>
          <w:bCs/>
          <w:lang w:val="fr-FR"/>
        </w:rPr>
      </w:pPr>
      <w:r>
        <w:rPr>
          <w:szCs w:val="24"/>
          <w:lang w:val="fr-FR"/>
        </w:rPr>
        <w:t>D</w:t>
      </w:r>
      <w:r w:rsidRPr="002C5121">
        <w:rPr>
          <w:szCs w:val="24"/>
          <w:lang w:val="fr-FR"/>
        </w:rPr>
        <w:t xml:space="preserve">ifférentes initiatives ont été </w:t>
      </w:r>
      <w:r w:rsidRPr="008F028A">
        <w:rPr>
          <w:szCs w:val="24"/>
          <w:lang w:val="fr-FR"/>
        </w:rPr>
        <w:t>menées</w:t>
      </w:r>
      <w:r w:rsidRPr="002C5121">
        <w:rPr>
          <w:szCs w:val="24"/>
          <w:lang w:val="fr-FR"/>
        </w:rPr>
        <w:t xml:space="preserve"> </w:t>
      </w:r>
      <w:r>
        <w:rPr>
          <w:szCs w:val="24"/>
          <w:lang w:val="fr-FR"/>
        </w:rPr>
        <w:t>d</w:t>
      </w:r>
      <w:r w:rsidRPr="002C5121">
        <w:rPr>
          <w:szCs w:val="24"/>
          <w:lang w:val="fr-FR"/>
        </w:rPr>
        <w:t>ans le cadre de la mise en œuvre de cette feuille de route</w:t>
      </w:r>
      <w:r>
        <w:rPr>
          <w:szCs w:val="24"/>
          <w:lang w:val="fr-FR"/>
        </w:rPr>
        <w:t>. Une</w:t>
      </w:r>
      <w:r w:rsidRPr="002C5121">
        <w:rPr>
          <w:szCs w:val="24"/>
          <w:lang w:val="fr-FR"/>
        </w:rPr>
        <w:t xml:space="preserve"> formation consacrée à la mobilisation des ressources a</w:t>
      </w:r>
      <w:r>
        <w:rPr>
          <w:szCs w:val="24"/>
          <w:lang w:val="fr-FR"/>
        </w:rPr>
        <w:t xml:space="preserve"> ainsi</w:t>
      </w:r>
      <w:r w:rsidRPr="002C5121">
        <w:rPr>
          <w:szCs w:val="24"/>
          <w:lang w:val="fr-FR"/>
        </w:rPr>
        <w:t xml:space="preserve"> été dispensée au personnel hors siège des grades P2 et P3</w:t>
      </w:r>
      <w:r>
        <w:rPr>
          <w:szCs w:val="24"/>
          <w:lang w:val="fr-FR"/>
        </w:rPr>
        <w:t>,</w:t>
      </w:r>
      <w:r w:rsidRPr="002C5121">
        <w:rPr>
          <w:szCs w:val="24"/>
          <w:lang w:val="fr-FR"/>
        </w:rPr>
        <w:t xml:space="preserve"> en juillet 2018, des présentations itinérantes/missions stratégiques ont été organisées dans la région Amériques (</w:t>
      </w:r>
      <w:r w:rsidR="007421A4" w:rsidRPr="002C5121">
        <w:rPr>
          <w:szCs w:val="24"/>
          <w:lang w:val="fr-FR"/>
        </w:rPr>
        <w:t>États-Unis</w:t>
      </w:r>
      <w:r w:rsidRPr="002C5121">
        <w:rPr>
          <w:szCs w:val="24"/>
          <w:lang w:val="fr-FR"/>
        </w:rPr>
        <w:t xml:space="preserve"> d</w:t>
      </w:r>
      <w:r>
        <w:rPr>
          <w:szCs w:val="24"/>
          <w:lang w:val="fr-FR"/>
        </w:rPr>
        <w:t>'</w:t>
      </w:r>
      <w:r w:rsidRPr="002C5121">
        <w:rPr>
          <w:szCs w:val="24"/>
          <w:lang w:val="fr-FR"/>
        </w:rPr>
        <w:t>Amérique) et la région Asie-Pacifique (Philippines), et de nombreuses activités de sensibilisation ont été menées auprès de partenaires actuels ou potentiels, d</w:t>
      </w:r>
      <w:r>
        <w:rPr>
          <w:szCs w:val="24"/>
          <w:lang w:val="fr-FR"/>
        </w:rPr>
        <w:t>'</w:t>
      </w:r>
      <w:r w:rsidRPr="002C5121">
        <w:rPr>
          <w:szCs w:val="24"/>
          <w:lang w:val="fr-FR"/>
        </w:rPr>
        <w:t>organismes bilatéraux ou multilatéraux et d</w:t>
      </w:r>
      <w:r>
        <w:rPr>
          <w:szCs w:val="24"/>
          <w:lang w:val="fr-FR"/>
        </w:rPr>
        <w:t>'</w:t>
      </w:r>
      <w:r w:rsidRPr="002C5121">
        <w:rPr>
          <w:szCs w:val="24"/>
          <w:lang w:val="fr-FR"/>
        </w:rPr>
        <w:t>institutions de financement (l</w:t>
      </w:r>
      <w:r>
        <w:rPr>
          <w:szCs w:val="24"/>
          <w:lang w:val="fr-FR"/>
        </w:rPr>
        <w:t>'</w:t>
      </w:r>
      <w:r w:rsidRPr="002C5121">
        <w:rPr>
          <w:szCs w:val="24"/>
          <w:lang w:val="fr-FR"/>
        </w:rPr>
        <w:t>OFID, l</w:t>
      </w:r>
      <w:r>
        <w:rPr>
          <w:szCs w:val="24"/>
          <w:lang w:val="fr-FR"/>
        </w:rPr>
        <w:t>'</w:t>
      </w:r>
      <w:r w:rsidRPr="002C5121">
        <w:rPr>
          <w:szCs w:val="24"/>
          <w:lang w:val="fr-FR"/>
        </w:rPr>
        <w:t>AFD, l</w:t>
      </w:r>
      <w:r>
        <w:rPr>
          <w:szCs w:val="24"/>
          <w:lang w:val="fr-FR"/>
        </w:rPr>
        <w:t>'</w:t>
      </w:r>
      <w:r w:rsidRPr="002C5121">
        <w:rPr>
          <w:szCs w:val="24"/>
          <w:lang w:val="fr-FR"/>
        </w:rPr>
        <w:t>ADA, la Commission européenne, la Banque mondiale, la SFI, la Banque asiatique de développement, la Banque islamique de développement, etc.), d</w:t>
      </w:r>
      <w:r>
        <w:rPr>
          <w:szCs w:val="24"/>
          <w:lang w:val="fr-FR"/>
        </w:rPr>
        <w:t>'</w:t>
      </w:r>
      <w:r w:rsidRPr="002C5121">
        <w:rPr>
          <w:szCs w:val="24"/>
          <w:lang w:val="fr-FR"/>
        </w:rPr>
        <w:t>institutions des Nations Unies (par exemple l</w:t>
      </w:r>
      <w:r>
        <w:rPr>
          <w:szCs w:val="24"/>
          <w:lang w:val="fr-FR"/>
        </w:rPr>
        <w:t>'</w:t>
      </w:r>
      <w:r w:rsidRPr="002C5121">
        <w:rPr>
          <w:szCs w:val="24"/>
          <w:lang w:val="fr-FR"/>
        </w:rPr>
        <w:t>UNIDO, l</w:t>
      </w:r>
      <w:r>
        <w:rPr>
          <w:szCs w:val="24"/>
          <w:lang w:val="fr-FR"/>
        </w:rPr>
        <w:t>'</w:t>
      </w:r>
      <w:r w:rsidRPr="002C5121">
        <w:rPr>
          <w:szCs w:val="24"/>
          <w:lang w:val="fr-FR"/>
        </w:rPr>
        <w:t>OMS, le PNUD, le BNUP, le FNUAP, le CERF</w:t>
      </w:r>
      <w:r>
        <w:rPr>
          <w:szCs w:val="24"/>
          <w:lang w:val="fr-FR"/>
        </w:rPr>
        <w:t xml:space="preserve"> et le </w:t>
      </w:r>
      <w:r w:rsidRPr="002C5121">
        <w:rPr>
          <w:szCs w:val="24"/>
          <w:lang w:val="fr-FR"/>
        </w:rPr>
        <w:t>DAES</w:t>
      </w:r>
      <w:r>
        <w:rPr>
          <w:szCs w:val="24"/>
          <w:lang w:val="fr-FR"/>
        </w:rPr>
        <w:t xml:space="preserve">) </w:t>
      </w:r>
      <w:r w:rsidRPr="002C5121">
        <w:rPr>
          <w:szCs w:val="24"/>
          <w:lang w:val="fr-FR"/>
        </w:rPr>
        <w:t>et de fondations (Fondation Clinton, Fondation pour les Nations Unies, Citi Foundation, Telefonica Foundation, ProFuturo Foundation, etc.).</w:t>
      </w:r>
      <w:r>
        <w:rPr>
          <w:szCs w:val="24"/>
          <w:lang w:val="fr-FR"/>
        </w:rPr>
        <w:t xml:space="preserve"> </w:t>
      </w:r>
      <w:r w:rsidRPr="002C5121">
        <w:rPr>
          <w:szCs w:val="24"/>
          <w:lang w:val="fr-FR"/>
        </w:rPr>
        <w:t>Ces activités visaient à faire mieux connaître les travaux de l</w:t>
      </w:r>
      <w:r>
        <w:rPr>
          <w:szCs w:val="24"/>
          <w:lang w:val="fr-FR"/>
        </w:rPr>
        <w:t>'</w:t>
      </w:r>
      <w:r w:rsidRPr="002C5121">
        <w:rPr>
          <w:szCs w:val="24"/>
          <w:lang w:val="fr-FR"/>
        </w:rPr>
        <w:t>UIT et plus particulièrement</w:t>
      </w:r>
      <w:r w:rsidRPr="00321406">
        <w:rPr>
          <w:lang w:val="fr-FR"/>
        </w:rPr>
        <w:t xml:space="preserve"> du BDT, </w:t>
      </w:r>
      <w:r>
        <w:rPr>
          <w:lang w:val="fr-FR"/>
        </w:rPr>
        <w:t xml:space="preserve">à </w:t>
      </w:r>
      <w:r w:rsidRPr="00321406">
        <w:rPr>
          <w:lang w:val="fr-FR"/>
        </w:rPr>
        <w:t xml:space="preserve">accroître les possibilités de partenariats et </w:t>
      </w:r>
      <w:r>
        <w:rPr>
          <w:lang w:val="fr-FR"/>
        </w:rPr>
        <w:t xml:space="preserve">à </w:t>
      </w:r>
      <w:r w:rsidRPr="00321406">
        <w:rPr>
          <w:lang w:val="fr-FR"/>
        </w:rPr>
        <w:t xml:space="preserve">mobiliser des ressources. </w:t>
      </w:r>
      <w:r>
        <w:rPr>
          <w:lang w:val="fr-FR"/>
        </w:rPr>
        <w:t>La</w:t>
      </w:r>
      <w:r w:rsidRPr="00321406">
        <w:rPr>
          <w:lang w:val="fr-FR"/>
        </w:rPr>
        <w:t xml:space="preserve"> stratégie de mobilisation des ressources pour le BDT doit être encore affinée </w:t>
      </w:r>
      <w:r>
        <w:rPr>
          <w:lang w:val="fr-FR"/>
        </w:rPr>
        <w:t>en se fondant sur le</w:t>
      </w:r>
      <w:r w:rsidRPr="00321406">
        <w:rPr>
          <w:lang w:val="fr-FR"/>
        </w:rPr>
        <w:t xml:space="preserve">s résultats des retraites </w:t>
      </w:r>
      <w:r>
        <w:rPr>
          <w:lang w:val="fr-FR"/>
        </w:rPr>
        <w:t xml:space="preserve">passées </w:t>
      </w:r>
      <w:r w:rsidRPr="00321406">
        <w:rPr>
          <w:lang w:val="fr-FR"/>
        </w:rPr>
        <w:t>de la direction du BDT</w:t>
      </w:r>
      <w:r>
        <w:rPr>
          <w:lang w:val="fr-FR"/>
        </w:rPr>
        <w:t xml:space="preserve"> et sur ceux de la retraite qui doit se tenir prochainement.</w:t>
      </w:r>
    </w:p>
    <w:p w:rsidR="00000AC9" w:rsidRPr="00321406" w:rsidRDefault="00000AC9" w:rsidP="00000AC9">
      <w:pPr>
        <w:rPr>
          <w:lang w:val="fr-FR"/>
        </w:rPr>
      </w:pPr>
      <w:r>
        <w:rPr>
          <w:lang w:val="fr-FR"/>
        </w:rPr>
        <w:t>En outre, l</w:t>
      </w:r>
      <w:r w:rsidRPr="00321406">
        <w:rPr>
          <w:lang w:val="fr-FR"/>
        </w:rPr>
        <w:t xml:space="preserve">a </w:t>
      </w:r>
      <w:r w:rsidRPr="00321406">
        <w:rPr>
          <w:bCs/>
          <w:iCs/>
          <w:lang w:val="fr-FR"/>
        </w:rPr>
        <w:t>base de données des accords de partenariat</w:t>
      </w:r>
      <w:r>
        <w:rPr>
          <w:bCs/>
          <w:iCs/>
          <w:lang w:val="fr-FR"/>
        </w:rPr>
        <w:t>,</w:t>
      </w:r>
      <w:r w:rsidRPr="00321406">
        <w:rPr>
          <w:bCs/>
          <w:iCs/>
          <w:lang w:val="fr-FR"/>
        </w:rPr>
        <w:t xml:space="preserve"> </w:t>
      </w:r>
      <w:r>
        <w:rPr>
          <w:lang w:val="fr-FR"/>
        </w:rPr>
        <w:t>qui sert</w:t>
      </w:r>
      <w:r w:rsidRPr="00321406">
        <w:rPr>
          <w:lang w:val="fr-FR"/>
        </w:rPr>
        <w:t xml:space="preserve"> de système d</w:t>
      </w:r>
      <w:r>
        <w:rPr>
          <w:lang w:val="fr-FR"/>
        </w:rPr>
        <w:t>'</w:t>
      </w:r>
      <w:r w:rsidRPr="00321406">
        <w:rPr>
          <w:lang w:val="fr-FR"/>
        </w:rPr>
        <w:t>archivage pour tous les accords signés entre le BDT et différentes parties prenantes</w:t>
      </w:r>
      <w:r>
        <w:rPr>
          <w:lang w:val="fr-FR"/>
        </w:rPr>
        <w:t>, est régulièrement mise à jour</w:t>
      </w:r>
      <w:r w:rsidRPr="00321406">
        <w:rPr>
          <w:lang w:val="fr-FR"/>
        </w:rPr>
        <w:t>. Un outil de recherche permet au personnel du BDT d</w:t>
      </w:r>
      <w:r>
        <w:rPr>
          <w:lang w:val="fr-FR"/>
        </w:rPr>
        <w:t>'</w:t>
      </w:r>
      <w:r w:rsidRPr="00321406">
        <w:rPr>
          <w:lang w:val="fr-FR"/>
        </w:rPr>
        <w:t xml:space="preserve">identifier </w:t>
      </w:r>
      <w:r>
        <w:rPr>
          <w:lang w:val="fr-FR"/>
        </w:rPr>
        <w:t>l</w:t>
      </w:r>
      <w:r w:rsidRPr="00321406">
        <w:rPr>
          <w:lang w:val="fr-FR"/>
        </w:rPr>
        <w:t>es partenaires potentiels pour les activités, projets et initiatives en préparation.</w:t>
      </w:r>
    </w:p>
    <w:p w:rsidR="00000AC9" w:rsidRPr="00321406" w:rsidRDefault="00000AC9" w:rsidP="00000AC9">
      <w:pPr>
        <w:pStyle w:val="Heading1"/>
        <w:rPr>
          <w:lang w:val="fr-FR"/>
        </w:rPr>
      </w:pPr>
      <w:r w:rsidRPr="00321406">
        <w:rPr>
          <w:lang w:val="fr-FR"/>
        </w:rPr>
        <w:lastRenderedPageBreak/>
        <w:t>5</w:t>
      </w:r>
      <w:r w:rsidRPr="00321406">
        <w:rPr>
          <w:lang w:val="fr-FR"/>
        </w:rPr>
        <w:tab/>
        <w:t>Perspectives d</w:t>
      </w:r>
      <w:r>
        <w:rPr>
          <w:lang w:val="fr-FR"/>
        </w:rPr>
        <w:t>'</w:t>
      </w:r>
      <w:r w:rsidRPr="00321406">
        <w:rPr>
          <w:lang w:val="fr-FR"/>
        </w:rPr>
        <w:t>avenir</w:t>
      </w:r>
    </w:p>
    <w:p w:rsidR="00000AC9" w:rsidRPr="00321406" w:rsidRDefault="00FA4B6F" w:rsidP="00FA4B6F">
      <w:pPr>
        <w:rPr>
          <w:lang w:val="fr-FR"/>
        </w:rPr>
      </w:pPr>
      <w:r>
        <w:rPr>
          <w:lang w:val="fr-FR"/>
        </w:rPr>
        <w:t>La</w:t>
      </w:r>
      <w:r w:rsidR="00000AC9" w:rsidRPr="00321406">
        <w:rPr>
          <w:lang w:val="fr-FR"/>
        </w:rPr>
        <w:t xml:space="preserve"> Directr</w:t>
      </w:r>
      <w:r>
        <w:rPr>
          <w:lang w:val="fr-FR"/>
        </w:rPr>
        <w:t>ice</w:t>
      </w:r>
      <w:r w:rsidR="00000AC9" w:rsidRPr="00321406">
        <w:rPr>
          <w:lang w:val="fr-FR"/>
        </w:rPr>
        <w:t xml:space="preserve"> du BDT examine actuellement l</w:t>
      </w:r>
      <w:r w:rsidR="00000AC9">
        <w:rPr>
          <w:lang w:val="fr-FR"/>
        </w:rPr>
        <w:t>'approche du</w:t>
      </w:r>
      <w:r w:rsidR="00000AC9" w:rsidRPr="00321406">
        <w:rPr>
          <w:lang w:val="fr-FR"/>
        </w:rPr>
        <w:t xml:space="preserve"> BDT </w:t>
      </w:r>
      <w:r w:rsidR="00000AC9">
        <w:rPr>
          <w:lang w:val="fr-FR"/>
        </w:rPr>
        <w:t>en ce qui concerne la mobilisation</w:t>
      </w:r>
      <w:r w:rsidR="00000AC9" w:rsidRPr="00321406">
        <w:rPr>
          <w:lang w:val="fr-FR"/>
        </w:rPr>
        <w:t xml:space="preserve"> des ressources, </w:t>
      </w:r>
      <w:r w:rsidR="00000AC9">
        <w:rPr>
          <w:lang w:val="fr-FR"/>
        </w:rPr>
        <w:t>les</w:t>
      </w:r>
      <w:r w:rsidR="00000AC9" w:rsidRPr="00321406">
        <w:rPr>
          <w:lang w:val="fr-FR"/>
        </w:rPr>
        <w:t xml:space="preserve"> parrainages, </w:t>
      </w:r>
      <w:r w:rsidR="00000AC9">
        <w:rPr>
          <w:lang w:val="fr-FR"/>
        </w:rPr>
        <w:t>les</w:t>
      </w:r>
      <w:r w:rsidR="00000AC9" w:rsidRPr="00321406">
        <w:rPr>
          <w:lang w:val="fr-FR"/>
        </w:rPr>
        <w:t xml:space="preserve"> partenariats et l</w:t>
      </w:r>
      <w:r w:rsidR="00000AC9">
        <w:rPr>
          <w:lang w:val="fr-FR"/>
        </w:rPr>
        <w:t>'</w:t>
      </w:r>
      <w:r w:rsidR="00000AC9" w:rsidRPr="00321406">
        <w:rPr>
          <w:lang w:val="fr-FR"/>
        </w:rPr>
        <w:t>exécution des projets</w:t>
      </w:r>
      <w:r w:rsidR="00000AC9" w:rsidRPr="00076CFA">
        <w:rPr>
          <w:lang w:val="fr-FR"/>
        </w:rPr>
        <w:t xml:space="preserve">. Ce point sera traité </w:t>
      </w:r>
      <w:r w:rsidR="00000AC9">
        <w:rPr>
          <w:lang w:val="fr-FR"/>
        </w:rPr>
        <w:t>pendant</w:t>
      </w:r>
      <w:r w:rsidR="00000AC9" w:rsidRPr="00321406">
        <w:rPr>
          <w:lang w:val="fr-FR"/>
        </w:rPr>
        <w:t xml:space="preserve"> la retraite qui se tiendra juste avant la réunion du GCDT.</w:t>
      </w:r>
    </w:p>
    <w:p w:rsidR="00000AC9" w:rsidRPr="00321406" w:rsidRDefault="00000AC9" w:rsidP="00000AC9">
      <w:pPr>
        <w:rPr>
          <w:lang w:val="fr-FR"/>
        </w:rPr>
      </w:pPr>
      <w:r>
        <w:rPr>
          <w:lang w:val="fr-FR"/>
        </w:rPr>
        <w:t xml:space="preserve">Compte tenu de ce qui précède, </w:t>
      </w:r>
      <w:bookmarkStart w:id="9" w:name="_Hlk3451456"/>
      <w:r>
        <w:rPr>
          <w:lang w:val="fr-FR"/>
        </w:rPr>
        <w:t>l</w:t>
      </w:r>
      <w:r w:rsidRPr="00321406">
        <w:rPr>
          <w:lang w:val="fr-FR"/>
        </w:rPr>
        <w:t>e BDT continuera d</w:t>
      </w:r>
      <w:r>
        <w:rPr>
          <w:lang w:val="fr-FR"/>
        </w:rPr>
        <w:t>'</w:t>
      </w:r>
      <w:r w:rsidRPr="00321406">
        <w:rPr>
          <w:lang w:val="fr-FR"/>
        </w:rPr>
        <w:t>améliorer ses outils</w:t>
      </w:r>
      <w:r>
        <w:rPr>
          <w:lang w:val="fr-FR"/>
        </w:rPr>
        <w:t xml:space="preserve"> et ses services</w:t>
      </w:r>
      <w:r w:rsidRPr="00321406">
        <w:rPr>
          <w:lang w:val="fr-FR"/>
        </w:rPr>
        <w:t xml:space="preserve"> dans le domaine de la mobilisation des ressources</w:t>
      </w:r>
      <w:r>
        <w:rPr>
          <w:lang w:val="fr-FR"/>
        </w:rPr>
        <w:t>,</w:t>
      </w:r>
      <w:r w:rsidRPr="00321406">
        <w:rPr>
          <w:lang w:val="fr-FR"/>
        </w:rPr>
        <w:t xml:space="preserve"> et à renforcer les liens de coopération qu</w:t>
      </w:r>
      <w:r>
        <w:rPr>
          <w:lang w:val="fr-FR"/>
        </w:rPr>
        <w:t>'</w:t>
      </w:r>
      <w:r w:rsidRPr="00321406">
        <w:rPr>
          <w:lang w:val="fr-FR"/>
        </w:rPr>
        <w:t>elle entretient avec ses partenaires, traditionnels ou non, relevant du secteur des télécommunications/TIC ou d</w:t>
      </w:r>
      <w:r>
        <w:rPr>
          <w:lang w:val="fr-FR"/>
        </w:rPr>
        <w:t>'</w:t>
      </w:r>
      <w:r w:rsidRPr="00321406">
        <w:rPr>
          <w:lang w:val="fr-FR"/>
        </w:rPr>
        <w:t>autres secteurs dans l</w:t>
      </w:r>
      <w:r>
        <w:rPr>
          <w:lang w:val="fr-FR"/>
        </w:rPr>
        <w:t>'</w:t>
      </w:r>
      <w:r w:rsidRPr="00321406">
        <w:rPr>
          <w:lang w:val="fr-FR"/>
        </w:rPr>
        <w:t xml:space="preserve">écosystème postconvergence pour la mise en </w:t>
      </w:r>
      <w:r w:rsidR="007421A4" w:rsidRPr="00321406">
        <w:rPr>
          <w:lang w:val="fr-FR"/>
        </w:rPr>
        <w:t>œuvre</w:t>
      </w:r>
      <w:r w:rsidRPr="00321406">
        <w:rPr>
          <w:lang w:val="fr-FR"/>
        </w:rPr>
        <w:t xml:space="preserve"> de projets et d</w:t>
      </w:r>
      <w:r>
        <w:rPr>
          <w:lang w:val="fr-FR"/>
        </w:rPr>
        <w:t>'</w:t>
      </w:r>
      <w:r w:rsidRPr="00321406">
        <w:rPr>
          <w:lang w:val="fr-FR"/>
        </w:rPr>
        <w:t>initiatives à l</w:t>
      </w:r>
      <w:r>
        <w:rPr>
          <w:lang w:val="fr-FR"/>
        </w:rPr>
        <w:t>'</w:t>
      </w:r>
      <w:r w:rsidRPr="00321406">
        <w:rPr>
          <w:lang w:val="fr-FR"/>
        </w:rPr>
        <w:t>échelle mondiale, régionale ou nationale, y compris les initiatives régionales.</w:t>
      </w:r>
    </w:p>
    <w:p w:rsidR="00984929" w:rsidRDefault="00000AC9" w:rsidP="00000AC9">
      <w:pPr>
        <w:rPr>
          <w:lang w:val="fr-FR"/>
        </w:rPr>
      </w:pPr>
      <w:r w:rsidRPr="00321406">
        <w:rPr>
          <w:lang w:val="fr-FR"/>
        </w:rPr>
        <w:t xml:space="preserve">Tous les </w:t>
      </w:r>
      <w:r>
        <w:rPr>
          <w:lang w:val="fr-FR"/>
        </w:rPr>
        <w:t>m</w:t>
      </w:r>
      <w:r w:rsidRPr="00321406">
        <w:rPr>
          <w:lang w:val="fr-FR"/>
        </w:rPr>
        <w:t>embres de l</w:t>
      </w:r>
      <w:r>
        <w:rPr>
          <w:lang w:val="fr-FR"/>
        </w:rPr>
        <w:t>'</w:t>
      </w:r>
      <w:r w:rsidRPr="00321406">
        <w:rPr>
          <w:lang w:val="fr-FR"/>
        </w:rPr>
        <w:t xml:space="preserve">UIT sont invités à </w:t>
      </w:r>
      <w:r w:rsidR="007421A4">
        <w:rPr>
          <w:lang w:val="fr-FR"/>
        </w:rPr>
        <w:t>œuvrer</w:t>
      </w:r>
      <w:r w:rsidRPr="00321406">
        <w:rPr>
          <w:lang w:val="fr-FR"/>
        </w:rPr>
        <w:t xml:space="preserve"> en partenariat avec le BDT pour mettre en </w:t>
      </w:r>
      <w:r w:rsidR="007421A4" w:rsidRPr="00321406">
        <w:rPr>
          <w:lang w:val="fr-FR"/>
        </w:rPr>
        <w:t>œuvre</w:t>
      </w:r>
      <w:r w:rsidRPr="00321406">
        <w:rPr>
          <w:lang w:val="fr-FR"/>
        </w:rPr>
        <w:t xml:space="preserve"> les résultats de la CMDT</w:t>
      </w:r>
      <w:r w:rsidRPr="00321406">
        <w:rPr>
          <w:lang w:val="fr-FR"/>
        </w:rPr>
        <w:noBreakHyphen/>
        <w:t>17</w:t>
      </w:r>
      <w:r>
        <w:rPr>
          <w:lang w:val="fr-FR"/>
        </w:rPr>
        <w:t>,</w:t>
      </w:r>
      <w:r w:rsidRPr="00321406">
        <w:rPr>
          <w:lang w:val="fr-FR"/>
        </w:rPr>
        <w:t xml:space="preserve"> les objectifs du SMSI, les objectifs de la PP-18 –</w:t>
      </w:r>
      <w:r w:rsidR="00FA4B6F">
        <w:rPr>
          <w:lang w:val="fr-FR"/>
        </w:rPr>
        <w:t xml:space="preserve"> </w:t>
      </w:r>
      <w:r w:rsidRPr="00321406">
        <w:rPr>
          <w:lang w:val="fr-FR"/>
        </w:rPr>
        <w:t>particulièrement le nouveau But 5 – ainsi que pour contribuer à la réalisation des Objectifs de développement durable (ODD), en tenant compte, en particulier, de l</w:t>
      </w:r>
      <w:r>
        <w:rPr>
          <w:lang w:val="fr-FR"/>
        </w:rPr>
        <w:t>'</w:t>
      </w:r>
      <w:r w:rsidRPr="00321406">
        <w:rPr>
          <w:lang w:val="fr-FR"/>
        </w:rPr>
        <w:t>Objectif 17.</w:t>
      </w:r>
      <w:bookmarkStart w:id="10" w:name="_GoBack"/>
      <w:bookmarkEnd w:id="9"/>
      <w:bookmarkEnd w:id="10"/>
    </w:p>
    <w:p w:rsidR="00D040F7" w:rsidRPr="00156BF6" w:rsidRDefault="00D040F7" w:rsidP="00000AC9"/>
    <w:p w:rsidR="00836BDB" w:rsidRDefault="003C58BF" w:rsidP="00000AC9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 w:rsidRPr="00156BF6">
        <w:t>_____________</w:t>
      </w:r>
      <w:r w:rsidR="004122C5" w:rsidRPr="00156BF6">
        <w:t>_</w:t>
      </w:r>
      <w:r w:rsidR="00922EC1" w:rsidRPr="00156BF6">
        <w:t>_</w:t>
      </w:r>
    </w:p>
    <w:sectPr w:rsidR="00836BDB" w:rsidSect="00473791">
      <w:headerReference w:type="default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8CB" w:rsidRDefault="008528CB">
      <w:r>
        <w:separator/>
      </w:r>
    </w:p>
  </w:endnote>
  <w:endnote w:type="continuationSeparator" w:id="0">
    <w:p w:rsidR="008528CB" w:rsidRDefault="0085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000AC9" w:rsidRDefault="00721657" w:rsidP="00000AC9">
    <w:pPr>
      <w:pStyle w:val="Footer"/>
      <w:rPr>
        <w:caps w:val="0"/>
        <w:szCs w:val="16"/>
        <w:lang w:val="es-ES"/>
      </w:rPr>
    </w:pPr>
    <w:r w:rsidRPr="00000AC9">
      <w:rPr>
        <w:caps w:val="0"/>
        <w:szCs w:val="16"/>
      </w:rPr>
      <w:fldChar w:fldCharType="begin"/>
    </w:r>
    <w:r w:rsidRPr="00000AC9">
      <w:rPr>
        <w:caps w:val="0"/>
        <w:szCs w:val="16"/>
        <w:lang w:val="es-ES"/>
      </w:rPr>
      <w:instrText xml:space="preserve"> FILENAME \p \* MERGEFORMAT </w:instrText>
    </w:r>
    <w:r w:rsidRPr="00000AC9">
      <w:rPr>
        <w:caps w:val="0"/>
        <w:szCs w:val="16"/>
      </w:rPr>
      <w:fldChar w:fldCharType="separate"/>
    </w:r>
    <w:r w:rsidR="000C057D">
      <w:rPr>
        <w:caps w:val="0"/>
        <w:szCs w:val="16"/>
        <w:lang w:val="es-ES"/>
      </w:rPr>
      <w:t>P:\FRA\ITU-D\CONF-D\TDAG19\000\021F.docx</w:t>
    </w:r>
    <w:r w:rsidRPr="00000AC9">
      <w:rPr>
        <w:caps w:val="0"/>
        <w:szCs w:val="16"/>
        <w:lang w:val="en-US"/>
      </w:rPr>
      <w:fldChar w:fldCharType="end"/>
    </w:r>
    <w:r w:rsidR="00000AC9" w:rsidRPr="00000AC9">
      <w:rPr>
        <w:caps w:val="0"/>
        <w:szCs w:val="16"/>
        <w:lang w:val="es-ES"/>
      </w:rPr>
      <w:t xml:space="preserve"> (449227)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000AC9" w:rsidRPr="004D495C" w:rsidTr="00000AC9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000AC9" w:rsidRPr="004D495C" w:rsidRDefault="00000AC9" w:rsidP="00000AC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000AC9" w:rsidRPr="004D495C" w:rsidRDefault="00000AC9" w:rsidP="00000AC9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Nom</w:t>
          </w:r>
          <w:r w:rsidRPr="004D495C">
            <w:rPr>
              <w:sz w:val="18"/>
              <w:szCs w:val="18"/>
              <w:lang w:val="en-US"/>
            </w:rPr>
            <w:t>/Organi</w:t>
          </w:r>
          <w:r>
            <w:rPr>
              <w:sz w:val="18"/>
              <w:szCs w:val="18"/>
              <w:lang w:val="en-US"/>
            </w:rPr>
            <w:t>s</w:t>
          </w:r>
          <w:r w:rsidRPr="004D495C">
            <w:rPr>
              <w:sz w:val="18"/>
              <w:szCs w:val="18"/>
              <w:lang w:val="en-US"/>
            </w:rPr>
            <w:t>ation/Entit</w:t>
          </w:r>
          <w:r>
            <w:rPr>
              <w:sz w:val="18"/>
              <w:szCs w:val="18"/>
              <w:lang w:val="en-US"/>
            </w:rPr>
            <w:t>é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:rsidR="00000AC9" w:rsidRPr="00E91EBD" w:rsidRDefault="00000AC9" w:rsidP="00000AC9">
          <w:pPr>
            <w:pStyle w:val="FirstFoo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Mme </w:t>
          </w:r>
          <w:r w:rsidRPr="00D14354">
            <w:rPr>
              <w:sz w:val="18"/>
              <w:szCs w:val="18"/>
              <w:lang w:val="fr-CH"/>
            </w:rPr>
            <w:t>Eun-Ju Kim, Chef du Département de l</w:t>
          </w:r>
          <w:r>
            <w:rPr>
              <w:sz w:val="18"/>
              <w:szCs w:val="18"/>
              <w:lang w:val="fr-CH"/>
            </w:rPr>
            <w:t>'</w:t>
          </w:r>
          <w:r w:rsidRPr="00D14354">
            <w:rPr>
              <w:sz w:val="18"/>
              <w:szCs w:val="18"/>
              <w:lang w:val="fr-CH"/>
            </w:rPr>
            <w:t>innovation et des partenariats Bureau</w:t>
          </w:r>
          <w:r>
            <w:rPr>
              <w:sz w:val="18"/>
              <w:szCs w:val="18"/>
              <w:lang w:val="fr-CH"/>
            </w:rPr>
            <w:t xml:space="preserve"> de développement des télécommunications</w:t>
          </w:r>
        </w:p>
      </w:tc>
      <w:bookmarkStart w:id="11" w:name="OrgName"/>
      <w:bookmarkEnd w:id="11"/>
    </w:tr>
    <w:tr w:rsidR="00000AC9" w:rsidRPr="004D495C" w:rsidTr="00000AC9">
      <w:tc>
        <w:tcPr>
          <w:tcW w:w="1526" w:type="dxa"/>
          <w:shd w:val="clear" w:color="auto" w:fill="auto"/>
        </w:tcPr>
        <w:p w:rsidR="00000AC9" w:rsidRPr="00000AC9" w:rsidRDefault="00000AC9" w:rsidP="00000AC9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410" w:type="dxa"/>
          <w:shd w:val="clear" w:color="auto" w:fill="auto"/>
        </w:tcPr>
        <w:p w:rsidR="00000AC9" w:rsidRPr="004D495C" w:rsidRDefault="00000AC9" w:rsidP="00000AC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Numéro de téléphone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</w:tcPr>
        <w:p w:rsidR="00000AC9" w:rsidRPr="00E5653A" w:rsidRDefault="00000AC9" w:rsidP="00000AC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+41 22 730 5900</w:t>
          </w:r>
        </w:p>
      </w:tc>
      <w:bookmarkStart w:id="12" w:name="PhoneNo"/>
      <w:bookmarkEnd w:id="12"/>
    </w:tr>
    <w:tr w:rsidR="00000AC9" w:rsidRPr="00FA4B6F" w:rsidTr="00000AC9">
      <w:tc>
        <w:tcPr>
          <w:tcW w:w="1526" w:type="dxa"/>
          <w:shd w:val="clear" w:color="auto" w:fill="auto"/>
        </w:tcPr>
        <w:p w:rsidR="00000AC9" w:rsidRPr="004D495C" w:rsidRDefault="00000AC9" w:rsidP="00000AC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000AC9" w:rsidRPr="004D495C" w:rsidRDefault="00000AC9" w:rsidP="00000AC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Courriel:</w:t>
          </w:r>
        </w:p>
      </w:tc>
      <w:tc>
        <w:tcPr>
          <w:tcW w:w="5987" w:type="dxa"/>
        </w:tcPr>
        <w:p w:rsidR="00000AC9" w:rsidRPr="00E5653A" w:rsidRDefault="00BB4094" w:rsidP="00000AC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000AC9" w:rsidRPr="00996114">
              <w:rPr>
                <w:rStyle w:val="Hyperlink"/>
                <w:sz w:val="18"/>
                <w:szCs w:val="18"/>
                <w:lang w:val="en-US"/>
              </w:rPr>
              <w:t>eun-ju.kim@itu.int</w:t>
            </w:r>
          </w:hyperlink>
        </w:p>
      </w:tc>
      <w:bookmarkStart w:id="13" w:name="Email"/>
      <w:bookmarkEnd w:id="13"/>
    </w:tr>
  </w:tbl>
  <w:p w:rsidR="00A454E1" w:rsidRPr="00000AC9" w:rsidRDefault="00A454E1" w:rsidP="00B80157">
    <w:pPr>
      <w:pStyle w:val="Footer"/>
      <w:jc w:val="center"/>
      <w:rPr>
        <w:lang w:val="en-US"/>
      </w:rPr>
    </w:pPr>
  </w:p>
  <w:p w:rsidR="00721657" w:rsidRPr="008802F9" w:rsidRDefault="00BB4094" w:rsidP="00B80157">
    <w:pPr>
      <w:pStyle w:val="Footer"/>
      <w:jc w:val="center"/>
    </w:pPr>
    <w:hyperlink r:id="rId2" w:history="1">
      <w:r w:rsidR="00851060">
        <w:rPr>
          <w:rStyle w:val="Hyperlink"/>
          <w:caps w:val="0"/>
          <w:noProof w:val="0"/>
          <w:sz w:val="18"/>
          <w:szCs w:val="18"/>
          <w:lang w:val="fr-CH"/>
        </w:rPr>
        <w:t>GCDT</w:t>
      </w:r>
    </w:hyperlink>
    <w:hyperlink r:id="rId3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8CB" w:rsidRDefault="008528CB">
      <w:r>
        <w:t>____________________</w:t>
      </w:r>
    </w:p>
  </w:footnote>
  <w:footnote w:type="continuationSeparator" w:id="0">
    <w:p w:rsidR="008528CB" w:rsidRDefault="008528CB">
      <w:r>
        <w:continuationSeparator/>
      </w:r>
    </w:p>
  </w:footnote>
  <w:footnote w:id="1">
    <w:p w:rsidR="00000AC9" w:rsidRPr="00000AC9" w:rsidRDefault="00000AC9" w:rsidP="00000AC9">
      <w:pPr>
        <w:pStyle w:val="FootnoteText"/>
        <w:spacing w:before="0"/>
      </w:pPr>
      <w:r w:rsidRPr="00347F4D">
        <w:rPr>
          <w:rStyle w:val="FootnoteReference"/>
          <w:szCs w:val="18"/>
          <w:lang w:val="fr-FR"/>
        </w:rPr>
        <w:footnoteRef/>
      </w:r>
      <w:r>
        <w:rPr>
          <w:sz w:val="18"/>
          <w:szCs w:val="18"/>
          <w:lang w:val="fr-FR"/>
        </w:rPr>
        <w:tab/>
      </w:r>
      <w:r w:rsidRPr="00000AC9">
        <w:t>Mémorandum d'accord, accord de coopération, document de projet, accord de contribution volontaire, accord de parrainage, etc.</w:t>
      </w:r>
    </w:p>
  </w:footnote>
  <w:footnote w:id="2">
    <w:p w:rsidR="00000AC9" w:rsidRPr="00626CE4" w:rsidRDefault="00626CE4" w:rsidP="00626CE4">
      <w:pPr>
        <w:pStyle w:val="FootnoteText"/>
      </w:pPr>
      <w:r w:rsidRPr="00347F4D">
        <w:rPr>
          <w:rStyle w:val="FootnoteReference"/>
          <w:szCs w:val="18"/>
          <w:lang w:val="fr-FR"/>
        </w:rPr>
        <w:footnoteRef/>
      </w:r>
      <w:r>
        <w:rPr>
          <w:sz w:val="18"/>
          <w:szCs w:val="18"/>
          <w:lang w:val="fr-FR"/>
        </w:rPr>
        <w:tab/>
      </w:r>
      <w:r w:rsidR="00000AC9" w:rsidRPr="00626CE4">
        <w:t>a)</w:t>
      </w:r>
      <w:r>
        <w:t xml:space="preserve"> </w:t>
      </w:r>
      <w:r w:rsidR="00000AC9" w:rsidRPr="00626CE4">
        <w:t>Accords et projets avec contributions en espèces, b) Accords et projets sans contribution en espèces, c) Accords de parrainage, et d) Addenda/Amendements.</w:t>
      </w:r>
    </w:p>
  </w:footnote>
  <w:footnote w:id="3">
    <w:p w:rsidR="00000AC9" w:rsidRPr="00000AC9" w:rsidRDefault="00000AC9" w:rsidP="00000AC9">
      <w:pPr>
        <w:pStyle w:val="FootnoteText"/>
        <w:spacing w:before="0"/>
      </w:pPr>
      <w:r w:rsidRPr="00347F4D">
        <w:rPr>
          <w:rStyle w:val="FootnoteReference"/>
          <w:szCs w:val="18"/>
          <w:lang w:val="fr-FR"/>
        </w:rPr>
        <w:footnoteRef/>
      </w:r>
      <w:r>
        <w:rPr>
          <w:sz w:val="18"/>
          <w:szCs w:val="18"/>
          <w:lang w:val="fr-FR"/>
        </w:rPr>
        <w:tab/>
      </w:r>
      <w:r w:rsidRPr="00000AC9">
        <w:t>Secrétariats des Conventions de Bâle et de Stockholm.</w:t>
      </w:r>
    </w:p>
  </w:footnote>
  <w:footnote w:id="4">
    <w:p w:rsidR="00000AC9" w:rsidRPr="00000AC9" w:rsidRDefault="00000AC9" w:rsidP="00000AC9">
      <w:pPr>
        <w:pStyle w:val="FootnoteText"/>
        <w:spacing w:before="0"/>
      </w:pPr>
      <w:r w:rsidRPr="00347F4D">
        <w:rPr>
          <w:rStyle w:val="FootnoteReference"/>
          <w:szCs w:val="18"/>
          <w:lang w:val="fr-FR"/>
        </w:rPr>
        <w:footnoteRef/>
      </w:r>
      <w:r>
        <w:rPr>
          <w:sz w:val="18"/>
          <w:szCs w:val="18"/>
          <w:lang w:val="fr-FR"/>
        </w:rPr>
        <w:tab/>
      </w:r>
      <w:r w:rsidRPr="00000AC9">
        <w:t>Association internationale des déchets solides.</w:t>
      </w:r>
    </w:p>
  </w:footnote>
  <w:footnote w:id="5">
    <w:p w:rsidR="00000AC9" w:rsidRPr="00347F4D" w:rsidRDefault="00000AC9" w:rsidP="00000AC9">
      <w:pPr>
        <w:pStyle w:val="FootnoteText"/>
        <w:spacing w:before="0"/>
        <w:rPr>
          <w:sz w:val="18"/>
          <w:szCs w:val="18"/>
          <w:lang w:val="fr-FR"/>
        </w:rPr>
      </w:pPr>
      <w:r w:rsidRPr="00347F4D">
        <w:rPr>
          <w:rStyle w:val="FootnoteReference"/>
          <w:szCs w:val="18"/>
          <w:lang w:val="fr-FR"/>
        </w:rPr>
        <w:footnoteRef/>
      </w:r>
      <w:r>
        <w:rPr>
          <w:sz w:val="18"/>
          <w:szCs w:val="18"/>
          <w:lang w:val="fr-FR"/>
        </w:rPr>
        <w:tab/>
      </w:r>
      <w:r w:rsidRPr="00000AC9">
        <w:t>Programme sur les cycles durables du Vice</w:t>
      </w:r>
      <w:r w:rsidRPr="00000AC9">
        <w:noBreakHyphen/>
        <w:t>Rectorat en Europe de l'Université des Nations Unies.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000AC9" w:rsidRDefault="00A525CC" w:rsidP="00000AC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6D271A">
      <w:rPr>
        <w:sz w:val="22"/>
        <w:szCs w:val="22"/>
        <w:lang w:val="de-CH"/>
      </w:rPr>
      <w:t>ITU-D/</w:t>
    </w:r>
    <w:r w:rsidRPr="00A54E72">
      <w:rPr>
        <w:sz w:val="22"/>
        <w:szCs w:val="22"/>
        <w:lang w:val="de-CH"/>
      </w:rPr>
      <w:t>TDAG</w:t>
    </w:r>
    <w:r w:rsidR="008F20EB">
      <w:rPr>
        <w:sz w:val="22"/>
        <w:szCs w:val="22"/>
        <w:lang w:val="de-CH"/>
      </w:rPr>
      <w:t>-</w:t>
    </w:r>
    <w:r w:rsidRPr="00A54E72">
      <w:rPr>
        <w:sz w:val="22"/>
        <w:szCs w:val="22"/>
        <w:lang w:val="de-CH"/>
      </w:rPr>
      <w:t>1</w:t>
    </w:r>
    <w:r w:rsidR="00D87E6C">
      <w:rPr>
        <w:sz w:val="22"/>
        <w:szCs w:val="22"/>
        <w:lang w:val="de-CH"/>
      </w:rPr>
      <w:t>9</w:t>
    </w:r>
    <w:r w:rsidRPr="00A54E72">
      <w:rPr>
        <w:sz w:val="22"/>
        <w:szCs w:val="22"/>
        <w:lang w:val="de-CH"/>
      </w:rPr>
      <w:t>/</w:t>
    </w:r>
    <w:r w:rsidR="00000AC9">
      <w:rPr>
        <w:sz w:val="22"/>
        <w:szCs w:val="22"/>
        <w:lang w:val="de-CH"/>
      </w:rPr>
      <w:t>21</w:t>
    </w:r>
    <w:r w:rsidRPr="006D271A">
      <w:rPr>
        <w:sz w:val="22"/>
        <w:szCs w:val="22"/>
        <w:lang w:val="de-CH"/>
      </w:rPr>
      <w:t>-</w:t>
    </w:r>
    <w:r w:rsidR="00B533E9"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BB4094">
      <w:rPr>
        <w:noProof/>
        <w:sz w:val="22"/>
        <w:szCs w:val="22"/>
        <w:lang w:val="de-CH"/>
      </w:rPr>
      <w:t>5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CB"/>
    <w:rsid w:val="00000AC9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B1EE1"/>
    <w:rsid w:val="000B2352"/>
    <w:rsid w:val="000B24B8"/>
    <w:rsid w:val="000C057D"/>
    <w:rsid w:val="000C61E9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0F6785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56BF6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438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0682"/>
    <w:rsid w:val="002F2DE0"/>
    <w:rsid w:val="002F5E25"/>
    <w:rsid w:val="0030353C"/>
    <w:rsid w:val="003125C3"/>
    <w:rsid w:val="00312AE6"/>
    <w:rsid w:val="00317D1A"/>
    <w:rsid w:val="003211FF"/>
    <w:rsid w:val="00323587"/>
    <w:rsid w:val="00327247"/>
    <w:rsid w:val="00327A9D"/>
    <w:rsid w:val="0033130E"/>
    <w:rsid w:val="0033269C"/>
    <w:rsid w:val="0035516C"/>
    <w:rsid w:val="00355A4C"/>
    <w:rsid w:val="003604FB"/>
    <w:rsid w:val="00360B73"/>
    <w:rsid w:val="00380B71"/>
    <w:rsid w:val="0038365A"/>
    <w:rsid w:val="00386A89"/>
    <w:rsid w:val="0039648E"/>
    <w:rsid w:val="003A28B9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32DD"/>
    <w:rsid w:val="0056423B"/>
    <w:rsid w:val="00573424"/>
    <w:rsid w:val="0057402F"/>
    <w:rsid w:val="005849D6"/>
    <w:rsid w:val="00585367"/>
    <w:rsid w:val="005871A1"/>
    <w:rsid w:val="0058737E"/>
    <w:rsid w:val="00592518"/>
    <w:rsid w:val="00592E87"/>
    <w:rsid w:val="00594C4D"/>
    <w:rsid w:val="005A33B0"/>
    <w:rsid w:val="005C2DC2"/>
    <w:rsid w:val="005C304A"/>
    <w:rsid w:val="005C3D69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26CE4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E6B2B"/>
    <w:rsid w:val="006F009A"/>
    <w:rsid w:val="006F3D93"/>
    <w:rsid w:val="007019B1"/>
    <w:rsid w:val="00721657"/>
    <w:rsid w:val="007279A8"/>
    <w:rsid w:val="00727B1A"/>
    <w:rsid w:val="00741337"/>
    <w:rsid w:val="007421A4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3BFE"/>
    <w:rsid w:val="00794005"/>
    <w:rsid w:val="00795294"/>
    <w:rsid w:val="007A4E50"/>
    <w:rsid w:val="007B18A7"/>
    <w:rsid w:val="007B250E"/>
    <w:rsid w:val="007C27FC"/>
    <w:rsid w:val="007C51FF"/>
    <w:rsid w:val="007D50E4"/>
    <w:rsid w:val="007F1CC7"/>
    <w:rsid w:val="008027AC"/>
    <w:rsid w:val="008028CE"/>
    <w:rsid w:val="0080332E"/>
    <w:rsid w:val="008141E0"/>
    <w:rsid w:val="00816EE1"/>
    <w:rsid w:val="00816F88"/>
    <w:rsid w:val="00822323"/>
    <w:rsid w:val="00827BC6"/>
    <w:rsid w:val="008300AD"/>
    <w:rsid w:val="00833024"/>
    <w:rsid w:val="00836BDB"/>
    <w:rsid w:val="008419B1"/>
    <w:rsid w:val="00844A56"/>
    <w:rsid w:val="00845B11"/>
    <w:rsid w:val="00851060"/>
    <w:rsid w:val="00852081"/>
    <w:rsid w:val="008528CB"/>
    <w:rsid w:val="00872B6E"/>
    <w:rsid w:val="00874DFD"/>
    <w:rsid w:val="008802F9"/>
    <w:rsid w:val="00883086"/>
    <w:rsid w:val="0088783B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C4010"/>
    <w:rsid w:val="008C4FDF"/>
    <w:rsid w:val="008C6B1F"/>
    <w:rsid w:val="008D5E4F"/>
    <w:rsid w:val="008F14F5"/>
    <w:rsid w:val="008F20EB"/>
    <w:rsid w:val="008F71C1"/>
    <w:rsid w:val="00902D41"/>
    <w:rsid w:val="00902F49"/>
    <w:rsid w:val="00914004"/>
    <w:rsid w:val="0092088B"/>
    <w:rsid w:val="00922EC1"/>
    <w:rsid w:val="009301F1"/>
    <w:rsid w:val="009307DF"/>
    <w:rsid w:val="009359B8"/>
    <w:rsid w:val="00935FF0"/>
    <w:rsid w:val="009431F8"/>
    <w:rsid w:val="00947A35"/>
    <w:rsid w:val="00962081"/>
    <w:rsid w:val="00966CB5"/>
    <w:rsid w:val="00975786"/>
    <w:rsid w:val="00981CB7"/>
    <w:rsid w:val="00983E1F"/>
    <w:rsid w:val="00984929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E2E4A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454E1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533E9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B4094"/>
    <w:rsid w:val="00BC10A0"/>
    <w:rsid w:val="00BC7BA2"/>
    <w:rsid w:val="00BD426B"/>
    <w:rsid w:val="00BD79F0"/>
    <w:rsid w:val="00BE2B4D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5468D"/>
    <w:rsid w:val="00D63006"/>
    <w:rsid w:val="00D72301"/>
    <w:rsid w:val="00D87E6C"/>
    <w:rsid w:val="00D90E76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5733F"/>
    <w:rsid w:val="00E63B14"/>
    <w:rsid w:val="00E65CA0"/>
    <w:rsid w:val="00E70D9F"/>
    <w:rsid w:val="00E83810"/>
    <w:rsid w:val="00E86933"/>
    <w:rsid w:val="00E9605B"/>
    <w:rsid w:val="00E97298"/>
    <w:rsid w:val="00E97753"/>
    <w:rsid w:val="00EA7DE7"/>
    <w:rsid w:val="00EB7196"/>
    <w:rsid w:val="00EB7A8A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4B6F"/>
    <w:rsid w:val="00FA6C8B"/>
    <w:rsid w:val="00FA7C89"/>
    <w:rsid w:val="00FB3E9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D99C581B-5513-407A-8D0F-4778FA98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BF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CH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984929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98492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FB3E9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0B1EE1"/>
    <w:pPr>
      <w:tabs>
        <w:tab w:val="clear" w:pos="794"/>
        <w:tab w:val="clear" w:pos="1191"/>
        <w:tab w:val="left" w:pos="1134"/>
        <w:tab w:val="left" w:pos="1871"/>
      </w:tabs>
    </w:pPr>
  </w:style>
  <w:style w:type="paragraph" w:customStyle="1" w:styleId="Default">
    <w:name w:val="Default"/>
    <w:rsid w:val="009849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000AC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00AC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00AC9"/>
    <w:rPr>
      <w:rFonts w:asciiTheme="minorHAnsi" w:hAnsiTheme="minorHAnsi"/>
      <w:lang w:val="fr-CH" w:eastAsia="en-US"/>
    </w:rPr>
  </w:style>
  <w:style w:type="character" w:styleId="FollowedHyperlink">
    <w:name w:val="FollowedHyperlink"/>
    <w:basedOn w:val="DefaultParagraphFont"/>
    <w:semiHidden/>
    <w:unhideWhenUsed/>
    <w:rsid w:val="007421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fr/ITU-D/Partners/Pages/Sponsorshipportal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www.itu.int/md/D18-TDAG24-INF-0004/fr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eun-ju.kim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ierr\AppData\Roaming\Microsoft\Templates\POOL%20F%20-%20ITU\PF_TDAG19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ormierr\Desktop\Book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580927384076991E-2"/>
          <c:y val="2.8166767615586515E-2"/>
          <c:w val="0.90286351706036749"/>
          <c:h val="0.6341033716939228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Sheet1!$F$37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Sheet1!$E$38:$E$44</c:f>
              <c:strCache>
                <c:ptCount val="7"/>
                <c:pt idx="0">
                  <c:v>Afrique</c:v>
                </c:pt>
                <c:pt idx="1">
                  <c:v>Amériques</c:v>
                </c:pt>
                <c:pt idx="2">
                  <c:v>États arabes</c:v>
                </c:pt>
                <c:pt idx="3">
                  <c:v>Asie-Pacifique</c:v>
                </c:pt>
                <c:pt idx="4">
                  <c:v>CEI</c:v>
                </c:pt>
                <c:pt idx="5">
                  <c:v>Europe</c:v>
                </c:pt>
                <c:pt idx="6">
                  <c:v>Monde</c:v>
                </c:pt>
              </c:strCache>
            </c:strRef>
          </c:cat>
          <c:val>
            <c:numRef>
              <c:f>Sheet1!$F$38:$F$44</c:f>
              <c:numCache>
                <c:formatCode>General</c:formatCode>
                <c:ptCount val="7"/>
                <c:pt idx="0">
                  <c:v>16.5</c:v>
                </c:pt>
                <c:pt idx="1">
                  <c:v>9</c:v>
                </c:pt>
                <c:pt idx="2">
                  <c:v>7</c:v>
                </c:pt>
                <c:pt idx="3">
                  <c:v>15</c:v>
                </c:pt>
                <c:pt idx="4">
                  <c:v>3</c:v>
                </c:pt>
                <c:pt idx="5">
                  <c:v>7.5</c:v>
                </c:pt>
                <c:pt idx="6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Sheet1!$G$37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Sheet1!$E$38:$E$44</c:f>
              <c:strCache>
                <c:ptCount val="7"/>
                <c:pt idx="0">
                  <c:v>Afrique</c:v>
                </c:pt>
                <c:pt idx="1">
                  <c:v>Amériques</c:v>
                </c:pt>
                <c:pt idx="2">
                  <c:v>États arabes</c:v>
                </c:pt>
                <c:pt idx="3">
                  <c:v>Asie-Pacifique</c:v>
                </c:pt>
                <c:pt idx="4">
                  <c:v>CEI</c:v>
                </c:pt>
                <c:pt idx="5">
                  <c:v>Europe</c:v>
                </c:pt>
                <c:pt idx="6">
                  <c:v>Monde</c:v>
                </c:pt>
              </c:strCache>
            </c:strRef>
          </c:cat>
          <c:val>
            <c:numRef>
              <c:f>Sheet1!$G$38:$G$44</c:f>
              <c:numCache>
                <c:formatCode>General</c:formatCode>
                <c:ptCount val="7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15</c:v>
                </c:pt>
              </c:numCache>
            </c:numRef>
          </c:val>
        </c:ser>
        <c:ser>
          <c:idx val="2"/>
          <c:order val="2"/>
          <c:tx>
            <c:strRef>
              <c:f>Sheet1!$H$37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cat>
            <c:strRef>
              <c:f>Sheet1!$E$38:$E$44</c:f>
              <c:strCache>
                <c:ptCount val="7"/>
                <c:pt idx="0">
                  <c:v>Afrique</c:v>
                </c:pt>
                <c:pt idx="1">
                  <c:v>Amériques</c:v>
                </c:pt>
                <c:pt idx="2">
                  <c:v>États arabes</c:v>
                </c:pt>
                <c:pt idx="3">
                  <c:v>Asie-Pacifique</c:v>
                </c:pt>
                <c:pt idx="4">
                  <c:v>CEI</c:v>
                </c:pt>
                <c:pt idx="5">
                  <c:v>Europe</c:v>
                </c:pt>
                <c:pt idx="6">
                  <c:v>Monde</c:v>
                </c:pt>
              </c:strCache>
            </c:strRef>
          </c:cat>
          <c:val>
            <c:numRef>
              <c:f>Sheet1!$H$38:$H$44</c:f>
              <c:numCache>
                <c:formatCode>General</c:formatCode>
                <c:ptCount val="7"/>
                <c:pt idx="0">
                  <c:v>5</c:v>
                </c:pt>
                <c:pt idx="1">
                  <c:v>8</c:v>
                </c:pt>
                <c:pt idx="2">
                  <c:v>3</c:v>
                </c:pt>
                <c:pt idx="3">
                  <c:v>8</c:v>
                </c:pt>
                <c:pt idx="4">
                  <c:v>1</c:v>
                </c:pt>
                <c:pt idx="5">
                  <c:v>2</c:v>
                </c:pt>
                <c:pt idx="6">
                  <c:v>33</c:v>
                </c:pt>
              </c:numCache>
            </c:numRef>
          </c:val>
        </c:ser>
        <c:ser>
          <c:idx val="3"/>
          <c:order val="3"/>
          <c:tx>
            <c:strRef>
              <c:f>Sheet1!$I$37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0099FF"/>
            </a:solidFill>
            <a:ln>
              <a:noFill/>
            </a:ln>
            <a:effectLst/>
          </c:spPr>
          <c:invertIfNegative val="0"/>
          <c:cat>
            <c:strRef>
              <c:f>Sheet1!$E$38:$E$44</c:f>
              <c:strCache>
                <c:ptCount val="7"/>
                <c:pt idx="0">
                  <c:v>Afrique</c:v>
                </c:pt>
                <c:pt idx="1">
                  <c:v>Amériques</c:v>
                </c:pt>
                <c:pt idx="2">
                  <c:v>États arabes</c:v>
                </c:pt>
                <c:pt idx="3">
                  <c:v>Asie-Pacifique</c:v>
                </c:pt>
                <c:pt idx="4">
                  <c:v>CEI</c:v>
                </c:pt>
                <c:pt idx="5">
                  <c:v>Europe</c:v>
                </c:pt>
                <c:pt idx="6">
                  <c:v>Monde</c:v>
                </c:pt>
              </c:strCache>
            </c:strRef>
          </c:cat>
          <c:val>
            <c:numRef>
              <c:f>Sheet1!$I$38:$I$44</c:f>
              <c:numCache>
                <c:formatCode>General</c:formatCode>
                <c:ptCount val="7"/>
                <c:pt idx="0">
                  <c:v>4</c:v>
                </c:pt>
                <c:pt idx="1">
                  <c:v>5</c:v>
                </c:pt>
                <c:pt idx="2">
                  <c:v>3</c:v>
                </c:pt>
                <c:pt idx="3">
                  <c:v>7</c:v>
                </c:pt>
                <c:pt idx="4">
                  <c:v>1</c:v>
                </c:pt>
                <c:pt idx="5">
                  <c:v>2</c:v>
                </c:pt>
                <c:pt idx="6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96270992"/>
        <c:axId val="596271384"/>
      </c:barChart>
      <c:catAx>
        <c:axId val="596270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96271384"/>
        <c:crosses val="autoZero"/>
        <c:auto val="1"/>
        <c:lblAlgn val="ctr"/>
        <c:lblOffset val="100"/>
        <c:noMultiLvlLbl val="0"/>
      </c:catAx>
      <c:valAx>
        <c:axId val="596271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96270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1512962608818568"/>
          <c:y val="0.90893107832348641"/>
          <c:w val="0.37502034120734906"/>
          <c:h val="8.653906723198061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Sheet1!$F$52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Sheet1!$E$53:$E$63</c:f>
              <c:strCache>
                <c:ptCount val="11"/>
                <c:pt idx="0">
                  <c:v>Renforcement des capacités</c:v>
                </c:pt>
                <c:pt idx="1">
                  <c:v>Cybersécurité</c:v>
                </c:pt>
                <c:pt idx="2">
                  <c:v>Inclusion numérique</c:v>
                </c:pt>
                <c:pt idx="3">
                  <c:v>Télécom. d'urgence</c:v>
                </c:pt>
                <c:pt idx="4">
                  <c:v>Environnement favorable</c:v>
                </c:pt>
                <c:pt idx="5">
                  <c:v>Activités génériques</c:v>
                </c:pt>
                <c:pt idx="6">
                  <c:v>Applications des TIC</c:v>
                </c:pt>
                <c:pt idx="7">
                  <c:v>Infrastructure</c:v>
                </c:pt>
                <c:pt idx="8">
                  <c:v>Innovation</c:v>
                </c:pt>
                <c:pt idx="9">
                  <c:v>Ch. climatiques/DEEE </c:v>
                </c:pt>
                <c:pt idx="10">
                  <c:v>Statistiques et indicateurs</c:v>
                </c:pt>
              </c:strCache>
            </c:strRef>
          </c:cat>
          <c:val>
            <c:numRef>
              <c:f>Sheet1!$F$53:$F$63</c:f>
              <c:numCache>
                <c:formatCode>General</c:formatCode>
                <c:ptCount val="11"/>
                <c:pt idx="0">
                  <c:v>34</c:v>
                </c:pt>
                <c:pt idx="1">
                  <c:v>7</c:v>
                </c:pt>
                <c:pt idx="2">
                  <c:v>1</c:v>
                </c:pt>
                <c:pt idx="3">
                  <c:v>1</c:v>
                </c:pt>
                <c:pt idx="4">
                  <c:v>7</c:v>
                </c:pt>
                <c:pt idx="5">
                  <c:v>3</c:v>
                </c:pt>
                <c:pt idx="6">
                  <c:v>6</c:v>
                </c:pt>
                <c:pt idx="7">
                  <c:v>8</c:v>
                </c:pt>
                <c:pt idx="8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Sheet1!$G$52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Sheet1!$E$53:$E$63</c:f>
              <c:strCache>
                <c:ptCount val="11"/>
                <c:pt idx="0">
                  <c:v>Renforcement des capacités</c:v>
                </c:pt>
                <c:pt idx="1">
                  <c:v>Cybersécurité</c:v>
                </c:pt>
                <c:pt idx="2">
                  <c:v>Inclusion numérique</c:v>
                </c:pt>
                <c:pt idx="3">
                  <c:v>Télécom. d'urgence</c:v>
                </c:pt>
                <c:pt idx="4">
                  <c:v>Environnement favorable</c:v>
                </c:pt>
                <c:pt idx="5">
                  <c:v>Activités génériques</c:v>
                </c:pt>
                <c:pt idx="6">
                  <c:v>Applications des TIC</c:v>
                </c:pt>
                <c:pt idx="7">
                  <c:v>Infrastructure</c:v>
                </c:pt>
                <c:pt idx="8">
                  <c:v>Innovation</c:v>
                </c:pt>
                <c:pt idx="9">
                  <c:v>Ch. climatiques/DEEE </c:v>
                </c:pt>
                <c:pt idx="10">
                  <c:v>Statistiques et indicateurs</c:v>
                </c:pt>
              </c:strCache>
            </c:strRef>
          </c:cat>
          <c:val>
            <c:numRef>
              <c:f>Sheet1!$G$53:$G$63</c:f>
              <c:numCache>
                <c:formatCode>General</c:formatCode>
                <c:ptCount val="11"/>
                <c:pt idx="0">
                  <c:v>3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  <c:pt idx="6">
                  <c:v>9</c:v>
                </c:pt>
                <c:pt idx="7">
                  <c:v>5</c:v>
                </c:pt>
                <c:pt idx="8">
                  <c:v>1</c:v>
                </c:pt>
                <c:pt idx="10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Sheet1!$H$52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cat>
            <c:strRef>
              <c:f>Sheet1!$E$53:$E$63</c:f>
              <c:strCache>
                <c:ptCount val="11"/>
                <c:pt idx="0">
                  <c:v>Renforcement des capacités</c:v>
                </c:pt>
                <c:pt idx="1">
                  <c:v>Cybersécurité</c:v>
                </c:pt>
                <c:pt idx="2">
                  <c:v>Inclusion numérique</c:v>
                </c:pt>
                <c:pt idx="3">
                  <c:v>Télécom. d'urgence</c:v>
                </c:pt>
                <c:pt idx="4">
                  <c:v>Environnement favorable</c:v>
                </c:pt>
                <c:pt idx="5">
                  <c:v>Activités génériques</c:v>
                </c:pt>
                <c:pt idx="6">
                  <c:v>Applications des TIC</c:v>
                </c:pt>
                <c:pt idx="7">
                  <c:v>Infrastructure</c:v>
                </c:pt>
                <c:pt idx="8">
                  <c:v>Innovation</c:v>
                </c:pt>
                <c:pt idx="9">
                  <c:v>Ch. climatiques/DEEE </c:v>
                </c:pt>
                <c:pt idx="10">
                  <c:v>Statistiques et indicateurs</c:v>
                </c:pt>
              </c:strCache>
            </c:strRef>
          </c:cat>
          <c:val>
            <c:numRef>
              <c:f>Sheet1!$H$53:$H$63</c:f>
              <c:numCache>
                <c:formatCode>General</c:formatCode>
                <c:ptCount val="11"/>
                <c:pt idx="0">
                  <c:v>4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8</c:v>
                </c:pt>
                <c:pt idx="5">
                  <c:v>20</c:v>
                </c:pt>
                <c:pt idx="6">
                  <c:v>11</c:v>
                </c:pt>
                <c:pt idx="7">
                  <c:v>5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</c:ser>
        <c:ser>
          <c:idx val="3"/>
          <c:order val="3"/>
          <c:tx>
            <c:strRef>
              <c:f>Sheet1!$I$52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cat>
            <c:strRef>
              <c:f>Sheet1!$E$53:$E$63</c:f>
              <c:strCache>
                <c:ptCount val="11"/>
                <c:pt idx="0">
                  <c:v>Renforcement des capacités</c:v>
                </c:pt>
                <c:pt idx="1">
                  <c:v>Cybersécurité</c:v>
                </c:pt>
                <c:pt idx="2">
                  <c:v>Inclusion numérique</c:v>
                </c:pt>
                <c:pt idx="3">
                  <c:v>Télécom. d'urgence</c:v>
                </c:pt>
                <c:pt idx="4">
                  <c:v>Environnement favorable</c:v>
                </c:pt>
                <c:pt idx="5">
                  <c:v>Activités génériques</c:v>
                </c:pt>
                <c:pt idx="6">
                  <c:v>Applications des TIC</c:v>
                </c:pt>
                <c:pt idx="7">
                  <c:v>Infrastructure</c:v>
                </c:pt>
                <c:pt idx="8">
                  <c:v>Innovation</c:v>
                </c:pt>
                <c:pt idx="9">
                  <c:v>Ch. climatiques/DEEE </c:v>
                </c:pt>
                <c:pt idx="10">
                  <c:v>Statistiques et indicateurs</c:v>
                </c:pt>
              </c:strCache>
            </c:strRef>
          </c:cat>
          <c:val>
            <c:numRef>
              <c:f>Sheet1!$I$53:$I$63</c:f>
              <c:numCache>
                <c:formatCode>General</c:formatCode>
                <c:ptCount val="11"/>
                <c:pt idx="0">
                  <c:v>3</c:v>
                </c:pt>
                <c:pt idx="1">
                  <c:v>5</c:v>
                </c:pt>
                <c:pt idx="2">
                  <c:v>1</c:v>
                </c:pt>
                <c:pt idx="3">
                  <c:v>2</c:v>
                </c:pt>
                <c:pt idx="4">
                  <c:v>14</c:v>
                </c:pt>
                <c:pt idx="5">
                  <c:v>3</c:v>
                </c:pt>
                <c:pt idx="6">
                  <c:v>3</c:v>
                </c:pt>
                <c:pt idx="7">
                  <c:v>9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96261584"/>
        <c:axId val="596263152"/>
      </c:barChart>
      <c:catAx>
        <c:axId val="5962615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96263152"/>
        <c:crosses val="autoZero"/>
        <c:auto val="1"/>
        <c:lblAlgn val="ctr"/>
        <c:lblOffset val="100"/>
        <c:noMultiLvlLbl val="0"/>
      </c:catAx>
      <c:valAx>
        <c:axId val="5962631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96261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DF63D-686E-46E9-AF1B-7F227172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PF_TDAG19.dotx</Template>
  <TotalTime>56</TotalTime>
  <Pages>6</Pages>
  <Words>1931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Manager>General Secretariat - Pool</Manager>
  <Company>International Telecommunication Union (ITU)</Company>
  <LinksUpToDate>false</LinksUpToDate>
  <CharactersWithSpaces>13211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creator>Cormier-Ribout, Kevin</dc:creator>
  <cp:lastModifiedBy>Geneux, Aude</cp:lastModifiedBy>
  <cp:revision>9</cp:revision>
  <cp:lastPrinted>2019-03-14T13:39:00Z</cp:lastPrinted>
  <dcterms:created xsi:type="dcterms:W3CDTF">2019-03-14T12:42:00Z</dcterms:created>
  <dcterms:modified xsi:type="dcterms:W3CDTF">2019-03-15T10:36:00Z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