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3261"/>
      </w:tblGrid>
      <w:tr w:rsidR="004713B8" w:rsidRPr="00BD7A1A" w:rsidTr="00E62572">
        <w:trPr>
          <w:trHeight w:val="1134"/>
        </w:trPr>
        <w:tc>
          <w:tcPr>
            <w:tcW w:w="6662" w:type="dxa"/>
          </w:tcPr>
          <w:p w:rsidR="004713B8" w:rsidRDefault="004713B8" w:rsidP="00CD34AE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CE5E7B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(КГРЭ)</w:t>
            </w:r>
          </w:p>
          <w:p w:rsidR="004713B8" w:rsidRPr="00CE5E7B" w:rsidRDefault="004713B8" w:rsidP="00B24169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position w:val="6"/>
                <w:sz w:val="26"/>
                <w:szCs w:val="26"/>
                <w:lang w:eastAsia="zh-CN"/>
              </w:rPr>
            </w:pPr>
            <w:r w:rsidRPr="00CD34AE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2</w:t>
            </w:r>
            <w:r w:rsidR="00B24169" w:rsidRPr="00B24169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4</w:t>
            </w:r>
            <w:r w:rsidRPr="00CD34AE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-е собрание, </w:t>
            </w:r>
            <w:r w:rsidRPr="00CD34AE">
              <w:rPr>
                <w:b/>
                <w:bCs/>
                <w:sz w:val="24"/>
                <w:szCs w:val="24"/>
              </w:rPr>
              <w:t xml:space="preserve">Женева, </w:t>
            </w:r>
            <w:r w:rsidR="00B24169" w:rsidRPr="00B24169">
              <w:rPr>
                <w:b/>
                <w:bCs/>
                <w:sz w:val="24"/>
                <w:szCs w:val="24"/>
              </w:rPr>
              <w:t>3</w:t>
            </w:r>
            <w:r w:rsidRPr="00CD34AE">
              <w:rPr>
                <w:b/>
                <w:bCs/>
                <w:sz w:val="24"/>
                <w:szCs w:val="24"/>
              </w:rPr>
              <w:t>−</w:t>
            </w:r>
            <w:r w:rsidR="00B24169" w:rsidRPr="00B24169">
              <w:rPr>
                <w:b/>
                <w:bCs/>
                <w:sz w:val="24"/>
                <w:szCs w:val="24"/>
              </w:rPr>
              <w:t>5</w:t>
            </w:r>
            <w:r w:rsidRPr="00CD34AE">
              <w:rPr>
                <w:b/>
                <w:bCs/>
                <w:sz w:val="24"/>
                <w:szCs w:val="24"/>
              </w:rPr>
              <w:t xml:space="preserve"> </w:t>
            </w:r>
            <w:r w:rsidRPr="004713B8">
              <w:rPr>
                <w:b/>
                <w:bCs/>
                <w:sz w:val="24"/>
                <w:szCs w:val="24"/>
              </w:rPr>
              <w:t xml:space="preserve">апреля </w:t>
            </w:r>
            <w:r w:rsidRPr="00CD34AE">
              <w:rPr>
                <w:b/>
                <w:bCs/>
                <w:sz w:val="24"/>
                <w:szCs w:val="24"/>
              </w:rPr>
              <w:t>201</w:t>
            </w:r>
            <w:r w:rsidR="00B24169" w:rsidRPr="00B24169">
              <w:rPr>
                <w:b/>
                <w:bCs/>
                <w:sz w:val="24"/>
                <w:szCs w:val="24"/>
              </w:rPr>
              <w:t>9</w:t>
            </w:r>
            <w:r w:rsidRPr="00CD34AE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261" w:type="dxa"/>
            <w:vAlign w:val="center"/>
          </w:tcPr>
          <w:p w:rsidR="004713B8" w:rsidRPr="00FC5ABC" w:rsidRDefault="00B24169" w:rsidP="00B24169">
            <w:pPr>
              <w:widowControl w:val="0"/>
              <w:spacing w:before="40"/>
              <w:jc w:val="right"/>
            </w:pPr>
            <w:r w:rsidRPr="008E52B1">
              <w:rPr>
                <w:noProof/>
                <w:color w:val="3399FF"/>
                <w:lang w:val="en-GB" w:eastAsia="zh-CN"/>
              </w:rPr>
              <w:drawing>
                <wp:inline distT="0" distB="0" distL="0" distR="0" wp14:anchorId="27FCBE3A" wp14:editId="261A73EA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BD7A1A" w:rsidTr="00CD34AE">
        <w:tc>
          <w:tcPr>
            <w:tcW w:w="6662" w:type="dxa"/>
            <w:tcBorders>
              <w:top w:val="single" w:sz="12" w:space="0" w:color="auto"/>
            </w:tcBorders>
          </w:tcPr>
          <w:p w:rsidR="00CD34AE" w:rsidRPr="00BD7A1A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CD34AE" w:rsidRPr="00BD7A1A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34AE" w:rsidRPr="00BD7A1A" w:rsidTr="00CD34AE">
        <w:trPr>
          <w:trHeight w:val="300"/>
        </w:trPr>
        <w:tc>
          <w:tcPr>
            <w:tcW w:w="6662" w:type="dxa"/>
          </w:tcPr>
          <w:p w:rsidR="00CD34AE" w:rsidRPr="00CD34AE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:rsidR="00CD34AE" w:rsidRPr="00CD34AE" w:rsidRDefault="003E6E87" w:rsidP="00CF6FA2">
            <w:pPr>
              <w:widowControl w:val="0"/>
              <w:spacing w:before="0"/>
              <w:rPr>
                <w:rFonts w:ascii="Verdana" w:hAnsi="Verdana"/>
                <w:b/>
                <w:bCs/>
                <w:lang w:val="en-US"/>
              </w:rPr>
            </w:pPr>
            <w:r w:rsidRPr="00BD7A1A">
              <w:rPr>
                <w:rFonts w:cstheme="minorHAnsi"/>
                <w:b/>
                <w:bCs/>
              </w:rPr>
              <w:t xml:space="preserve">Документ </w:t>
            </w:r>
            <w:bookmarkStart w:id="0" w:name="DocRef1"/>
            <w:bookmarkEnd w:id="0"/>
            <w:r>
              <w:rPr>
                <w:rFonts w:cstheme="minorHAnsi"/>
                <w:b/>
                <w:bCs/>
                <w:lang w:val="en-US"/>
              </w:rPr>
              <w:t>TDAG</w:t>
            </w:r>
            <w:r w:rsidR="0040328D">
              <w:rPr>
                <w:rFonts w:cstheme="minorHAnsi"/>
                <w:b/>
                <w:bCs/>
                <w:lang w:val="en-US"/>
              </w:rPr>
              <w:t>-</w:t>
            </w:r>
            <w:r>
              <w:rPr>
                <w:rFonts w:cstheme="minorHAnsi"/>
                <w:b/>
                <w:bCs/>
                <w:lang w:val="en-US"/>
              </w:rPr>
              <w:t>1</w:t>
            </w:r>
            <w:r w:rsidR="00B24169">
              <w:rPr>
                <w:rFonts w:cstheme="minorHAnsi"/>
                <w:b/>
                <w:bCs/>
                <w:lang w:val="en-US"/>
              </w:rPr>
              <w:t>9</w:t>
            </w:r>
            <w:r w:rsidRPr="00BD7A1A">
              <w:rPr>
                <w:rFonts w:cstheme="minorHAnsi"/>
                <w:b/>
                <w:bCs/>
              </w:rPr>
              <w:t>/</w:t>
            </w:r>
            <w:bookmarkStart w:id="1" w:name="DocNo1"/>
            <w:bookmarkEnd w:id="1"/>
            <w:r w:rsidR="00CF6FA2">
              <w:rPr>
                <w:rFonts w:cstheme="minorHAnsi"/>
                <w:b/>
                <w:bCs/>
                <w:lang w:val="en-US"/>
              </w:rPr>
              <w:t>21</w:t>
            </w:r>
            <w:r>
              <w:rPr>
                <w:rFonts w:cstheme="minorHAnsi"/>
                <w:b/>
                <w:bCs/>
                <w:lang w:val="en-US"/>
              </w:rPr>
              <w:t>-R</w:t>
            </w:r>
          </w:p>
        </w:tc>
      </w:tr>
      <w:tr w:rsidR="00CD34AE" w:rsidRPr="00BD7A1A" w:rsidTr="00CD34AE">
        <w:trPr>
          <w:trHeight w:val="300"/>
        </w:trPr>
        <w:tc>
          <w:tcPr>
            <w:tcW w:w="6662" w:type="dxa"/>
          </w:tcPr>
          <w:p w:rsidR="00CD34AE" w:rsidRPr="00CD34AE" w:rsidRDefault="00CD34AE" w:rsidP="00CD34AE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261" w:type="dxa"/>
          </w:tcPr>
          <w:p w:rsidR="00CD34AE" w:rsidRPr="00CD34AE" w:rsidRDefault="00CF6FA2" w:rsidP="00CF6FA2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>
              <w:rPr>
                <w:b/>
                <w:bCs/>
              </w:rPr>
              <w:t>19 февраля</w:t>
            </w:r>
            <w:r w:rsidR="00A73D91" w:rsidRPr="001E6719">
              <w:rPr>
                <w:b/>
                <w:bCs/>
              </w:rPr>
              <w:t xml:space="preserve"> 20</w:t>
            </w:r>
            <w:r w:rsidR="00A73D91" w:rsidRPr="00732269">
              <w:rPr>
                <w:b/>
                <w:bCs/>
              </w:rPr>
              <w:t>1</w:t>
            </w:r>
            <w:r w:rsidR="00B24169">
              <w:rPr>
                <w:b/>
                <w:bCs/>
                <w:lang w:val="en-US"/>
              </w:rPr>
              <w:t>9</w:t>
            </w:r>
            <w:r w:rsidR="00A73D91" w:rsidRPr="001E6719">
              <w:rPr>
                <w:b/>
                <w:bCs/>
              </w:rPr>
              <w:t xml:space="preserve"> года</w:t>
            </w:r>
          </w:p>
        </w:tc>
      </w:tr>
      <w:tr w:rsidR="00CD34AE" w:rsidRPr="00BD7A1A" w:rsidTr="00CD34AE">
        <w:trPr>
          <w:trHeight w:val="300"/>
        </w:trPr>
        <w:tc>
          <w:tcPr>
            <w:tcW w:w="6662" w:type="dxa"/>
          </w:tcPr>
          <w:p w:rsidR="00CD34AE" w:rsidRPr="00CD34AE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:rsidR="00CD34AE" w:rsidRPr="00CF6FA2" w:rsidRDefault="003E6E87" w:rsidP="00CD34AE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BD7A1A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="00A73D91">
              <w:rPr>
                <w:rFonts w:cstheme="minorHAnsi"/>
                <w:b/>
                <w:bCs/>
                <w:lang w:val="en-US"/>
              </w:rPr>
              <w:t xml:space="preserve"> </w:t>
            </w:r>
            <w:r w:rsidR="00CF6FA2">
              <w:rPr>
                <w:rFonts w:cstheme="minorHAnsi"/>
                <w:b/>
                <w:bCs/>
              </w:rPr>
              <w:t>английский</w:t>
            </w:r>
          </w:p>
        </w:tc>
      </w:tr>
      <w:tr w:rsidR="00CD34AE" w:rsidRPr="00BD7A1A" w:rsidTr="00CD34AE">
        <w:trPr>
          <w:trHeight w:val="850"/>
        </w:trPr>
        <w:tc>
          <w:tcPr>
            <w:tcW w:w="9923" w:type="dxa"/>
            <w:gridSpan w:val="2"/>
          </w:tcPr>
          <w:p w:rsidR="00CD34AE" w:rsidRPr="00BD7A1A" w:rsidRDefault="00CF6FA2" w:rsidP="004143D5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CF6FA2">
              <w:t>Директо</w:t>
            </w:r>
            <w:bookmarkStart w:id="5" w:name="_GoBack"/>
            <w:bookmarkEnd w:id="5"/>
            <w:r w:rsidRPr="00CF6FA2">
              <w:t>р Бюро развития электросвязи</w:t>
            </w:r>
          </w:p>
        </w:tc>
      </w:tr>
      <w:tr w:rsidR="00CD34AE" w:rsidRPr="00BD7A1A" w:rsidTr="00270876">
        <w:tc>
          <w:tcPr>
            <w:tcW w:w="9923" w:type="dxa"/>
            <w:gridSpan w:val="2"/>
          </w:tcPr>
          <w:p w:rsidR="00CD34AE" w:rsidRPr="00CF6FA2" w:rsidRDefault="00CF6FA2" w:rsidP="004143D5">
            <w:pPr>
              <w:pStyle w:val="Title1"/>
            </w:pPr>
            <w:bookmarkStart w:id="6" w:name="Title"/>
            <w:bookmarkEnd w:id="6"/>
            <w:r w:rsidRPr="00CF6FA2">
              <w:t>ПАРТНЕРСКИЕ ОТНОШЕНИЯ И МОБИЛИЗАЦИЯ РЕСУРСОВ В МСЭ-D</w:t>
            </w:r>
          </w:p>
        </w:tc>
      </w:tr>
      <w:tr w:rsidR="00CD34AE" w:rsidRPr="00BD7A1A" w:rsidTr="00CD34AE"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:rsidR="00CD34AE" w:rsidRPr="00A721F4" w:rsidRDefault="00CD34AE" w:rsidP="00CD34AE"/>
        </w:tc>
      </w:tr>
      <w:tr w:rsidR="00CD34AE" w:rsidRPr="00BD7A1A" w:rsidTr="00CD34AE">
        <w:trPr>
          <w:trHeight w:val="703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AE" w:rsidRPr="00F961B7" w:rsidRDefault="00CD34AE" w:rsidP="00CD34AE">
            <w:pPr>
              <w:spacing w:before="240"/>
              <w:rPr>
                <w:b/>
                <w:bCs/>
              </w:rPr>
            </w:pPr>
            <w:r w:rsidRPr="00F961B7">
              <w:rPr>
                <w:b/>
                <w:bCs/>
              </w:rPr>
              <w:t>Резюме</w:t>
            </w:r>
          </w:p>
          <w:p w:rsidR="00CD34AE" w:rsidRPr="000909CE" w:rsidRDefault="000909CE" w:rsidP="000909CE">
            <w:r w:rsidRPr="000909CE">
              <w:t>На ВКРЭ-17 было особо отмечено значение партнерских отношений и мобилизации ресурсов. В</w:t>
            </w:r>
            <w:r>
              <w:t> </w:t>
            </w:r>
            <w:r w:rsidRPr="000909CE">
              <w:t>настоящем документе представлен обзор основной задачи, мер по внедрению управления, ориентированного на результаты, и направления дальнейших действий по укреплению партнерских отношений и мобилизации ресурсов.</w:t>
            </w:r>
          </w:p>
          <w:p w:rsidR="00CD34AE" w:rsidRPr="00F961B7" w:rsidRDefault="00CD34AE" w:rsidP="00CD34AE">
            <w:pPr>
              <w:rPr>
                <w:b/>
                <w:bCs/>
              </w:rPr>
            </w:pPr>
            <w:r w:rsidRPr="00F961B7">
              <w:rPr>
                <w:b/>
                <w:bCs/>
              </w:rPr>
              <w:t>Необходимые действия</w:t>
            </w:r>
          </w:p>
          <w:p w:rsidR="00CD34AE" w:rsidRPr="000909CE" w:rsidRDefault="000909CE" w:rsidP="00CD34AE">
            <w:r w:rsidRPr="000909CE">
              <w:t>КГРЭ предлагается принять настоящий документ к сведению и по мере необходимости предоставить руководящие указания.</w:t>
            </w:r>
          </w:p>
          <w:p w:rsidR="00CD34AE" w:rsidRDefault="00CD34AE" w:rsidP="00CD34AE">
            <w:pPr>
              <w:rPr>
                <w:b/>
                <w:bCs/>
              </w:rPr>
            </w:pPr>
            <w:r w:rsidRPr="00F961B7">
              <w:rPr>
                <w:b/>
                <w:bCs/>
              </w:rPr>
              <w:t>Справочные материалы</w:t>
            </w:r>
          </w:p>
          <w:p w:rsidR="00CD34AE" w:rsidRPr="000909CE" w:rsidRDefault="000909CE" w:rsidP="00C47B44">
            <w:pPr>
              <w:spacing w:after="120"/>
            </w:pPr>
            <w:r>
              <w:t xml:space="preserve">Резолюция 71 ПК, Приложение 1, цель 5 и конечный результат деятельности D.1.e; </w:t>
            </w:r>
            <w:r w:rsidR="00C47B44">
              <w:br/>
            </w:r>
            <w:r>
              <w:t>Резолюции 17 (Пересм. Буэнос-Айрес, 2017 г.) ВКРЭ и 71 (Пересм. Буэнос-Айрес, 2017 г.)</w:t>
            </w:r>
          </w:p>
        </w:tc>
      </w:tr>
    </w:tbl>
    <w:p w:rsidR="000909CE" w:rsidRDefault="000909CE" w:rsidP="00C47B44">
      <w:pPr>
        <w:pStyle w:val="Heading1"/>
      </w:pPr>
      <w:r>
        <w:t>1</w:t>
      </w:r>
      <w:r>
        <w:tab/>
        <w:t>Базовая информация</w:t>
      </w:r>
    </w:p>
    <w:p w:rsidR="000909CE" w:rsidRDefault="000909CE" w:rsidP="00C47B44">
      <w:r>
        <w:t>На Всемирной конференции по развитию электросвязи 2017 года (ВКРЭ-17) была особо отмечена решающая роль партнерских отношений и сотрудничества, а также мобилизации ресурсов для</w:t>
      </w:r>
      <w:r w:rsidR="00C47B44">
        <w:rPr>
          <w:lang w:val="en-US"/>
        </w:rPr>
        <w:t> </w:t>
      </w:r>
      <w:r>
        <w:t xml:space="preserve">поддержки осуществления Плана действий Буэнос-Айреса (включая Оперативный план БРЭ, проекты и региональные инициативы), Направлений деятельности ВВУИО, а также достижения Целей в области устойчивого развития (ЦУР), в особенности ЦУР 17. </w:t>
      </w:r>
    </w:p>
    <w:p w:rsidR="000909CE" w:rsidRDefault="000909CE" w:rsidP="00C47B44">
      <w:r>
        <w:t>В Плане действий ВКРЭ-17 указывается, что программы следует по возможности осуществлять в</w:t>
      </w:r>
      <w:r w:rsidR="00C47B44">
        <w:rPr>
          <w:lang w:val="en-US"/>
        </w:rPr>
        <w:t> </w:t>
      </w:r>
      <w:r>
        <w:t>партнерстве с другими организациями и заинтересованными сторонами, включая Членов Сектора, Академические организации, неправительственные организации, другие учреждения и сети системы Организации Объединенных Наций, с тем чтобы использовать воздействие разработанных в рамках этих программ продуктов и услуг. В частности, "региональные инициативы рассчитаны на работу в</w:t>
      </w:r>
      <w:r w:rsidR="00C47B44">
        <w:rPr>
          <w:lang w:val="en-US"/>
        </w:rPr>
        <w:t> </w:t>
      </w:r>
      <w:r>
        <w:t>конкретных приоритетных областях электросвязи/ИКТ с помощью партнерских отношений и</w:t>
      </w:r>
      <w:r w:rsidR="00C47B44">
        <w:rPr>
          <w:lang w:val="en-US"/>
        </w:rPr>
        <w:t> </w:t>
      </w:r>
      <w:r>
        <w:t>мобилизации ресурсов для выполнения проектов".</w:t>
      </w:r>
    </w:p>
    <w:p w:rsidR="000909CE" w:rsidRDefault="000909CE" w:rsidP="00880FD2">
      <w:pPr>
        <w:keepLines/>
      </w:pPr>
      <w:r>
        <w:lastRenderedPageBreak/>
        <w:t>В Резолюции 17 ВКРЭ содержится, в частности, решение о том, "чтобы БРЭ продолжало активное создание партнерств с Государствами-Членами, Членами Сектора МСЭ-D, финансовыми учреждениями и международными организациями в целях обеспечения финансирования деятельности, связанной с осуществлением этих инициатив"; она также призывает "международные финансовые организации/учреждения, поставщиков оборудования и операторов/поставщиков услуг участвовать полностью или частично в финансировании этих инициатив, одобренных регионами".</w:t>
      </w:r>
    </w:p>
    <w:p w:rsidR="000909CE" w:rsidRDefault="000909CE" w:rsidP="000909CE">
      <w:r>
        <w:t>В Резолюции 71 также учитывается, что "партнерские отношения между государственным и частным секторами, включая МСЭ и другие объединения, такие как национальные, региональные, международные и межправительственные организации, в зависимости от случая, продолжают иметь решающее значение для обеспечения устойчивого развития электросвязи/информационно-коммуникационных технологий (ИКТ)".</w:t>
      </w:r>
    </w:p>
    <w:p w:rsidR="000909CE" w:rsidRDefault="000909CE" w:rsidP="00C47B44">
      <w:pPr>
        <w:pStyle w:val="Heading1"/>
      </w:pPr>
      <w:r>
        <w:t>2</w:t>
      </w:r>
      <w:r>
        <w:tab/>
        <w:t>Стратегическая задача</w:t>
      </w:r>
    </w:p>
    <w:p w:rsidR="000909CE" w:rsidRDefault="000909CE" w:rsidP="00C47B44">
      <w:r>
        <w:t>В соответствии с решениями ВКРЭ-17 задача заключается в том, чтобы налаживать, развивать и</w:t>
      </w:r>
      <w:r w:rsidR="00C47B44">
        <w:rPr>
          <w:lang w:val="en-US"/>
        </w:rPr>
        <w:t> </w:t>
      </w:r>
      <w:r>
        <w:t xml:space="preserve">укреплять партнерские отношения и сотрудничество с различными заинтересованными сторонами, в том числе с другими учреждениями системы Организации Объединенных Наций, международными и региональными организациями, Государствами – Членами МСЭ, Членами Сектора МСЭ-D, Ассоциированными членами, Академическими организациями и другими соответствующими партнерами из развитых и развивающихся стран в целях повышения эффективности мобилизации ресурсов, предотвращения дублирования усилий и оказания МСЭ-D поддержки в осуществлении программ и региональных инициатив. </w:t>
      </w:r>
    </w:p>
    <w:p w:rsidR="000909CE" w:rsidRDefault="00C47B44" w:rsidP="00C47B44">
      <w:pPr>
        <w:pStyle w:val="Heading1"/>
      </w:pPr>
      <w:r>
        <w:t>3</w:t>
      </w:r>
      <w:r>
        <w:tab/>
        <w:t>Анализ состояния дел</w:t>
      </w:r>
    </w:p>
    <w:p w:rsidR="000909CE" w:rsidRDefault="000909CE" w:rsidP="00DF4EA8">
      <w:r>
        <w:t>В 2018 году, между БРЭ и различными заинтересованными сторонами было подписано 43 новых партнерских соглашения и 7 дополнений/поправок, оценочная стоимость которых составляет 10,9</w:t>
      </w:r>
      <w:r w:rsidR="00C47B44">
        <w:rPr>
          <w:lang w:val="en-US"/>
        </w:rPr>
        <w:t> </w:t>
      </w:r>
      <w:r>
        <w:t>млн. долл. США, при совместном финансировании БРЭ и внешних партнеров. Перечень этих соглашений с подробной информацией (например, сведениями о сторонах, типе партнерства</w:t>
      </w:r>
      <w:r w:rsidR="00C47B44">
        <w:rPr>
          <w:rStyle w:val="FootnoteReference"/>
        </w:rPr>
        <w:footnoteReference w:id="1"/>
      </w:r>
      <w:r>
        <w:t xml:space="preserve">, дате вступления в силу, стоимости и задачах) представлен в Документе </w:t>
      </w:r>
      <w:hyperlink r:id="rId8" w:history="1">
        <w:r w:rsidRPr="00C47B44">
          <w:rPr>
            <w:rStyle w:val="Hyperlink"/>
          </w:rPr>
          <w:t>INF/3</w:t>
        </w:r>
      </w:hyperlink>
      <w:r>
        <w:rPr>
          <w:rStyle w:val="FootnoteReference"/>
        </w:rPr>
        <w:footnoteReference w:id="2"/>
      </w:r>
      <w:r>
        <w:t>. Заключение этих соглашений стало возможным благодаря совокупной поддержке и усилиям со стороны членов и</w:t>
      </w:r>
      <w:r w:rsidR="00C47B44">
        <w:rPr>
          <w:lang w:val="en-US"/>
        </w:rPr>
        <w:t> </w:t>
      </w:r>
      <w:r>
        <w:t>партнеров МСЭ, а также сотрудников БРЭ как на</w:t>
      </w:r>
      <w:r w:rsidR="00C47B44">
        <w:t xml:space="preserve"> местах, так и в штаб-квартире.</w:t>
      </w:r>
    </w:p>
    <w:p w:rsidR="000909CE" w:rsidRDefault="000909CE" w:rsidP="00C47B44">
      <w:r>
        <w:t>В период с 2015 по 2018 год было подписано 200 новых партнерских соглашений и</w:t>
      </w:r>
      <w:r w:rsidR="00C47B44">
        <w:rPr>
          <w:lang w:val="en-US"/>
        </w:rPr>
        <w:t> </w:t>
      </w:r>
      <w:r>
        <w:t>39</w:t>
      </w:r>
      <w:r w:rsidR="00C47B44">
        <w:rPr>
          <w:lang w:val="en-US"/>
        </w:rPr>
        <w:t> </w:t>
      </w:r>
      <w:r>
        <w:t>дополнений/поправок между БРЭ и различными партнерами со следующим распределением по</w:t>
      </w:r>
      <w:r w:rsidR="00C47B44">
        <w:rPr>
          <w:lang w:val="en-US"/>
        </w:rPr>
        <w:t> </w:t>
      </w:r>
      <w:r>
        <w:t>регионам-бенефи</w:t>
      </w:r>
      <w:r w:rsidR="00880FD2">
        <w:t>циарам и областям деятельности.</w:t>
      </w:r>
    </w:p>
    <w:p w:rsidR="0040328D" w:rsidRPr="00DF4EA8" w:rsidRDefault="000909CE" w:rsidP="00AF2AC1">
      <w:pPr>
        <w:keepNext/>
        <w:jc w:val="center"/>
        <w:rPr>
          <w:b/>
          <w:bCs/>
        </w:rPr>
      </w:pPr>
      <w:r w:rsidRPr="00AF2AC1">
        <w:rPr>
          <w:b/>
          <w:bCs/>
        </w:rPr>
        <w:lastRenderedPageBreak/>
        <w:t>Диаграммы: соглашения, подписанные в период с 2015 по 2018 год</w:t>
      </w:r>
      <w:r w:rsidR="00DF4EA8">
        <w:rPr>
          <w:b/>
          <w:bCs/>
        </w:rPr>
        <w:t>ы</w:t>
      </w:r>
    </w:p>
    <w:p w:rsidR="00AF2AC1" w:rsidRDefault="00AF2AC1" w:rsidP="00880FD2">
      <w:pPr>
        <w:spacing w:before="240" w:after="240"/>
        <w:jc w:val="center"/>
      </w:pPr>
      <w:r>
        <w:rPr>
          <w:noProof/>
          <w:lang w:val="en-GB" w:eastAsia="zh-CN"/>
        </w:rPr>
        <w:drawing>
          <wp:inline distT="0" distB="0" distL="0" distR="0">
            <wp:extent cx="5400000" cy="3149001"/>
            <wp:effectExtent l="0" t="0" r="10795" b="13335"/>
            <wp:docPr id="2" name="Char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05806" w:rsidRDefault="00505806" w:rsidP="00880FD2">
      <w:pPr>
        <w:spacing w:before="240" w:after="240"/>
        <w:jc w:val="center"/>
      </w:pPr>
      <w:r>
        <w:rPr>
          <w:noProof/>
          <w:lang w:val="en-GB" w:eastAsia="zh-CN"/>
        </w:rPr>
        <w:drawing>
          <wp:inline distT="0" distB="0" distL="0" distR="0" wp14:anchorId="10A77256" wp14:editId="02DA091D">
            <wp:extent cx="5400000" cy="3149002"/>
            <wp:effectExtent l="0" t="0" r="10795" b="13335"/>
            <wp:docPr id="3" name="Char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909CE" w:rsidRPr="006E290B" w:rsidRDefault="000909CE" w:rsidP="006E290B">
      <w:pPr>
        <w:pStyle w:val="Note"/>
        <w:ind w:left="567" w:right="567"/>
        <w:rPr>
          <w:i/>
          <w:iCs/>
          <w:sz w:val="18"/>
          <w:szCs w:val="18"/>
        </w:rPr>
      </w:pPr>
      <w:r w:rsidRPr="006E290B">
        <w:rPr>
          <w:i/>
          <w:iCs/>
          <w:sz w:val="18"/>
          <w:szCs w:val="18"/>
        </w:rPr>
        <w:t>Примечание. – В 2015 году было подписано 28 соглашений для осуществления "Совместной деятельности по созданию потенциала в рамках центров профессионал</w:t>
      </w:r>
      <w:r w:rsidR="006E290B" w:rsidRPr="006E290B">
        <w:rPr>
          <w:i/>
          <w:iCs/>
          <w:sz w:val="18"/>
          <w:szCs w:val="18"/>
        </w:rPr>
        <w:t>ьного мастерства Академии МСЭ".</w:t>
      </w:r>
    </w:p>
    <w:p w:rsidR="000909CE" w:rsidRDefault="000909CE" w:rsidP="00C47B44">
      <w:pPr>
        <w:pStyle w:val="Heading1"/>
      </w:pPr>
      <w:r>
        <w:lastRenderedPageBreak/>
        <w:t>4</w:t>
      </w:r>
      <w:r>
        <w:tab/>
        <w:t>Основные действия и конечные результаты</w:t>
      </w:r>
    </w:p>
    <w:p w:rsidR="000909CE" w:rsidRDefault="00DF4EA8" w:rsidP="00C47B44">
      <w:pPr>
        <w:pStyle w:val="Heading2"/>
      </w:pPr>
      <w:r>
        <w:t>4</w:t>
      </w:r>
      <w:r w:rsidR="000909CE">
        <w:t>.1</w:t>
      </w:r>
      <w:r w:rsidR="000909CE">
        <w:tab/>
        <w:t>Внешняя деятельность и конечные результаты</w:t>
      </w:r>
    </w:p>
    <w:p w:rsidR="000909CE" w:rsidRDefault="000909CE" w:rsidP="00880FD2">
      <w:pPr>
        <w:keepLines/>
      </w:pPr>
      <w:r>
        <w:t>Партнерство и мобилизация ресурсов в первую очередь являются деятельностью по налаживанию отношений, основанных на доверии, уверенности и уважении. БРЭ уделяет особое внимание укреплению отношений с традиционными партнерами, призывая их к налаживанию долгосрочных связей, но в то же время признает важность расширения и диверсификации своей партнерской базы. Для поддержания связей с различными структурами проводятся собрания и реализуются стратегические миссии, что дает БРЭ возможность налаживать партнерские отношения с различными заинтересованными сторонами в экосистеме ИКТ. Подписаны соглашения со структурами, работающими в различных секторах, таких как здравоохранение/фармацевтика, финансы, сельское хозяйство и защита окружающей среды: например, с ЮНЕП, УООН, ЮНИДО, СБК/ССК</w:t>
      </w:r>
      <w:r w:rsidR="00C47B44">
        <w:rPr>
          <w:rStyle w:val="FootnoteReference"/>
        </w:rPr>
        <w:footnoteReference w:id="3"/>
      </w:r>
      <w:r>
        <w:t>, ЮНИТАР, МОТ, МАТО</w:t>
      </w:r>
      <w:r w:rsidR="00C47B44">
        <w:rPr>
          <w:rStyle w:val="FootnoteReference"/>
        </w:rPr>
        <w:footnoteReference w:id="4"/>
      </w:r>
      <w:r w:rsidR="00C47B44">
        <w:t>, UN-ViE SCYCLE</w:t>
      </w:r>
      <w:r w:rsidR="00C47B44">
        <w:rPr>
          <w:rStyle w:val="FootnoteReference"/>
        </w:rPr>
        <w:footnoteReference w:id="5"/>
      </w:r>
      <w:r>
        <w:t xml:space="preserve"> для реализации проектов, связанных с электронными отходами; с ВОЗ, Всемирным фондом для борьбы с диабетом, Фондом Пьера Фавра, ЕС, ARM, Ассоциацией GSM, Sanofi Avantis Group, Navartis Pharma AG, Glaxosmithkline (GSK) Services и Норвежским директоратом здравоохранения для реализации проектов в области мобильного здравоохранения; с ФАО для реализации проектов в области электронного сельского хозяйства; а также с Фондом Билла и Мелинды Гейтс для осуществления Глобальной инициативы по охвату финансовыми услугами (FIGI).</w:t>
      </w:r>
    </w:p>
    <w:p w:rsidR="000909CE" w:rsidRDefault="000909CE" w:rsidP="00F65104">
      <w:r>
        <w:t xml:space="preserve">Налаживание партнерских отношений с ключевыми </w:t>
      </w:r>
      <w:r w:rsidR="00F65104">
        <w:t>заинтересованными сторонами</w:t>
      </w:r>
      <w:r>
        <w:t xml:space="preserve"> позволяет БРЭ привлекать ресурсы, разделять затраты на реализацию проектов, предотвращать частичное совпадение и дублирование усилий, повышать результативность проектов и добиваться того, чтобы</w:t>
      </w:r>
      <w:r w:rsidR="00F65104">
        <w:t> </w:t>
      </w:r>
      <w:r>
        <w:t>деятельность БРЭ была более заметной для внешних наблюдателей. Кроме того, появляются новые возможности для установления связей с нетрадиционными партнерами, предоставляющими ресурсы, с помощью совместной информационно-пропагандистской деятельности.</w:t>
      </w:r>
    </w:p>
    <w:p w:rsidR="000909CE" w:rsidRDefault="000909CE" w:rsidP="00F65104">
      <w:r>
        <w:t>Для достижения доверия, уверенности и удовлетворенности в отношениях с партнером(ами) важнейшую роль играет своевременная и эффективная реализация продуктов для партнерского взаимодействия (например, проекты или спонсорство) при обеспечении высокого качества результатов работы и связи. Это позволяет улучшить партнерское взаимодействие в будущем и</w:t>
      </w:r>
      <w:r w:rsidR="00F65104">
        <w:rPr>
          <w:lang w:val="en-US"/>
        </w:rPr>
        <w:t> </w:t>
      </w:r>
      <w:r>
        <w:t>повысить эффективность мобилизации ресурсов. Удачным примером являются партнерские отношения с Европейской комиссией в рамках инициативы по расширению внедрения беспроводной широкополосной связи на Африканском континенте благодаря более совершенному и</w:t>
      </w:r>
      <w:r w:rsidR="00F65104">
        <w:rPr>
          <w:lang w:val="en-US"/>
        </w:rPr>
        <w:t> </w:t>
      </w:r>
      <w:r>
        <w:t xml:space="preserve">согласованному использованию и регулированию спектра. Общие затраты на данную инициативу составляют 5,5 млн. евро, что служит стимулом к укреплению партнерских отношений с Африканским союзом, а также совместной работы в рамках МСЭ. </w:t>
      </w:r>
    </w:p>
    <w:p w:rsidR="000909CE" w:rsidRDefault="000909CE" w:rsidP="00F65104">
      <w:r>
        <w:t xml:space="preserve">В рамках </w:t>
      </w:r>
      <w:hyperlink r:id="rId11" w:history="1">
        <w:r w:rsidRPr="006E290B">
          <w:rPr>
            <w:rStyle w:val="Hyperlink"/>
            <w:i/>
            <w:iCs/>
          </w:rPr>
          <w:t>платформы возможностей спонсорской поддержки</w:t>
        </w:r>
      </w:hyperlink>
      <w:r>
        <w:t xml:space="preserve"> предлагаются различные спонсорские пакеты для проведения сопутствующих/протокольных мероприятий, приуроченных к мероприятиям, организуемым БРЭ (таким как Глобальный симпозиум для регуляторных органов (ГСР-18) и собрания исследовательских комиссий МСЭ-D (СГД-18 МСЭ-D)). Привлеченные ресурсы используются для</w:t>
      </w:r>
      <w:r w:rsidR="00F65104">
        <w:rPr>
          <w:lang w:val="en-US"/>
        </w:rPr>
        <w:t> </w:t>
      </w:r>
      <w:r>
        <w:t>организации спонсируемых мероприятий и их соответствующего освещения, а также в качестве начального финансирования для осуществления различных видов деятельности, проектов и</w:t>
      </w:r>
      <w:r w:rsidR="00F65104">
        <w:rPr>
          <w:lang w:val="en-US"/>
        </w:rPr>
        <w:t> </w:t>
      </w:r>
      <w:r>
        <w:t>инициатив, включая региональные инициативы, и возможного предоставления стипендий.</w:t>
      </w:r>
    </w:p>
    <w:p w:rsidR="000909CE" w:rsidRDefault="00DF4EA8" w:rsidP="00F65104">
      <w:pPr>
        <w:pStyle w:val="Heading2"/>
      </w:pPr>
      <w:r>
        <w:lastRenderedPageBreak/>
        <w:t>4</w:t>
      </w:r>
      <w:r w:rsidR="000909CE">
        <w:t>.2</w:t>
      </w:r>
      <w:r w:rsidR="000909CE">
        <w:tab/>
        <w:t>Внутренняя деятельность и конечные результаты</w:t>
      </w:r>
    </w:p>
    <w:p w:rsidR="000909CE" w:rsidRDefault="000909CE" w:rsidP="000909CE">
      <w:r>
        <w:t xml:space="preserve">Партнерские отношения и мобилизация ресурсов признаются БРЭ в качестве общей ответственности. В рамках выездного совещания руководства БРЭ была организована сессия, посвященная мобилизации ресурсов, в ходе которой сотрудники обменялись опытом и обсудили существующие проблемы и возможности. По итогам этой сессии была разработана дорожная карта, которая предусматривает следующие десять приоритетных мер по повышению эффективности мобилизации ресурсов: </w:t>
      </w:r>
    </w:p>
    <w:p w:rsidR="000909CE" w:rsidRDefault="00E53713" w:rsidP="00F65104">
      <w:pPr>
        <w:pStyle w:val="enumlev1"/>
      </w:pPr>
      <w:r>
        <w:t>1)</w:t>
      </w:r>
      <w:r w:rsidR="000909CE">
        <w:tab/>
        <w:t>стратегия мобилизации ресурсов;</w:t>
      </w:r>
    </w:p>
    <w:p w:rsidR="000909CE" w:rsidRDefault="000909CE" w:rsidP="00E53713">
      <w:pPr>
        <w:pStyle w:val="enumlev1"/>
      </w:pPr>
      <w:r>
        <w:t>2</w:t>
      </w:r>
      <w:r w:rsidR="00E53713">
        <w:t>)</w:t>
      </w:r>
      <w:r>
        <w:tab/>
        <w:t>комплексное взаимодействие на дружественной основе;</w:t>
      </w:r>
    </w:p>
    <w:p w:rsidR="000909CE" w:rsidRDefault="000909CE" w:rsidP="00E53713">
      <w:pPr>
        <w:pStyle w:val="enumlev1"/>
      </w:pPr>
      <w:r>
        <w:t>3</w:t>
      </w:r>
      <w:r w:rsidR="00E53713">
        <w:t>)</w:t>
      </w:r>
      <w:r>
        <w:tab/>
        <w:t>критерии взаимодействия с партнерами, предоставляющими ценные ресурсы;</w:t>
      </w:r>
    </w:p>
    <w:p w:rsidR="000909CE" w:rsidRDefault="000909CE" w:rsidP="00E53713">
      <w:pPr>
        <w:pStyle w:val="enumlev1"/>
      </w:pPr>
      <w:r>
        <w:t>4</w:t>
      </w:r>
      <w:r w:rsidR="00E53713">
        <w:t>)</w:t>
      </w:r>
      <w:r>
        <w:tab/>
        <w:t>отчеты по исследованиям рынка применительно к основным направлениям для повышения осведомленности и для рассмотрения предоставляющими ресурсы партнерами;</w:t>
      </w:r>
    </w:p>
    <w:p w:rsidR="000909CE" w:rsidRDefault="000909CE" w:rsidP="00E53713">
      <w:pPr>
        <w:pStyle w:val="enumlev1"/>
      </w:pPr>
      <w:r>
        <w:t>5</w:t>
      </w:r>
      <w:r w:rsidR="00E53713">
        <w:t>)</w:t>
      </w:r>
      <w:r>
        <w:tab/>
        <w:t>масштабные инициативы в целях осуществления преобразований по основным направлениям при поддержке руководства МСЭ/БРЭ;</w:t>
      </w:r>
    </w:p>
    <w:p w:rsidR="000909CE" w:rsidRDefault="000909CE" w:rsidP="00E53713">
      <w:pPr>
        <w:pStyle w:val="enumlev1"/>
      </w:pPr>
      <w:r>
        <w:t>6</w:t>
      </w:r>
      <w:r w:rsidR="00E53713">
        <w:t>)</w:t>
      </w:r>
      <w:r>
        <w:tab/>
        <w:t>разработка гибких механизмов для партнера;</w:t>
      </w:r>
    </w:p>
    <w:p w:rsidR="000909CE" w:rsidRDefault="000909CE" w:rsidP="00E53713">
      <w:pPr>
        <w:pStyle w:val="enumlev1"/>
      </w:pPr>
      <w:r>
        <w:t>7</w:t>
      </w:r>
      <w:r w:rsidR="00E53713">
        <w:t>)</w:t>
      </w:r>
      <w:r>
        <w:tab/>
        <w:t>подготовка персонала;</w:t>
      </w:r>
    </w:p>
    <w:p w:rsidR="000909CE" w:rsidRDefault="000909CE" w:rsidP="00E53713">
      <w:pPr>
        <w:pStyle w:val="enumlev1"/>
      </w:pPr>
      <w:r>
        <w:t>8</w:t>
      </w:r>
      <w:r w:rsidR="00E53713">
        <w:t>)</w:t>
      </w:r>
      <w:r>
        <w:tab/>
        <w:t>инструмент для предпринимателей, с помощью которого предоставляется важная информация по областям, представляющим интерес, и по всем партнерам, предоставляющим ресурсы;</w:t>
      </w:r>
    </w:p>
    <w:p w:rsidR="000909CE" w:rsidRDefault="000909CE" w:rsidP="00E53713">
      <w:pPr>
        <w:pStyle w:val="enumlev1"/>
      </w:pPr>
      <w:r>
        <w:t>9</w:t>
      </w:r>
      <w:r w:rsidR="00E53713">
        <w:t>)</w:t>
      </w:r>
      <w:r>
        <w:tab/>
        <w:t>использование соответствующего инструмента для управления мобилизацией ресурсов, включая четкий механизм отчетности и целевые KPI для предпринимателей;</w:t>
      </w:r>
    </w:p>
    <w:p w:rsidR="000909CE" w:rsidRDefault="000909CE" w:rsidP="00E53713">
      <w:pPr>
        <w:pStyle w:val="enumlev1"/>
      </w:pPr>
      <w:r>
        <w:t>10</w:t>
      </w:r>
      <w:r w:rsidR="00E53713">
        <w:t>)</w:t>
      </w:r>
      <w:r>
        <w:tab/>
        <w:t>использование существующих платформ для укрепления и поощрения партнерских отношений.</w:t>
      </w:r>
    </w:p>
    <w:p w:rsidR="000909CE" w:rsidRDefault="000909CE" w:rsidP="00F65104">
      <w:r>
        <w:t>Для реализации вышеперечисленных пунктов были предприняты следующие шаги: в июле 2018 года было организовано обучение по мобилизации ресурсов для специалистов уровня P2 и P3, работающих в данной сфере; выездные презентации/стратегические миссии в Америке (США) и</w:t>
      </w:r>
      <w:r w:rsidR="00F65104">
        <w:rPr>
          <w:lang w:val="en-US"/>
        </w:rPr>
        <w:t> </w:t>
      </w:r>
      <w:r>
        <w:t>Азиатско-Тихоокеанском регионе (Филиппины); а также многочисленные информационно-просветительские мероприятия с участием существующих и потенциальных партнеров, двусторонних/многосторонних учреждений и финансовых институтов (таких как Фонд международного развития ОПЕК, ФАР, ADA, ЕК, Всемирный банк, МФК, Азиатский банк развития, Исламский банк развития и др.), учреждений ООН (ЮНИДО, ВОЗ, ПРООН, ЮНОП, ЮНФПА, СЕРФООН, ДЭСВООН и др.), а также фондов (таких как Фонд Клинтона, Фонд ООН, Фонд Citi, Фонд Telefonica, Фонд ProFuturo и др.). Цель заключалась в том, чтобы повысить осведомленность о деятельности МСЭ, в частности БРЭ, и расширить возможности по налаживанию партнерских отношений и</w:t>
      </w:r>
      <w:r w:rsidR="00F65104">
        <w:rPr>
          <w:lang w:val="en-US"/>
        </w:rPr>
        <w:t> </w:t>
      </w:r>
      <w:r>
        <w:t>мобилизации ресурсов. Стратегия мобилизации ресурсов для БРЭ будет дорабатываться с учетом конченых результатов предыдущих и предстоящих выездных совещаний руководства БРЭ.</w:t>
      </w:r>
    </w:p>
    <w:p w:rsidR="000909CE" w:rsidRDefault="000909CE" w:rsidP="00F65104">
      <w:r>
        <w:t>Кроме того, регулярно обновляется база данных партнерских соглашений, которая используется в</w:t>
      </w:r>
      <w:r w:rsidR="00F65104">
        <w:rPr>
          <w:lang w:val="en-US"/>
        </w:rPr>
        <w:t> </w:t>
      </w:r>
      <w:r>
        <w:t>качестве системы для регистрации информации обо всех соглашениях, подписанных БРЭ с</w:t>
      </w:r>
      <w:r w:rsidR="00F65104">
        <w:rPr>
          <w:lang w:val="en-US"/>
        </w:rPr>
        <w:t> </w:t>
      </w:r>
      <w:r>
        <w:t xml:space="preserve">различными заинтересованными сторонами. Механизм поиска позволяет сотрудникам БРЭ определять потенциальных партнеров для будущих видов деятельности, проектов и инициатив. </w:t>
      </w:r>
    </w:p>
    <w:p w:rsidR="000909CE" w:rsidRDefault="000909CE" w:rsidP="00F65104">
      <w:pPr>
        <w:pStyle w:val="Heading1"/>
      </w:pPr>
      <w:r>
        <w:lastRenderedPageBreak/>
        <w:t>5</w:t>
      </w:r>
      <w:r>
        <w:tab/>
        <w:t>Направление дальнейших действий</w:t>
      </w:r>
    </w:p>
    <w:p w:rsidR="000909CE" w:rsidRDefault="000909CE" w:rsidP="00305628">
      <w:pPr>
        <w:keepNext/>
      </w:pPr>
      <w:r>
        <w:t>Директор БРЭ изучает подход БРЭ к мобилизации ресурсов, спонсорству, партнерству и реализации проектов. Соответствующие вопросы будут рассматриваться в рамках выездного совещания перед собранием КГРЭ.</w:t>
      </w:r>
    </w:p>
    <w:p w:rsidR="000909CE" w:rsidRDefault="000909CE" w:rsidP="00F65104">
      <w:r>
        <w:t>С учетом вышесказанного БРЭ будет и далее совершенствовать свои инструменты и услуги по</w:t>
      </w:r>
      <w:r w:rsidR="00F65104">
        <w:rPr>
          <w:lang w:val="en-US"/>
        </w:rPr>
        <w:t> </w:t>
      </w:r>
      <w:r>
        <w:t>мобилизации ресурсов, а также укреплять отношения сотрудничества с традиционными и</w:t>
      </w:r>
      <w:r w:rsidR="00F65104">
        <w:rPr>
          <w:lang w:val="en-US"/>
        </w:rPr>
        <w:t> </w:t>
      </w:r>
      <w:r>
        <w:t xml:space="preserve">нетрадиционными партнерами из сектора электросвязи/ИКТ и других секторов конвергированной экосистемы для осуществления глобальных, региональных и национальных проектов и инициатив, включая региональные инициативы. </w:t>
      </w:r>
    </w:p>
    <w:p w:rsidR="0040328D" w:rsidRPr="00156BF6" w:rsidRDefault="000909CE" w:rsidP="000909CE">
      <w:r>
        <w:t>Членам МСЭ предлагается стать партнерами БРЭ в выполнении решений ВКРЭ-17, достижении целей ВВУИО и целей ПК-18, особенно цели 5, а также участии в достижении Целей в области устойчивого развития (ЦУР), с особым вниманием к ЦУР 17.</w:t>
      </w:r>
    </w:p>
    <w:p w:rsidR="0040328D" w:rsidRDefault="0040328D" w:rsidP="000909CE">
      <w:pPr>
        <w:tabs>
          <w:tab w:val="clear" w:pos="794"/>
          <w:tab w:val="clear" w:pos="1191"/>
          <w:tab w:val="clear" w:pos="1588"/>
          <w:tab w:val="clear" w:pos="1985"/>
        </w:tabs>
        <w:spacing w:before="480" w:after="120"/>
        <w:jc w:val="center"/>
      </w:pPr>
      <w:r w:rsidRPr="00156BF6">
        <w:t>_______________</w:t>
      </w:r>
    </w:p>
    <w:sectPr w:rsidR="0040328D" w:rsidSect="00111662">
      <w:headerReference w:type="default" r:id="rId12"/>
      <w:footerReference w:type="default" r:id="rId13"/>
      <w:footerReference w:type="first" r:id="rId14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FA2" w:rsidRDefault="00CF6FA2" w:rsidP="00E54FD2">
      <w:pPr>
        <w:spacing w:before="0"/>
      </w:pPr>
      <w:r>
        <w:separator/>
      </w:r>
    </w:p>
  </w:endnote>
  <w:endnote w:type="continuationSeparator" w:id="0">
    <w:p w:rsidR="00CF6FA2" w:rsidRDefault="00CF6FA2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3CD" w:rsidRPr="00AA42F8" w:rsidRDefault="00DF4EA8" w:rsidP="00DF4EA8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P:\RUS\ITU-D\CONF-D\TDAG19\000\021R.docx</w:t>
    </w:r>
    <w:r>
      <w:fldChar w:fldCharType="end"/>
    </w:r>
    <w:r w:rsidR="00AA42F8">
      <w:t xml:space="preserve"> (</w:t>
    </w:r>
    <w:r>
      <w:t>449227</w:t>
    </w:r>
    <w:r w:rsidR="00AA42F8">
      <w:t>)</w:t>
    </w:r>
    <w:r w:rsidR="00AA42F8">
      <w:tab/>
    </w:r>
    <w:r w:rsidR="00AA42F8">
      <w:fldChar w:fldCharType="begin"/>
    </w:r>
    <w:r w:rsidR="00AA42F8">
      <w:instrText xml:space="preserve"> SAVEDATE \@ DD.MM.YY </w:instrText>
    </w:r>
    <w:r w:rsidR="00AA42F8">
      <w:fldChar w:fldCharType="separate"/>
    </w:r>
    <w:r>
      <w:t>28.02.19</w:t>
    </w:r>
    <w:r w:rsidR="00AA42F8">
      <w:fldChar w:fldCharType="end"/>
    </w:r>
    <w:r w:rsidR="00AA42F8">
      <w:tab/>
    </w:r>
    <w:r w:rsidR="00AA42F8">
      <w:fldChar w:fldCharType="begin"/>
    </w:r>
    <w:r w:rsidR="00AA42F8">
      <w:instrText xml:space="preserve"> PRINTDATE \@ DD.MM.YY </w:instrText>
    </w:r>
    <w:r w:rsidR="00AA42F8">
      <w:fldChar w:fldCharType="separate"/>
    </w:r>
    <w:r>
      <w:t>02.03.15</w:t>
    </w:r>
    <w:r w:rsidR="00AA42F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BD2C91" w:rsidRPr="004D495C" w:rsidTr="004E3CF5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:rsidR="00BD2C91" w:rsidRPr="004D495C" w:rsidRDefault="00BD2C91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Координатор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:rsidR="00BD2C91" w:rsidRPr="00EB2F10" w:rsidRDefault="00BD2C91" w:rsidP="001530FB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:rsidR="00BD2C91" w:rsidRPr="000909CE" w:rsidRDefault="000909CE" w:rsidP="000909CE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0909CE">
            <w:rPr>
              <w:sz w:val="18"/>
              <w:szCs w:val="18"/>
            </w:rPr>
            <w:t>д-р Ын-Чон Ким (</w:t>
          </w:r>
          <w:r w:rsidR="003E62AD">
            <w:rPr>
              <w:sz w:val="18"/>
              <w:szCs w:val="18"/>
              <w:lang w:val="en-GB"/>
            </w:rPr>
            <w:t>Dr</w:t>
          </w:r>
          <w:r w:rsidR="003E62AD" w:rsidRPr="003E62AD">
            <w:rPr>
              <w:sz w:val="18"/>
              <w:szCs w:val="18"/>
            </w:rPr>
            <w:t xml:space="preserve"> </w:t>
          </w:r>
          <w:r w:rsidRPr="000909CE">
            <w:rPr>
              <w:sz w:val="18"/>
              <w:szCs w:val="18"/>
              <w:lang w:val="en-US"/>
            </w:rPr>
            <w:t>Eun</w:t>
          </w:r>
          <w:r w:rsidRPr="000909CE">
            <w:rPr>
              <w:sz w:val="18"/>
              <w:szCs w:val="18"/>
            </w:rPr>
            <w:t>-</w:t>
          </w:r>
          <w:r w:rsidRPr="000909CE">
            <w:rPr>
              <w:sz w:val="18"/>
              <w:szCs w:val="18"/>
              <w:lang w:val="en-US"/>
            </w:rPr>
            <w:t>Jun</w:t>
          </w:r>
          <w:r w:rsidRPr="000909CE">
            <w:rPr>
              <w:sz w:val="18"/>
              <w:szCs w:val="18"/>
            </w:rPr>
            <w:t xml:space="preserve"> </w:t>
          </w:r>
          <w:r w:rsidRPr="000909CE">
            <w:rPr>
              <w:sz w:val="18"/>
              <w:szCs w:val="18"/>
              <w:lang w:val="en-US"/>
            </w:rPr>
            <w:t>Kim</w:t>
          </w:r>
          <w:r w:rsidRPr="000909CE">
            <w:rPr>
              <w:sz w:val="18"/>
              <w:szCs w:val="18"/>
            </w:rPr>
            <w:t>), руководитель Департамента инноваций и партнерских отношений</w:t>
          </w:r>
          <w:r>
            <w:rPr>
              <w:sz w:val="18"/>
              <w:szCs w:val="18"/>
            </w:rPr>
            <w:t xml:space="preserve"> </w:t>
          </w:r>
          <w:r w:rsidRPr="000909CE">
            <w:rPr>
              <w:sz w:val="18"/>
              <w:szCs w:val="18"/>
            </w:rPr>
            <w:t>Бюро развития электросвязи</w:t>
          </w:r>
        </w:p>
      </w:tc>
    </w:tr>
    <w:tr w:rsidR="00BD2C91" w:rsidRPr="004D495C" w:rsidTr="004E3CF5">
      <w:tc>
        <w:tcPr>
          <w:tcW w:w="1418" w:type="dxa"/>
          <w:shd w:val="clear" w:color="auto" w:fill="auto"/>
        </w:tcPr>
        <w:p w:rsidR="00BD2C91" w:rsidRPr="000909CE" w:rsidRDefault="00BD2C91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</w:rPr>
          </w:pPr>
        </w:p>
      </w:tc>
      <w:tc>
        <w:tcPr>
          <w:tcW w:w="3260" w:type="dxa"/>
        </w:tcPr>
        <w:p w:rsidR="00BD2C91" w:rsidRPr="00EB2F10" w:rsidRDefault="00BD2C91" w:rsidP="001530FB">
          <w:pPr>
            <w:pStyle w:val="FirstFooter"/>
            <w:spacing w:before="40"/>
            <w:rPr>
              <w:sz w:val="18"/>
              <w:szCs w:val="18"/>
            </w:rPr>
          </w:pPr>
          <w:r w:rsidRPr="00EB2F10">
            <w:rPr>
              <w:sz w:val="18"/>
              <w:szCs w:val="18"/>
            </w:rPr>
            <w:t>Тел.:</w:t>
          </w:r>
        </w:p>
      </w:tc>
      <w:tc>
        <w:tcPr>
          <w:tcW w:w="4961" w:type="dxa"/>
          <w:shd w:val="clear" w:color="auto" w:fill="auto"/>
        </w:tcPr>
        <w:p w:rsidR="00BD2C91" w:rsidRPr="000909CE" w:rsidRDefault="000909CE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+41 22 730 5900</w:t>
          </w:r>
        </w:p>
      </w:tc>
    </w:tr>
    <w:tr w:rsidR="00BD2C91" w:rsidRPr="004D495C" w:rsidTr="004E3CF5">
      <w:tc>
        <w:tcPr>
          <w:tcW w:w="1418" w:type="dxa"/>
          <w:shd w:val="clear" w:color="auto" w:fill="auto"/>
        </w:tcPr>
        <w:p w:rsidR="00BD2C91" w:rsidRPr="000909CE" w:rsidRDefault="00BD2C91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</w:rPr>
          </w:pPr>
        </w:p>
      </w:tc>
      <w:tc>
        <w:tcPr>
          <w:tcW w:w="3260" w:type="dxa"/>
        </w:tcPr>
        <w:p w:rsidR="00BD2C91" w:rsidRPr="000909CE" w:rsidRDefault="00BD2C91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EB2F10">
            <w:rPr>
              <w:sz w:val="18"/>
              <w:szCs w:val="18"/>
            </w:rPr>
            <w:t>Эл. почта</w:t>
          </w:r>
          <w:r w:rsidRPr="000909CE">
            <w:rPr>
              <w:sz w:val="18"/>
              <w:szCs w:val="18"/>
            </w:rPr>
            <w:t>:</w:t>
          </w:r>
        </w:p>
      </w:tc>
      <w:tc>
        <w:tcPr>
          <w:tcW w:w="4961" w:type="dxa"/>
          <w:shd w:val="clear" w:color="auto" w:fill="auto"/>
        </w:tcPr>
        <w:p w:rsidR="00BD2C91" w:rsidRPr="000909CE" w:rsidRDefault="00DF4EA8" w:rsidP="000909CE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hyperlink r:id="rId1" w:history="1">
            <w:r w:rsidR="000909CE" w:rsidRPr="000909CE">
              <w:rPr>
                <w:rStyle w:val="Hyperlink"/>
                <w:sz w:val="18"/>
                <w:szCs w:val="18"/>
                <w:lang w:val="en-US"/>
              </w:rPr>
              <w:t>eun</w:t>
            </w:r>
            <w:r w:rsidR="000909CE" w:rsidRPr="000909CE">
              <w:rPr>
                <w:rStyle w:val="Hyperlink"/>
                <w:sz w:val="18"/>
                <w:szCs w:val="18"/>
              </w:rPr>
              <w:t>-</w:t>
            </w:r>
            <w:r w:rsidR="000909CE" w:rsidRPr="000909CE">
              <w:rPr>
                <w:rStyle w:val="Hyperlink"/>
                <w:sz w:val="18"/>
                <w:szCs w:val="18"/>
                <w:lang w:val="en-US"/>
              </w:rPr>
              <w:t>ju</w:t>
            </w:r>
            <w:r w:rsidR="000909CE" w:rsidRPr="000909CE">
              <w:rPr>
                <w:rStyle w:val="Hyperlink"/>
                <w:sz w:val="18"/>
                <w:szCs w:val="18"/>
              </w:rPr>
              <w:t>.</w:t>
            </w:r>
            <w:r w:rsidR="000909CE" w:rsidRPr="000909CE">
              <w:rPr>
                <w:rStyle w:val="Hyperlink"/>
                <w:sz w:val="18"/>
                <w:szCs w:val="18"/>
                <w:lang w:val="en-US"/>
              </w:rPr>
              <w:t>kim</w:t>
            </w:r>
            <w:r w:rsidR="000909CE" w:rsidRPr="000909CE">
              <w:rPr>
                <w:rStyle w:val="Hyperlink"/>
                <w:sz w:val="18"/>
                <w:szCs w:val="18"/>
              </w:rPr>
              <w:t>@</w:t>
            </w:r>
            <w:r w:rsidR="000909CE" w:rsidRPr="000909CE">
              <w:rPr>
                <w:rStyle w:val="Hyperlink"/>
                <w:sz w:val="18"/>
                <w:szCs w:val="18"/>
                <w:lang w:val="en-US"/>
              </w:rPr>
              <w:t>itu</w:t>
            </w:r>
            <w:r w:rsidR="000909CE" w:rsidRPr="000909CE">
              <w:rPr>
                <w:rStyle w:val="Hyperlink"/>
                <w:sz w:val="18"/>
                <w:szCs w:val="18"/>
              </w:rPr>
              <w:t>.</w:t>
            </w:r>
            <w:r w:rsidR="000909CE" w:rsidRPr="000909CE">
              <w:rPr>
                <w:rStyle w:val="Hyperlink"/>
                <w:sz w:val="18"/>
                <w:szCs w:val="18"/>
                <w:lang w:val="en-US"/>
              </w:rPr>
              <w:t>int</w:t>
            </w:r>
          </w:hyperlink>
        </w:p>
      </w:tc>
    </w:tr>
  </w:tbl>
  <w:p w:rsidR="00BD2C91" w:rsidRDefault="00BD2C91" w:rsidP="00B52E6E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</w:pPr>
  </w:p>
  <w:p w:rsidR="00B52E6E" w:rsidRPr="006E4AB3" w:rsidRDefault="00DF4EA8" w:rsidP="00B52E6E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caps/>
        <w:noProof/>
        <w:sz w:val="16"/>
      </w:rPr>
    </w:pPr>
    <w:hyperlink r:id="rId2" w:history="1">
      <w:r w:rsidR="004143D5">
        <w:rPr>
          <w:color w:val="0000FF"/>
          <w:sz w:val="18"/>
          <w:szCs w:val="18"/>
          <w:u w:val="single"/>
        </w:rPr>
        <w:t>КГРЭ</w:t>
      </w:r>
    </w:hyperlink>
    <w:hyperlink r:id="rId3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FA2" w:rsidRDefault="00CF6FA2" w:rsidP="00E54FD2">
      <w:pPr>
        <w:spacing w:before="0"/>
      </w:pPr>
      <w:r>
        <w:separator/>
      </w:r>
    </w:p>
  </w:footnote>
  <w:footnote w:type="continuationSeparator" w:id="0">
    <w:p w:rsidR="00CF6FA2" w:rsidRDefault="00CF6FA2" w:rsidP="00E54FD2">
      <w:pPr>
        <w:spacing w:before="0"/>
      </w:pPr>
      <w:r>
        <w:continuationSeparator/>
      </w:r>
    </w:p>
  </w:footnote>
  <w:footnote w:id="1">
    <w:p w:rsidR="00C47B44" w:rsidRPr="00C47B44" w:rsidRDefault="00C47B44" w:rsidP="00C47B4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C47B44">
        <w:t>Меморандумы о взаимопонимании, соглашения о сотрудничестве, проектные документы, соглашения о</w:t>
      </w:r>
      <w:r>
        <w:rPr>
          <w:lang w:val="en-US"/>
        </w:rPr>
        <w:t> </w:t>
      </w:r>
      <w:r w:rsidRPr="00C47B44">
        <w:t>добровольных взносах, соглашения о спонсорской поддержке и др.</w:t>
      </w:r>
    </w:p>
  </w:footnote>
  <w:footnote w:id="2">
    <w:p w:rsidR="000909CE" w:rsidRPr="00C47B44" w:rsidRDefault="000909CE" w:rsidP="00C47B4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47B44" w:rsidRPr="00C47B44">
        <w:tab/>
      </w:r>
      <w:r w:rsidR="00C47B44" w:rsidRPr="00C47B44">
        <w:rPr>
          <w:lang w:val="en-US"/>
        </w:rPr>
        <w:t>a</w:t>
      </w:r>
      <w:r w:rsidR="00C47B44" w:rsidRPr="00C47B44">
        <w:t xml:space="preserve">) соглашения и проекты с денежным взносом, </w:t>
      </w:r>
      <w:r w:rsidR="00C47B44" w:rsidRPr="00C47B44">
        <w:rPr>
          <w:lang w:val="en-US"/>
        </w:rPr>
        <w:t>b</w:t>
      </w:r>
      <w:r w:rsidR="00C47B44" w:rsidRPr="00C47B44">
        <w:t xml:space="preserve">) соглашения и проекты без денежного взноса, </w:t>
      </w:r>
      <w:r w:rsidR="00C47B44" w:rsidRPr="00C47B44">
        <w:rPr>
          <w:lang w:val="en-US"/>
        </w:rPr>
        <w:t>c</w:t>
      </w:r>
      <w:r w:rsidR="00C47B44" w:rsidRPr="00C47B44">
        <w:t>)</w:t>
      </w:r>
      <w:r w:rsidR="00C47B44">
        <w:rPr>
          <w:lang w:val="en-US"/>
        </w:rPr>
        <w:t> </w:t>
      </w:r>
      <w:r w:rsidR="00C47B44" w:rsidRPr="00C47B44">
        <w:t xml:space="preserve">соглашения о спонсорской поддержке и </w:t>
      </w:r>
      <w:r w:rsidR="00C47B44" w:rsidRPr="00C47B44">
        <w:rPr>
          <w:lang w:val="en-US"/>
        </w:rPr>
        <w:t>d</w:t>
      </w:r>
      <w:r w:rsidR="00C47B44" w:rsidRPr="00C47B44">
        <w:t>) дополнения/поправки.</w:t>
      </w:r>
    </w:p>
  </w:footnote>
  <w:footnote w:id="3">
    <w:p w:rsidR="00C47B44" w:rsidRPr="00C47B44" w:rsidRDefault="00C47B4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47B44">
        <w:tab/>
        <w:t>Секретариат Базельской и Стокгольмской конвенций.</w:t>
      </w:r>
    </w:p>
  </w:footnote>
  <w:footnote w:id="4">
    <w:p w:rsidR="00C47B44" w:rsidRPr="00C47B44" w:rsidRDefault="00C47B4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47B44">
        <w:tab/>
        <w:t>Международная ассоциация по твердым отходам.</w:t>
      </w:r>
    </w:p>
  </w:footnote>
  <w:footnote w:id="5">
    <w:p w:rsidR="00C47B44" w:rsidRPr="00C47B44" w:rsidRDefault="00C47B4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47B44">
        <w:tab/>
        <w:t>Программа "Устойчивые циклы" при канцелярии проректора Университета Организации Объединенных Наций в Европе.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94B" w:rsidRPr="00701E31" w:rsidRDefault="003A294B" w:rsidP="00B24169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</w:rPr>
    </w:pPr>
    <w:r w:rsidRPr="00972BCD">
      <w:tab/>
    </w:r>
    <w:r w:rsidRPr="00D923CD">
      <w:t>ITU</w:t>
    </w:r>
    <w:r w:rsidRPr="00701E31">
      <w:t>-</w:t>
    </w:r>
    <w:r w:rsidRPr="00D923CD">
      <w:t>D</w:t>
    </w:r>
    <w:r w:rsidRPr="00701E31">
      <w:t>/</w:t>
    </w:r>
    <w:r w:rsidRPr="002236F8">
      <w:t>TDAG</w:t>
    </w:r>
    <w:r w:rsidR="0040328D" w:rsidRPr="0040328D">
      <w:t>-</w:t>
    </w:r>
    <w:r w:rsidRPr="00701E31">
      <w:t>1</w:t>
    </w:r>
    <w:r w:rsidR="00B24169" w:rsidRPr="00B24169">
      <w:t>9</w:t>
    </w:r>
    <w:r w:rsidRPr="00701E31">
      <w:t>/</w:t>
    </w:r>
    <w:r w:rsidR="003E62AD">
      <w:rPr>
        <w:lang w:val="en-US"/>
      </w:rPr>
      <w:t>21</w:t>
    </w:r>
    <w:r w:rsidRPr="00701E31">
      <w:t>-</w:t>
    </w:r>
    <w:r w:rsidRPr="00D923CD">
      <w:t>R</w:t>
    </w:r>
    <w:r w:rsidRPr="00701E31">
      <w:tab/>
    </w:r>
    <w:r w:rsidR="00D923CD" w:rsidRPr="00701E31">
      <w:t>Страница</w:t>
    </w:r>
    <w:r w:rsidR="00D923CD" w:rsidRPr="00701E31">
      <w:rPr>
        <w:rStyle w:val="PageNumber"/>
      </w:rPr>
      <w:t xml:space="preserve"> </w:t>
    </w:r>
    <w:r w:rsidR="00D923CD" w:rsidRPr="00DE3BA6">
      <w:rPr>
        <w:rStyle w:val="PageNumber"/>
      </w:rPr>
      <w:fldChar w:fldCharType="begin"/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instrText>PAGE</w:instrText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fldChar w:fldCharType="separate"/>
    </w:r>
    <w:r w:rsidR="00DF4EA8">
      <w:rPr>
        <w:rStyle w:val="PageNumber"/>
        <w:noProof/>
      </w:rPr>
      <w:t>6</w:t>
    </w:r>
    <w:r w:rsidR="00D923CD" w:rsidRPr="00DE3BA6">
      <w:rPr>
        <w:rStyle w:val="PageNumber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FA2"/>
    <w:rsid w:val="000909CE"/>
    <w:rsid w:val="00107E03"/>
    <w:rsid w:val="00111662"/>
    <w:rsid w:val="00134D3C"/>
    <w:rsid w:val="001530FB"/>
    <w:rsid w:val="00160027"/>
    <w:rsid w:val="00191479"/>
    <w:rsid w:val="001C6DD3"/>
    <w:rsid w:val="001E3E78"/>
    <w:rsid w:val="00202D0A"/>
    <w:rsid w:val="002236F8"/>
    <w:rsid w:val="00257C2C"/>
    <w:rsid w:val="00270876"/>
    <w:rsid w:val="002717CC"/>
    <w:rsid w:val="00305628"/>
    <w:rsid w:val="00316454"/>
    <w:rsid w:val="00366978"/>
    <w:rsid w:val="003A294B"/>
    <w:rsid w:val="003C6E83"/>
    <w:rsid w:val="003E62AD"/>
    <w:rsid w:val="003E6E87"/>
    <w:rsid w:val="0040328D"/>
    <w:rsid w:val="004143D5"/>
    <w:rsid w:val="00422053"/>
    <w:rsid w:val="004713B8"/>
    <w:rsid w:val="00492670"/>
    <w:rsid w:val="004E4490"/>
    <w:rsid w:val="00505806"/>
    <w:rsid w:val="00655923"/>
    <w:rsid w:val="00694764"/>
    <w:rsid w:val="006E290B"/>
    <w:rsid w:val="00701E31"/>
    <w:rsid w:val="008112E9"/>
    <w:rsid w:val="00875722"/>
    <w:rsid w:val="00880FD2"/>
    <w:rsid w:val="008C576E"/>
    <w:rsid w:val="00916B10"/>
    <w:rsid w:val="009C5B8E"/>
    <w:rsid w:val="00A30897"/>
    <w:rsid w:val="00A44602"/>
    <w:rsid w:val="00A64F9D"/>
    <w:rsid w:val="00A73D91"/>
    <w:rsid w:val="00AA42F8"/>
    <w:rsid w:val="00AC2E0E"/>
    <w:rsid w:val="00AC6023"/>
    <w:rsid w:val="00AE0BB7"/>
    <w:rsid w:val="00AE1BA7"/>
    <w:rsid w:val="00AF2AC1"/>
    <w:rsid w:val="00B008E9"/>
    <w:rsid w:val="00B222FE"/>
    <w:rsid w:val="00B24169"/>
    <w:rsid w:val="00B52E6E"/>
    <w:rsid w:val="00B726C0"/>
    <w:rsid w:val="00B75868"/>
    <w:rsid w:val="00BD2C91"/>
    <w:rsid w:val="00BD7A1A"/>
    <w:rsid w:val="00C47B44"/>
    <w:rsid w:val="00C62E82"/>
    <w:rsid w:val="00C71A6F"/>
    <w:rsid w:val="00C84CCD"/>
    <w:rsid w:val="00CD34AE"/>
    <w:rsid w:val="00CE37A1"/>
    <w:rsid w:val="00CE5E7B"/>
    <w:rsid w:val="00CF6FA2"/>
    <w:rsid w:val="00D16175"/>
    <w:rsid w:val="00D712FE"/>
    <w:rsid w:val="00D923CD"/>
    <w:rsid w:val="00D93FCC"/>
    <w:rsid w:val="00DA4610"/>
    <w:rsid w:val="00DD19E1"/>
    <w:rsid w:val="00DD4A06"/>
    <w:rsid w:val="00DD5D8C"/>
    <w:rsid w:val="00DF4EA8"/>
    <w:rsid w:val="00E06A7D"/>
    <w:rsid w:val="00E30170"/>
    <w:rsid w:val="00E53713"/>
    <w:rsid w:val="00E54FD2"/>
    <w:rsid w:val="00E82D31"/>
    <w:rsid w:val="00EE153D"/>
    <w:rsid w:val="00F65104"/>
    <w:rsid w:val="00F72A94"/>
    <w:rsid w:val="00F746B3"/>
    <w:rsid w:val="00F961B7"/>
    <w:rsid w:val="00FA2BC3"/>
    <w:rsid w:val="00FC1008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C9A79006-9F27-41C7-83E1-76AB83EF1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530F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530FB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4143D5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D18-TDAG24-INF-0003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itu.int/go/en/itudsponsorship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eun-ju.kim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zarenk\AppData\Roaming\Microsoft\Templates\POOL%20R%20-%20ITU\PR_TDAG19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Регионы-бенефициары</a:t>
            </a:r>
            <a:r>
              <a:rPr lang="ru-RU" sz="1100" b="1" baseline="0"/>
              <a:t> новых подписанных соглашений</a:t>
            </a:r>
            <a:endParaRPr lang="en-US" sz="1100" b="1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Sheet1!$A$2:$A$8</c:f>
              <c:strCache>
                <c:ptCount val="7"/>
                <c:pt idx="0">
                  <c:v>Афр.</c:v>
                </c:pt>
                <c:pt idx="1">
                  <c:v>Сев. и Юж. Ам.</c:v>
                </c:pt>
                <c:pt idx="2">
                  <c:v>Араб.</c:v>
                </c:pt>
                <c:pt idx="3">
                  <c:v>АТР</c:v>
                </c:pt>
                <c:pt idx="4">
                  <c:v>СНГ</c:v>
                </c:pt>
                <c:pt idx="5">
                  <c:v>Евр.</c:v>
                </c:pt>
                <c:pt idx="6">
                  <c:v>Мир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16.5</c:v>
                </c:pt>
                <c:pt idx="1">
                  <c:v>9</c:v>
                </c:pt>
                <c:pt idx="2">
                  <c:v>7</c:v>
                </c:pt>
                <c:pt idx="3">
                  <c:v>15</c:v>
                </c:pt>
                <c:pt idx="4">
                  <c:v>3</c:v>
                </c:pt>
                <c:pt idx="5">
                  <c:v>7.5</c:v>
                </c:pt>
                <c:pt idx="6">
                  <c:v>10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Sheet1!$A$2:$A$8</c:f>
              <c:strCache>
                <c:ptCount val="7"/>
                <c:pt idx="0">
                  <c:v>Афр.</c:v>
                </c:pt>
                <c:pt idx="1">
                  <c:v>Сев. и Юж. Ам.</c:v>
                </c:pt>
                <c:pt idx="2">
                  <c:v>Араб.</c:v>
                </c:pt>
                <c:pt idx="3">
                  <c:v>АТР</c:v>
                </c:pt>
                <c:pt idx="4">
                  <c:v>СНГ</c:v>
                </c:pt>
                <c:pt idx="5">
                  <c:v>Евр.</c:v>
                </c:pt>
                <c:pt idx="6">
                  <c:v>Мир</c:v>
                </c:pt>
              </c:strCache>
            </c:strRef>
          </c:cat>
          <c:val>
            <c:numRef>
              <c:f>Sheet1!$C$2:$C$8</c:f>
              <c:numCache>
                <c:formatCode>General</c:formatCode>
                <c:ptCount val="7"/>
                <c:pt idx="0">
                  <c:v>3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15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Sheet1!$A$2:$A$8</c:f>
              <c:strCache>
                <c:ptCount val="7"/>
                <c:pt idx="0">
                  <c:v>Афр.</c:v>
                </c:pt>
                <c:pt idx="1">
                  <c:v>Сев. и Юж. Ам.</c:v>
                </c:pt>
                <c:pt idx="2">
                  <c:v>Араб.</c:v>
                </c:pt>
                <c:pt idx="3">
                  <c:v>АТР</c:v>
                </c:pt>
                <c:pt idx="4">
                  <c:v>СНГ</c:v>
                </c:pt>
                <c:pt idx="5">
                  <c:v>Евр.</c:v>
                </c:pt>
                <c:pt idx="6">
                  <c:v>Мир</c:v>
                </c:pt>
              </c:strCache>
            </c:strRef>
          </c:cat>
          <c:val>
            <c:numRef>
              <c:f>Sheet1!$D$2:$D$8</c:f>
              <c:numCache>
                <c:formatCode>General</c:formatCode>
                <c:ptCount val="7"/>
                <c:pt idx="0">
                  <c:v>5</c:v>
                </c:pt>
                <c:pt idx="1">
                  <c:v>8</c:v>
                </c:pt>
                <c:pt idx="2">
                  <c:v>3</c:v>
                </c:pt>
                <c:pt idx="3">
                  <c:v>8</c:v>
                </c:pt>
                <c:pt idx="4">
                  <c:v>1</c:v>
                </c:pt>
                <c:pt idx="5">
                  <c:v>2</c:v>
                </c:pt>
                <c:pt idx="6">
                  <c:v>33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Sheet1!$A$2:$A$8</c:f>
              <c:strCache>
                <c:ptCount val="7"/>
                <c:pt idx="0">
                  <c:v>Афр.</c:v>
                </c:pt>
                <c:pt idx="1">
                  <c:v>Сев. и Юж. Ам.</c:v>
                </c:pt>
                <c:pt idx="2">
                  <c:v>Араб.</c:v>
                </c:pt>
                <c:pt idx="3">
                  <c:v>АТР</c:v>
                </c:pt>
                <c:pt idx="4">
                  <c:v>СНГ</c:v>
                </c:pt>
                <c:pt idx="5">
                  <c:v>Евр.</c:v>
                </c:pt>
                <c:pt idx="6">
                  <c:v>Мир</c:v>
                </c:pt>
              </c:strCache>
            </c:strRef>
          </c:cat>
          <c:val>
            <c:numRef>
              <c:f>Sheet1!$E$2:$E$8</c:f>
              <c:numCache>
                <c:formatCode>General</c:formatCode>
                <c:ptCount val="7"/>
                <c:pt idx="0">
                  <c:v>4</c:v>
                </c:pt>
                <c:pt idx="1">
                  <c:v>5</c:v>
                </c:pt>
                <c:pt idx="2">
                  <c:v>3</c:v>
                </c:pt>
                <c:pt idx="3">
                  <c:v>7</c:v>
                </c:pt>
                <c:pt idx="4">
                  <c:v>1</c:v>
                </c:pt>
                <c:pt idx="5">
                  <c:v>2</c:v>
                </c:pt>
                <c:pt idx="6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11009408"/>
        <c:axId val="311008624"/>
      </c:barChart>
      <c:catAx>
        <c:axId val="311009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11008624"/>
        <c:crosses val="autoZero"/>
        <c:auto val="1"/>
        <c:lblAlgn val="ctr"/>
        <c:lblOffset val="100"/>
        <c:noMultiLvlLbl val="0"/>
      </c:catAx>
      <c:valAx>
        <c:axId val="3110086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11009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rtl="0">
              <a:defRPr sz="11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Новые подписанные соглашения  </a:t>
            </a:r>
            <a:r>
              <a:rPr lang="ru-RU" sz="1100" b="1">
                <a:latin typeface="Calibri" panose="020F0502020204030204" pitchFamily="34" charset="0"/>
              </a:rPr>
              <a:t>̶</a:t>
            </a:r>
            <a:r>
              <a:rPr lang="ru-RU" sz="1100" b="1"/>
              <a:t> </a:t>
            </a:r>
            <a:r>
              <a:rPr lang="en-US" sz="1100" b="1"/>
              <a:t> </a:t>
            </a:r>
            <a:r>
              <a:rPr lang="ru-RU" sz="1100" b="1"/>
              <a:t>области</a:t>
            </a:r>
            <a:r>
              <a:rPr lang="ru-RU" sz="1100" b="1" baseline="0"/>
              <a:t> деятельности</a:t>
            </a:r>
            <a:endParaRPr lang="en-US" sz="1100" b="1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11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Sheet1!$A$2:$A$12</c:f>
              <c:strCache>
                <c:ptCount val="11"/>
                <c:pt idx="0">
                  <c:v>Создание потенциала</c:v>
                </c:pt>
                <c:pt idx="1">
                  <c:v>Кибербезопасность</c:v>
                </c:pt>
                <c:pt idx="2">
                  <c:v>Охват цифровыми технологиями</c:v>
                </c:pt>
                <c:pt idx="3">
                  <c:v>Чрезвычайные ситуации</c:v>
                </c:pt>
                <c:pt idx="4">
                  <c:v>Благоприятная среда</c:v>
                </c:pt>
                <c:pt idx="5">
                  <c:v>Деятельность общего характера</c:v>
                </c:pt>
                <c:pt idx="6">
                  <c:v>Приложения ИКТ</c:v>
                </c:pt>
                <c:pt idx="7">
                  <c:v>Инфраструктура</c:v>
                </c:pt>
                <c:pt idx="8">
                  <c:v>Инновации</c:v>
                </c:pt>
                <c:pt idx="9">
                  <c:v>Изменение климата и электронные отходы</c:v>
                </c:pt>
                <c:pt idx="10">
                  <c:v>Статистика и показатели</c:v>
                </c:pt>
              </c:strCache>
            </c:strRef>
          </c:cat>
          <c:val>
            <c:numRef>
              <c:f>Sheet1!$B$2:$B$12</c:f>
              <c:numCache>
                <c:formatCode>General</c:formatCode>
                <c:ptCount val="11"/>
                <c:pt idx="0">
                  <c:v>34</c:v>
                </c:pt>
                <c:pt idx="1">
                  <c:v>7</c:v>
                </c:pt>
                <c:pt idx="2">
                  <c:v>1</c:v>
                </c:pt>
                <c:pt idx="3">
                  <c:v>1</c:v>
                </c:pt>
                <c:pt idx="4">
                  <c:v>7</c:v>
                </c:pt>
                <c:pt idx="5">
                  <c:v>3</c:v>
                </c:pt>
                <c:pt idx="6">
                  <c:v>6</c:v>
                </c:pt>
                <c:pt idx="7">
                  <c:v>8</c:v>
                </c:pt>
                <c:pt idx="8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Sheet1!$A$2:$A$12</c:f>
              <c:strCache>
                <c:ptCount val="11"/>
                <c:pt idx="0">
                  <c:v>Создание потенциала</c:v>
                </c:pt>
                <c:pt idx="1">
                  <c:v>Кибербезопасность</c:v>
                </c:pt>
                <c:pt idx="2">
                  <c:v>Охват цифровыми технологиями</c:v>
                </c:pt>
                <c:pt idx="3">
                  <c:v>Чрезвычайные ситуации</c:v>
                </c:pt>
                <c:pt idx="4">
                  <c:v>Благоприятная среда</c:v>
                </c:pt>
                <c:pt idx="5">
                  <c:v>Деятельность общего характера</c:v>
                </c:pt>
                <c:pt idx="6">
                  <c:v>Приложения ИКТ</c:v>
                </c:pt>
                <c:pt idx="7">
                  <c:v>Инфраструктура</c:v>
                </c:pt>
                <c:pt idx="8">
                  <c:v>Инновации</c:v>
                </c:pt>
                <c:pt idx="9">
                  <c:v>Изменение климата и электронные отходы</c:v>
                </c:pt>
                <c:pt idx="10">
                  <c:v>Статистика и показатели</c:v>
                </c:pt>
              </c:strCache>
            </c:strRef>
          </c:cat>
          <c:val>
            <c:numRef>
              <c:f>Sheet1!$C$2:$C$12</c:f>
              <c:numCache>
                <c:formatCode>General</c:formatCode>
                <c:ptCount val="11"/>
                <c:pt idx="0">
                  <c:v>3</c:v>
                </c:pt>
                <c:pt idx="1">
                  <c:v>3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  <c:pt idx="5">
                  <c:v>2</c:v>
                </c:pt>
                <c:pt idx="6">
                  <c:v>9</c:v>
                </c:pt>
                <c:pt idx="7">
                  <c:v>5</c:v>
                </c:pt>
                <c:pt idx="8">
                  <c:v>1</c:v>
                </c:pt>
                <c:pt idx="10">
                  <c:v>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Sheet1!$A$2:$A$12</c:f>
              <c:strCache>
                <c:ptCount val="11"/>
                <c:pt idx="0">
                  <c:v>Создание потенциала</c:v>
                </c:pt>
                <c:pt idx="1">
                  <c:v>Кибербезопасность</c:v>
                </c:pt>
                <c:pt idx="2">
                  <c:v>Охват цифровыми технологиями</c:v>
                </c:pt>
                <c:pt idx="3">
                  <c:v>Чрезвычайные ситуации</c:v>
                </c:pt>
                <c:pt idx="4">
                  <c:v>Благоприятная среда</c:v>
                </c:pt>
                <c:pt idx="5">
                  <c:v>Деятельность общего характера</c:v>
                </c:pt>
                <c:pt idx="6">
                  <c:v>Приложения ИКТ</c:v>
                </c:pt>
                <c:pt idx="7">
                  <c:v>Инфраструктура</c:v>
                </c:pt>
                <c:pt idx="8">
                  <c:v>Инновации</c:v>
                </c:pt>
                <c:pt idx="9">
                  <c:v>Изменение климата и электронные отходы</c:v>
                </c:pt>
                <c:pt idx="10">
                  <c:v>Статистика и показатели</c:v>
                </c:pt>
              </c:strCache>
            </c:strRef>
          </c:cat>
          <c:val>
            <c:numRef>
              <c:f>Sheet1!$D$2:$D$12</c:f>
              <c:numCache>
                <c:formatCode>General</c:formatCode>
                <c:ptCount val="11"/>
                <c:pt idx="0">
                  <c:v>4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8</c:v>
                </c:pt>
                <c:pt idx="5">
                  <c:v>20</c:v>
                </c:pt>
                <c:pt idx="6">
                  <c:v>11</c:v>
                </c:pt>
                <c:pt idx="7">
                  <c:v>5</c:v>
                </c:pt>
                <c:pt idx="8">
                  <c:v>1</c:v>
                </c:pt>
                <c:pt idx="9">
                  <c:v>2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Sheet1!$A$2:$A$12</c:f>
              <c:strCache>
                <c:ptCount val="11"/>
                <c:pt idx="0">
                  <c:v>Создание потенциала</c:v>
                </c:pt>
                <c:pt idx="1">
                  <c:v>Кибербезопасность</c:v>
                </c:pt>
                <c:pt idx="2">
                  <c:v>Охват цифровыми технологиями</c:v>
                </c:pt>
                <c:pt idx="3">
                  <c:v>Чрезвычайные ситуации</c:v>
                </c:pt>
                <c:pt idx="4">
                  <c:v>Благоприятная среда</c:v>
                </c:pt>
                <c:pt idx="5">
                  <c:v>Деятельность общего характера</c:v>
                </c:pt>
                <c:pt idx="6">
                  <c:v>Приложения ИКТ</c:v>
                </c:pt>
                <c:pt idx="7">
                  <c:v>Инфраструктура</c:v>
                </c:pt>
                <c:pt idx="8">
                  <c:v>Инновации</c:v>
                </c:pt>
                <c:pt idx="9">
                  <c:v>Изменение климата и электронные отходы</c:v>
                </c:pt>
                <c:pt idx="10">
                  <c:v>Статистика и показатели</c:v>
                </c:pt>
              </c:strCache>
            </c:strRef>
          </c:cat>
          <c:val>
            <c:numRef>
              <c:f>Sheet1!$E$2:$E$12</c:f>
              <c:numCache>
                <c:formatCode>General</c:formatCode>
                <c:ptCount val="11"/>
                <c:pt idx="0">
                  <c:v>3</c:v>
                </c:pt>
                <c:pt idx="1">
                  <c:v>5</c:v>
                </c:pt>
                <c:pt idx="2">
                  <c:v>1</c:v>
                </c:pt>
                <c:pt idx="3">
                  <c:v>2</c:v>
                </c:pt>
                <c:pt idx="4">
                  <c:v>14</c:v>
                </c:pt>
                <c:pt idx="5">
                  <c:v>3</c:v>
                </c:pt>
                <c:pt idx="6">
                  <c:v>3</c:v>
                </c:pt>
                <c:pt idx="7">
                  <c:v>9</c:v>
                </c:pt>
                <c:pt idx="8">
                  <c:v>1</c:v>
                </c:pt>
                <c:pt idx="9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11005880"/>
        <c:axId val="311006272"/>
      </c:barChart>
      <c:catAx>
        <c:axId val="3110058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11006272"/>
        <c:crosses val="autoZero"/>
        <c:auto val="1"/>
        <c:lblAlgn val="ctr"/>
        <c:lblOffset val="100"/>
        <c:noMultiLvlLbl val="0"/>
      </c:catAx>
      <c:valAx>
        <c:axId val="3110062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110058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2ADE1-6E84-41CE-B403-EB49D68E1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PR_TDAG19.dotx</Template>
  <TotalTime>54</TotalTime>
  <Pages>6</Pages>
  <Words>1777</Words>
  <Characters>10133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Company>International Telecommunication Union (ITU)</Company>
  <LinksUpToDate>false</LinksUpToDate>
  <CharactersWithSpaces>11887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Nazarenko, Oleksandr</dc:creator>
  <cp:keywords/>
  <dc:description/>
  <cp:lastModifiedBy>Fedosova, Elena</cp:lastModifiedBy>
  <cp:revision>11</cp:revision>
  <cp:lastPrinted>2015-03-02T13:42:00Z</cp:lastPrinted>
  <dcterms:created xsi:type="dcterms:W3CDTF">2019-02-28T11:50:00Z</dcterms:created>
  <dcterms:modified xsi:type="dcterms:W3CDTF">2019-02-28T15:31:00Z</dcterms:modified>
</cp:coreProperties>
</file>