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5D50E8" w14:paraId="09F0EDD8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18D93FD1" w14:textId="77777777" w:rsidR="00D372A5" w:rsidRPr="005D50E8" w:rsidRDefault="00D372A5" w:rsidP="00BC7208">
            <w:pPr>
              <w:rPr>
                <w:b/>
                <w:bCs/>
                <w:sz w:val="32"/>
                <w:szCs w:val="32"/>
                <w:lang w:val="es-ES"/>
              </w:rPr>
            </w:pPr>
            <w:r w:rsidRPr="005D50E8">
              <w:rPr>
                <w:rFonts w:cstheme="minorHAnsi"/>
                <w:b/>
                <w:bCs/>
                <w:sz w:val="32"/>
                <w:szCs w:val="32"/>
                <w:lang w:val="es-ES"/>
              </w:rPr>
              <w:t>Grupo Asesor de Desarrollo de las Telecomunicaciones (GADT</w:t>
            </w:r>
            <w:r w:rsidRPr="005D50E8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6171E7A7" w14:textId="77777777" w:rsidR="00D372A5" w:rsidRPr="005D50E8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"/>
              </w:rPr>
            </w:pPr>
            <w:r w:rsidRPr="005D50E8">
              <w:rPr>
                <w:b/>
                <w:bCs/>
                <w:sz w:val="26"/>
                <w:szCs w:val="26"/>
                <w:lang w:val="es-ES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69D0CA61" w14:textId="77777777" w:rsidR="00D372A5" w:rsidRPr="005D50E8" w:rsidRDefault="004E7861" w:rsidP="004E7861">
            <w:pPr>
              <w:spacing w:before="40" w:after="80"/>
              <w:ind w:right="142"/>
              <w:jc w:val="right"/>
              <w:rPr>
                <w:lang w:val="es-ES"/>
              </w:rPr>
            </w:pPr>
            <w:r w:rsidRPr="005D50E8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0FE093CA" wp14:editId="35925EE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5D50E8" w14:paraId="037F2360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AE11B95" w14:textId="77777777" w:rsidR="004B7893" w:rsidRPr="005D50E8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28EC1219" w14:textId="77777777" w:rsidR="004B7893" w:rsidRPr="005D50E8" w:rsidRDefault="004B7893" w:rsidP="004B7893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B7893" w:rsidRPr="005D50E8" w14:paraId="273F2B6E" w14:textId="77777777" w:rsidTr="004B7893">
        <w:trPr>
          <w:cantSplit/>
        </w:trPr>
        <w:tc>
          <w:tcPr>
            <w:tcW w:w="6663" w:type="dxa"/>
          </w:tcPr>
          <w:p w14:paraId="3F7CC8A1" w14:textId="77777777" w:rsidR="004B7893" w:rsidRPr="005D50E8" w:rsidRDefault="004B7893" w:rsidP="004B7893">
            <w:pPr>
              <w:pStyle w:val="Committee"/>
              <w:spacing w:before="0"/>
              <w:rPr>
                <w:b w:val="0"/>
                <w:lang w:val="es-ES"/>
              </w:rPr>
            </w:pPr>
          </w:p>
        </w:tc>
        <w:tc>
          <w:tcPr>
            <w:tcW w:w="3225" w:type="dxa"/>
          </w:tcPr>
          <w:p w14:paraId="3129AF84" w14:textId="77777777" w:rsidR="004B7893" w:rsidRPr="005D50E8" w:rsidRDefault="005637B9" w:rsidP="00995E88">
            <w:pPr>
              <w:spacing w:before="0"/>
              <w:rPr>
                <w:bCs/>
                <w:lang w:val="es-ES"/>
              </w:rPr>
            </w:pPr>
            <w:r w:rsidRPr="005D50E8">
              <w:rPr>
                <w:b/>
                <w:bCs/>
                <w:lang w:val="es-ES"/>
              </w:rPr>
              <w:t xml:space="preserve">Documento </w:t>
            </w:r>
            <w:bookmarkStart w:id="0" w:name="DocRef1"/>
            <w:bookmarkEnd w:id="0"/>
            <w:r w:rsidRPr="005D50E8">
              <w:rPr>
                <w:b/>
                <w:bCs/>
                <w:lang w:val="es-ES"/>
              </w:rPr>
              <w:t>TDAG</w:t>
            </w:r>
            <w:r w:rsidR="00602B27" w:rsidRPr="005D50E8">
              <w:rPr>
                <w:b/>
                <w:bCs/>
                <w:lang w:val="es-ES"/>
              </w:rPr>
              <w:t>-</w:t>
            </w:r>
            <w:r w:rsidRPr="005D50E8">
              <w:rPr>
                <w:b/>
                <w:bCs/>
                <w:lang w:val="es-ES"/>
              </w:rPr>
              <w:t>1</w:t>
            </w:r>
            <w:r w:rsidR="004E7861" w:rsidRPr="005D50E8">
              <w:rPr>
                <w:b/>
                <w:bCs/>
                <w:lang w:val="es-ES"/>
              </w:rPr>
              <w:t>9</w:t>
            </w:r>
            <w:r w:rsidRPr="005D50E8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995E88" w:rsidRPr="005D50E8">
              <w:rPr>
                <w:b/>
                <w:bCs/>
                <w:lang w:val="es-ES"/>
              </w:rPr>
              <w:t>21</w:t>
            </w:r>
            <w:r w:rsidRPr="005D50E8">
              <w:rPr>
                <w:b/>
                <w:bCs/>
                <w:lang w:val="es-ES"/>
              </w:rPr>
              <w:t>-S</w:t>
            </w:r>
          </w:p>
        </w:tc>
      </w:tr>
      <w:tr w:rsidR="004B7893" w:rsidRPr="005D50E8" w14:paraId="66B5B238" w14:textId="77777777" w:rsidTr="004B7893">
        <w:trPr>
          <w:cantSplit/>
        </w:trPr>
        <w:tc>
          <w:tcPr>
            <w:tcW w:w="6663" w:type="dxa"/>
          </w:tcPr>
          <w:p w14:paraId="3D71D196" w14:textId="77777777" w:rsidR="004B7893" w:rsidRPr="005D50E8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14:paraId="52822AED" w14:textId="77777777" w:rsidR="004B7893" w:rsidRPr="005D50E8" w:rsidRDefault="001A2467" w:rsidP="004E7861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 w:rsidRPr="005D50E8">
              <w:rPr>
                <w:b/>
                <w:bCs/>
                <w:szCs w:val="28"/>
                <w:lang w:val="es-ES"/>
              </w:rPr>
              <w:t>19 de febrero de</w:t>
            </w:r>
            <w:r w:rsidR="00BC7208" w:rsidRPr="005D50E8">
              <w:rPr>
                <w:b/>
                <w:bCs/>
                <w:szCs w:val="28"/>
                <w:lang w:val="es-ES"/>
              </w:rPr>
              <w:t xml:space="preserve"> 201</w:t>
            </w:r>
            <w:r w:rsidR="004E7861" w:rsidRPr="005D50E8">
              <w:rPr>
                <w:b/>
                <w:bCs/>
                <w:szCs w:val="28"/>
                <w:lang w:val="es-ES"/>
              </w:rPr>
              <w:t>9</w:t>
            </w:r>
          </w:p>
        </w:tc>
      </w:tr>
      <w:tr w:rsidR="004B7893" w:rsidRPr="005D50E8" w14:paraId="74394CC3" w14:textId="77777777" w:rsidTr="004B7893">
        <w:trPr>
          <w:cantSplit/>
        </w:trPr>
        <w:tc>
          <w:tcPr>
            <w:tcW w:w="6663" w:type="dxa"/>
          </w:tcPr>
          <w:p w14:paraId="6382EC4D" w14:textId="77777777" w:rsidR="004B7893" w:rsidRPr="005D50E8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14:paraId="30B03DA2" w14:textId="77777777" w:rsidR="004B7893" w:rsidRPr="005D50E8" w:rsidRDefault="005637B9" w:rsidP="004B7893">
            <w:pPr>
              <w:spacing w:before="0"/>
              <w:rPr>
                <w:szCs w:val="24"/>
                <w:lang w:val="es-ES"/>
              </w:rPr>
            </w:pPr>
            <w:r w:rsidRPr="005D50E8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Pr="005D50E8">
              <w:rPr>
                <w:b/>
                <w:lang w:val="es-ES"/>
              </w:rPr>
              <w:t xml:space="preserve"> </w:t>
            </w:r>
            <w:r w:rsidR="001A2467" w:rsidRPr="005D50E8">
              <w:rPr>
                <w:b/>
                <w:lang w:val="es-ES"/>
              </w:rPr>
              <w:t>inglés</w:t>
            </w:r>
          </w:p>
        </w:tc>
      </w:tr>
      <w:tr w:rsidR="004B7893" w:rsidRPr="00C648F8" w14:paraId="7B8D0B6F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5542B7AB" w14:textId="77777777" w:rsidR="004B7893" w:rsidRPr="00091E4B" w:rsidRDefault="00844C5B" w:rsidP="004B7893">
            <w:pPr>
              <w:pStyle w:val="Source"/>
              <w:rPr>
                <w:szCs w:val="28"/>
                <w:lang w:val="es-ES"/>
              </w:rPr>
            </w:pPr>
            <w:bookmarkStart w:id="4" w:name="Source"/>
            <w:bookmarkEnd w:id="4"/>
            <w:r w:rsidRPr="00091E4B">
              <w:rPr>
                <w:lang w:val="es-ES"/>
              </w:rPr>
              <w:t>Directora</w:t>
            </w:r>
            <w:r w:rsidR="007E1BE3" w:rsidRPr="00091E4B">
              <w:rPr>
                <w:lang w:val="es-ES"/>
              </w:rPr>
              <w:t xml:space="preserve"> de la Oficina de Desarrollo de Telecomunicaciones</w:t>
            </w:r>
          </w:p>
        </w:tc>
      </w:tr>
      <w:tr w:rsidR="004B7893" w:rsidRPr="00C648F8" w14:paraId="3468975F" w14:textId="77777777" w:rsidTr="004B7893">
        <w:trPr>
          <w:cantSplit/>
        </w:trPr>
        <w:tc>
          <w:tcPr>
            <w:tcW w:w="9888" w:type="dxa"/>
            <w:gridSpan w:val="2"/>
          </w:tcPr>
          <w:p w14:paraId="6CFCAC3D" w14:textId="77777777" w:rsidR="004B7893" w:rsidRPr="00091E4B" w:rsidRDefault="007E1BE3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5" w:name="Title"/>
            <w:bookmarkEnd w:id="5"/>
            <w:r w:rsidRPr="00091E4B">
              <w:rPr>
                <w:rFonts w:cs="Times New Roman Bold"/>
                <w:caps w:val="0"/>
                <w:szCs w:val="28"/>
                <w:lang w:val="es-ES"/>
              </w:rPr>
              <w:t>ASOCIACIONES Y MOVILIZACIÓN DE RECURSOS EN EL UIT-D</w:t>
            </w:r>
          </w:p>
        </w:tc>
      </w:tr>
      <w:tr w:rsidR="004B7893" w:rsidRPr="00C648F8" w14:paraId="7FC35BE2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2B83F10D" w14:textId="77777777" w:rsidR="004B7893" w:rsidRPr="005D50E8" w:rsidRDefault="004B7893" w:rsidP="00BC7208">
            <w:pPr>
              <w:rPr>
                <w:lang w:val="es-ES"/>
              </w:rPr>
            </w:pPr>
          </w:p>
        </w:tc>
      </w:tr>
      <w:tr w:rsidR="004B7893" w:rsidRPr="00C648F8" w14:paraId="432C93A2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6FB" w14:textId="77777777" w:rsidR="004B7893" w:rsidRPr="00091E4B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091E4B">
              <w:rPr>
                <w:b/>
                <w:bCs/>
                <w:lang w:val="es-ES"/>
              </w:rPr>
              <w:t>Resumen:</w:t>
            </w:r>
          </w:p>
          <w:p w14:paraId="5C4C019F" w14:textId="77777777" w:rsidR="004B7893" w:rsidRPr="00091E4B" w:rsidRDefault="007E1BE3" w:rsidP="008306EB">
            <w:pPr>
              <w:rPr>
                <w:b/>
                <w:bCs/>
                <w:lang w:val="es-ES"/>
              </w:rPr>
            </w:pPr>
            <w:r w:rsidRPr="00091E4B">
              <w:rPr>
                <w:lang w:val="es-ES"/>
              </w:rPr>
              <w:t xml:space="preserve">La importancia que revisten las asociaciones y la movilización de recursos se puso de relieve en la CMDT-17. En el presente documento se </w:t>
            </w:r>
            <w:r w:rsidR="008306EB" w:rsidRPr="00091E4B">
              <w:rPr>
                <w:lang w:val="es-ES"/>
              </w:rPr>
              <w:t>ofrece</w:t>
            </w:r>
            <w:r w:rsidRPr="00091E4B">
              <w:rPr>
                <w:lang w:val="es-ES"/>
              </w:rPr>
              <w:t xml:space="preserve"> una visión general de los objetivos clave, las medidas para la gestión basada en los resultados y el camino a seguir para fomentar las asociaciones y la movilización de recursos.</w:t>
            </w:r>
          </w:p>
          <w:p w14:paraId="6AE71191" w14:textId="77777777" w:rsidR="004B7893" w:rsidRPr="00091E4B" w:rsidRDefault="00091E4B" w:rsidP="004B78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Acción solicitada:</w:t>
            </w:r>
          </w:p>
          <w:p w14:paraId="3D99DB97" w14:textId="77777777" w:rsidR="004B7893" w:rsidRPr="00091E4B" w:rsidRDefault="007E1BE3" w:rsidP="007E1BE3">
            <w:pPr>
              <w:rPr>
                <w:lang w:val="es-ES"/>
              </w:rPr>
            </w:pPr>
            <w:r w:rsidRPr="00091E4B">
              <w:rPr>
                <w:lang w:val="es-ES"/>
              </w:rPr>
              <w:t>Se invita al GADT a tomar nota del presente documento y a formular los comentarios que estime convenientes.</w:t>
            </w:r>
          </w:p>
          <w:p w14:paraId="528A09B2" w14:textId="77777777" w:rsidR="004B7893" w:rsidRPr="00091E4B" w:rsidRDefault="004B7893" w:rsidP="004B7893">
            <w:pPr>
              <w:rPr>
                <w:b/>
                <w:bCs/>
                <w:lang w:val="es-ES"/>
              </w:rPr>
            </w:pPr>
            <w:r w:rsidRPr="00091E4B">
              <w:rPr>
                <w:b/>
                <w:bCs/>
                <w:lang w:val="es-ES"/>
              </w:rPr>
              <w:t>Referencias:</w:t>
            </w:r>
          </w:p>
          <w:p w14:paraId="14A2C357" w14:textId="30D18D9A" w:rsidR="004B7893" w:rsidRPr="00091E4B" w:rsidRDefault="008D1F9A" w:rsidP="00091E4B">
            <w:pPr>
              <w:rPr>
                <w:b/>
                <w:bCs/>
                <w:lang w:val="es-ES"/>
              </w:rPr>
            </w:pPr>
            <w:r w:rsidRPr="00091E4B">
              <w:rPr>
                <w:lang w:val="es-ES"/>
              </w:rPr>
              <w:t>Resolució</w:t>
            </w:r>
            <w:r w:rsidR="007E1BE3" w:rsidRPr="00091E4B">
              <w:rPr>
                <w:lang w:val="es-ES"/>
              </w:rPr>
              <w:t>n 71</w:t>
            </w:r>
            <w:r w:rsidRPr="00091E4B">
              <w:rPr>
                <w:lang w:val="es-ES"/>
              </w:rPr>
              <w:t xml:space="preserve"> de la PP</w:t>
            </w:r>
            <w:r w:rsidR="007E1BE3" w:rsidRPr="00091E4B">
              <w:rPr>
                <w:lang w:val="es-ES"/>
              </w:rPr>
              <w:t>, Anex</w:t>
            </w:r>
            <w:r w:rsidRPr="00091E4B">
              <w:rPr>
                <w:lang w:val="es-ES"/>
              </w:rPr>
              <w:t>o</w:t>
            </w:r>
            <w:r w:rsidR="007E1BE3" w:rsidRPr="00091E4B">
              <w:rPr>
                <w:lang w:val="es-ES"/>
              </w:rPr>
              <w:t xml:space="preserve"> 1, </w:t>
            </w:r>
            <w:r w:rsidRPr="00091E4B">
              <w:rPr>
                <w:lang w:val="es-ES"/>
              </w:rPr>
              <w:t>Meta</w:t>
            </w:r>
            <w:r w:rsidR="007E1BE3" w:rsidRPr="00091E4B">
              <w:rPr>
                <w:lang w:val="es-ES"/>
              </w:rPr>
              <w:t xml:space="preserve"> 5 </w:t>
            </w:r>
            <w:r w:rsidRPr="00091E4B">
              <w:rPr>
                <w:lang w:val="es-ES"/>
              </w:rPr>
              <w:t>y Resultado</w:t>
            </w:r>
            <w:r w:rsidR="00091E4B">
              <w:rPr>
                <w:lang w:val="es-ES"/>
              </w:rPr>
              <w:t xml:space="preserve"> D.1.e;</w:t>
            </w:r>
            <w:r w:rsidR="00C648F8">
              <w:rPr>
                <w:lang w:val="es-ES"/>
              </w:rPr>
              <w:br/>
            </w:r>
            <w:hyperlink r:id="rId9" w:history="1">
              <w:r w:rsidR="00091E4B">
                <w:rPr>
                  <w:lang w:val="es-ES"/>
                </w:rPr>
                <w:t>Resoluciones</w:t>
              </w:r>
              <w:r w:rsidRPr="00091E4B">
                <w:rPr>
                  <w:lang w:val="es-ES"/>
                </w:rPr>
                <w:t xml:space="preserve"> </w:t>
              </w:r>
              <w:r w:rsidR="007E1BE3" w:rsidRPr="00091E4B">
                <w:rPr>
                  <w:lang w:val="es-ES"/>
                </w:rPr>
                <w:t>17 (Rev. Buenos Aires, 2017)</w:t>
              </w:r>
            </w:hyperlink>
            <w:r w:rsidR="007E1BE3" w:rsidRPr="00091E4B">
              <w:rPr>
                <w:lang w:val="es-ES"/>
              </w:rPr>
              <w:t xml:space="preserve"> </w:t>
            </w:r>
            <w:r w:rsidRPr="00091E4B">
              <w:rPr>
                <w:lang w:val="es-ES"/>
              </w:rPr>
              <w:t xml:space="preserve">y </w:t>
            </w:r>
            <w:r w:rsidR="007E1BE3" w:rsidRPr="00091E4B">
              <w:rPr>
                <w:lang w:val="es-ES"/>
              </w:rPr>
              <w:t>71 (Rev. Buenos Aires, 2017)</w:t>
            </w:r>
            <w:r w:rsidRPr="00091E4B">
              <w:rPr>
                <w:lang w:val="es-ES"/>
              </w:rPr>
              <w:t xml:space="preserve"> de la CMDT</w:t>
            </w:r>
            <w:r w:rsidR="00091E4B">
              <w:rPr>
                <w:lang w:val="es-ES"/>
              </w:rPr>
              <w:t>.</w:t>
            </w:r>
          </w:p>
        </w:tc>
      </w:tr>
    </w:tbl>
    <w:p w14:paraId="20287C14" w14:textId="77777777" w:rsidR="00835A77" w:rsidRPr="005D50E8" w:rsidRDefault="00835A77" w:rsidP="00BC7208">
      <w:pPr>
        <w:rPr>
          <w:lang w:val="es-ES"/>
        </w:rPr>
      </w:pPr>
      <w:bookmarkStart w:id="6" w:name="_GoBack"/>
      <w:bookmarkEnd w:id="6"/>
    </w:p>
    <w:p w14:paraId="4C2CD705" w14:textId="77777777" w:rsidR="007E1BE3" w:rsidRPr="005D50E8" w:rsidRDefault="007E1B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"/>
        </w:rPr>
      </w:pPr>
      <w:r w:rsidRPr="005D50E8">
        <w:rPr>
          <w:lang w:val="es-ES"/>
        </w:rPr>
        <w:br w:type="page"/>
      </w:r>
    </w:p>
    <w:p w14:paraId="6F41A6CB" w14:textId="77777777" w:rsidR="00B43E62" w:rsidRPr="0087132E" w:rsidRDefault="00B43E62" w:rsidP="00B43E62">
      <w:pPr>
        <w:pStyle w:val="Heading1"/>
        <w:rPr>
          <w:lang w:val="es-ES"/>
        </w:rPr>
      </w:pPr>
      <w:r w:rsidRPr="0087132E">
        <w:rPr>
          <w:lang w:val="es-ES"/>
        </w:rPr>
        <w:lastRenderedPageBreak/>
        <w:t>1</w:t>
      </w:r>
      <w:r w:rsidRPr="0087132E">
        <w:rPr>
          <w:lang w:val="es-ES"/>
        </w:rPr>
        <w:tab/>
        <w:t>Antecedentes</w:t>
      </w:r>
    </w:p>
    <w:p w14:paraId="44A89AA1" w14:textId="77777777" w:rsidR="00B43E62" w:rsidRPr="0087132E" w:rsidRDefault="00B43E62" w:rsidP="00B43E62">
      <w:pPr>
        <w:rPr>
          <w:lang w:val="es-ES"/>
        </w:rPr>
      </w:pPr>
      <w:r w:rsidRPr="0087132E">
        <w:rPr>
          <w:lang w:val="es-ES"/>
        </w:rPr>
        <w:t xml:space="preserve">En la Conferencia Mundial de Desarrollo de las Telecomunicaciones </w:t>
      </w:r>
      <w:r w:rsidR="00A26DB1" w:rsidRPr="0087132E">
        <w:rPr>
          <w:lang w:val="es-ES"/>
        </w:rPr>
        <w:t xml:space="preserve">de </w:t>
      </w:r>
      <w:r w:rsidRPr="0087132E">
        <w:rPr>
          <w:lang w:val="es-ES"/>
        </w:rPr>
        <w:t>2017 (CMDT-17) se destacó el papel fundamental de las asociaciones, la colaboración y la movilización de recursos para apoyar la implementación del Plan de Acción de Buenos Aires (</w:t>
      </w:r>
      <w:r w:rsidR="00553C01" w:rsidRPr="0087132E">
        <w:rPr>
          <w:lang w:val="es-ES"/>
        </w:rPr>
        <w:t xml:space="preserve">que incluye </w:t>
      </w:r>
      <w:r w:rsidRPr="0087132E">
        <w:rPr>
          <w:lang w:val="es-ES"/>
        </w:rPr>
        <w:t>el plan operacional de la BDT, los proyectos y las iniciativas regionales), las líneas de acción de la CMSI, además de los Objetivos de Desarrollo Sostenible</w:t>
      </w:r>
      <w:r w:rsidR="00915442" w:rsidRPr="0087132E">
        <w:rPr>
          <w:lang w:val="es-ES"/>
        </w:rPr>
        <w:t xml:space="preserve"> (ODS)</w:t>
      </w:r>
      <w:r w:rsidRPr="0087132E">
        <w:rPr>
          <w:lang w:val="es-ES"/>
        </w:rPr>
        <w:t>, y en especial el ODS 17.</w:t>
      </w:r>
    </w:p>
    <w:p w14:paraId="1340E716" w14:textId="77777777" w:rsidR="007E1BE3" w:rsidRPr="0087132E" w:rsidRDefault="00B43E62" w:rsidP="00960E70">
      <w:pPr>
        <w:rPr>
          <w:lang w:val="es-ES"/>
        </w:rPr>
      </w:pPr>
      <w:r w:rsidRPr="0087132E">
        <w:rPr>
          <w:lang w:val="es-ES"/>
        </w:rPr>
        <w:t>En el Plan de Acción de la CMDT-17 se señala que los programas, en la medida de lo posible, deberían implantarse conjuntamente con otras organizaciones y partes interesadas, incluidos Miembros de Sector, Instituciones Académicas, organizaciones no gubernamentales y otros organismos y redes de las Naciones Unidas, a fin de aprovechar las repercusiones de los productos y servicios desarrollados en el marco de los progra</w:t>
      </w:r>
      <w:r w:rsidR="00960E70" w:rsidRPr="0087132E">
        <w:rPr>
          <w:lang w:val="es-ES"/>
        </w:rPr>
        <w:t xml:space="preserve">mas. De manera más específica, </w:t>
      </w:r>
      <w:r w:rsidR="0087132E">
        <w:rPr>
          <w:lang w:val="es-ES"/>
        </w:rPr>
        <w:t>"</w:t>
      </w:r>
      <w:r w:rsidRPr="0087132E">
        <w:rPr>
          <w:lang w:val="es-ES"/>
        </w:rPr>
        <w:t>las Iniciativas Regionales tienen como objetivo abordar esferas prioritarias específicas de las telecomunicaciones/TIC, a través de asociaciones y la movilización de re</w:t>
      </w:r>
      <w:r w:rsidR="0077644C" w:rsidRPr="0087132E">
        <w:rPr>
          <w:lang w:val="es-ES"/>
        </w:rPr>
        <w:t>cursos para implantar proyectos</w:t>
      </w:r>
      <w:r w:rsidR="0087132E">
        <w:rPr>
          <w:lang w:val="es-ES"/>
        </w:rPr>
        <w:t>"</w:t>
      </w:r>
      <w:r w:rsidR="0077644C" w:rsidRPr="0087132E">
        <w:rPr>
          <w:lang w:val="es-ES"/>
        </w:rPr>
        <w:t>.</w:t>
      </w:r>
    </w:p>
    <w:p w14:paraId="3BEDED3E" w14:textId="77777777" w:rsidR="00B43E62" w:rsidRPr="0087132E" w:rsidRDefault="00B43E62" w:rsidP="0087132E">
      <w:pPr>
        <w:rPr>
          <w:lang w:val="es-ES"/>
        </w:rPr>
      </w:pPr>
      <w:r w:rsidRPr="0087132E">
        <w:rPr>
          <w:lang w:val="es-ES"/>
        </w:rPr>
        <w:t xml:space="preserve">En la Resolución 17 </w:t>
      </w:r>
      <w:r w:rsidR="00D715A8" w:rsidRPr="0087132E">
        <w:rPr>
          <w:lang w:val="es-ES"/>
        </w:rPr>
        <w:t xml:space="preserve">de la CMDT </w:t>
      </w:r>
      <w:r w:rsidRPr="0087132E">
        <w:rPr>
          <w:lang w:val="es-ES"/>
        </w:rPr>
        <w:t xml:space="preserve">se resuelve, en particular, </w:t>
      </w:r>
      <w:r w:rsidR="0087132E">
        <w:rPr>
          <w:lang w:val="es-ES"/>
        </w:rPr>
        <w:t>"</w:t>
      </w:r>
      <w:r w:rsidRPr="0087132E">
        <w:rPr>
          <w:lang w:val="es-ES"/>
        </w:rPr>
        <w:t>que la BDT siga concertando activamente asociaciones con los Estados Miembros, Miembros de Sector del UIT-D, instituciones financieras y organizaciones internacionales a fin de patrocinar las actividades de realización de estas iniciativas</w:t>
      </w:r>
      <w:r w:rsidR="0087132E">
        <w:rPr>
          <w:lang w:val="es-ES"/>
        </w:rPr>
        <w:t>"</w:t>
      </w:r>
      <w:r w:rsidRPr="0087132E">
        <w:rPr>
          <w:lang w:val="es-ES"/>
        </w:rPr>
        <w:t xml:space="preserve"> y </w:t>
      </w:r>
      <w:r w:rsidR="0087132E">
        <w:rPr>
          <w:lang w:val="es-ES"/>
        </w:rPr>
        <w:t>se exhorta "</w:t>
      </w:r>
      <w:r w:rsidRPr="0087132E">
        <w:rPr>
          <w:lang w:val="es-ES"/>
        </w:rPr>
        <w:t>a organizaciones/organismos internacionales de financiación, a proveedores de equipo y a operadores/proveedores de servicios a que contribuyan, de forma plena o parcial, a financiar las I</w:t>
      </w:r>
      <w:r w:rsidR="00960E70" w:rsidRPr="0087132E">
        <w:rPr>
          <w:lang w:val="es-ES"/>
        </w:rPr>
        <w:t>niciativas Regionales adoptadas</w:t>
      </w:r>
      <w:r w:rsidR="0087132E">
        <w:rPr>
          <w:lang w:val="es-ES"/>
        </w:rPr>
        <w:t>"</w:t>
      </w:r>
      <w:r w:rsidRPr="0087132E">
        <w:rPr>
          <w:lang w:val="es-ES"/>
        </w:rPr>
        <w:t>.</w:t>
      </w:r>
    </w:p>
    <w:p w14:paraId="31B32A7B" w14:textId="77777777" w:rsidR="007E1BE3" w:rsidRPr="0087132E" w:rsidRDefault="00B43E62" w:rsidP="0087132E">
      <w:pPr>
        <w:rPr>
          <w:rFonts w:cs="Calibri"/>
          <w:b/>
          <w:color w:val="800000"/>
          <w:sz w:val="18"/>
          <w:szCs w:val="18"/>
          <w:lang w:val="es-ES"/>
        </w:rPr>
      </w:pPr>
      <w:r w:rsidRPr="0087132E">
        <w:rPr>
          <w:lang w:val="es-ES"/>
        </w:rPr>
        <w:t xml:space="preserve">Además, en la </w:t>
      </w:r>
      <w:r w:rsidR="0087132E">
        <w:rPr>
          <w:lang w:val="es-ES"/>
        </w:rPr>
        <w:t>Resolución 71 se considera que "</w:t>
      </w:r>
      <w:r w:rsidRPr="0087132E">
        <w:rPr>
          <w:lang w:val="es-ES"/>
        </w:rPr>
        <w:t>las asociaciones entre los sectores público y privado, incluidas la UIT y otras entidades como organizaciones nacionales, regionales, internacionales o intergubernamentales, en su caso, siguen constituyendo elementos clave para fomentar el desarrollo sostenible de las telecomunicaciones/tecnologías de la información y la comu</w:t>
      </w:r>
      <w:r w:rsidR="00960E70" w:rsidRPr="0087132E">
        <w:rPr>
          <w:lang w:val="es-ES"/>
        </w:rPr>
        <w:t>nicación (TIC)</w:t>
      </w:r>
      <w:r w:rsidR="0087132E">
        <w:rPr>
          <w:lang w:val="es-ES"/>
        </w:rPr>
        <w:t>"</w:t>
      </w:r>
      <w:r w:rsidRPr="0087132E">
        <w:rPr>
          <w:lang w:val="es-ES"/>
        </w:rPr>
        <w:t>.</w:t>
      </w:r>
    </w:p>
    <w:p w14:paraId="41718B0C" w14:textId="77777777" w:rsidR="00331F07" w:rsidRPr="0087132E" w:rsidRDefault="00331F07" w:rsidP="00331F07">
      <w:pPr>
        <w:pStyle w:val="Heading1"/>
        <w:rPr>
          <w:lang w:val="es-ES"/>
        </w:rPr>
      </w:pPr>
      <w:r w:rsidRPr="0087132E">
        <w:rPr>
          <w:lang w:val="es-ES"/>
        </w:rPr>
        <w:t>2</w:t>
      </w:r>
      <w:r w:rsidRPr="0087132E">
        <w:rPr>
          <w:lang w:val="es-ES"/>
        </w:rPr>
        <w:tab/>
        <w:t>Objetivo estratégico</w:t>
      </w:r>
    </w:p>
    <w:p w14:paraId="3BF02772" w14:textId="77777777" w:rsidR="007E1BE3" w:rsidRPr="0087132E" w:rsidRDefault="00331F07" w:rsidP="00844C5B">
      <w:pPr>
        <w:rPr>
          <w:rFonts w:cs="Calibri"/>
          <w:b/>
          <w:color w:val="800000"/>
          <w:sz w:val="18"/>
          <w:szCs w:val="18"/>
          <w:lang w:val="es-ES"/>
        </w:rPr>
      </w:pPr>
      <w:r w:rsidRPr="0087132E">
        <w:rPr>
          <w:lang w:val="es-ES"/>
        </w:rPr>
        <w:t xml:space="preserve">De conformidad con los resultados de la CMDT-17, el objetivo </w:t>
      </w:r>
      <w:r w:rsidR="008B1143" w:rsidRPr="0087132E">
        <w:rPr>
          <w:lang w:val="es-ES"/>
        </w:rPr>
        <w:t xml:space="preserve">es </w:t>
      </w:r>
      <w:r w:rsidRPr="0087132E">
        <w:rPr>
          <w:lang w:val="es-ES"/>
        </w:rPr>
        <w:t xml:space="preserve">facilitar, desarrollar y fortalecer las asociaciones y la cooperación con diversas partes interesadas, en particular otros organismos de las Naciones Unidas, organizaciones regionales e internacionales, Estados Miembros de la UIT, Miembros de Sector del UIT‐D, </w:t>
      </w:r>
      <w:r w:rsidR="005D5745" w:rsidRPr="0087132E">
        <w:rPr>
          <w:lang w:val="es-ES"/>
        </w:rPr>
        <w:t>A</w:t>
      </w:r>
      <w:r w:rsidRPr="0087132E">
        <w:rPr>
          <w:lang w:val="es-ES"/>
        </w:rPr>
        <w:t>sociados, Instituciones Académicas y otros socios pertinentes de países desarrollados y en desarrollo, a fin de facilitar la movilización de recursos, evitar duplicaciones de trabajos y respaldar al UIT‐D en la implantación de los Programas y las Iniciativas Regionales.</w:t>
      </w:r>
      <w:r w:rsidR="007E1BE3" w:rsidRPr="0087132E">
        <w:rPr>
          <w:lang w:val="es-ES"/>
        </w:rPr>
        <w:t xml:space="preserve"> </w:t>
      </w:r>
    </w:p>
    <w:p w14:paraId="07262353" w14:textId="77777777" w:rsidR="007E1BE3" w:rsidRPr="0087132E" w:rsidRDefault="00331F07" w:rsidP="00222CBD">
      <w:pPr>
        <w:pStyle w:val="Heading1"/>
        <w:rPr>
          <w:lang w:val="es-ES"/>
        </w:rPr>
      </w:pPr>
      <w:r w:rsidRPr="0087132E">
        <w:rPr>
          <w:lang w:val="es-ES"/>
        </w:rPr>
        <w:t>3</w:t>
      </w:r>
      <w:r w:rsidRPr="0087132E">
        <w:rPr>
          <w:lang w:val="es-ES"/>
        </w:rPr>
        <w:tab/>
        <w:t>Análisis de la situación</w:t>
      </w:r>
    </w:p>
    <w:p w14:paraId="5D25D1A3" w14:textId="1BB1100B" w:rsidR="007E1BE3" w:rsidRPr="0087132E" w:rsidRDefault="00222CBD" w:rsidP="00844C5B">
      <w:pPr>
        <w:spacing w:after="120"/>
        <w:rPr>
          <w:lang w:val="es-ES"/>
        </w:rPr>
      </w:pPr>
      <w:r w:rsidRPr="0087132E">
        <w:rPr>
          <w:lang w:val="es-ES"/>
        </w:rPr>
        <w:t>E</w:t>
      </w:r>
      <w:r w:rsidR="007E1BE3" w:rsidRPr="0087132E">
        <w:rPr>
          <w:lang w:val="es-ES"/>
        </w:rPr>
        <w:t xml:space="preserve">n 2018, </w:t>
      </w:r>
      <w:r w:rsidR="00290043" w:rsidRPr="0087132E">
        <w:rPr>
          <w:lang w:val="es-ES"/>
        </w:rPr>
        <w:t xml:space="preserve">se suscribieron </w:t>
      </w:r>
      <w:r w:rsidR="007E1BE3" w:rsidRPr="0087132E">
        <w:rPr>
          <w:lang w:val="es-ES"/>
        </w:rPr>
        <w:t xml:space="preserve">43 </w:t>
      </w:r>
      <w:r w:rsidRPr="0087132E">
        <w:rPr>
          <w:lang w:val="es-ES"/>
        </w:rPr>
        <w:t xml:space="preserve">acuerdos de asociación nuevos y </w:t>
      </w:r>
      <w:r w:rsidR="007E1BE3" w:rsidRPr="0087132E">
        <w:rPr>
          <w:lang w:val="es-ES"/>
        </w:rPr>
        <w:t>7 addenda/</w:t>
      </w:r>
      <w:r w:rsidRPr="0087132E">
        <w:rPr>
          <w:lang w:val="es-ES"/>
        </w:rPr>
        <w:t>enmiendas</w:t>
      </w:r>
      <w:r w:rsidR="007E1BE3" w:rsidRPr="0087132E">
        <w:rPr>
          <w:lang w:val="es-ES"/>
        </w:rPr>
        <w:t xml:space="preserve"> </w:t>
      </w:r>
      <w:r w:rsidR="00290043" w:rsidRPr="0087132E">
        <w:rPr>
          <w:lang w:val="es-ES"/>
        </w:rPr>
        <w:t xml:space="preserve">entre la BDT y </w:t>
      </w:r>
      <w:r w:rsidRPr="0087132E">
        <w:rPr>
          <w:lang w:val="es-ES"/>
        </w:rPr>
        <w:t xml:space="preserve">diferentes partes interesadas, con un valor estimado de 10,9 millones </w:t>
      </w:r>
      <w:r w:rsidR="00844C5B" w:rsidRPr="0087132E">
        <w:rPr>
          <w:lang w:val="es-ES"/>
        </w:rPr>
        <w:t>USD</w:t>
      </w:r>
      <w:r w:rsidRPr="0087132E">
        <w:rPr>
          <w:lang w:val="es-ES"/>
        </w:rPr>
        <w:t xml:space="preserve"> y cofinanciación de la BDT y socios externos. La lista de estos acuerdos con información detallada (por ejemplo, signatarios, tipo de asociación</w:t>
      </w:r>
      <w:r w:rsidR="007E1BE3" w:rsidRPr="0087132E">
        <w:rPr>
          <w:rStyle w:val="FootnoteReference"/>
          <w:szCs w:val="24"/>
          <w:lang w:val="es-ES"/>
        </w:rPr>
        <w:footnoteReference w:id="1"/>
      </w:r>
      <w:r w:rsidR="007E1BE3" w:rsidRPr="0087132E">
        <w:rPr>
          <w:lang w:val="es-ES"/>
        </w:rPr>
        <w:t xml:space="preserve">, </w:t>
      </w:r>
      <w:r w:rsidRPr="0087132E">
        <w:rPr>
          <w:lang w:val="es-ES"/>
        </w:rPr>
        <w:t xml:space="preserve">fecha de entrada en vigor, valor y objetivo) figura en el </w:t>
      </w:r>
      <w:r w:rsidR="00B65BAB" w:rsidRPr="00AE0654">
        <w:rPr>
          <w:lang w:val="es-ES"/>
        </w:rPr>
        <w:lastRenderedPageBreak/>
        <w:t xml:space="preserve">Documento </w:t>
      </w:r>
      <w:hyperlink r:id="rId10" w:history="1">
        <w:r w:rsidR="007E1BE3" w:rsidRPr="00EF17E8">
          <w:rPr>
            <w:rStyle w:val="Hyperlink"/>
            <w:szCs w:val="24"/>
            <w:lang w:val="es-ES"/>
          </w:rPr>
          <w:t>INF/3</w:t>
        </w:r>
      </w:hyperlink>
      <w:r w:rsidR="007E1BE3" w:rsidRPr="0087132E">
        <w:rPr>
          <w:rStyle w:val="FootnoteReference"/>
          <w:szCs w:val="24"/>
          <w:lang w:val="es-ES"/>
        </w:rPr>
        <w:footnoteReference w:id="2"/>
      </w:r>
      <w:r w:rsidR="007E1BE3" w:rsidRPr="0087132E">
        <w:rPr>
          <w:szCs w:val="24"/>
          <w:lang w:val="es-ES"/>
        </w:rPr>
        <w:t xml:space="preserve">. </w:t>
      </w:r>
      <w:r w:rsidR="00D15A9A" w:rsidRPr="0087132E">
        <w:rPr>
          <w:szCs w:val="24"/>
          <w:lang w:val="es-ES"/>
        </w:rPr>
        <w:t>La conclusi</w:t>
      </w:r>
      <w:r w:rsidR="004C119D" w:rsidRPr="0087132E">
        <w:rPr>
          <w:szCs w:val="24"/>
          <w:lang w:val="es-ES"/>
        </w:rPr>
        <w:t>ó</w:t>
      </w:r>
      <w:r w:rsidR="00D15A9A" w:rsidRPr="0087132E">
        <w:rPr>
          <w:szCs w:val="24"/>
          <w:lang w:val="es-ES"/>
        </w:rPr>
        <w:t xml:space="preserve">n de estos acuerdos ha sido posible gracias al apoyo y los esfuerzos combinados de los Miembros y </w:t>
      </w:r>
      <w:r w:rsidR="009C1A3B" w:rsidRPr="0087132E">
        <w:rPr>
          <w:szCs w:val="24"/>
          <w:lang w:val="es-ES"/>
        </w:rPr>
        <w:t xml:space="preserve">los </w:t>
      </w:r>
      <w:r w:rsidR="00844C5B" w:rsidRPr="0087132E">
        <w:rPr>
          <w:szCs w:val="24"/>
          <w:lang w:val="es-ES"/>
        </w:rPr>
        <w:t xml:space="preserve">socios </w:t>
      </w:r>
      <w:r w:rsidR="00D15A9A" w:rsidRPr="0087132E">
        <w:rPr>
          <w:szCs w:val="24"/>
          <w:lang w:val="es-ES"/>
        </w:rPr>
        <w:t>de</w:t>
      </w:r>
      <w:r w:rsidR="004265CF" w:rsidRPr="0087132E">
        <w:rPr>
          <w:szCs w:val="24"/>
          <w:lang w:val="es-ES"/>
        </w:rPr>
        <w:t xml:space="preserve"> </w:t>
      </w:r>
      <w:r w:rsidR="00D15A9A" w:rsidRPr="0087132E">
        <w:rPr>
          <w:szCs w:val="24"/>
          <w:lang w:val="es-ES"/>
        </w:rPr>
        <w:t>l</w:t>
      </w:r>
      <w:r w:rsidR="004265CF" w:rsidRPr="0087132E">
        <w:rPr>
          <w:szCs w:val="24"/>
          <w:lang w:val="es-ES"/>
        </w:rPr>
        <w:t>a</w:t>
      </w:r>
      <w:r w:rsidR="00D15A9A" w:rsidRPr="0087132E">
        <w:rPr>
          <w:szCs w:val="24"/>
          <w:lang w:val="es-ES"/>
        </w:rPr>
        <w:t xml:space="preserve"> UIT, y también del personal de la Sede y sobre el terreno de la BDT</w:t>
      </w:r>
      <w:r w:rsidR="007E1BE3" w:rsidRPr="0087132E">
        <w:rPr>
          <w:rFonts w:cs="Calibri"/>
          <w:szCs w:val="24"/>
          <w:lang w:val="es-ES"/>
        </w:rPr>
        <w:t>.</w:t>
      </w:r>
    </w:p>
    <w:p w14:paraId="0EE833AF" w14:textId="77777777" w:rsidR="007E1BE3" w:rsidRDefault="00D15A9A" w:rsidP="0087132E">
      <w:pPr>
        <w:spacing w:after="120"/>
        <w:rPr>
          <w:lang w:val="es-ES"/>
        </w:rPr>
      </w:pPr>
      <w:r w:rsidRPr="0087132E">
        <w:rPr>
          <w:lang w:val="es-ES"/>
        </w:rPr>
        <w:t xml:space="preserve">Entre </w:t>
      </w:r>
      <w:r w:rsidR="007E1BE3" w:rsidRPr="0087132E">
        <w:rPr>
          <w:lang w:val="es-ES"/>
        </w:rPr>
        <w:t xml:space="preserve">2015 </w:t>
      </w:r>
      <w:r w:rsidRPr="0087132E">
        <w:rPr>
          <w:lang w:val="es-ES"/>
        </w:rPr>
        <w:t xml:space="preserve">y </w:t>
      </w:r>
      <w:r w:rsidR="007E1BE3" w:rsidRPr="0087132E">
        <w:rPr>
          <w:lang w:val="es-ES"/>
        </w:rPr>
        <w:t xml:space="preserve">2018, </w:t>
      </w:r>
      <w:r w:rsidR="00290043" w:rsidRPr="0087132E">
        <w:rPr>
          <w:lang w:val="es-ES"/>
        </w:rPr>
        <w:t xml:space="preserve">se suscribieron </w:t>
      </w:r>
      <w:r w:rsidR="007E1BE3" w:rsidRPr="0087132E">
        <w:rPr>
          <w:lang w:val="es-ES"/>
        </w:rPr>
        <w:t xml:space="preserve">200 </w:t>
      </w:r>
      <w:r w:rsidRPr="0087132E">
        <w:rPr>
          <w:lang w:val="es-ES"/>
        </w:rPr>
        <w:t xml:space="preserve">acuerdos de asociación nuevos y </w:t>
      </w:r>
      <w:r w:rsidR="007E1BE3" w:rsidRPr="0087132E">
        <w:rPr>
          <w:lang w:val="es-ES"/>
        </w:rPr>
        <w:t>39 addenda/</w:t>
      </w:r>
      <w:r w:rsidRPr="0087132E">
        <w:rPr>
          <w:lang w:val="es-ES"/>
        </w:rPr>
        <w:t xml:space="preserve">enmiendas </w:t>
      </w:r>
      <w:r w:rsidR="00290043" w:rsidRPr="0087132E">
        <w:rPr>
          <w:lang w:val="es-ES"/>
        </w:rPr>
        <w:t xml:space="preserve">entre la BDT y </w:t>
      </w:r>
      <w:r w:rsidRPr="0087132E">
        <w:rPr>
          <w:lang w:val="es-ES"/>
        </w:rPr>
        <w:t xml:space="preserve">diferentes partes interesadas, </w:t>
      </w:r>
      <w:r w:rsidR="00290043" w:rsidRPr="0087132E">
        <w:rPr>
          <w:lang w:val="es-ES"/>
        </w:rPr>
        <w:t>que se desglosan de la manera siguiente, por regiones beneficiarias y por esferas de acción</w:t>
      </w:r>
      <w:r w:rsidR="007E1BE3" w:rsidRPr="005D50E8">
        <w:rPr>
          <w:lang w:val="es-ES"/>
        </w:rPr>
        <w:t>.</w:t>
      </w:r>
    </w:p>
    <w:p w14:paraId="7D136F67" w14:textId="77777777" w:rsidR="00AF104C" w:rsidRPr="002F09BD" w:rsidRDefault="00AF104C" w:rsidP="002B7A70">
      <w:pPr>
        <w:pStyle w:val="Figuretitle"/>
        <w:spacing w:after="120"/>
        <w:rPr>
          <w:lang w:val="es-ES_tradnl"/>
        </w:rPr>
      </w:pPr>
      <w:r w:rsidRPr="002F09BD">
        <w:rPr>
          <w:lang w:val="es-ES_tradnl"/>
        </w:rPr>
        <w:t>Gráficos: Acuerdos suscritos entre 2015 y 2018</w:t>
      </w:r>
    </w:p>
    <w:p w14:paraId="6DA5B069" w14:textId="77777777" w:rsidR="00290043" w:rsidRPr="005D50E8" w:rsidRDefault="009047AF" w:rsidP="008A2C75">
      <w:pPr>
        <w:spacing w:after="240"/>
        <w:jc w:val="center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9047AF">
        <w:rPr>
          <w:rFonts w:ascii="Calibri" w:hAnsi="Calibri" w:cs="Calibri"/>
          <w:b/>
          <w:bCs/>
          <w:i/>
          <w:iCs/>
          <w:noProof/>
          <w:sz w:val="22"/>
          <w:szCs w:val="22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EEE46" wp14:editId="2E17DC08">
                <wp:simplePos x="0" y="0"/>
                <wp:positionH relativeFrom="margin">
                  <wp:posOffset>3699510</wp:posOffset>
                </wp:positionH>
                <wp:positionV relativeFrom="paragraph">
                  <wp:posOffset>2466022</wp:posOffset>
                </wp:positionV>
                <wp:extent cx="286603" cy="152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3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021A" w14:textId="77777777" w:rsidR="009047AF" w:rsidRPr="008A2C75" w:rsidRDefault="009047AF" w:rsidP="009047AF">
                            <w:pPr>
                              <w:spacing w:before="0"/>
                              <w:rPr>
                                <w:color w:val="595959" w:themeColor="text1" w:themeTint="A6"/>
                                <w:sz w:val="19"/>
                                <w:szCs w:val="19"/>
                                <w:lang w:val="es-ES_tradnl"/>
                              </w:rPr>
                            </w:pPr>
                            <w:r w:rsidRPr="008A2C75">
                              <w:rPr>
                                <w:color w:val="595959" w:themeColor="text1" w:themeTint="A6"/>
                                <w:sz w:val="19"/>
                                <w:szCs w:val="19"/>
                                <w:lang w:val="es-ES_tradnl"/>
                              </w:rPr>
                              <w:t>CEI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E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194.15pt;width:22.5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" stroked="f">
                <v:textbox inset="0,0,0,0">
                  <w:txbxContent>
                    <w:p w14:paraId="5B20021A" w14:textId="77777777" w:rsidR="009047AF" w:rsidRPr="008A2C75" w:rsidRDefault="009047AF" w:rsidP="009047AF">
                      <w:pPr>
                        <w:spacing w:before="0"/>
                        <w:rPr>
                          <w:color w:val="595959" w:themeColor="text1" w:themeTint="A6"/>
                          <w:sz w:val="19"/>
                          <w:szCs w:val="19"/>
                          <w:lang w:val="es-ES_tradnl"/>
                        </w:rPr>
                      </w:pPr>
                      <w:r w:rsidRPr="008A2C75">
                        <w:rPr>
                          <w:color w:val="595959" w:themeColor="text1" w:themeTint="A6"/>
                          <w:sz w:val="19"/>
                          <w:szCs w:val="19"/>
                          <w:lang w:val="es-ES_tradnl"/>
                        </w:rPr>
                        <w:t>CEI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C75">
        <w:rPr>
          <w:noProof/>
          <w:color w:val="A7A7A7"/>
          <w:lang w:val="en-GB" w:eastAsia="zh-CN"/>
        </w:rPr>
        <w:drawing>
          <wp:inline distT="0" distB="0" distL="0" distR="0" wp14:anchorId="6460E842" wp14:editId="74BB2582">
            <wp:extent cx="4981575" cy="2982036"/>
            <wp:effectExtent l="0" t="0" r="9525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6D9EDD" w14:textId="77777777" w:rsidR="007E1BE3" w:rsidRPr="005D50E8" w:rsidRDefault="007E1BE3" w:rsidP="007E1BE3">
      <w:pPr>
        <w:pStyle w:val="ListParagraph"/>
        <w:keepNext/>
        <w:spacing w:before="0" w:after="0"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"/>
          <w:szCs w:val="2"/>
          <w:lang w:val="es-ES"/>
        </w:rPr>
      </w:pPr>
    </w:p>
    <w:p w14:paraId="70743B5B" w14:textId="77777777" w:rsidR="007E1BE3" w:rsidRPr="005D50E8" w:rsidRDefault="007D4BB2" w:rsidP="007E1BE3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2"/>
          <w:szCs w:val="22"/>
          <w:lang w:val="es-ES"/>
        </w:rPr>
      </w:pP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2DB4B1" wp14:editId="3479B60E">
                <wp:simplePos x="0" y="0"/>
                <wp:positionH relativeFrom="margin">
                  <wp:posOffset>520881</wp:posOffset>
                </wp:positionH>
                <wp:positionV relativeFrom="paragraph">
                  <wp:posOffset>529920</wp:posOffset>
                </wp:positionV>
                <wp:extent cx="1197767" cy="154305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767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F57C" w14:textId="77777777" w:rsidR="00DE3010" w:rsidRPr="007D4BB2" w:rsidRDefault="00DE3010" w:rsidP="00DE3010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Estadísticas e indicadores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B4B1" id="Text Box 3" o:spid="_x0000_s1027" type="#_x0000_t202" style="position:absolute;left:0;text-align:left;margin-left:41pt;margin-top:41.75pt;width:94.3pt;height:1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" stroked="f">
                <v:textbox inset="0,0,0,0">
                  <w:txbxContent>
                    <w:p w14:paraId="3372F57C" w14:textId="77777777" w:rsidR="00DE3010" w:rsidRPr="007D4BB2" w:rsidRDefault="00DE3010" w:rsidP="00DE3010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20"/>
                          <w:szCs w:val="16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Estadísticas e indicadores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CD1691" wp14:editId="18E77884">
                <wp:simplePos x="0" y="0"/>
                <wp:positionH relativeFrom="column">
                  <wp:posOffset>664210</wp:posOffset>
                </wp:positionH>
                <wp:positionV relativeFrom="paragraph">
                  <wp:posOffset>2075592</wp:posOffset>
                </wp:positionV>
                <wp:extent cx="1066569" cy="148441"/>
                <wp:effectExtent l="0" t="0" r="635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569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02EE" w14:textId="77777777" w:rsidR="007D4BB2" w:rsidRPr="007D4BB2" w:rsidRDefault="007D4BB2" w:rsidP="007D4BB2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2F09BD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Creación</w:t>
                            </w: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n-GB"/>
                              </w:rPr>
                              <w:t xml:space="preserve"> de capacidad</w:t>
                            </w:r>
                          </w:p>
                          <w:p w14:paraId="7F6E3E72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16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2.3pt;margin-top:163.45pt;width:84pt;height:11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" stroked="f">
                <v:textbox inset="0,0,0,0">
                  <w:txbxContent>
                    <w:p w14:paraId="32A502EE" w14:textId="77777777" w:rsidR="007D4BB2" w:rsidRPr="007D4BB2" w:rsidRDefault="007D4BB2" w:rsidP="007D4BB2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20"/>
                          <w:szCs w:val="16"/>
                          <w:lang w:val="en-GB"/>
                        </w:rPr>
                      </w:pPr>
                      <w:r w:rsidRPr="002F09BD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Creación</w:t>
                      </w: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n-GB"/>
                        </w:rPr>
                        <w:t xml:space="preserve"> de capacidad</w:t>
                      </w:r>
                    </w:p>
                    <w:p w14:paraId="7F6E3E72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073081" wp14:editId="45DC8274">
                <wp:simplePos x="0" y="0"/>
                <wp:positionH relativeFrom="column">
                  <wp:posOffset>666115</wp:posOffset>
                </wp:positionH>
                <wp:positionV relativeFrom="paragraph">
                  <wp:posOffset>1914937</wp:posOffset>
                </wp:positionV>
                <wp:extent cx="1066569" cy="148441"/>
                <wp:effectExtent l="0" t="0" r="635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569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7620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Ciberseguridad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3081" id="Text Box 14" o:spid="_x0000_s1029" type="#_x0000_t202" style="position:absolute;left:0;text-align:left;margin-left:52.45pt;margin-top:150.8pt;width:84pt;height:11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" stroked="f">
                <v:textbox inset="0,0,0,0">
                  <w:txbxContent>
                    <w:p w14:paraId="5FD67620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Ciberseguridad</w:t>
                      </w: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8581D2" wp14:editId="17D2326D">
                <wp:simplePos x="0" y="0"/>
                <wp:positionH relativeFrom="column">
                  <wp:posOffset>659081</wp:posOffset>
                </wp:positionH>
                <wp:positionV relativeFrom="paragraph">
                  <wp:posOffset>1767155</wp:posOffset>
                </wp:positionV>
                <wp:extent cx="1066569" cy="148441"/>
                <wp:effectExtent l="0" t="0" r="63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569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E073" w14:textId="77777777" w:rsidR="007D4BB2" w:rsidRPr="007D4BB2" w:rsidRDefault="007D4BB2" w:rsidP="007D4BB2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Inclusión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81D2" id="Text Box 13" o:spid="_x0000_s1030" type="#_x0000_t202" style="position:absolute;left:0;text-align:left;margin-left:51.9pt;margin-top:139.15pt;width:84pt;height:11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" stroked="f">
                <v:textbox inset="0,0,0,0">
                  <w:txbxContent>
                    <w:p w14:paraId="2408E073" w14:textId="77777777" w:rsidR="007D4BB2" w:rsidRPr="007D4BB2" w:rsidRDefault="007D4BB2" w:rsidP="007D4BB2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22"/>
                          <w:szCs w:val="18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Inclusión digital</w:t>
                      </w: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E550F8" wp14:editId="79601DF8">
                <wp:simplePos x="0" y="0"/>
                <wp:positionH relativeFrom="column">
                  <wp:posOffset>987425</wp:posOffset>
                </wp:positionH>
                <wp:positionV relativeFrom="paragraph">
                  <wp:posOffset>1615217</wp:posOffset>
                </wp:positionV>
                <wp:extent cx="742208" cy="148441"/>
                <wp:effectExtent l="0" t="0" r="127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208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B002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50F8" id="Text Box 12" o:spid="_x0000_s1031" type="#_x0000_t202" style="position:absolute;left:0;text-align:left;margin-left:77.75pt;margin-top:127.2pt;width:58.45pt;height:11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" stroked="f">
                <v:textbox inset="0,0,0,0">
                  <w:txbxContent>
                    <w:p w14:paraId="676EB002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Emergencia</w:t>
                      </w: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6AB83D" wp14:editId="542AF3D2">
                <wp:simplePos x="0" y="0"/>
                <wp:positionH relativeFrom="margin">
                  <wp:posOffset>639222</wp:posOffset>
                </wp:positionH>
                <wp:positionV relativeFrom="paragraph">
                  <wp:posOffset>1461770</wp:posOffset>
                </wp:positionV>
                <wp:extent cx="1085957" cy="148441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957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9C15" w14:textId="77777777" w:rsidR="007D4BB2" w:rsidRPr="007D4BB2" w:rsidRDefault="007D4BB2" w:rsidP="007D4BB2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Entorno propicio</w:t>
                            </w:r>
                          </w:p>
                          <w:p w14:paraId="0BF7A34E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B83D" id="Text Box 11" o:spid="_x0000_s1032" type="#_x0000_t202" style="position:absolute;left:0;text-align:left;margin-left:50.35pt;margin-top:115.1pt;width:85.5pt;height:1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" stroked="f">
                <v:textbox inset="0,0,0,0">
                  <w:txbxContent>
                    <w:p w14:paraId="39339C15" w14:textId="77777777" w:rsidR="007D4BB2" w:rsidRPr="007D4BB2" w:rsidRDefault="007D4BB2" w:rsidP="007D4BB2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Entorno propicio</w:t>
                      </w:r>
                    </w:p>
                    <w:p w14:paraId="0BF7A34E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D89C47" wp14:editId="26F0133B">
                <wp:simplePos x="0" y="0"/>
                <wp:positionH relativeFrom="column">
                  <wp:posOffset>1268730</wp:posOffset>
                </wp:positionH>
                <wp:positionV relativeFrom="paragraph">
                  <wp:posOffset>1300892</wp:posOffset>
                </wp:positionV>
                <wp:extent cx="454586" cy="148441"/>
                <wp:effectExtent l="0" t="0" r="317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86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956D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Genéricos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9C47" id="Text Box 8" o:spid="_x0000_s1033" type="#_x0000_t202" style="position:absolute;left:0;text-align:left;margin-left:99.9pt;margin-top:102.45pt;width:35.8pt;height:11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" stroked="f">
                <v:textbox inset="0,0,0,0">
                  <w:txbxContent>
                    <w:p w14:paraId="73E4956D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Genéricos</w:t>
                      </w: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1E8431" wp14:editId="24C229C3">
                <wp:simplePos x="0" y="0"/>
                <wp:positionH relativeFrom="column">
                  <wp:posOffset>657728</wp:posOffset>
                </wp:positionH>
                <wp:positionV relativeFrom="paragraph">
                  <wp:posOffset>1152303</wp:posOffset>
                </wp:positionV>
                <wp:extent cx="1066569" cy="148441"/>
                <wp:effectExtent l="0" t="0" r="635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569" cy="14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BDB7" w14:textId="77777777" w:rsidR="007D4BB2" w:rsidRPr="007D4BB2" w:rsidRDefault="007D4BB2" w:rsidP="007D4BB2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Aplicaciones de TIC</w:t>
                            </w:r>
                          </w:p>
                          <w:p w14:paraId="6EAA0E0A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8431" id="Text Box 7" o:spid="_x0000_s1034" type="#_x0000_t202" style="position:absolute;left:0;text-align:left;margin-left:51.8pt;margin-top:90.75pt;width:84pt;height:1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" stroked="f">
                <v:textbox inset="0,0,0,0">
                  <w:txbxContent>
                    <w:p w14:paraId="62FBBDB7" w14:textId="77777777" w:rsidR="007D4BB2" w:rsidRPr="007D4BB2" w:rsidRDefault="007D4BB2" w:rsidP="007D4BB2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Aplicaciones de TIC</w:t>
                      </w:r>
                    </w:p>
                    <w:p w14:paraId="6EAA0E0A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C8EF23" wp14:editId="028AEEA1">
                <wp:simplePos x="0" y="0"/>
                <wp:positionH relativeFrom="column">
                  <wp:posOffset>1031875</wp:posOffset>
                </wp:positionH>
                <wp:positionV relativeFrom="paragraph">
                  <wp:posOffset>982122</wp:posOffset>
                </wp:positionV>
                <wp:extent cx="692785" cy="1422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7F92" w14:textId="77777777" w:rsidR="007D4BB2" w:rsidRPr="003D5CA3" w:rsidRDefault="007D4BB2" w:rsidP="007D4BB2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Infraestructura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EF23" id="Text Box 6" o:spid="_x0000_s1035" type="#_x0000_t202" style="position:absolute;left:0;text-align:left;margin-left:81.25pt;margin-top:77.35pt;width:54.55pt;height:1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" stroked="f">
                <v:textbox inset="0,0,0,0">
                  <w:txbxContent>
                    <w:p w14:paraId="43197F92" w14:textId="77777777" w:rsidR="007D4BB2" w:rsidRPr="003D5CA3" w:rsidRDefault="007D4BB2" w:rsidP="007D4BB2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Infraestructura</w:t>
                      </w: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F152F5" wp14:editId="13084AE3">
                <wp:simplePos x="0" y="0"/>
                <wp:positionH relativeFrom="column">
                  <wp:posOffset>1033368</wp:posOffset>
                </wp:positionH>
                <wp:positionV relativeFrom="paragraph">
                  <wp:posOffset>831850</wp:posOffset>
                </wp:positionV>
                <wp:extent cx="692785" cy="1422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015B" w14:textId="77777777" w:rsidR="00DE3010" w:rsidRPr="007D4BB2" w:rsidRDefault="00DE3010" w:rsidP="00DE3010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2"/>
                                <w:lang w:val="es-ES_tradnl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z w:val="16"/>
                                <w:szCs w:val="12"/>
                                <w:lang w:val="es-ES_tradnl"/>
                              </w:rPr>
                              <w:t>Innovación</w:t>
                            </w:r>
                          </w:p>
                          <w:p w14:paraId="3BE5DE9E" w14:textId="77777777" w:rsidR="00DE3010" w:rsidRPr="003D5CA3" w:rsidRDefault="00DE3010" w:rsidP="00DE3010">
                            <w:pPr>
                              <w:spacing w:before="0"/>
                              <w:jc w:val="right"/>
                              <w:rPr>
                                <w:sz w:val="22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52F5" id="Text Box 5" o:spid="_x0000_s1036" type="#_x0000_t202" style="position:absolute;left:0;text-align:left;margin-left:81.35pt;margin-top:65.5pt;width:54.55pt;height:1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" stroked="f">
                <v:textbox inset="0,0,0,0">
                  <w:txbxContent>
                    <w:p w14:paraId="2EE9015B" w14:textId="77777777" w:rsidR="00DE3010" w:rsidRPr="007D4BB2" w:rsidRDefault="00DE3010" w:rsidP="00DE3010">
                      <w:pPr>
                        <w:spacing w:before="0"/>
                        <w:jc w:val="right"/>
                        <w:rPr>
                          <w:sz w:val="16"/>
                          <w:szCs w:val="12"/>
                          <w:lang w:val="es-ES_tradnl"/>
                        </w:rPr>
                      </w:pPr>
                      <w:r w:rsidRPr="007D4BB2">
                        <w:rPr>
                          <w:color w:val="595959" w:themeColor="text1" w:themeTint="A6"/>
                          <w:sz w:val="16"/>
                          <w:szCs w:val="12"/>
                          <w:lang w:val="es-ES_tradnl"/>
                        </w:rPr>
                        <w:t>Innovación</w:t>
                      </w:r>
                    </w:p>
                    <w:p w14:paraId="3BE5DE9E" w14:textId="77777777" w:rsidR="00DE3010" w:rsidRPr="003D5CA3" w:rsidRDefault="00DE3010" w:rsidP="00DE3010">
                      <w:pPr>
                        <w:spacing w:before="0"/>
                        <w:jc w:val="right"/>
                        <w:rPr>
                          <w:sz w:val="22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5C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F2C514" wp14:editId="787F4CE1">
                <wp:simplePos x="0" y="0"/>
                <wp:positionH relativeFrom="margin">
                  <wp:posOffset>523652</wp:posOffset>
                </wp:positionH>
                <wp:positionV relativeFrom="paragraph">
                  <wp:posOffset>677545</wp:posOffset>
                </wp:positionV>
                <wp:extent cx="1191260" cy="130175"/>
                <wp:effectExtent l="0" t="0" r="889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E8D3" w14:textId="77777777" w:rsidR="00DE3010" w:rsidRPr="007D4BB2" w:rsidRDefault="00DE3010" w:rsidP="007D4BB2">
                            <w:pPr>
                              <w:spacing w:before="0"/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4BB2">
                              <w:rPr>
                                <w:color w:val="595959" w:themeColor="text1" w:themeTint="A6"/>
                                <w:spacing w:val="-4"/>
                                <w:sz w:val="16"/>
                                <w:szCs w:val="16"/>
                                <w:lang w:val="es-ES_tradnl"/>
                              </w:rPr>
                              <w:t>Cambio climático y residuos</w:t>
                            </w:r>
                            <w:r w:rsidR="007D4BB2" w:rsidRPr="007D4BB2">
                              <w:rPr>
                                <w:color w:val="595959" w:themeColor="text1" w:themeTint="A6"/>
                                <w:spacing w:val="-4"/>
                                <w:sz w:val="16"/>
                                <w:szCs w:val="16"/>
                                <w:lang w:val="es-ES_tradnl"/>
                              </w:rPr>
                              <w:t>-e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C514" id="Text Box 4" o:spid="_x0000_s1037" type="#_x0000_t202" style="position:absolute;left:0;text-align:left;margin-left:41.25pt;margin-top:53.35pt;width:93.8pt;height:1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" stroked="f">
                <v:textbox inset="0,0,0,0">
                  <w:txbxContent>
                    <w:p w14:paraId="2C50E8D3" w14:textId="77777777" w:rsidR="00DE3010" w:rsidRPr="007D4BB2" w:rsidRDefault="00DE3010" w:rsidP="007D4BB2">
                      <w:pPr>
                        <w:spacing w:before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  <w:lang w:val="en-GB"/>
                        </w:rPr>
                      </w:pPr>
                      <w:r w:rsidRPr="007D4BB2">
                        <w:rPr>
                          <w:color w:val="595959" w:themeColor="text1" w:themeTint="A6"/>
                          <w:spacing w:val="-4"/>
                          <w:sz w:val="16"/>
                          <w:szCs w:val="16"/>
                          <w:lang w:val="es-ES_tradnl"/>
                        </w:rPr>
                        <w:t>Cambio climático y residuos</w:t>
                      </w:r>
                      <w:r w:rsidR="007D4BB2" w:rsidRPr="007D4BB2">
                        <w:rPr>
                          <w:color w:val="595959" w:themeColor="text1" w:themeTint="A6"/>
                          <w:spacing w:val="-4"/>
                          <w:sz w:val="16"/>
                          <w:szCs w:val="16"/>
                          <w:lang w:val="es-ES_tradnl"/>
                        </w:rPr>
                        <w:t>-e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BE3" w:rsidRPr="005D50E8">
        <w:rPr>
          <w:noProof/>
          <w:lang w:val="en-GB"/>
        </w:rPr>
        <w:drawing>
          <wp:inline distT="0" distB="0" distL="0" distR="0" wp14:anchorId="11BF9EAC" wp14:editId="7F36E700">
            <wp:extent cx="5136078" cy="2733675"/>
            <wp:effectExtent l="0" t="0" r="762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15FF4E" w14:textId="77777777" w:rsidR="00290043" w:rsidRPr="005D50E8" w:rsidRDefault="007E1BE3" w:rsidP="0092698C">
      <w:pPr>
        <w:tabs>
          <w:tab w:val="clear" w:pos="794"/>
          <w:tab w:val="left" w:pos="1134"/>
        </w:tabs>
        <w:spacing w:before="0"/>
        <w:ind w:left="709" w:right="566"/>
        <w:rPr>
          <w:lang w:val="es-ES"/>
        </w:rPr>
      </w:pPr>
      <w:r w:rsidRPr="005D50E8">
        <w:rPr>
          <w:rFonts w:cs="Calibri"/>
          <w:i/>
          <w:iCs/>
          <w:sz w:val="18"/>
          <w:szCs w:val="18"/>
          <w:lang w:val="es-ES"/>
        </w:rPr>
        <w:t>Not</w:t>
      </w:r>
      <w:r w:rsidR="00290043" w:rsidRPr="005D50E8">
        <w:rPr>
          <w:rFonts w:cs="Calibri"/>
          <w:i/>
          <w:iCs/>
          <w:sz w:val="18"/>
          <w:szCs w:val="18"/>
          <w:lang w:val="es-ES"/>
        </w:rPr>
        <w:t>a</w:t>
      </w:r>
      <w:r w:rsidRPr="005D50E8">
        <w:rPr>
          <w:rFonts w:cs="Calibri"/>
          <w:i/>
          <w:iCs/>
          <w:sz w:val="18"/>
          <w:szCs w:val="18"/>
          <w:lang w:val="es-ES"/>
        </w:rPr>
        <w:t xml:space="preserve">: </w:t>
      </w:r>
      <w:r w:rsidR="00290043" w:rsidRPr="005D50E8">
        <w:rPr>
          <w:rFonts w:cs="Calibri"/>
          <w:i/>
          <w:iCs/>
          <w:sz w:val="18"/>
          <w:szCs w:val="18"/>
          <w:lang w:val="es-ES"/>
        </w:rPr>
        <w:t>E</w:t>
      </w:r>
      <w:r w:rsidRPr="005D50E8">
        <w:rPr>
          <w:rFonts w:cs="Calibri"/>
          <w:i/>
          <w:iCs/>
          <w:sz w:val="18"/>
          <w:szCs w:val="18"/>
          <w:lang w:val="es-ES"/>
        </w:rPr>
        <w:t xml:space="preserve">n 2015, </w:t>
      </w:r>
      <w:r w:rsidR="00290043" w:rsidRPr="005D50E8">
        <w:rPr>
          <w:rFonts w:cs="Calibri"/>
          <w:i/>
          <w:iCs/>
          <w:sz w:val="18"/>
          <w:szCs w:val="18"/>
          <w:lang w:val="es-ES"/>
        </w:rPr>
        <w:t>se suscribieron 28</w:t>
      </w:r>
      <w:r w:rsidR="0087132E">
        <w:rPr>
          <w:rFonts w:cs="Calibri"/>
          <w:i/>
          <w:iCs/>
          <w:sz w:val="18"/>
          <w:szCs w:val="18"/>
          <w:lang w:val="es-ES"/>
        </w:rPr>
        <w:t xml:space="preserve"> acuerdos para implementar las "</w:t>
      </w:r>
      <w:r w:rsidR="00290043" w:rsidRPr="005D50E8">
        <w:rPr>
          <w:rFonts w:cs="Calibri"/>
          <w:i/>
          <w:iCs/>
          <w:sz w:val="18"/>
          <w:szCs w:val="18"/>
          <w:lang w:val="es-ES"/>
        </w:rPr>
        <w:t>Actividades conjuntas de creación de capacidad en los Centros de Excelencia de la Academia de la UIT</w:t>
      </w:r>
      <w:r w:rsidR="0087132E">
        <w:rPr>
          <w:rFonts w:cs="Calibri"/>
          <w:i/>
          <w:iCs/>
          <w:sz w:val="18"/>
          <w:szCs w:val="18"/>
          <w:lang w:val="es-ES"/>
        </w:rPr>
        <w:t>"</w:t>
      </w:r>
      <w:r w:rsidR="002B7A70">
        <w:rPr>
          <w:rFonts w:cs="Calibri"/>
          <w:i/>
          <w:iCs/>
          <w:sz w:val="18"/>
          <w:szCs w:val="18"/>
          <w:lang w:val="es-ES"/>
        </w:rPr>
        <w:t>.</w:t>
      </w:r>
    </w:p>
    <w:p w14:paraId="04F026E3" w14:textId="77777777" w:rsidR="007E1BE3" w:rsidRPr="005D50E8" w:rsidRDefault="00951B8F" w:rsidP="00290043">
      <w:pPr>
        <w:pStyle w:val="Heading1"/>
        <w:rPr>
          <w:rFonts w:cs="Calibri"/>
          <w:sz w:val="24"/>
          <w:szCs w:val="24"/>
          <w:highlight w:val="yellow"/>
          <w:lang w:val="es-ES"/>
        </w:rPr>
      </w:pPr>
      <w:r w:rsidRPr="002B7A70">
        <w:rPr>
          <w:lang w:val="es-ES"/>
        </w:rPr>
        <w:lastRenderedPageBreak/>
        <w:t>4</w:t>
      </w:r>
      <w:r w:rsidRPr="002B7A70">
        <w:rPr>
          <w:lang w:val="es-ES"/>
        </w:rPr>
        <w:tab/>
        <w:t>Acciones y resultados clave</w:t>
      </w:r>
    </w:p>
    <w:p w14:paraId="0C1073E3" w14:textId="77777777" w:rsidR="007E1BE3" w:rsidRPr="005D50E8" w:rsidRDefault="003C782E" w:rsidP="009F0111">
      <w:pPr>
        <w:pStyle w:val="Heading2"/>
        <w:rPr>
          <w:lang w:val="es-ES"/>
        </w:rPr>
      </w:pPr>
      <w:r w:rsidRPr="005D50E8">
        <w:rPr>
          <w:lang w:val="es-ES"/>
        </w:rPr>
        <w:t>4.1</w:t>
      </w:r>
      <w:r w:rsidRPr="005D50E8">
        <w:rPr>
          <w:lang w:val="es-ES"/>
        </w:rPr>
        <w:tab/>
      </w:r>
      <w:r w:rsidR="009F0111" w:rsidRPr="005D50E8">
        <w:rPr>
          <w:lang w:val="es-ES"/>
        </w:rPr>
        <w:t>Acciones y resultados externos</w:t>
      </w:r>
    </w:p>
    <w:p w14:paraId="6E3A7F63" w14:textId="77777777" w:rsidR="007E1BE3" w:rsidRPr="002F09BD" w:rsidRDefault="009F0111" w:rsidP="002B7A70">
      <w:pPr>
        <w:rPr>
          <w:lang w:val="es-ES_tradnl"/>
        </w:rPr>
      </w:pPr>
      <w:r w:rsidRPr="002F09BD">
        <w:rPr>
          <w:lang w:val="es-ES_tradnl"/>
        </w:rPr>
        <w:t>Las asociaciones y la movilización de recursos son</w:t>
      </w:r>
      <w:r w:rsidR="00937CD6" w:rsidRPr="002F09BD">
        <w:rPr>
          <w:lang w:val="es-ES_tradnl"/>
        </w:rPr>
        <w:t xml:space="preserve"> básicamente</w:t>
      </w:r>
      <w:r w:rsidRPr="002F09BD">
        <w:rPr>
          <w:lang w:val="es-ES_tradnl"/>
        </w:rPr>
        <w:t xml:space="preserve"> actividades de creación de relaciones, que se </w:t>
      </w:r>
      <w:r w:rsidR="00937CD6" w:rsidRPr="002F09BD">
        <w:rPr>
          <w:lang w:val="es-ES_tradnl"/>
        </w:rPr>
        <w:t xml:space="preserve">fundamentan </w:t>
      </w:r>
      <w:r w:rsidRPr="002F09BD">
        <w:rPr>
          <w:lang w:val="es-ES_tradnl"/>
        </w:rPr>
        <w:t xml:space="preserve">en la confianza y el respeto. Aunque la BDT presta una atención especial a cultivar las relaciones con los socios </w:t>
      </w:r>
      <w:r w:rsidR="00F00FA8" w:rsidRPr="002F09BD">
        <w:rPr>
          <w:lang w:val="es-ES_tradnl"/>
        </w:rPr>
        <w:t>habituales</w:t>
      </w:r>
      <w:r w:rsidRPr="002F09BD">
        <w:rPr>
          <w:lang w:val="es-ES_tradnl"/>
        </w:rPr>
        <w:t xml:space="preserve"> para animarlos a establecer relaciones duraderas, también reconoce la importancia de ampliar y diversificar su cartera de </w:t>
      </w:r>
      <w:r w:rsidR="00844C5B" w:rsidRPr="002F09BD">
        <w:rPr>
          <w:lang w:val="es-ES_tradnl"/>
        </w:rPr>
        <w:t>socio</w:t>
      </w:r>
      <w:r w:rsidRPr="002F09BD">
        <w:rPr>
          <w:lang w:val="es-ES_tradnl"/>
        </w:rPr>
        <w:t xml:space="preserve">s. Se están celebrando reuniones y misiones estratégicas con diferentes </w:t>
      </w:r>
      <w:r w:rsidR="00F91BDB" w:rsidRPr="002F09BD">
        <w:rPr>
          <w:lang w:val="es-ES_tradnl"/>
        </w:rPr>
        <w:t xml:space="preserve">entidades </w:t>
      </w:r>
      <w:r w:rsidRPr="002F09BD">
        <w:rPr>
          <w:lang w:val="es-ES_tradnl"/>
        </w:rPr>
        <w:t>con miras a crear oportunidad</w:t>
      </w:r>
      <w:r w:rsidR="00FD64C2" w:rsidRPr="002F09BD">
        <w:rPr>
          <w:lang w:val="es-ES_tradnl"/>
        </w:rPr>
        <w:t>es</w:t>
      </w:r>
      <w:r w:rsidRPr="002F09BD">
        <w:rPr>
          <w:lang w:val="es-ES_tradnl"/>
        </w:rPr>
        <w:t xml:space="preserve"> para que la BDT establezca asociaciones con diferentes </w:t>
      </w:r>
      <w:r w:rsidR="00BE11FF" w:rsidRPr="002F09BD">
        <w:rPr>
          <w:lang w:val="es-ES_tradnl"/>
        </w:rPr>
        <w:t xml:space="preserve">partes interesadas </w:t>
      </w:r>
      <w:r w:rsidRPr="002F09BD">
        <w:rPr>
          <w:lang w:val="es-ES_tradnl"/>
        </w:rPr>
        <w:t>del ecosistema de las TIC. Se han suscrito acuerdos con entidades de diferentes sectores, como el sector de la salud/farmacéutico, finanzas, agricultura y medio ambiente; por ejemplo, con el PNUMA</w:t>
      </w:r>
      <w:r w:rsidR="007E1BE3" w:rsidRPr="002F09BD">
        <w:rPr>
          <w:lang w:val="es-ES_tradnl"/>
        </w:rPr>
        <w:t xml:space="preserve">, </w:t>
      </w:r>
      <w:r w:rsidRPr="002F09BD">
        <w:rPr>
          <w:lang w:val="es-ES_tradnl"/>
        </w:rPr>
        <w:t xml:space="preserve">la </w:t>
      </w:r>
      <w:r w:rsidR="007E1BE3" w:rsidRPr="002F09BD">
        <w:rPr>
          <w:lang w:val="es-ES_tradnl"/>
        </w:rPr>
        <w:t xml:space="preserve">UNU, </w:t>
      </w:r>
      <w:r w:rsidRPr="002F09BD">
        <w:rPr>
          <w:lang w:val="es-ES_tradnl"/>
        </w:rPr>
        <w:t>la ONUDI</w:t>
      </w:r>
      <w:r w:rsidR="007E1BE3" w:rsidRPr="002F09BD">
        <w:rPr>
          <w:lang w:val="es-ES_tradnl"/>
        </w:rPr>
        <w:t xml:space="preserve">, </w:t>
      </w:r>
      <w:r w:rsidR="0025332E" w:rsidRPr="002F09BD">
        <w:rPr>
          <w:lang w:val="es-ES_tradnl"/>
        </w:rPr>
        <w:t xml:space="preserve">la </w:t>
      </w:r>
      <w:r w:rsidR="007E1BE3" w:rsidRPr="002F09BD">
        <w:rPr>
          <w:lang w:val="es-ES_tradnl"/>
        </w:rPr>
        <w:t>SBC/SSC</w:t>
      </w:r>
      <w:r w:rsidR="007E1BE3" w:rsidRPr="002B7A70">
        <w:rPr>
          <w:rStyle w:val="FootnoteReference"/>
        </w:rPr>
        <w:footnoteReference w:id="3"/>
      </w:r>
      <w:r w:rsidR="007E1BE3" w:rsidRPr="002F09BD">
        <w:rPr>
          <w:lang w:val="es-ES_tradnl"/>
        </w:rPr>
        <w:t xml:space="preserve">, </w:t>
      </w:r>
      <w:r w:rsidR="001B5443" w:rsidRPr="002F09BD">
        <w:rPr>
          <w:lang w:val="es-ES_tradnl"/>
        </w:rPr>
        <w:t xml:space="preserve">el </w:t>
      </w:r>
      <w:r w:rsidR="007E1BE3" w:rsidRPr="002F09BD">
        <w:rPr>
          <w:lang w:val="es-ES_tradnl"/>
        </w:rPr>
        <w:t xml:space="preserve">UNITAR, </w:t>
      </w:r>
      <w:r w:rsidR="0025332E" w:rsidRPr="002F09BD">
        <w:rPr>
          <w:lang w:val="es-ES_tradnl"/>
        </w:rPr>
        <w:t xml:space="preserve">la </w:t>
      </w:r>
      <w:r w:rsidR="001B5443" w:rsidRPr="002F09BD">
        <w:rPr>
          <w:lang w:val="es-ES_tradnl"/>
        </w:rPr>
        <w:t>OIT</w:t>
      </w:r>
      <w:r w:rsidR="007E1BE3" w:rsidRPr="002F09BD">
        <w:rPr>
          <w:lang w:val="es-ES_tradnl"/>
        </w:rPr>
        <w:t xml:space="preserve">, </w:t>
      </w:r>
      <w:r w:rsidR="001B5443" w:rsidRPr="002F09BD">
        <w:rPr>
          <w:lang w:val="es-ES_tradnl"/>
        </w:rPr>
        <w:t xml:space="preserve">la </w:t>
      </w:r>
      <w:r w:rsidR="007E1BE3" w:rsidRPr="002F09BD">
        <w:rPr>
          <w:lang w:val="es-ES_tradnl"/>
        </w:rPr>
        <w:t>ISWA</w:t>
      </w:r>
      <w:r w:rsidR="007E1BE3" w:rsidRPr="002B7A70">
        <w:rPr>
          <w:rStyle w:val="FootnoteReference"/>
        </w:rPr>
        <w:footnoteReference w:id="4"/>
      </w:r>
      <w:r w:rsidR="007E1BE3" w:rsidRPr="002F09BD">
        <w:rPr>
          <w:lang w:val="es-ES_tradnl"/>
        </w:rPr>
        <w:t>, UN-ViE SCYCLE</w:t>
      </w:r>
      <w:r w:rsidR="007E1BE3" w:rsidRPr="002B7A70">
        <w:rPr>
          <w:rStyle w:val="FootnoteReference"/>
        </w:rPr>
        <w:footnoteReference w:id="5"/>
      </w:r>
      <w:r w:rsidR="007E1BE3" w:rsidRPr="002F09BD">
        <w:rPr>
          <w:rStyle w:val="FootnoteReference"/>
          <w:lang w:val="es-ES_tradnl"/>
        </w:rPr>
        <w:t xml:space="preserve"> </w:t>
      </w:r>
      <w:r w:rsidR="001B5443" w:rsidRPr="002F09BD">
        <w:rPr>
          <w:lang w:val="es-ES_tradnl"/>
        </w:rPr>
        <w:t>para proyectos relacionados con los residuos electrónicos; con la OMS</w:t>
      </w:r>
      <w:r w:rsidR="007E1BE3" w:rsidRPr="002F09BD">
        <w:rPr>
          <w:lang w:val="es-ES_tradnl"/>
        </w:rPr>
        <w:t xml:space="preserve">, </w:t>
      </w:r>
      <w:r w:rsidR="001B5443" w:rsidRPr="002F09BD">
        <w:rPr>
          <w:lang w:val="es-ES_tradnl"/>
        </w:rPr>
        <w:t>la Fundación Mundial de Diabetes</w:t>
      </w:r>
      <w:r w:rsidR="007E1BE3" w:rsidRPr="002F09BD">
        <w:rPr>
          <w:lang w:val="es-ES_tradnl"/>
        </w:rPr>
        <w:t xml:space="preserve">, </w:t>
      </w:r>
      <w:r w:rsidR="001B5443" w:rsidRPr="002F09BD">
        <w:rPr>
          <w:lang w:val="es-ES_tradnl"/>
        </w:rPr>
        <w:t xml:space="preserve">la Fundación </w:t>
      </w:r>
      <w:r w:rsidR="007E1BE3" w:rsidRPr="002F09BD">
        <w:rPr>
          <w:lang w:val="es-ES_tradnl"/>
        </w:rPr>
        <w:t xml:space="preserve">Pierre Fabre, </w:t>
      </w:r>
      <w:r w:rsidR="001B5443" w:rsidRPr="002F09BD">
        <w:rPr>
          <w:lang w:val="es-ES_tradnl"/>
        </w:rPr>
        <w:t>la UE</w:t>
      </w:r>
      <w:r w:rsidR="007E1BE3" w:rsidRPr="002F09BD">
        <w:rPr>
          <w:lang w:val="es-ES_tradnl"/>
        </w:rPr>
        <w:t xml:space="preserve">, ARM, GSMA, Sanofi Avantis Group, Novartis Pharma AG, Glaxosmithkline (GSK) Services </w:t>
      </w:r>
      <w:r w:rsidR="001B5443" w:rsidRPr="002F09BD">
        <w:rPr>
          <w:lang w:val="es-ES_tradnl"/>
        </w:rPr>
        <w:t>y la Dirección General de la Salud de Noruega para proyectos de salud móvil; con la FAO en cuestiones de e-agricultura</w:t>
      </w:r>
      <w:r w:rsidR="008D59E1" w:rsidRPr="002F09BD">
        <w:rPr>
          <w:lang w:val="es-ES_tradnl"/>
        </w:rPr>
        <w:t>;</w:t>
      </w:r>
      <w:r w:rsidR="001B5443" w:rsidRPr="002F09BD">
        <w:rPr>
          <w:lang w:val="es-ES_tradnl"/>
        </w:rPr>
        <w:t xml:space="preserve"> y con la Fundación </w:t>
      </w:r>
      <w:r w:rsidR="007E1BE3" w:rsidRPr="002F09BD">
        <w:rPr>
          <w:lang w:val="es-ES_tradnl"/>
        </w:rPr>
        <w:t xml:space="preserve">Bill and Melinda Gates </w:t>
      </w:r>
      <w:r w:rsidR="001B5443" w:rsidRPr="002F09BD">
        <w:rPr>
          <w:lang w:val="es-ES_tradnl"/>
        </w:rPr>
        <w:t xml:space="preserve">para la Iniciativa Mundial para la Inclusión Financiera </w:t>
      </w:r>
      <w:r w:rsidR="007E1BE3" w:rsidRPr="002F09BD">
        <w:rPr>
          <w:lang w:val="es-ES_tradnl"/>
        </w:rPr>
        <w:t>(FIGI).</w:t>
      </w:r>
    </w:p>
    <w:p w14:paraId="5535F472" w14:textId="77777777" w:rsidR="007E1BE3" w:rsidRPr="002F09BD" w:rsidRDefault="001B5443" w:rsidP="002B7A70">
      <w:pPr>
        <w:rPr>
          <w:lang w:val="es-ES_tradnl"/>
        </w:rPr>
      </w:pPr>
      <w:r w:rsidRPr="002F09BD">
        <w:rPr>
          <w:lang w:val="es-ES_tradnl"/>
        </w:rPr>
        <w:t xml:space="preserve">Gracias al establecimiento de asociaciones con partes interesadas clave, la BDT puede movilizar recursos, compartir el coste de los proyectos, evitar la duplicación y el </w:t>
      </w:r>
      <w:r w:rsidR="00BE11FF" w:rsidRPr="002F09BD">
        <w:rPr>
          <w:lang w:val="es-ES_tradnl"/>
        </w:rPr>
        <w:t xml:space="preserve">solapamiento </w:t>
      </w:r>
      <w:r w:rsidRPr="002F09BD">
        <w:rPr>
          <w:lang w:val="es-ES_tradnl"/>
        </w:rPr>
        <w:t>de los trabajos</w:t>
      </w:r>
      <w:r w:rsidR="007E1BE3" w:rsidRPr="002F09BD">
        <w:rPr>
          <w:lang w:val="es-ES_tradnl"/>
        </w:rPr>
        <w:t xml:space="preserve">, </w:t>
      </w:r>
      <w:r w:rsidRPr="002F09BD">
        <w:rPr>
          <w:lang w:val="es-ES_tradnl"/>
        </w:rPr>
        <w:t xml:space="preserve">aumentar el impacto de los proyectos e incrementar la visibilidad de la BDT ante públicos externos. Además, se abren oportunidades nuevas de llegar a </w:t>
      </w:r>
      <w:r w:rsidR="00844C5B" w:rsidRPr="002F09BD">
        <w:rPr>
          <w:lang w:val="es-ES_tradnl"/>
        </w:rPr>
        <w:t>socio</w:t>
      </w:r>
      <w:r w:rsidRPr="002F09BD">
        <w:rPr>
          <w:lang w:val="es-ES_tradnl"/>
        </w:rPr>
        <w:t xml:space="preserve">s </w:t>
      </w:r>
      <w:r w:rsidR="00650751" w:rsidRPr="002F09BD">
        <w:rPr>
          <w:lang w:val="es-ES_tradnl"/>
        </w:rPr>
        <w:t xml:space="preserve">no habituales </w:t>
      </w:r>
      <w:r w:rsidRPr="002F09BD">
        <w:rPr>
          <w:lang w:val="es-ES_tradnl"/>
        </w:rPr>
        <w:t>que proporcionan recursos a través de actividades de divulgación conjuntas</w:t>
      </w:r>
      <w:r w:rsidR="007E1BE3" w:rsidRPr="002F09BD">
        <w:rPr>
          <w:lang w:val="es-ES_tradnl"/>
        </w:rPr>
        <w:t>.</w:t>
      </w:r>
    </w:p>
    <w:p w14:paraId="11EFA072" w14:textId="3048B2EF" w:rsidR="007E1BE3" w:rsidRPr="002F09BD" w:rsidRDefault="00E11C14" w:rsidP="004F5B7C">
      <w:pPr>
        <w:rPr>
          <w:lang w:val="es-ES_tradnl"/>
        </w:rPr>
      </w:pPr>
      <w:r w:rsidRPr="002F09BD">
        <w:rPr>
          <w:lang w:val="es-ES_tradnl"/>
        </w:rPr>
        <w:t xml:space="preserve">La ejecución eficaz y oportuna de los productos de las asociaciones, como proyectos y patrocinios, con resultados y comunicaciones de calidad, resulta crucial para conseguir la confianza y </w:t>
      </w:r>
      <w:r w:rsidR="0024003D" w:rsidRPr="002F09BD">
        <w:rPr>
          <w:lang w:val="es-ES_tradnl"/>
        </w:rPr>
        <w:t xml:space="preserve">la </w:t>
      </w:r>
      <w:r w:rsidRPr="002F09BD">
        <w:rPr>
          <w:lang w:val="es-ES_tradnl"/>
        </w:rPr>
        <w:t xml:space="preserve">satisfacción de los </w:t>
      </w:r>
      <w:r w:rsidR="00844C5B" w:rsidRPr="002F09BD">
        <w:rPr>
          <w:lang w:val="es-ES_tradnl"/>
        </w:rPr>
        <w:t>socio</w:t>
      </w:r>
      <w:r w:rsidRPr="002F09BD">
        <w:rPr>
          <w:lang w:val="es-ES_tradnl"/>
        </w:rPr>
        <w:t xml:space="preserve">s, con miras a afianzar las asociaciones futuras y aumentar la movilización de recursos. Un buen ejemplo es la asociación con la Comisión Europea para </w:t>
      </w:r>
      <w:r w:rsidR="0087132E" w:rsidRPr="002F09BD">
        <w:rPr>
          <w:lang w:val="es-ES_tradnl"/>
        </w:rPr>
        <w:t>"</w:t>
      </w:r>
      <w:r w:rsidRPr="002F09BD">
        <w:rPr>
          <w:lang w:val="es-ES_tradnl"/>
        </w:rPr>
        <w:t>Incrementar la penetración de la banda ancha inalámbrica a través de una utilización y regulación del espectro mejoradas y armoni</w:t>
      </w:r>
      <w:r w:rsidR="0087132E" w:rsidRPr="002F09BD">
        <w:rPr>
          <w:lang w:val="es-ES_tradnl"/>
        </w:rPr>
        <w:t>zadas en el continente africano"</w:t>
      </w:r>
      <w:r w:rsidRPr="002F09BD">
        <w:rPr>
          <w:lang w:val="es-ES_tradnl"/>
        </w:rPr>
        <w:t xml:space="preserve">, con un valor total de </w:t>
      </w:r>
      <w:r w:rsidR="007E1BE3" w:rsidRPr="002F09BD">
        <w:rPr>
          <w:lang w:val="es-ES_tradnl"/>
        </w:rPr>
        <w:t>5</w:t>
      </w:r>
      <w:r w:rsidRPr="002F09BD">
        <w:rPr>
          <w:lang w:val="es-ES_tradnl"/>
        </w:rPr>
        <w:t>,</w:t>
      </w:r>
      <w:r w:rsidR="007E1BE3" w:rsidRPr="002F09BD">
        <w:rPr>
          <w:lang w:val="es-ES_tradnl"/>
        </w:rPr>
        <w:t xml:space="preserve">5 </w:t>
      </w:r>
      <w:r w:rsidRPr="002F09BD">
        <w:rPr>
          <w:lang w:val="es-ES_tradnl"/>
        </w:rPr>
        <w:t xml:space="preserve">millones </w:t>
      </w:r>
      <w:r w:rsidR="004F5B7C">
        <w:rPr>
          <w:lang w:val="es-ES_tradnl"/>
        </w:rPr>
        <w:t>EUR</w:t>
      </w:r>
      <w:r w:rsidRPr="002F09BD">
        <w:rPr>
          <w:lang w:val="es-ES_tradnl"/>
        </w:rPr>
        <w:t xml:space="preserve">, que </w:t>
      </w:r>
      <w:r w:rsidR="0024003D" w:rsidRPr="002F09BD">
        <w:rPr>
          <w:lang w:val="es-ES_tradnl"/>
        </w:rPr>
        <w:t>estimula</w:t>
      </w:r>
      <w:r w:rsidRPr="002F09BD">
        <w:rPr>
          <w:lang w:val="es-ES_tradnl"/>
        </w:rPr>
        <w:t xml:space="preserve"> </w:t>
      </w:r>
      <w:r w:rsidR="0024003D" w:rsidRPr="002F09BD">
        <w:rPr>
          <w:lang w:val="es-ES_tradnl"/>
        </w:rPr>
        <w:t>una</w:t>
      </w:r>
      <w:r w:rsidRPr="002F09BD">
        <w:rPr>
          <w:lang w:val="es-ES_tradnl"/>
        </w:rPr>
        <w:t xml:space="preserve"> </w:t>
      </w:r>
      <w:r w:rsidR="0024003D" w:rsidRPr="002F09BD">
        <w:rPr>
          <w:lang w:val="es-ES_tradnl"/>
        </w:rPr>
        <w:t xml:space="preserve">mayor </w:t>
      </w:r>
      <w:r w:rsidRPr="002F09BD">
        <w:rPr>
          <w:lang w:val="es-ES_tradnl"/>
        </w:rPr>
        <w:t>asociación con la Unión Africana y el trabajo en equipo en la UIT</w:t>
      </w:r>
      <w:r w:rsidR="007E1BE3" w:rsidRPr="002F09BD">
        <w:rPr>
          <w:lang w:val="es-ES_tradnl"/>
        </w:rPr>
        <w:t>.</w:t>
      </w:r>
    </w:p>
    <w:p w14:paraId="30EADF86" w14:textId="30D5424F" w:rsidR="007E1BE3" w:rsidRPr="00AA24A4" w:rsidRDefault="00711EAD" w:rsidP="00AA24A4">
      <w:pPr>
        <w:rPr>
          <w:lang w:val="es-ES_tradnl"/>
        </w:rPr>
      </w:pPr>
      <w:r w:rsidRPr="00AA24A4">
        <w:rPr>
          <w:lang w:val="es-ES_tradnl"/>
        </w:rPr>
        <w:t>Se han propuesto paquetes de patrocinio de actividades paralelas/eventos sociales con motivo de actos organizados por la BDT (como el Simposio Mundial para Organismos Reguladores de 2018 (GSR-18) y las Comisiones de Estudio del UIT-D</w:t>
      </w:r>
      <w:r w:rsidR="007E1BE3" w:rsidRPr="00AA24A4">
        <w:rPr>
          <w:lang w:val="es-ES_tradnl"/>
        </w:rPr>
        <w:t xml:space="preserve"> (</w:t>
      </w:r>
      <w:r w:rsidRPr="00AA24A4">
        <w:rPr>
          <w:lang w:val="es-ES_tradnl"/>
        </w:rPr>
        <w:t xml:space="preserve">reuniones de </w:t>
      </w:r>
      <w:r w:rsidR="008812D9" w:rsidRPr="00AA24A4">
        <w:rPr>
          <w:lang w:val="es-ES_tradnl"/>
        </w:rPr>
        <w:t xml:space="preserve">2018 de los </w:t>
      </w:r>
      <w:r w:rsidRPr="00AA24A4">
        <w:rPr>
          <w:lang w:val="es-ES_tradnl"/>
        </w:rPr>
        <w:t>Grupos de Relator del UIT</w:t>
      </w:r>
      <w:r w:rsidR="007E1BE3" w:rsidRPr="00AA24A4">
        <w:rPr>
          <w:lang w:val="es-ES_tradnl"/>
        </w:rPr>
        <w:t xml:space="preserve">-D)) </w:t>
      </w:r>
      <w:r w:rsidR="001D19C2" w:rsidRPr="00AA24A4">
        <w:rPr>
          <w:lang w:val="es-ES_tradnl"/>
        </w:rPr>
        <w:t xml:space="preserve">en la </w:t>
      </w:r>
      <w:hyperlink r:id="rId13" w:history="1">
        <w:r w:rsidRPr="00EF17E8">
          <w:rPr>
            <w:rStyle w:val="Hyperlink"/>
            <w:i/>
            <w:iCs/>
            <w:lang w:val="es-ES_tradnl"/>
          </w:rPr>
          <w:t>plataforma de oportunidades de patrocinio</w:t>
        </w:r>
      </w:hyperlink>
      <w:r w:rsidR="007E1BE3" w:rsidRPr="00AA24A4">
        <w:rPr>
          <w:i/>
          <w:iCs/>
          <w:lang w:val="es-ES_tradnl"/>
        </w:rPr>
        <w:t>.</w:t>
      </w:r>
      <w:r w:rsidR="007E1BE3" w:rsidRPr="00AA24A4">
        <w:rPr>
          <w:lang w:val="es-ES_tradnl"/>
        </w:rPr>
        <w:t xml:space="preserve"> </w:t>
      </w:r>
      <w:r w:rsidR="00951B8F" w:rsidRPr="00AA24A4">
        <w:rPr>
          <w:lang w:val="es-ES_tradnl"/>
        </w:rPr>
        <w:t xml:space="preserve">Los recursos movilizados se utilizan para organizar actividades patrocinadas y </w:t>
      </w:r>
      <w:r w:rsidRPr="00AA24A4">
        <w:rPr>
          <w:lang w:val="es-ES_tradnl"/>
        </w:rPr>
        <w:t>obtener los beneficios de visibilidad conexos, y c</w:t>
      </w:r>
      <w:r w:rsidR="00951B8F" w:rsidRPr="00AA24A4">
        <w:rPr>
          <w:lang w:val="es-ES_tradnl"/>
        </w:rPr>
        <w:t>omo fondo de capital inicial para la implantación de actividades, proyectos e iniciativas, incluidas las Iniciativas Regionales</w:t>
      </w:r>
      <w:r w:rsidR="007E1BE3" w:rsidRPr="00AA24A4">
        <w:rPr>
          <w:lang w:val="es-ES_tradnl"/>
        </w:rPr>
        <w:t xml:space="preserve">, </w:t>
      </w:r>
      <w:r w:rsidR="002C7373" w:rsidRPr="00AA24A4">
        <w:rPr>
          <w:lang w:val="es-ES_tradnl"/>
        </w:rPr>
        <w:t>y posiblemente becas</w:t>
      </w:r>
      <w:r w:rsidR="007E1BE3" w:rsidRPr="00AA24A4">
        <w:rPr>
          <w:lang w:val="es-ES_tradnl"/>
        </w:rPr>
        <w:t>.</w:t>
      </w:r>
      <w:r w:rsidR="007E1BE3" w:rsidRPr="00EF17E8">
        <w:rPr>
          <w:lang w:val="es-ES_tradnl"/>
        </w:rPr>
        <w:t xml:space="preserve"> </w:t>
      </w:r>
    </w:p>
    <w:p w14:paraId="3D8DF4AB" w14:textId="77777777" w:rsidR="007E1BE3" w:rsidRPr="005D50E8" w:rsidRDefault="00951B8F" w:rsidP="00C607A5">
      <w:pPr>
        <w:pStyle w:val="Heading2"/>
        <w:rPr>
          <w:lang w:val="es-ES"/>
        </w:rPr>
      </w:pPr>
      <w:r w:rsidRPr="005D50E8">
        <w:rPr>
          <w:lang w:val="es-ES"/>
        </w:rPr>
        <w:lastRenderedPageBreak/>
        <w:t>4.2</w:t>
      </w:r>
      <w:r w:rsidRPr="005D50E8">
        <w:rPr>
          <w:lang w:val="es-ES"/>
        </w:rPr>
        <w:tab/>
      </w:r>
      <w:r w:rsidR="00C607A5" w:rsidRPr="005D50E8">
        <w:rPr>
          <w:lang w:val="es-ES"/>
        </w:rPr>
        <w:t>Acciones y resultados internos</w:t>
      </w:r>
    </w:p>
    <w:p w14:paraId="09F0078F" w14:textId="77777777" w:rsidR="007E1BE3" w:rsidRPr="002F09BD" w:rsidRDefault="00363DF0" w:rsidP="0092698C">
      <w:pPr>
        <w:rPr>
          <w:lang w:val="es-ES_tradnl"/>
        </w:rPr>
      </w:pPr>
      <w:r w:rsidRPr="002F09BD">
        <w:rPr>
          <w:lang w:val="es-ES_tradnl"/>
        </w:rPr>
        <w:t xml:space="preserve">La BDT </w:t>
      </w:r>
      <w:r w:rsidR="0094323D" w:rsidRPr="002F09BD">
        <w:rPr>
          <w:lang w:val="es-ES_tradnl"/>
        </w:rPr>
        <w:t>reconoce que</w:t>
      </w:r>
      <w:r w:rsidRPr="002F09BD">
        <w:rPr>
          <w:lang w:val="es-ES_tradnl"/>
        </w:rPr>
        <w:t xml:space="preserve"> las asociaciones y la movilización de recursos </w:t>
      </w:r>
      <w:r w:rsidR="0094323D" w:rsidRPr="002F09BD">
        <w:rPr>
          <w:lang w:val="es-ES_tradnl"/>
        </w:rPr>
        <w:t xml:space="preserve">son </w:t>
      </w:r>
      <w:r w:rsidRPr="002F09BD">
        <w:rPr>
          <w:lang w:val="es-ES_tradnl"/>
        </w:rPr>
        <w:t xml:space="preserve">una responsabilidad común. A fin de permitir </w:t>
      </w:r>
      <w:r w:rsidR="00893D3A" w:rsidRPr="002F09BD">
        <w:rPr>
          <w:lang w:val="es-ES_tradnl"/>
        </w:rPr>
        <w:t xml:space="preserve">a los funcionarios </w:t>
      </w:r>
      <w:r w:rsidRPr="002F09BD">
        <w:rPr>
          <w:lang w:val="es-ES_tradnl"/>
        </w:rPr>
        <w:t>in</w:t>
      </w:r>
      <w:r w:rsidR="00893D3A" w:rsidRPr="002F09BD">
        <w:rPr>
          <w:lang w:val="es-ES_tradnl"/>
        </w:rPr>
        <w:t>tercambiar</w:t>
      </w:r>
      <w:r w:rsidRPr="002F09BD">
        <w:rPr>
          <w:lang w:val="es-ES_tradnl"/>
        </w:rPr>
        <w:t xml:space="preserve"> experiencias y an</w:t>
      </w:r>
      <w:r w:rsidR="00893D3A" w:rsidRPr="002F09BD">
        <w:rPr>
          <w:lang w:val="es-ES_tradnl"/>
        </w:rPr>
        <w:t>alizar</w:t>
      </w:r>
      <w:r w:rsidRPr="002F09BD">
        <w:rPr>
          <w:lang w:val="es-ES_tradnl"/>
        </w:rPr>
        <w:t xml:space="preserve"> los desafíos y las oportunidades en este ámbito, una de las sesiones del retiro de la Dirección de la BDT se dedicó a la movilización de recursos. Como resultado, se elaboró una hoja de ruta para reforzar la movilización de recursos con las diez medidas prioritarias siguientes</w:t>
      </w:r>
      <w:r w:rsidR="007E1BE3" w:rsidRPr="002F09BD">
        <w:rPr>
          <w:lang w:val="es-ES_tradnl"/>
        </w:rPr>
        <w:t>:</w:t>
      </w:r>
    </w:p>
    <w:p w14:paraId="585EBEB5" w14:textId="77777777" w:rsidR="007E1BE3" w:rsidRPr="002F09BD" w:rsidRDefault="00951B8F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1)</w:t>
      </w:r>
      <w:r w:rsidRPr="002F09BD">
        <w:rPr>
          <w:lang w:val="es-ES_tradnl"/>
        </w:rPr>
        <w:tab/>
      </w:r>
      <w:r w:rsidR="00363DF0" w:rsidRPr="002F09BD">
        <w:rPr>
          <w:lang w:val="es-ES_tradnl"/>
        </w:rPr>
        <w:t>estrategia de movilización de recursos</w:t>
      </w:r>
      <w:r w:rsidR="007E1BE3" w:rsidRPr="002F09BD">
        <w:rPr>
          <w:lang w:val="es-ES_tradnl"/>
        </w:rPr>
        <w:t>;</w:t>
      </w:r>
    </w:p>
    <w:p w14:paraId="45C703B7" w14:textId="77777777" w:rsidR="007E1BE3" w:rsidRPr="002F09BD" w:rsidRDefault="00951B8F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2)</w:t>
      </w:r>
      <w:r w:rsidRPr="002F09BD">
        <w:rPr>
          <w:lang w:val="es-ES_tradnl"/>
        </w:rPr>
        <w:tab/>
      </w:r>
      <w:r w:rsidR="002664C9" w:rsidRPr="002F09BD">
        <w:rPr>
          <w:lang w:val="es-ES_tradnl"/>
        </w:rPr>
        <w:t xml:space="preserve">comunicación </w:t>
      </w:r>
      <w:r w:rsidR="00844C5B" w:rsidRPr="002F09BD">
        <w:rPr>
          <w:lang w:val="es-ES_tradnl"/>
        </w:rPr>
        <w:t>formateada</w:t>
      </w:r>
      <w:r w:rsidR="002664C9" w:rsidRPr="002F09BD">
        <w:rPr>
          <w:lang w:val="es-ES_tradnl"/>
        </w:rPr>
        <w:t xml:space="preserve"> con un toque humano</w:t>
      </w:r>
      <w:r w:rsidR="007E1BE3" w:rsidRPr="002F09BD">
        <w:rPr>
          <w:lang w:val="es-ES_tradnl"/>
        </w:rPr>
        <w:t>;</w:t>
      </w:r>
    </w:p>
    <w:p w14:paraId="7EE654C6" w14:textId="77777777" w:rsidR="007E1BE3" w:rsidRPr="002F09BD" w:rsidRDefault="00951B8F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3)</w:t>
      </w:r>
      <w:r w:rsidRPr="002F09BD">
        <w:rPr>
          <w:lang w:val="es-ES_tradnl"/>
        </w:rPr>
        <w:tab/>
      </w:r>
      <w:r w:rsidR="002664C9" w:rsidRPr="002F09BD">
        <w:rPr>
          <w:lang w:val="es-ES_tradnl"/>
        </w:rPr>
        <w:t xml:space="preserve">criterios para la colaboración con </w:t>
      </w:r>
      <w:r w:rsidR="00844C5B" w:rsidRPr="002F09BD">
        <w:rPr>
          <w:lang w:val="es-ES_tradnl"/>
        </w:rPr>
        <w:t>socio</w:t>
      </w:r>
      <w:r w:rsidR="002664C9" w:rsidRPr="002F09BD">
        <w:rPr>
          <w:lang w:val="es-ES_tradnl"/>
        </w:rPr>
        <w:t>s de gran valor que aportan recursos</w:t>
      </w:r>
      <w:r w:rsidR="007E1BE3" w:rsidRPr="002F09BD">
        <w:rPr>
          <w:lang w:val="es-ES_tradnl"/>
        </w:rPr>
        <w:t>;</w:t>
      </w:r>
    </w:p>
    <w:p w14:paraId="654F3334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4)</w:t>
      </w:r>
      <w:r w:rsidRPr="002F09BD">
        <w:rPr>
          <w:lang w:val="es-ES_tradnl"/>
        </w:rPr>
        <w:tab/>
      </w:r>
      <w:r w:rsidR="002664C9" w:rsidRPr="002F09BD">
        <w:rPr>
          <w:lang w:val="es-ES_tradnl"/>
        </w:rPr>
        <w:t xml:space="preserve">informes de estudios de mercado en esferas prioritarias para crear sensibilización entre los </w:t>
      </w:r>
      <w:r w:rsidR="00844C5B" w:rsidRPr="002F09BD">
        <w:rPr>
          <w:lang w:val="es-ES_tradnl"/>
        </w:rPr>
        <w:t>s</w:t>
      </w:r>
      <w:r w:rsidR="002664C9" w:rsidRPr="002F09BD">
        <w:rPr>
          <w:lang w:val="es-ES_tradnl"/>
        </w:rPr>
        <w:t xml:space="preserve">ocios que aportan recursos y mejorar </w:t>
      </w:r>
      <w:r w:rsidR="00F55FFB" w:rsidRPr="002F09BD">
        <w:rPr>
          <w:lang w:val="es-ES_tradnl"/>
        </w:rPr>
        <w:t>sus opiniones</w:t>
      </w:r>
      <w:r w:rsidR="007E1BE3" w:rsidRPr="002F09BD">
        <w:rPr>
          <w:lang w:val="es-ES_tradnl"/>
        </w:rPr>
        <w:t>;</w:t>
      </w:r>
    </w:p>
    <w:p w14:paraId="2A6C34B9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5)</w:t>
      </w:r>
      <w:r w:rsidRPr="002F09BD">
        <w:rPr>
          <w:lang w:val="es-ES_tradnl"/>
        </w:rPr>
        <w:tab/>
      </w:r>
      <w:r w:rsidR="00F55FFB" w:rsidRPr="002F09BD">
        <w:rPr>
          <w:lang w:val="es-ES_tradnl"/>
        </w:rPr>
        <w:t>iniciativas transfo</w:t>
      </w:r>
      <w:r w:rsidR="00E8645C" w:rsidRPr="002F09BD">
        <w:rPr>
          <w:lang w:val="es-ES_tradnl"/>
        </w:rPr>
        <w:t>r</w:t>
      </w:r>
      <w:r w:rsidR="00F55FFB" w:rsidRPr="002F09BD">
        <w:rPr>
          <w:lang w:val="es-ES_tradnl"/>
        </w:rPr>
        <w:t>madoras a gran escala en esferas prioritarias apoyadas por la Dirección de la BDT/UIT</w:t>
      </w:r>
      <w:r w:rsidR="007E1BE3" w:rsidRPr="002F09BD">
        <w:rPr>
          <w:lang w:val="es-ES_tradnl"/>
        </w:rPr>
        <w:t>;</w:t>
      </w:r>
    </w:p>
    <w:p w14:paraId="142F6717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6)</w:t>
      </w:r>
      <w:r w:rsidRPr="002F09BD">
        <w:rPr>
          <w:lang w:val="es-ES_tradnl"/>
        </w:rPr>
        <w:tab/>
      </w:r>
      <w:r w:rsidR="008D45F2" w:rsidRPr="002F09BD">
        <w:rPr>
          <w:lang w:val="es-ES_tradnl"/>
        </w:rPr>
        <w:t xml:space="preserve">desarrollo de mecanismos </w:t>
      </w:r>
      <w:r w:rsidR="00C34CC5" w:rsidRPr="002F09BD">
        <w:rPr>
          <w:lang w:val="es-ES_tradnl"/>
        </w:rPr>
        <w:t xml:space="preserve">de asociación </w:t>
      </w:r>
      <w:r w:rsidR="008D45F2" w:rsidRPr="002F09BD">
        <w:rPr>
          <w:lang w:val="es-ES_tradnl"/>
        </w:rPr>
        <w:t>flexibles</w:t>
      </w:r>
      <w:r w:rsidR="007E1BE3" w:rsidRPr="002F09BD">
        <w:rPr>
          <w:lang w:val="es-ES_tradnl"/>
        </w:rPr>
        <w:t>;</w:t>
      </w:r>
    </w:p>
    <w:p w14:paraId="79929493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7)</w:t>
      </w:r>
      <w:r w:rsidRPr="002F09BD">
        <w:rPr>
          <w:lang w:val="es-ES_tradnl"/>
        </w:rPr>
        <w:tab/>
      </w:r>
      <w:r w:rsidR="008D45F2" w:rsidRPr="002F09BD">
        <w:rPr>
          <w:lang w:val="es-ES_tradnl"/>
        </w:rPr>
        <w:t>formación para el personal</w:t>
      </w:r>
      <w:r w:rsidR="007E1BE3" w:rsidRPr="002F09BD">
        <w:rPr>
          <w:lang w:val="es-ES_tradnl"/>
        </w:rPr>
        <w:t>;</w:t>
      </w:r>
    </w:p>
    <w:p w14:paraId="075AC697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8)</w:t>
      </w:r>
      <w:r w:rsidRPr="002F09BD">
        <w:rPr>
          <w:lang w:val="es-ES_tradnl"/>
        </w:rPr>
        <w:tab/>
      </w:r>
      <w:r w:rsidR="008D45F2" w:rsidRPr="002F09BD">
        <w:rPr>
          <w:lang w:val="es-ES_tradnl"/>
        </w:rPr>
        <w:t>herramienta para empresarios con información crítica sobre esferas de interés clave y todos los socios que aportan recursos</w:t>
      </w:r>
      <w:r w:rsidR="007E1BE3" w:rsidRPr="002F09BD">
        <w:rPr>
          <w:lang w:val="es-ES_tradnl"/>
        </w:rPr>
        <w:t>;</w:t>
      </w:r>
    </w:p>
    <w:p w14:paraId="408133A5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9)</w:t>
      </w:r>
      <w:r w:rsidRPr="002F09BD">
        <w:rPr>
          <w:lang w:val="es-ES_tradnl"/>
        </w:rPr>
        <w:tab/>
      </w:r>
      <w:r w:rsidR="008D45F2" w:rsidRPr="002F09BD">
        <w:rPr>
          <w:lang w:val="es-ES_tradnl"/>
        </w:rPr>
        <w:t>utilización de una herramienta adecuada para la gestión de la movilización de recursos, que aborde entre otras la presentación de informes claros y los IFR objetivo de los empresarios</w:t>
      </w:r>
      <w:r w:rsidR="007E1BE3" w:rsidRPr="002F09BD">
        <w:rPr>
          <w:lang w:val="es-ES_tradnl"/>
        </w:rPr>
        <w:t xml:space="preserve">; </w:t>
      </w:r>
      <w:r w:rsidR="008D45F2" w:rsidRPr="002F09BD">
        <w:rPr>
          <w:lang w:val="es-ES_tradnl"/>
        </w:rPr>
        <w:t>y</w:t>
      </w:r>
    </w:p>
    <w:p w14:paraId="37A721E6" w14:textId="77777777" w:rsidR="007E1BE3" w:rsidRPr="002F09BD" w:rsidRDefault="001B6924" w:rsidP="0092698C">
      <w:pPr>
        <w:pStyle w:val="enumlev1"/>
        <w:rPr>
          <w:lang w:val="es-ES_tradnl"/>
        </w:rPr>
      </w:pPr>
      <w:r w:rsidRPr="002F09BD">
        <w:rPr>
          <w:lang w:val="es-ES_tradnl"/>
        </w:rPr>
        <w:t>10)</w:t>
      </w:r>
      <w:r w:rsidRPr="002F09BD">
        <w:rPr>
          <w:lang w:val="es-ES_tradnl"/>
        </w:rPr>
        <w:tab/>
      </w:r>
      <w:r w:rsidR="008D45F2" w:rsidRPr="002F09BD">
        <w:rPr>
          <w:lang w:val="es-ES_tradnl"/>
        </w:rPr>
        <w:t xml:space="preserve">utilización de las plataformas existentes para </w:t>
      </w:r>
      <w:r w:rsidR="001D59A3" w:rsidRPr="002F09BD">
        <w:rPr>
          <w:lang w:val="es-ES_tradnl"/>
        </w:rPr>
        <w:t>afianzar</w:t>
      </w:r>
      <w:r w:rsidR="008D45F2" w:rsidRPr="002F09BD">
        <w:rPr>
          <w:lang w:val="es-ES_tradnl"/>
        </w:rPr>
        <w:t xml:space="preserve"> y cultivar las asociaciones</w:t>
      </w:r>
      <w:r w:rsidR="007E1BE3" w:rsidRPr="002F09BD">
        <w:rPr>
          <w:lang w:val="es-ES_tradnl"/>
        </w:rPr>
        <w:t>.</w:t>
      </w:r>
    </w:p>
    <w:p w14:paraId="21CC500B" w14:textId="77777777" w:rsidR="007E1BE3" w:rsidRPr="002F09BD" w:rsidRDefault="000023A4" w:rsidP="0092698C">
      <w:pPr>
        <w:rPr>
          <w:lang w:val="es-ES_tradnl"/>
        </w:rPr>
      </w:pPr>
      <w:r w:rsidRPr="002F09BD">
        <w:rPr>
          <w:lang w:val="es-ES_tradnl"/>
        </w:rPr>
        <w:t>Para aplicar estas medidas, se llevaron a cabo las acciones siguientes</w:t>
      </w:r>
      <w:r w:rsidR="007E1BE3" w:rsidRPr="002F09BD">
        <w:rPr>
          <w:lang w:val="es-ES_tradnl"/>
        </w:rPr>
        <w:t xml:space="preserve">: </w:t>
      </w:r>
      <w:r w:rsidR="00F00FB3" w:rsidRPr="002F09BD">
        <w:rPr>
          <w:lang w:val="es-ES_tradnl"/>
        </w:rPr>
        <w:t xml:space="preserve">en julio de 2018 se impartió una formación sobre movilización de recursos a funcionarios de categoría </w:t>
      </w:r>
      <w:r w:rsidR="007E1BE3" w:rsidRPr="002F09BD">
        <w:rPr>
          <w:lang w:val="es-ES_tradnl"/>
        </w:rPr>
        <w:t xml:space="preserve">P2 </w:t>
      </w:r>
      <w:r w:rsidR="00F00FB3" w:rsidRPr="002F09BD">
        <w:rPr>
          <w:lang w:val="es-ES_tradnl"/>
        </w:rPr>
        <w:t xml:space="preserve">y </w:t>
      </w:r>
      <w:r w:rsidR="007E1BE3" w:rsidRPr="002F09BD">
        <w:rPr>
          <w:lang w:val="es-ES_tradnl"/>
        </w:rPr>
        <w:t xml:space="preserve">P3 </w:t>
      </w:r>
      <w:r w:rsidR="00F00FB3" w:rsidRPr="002F09BD">
        <w:rPr>
          <w:lang w:val="es-ES_tradnl"/>
        </w:rPr>
        <w:t xml:space="preserve">sobre el terreno, y se realizaron talleres itinerantes/misiones estratégicas en América (Estados Unidos) y en Asia y el Pacífico (Filipinas), así como numerosas actividades de difusión con </w:t>
      </w:r>
      <w:r w:rsidR="00844C5B" w:rsidRPr="002F09BD">
        <w:rPr>
          <w:lang w:val="es-ES_tradnl"/>
        </w:rPr>
        <w:t>socio</w:t>
      </w:r>
      <w:r w:rsidR="00F00FB3" w:rsidRPr="002F09BD">
        <w:rPr>
          <w:lang w:val="es-ES_tradnl"/>
        </w:rPr>
        <w:t xml:space="preserve">s existentes y potenciales, organismos bilaterales/multilaterales e instituciones financieras (por ejemplo, </w:t>
      </w:r>
      <w:r w:rsidR="00741C1E" w:rsidRPr="002F09BD">
        <w:rPr>
          <w:lang w:val="es-ES_tradnl"/>
        </w:rPr>
        <w:t xml:space="preserve">el </w:t>
      </w:r>
      <w:r w:rsidR="007E1BE3" w:rsidRPr="002F09BD">
        <w:rPr>
          <w:lang w:val="es-ES_tradnl"/>
        </w:rPr>
        <w:t xml:space="preserve">OFID, </w:t>
      </w:r>
      <w:r w:rsidR="00741C1E" w:rsidRPr="002F09BD">
        <w:rPr>
          <w:lang w:val="es-ES_tradnl"/>
        </w:rPr>
        <w:t xml:space="preserve">la </w:t>
      </w:r>
      <w:r w:rsidR="007E1BE3" w:rsidRPr="002F09BD">
        <w:rPr>
          <w:lang w:val="es-ES_tradnl"/>
        </w:rPr>
        <w:t xml:space="preserve">AFD, </w:t>
      </w:r>
      <w:r w:rsidR="00741C1E" w:rsidRPr="002F09BD">
        <w:rPr>
          <w:lang w:val="es-ES_tradnl"/>
        </w:rPr>
        <w:t xml:space="preserve">la </w:t>
      </w:r>
      <w:r w:rsidR="007E1BE3" w:rsidRPr="002F09BD">
        <w:rPr>
          <w:lang w:val="es-ES_tradnl"/>
        </w:rPr>
        <w:t xml:space="preserve">ADA, </w:t>
      </w:r>
      <w:r w:rsidR="00741C1E" w:rsidRPr="002F09BD">
        <w:rPr>
          <w:lang w:val="es-ES_tradnl"/>
        </w:rPr>
        <w:t>la CE</w:t>
      </w:r>
      <w:r w:rsidR="007E1BE3" w:rsidRPr="002F09BD">
        <w:rPr>
          <w:lang w:val="es-ES_tradnl"/>
        </w:rPr>
        <w:t xml:space="preserve">, </w:t>
      </w:r>
      <w:r w:rsidR="00741C1E" w:rsidRPr="002F09BD">
        <w:rPr>
          <w:lang w:val="es-ES_tradnl"/>
        </w:rPr>
        <w:t>el Banco Mundial</w:t>
      </w:r>
      <w:r w:rsidR="007E1BE3" w:rsidRPr="002F09BD">
        <w:rPr>
          <w:lang w:val="es-ES_tradnl"/>
        </w:rPr>
        <w:t xml:space="preserve">, </w:t>
      </w:r>
      <w:r w:rsidR="00741C1E" w:rsidRPr="002F09BD">
        <w:rPr>
          <w:lang w:val="es-ES_tradnl"/>
        </w:rPr>
        <w:t>la CFI, el Banco Asiático de Desarrollo y</w:t>
      </w:r>
      <w:r w:rsidR="007E1BE3" w:rsidRPr="002F09BD">
        <w:rPr>
          <w:lang w:val="es-ES_tradnl"/>
        </w:rPr>
        <w:t xml:space="preserve"> </w:t>
      </w:r>
      <w:r w:rsidR="00741C1E" w:rsidRPr="002F09BD">
        <w:rPr>
          <w:lang w:val="es-ES_tradnl"/>
        </w:rPr>
        <w:t>el Banco Islámico de Desarrollo</w:t>
      </w:r>
      <w:r w:rsidR="007E1BE3" w:rsidRPr="002F09BD">
        <w:rPr>
          <w:lang w:val="es-ES_tradnl"/>
        </w:rPr>
        <w:t xml:space="preserve">), </w:t>
      </w:r>
      <w:r w:rsidR="00741C1E" w:rsidRPr="002F09BD">
        <w:rPr>
          <w:lang w:val="es-ES_tradnl"/>
        </w:rPr>
        <w:t xml:space="preserve">organismos de las Naciones Unidas </w:t>
      </w:r>
      <w:r w:rsidR="007E1BE3" w:rsidRPr="002F09BD">
        <w:rPr>
          <w:lang w:val="es-ES_tradnl"/>
        </w:rPr>
        <w:t>(</w:t>
      </w:r>
      <w:r w:rsidR="00741C1E" w:rsidRPr="002F09BD">
        <w:rPr>
          <w:lang w:val="es-ES_tradnl"/>
        </w:rPr>
        <w:t>por ejemplo, la ONUDI</w:t>
      </w:r>
      <w:r w:rsidR="003808F7" w:rsidRPr="002F09BD">
        <w:rPr>
          <w:lang w:val="es-ES_tradnl"/>
        </w:rPr>
        <w:t>,</w:t>
      </w:r>
      <w:r w:rsidR="00741C1E" w:rsidRPr="002F09BD">
        <w:rPr>
          <w:lang w:val="es-ES_tradnl"/>
        </w:rPr>
        <w:t xml:space="preserve"> la OMS, el PNUMA, la ONUAC, el </w:t>
      </w:r>
      <w:r w:rsidR="007E1BE3" w:rsidRPr="002F09BD">
        <w:rPr>
          <w:lang w:val="es-ES_tradnl"/>
        </w:rPr>
        <w:t xml:space="preserve">UNFPA, </w:t>
      </w:r>
      <w:r w:rsidR="00741C1E" w:rsidRPr="002F09BD">
        <w:rPr>
          <w:lang w:val="es-ES_tradnl"/>
        </w:rPr>
        <w:t>el UNCERF y</w:t>
      </w:r>
      <w:r w:rsidR="007E1BE3" w:rsidRPr="002F09BD">
        <w:rPr>
          <w:lang w:val="es-ES_tradnl"/>
        </w:rPr>
        <w:t xml:space="preserve"> </w:t>
      </w:r>
      <w:r w:rsidR="00741C1E" w:rsidRPr="002F09BD">
        <w:rPr>
          <w:lang w:val="es-ES_tradnl"/>
        </w:rPr>
        <w:t>el DAES</w:t>
      </w:r>
      <w:r w:rsidR="007E1BE3" w:rsidRPr="002F09BD">
        <w:rPr>
          <w:lang w:val="es-ES_tradnl"/>
        </w:rPr>
        <w:t xml:space="preserve">) </w:t>
      </w:r>
      <w:r w:rsidR="00741C1E" w:rsidRPr="002F09BD">
        <w:rPr>
          <w:lang w:val="es-ES_tradnl"/>
        </w:rPr>
        <w:t xml:space="preserve">y fundaciones </w:t>
      </w:r>
      <w:r w:rsidR="007E1BE3" w:rsidRPr="002F09BD">
        <w:rPr>
          <w:lang w:val="es-ES_tradnl"/>
        </w:rPr>
        <w:t>(</w:t>
      </w:r>
      <w:r w:rsidR="00741C1E" w:rsidRPr="002F09BD">
        <w:rPr>
          <w:lang w:val="es-ES_tradnl"/>
        </w:rPr>
        <w:t xml:space="preserve">por ejemplo, </w:t>
      </w:r>
      <w:r w:rsidR="003808F7" w:rsidRPr="002F09BD">
        <w:rPr>
          <w:lang w:val="es-ES_tradnl"/>
        </w:rPr>
        <w:t>la Fundació</w:t>
      </w:r>
      <w:r w:rsidR="00741C1E" w:rsidRPr="002F09BD">
        <w:rPr>
          <w:lang w:val="es-ES_tradnl"/>
        </w:rPr>
        <w:t xml:space="preserve">n </w:t>
      </w:r>
      <w:r w:rsidR="007E1BE3" w:rsidRPr="002F09BD">
        <w:rPr>
          <w:lang w:val="es-ES_tradnl"/>
        </w:rPr>
        <w:t xml:space="preserve">Clinton, </w:t>
      </w:r>
      <w:r w:rsidR="00741C1E" w:rsidRPr="002F09BD">
        <w:rPr>
          <w:lang w:val="es-ES_tradnl"/>
        </w:rPr>
        <w:t xml:space="preserve">la Fundación de las Naciones Unidas, la </w:t>
      </w:r>
      <w:r w:rsidR="007E1BE3" w:rsidRPr="002F09BD">
        <w:rPr>
          <w:lang w:val="es-ES_tradnl"/>
        </w:rPr>
        <w:t xml:space="preserve">Citi Foundation, </w:t>
      </w:r>
      <w:r w:rsidR="00741C1E" w:rsidRPr="002F09BD">
        <w:rPr>
          <w:lang w:val="es-ES_tradnl"/>
        </w:rPr>
        <w:t>la Fundación Telefónica y</w:t>
      </w:r>
      <w:r w:rsidR="007E1BE3" w:rsidRPr="002F09BD">
        <w:rPr>
          <w:lang w:val="es-ES_tradnl"/>
        </w:rPr>
        <w:t xml:space="preserve"> </w:t>
      </w:r>
      <w:r w:rsidR="00741C1E" w:rsidRPr="002F09BD">
        <w:rPr>
          <w:lang w:val="es-ES_tradnl"/>
        </w:rPr>
        <w:t>la Fundación ProFuturo</w:t>
      </w:r>
      <w:r w:rsidR="007E1BE3" w:rsidRPr="002F09BD">
        <w:rPr>
          <w:lang w:val="es-ES_tradnl"/>
        </w:rPr>
        <w:t xml:space="preserve">). </w:t>
      </w:r>
      <w:r w:rsidR="00FF6F30" w:rsidRPr="002F09BD">
        <w:rPr>
          <w:lang w:val="es-ES_tradnl"/>
        </w:rPr>
        <w:t>El objetivo era sensibilizar sobre la UIT en general y la BDT en particular, mejorar las oportunidades de asociación</w:t>
      </w:r>
      <w:r w:rsidR="007E1BE3" w:rsidRPr="002F09BD">
        <w:rPr>
          <w:lang w:val="es-ES_tradnl"/>
        </w:rPr>
        <w:t xml:space="preserve"> </w:t>
      </w:r>
      <w:r w:rsidR="00FF6F30" w:rsidRPr="002F09BD">
        <w:rPr>
          <w:lang w:val="es-ES_tradnl"/>
        </w:rPr>
        <w:t>y movilizar recursos. Se debe perfeccionar aún más la estrategia de movilización de la BDT, teniendo en consideración los resultados de los retiros pasados y futuros de la Dirección de la BDT</w:t>
      </w:r>
      <w:r w:rsidR="00284A49" w:rsidRPr="002F09BD">
        <w:rPr>
          <w:lang w:val="es-ES_tradnl"/>
        </w:rPr>
        <w:t>.</w:t>
      </w:r>
    </w:p>
    <w:p w14:paraId="36278785" w14:textId="77777777" w:rsidR="007E1BE3" w:rsidRPr="005D50E8" w:rsidRDefault="00CC0A06" w:rsidP="0092698C">
      <w:pPr>
        <w:rPr>
          <w:b/>
          <w:bCs/>
          <w:szCs w:val="24"/>
          <w:lang w:val="es-ES"/>
        </w:rPr>
      </w:pPr>
      <w:r w:rsidRPr="00047B1F">
        <w:rPr>
          <w:lang w:val="es-ES_tradnl"/>
        </w:rPr>
        <w:t>Además</w:t>
      </w:r>
      <w:r w:rsidR="007E1BE3" w:rsidRPr="00047B1F">
        <w:rPr>
          <w:lang w:val="es-ES_tradnl"/>
        </w:rPr>
        <w:t xml:space="preserve">, </w:t>
      </w:r>
      <w:r w:rsidR="001B6924" w:rsidRPr="00047B1F">
        <w:rPr>
          <w:lang w:val="es-ES_tradnl"/>
        </w:rPr>
        <w:t>la base de datos de acuerdos de asociación</w:t>
      </w:r>
      <w:r w:rsidRPr="00047B1F">
        <w:rPr>
          <w:lang w:val="es-ES_tradnl"/>
        </w:rPr>
        <w:t>,</w:t>
      </w:r>
      <w:r w:rsidR="001B6924" w:rsidRPr="00047B1F">
        <w:rPr>
          <w:lang w:val="es-ES_tradnl"/>
        </w:rPr>
        <w:t xml:space="preserve"> que sirv</w:t>
      </w:r>
      <w:r w:rsidRPr="00047B1F">
        <w:rPr>
          <w:lang w:val="es-ES_tradnl"/>
        </w:rPr>
        <w:t xml:space="preserve">e </w:t>
      </w:r>
      <w:r w:rsidR="001B6924" w:rsidRPr="00047B1F">
        <w:rPr>
          <w:lang w:val="es-ES_tradnl"/>
        </w:rPr>
        <w:t>como sistema de mantenimiento de los registros relativos a todos los acuerdos suscritos por la BDT con varias partes interesadas</w:t>
      </w:r>
      <w:r w:rsidRPr="00047B1F">
        <w:rPr>
          <w:lang w:val="es-ES_tradnl"/>
        </w:rPr>
        <w:t xml:space="preserve">, se actualiza regularmente. </w:t>
      </w:r>
      <w:r w:rsidRPr="002F09BD">
        <w:rPr>
          <w:lang w:val="es-ES_tradnl"/>
        </w:rPr>
        <w:t>El personal de la BDT puede utilizar una herramienta de búsqueda para identificar a los socios potenciales de actividades, proyectos e iniciativas futuros</w:t>
      </w:r>
      <w:r w:rsidR="007E1BE3" w:rsidRPr="002F09BD">
        <w:rPr>
          <w:lang w:val="es-ES_tradnl"/>
        </w:rPr>
        <w:t>.</w:t>
      </w:r>
    </w:p>
    <w:p w14:paraId="2586C4C5" w14:textId="77777777" w:rsidR="001B6924" w:rsidRPr="00421DD6" w:rsidRDefault="001B6924" w:rsidP="001B6924">
      <w:pPr>
        <w:pStyle w:val="Heading1"/>
        <w:rPr>
          <w:lang w:val="es-ES"/>
        </w:rPr>
      </w:pPr>
      <w:r w:rsidRPr="00421DD6">
        <w:rPr>
          <w:lang w:val="es-ES"/>
        </w:rPr>
        <w:t>5</w:t>
      </w:r>
      <w:r w:rsidRPr="00421DD6">
        <w:rPr>
          <w:lang w:val="es-ES"/>
        </w:rPr>
        <w:tab/>
        <w:t>Futuras medidas</w:t>
      </w:r>
    </w:p>
    <w:p w14:paraId="3E379009" w14:textId="77777777" w:rsidR="007E1BE3" w:rsidRPr="00421DD6" w:rsidRDefault="00844C5B" w:rsidP="00421DD6">
      <w:pPr>
        <w:rPr>
          <w:lang w:val="es-ES_tradnl"/>
        </w:rPr>
      </w:pPr>
      <w:r w:rsidRPr="002F09BD">
        <w:rPr>
          <w:lang w:val="es-ES_tradnl"/>
        </w:rPr>
        <w:t>La Directora</w:t>
      </w:r>
      <w:r w:rsidR="0090349F" w:rsidRPr="002F09BD">
        <w:rPr>
          <w:lang w:val="es-ES_tradnl"/>
        </w:rPr>
        <w:t xml:space="preserve"> de la </w:t>
      </w:r>
      <w:r w:rsidR="007E1BE3" w:rsidRPr="002F09BD">
        <w:rPr>
          <w:lang w:val="es-ES_tradnl"/>
        </w:rPr>
        <w:t xml:space="preserve">BDT </w:t>
      </w:r>
      <w:r w:rsidR="0090349F" w:rsidRPr="002F09BD">
        <w:rPr>
          <w:lang w:val="es-ES_tradnl"/>
        </w:rPr>
        <w:t xml:space="preserve">está revisando el enfoque de la BDT </w:t>
      </w:r>
      <w:r w:rsidR="008C4F50" w:rsidRPr="002F09BD">
        <w:rPr>
          <w:lang w:val="es-ES_tradnl"/>
        </w:rPr>
        <w:t>relativo</w:t>
      </w:r>
      <w:r w:rsidR="0090349F" w:rsidRPr="002F09BD">
        <w:rPr>
          <w:lang w:val="es-ES_tradnl"/>
        </w:rPr>
        <w:t xml:space="preserve"> a la movilizaci</w:t>
      </w:r>
      <w:r w:rsidR="00375033" w:rsidRPr="002F09BD">
        <w:rPr>
          <w:lang w:val="es-ES_tradnl"/>
        </w:rPr>
        <w:t>ón de recursos, el patroci</w:t>
      </w:r>
      <w:r w:rsidR="0090349F" w:rsidRPr="002F09BD">
        <w:rPr>
          <w:lang w:val="es-ES_tradnl"/>
        </w:rPr>
        <w:t xml:space="preserve">nio, las asociaciones y la ejecución de proyectos. </w:t>
      </w:r>
      <w:r w:rsidR="0090349F" w:rsidRPr="00421DD6">
        <w:rPr>
          <w:lang w:val="es-ES_tradnl"/>
        </w:rPr>
        <w:t xml:space="preserve">Este </w:t>
      </w:r>
      <w:r w:rsidR="00A8320F" w:rsidRPr="00421DD6">
        <w:rPr>
          <w:lang w:val="es-ES_tradnl"/>
        </w:rPr>
        <w:t>asunto</w:t>
      </w:r>
      <w:r w:rsidR="0090349F" w:rsidRPr="00421DD6">
        <w:rPr>
          <w:lang w:val="es-ES_tradnl"/>
        </w:rPr>
        <w:t xml:space="preserve"> se tratará durante el retiro, inmediatamente antes del GADT</w:t>
      </w:r>
      <w:r w:rsidR="00421DD6" w:rsidRPr="00421DD6">
        <w:rPr>
          <w:lang w:val="es-ES_tradnl"/>
        </w:rPr>
        <w:t>.</w:t>
      </w:r>
    </w:p>
    <w:p w14:paraId="749D7445" w14:textId="77777777" w:rsidR="001B6924" w:rsidRPr="002F09BD" w:rsidRDefault="00F8120C" w:rsidP="00421DD6">
      <w:pPr>
        <w:rPr>
          <w:lang w:val="es-ES_tradnl"/>
        </w:rPr>
      </w:pPr>
      <w:r w:rsidRPr="002F09BD">
        <w:rPr>
          <w:lang w:val="es-ES_tradnl"/>
        </w:rPr>
        <w:lastRenderedPageBreak/>
        <w:t xml:space="preserve">Habida cuenta de lo anterior, </w:t>
      </w:r>
      <w:r w:rsidR="000A310E" w:rsidRPr="002F09BD">
        <w:rPr>
          <w:lang w:val="es-ES_tradnl"/>
        </w:rPr>
        <w:t>l</w:t>
      </w:r>
      <w:r w:rsidR="001B6924" w:rsidRPr="002F09BD">
        <w:rPr>
          <w:lang w:val="es-ES_tradnl"/>
        </w:rPr>
        <w:t xml:space="preserve">a BDT </w:t>
      </w:r>
      <w:r w:rsidRPr="002F09BD">
        <w:rPr>
          <w:lang w:val="es-ES_tradnl"/>
        </w:rPr>
        <w:t xml:space="preserve">continuará mejorando sus servicios e </w:t>
      </w:r>
      <w:r w:rsidR="001B6924" w:rsidRPr="002F09BD">
        <w:rPr>
          <w:lang w:val="es-ES_tradnl"/>
        </w:rPr>
        <w:t xml:space="preserve">instrumentos de movilización de recursos </w:t>
      </w:r>
      <w:r w:rsidR="00F00FA8" w:rsidRPr="002F09BD">
        <w:rPr>
          <w:lang w:val="es-ES_tradnl"/>
        </w:rPr>
        <w:t>e intensificando</w:t>
      </w:r>
      <w:r w:rsidR="001B6924" w:rsidRPr="002F09BD">
        <w:rPr>
          <w:lang w:val="es-ES_tradnl"/>
        </w:rPr>
        <w:t xml:space="preserve"> la colaboración con socios habituales y no habituales en el sector de las telecomunicaciones/TIC, entre otros, en el marco de un ecosistema convergente con miras a la implantación de proyectos e iniciativas a escalas mundial, nacional y regional, incluidas las Iniciativas Regionales.</w:t>
      </w:r>
    </w:p>
    <w:p w14:paraId="57827473" w14:textId="77777777" w:rsidR="007E1BE3" w:rsidRPr="00421DD6" w:rsidRDefault="001B6924" w:rsidP="00421DD6">
      <w:pPr>
        <w:rPr>
          <w:lang w:val="es-ES_tradnl"/>
        </w:rPr>
      </w:pPr>
      <w:r w:rsidRPr="00421DD6">
        <w:rPr>
          <w:lang w:val="es-ES_tradnl"/>
        </w:rPr>
        <w:t>Se invita a los Miembros de la UIT a establecer una asociación con la BDT con objeto de aplica</w:t>
      </w:r>
      <w:r w:rsidR="000A310E" w:rsidRPr="00421DD6">
        <w:rPr>
          <w:lang w:val="es-ES_tradnl"/>
        </w:rPr>
        <w:t>r los resultados de la CMDT-17,</w:t>
      </w:r>
      <w:r w:rsidRPr="00421DD6">
        <w:rPr>
          <w:lang w:val="es-ES_tradnl"/>
        </w:rPr>
        <w:t xml:space="preserve"> los objetivos de la CMSI</w:t>
      </w:r>
      <w:r w:rsidR="000A310E" w:rsidRPr="00421DD6">
        <w:rPr>
          <w:lang w:val="es-ES_tradnl"/>
        </w:rPr>
        <w:t xml:space="preserve"> y </w:t>
      </w:r>
      <w:r w:rsidR="00346F5D" w:rsidRPr="00421DD6">
        <w:rPr>
          <w:lang w:val="es-ES_tradnl"/>
        </w:rPr>
        <w:t>las Metas de la PP-18 —</w:t>
      </w:r>
      <w:r w:rsidR="00421DD6" w:rsidRPr="00421DD6">
        <w:rPr>
          <w:lang w:val="es-ES_tradnl"/>
        </w:rPr>
        <w:t xml:space="preserve"> </w:t>
      </w:r>
      <w:r w:rsidR="00346F5D" w:rsidRPr="00421DD6">
        <w:rPr>
          <w:lang w:val="es-ES_tradnl"/>
        </w:rPr>
        <w:t>y en especial la nueva Meta 5</w:t>
      </w:r>
      <w:r w:rsidR="00421DD6">
        <w:rPr>
          <w:lang w:val="es-ES_tradnl"/>
        </w:rPr>
        <w:t xml:space="preserve"> </w:t>
      </w:r>
      <w:r w:rsidR="00346F5D" w:rsidRPr="00421DD6">
        <w:rPr>
          <w:lang w:val="es-ES_tradnl"/>
        </w:rPr>
        <w:t>—</w:t>
      </w:r>
      <w:r w:rsidR="00F24530" w:rsidRPr="00421DD6">
        <w:rPr>
          <w:lang w:val="es-ES_tradnl"/>
        </w:rPr>
        <w:t>,</w:t>
      </w:r>
      <w:r w:rsidR="00346F5D" w:rsidRPr="00421DD6">
        <w:rPr>
          <w:lang w:val="es-ES_tradnl"/>
        </w:rPr>
        <w:t xml:space="preserve"> </w:t>
      </w:r>
      <w:r w:rsidRPr="00421DD6">
        <w:rPr>
          <w:lang w:val="es-ES_tradnl"/>
        </w:rPr>
        <w:t>y contribuir a los Objetivos de Desarrollo Sostenible (ODS), teniendo especialmente en cuenta el ODS 17.</w:t>
      </w:r>
    </w:p>
    <w:p w14:paraId="42BA4382" w14:textId="77777777" w:rsidR="00405BDB" w:rsidRPr="00421DD6" w:rsidRDefault="00405BDB" w:rsidP="00411C49">
      <w:pPr>
        <w:pStyle w:val="Reasons"/>
        <w:rPr>
          <w:lang w:val="es-ES"/>
        </w:rPr>
      </w:pPr>
    </w:p>
    <w:p w14:paraId="7EBCA2FF" w14:textId="77777777" w:rsidR="00405BDB" w:rsidRPr="005D50E8" w:rsidRDefault="00405BDB">
      <w:pPr>
        <w:jc w:val="center"/>
        <w:rPr>
          <w:lang w:val="es-ES"/>
        </w:rPr>
      </w:pPr>
      <w:r w:rsidRPr="00421DD6">
        <w:rPr>
          <w:lang w:val="es-ES"/>
        </w:rPr>
        <w:t>______________</w:t>
      </w:r>
    </w:p>
    <w:sectPr w:rsidR="00405BDB" w:rsidRPr="005D50E8" w:rsidSect="004B7893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7CCB4" w14:textId="77777777" w:rsidR="007E1BE3" w:rsidRDefault="007E1BE3" w:rsidP="0088106F">
      <w:r>
        <w:separator/>
      </w:r>
    </w:p>
  </w:endnote>
  <w:endnote w:type="continuationSeparator" w:id="0">
    <w:p w14:paraId="57CE081E" w14:textId="77777777" w:rsidR="007E1BE3" w:rsidRDefault="007E1BE3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B1319" w14:textId="77777777" w:rsidR="0088106F" w:rsidRPr="00E612B1" w:rsidRDefault="00E612B1" w:rsidP="001E3663">
    <w:pPr>
      <w:pStyle w:val="Footer"/>
      <w:rPr>
        <w:lang w:val="en-GB"/>
      </w:rPr>
    </w:pPr>
    <w:r>
      <w:fldChar w:fldCharType="begin"/>
    </w:r>
    <w:r w:rsidRPr="00E612B1">
      <w:rPr>
        <w:lang w:val="en-GB"/>
      </w:rPr>
      <w:instrText xml:space="preserve"> FILENAME \p  \* MERGEFORMAT </w:instrText>
    </w:r>
    <w:r>
      <w:fldChar w:fldCharType="separate"/>
    </w:r>
    <w:r w:rsidR="00A051CB">
      <w:rPr>
        <w:lang w:val="en-GB"/>
      </w:rPr>
      <w:t>P:\ESP\ITU-D\CONF-D\TDAG19\000\021S.docx</w:t>
    </w:r>
    <w:r>
      <w:fldChar w:fldCharType="end"/>
    </w:r>
    <w:r>
      <w:rPr>
        <w:lang w:val="en-GB"/>
      </w:rPr>
      <w:t xml:space="preserve"> (449227</w:t>
    </w:r>
    <w:r w:rsidRPr="00E612B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C648F8" w14:paraId="7863496B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312DB42" w14:textId="77777777" w:rsidR="009D1BD4" w:rsidRPr="0008030F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08030F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572439A" w14:textId="77777777" w:rsidR="009D1BD4" w:rsidRPr="0008030F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08030F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5B982F81" w14:textId="77777777" w:rsidR="009D1BD4" w:rsidRPr="0087132E" w:rsidRDefault="00B43E62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bookmarkStart w:id="7" w:name="OrgName"/>
          <w:bookmarkEnd w:id="7"/>
          <w:r w:rsidRPr="0087132E">
            <w:rPr>
              <w:sz w:val="18"/>
              <w:szCs w:val="18"/>
              <w:lang w:val="es-ES_tradnl"/>
            </w:rPr>
            <w:t>Sra. Eun-Jun Kim, Jefa, Departamento de Innovación y Asociaciones, BDT</w:t>
          </w:r>
        </w:p>
      </w:tc>
    </w:tr>
    <w:tr w:rsidR="009D1BD4" w:rsidRPr="004D495C" w14:paraId="62496F8C" w14:textId="77777777" w:rsidTr="004E3CF5">
      <w:tc>
        <w:tcPr>
          <w:tcW w:w="1134" w:type="dxa"/>
          <w:shd w:val="clear" w:color="auto" w:fill="auto"/>
        </w:tcPr>
        <w:p w14:paraId="14047ABF" w14:textId="77777777" w:rsidR="009D1BD4" w:rsidRPr="0008030F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0AE5A205" w14:textId="77777777" w:rsidR="009D1BD4" w:rsidRPr="0008030F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8030F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268548E0" w14:textId="77777777" w:rsidR="009D1BD4" w:rsidRPr="00050E06" w:rsidRDefault="00B43E62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>
            <w:rPr>
              <w:sz w:val="18"/>
              <w:szCs w:val="18"/>
              <w:lang w:val="en-US"/>
            </w:rPr>
            <w:t>+41 22 730 5900</w:t>
          </w:r>
        </w:p>
      </w:tc>
    </w:tr>
    <w:tr w:rsidR="009D1BD4" w:rsidRPr="00C648F8" w14:paraId="4FF02BF5" w14:textId="77777777" w:rsidTr="004E3CF5">
      <w:tc>
        <w:tcPr>
          <w:tcW w:w="1134" w:type="dxa"/>
          <w:shd w:val="clear" w:color="auto" w:fill="auto"/>
        </w:tcPr>
        <w:p w14:paraId="36493436" w14:textId="77777777" w:rsidR="009D1BD4" w:rsidRPr="0008030F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3164DA1A" w14:textId="77777777" w:rsidR="009D1BD4" w:rsidRPr="0008030F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8030F">
            <w:rPr>
              <w:sz w:val="18"/>
              <w:szCs w:val="18"/>
              <w:lang w:val="es-ES_tradnl"/>
            </w:rPr>
            <w:t>Correo-e: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14:paraId="050FF329" w14:textId="77777777" w:rsidR="009D1BD4" w:rsidRPr="004A6D6C" w:rsidRDefault="00B43E62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rStyle w:val="Hyperlink"/>
              <w:sz w:val="18"/>
              <w:szCs w:val="18"/>
              <w:lang w:val="en-US"/>
            </w:rPr>
            <w:fldChar w:fldCharType="begin"/>
          </w:r>
          <w:r w:rsidRPr="004A6D6C">
            <w:rPr>
              <w:rStyle w:val="Hyperlink"/>
              <w:sz w:val="18"/>
              <w:szCs w:val="18"/>
              <w:lang w:val="es-ES_tradnl"/>
            </w:rPr>
            <w:instrText xml:space="preserve"> HYPERLINK "mailto:eun-ju.kim@itu.int" </w:instrText>
          </w:r>
          <w:r>
            <w:rPr>
              <w:rStyle w:val="Hyperlink"/>
              <w:sz w:val="18"/>
              <w:szCs w:val="18"/>
              <w:lang w:val="en-US"/>
            </w:rPr>
            <w:fldChar w:fldCharType="separate"/>
          </w:r>
          <w:r w:rsidRPr="004A6D6C">
            <w:rPr>
              <w:rStyle w:val="Hyperlink"/>
              <w:sz w:val="18"/>
              <w:szCs w:val="18"/>
              <w:lang w:val="es-ES_tradnl"/>
            </w:rPr>
            <w:t>eun-ju.kim@itu.int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4BD33B75" w14:textId="77777777" w:rsidR="009D1BD4" w:rsidRPr="00091E4B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2"/>
        <w:lang w:val="es-ES_tradnl"/>
      </w:rPr>
    </w:pPr>
  </w:p>
  <w:p w14:paraId="019CCF19" w14:textId="77777777" w:rsidR="006E4AB3" w:rsidRPr="00091E4B" w:rsidRDefault="003D5189" w:rsidP="00091E4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225D2E" w:rsidRPr="004A6D6C">
        <w:rPr>
          <w:rFonts w:ascii="Calibri" w:hAnsi="Calibri"/>
          <w:color w:val="0000FF"/>
          <w:sz w:val="18"/>
          <w:szCs w:val="18"/>
          <w:u w:val="single"/>
          <w:lang w:val="en-US"/>
        </w:rPr>
        <w:t>GADT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B4A2E" w14:textId="77777777" w:rsidR="007E1BE3" w:rsidRDefault="007E1BE3" w:rsidP="0088106F">
      <w:r>
        <w:separator/>
      </w:r>
    </w:p>
  </w:footnote>
  <w:footnote w:type="continuationSeparator" w:id="0">
    <w:p w14:paraId="277FD800" w14:textId="77777777" w:rsidR="007E1BE3" w:rsidRDefault="007E1BE3" w:rsidP="0088106F">
      <w:r>
        <w:continuationSeparator/>
      </w:r>
    </w:p>
  </w:footnote>
  <w:footnote w:id="1">
    <w:p w14:paraId="2A60B7DA" w14:textId="77777777" w:rsidR="007E1BE3" w:rsidRPr="00844C5B" w:rsidRDefault="007E1BE3" w:rsidP="00B65BAB">
      <w:pPr>
        <w:pStyle w:val="FootnoteText"/>
        <w:tabs>
          <w:tab w:val="clear" w:pos="255"/>
          <w:tab w:val="left" w:pos="0"/>
        </w:tabs>
        <w:spacing w:before="0"/>
        <w:rPr>
          <w:sz w:val="18"/>
          <w:szCs w:val="18"/>
          <w:lang w:val="es-ES"/>
        </w:rPr>
      </w:pPr>
      <w:r w:rsidRPr="00B65BAB">
        <w:rPr>
          <w:rStyle w:val="FootnoteReference"/>
          <w:szCs w:val="18"/>
        </w:rPr>
        <w:footnoteRef/>
      </w:r>
      <w:r w:rsidR="00B65BAB" w:rsidRPr="002F09BD">
        <w:rPr>
          <w:rStyle w:val="FootnoteReference"/>
          <w:szCs w:val="18"/>
          <w:lang w:val="es-ES_tradnl"/>
        </w:rPr>
        <w:tab/>
      </w:r>
      <w:r w:rsidR="00995E88" w:rsidRPr="00B65BAB">
        <w:rPr>
          <w:lang w:val="es-ES_tradnl"/>
        </w:rPr>
        <w:t>M</w:t>
      </w:r>
      <w:r w:rsidR="00331F07" w:rsidRPr="00B65BAB">
        <w:rPr>
          <w:lang w:val="es-ES_tradnl"/>
        </w:rPr>
        <w:t xml:space="preserve">emorandos de entendimiento, acuerdos de cooperación, </w:t>
      </w:r>
      <w:r w:rsidR="00D15A9A" w:rsidRPr="00B65BAB">
        <w:rPr>
          <w:lang w:val="es-ES_tradnl"/>
        </w:rPr>
        <w:t xml:space="preserve">documentos de proyecto, </w:t>
      </w:r>
      <w:r w:rsidR="00331F07" w:rsidRPr="00B65BAB">
        <w:rPr>
          <w:lang w:val="es-ES_tradnl"/>
        </w:rPr>
        <w:t>acuerdos de contribuciones voluntarias, acuerdos de patrocinio, etc.</w:t>
      </w:r>
    </w:p>
  </w:footnote>
  <w:footnote w:id="2">
    <w:p w14:paraId="5B79EE6D" w14:textId="77777777" w:rsidR="007E1BE3" w:rsidRPr="004C119D" w:rsidRDefault="007E1BE3" w:rsidP="002B7A70">
      <w:pPr>
        <w:pStyle w:val="FootnoteText"/>
        <w:rPr>
          <w:sz w:val="18"/>
          <w:szCs w:val="18"/>
          <w:lang w:val="es-ES"/>
        </w:rPr>
      </w:pPr>
      <w:r w:rsidRPr="00B65BAB">
        <w:rPr>
          <w:rStyle w:val="FootnoteReference"/>
        </w:rPr>
        <w:footnoteRef/>
      </w:r>
      <w:r w:rsidR="00B65BAB" w:rsidRPr="00B65BAB">
        <w:rPr>
          <w:lang w:val="es-ES_tradnl"/>
        </w:rPr>
        <w:tab/>
      </w:r>
      <w:r w:rsidRPr="00590295">
        <w:rPr>
          <w:lang w:val="es-ES_tradnl"/>
        </w:rPr>
        <w:t xml:space="preserve">a) </w:t>
      </w:r>
      <w:r w:rsidR="004C119D" w:rsidRPr="00590295">
        <w:rPr>
          <w:lang w:val="es-ES_tradnl"/>
        </w:rPr>
        <w:t>Acuerdos y proyectos con contribución en efectivo</w:t>
      </w:r>
      <w:r w:rsidRPr="00590295">
        <w:rPr>
          <w:lang w:val="es-ES_tradnl"/>
        </w:rPr>
        <w:t xml:space="preserve">, b) </w:t>
      </w:r>
      <w:r w:rsidR="004C119D" w:rsidRPr="00590295">
        <w:rPr>
          <w:lang w:val="es-ES_tradnl"/>
        </w:rPr>
        <w:t>Acuerdos y proyectos sin contribución en efectivo</w:t>
      </w:r>
      <w:r w:rsidRPr="00590295">
        <w:rPr>
          <w:lang w:val="es-ES_tradnl"/>
        </w:rPr>
        <w:t xml:space="preserve">, c) </w:t>
      </w:r>
      <w:r w:rsidR="004C119D" w:rsidRPr="00590295">
        <w:rPr>
          <w:lang w:val="es-ES_tradnl"/>
        </w:rPr>
        <w:t>Acuerdos de patrocinio</w:t>
      </w:r>
      <w:r w:rsidRPr="00590295">
        <w:rPr>
          <w:lang w:val="es-ES_tradnl"/>
        </w:rPr>
        <w:t xml:space="preserve">, </w:t>
      </w:r>
      <w:r w:rsidR="004C119D" w:rsidRPr="00590295">
        <w:rPr>
          <w:lang w:val="es-ES_tradnl"/>
        </w:rPr>
        <w:t xml:space="preserve">y </w:t>
      </w:r>
      <w:r w:rsidRPr="00590295">
        <w:rPr>
          <w:lang w:val="es-ES_tradnl"/>
        </w:rPr>
        <w:t>d) Addenda</w:t>
      </w:r>
      <w:r w:rsidRPr="00B65BAB">
        <w:rPr>
          <w:lang w:val="es-ES_tradnl"/>
        </w:rPr>
        <w:t>/</w:t>
      </w:r>
      <w:r w:rsidR="004C119D" w:rsidRPr="00B65BAB">
        <w:rPr>
          <w:lang w:val="es-ES_tradnl"/>
        </w:rPr>
        <w:t>Enmiendas</w:t>
      </w:r>
      <w:r w:rsidRPr="00B65BAB">
        <w:rPr>
          <w:lang w:val="es-ES_tradnl"/>
        </w:rPr>
        <w:t>.</w:t>
      </w:r>
    </w:p>
  </w:footnote>
  <w:footnote w:id="3">
    <w:p w14:paraId="6FBCA955" w14:textId="77777777" w:rsidR="007E1BE3" w:rsidRPr="00EF17E8" w:rsidRDefault="007E1BE3" w:rsidP="00A051CB">
      <w:pPr>
        <w:pStyle w:val="FootnoteText"/>
        <w:rPr>
          <w:lang w:val="es-ES_tradnl"/>
        </w:rPr>
      </w:pPr>
      <w:r w:rsidRPr="00A051CB">
        <w:rPr>
          <w:rStyle w:val="FootnoteReference"/>
        </w:rPr>
        <w:footnoteRef/>
      </w:r>
      <w:r w:rsidR="002B7A70">
        <w:rPr>
          <w:lang w:val="es-ES"/>
        </w:rPr>
        <w:tab/>
      </w:r>
      <w:r w:rsidR="009F0111" w:rsidRPr="00EF17E8">
        <w:rPr>
          <w:lang w:val="es-ES_tradnl"/>
        </w:rPr>
        <w:t>Secretarías del Convenio de Basilea y del Convenio de Estocolmo</w:t>
      </w:r>
      <w:r w:rsidR="002B7A70" w:rsidRPr="00EF17E8">
        <w:rPr>
          <w:lang w:val="es-ES_tradnl"/>
        </w:rPr>
        <w:t>.</w:t>
      </w:r>
    </w:p>
  </w:footnote>
  <w:footnote w:id="4">
    <w:p w14:paraId="33B904A3" w14:textId="77777777" w:rsidR="007E1BE3" w:rsidRPr="00EF17E8" w:rsidRDefault="007E1BE3" w:rsidP="00A051CB">
      <w:pPr>
        <w:pStyle w:val="FootnoteText"/>
        <w:rPr>
          <w:lang w:val="es-ES_tradnl"/>
        </w:rPr>
      </w:pPr>
      <w:r w:rsidRPr="00A051CB">
        <w:rPr>
          <w:rStyle w:val="FootnoteReference"/>
        </w:rPr>
        <w:footnoteRef/>
      </w:r>
      <w:r w:rsidR="002B7A70" w:rsidRPr="00EF17E8">
        <w:rPr>
          <w:lang w:val="es-ES_tradnl"/>
        </w:rPr>
        <w:tab/>
      </w:r>
      <w:r w:rsidR="00570D18" w:rsidRPr="00EF17E8">
        <w:rPr>
          <w:lang w:val="es-ES_tradnl"/>
        </w:rPr>
        <w:t>Asociación Internacional de Residuos Sólidos</w:t>
      </w:r>
      <w:r w:rsidR="002B7A70" w:rsidRPr="00EF17E8">
        <w:rPr>
          <w:lang w:val="es-ES_tradnl"/>
        </w:rPr>
        <w:t>.</w:t>
      </w:r>
    </w:p>
  </w:footnote>
  <w:footnote w:id="5">
    <w:p w14:paraId="5BF3A446" w14:textId="77777777" w:rsidR="007E1BE3" w:rsidRPr="00EF17E8" w:rsidRDefault="007E1BE3" w:rsidP="00A051CB">
      <w:pPr>
        <w:pStyle w:val="FootnoteText"/>
        <w:rPr>
          <w:lang w:val="es-ES_tradnl"/>
        </w:rPr>
      </w:pPr>
      <w:r w:rsidRPr="00A051CB">
        <w:rPr>
          <w:rStyle w:val="FootnoteReference"/>
        </w:rPr>
        <w:footnoteRef/>
      </w:r>
      <w:r w:rsidR="002B7A70" w:rsidRPr="00EF17E8">
        <w:rPr>
          <w:lang w:val="es-ES_tradnl"/>
        </w:rPr>
        <w:tab/>
      </w:r>
      <w:r w:rsidR="0008030F" w:rsidRPr="00EF17E8">
        <w:rPr>
          <w:lang w:val="es-ES_tradnl"/>
        </w:rPr>
        <w:t>Vicerrectorado de la Universidad de las Naciones</w:t>
      </w:r>
      <w:r w:rsidR="0087132E" w:rsidRPr="00EF17E8">
        <w:rPr>
          <w:lang w:val="es-ES_tradnl"/>
        </w:rPr>
        <w:t xml:space="preserve"> Unidas en Europa, el Programa "</w:t>
      </w:r>
      <w:r w:rsidR="0008030F" w:rsidRPr="00EF17E8">
        <w:rPr>
          <w:lang w:val="es-ES_tradnl"/>
        </w:rPr>
        <w:t>Sustainable Cycles</w:t>
      </w:r>
      <w:r w:rsidR="0087132E" w:rsidRPr="00EF17E8">
        <w:rPr>
          <w:lang w:val="es-ES_tradnl"/>
        </w:rPr>
        <w:t>"</w:t>
      </w:r>
      <w:r w:rsidR="002B7A70" w:rsidRPr="00EF17E8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145" w14:textId="77777777" w:rsidR="009A6FC4" w:rsidRPr="009A6FC4" w:rsidRDefault="009A6FC4" w:rsidP="00951B8F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 w:rsidR="00951B8F">
      <w:rPr>
        <w:sz w:val="22"/>
        <w:szCs w:val="22"/>
        <w:lang w:val="en-US"/>
      </w:rPr>
      <w:t>21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D5189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  <w:p w14:paraId="7CBE8D33" w14:textId="77777777" w:rsidR="009A6FC4" w:rsidRPr="009A6FC4" w:rsidRDefault="009A6FC4" w:rsidP="00E612B1">
    <w:pPr>
      <w:pStyle w:val="Foo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8C60E81"/>
    <w:multiLevelType w:val="hybridMultilevel"/>
    <w:tmpl w:val="1EF2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72AF5"/>
    <w:multiLevelType w:val="multilevel"/>
    <w:tmpl w:val="8B78F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C2439"/>
    <w:multiLevelType w:val="hybridMultilevel"/>
    <w:tmpl w:val="182E1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E3"/>
    <w:rsid w:val="000023A4"/>
    <w:rsid w:val="00006361"/>
    <w:rsid w:val="000135AE"/>
    <w:rsid w:val="00033D49"/>
    <w:rsid w:val="00047B1F"/>
    <w:rsid w:val="000605F3"/>
    <w:rsid w:val="000725A1"/>
    <w:rsid w:val="0008030F"/>
    <w:rsid w:val="00091E4B"/>
    <w:rsid w:val="000A310E"/>
    <w:rsid w:val="000C0AA7"/>
    <w:rsid w:val="000E7A0A"/>
    <w:rsid w:val="00194CB2"/>
    <w:rsid w:val="001A2467"/>
    <w:rsid w:val="001B5443"/>
    <w:rsid w:val="001B6924"/>
    <w:rsid w:val="001D19C2"/>
    <w:rsid w:val="001D59A3"/>
    <w:rsid w:val="001E3663"/>
    <w:rsid w:val="001F73BE"/>
    <w:rsid w:val="00213302"/>
    <w:rsid w:val="00221C14"/>
    <w:rsid w:val="00222CBD"/>
    <w:rsid w:val="00225D2E"/>
    <w:rsid w:val="0024003D"/>
    <w:rsid w:val="00241CB9"/>
    <w:rsid w:val="0025332E"/>
    <w:rsid w:val="002664C9"/>
    <w:rsid w:val="00284A49"/>
    <w:rsid w:val="00290043"/>
    <w:rsid w:val="002A7FAB"/>
    <w:rsid w:val="002B7A70"/>
    <w:rsid w:val="002C7373"/>
    <w:rsid w:val="002D4BE6"/>
    <w:rsid w:val="002D6772"/>
    <w:rsid w:val="002F09BD"/>
    <w:rsid w:val="00302736"/>
    <w:rsid w:val="00331F07"/>
    <w:rsid w:val="0033649F"/>
    <w:rsid w:val="00346F5D"/>
    <w:rsid w:val="00354E28"/>
    <w:rsid w:val="00360762"/>
    <w:rsid w:val="00363DF0"/>
    <w:rsid w:val="00375033"/>
    <w:rsid w:val="003808F7"/>
    <w:rsid w:val="00390391"/>
    <w:rsid w:val="003C782E"/>
    <w:rsid w:val="003D4CFB"/>
    <w:rsid w:val="003D5189"/>
    <w:rsid w:val="003D5CA3"/>
    <w:rsid w:val="00405BDB"/>
    <w:rsid w:val="00421DD6"/>
    <w:rsid w:val="00425117"/>
    <w:rsid w:val="004265CF"/>
    <w:rsid w:val="00482632"/>
    <w:rsid w:val="004A6D6C"/>
    <w:rsid w:val="004B7893"/>
    <w:rsid w:val="004C119D"/>
    <w:rsid w:val="004E7861"/>
    <w:rsid w:val="004F5B7C"/>
    <w:rsid w:val="00535C50"/>
    <w:rsid w:val="00553C01"/>
    <w:rsid w:val="005557A3"/>
    <w:rsid w:val="005637B9"/>
    <w:rsid w:val="005643DC"/>
    <w:rsid w:val="00570D18"/>
    <w:rsid w:val="00590295"/>
    <w:rsid w:val="005D50E8"/>
    <w:rsid w:val="005D5745"/>
    <w:rsid w:val="00602B27"/>
    <w:rsid w:val="00610902"/>
    <w:rsid w:val="006339E7"/>
    <w:rsid w:val="00635A62"/>
    <w:rsid w:val="00650751"/>
    <w:rsid w:val="0067031C"/>
    <w:rsid w:val="006A2C07"/>
    <w:rsid w:val="006A35BD"/>
    <w:rsid w:val="006C4992"/>
    <w:rsid w:val="006E4AB3"/>
    <w:rsid w:val="006F39EB"/>
    <w:rsid w:val="00711EAD"/>
    <w:rsid w:val="00741C1E"/>
    <w:rsid w:val="0077644C"/>
    <w:rsid w:val="007C3061"/>
    <w:rsid w:val="007D4BB2"/>
    <w:rsid w:val="007E1BE3"/>
    <w:rsid w:val="007E471D"/>
    <w:rsid w:val="008306EB"/>
    <w:rsid w:val="00835A77"/>
    <w:rsid w:val="00844C5B"/>
    <w:rsid w:val="0087132E"/>
    <w:rsid w:val="0088106F"/>
    <w:rsid w:val="008812D9"/>
    <w:rsid w:val="00893D3A"/>
    <w:rsid w:val="008A2C75"/>
    <w:rsid w:val="008B1143"/>
    <w:rsid w:val="008C1852"/>
    <w:rsid w:val="008C4F50"/>
    <w:rsid w:val="008D1F9A"/>
    <w:rsid w:val="008D45F2"/>
    <w:rsid w:val="008D59E1"/>
    <w:rsid w:val="008D789A"/>
    <w:rsid w:val="00900E64"/>
    <w:rsid w:val="0090349F"/>
    <w:rsid w:val="009047AF"/>
    <w:rsid w:val="00915442"/>
    <w:rsid w:val="00917B12"/>
    <w:rsid w:val="0092698C"/>
    <w:rsid w:val="00937CD6"/>
    <w:rsid w:val="0094323D"/>
    <w:rsid w:val="00951B8F"/>
    <w:rsid w:val="009528A5"/>
    <w:rsid w:val="00960E70"/>
    <w:rsid w:val="009752D2"/>
    <w:rsid w:val="00991B13"/>
    <w:rsid w:val="009952F6"/>
    <w:rsid w:val="00995E88"/>
    <w:rsid w:val="009A6FC4"/>
    <w:rsid w:val="009C1A3B"/>
    <w:rsid w:val="009C4612"/>
    <w:rsid w:val="009D1BD4"/>
    <w:rsid w:val="009F0111"/>
    <w:rsid w:val="00A051CB"/>
    <w:rsid w:val="00A06249"/>
    <w:rsid w:val="00A26DB1"/>
    <w:rsid w:val="00A33516"/>
    <w:rsid w:val="00A517A8"/>
    <w:rsid w:val="00A76937"/>
    <w:rsid w:val="00A8320F"/>
    <w:rsid w:val="00A87DD9"/>
    <w:rsid w:val="00AA24A4"/>
    <w:rsid w:val="00AE0654"/>
    <w:rsid w:val="00AE1BA7"/>
    <w:rsid w:val="00AF104C"/>
    <w:rsid w:val="00AF563E"/>
    <w:rsid w:val="00B43E62"/>
    <w:rsid w:val="00B65BAB"/>
    <w:rsid w:val="00BC7208"/>
    <w:rsid w:val="00BD1BDC"/>
    <w:rsid w:val="00BE11FF"/>
    <w:rsid w:val="00C34CC5"/>
    <w:rsid w:val="00C607A5"/>
    <w:rsid w:val="00C648F8"/>
    <w:rsid w:val="00CC0A06"/>
    <w:rsid w:val="00D15A9A"/>
    <w:rsid w:val="00D16175"/>
    <w:rsid w:val="00D304CA"/>
    <w:rsid w:val="00D372A5"/>
    <w:rsid w:val="00D715A8"/>
    <w:rsid w:val="00DE3010"/>
    <w:rsid w:val="00E11C14"/>
    <w:rsid w:val="00E17138"/>
    <w:rsid w:val="00E204A0"/>
    <w:rsid w:val="00E3519F"/>
    <w:rsid w:val="00E51C72"/>
    <w:rsid w:val="00E612B1"/>
    <w:rsid w:val="00E827C2"/>
    <w:rsid w:val="00E8645C"/>
    <w:rsid w:val="00EA058F"/>
    <w:rsid w:val="00EA5EDE"/>
    <w:rsid w:val="00EB6D19"/>
    <w:rsid w:val="00ED2681"/>
    <w:rsid w:val="00EF17E8"/>
    <w:rsid w:val="00F00FA8"/>
    <w:rsid w:val="00F00FB3"/>
    <w:rsid w:val="00F01946"/>
    <w:rsid w:val="00F01E28"/>
    <w:rsid w:val="00F12690"/>
    <w:rsid w:val="00F24530"/>
    <w:rsid w:val="00F55FFB"/>
    <w:rsid w:val="00F76804"/>
    <w:rsid w:val="00F8120C"/>
    <w:rsid w:val="00F84B27"/>
    <w:rsid w:val="00F91BDB"/>
    <w:rsid w:val="00FA67A2"/>
    <w:rsid w:val="00FD3A29"/>
    <w:rsid w:val="00FD64C2"/>
    <w:rsid w:val="00FE3CE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5006F"/>
  <w15:docId w15:val="{54A80C3B-A92C-42B0-873C-0ABF01FD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BDTcontributionH1">
    <w:name w:val="BDT_contributionH1"/>
    <w:basedOn w:val="Normal"/>
    <w:next w:val="Normal"/>
    <w:rsid w:val="007E1BE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Normal">
    <w:name w:val="CEO_Normal"/>
    <w:link w:val="CEONormalChar"/>
    <w:rsid w:val="007E1BE3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7E1BE3"/>
    <w:rPr>
      <w:rFonts w:ascii="Calibri" w:eastAsia="SimSun" w:hAnsi="Calibri" w:cs="Simplified Arabic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E1B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paragraph" w:customStyle="1" w:styleId="CEOParagraph1">
    <w:name w:val="CEO_Paragraph1."/>
    <w:basedOn w:val="Normal"/>
    <w:rsid w:val="007E1BE3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E1BE3"/>
    <w:rPr>
      <w:rFonts w:ascii="Verdana" w:eastAsia="SimHei" w:hAnsi="Verdana" w:cs="Simplified Arabic"/>
      <w:bCs/>
      <w:sz w:val="19"/>
      <w:szCs w:val="28"/>
      <w:lang w:val="en-US"/>
    </w:rPr>
  </w:style>
  <w:style w:type="character" w:customStyle="1" w:styleId="preferred">
    <w:name w:val="preferred"/>
    <w:basedOn w:val="DefaultParagraphFont"/>
    <w:rsid w:val="001B5443"/>
  </w:style>
  <w:style w:type="character" w:styleId="Emphasis">
    <w:name w:val="Emphasis"/>
    <w:basedOn w:val="DefaultParagraphFont"/>
    <w:uiPriority w:val="20"/>
    <w:qFormat/>
    <w:rsid w:val="001B544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1EAD"/>
    <w:rPr>
      <w:color w:val="800080" w:themeColor="followedHyperlink"/>
      <w:u w:val="single"/>
    </w:rPr>
  </w:style>
  <w:style w:type="paragraph" w:customStyle="1" w:styleId="Hip">
    <w:name w:val="Hip"/>
    <w:basedOn w:val="Normal"/>
    <w:rsid w:val="00F7680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7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B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B1F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B1F"/>
    <w:rPr>
      <w:rFonts w:eastAsia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47B1F"/>
    <w:pPr>
      <w:spacing w:after="0" w:line="240" w:lineRule="auto"/>
    </w:pPr>
    <w:rPr>
      <w:rFonts w:eastAsia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1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s/ITU-D/Partners/Pages/Sponsorshipportal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3-INF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WTDC17-C-0115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upia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upia\Desktop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Regiones beneficiarias</a:t>
            </a:r>
            <a:r>
              <a:rPr lang="en-US" sz="1200" b="1" baseline="0"/>
              <a:t> de los nuevos acuerdos suscritos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Sheet1!$C$6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Sheet1!$C$7:$C$13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Sheet1!$D$7:$D$13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Sheet1!$E$7:$E$13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Sheet1!$F$7:$F$13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176752"/>
        <c:axId val="3111759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Sheet1!$A$7:$A$13</c15:sqref>
                        </c15:formulaRef>
                      </c:ext>
                    </c:extLst>
                    <c:strCache>
                      <c:ptCount val="7"/>
                      <c:pt idx="0">
                        <c:v>AFR</c:v>
                      </c:pt>
                      <c:pt idx="1">
                        <c:v>AMS</c:v>
                      </c:pt>
                      <c:pt idx="2">
                        <c:v>ARB</c:v>
                      </c:pt>
                      <c:pt idx="3">
                        <c:v>ASP</c:v>
                      </c:pt>
                      <c:pt idx="4">
                        <c:v>CIS</c:v>
                      </c:pt>
                      <c:pt idx="5">
                        <c:v>EUR</c:v>
                      </c:pt>
                      <c:pt idx="6">
                        <c:v>GLO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Sheet1!$B$7:$B$13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31117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175968"/>
        <c:crosses val="autoZero"/>
        <c:auto val="1"/>
        <c:lblAlgn val="ctr"/>
        <c:lblOffset val="100"/>
        <c:noMultiLvlLbl val="0"/>
      </c:catAx>
      <c:valAx>
        <c:axId val="3111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17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Esferas de acción de los nuevos acuerdos suscritos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Sheet1!$C$21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Sheet1!$C$22:$C$32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Sheet1!$D$22:$D$32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Sheet1!$E$22:$E$32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Sheet1!$F$22:$F$32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170872"/>
        <c:axId val="3111755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Sheet1!$A$22:$A$32</c15:sqref>
                        </c15:formulaRef>
                      </c:ext>
                    </c:extLst>
                    <c:strCache>
                      <c:ptCount val="11"/>
                      <c:pt idx="0">
                        <c:v>Capacity Building</c:v>
                      </c:pt>
                      <c:pt idx="1">
                        <c:v>Cybersecurity</c:v>
                      </c:pt>
                      <c:pt idx="2">
                        <c:v>Digital Inclusion</c:v>
                      </c:pt>
                      <c:pt idx="3">
                        <c:v>Emergency</c:v>
                      </c:pt>
                      <c:pt idx="4">
                        <c:v>Enabling Environment</c:v>
                      </c:pt>
                      <c:pt idx="5">
                        <c:v>Generic</c:v>
                      </c:pt>
                      <c:pt idx="6">
                        <c:v>ICT-Applications</c:v>
                      </c:pt>
                      <c:pt idx="7">
                        <c:v>Infrastructure</c:v>
                      </c:pt>
                      <c:pt idx="8">
                        <c:v>Innovation</c:v>
                      </c:pt>
                      <c:pt idx="9">
                        <c:v>Climate Ch. / e-waste</c:v>
                      </c:pt>
                      <c:pt idx="10">
                        <c:v>Statistics and Indicators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Sheet1!$B$22:$B$32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</c15:ser>
            </c15:filteredBarSeries>
          </c:ext>
        </c:extLst>
      </c:barChart>
      <c:catAx>
        <c:axId val="311170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175576"/>
        <c:crosses val="autoZero"/>
        <c:auto val="1"/>
        <c:lblAlgn val="ctr"/>
        <c:lblOffset val="100"/>
        <c:noMultiLvlLbl val="0"/>
      </c:catAx>
      <c:valAx>
        <c:axId val="311175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170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52CF-40CF-43FC-BE3F-BF8B7104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90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Spanish2</dc:creator>
  <cp:keywords/>
  <dc:description/>
  <cp:lastModifiedBy>Ayala Martinez, Beatriz</cp:lastModifiedBy>
  <cp:revision>21</cp:revision>
  <cp:lastPrinted>2019-03-19T14:35:00Z</cp:lastPrinted>
  <dcterms:created xsi:type="dcterms:W3CDTF">2019-03-19T13:12:00Z</dcterms:created>
  <dcterms:modified xsi:type="dcterms:W3CDTF">2019-03-22T09:52:00Z</dcterms:modified>
</cp:coreProperties>
</file>