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7F2D2E" w:rsidTr="007F2D2E">
        <w:trPr>
          <w:cantSplit/>
          <w:trHeight w:val="1134"/>
        </w:trPr>
        <w:tc>
          <w:tcPr>
            <w:tcW w:w="6663" w:type="dxa"/>
          </w:tcPr>
          <w:p w:rsidR="007F2D2E" w:rsidRDefault="007F2D2E" w:rsidP="007F2D2E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7F2D2E" w:rsidRPr="00421F93" w:rsidRDefault="007F2D2E" w:rsidP="007F2D2E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5" w:type="dxa"/>
          </w:tcPr>
          <w:p w:rsidR="007F2D2E" w:rsidRPr="00D96B4B" w:rsidRDefault="007F2D2E" w:rsidP="007F2D2E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0A2834B1" wp14:editId="437A25C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7F2D2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83C32" w:rsidRPr="00997358" w:rsidRDefault="00683C32" w:rsidP="007F2D2E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7F2D2E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F2D2E" w:rsidRPr="00002716" w:rsidTr="007F2D2E">
        <w:trPr>
          <w:cantSplit/>
        </w:trPr>
        <w:tc>
          <w:tcPr>
            <w:tcW w:w="6663" w:type="dxa"/>
          </w:tcPr>
          <w:p w:rsidR="007F2D2E" w:rsidRPr="007F1CC7" w:rsidRDefault="007F2D2E" w:rsidP="007F2D2E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7F2D2E" w:rsidRPr="00E07105" w:rsidRDefault="007F2D2E" w:rsidP="007F2D2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1" w:name="DocRef1"/>
            <w:bookmarkEnd w:id="1"/>
            <w:r>
              <w:rPr>
                <w:b/>
                <w:bCs/>
                <w:lang w:val="en-US"/>
              </w:rPr>
              <w:t>TDAG-19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2" w:name="DocNo1"/>
            <w:bookmarkEnd w:id="2"/>
            <w:r>
              <w:rPr>
                <w:b/>
                <w:bCs/>
                <w:lang w:val="en-US"/>
              </w:rPr>
              <w:t>22-E</w:t>
            </w:r>
          </w:p>
        </w:tc>
      </w:tr>
      <w:tr w:rsidR="007F2D2E" w:rsidTr="007F2D2E">
        <w:trPr>
          <w:cantSplit/>
        </w:trPr>
        <w:tc>
          <w:tcPr>
            <w:tcW w:w="6663" w:type="dxa"/>
          </w:tcPr>
          <w:p w:rsidR="007F2D2E" w:rsidRPr="007F1CC7" w:rsidRDefault="007F2D2E" w:rsidP="007F2D2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7F2D2E" w:rsidRPr="00D96B4B" w:rsidRDefault="00C924CF" w:rsidP="007F2D2E">
            <w:pPr>
              <w:spacing w:before="0" w:line="240" w:lineRule="atLeast"/>
              <w:rPr>
                <w:rFonts w:cstheme="minorHAnsi"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12</w:t>
            </w:r>
            <w:r w:rsidR="007F2D2E">
              <w:rPr>
                <w:b/>
                <w:bCs/>
                <w:szCs w:val="28"/>
              </w:rPr>
              <w:t xml:space="preserve"> February </w:t>
            </w:r>
            <w:r w:rsidR="007F2D2E" w:rsidRPr="008F5D48">
              <w:rPr>
                <w:b/>
                <w:bCs/>
                <w:szCs w:val="28"/>
              </w:rPr>
              <w:t>201</w:t>
            </w:r>
            <w:r w:rsidR="007F2D2E">
              <w:rPr>
                <w:b/>
                <w:bCs/>
                <w:szCs w:val="28"/>
              </w:rPr>
              <w:t>9</w:t>
            </w:r>
          </w:p>
        </w:tc>
      </w:tr>
      <w:tr w:rsidR="007F2D2E" w:rsidTr="007F2D2E">
        <w:trPr>
          <w:cantSplit/>
        </w:trPr>
        <w:tc>
          <w:tcPr>
            <w:tcW w:w="6663" w:type="dxa"/>
          </w:tcPr>
          <w:p w:rsidR="007F2D2E" w:rsidRPr="007F1CC7" w:rsidRDefault="007F2D2E" w:rsidP="007F2D2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7F2D2E" w:rsidRPr="00D96B4B" w:rsidRDefault="007F2D2E" w:rsidP="007F2D2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Original: </w:t>
            </w:r>
            <w:r w:rsidRPr="00B62876">
              <w:rPr>
                <w:b/>
                <w:bCs/>
                <w:szCs w:val="24"/>
                <w:lang w:val="fr-FR"/>
              </w:rPr>
              <w:t>English</w:t>
            </w:r>
          </w:p>
        </w:tc>
      </w:tr>
      <w:tr w:rsidR="00A13162" w:rsidTr="007F2D2E">
        <w:trPr>
          <w:cantSplit/>
          <w:trHeight w:val="852"/>
        </w:trPr>
        <w:tc>
          <w:tcPr>
            <w:tcW w:w="9888" w:type="dxa"/>
            <w:gridSpan w:val="2"/>
          </w:tcPr>
          <w:p w:rsidR="00A13162" w:rsidRPr="0030353C" w:rsidRDefault="003C5709" w:rsidP="007F2D2E">
            <w:pPr>
              <w:pStyle w:val="Source"/>
            </w:pPr>
            <w:bookmarkStart w:id="4" w:name="Source"/>
            <w:bookmarkEnd w:id="4"/>
            <w:r w:rsidRPr="00533263">
              <w:rPr>
                <w:bCs/>
                <w:szCs w:val="28"/>
                <w:lang w:val="en-US"/>
              </w:rPr>
              <w:t>Director, Telecommunication Development Bureau</w:t>
            </w:r>
          </w:p>
        </w:tc>
      </w:tr>
      <w:tr w:rsidR="00AC6F14" w:rsidRPr="002E6963" w:rsidTr="007F2D2E">
        <w:trPr>
          <w:cantSplit/>
        </w:trPr>
        <w:tc>
          <w:tcPr>
            <w:tcW w:w="9888" w:type="dxa"/>
            <w:gridSpan w:val="2"/>
          </w:tcPr>
          <w:p w:rsidR="00AC6F14" w:rsidRPr="0030353C" w:rsidRDefault="003C5709" w:rsidP="007F2D2E">
            <w:pPr>
              <w:pStyle w:val="Title1"/>
            </w:pPr>
            <w:bookmarkStart w:id="5" w:name="Title"/>
            <w:bookmarkEnd w:id="5"/>
            <w:r w:rsidRPr="00EE659F">
              <w:rPr>
                <w:rFonts w:cs="Times New Roman"/>
                <w:bCs/>
                <w:caps/>
                <w:szCs w:val="28"/>
              </w:rPr>
              <w:t>ITU-D Innovation</w:t>
            </w:r>
          </w:p>
        </w:tc>
      </w:tr>
      <w:tr w:rsidR="00A721F4" w:rsidRPr="002E6963" w:rsidTr="007F2D2E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A721F4" w:rsidRPr="00A721F4" w:rsidRDefault="00A721F4" w:rsidP="007F2D2E"/>
        </w:tc>
      </w:tr>
      <w:tr w:rsidR="00A721F4" w:rsidRPr="002E6963" w:rsidTr="007F2D2E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D9621A" w:rsidRDefault="00A721F4" w:rsidP="007F2D2E">
            <w:pPr>
              <w:spacing w:before="24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:rsidR="003C5709" w:rsidRPr="00533263" w:rsidRDefault="003C5709" w:rsidP="007F2D2E">
            <w:pPr>
              <w:rPr>
                <w:szCs w:val="24"/>
              </w:rPr>
            </w:pPr>
            <w:r w:rsidRPr="00533263">
              <w:rPr>
                <w:szCs w:val="24"/>
              </w:rPr>
              <w:t>This report provides an overview on the ITU-D Innovation as one of the outputs and goals adopted at the World Telecommunication Development Confer</w:t>
            </w:r>
            <w:r>
              <w:rPr>
                <w:szCs w:val="24"/>
              </w:rPr>
              <w:t xml:space="preserve">ence in 2017 (WTDC-17) and </w:t>
            </w:r>
            <w:r w:rsidR="00F470BD">
              <w:rPr>
                <w:szCs w:val="24"/>
              </w:rPr>
              <w:t>the Plenipotentiary Conference (</w:t>
            </w:r>
            <w:r>
              <w:rPr>
                <w:szCs w:val="24"/>
              </w:rPr>
              <w:t>PP-18</w:t>
            </w:r>
            <w:r w:rsidR="00F470BD">
              <w:rPr>
                <w:szCs w:val="24"/>
              </w:rPr>
              <w:t>)</w:t>
            </w:r>
            <w:r>
              <w:rPr>
                <w:szCs w:val="24"/>
              </w:rPr>
              <w:t>,</w:t>
            </w:r>
            <w:r w:rsidRPr="00533263">
              <w:rPr>
                <w:szCs w:val="24"/>
              </w:rPr>
              <w:t xml:space="preserve"> respectively. </w:t>
            </w:r>
          </w:p>
          <w:p w:rsidR="003C5709" w:rsidRPr="00533263" w:rsidRDefault="00E50CE3" w:rsidP="009074DB">
            <w:pPr>
              <w:rPr>
                <w:szCs w:val="24"/>
              </w:rPr>
            </w:pPr>
            <w:r>
              <w:rPr>
                <w:szCs w:val="24"/>
              </w:rPr>
              <w:t>It</w:t>
            </w:r>
            <w:r w:rsidR="00FC6A3E">
              <w:rPr>
                <w:szCs w:val="24"/>
              </w:rPr>
              <w:t xml:space="preserve"> highlights</w:t>
            </w:r>
            <w:r w:rsidR="003C5709" w:rsidRPr="00533263">
              <w:rPr>
                <w:szCs w:val="24"/>
              </w:rPr>
              <w:t xml:space="preserve"> objectives and strategies</w:t>
            </w:r>
            <w:r w:rsidR="00FC6A3E">
              <w:rPr>
                <w:szCs w:val="24"/>
              </w:rPr>
              <w:t xml:space="preserve"> for the Innovation Program</w:t>
            </w:r>
            <w:r w:rsidR="003C5709" w:rsidRPr="00533263">
              <w:rPr>
                <w:szCs w:val="24"/>
              </w:rPr>
              <w:t xml:space="preserve">, </w:t>
            </w:r>
            <w:r w:rsidR="00FC6A3E">
              <w:rPr>
                <w:szCs w:val="24"/>
              </w:rPr>
              <w:t xml:space="preserve">and gives insights into </w:t>
            </w:r>
            <w:r w:rsidR="003C5709" w:rsidRPr="00533263">
              <w:rPr>
                <w:szCs w:val="24"/>
              </w:rPr>
              <w:t>the key action</w:t>
            </w:r>
            <w:r w:rsidR="00FC6A3E">
              <w:rPr>
                <w:szCs w:val="24"/>
              </w:rPr>
              <w:t>s already undertaken or planned, and</w:t>
            </w:r>
            <w:r w:rsidR="00F470BD">
              <w:rPr>
                <w:szCs w:val="24"/>
              </w:rPr>
              <w:t xml:space="preserve"> a</w:t>
            </w:r>
            <w:r w:rsidR="003C5709" w:rsidRPr="00533263">
              <w:rPr>
                <w:szCs w:val="24"/>
              </w:rPr>
              <w:t xml:space="preserve"> way forward </w:t>
            </w:r>
            <w:r w:rsidR="0045019B">
              <w:rPr>
                <w:szCs w:val="24"/>
              </w:rPr>
              <w:t>taking into account Result Based Management</w:t>
            </w:r>
            <w:r w:rsidR="003C5709" w:rsidRPr="00533263">
              <w:rPr>
                <w:szCs w:val="24"/>
              </w:rPr>
              <w:t>.</w:t>
            </w:r>
          </w:p>
          <w:p w:rsidR="00A721F4" w:rsidRPr="00D9621A" w:rsidRDefault="00A721F4" w:rsidP="007F2D2E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:rsidR="003C5709" w:rsidRPr="00533263" w:rsidRDefault="003C5709" w:rsidP="00F470BD">
            <w:pPr>
              <w:rPr>
                <w:szCs w:val="24"/>
                <w:lang w:eastAsia="pl-PL"/>
              </w:rPr>
            </w:pPr>
            <w:r w:rsidRPr="00533263">
              <w:rPr>
                <w:szCs w:val="24"/>
                <w:lang w:eastAsia="pl-PL"/>
              </w:rPr>
              <w:t xml:space="preserve">TDAG is invited to note this document and provide guidance, as deemed </w:t>
            </w:r>
            <w:r w:rsidR="00F470BD">
              <w:rPr>
                <w:szCs w:val="24"/>
                <w:lang w:eastAsia="pl-PL"/>
              </w:rPr>
              <w:t>appropriate</w:t>
            </w:r>
            <w:r w:rsidRPr="00533263">
              <w:rPr>
                <w:szCs w:val="24"/>
                <w:lang w:eastAsia="pl-PL"/>
              </w:rPr>
              <w:t>.</w:t>
            </w:r>
          </w:p>
          <w:p w:rsidR="00A721F4" w:rsidRPr="00636FEA" w:rsidRDefault="00A721F4" w:rsidP="007F2D2E">
            <w:pPr>
              <w:rPr>
                <w:b/>
                <w:bCs/>
                <w:szCs w:val="24"/>
                <w:lang w:val="es-ES"/>
              </w:rPr>
            </w:pPr>
            <w:proofErr w:type="spellStart"/>
            <w:r w:rsidRPr="00636FEA">
              <w:rPr>
                <w:b/>
                <w:bCs/>
                <w:szCs w:val="24"/>
                <w:lang w:val="es-ES"/>
              </w:rPr>
              <w:t>References</w:t>
            </w:r>
            <w:proofErr w:type="spellEnd"/>
            <w:r w:rsidRPr="00636FEA">
              <w:rPr>
                <w:b/>
                <w:bCs/>
                <w:szCs w:val="24"/>
                <w:lang w:val="es-ES"/>
              </w:rPr>
              <w:t>:</w:t>
            </w:r>
          </w:p>
          <w:p w:rsidR="00320236" w:rsidRDefault="003C5709" w:rsidP="009074DB">
            <w:pPr>
              <w:spacing w:after="120"/>
              <w:rPr>
                <w:szCs w:val="24"/>
                <w:lang w:val="es-ES"/>
              </w:rPr>
            </w:pPr>
            <w:r w:rsidRPr="00320236">
              <w:rPr>
                <w:szCs w:val="24"/>
                <w:lang w:val="es-ES"/>
              </w:rPr>
              <w:t xml:space="preserve">Buenos Aires </w:t>
            </w:r>
            <w:proofErr w:type="spellStart"/>
            <w:r w:rsidRPr="00320236">
              <w:rPr>
                <w:szCs w:val="24"/>
                <w:lang w:val="es-ES"/>
              </w:rPr>
              <w:t>Declaration</w:t>
            </w:r>
            <w:proofErr w:type="spellEnd"/>
            <w:r w:rsidRPr="00320236">
              <w:rPr>
                <w:szCs w:val="24"/>
                <w:lang w:val="es-ES"/>
              </w:rPr>
              <w:t xml:space="preserve"> of the WTDC-17; WTDC</w:t>
            </w:r>
            <w:r w:rsidR="00E1123E" w:rsidRPr="00320236">
              <w:rPr>
                <w:szCs w:val="24"/>
                <w:lang w:val="es-ES"/>
              </w:rPr>
              <w:t xml:space="preserve"> </w:t>
            </w:r>
            <w:proofErr w:type="spellStart"/>
            <w:r w:rsidRPr="00320236">
              <w:rPr>
                <w:szCs w:val="24"/>
                <w:lang w:val="es-ES"/>
              </w:rPr>
              <w:t>Resolutions</w:t>
            </w:r>
            <w:proofErr w:type="spellEnd"/>
            <w:r w:rsidRPr="00320236">
              <w:rPr>
                <w:szCs w:val="24"/>
                <w:lang w:val="es-ES"/>
              </w:rPr>
              <w:t xml:space="preserve"> 17 (Rev. Buenos Aires, 2017), 30 (Rev. Buenos Aires, 2017), 66 (Rev. Buenos Aires, 2017), 71 (Rev. Buenos Aires, 2017), 76 (Rev. Buenos Aires, 2017), 85</w:t>
            </w:r>
            <w:r w:rsidR="00DE2685" w:rsidRPr="00320236">
              <w:rPr>
                <w:szCs w:val="24"/>
                <w:lang w:val="es-ES"/>
              </w:rPr>
              <w:t xml:space="preserve"> (Buenos Aires, 2017)</w:t>
            </w:r>
            <w:r w:rsidRPr="00320236">
              <w:rPr>
                <w:szCs w:val="24"/>
                <w:lang w:val="es-ES"/>
              </w:rPr>
              <w:t xml:space="preserve">; </w:t>
            </w:r>
          </w:p>
          <w:p w:rsidR="00A721F4" w:rsidRPr="00D9621A" w:rsidRDefault="003C5709" w:rsidP="00636FEA">
            <w:pPr>
              <w:spacing w:after="120"/>
            </w:pPr>
            <w:r w:rsidRPr="00533263">
              <w:rPr>
                <w:szCs w:val="24"/>
                <w:lang w:val="en-US"/>
              </w:rPr>
              <w:t>PP</w:t>
            </w:r>
            <w:r w:rsidR="00E1123E">
              <w:rPr>
                <w:szCs w:val="24"/>
                <w:lang w:val="en-US"/>
              </w:rPr>
              <w:t xml:space="preserve"> </w:t>
            </w:r>
            <w:r w:rsidRPr="00533263">
              <w:rPr>
                <w:szCs w:val="24"/>
                <w:lang w:val="en-US"/>
              </w:rPr>
              <w:t>Resolution 200 (</w:t>
            </w:r>
            <w:r w:rsidR="00DE2685">
              <w:rPr>
                <w:szCs w:val="24"/>
                <w:lang w:val="en-US"/>
              </w:rPr>
              <w:t>Rev. Dubai</w:t>
            </w:r>
            <w:r w:rsidRPr="00533263">
              <w:rPr>
                <w:szCs w:val="24"/>
                <w:lang w:val="en-US"/>
              </w:rPr>
              <w:t xml:space="preserve">, </w:t>
            </w:r>
            <w:r w:rsidR="00F470BD" w:rsidRPr="00533263">
              <w:rPr>
                <w:szCs w:val="24"/>
                <w:lang w:val="en-US"/>
              </w:rPr>
              <w:t>201</w:t>
            </w:r>
            <w:r w:rsidR="00F470BD">
              <w:rPr>
                <w:szCs w:val="24"/>
                <w:lang w:val="en-US"/>
              </w:rPr>
              <w:t>8</w:t>
            </w:r>
            <w:r w:rsidRPr="00533263">
              <w:rPr>
                <w:szCs w:val="24"/>
                <w:lang w:val="en-US"/>
              </w:rPr>
              <w:t>),</w:t>
            </w:r>
            <w:r w:rsidR="00792160">
              <w:rPr>
                <w:szCs w:val="24"/>
                <w:lang w:val="en-US"/>
              </w:rPr>
              <w:t xml:space="preserve"> </w:t>
            </w:r>
            <w:r w:rsidR="00DE2685">
              <w:rPr>
                <w:szCs w:val="24"/>
                <w:lang w:val="en-US"/>
              </w:rPr>
              <w:t>205</w:t>
            </w:r>
            <w:r w:rsidRPr="00533263">
              <w:rPr>
                <w:szCs w:val="24"/>
                <w:lang w:val="en-US"/>
              </w:rPr>
              <w:t xml:space="preserve"> (</w:t>
            </w:r>
            <w:r>
              <w:rPr>
                <w:szCs w:val="24"/>
                <w:lang w:val="en-US"/>
              </w:rPr>
              <w:t>Dubai, 2018</w:t>
            </w:r>
            <w:r w:rsidRPr="00533263">
              <w:rPr>
                <w:szCs w:val="24"/>
                <w:lang w:val="en-US"/>
              </w:rPr>
              <w:t>),</w:t>
            </w:r>
            <w:r w:rsidR="00792160">
              <w:rPr>
                <w:szCs w:val="24"/>
                <w:lang w:val="en-US"/>
              </w:rPr>
              <w:t xml:space="preserve"> </w:t>
            </w:r>
            <w:r w:rsidR="00DE2685">
              <w:rPr>
                <w:szCs w:val="24"/>
                <w:lang w:val="en-US"/>
              </w:rPr>
              <w:t xml:space="preserve">and </w:t>
            </w:r>
            <w:r w:rsidRPr="00533263">
              <w:rPr>
                <w:szCs w:val="24"/>
                <w:lang w:val="en-US"/>
              </w:rPr>
              <w:t>ITU-wide Goal 4</w:t>
            </w:r>
            <w:r>
              <w:rPr>
                <w:szCs w:val="24"/>
                <w:lang w:val="en-US"/>
              </w:rPr>
              <w:t xml:space="preserve"> (</w:t>
            </w:r>
            <w:r w:rsidR="00DE2685">
              <w:rPr>
                <w:szCs w:val="24"/>
                <w:lang w:val="en-US"/>
              </w:rPr>
              <w:t xml:space="preserve">Rev. </w:t>
            </w:r>
            <w:r>
              <w:rPr>
                <w:szCs w:val="24"/>
                <w:lang w:val="en-US"/>
              </w:rPr>
              <w:t>Dubai, 2018)</w:t>
            </w:r>
            <w:r w:rsidRPr="00533263">
              <w:rPr>
                <w:szCs w:val="24"/>
                <w:lang w:val="en-US"/>
              </w:rPr>
              <w:t>.</w:t>
            </w:r>
          </w:p>
        </w:tc>
      </w:tr>
    </w:tbl>
    <w:p w:rsidR="00EC6FED" w:rsidRDefault="00EC6FED" w:rsidP="00935FF0"/>
    <w:p w:rsidR="006A7324" w:rsidRPr="00104D3C" w:rsidRDefault="00781DA5" w:rsidP="00104D3C">
      <w:pPr>
        <w:pStyle w:val="PlainText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>
        <w:br w:type="page"/>
      </w:r>
      <w:r w:rsidR="006A7324" w:rsidRPr="00104D3C">
        <w:rPr>
          <w:rFonts w:asciiTheme="minorHAnsi" w:hAnsiTheme="minorHAnsi"/>
          <w:b/>
          <w:bCs/>
          <w:sz w:val="24"/>
          <w:szCs w:val="24"/>
        </w:rPr>
        <w:lastRenderedPageBreak/>
        <w:t>Background</w:t>
      </w:r>
    </w:p>
    <w:p w:rsidR="00A602CA" w:rsidRPr="00104D3C" w:rsidRDefault="0045019B">
      <w:pPr>
        <w:spacing w:after="120"/>
        <w:rPr>
          <w:szCs w:val="24"/>
          <w:lang w:val="en-US" w:eastAsia="zh-CN"/>
        </w:rPr>
      </w:pPr>
      <w:r w:rsidRPr="00104D3C">
        <w:rPr>
          <w:szCs w:val="24"/>
          <w:lang w:eastAsia="zh-CN"/>
        </w:rPr>
        <w:t xml:space="preserve">The </w:t>
      </w:r>
      <w:r w:rsidR="00A602CA" w:rsidRPr="00104D3C">
        <w:rPr>
          <w:szCs w:val="24"/>
          <w:lang w:eastAsia="zh-CN"/>
        </w:rPr>
        <w:t>Innovation program was initially requested by ITU-D membership at WTDC-14 in Dubai, with the aim to “</w:t>
      </w:r>
      <w:r w:rsidR="00A602CA" w:rsidRPr="00104D3C">
        <w:rPr>
          <w:b/>
          <w:bCs/>
          <w:szCs w:val="24"/>
          <w:lang w:eastAsia="zh-CN"/>
        </w:rPr>
        <w:t>strengthen membership capacity to integrate ICT innovations in national development agenda</w:t>
      </w:r>
      <w:r w:rsidR="00A602CA" w:rsidRPr="00104D3C">
        <w:rPr>
          <w:szCs w:val="24"/>
          <w:lang w:eastAsia="zh-CN"/>
        </w:rPr>
        <w:t xml:space="preserve">”. The program was further enhanced at WTDC-17 in Buenos Aires </w:t>
      </w:r>
      <w:r w:rsidR="00855380" w:rsidRPr="00104D3C">
        <w:rPr>
          <w:szCs w:val="24"/>
          <w:lang w:eastAsia="zh-CN"/>
        </w:rPr>
        <w:t xml:space="preserve">with an additional aim </w:t>
      </w:r>
      <w:r w:rsidR="00A602CA" w:rsidRPr="00104D3C">
        <w:rPr>
          <w:szCs w:val="24"/>
          <w:lang w:eastAsia="zh-CN"/>
        </w:rPr>
        <w:t xml:space="preserve">to </w:t>
      </w:r>
      <w:r w:rsidR="00855380" w:rsidRPr="00104D3C">
        <w:rPr>
          <w:szCs w:val="24"/>
          <w:lang w:eastAsia="zh-CN"/>
        </w:rPr>
        <w:t>“</w:t>
      </w:r>
      <w:r w:rsidR="00A602CA" w:rsidRPr="00104D3C">
        <w:rPr>
          <w:b/>
          <w:bCs/>
          <w:szCs w:val="24"/>
          <w:lang w:eastAsia="zh-CN"/>
        </w:rPr>
        <w:t>develop strategies that promote innovation initiatives, including through public, private and public private partnerships</w:t>
      </w:r>
      <w:r w:rsidR="00A602CA" w:rsidRPr="00104D3C">
        <w:rPr>
          <w:szCs w:val="24"/>
          <w:lang w:eastAsia="zh-CN"/>
        </w:rPr>
        <w:t xml:space="preserve">”. </w:t>
      </w:r>
      <w:r w:rsidR="00A602CA" w:rsidRPr="00104D3C">
        <w:rPr>
          <w:szCs w:val="24"/>
          <w:lang w:val="en-US" w:eastAsia="zh-CN"/>
        </w:rPr>
        <w:t xml:space="preserve">Innovation was also highlighted as an internal goal for BDT, with the aim </w:t>
      </w:r>
      <w:r w:rsidR="00EF7CD6">
        <w:rPr>
          <w:szCs w:val="24"/>
          <w:lang w:val="en-US" w:eastAsia="zh-CN"/>
        </w:rPr>
        <w:t>of helping</w:t>
      </w:r>
      <w:r w:rsidR="00FC6A3E" w:rsidRPr="00104D3C">
        <w:rPr>
          <w:szCs w:val="24"/>
          <w:lang w:val="en-US" w:eastAsia="zh-CN"/>
        </w:rPr>
        <w:t xml:space="preserve"> </w:t>
      </w:r>
      <w:r w:rsidR="00A602CA" w:rsidRPr="00104D3C">
        <w:rPr>
          <w:szCs w:val="24"/>
          <w:lang w:val="en-US" w:eastAsia="zh-CN"/>
        </w:rPr>
        <w:t xml:space="preserve">BDT re-invent its products and services to adapt to the changing ICT/telecommunication environment. Thus, innovation in BDT has </w:t>
      </w:r>
      <w:r w:rsidRPr="00104D3C">
        <w:rPr>
          <w:szCs w:val="24"/>
          <w:lang w:val="en-US" w:eastAsia="zh-CN"/>
        </w:rPr>
        <w:t>synergistic</w:t>
      </w:r>
      <w:r w:rsidR="00A602CA" w:rsidRPr="00104D3C">
        <w:rPr>
          <w:szCs w:val="24"/>
          <w:lang w:val="en-US" w:eastAsia="zh-CN"/>
        </w:rPr>
        <w:t xml:space="preserve"> internal and external dimensions.</w:t>
      </w:r>
    </w:p>
    <w:p w:rsidR="00A602CA" w:rsidRPr="00104D3C" w:rsidRDefault="00A602CA" w:rsidP="00104D3C">
      <w:pPr>
        <w:spacing w:after="120"/>
        <w:rPr>
          <w:szCs w:val="24"/>
          <w:lang w:eastAsia="zh-CN"/>
        </w:rPr>
      </w:pPr>
      <w:r w:rsidRPr="00104D3C">
        <w:rPr>
          <w:szCs w:val="24"/>
          <w:lang w:eastAsia="zh-CN"/>
        </w:rPr>
        <w:t xml:space="preserve">Innovation is also one of the goals of the United Nations Sustainable Development Goals, namely Goal 9: “to build resilient infrastructure, promote inclusive and sustainable industrialization and foster innovation”. </w:t>
      </w:r>
    </w:p>
    <w:p w:rsidR="00D55089" w:rsidRPr="00D55089" w:rsidRDefault="00D55089" w:rsidP="00D55089">
      <w:pPr>
        <w:spacing w:after="120"/>
        <w:rPr>
          <w:szCs w:val="24"/>
          <w:lang w:val="en-US" w:eastAsia="zh-CN"/>
        </w:rPr>
      </w:pPr>
      <w:r>
        <w:t>Furthermore at PP-18, in Dubai, ITU membership adopted a new resolution</w:t>
      </w:r>
      <w:r>
        <w:rPr>
          <w:rStyle w:val="FootnoteReference"/>
        </w:rPr>
        <w:footnoteReference w:id="1"/>
      </w:r>
      <w:r>
        <w:t xml:space="preserve"> on “</w:t>
      </w:r>
      <w:r w:rsidRPr="00003588">
        <w:t>ITU's role in fostering telecommunication/information and communication technology-centric innovation to support the digital economy and society</w:t>
      </w:r>
      <w:r>
        <w:t>”, as well as a goal on innovation</w:t>
      </w:r>
      <w:r>
        <w:rPr>
          <w:rStyle w:val="FootnoteReference"/>
        </w:rPr>
        <w:footnoteReference w:id="2"/>
      </w:r>
      <w:r>
        <w:t xml:space="preserve"> with specific target that “</w:t>
      </w:r>
      <w:r w:rsidRPr="00D55089">
        <w:rPr>
          <w:rFonts w:cs="Arial"/>
          <w:lang w:eastAsia="zh-CN"/>
        </w:rPr>
        <w:t>By 2023, all countries should have policies/strategies fostering telecommunication/ICT-centric innovation”.</w:t>
      </w:r>
    </w:p>
    <w:p w:rsidR="006A7324" w:rsidRPr="0024448B" w:rsidRDefault="006A7324" w:rsidP="0024448B">
      <w:pPr>
        <w:pStyle w:val="PlainText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Objectives and Strategies</w:t>
      </w:r>
    </w:p>
    <w:p w:rsidR="0045019B" w:rsidRPr="00104D3C" w:rsidRDefault="006A7324">
      <w:pPr>
        <w:spacing w:after="120"/>
        <w:rPr>
          <w:szCs w:val="24"/>
          <w:lang w:eastAsia="ko-KR"/>
        </w:rPr>
      </w:pPr>
      <w:r w:rsidRPr="00104D3C">
        <w:rPr>
          <w:szCs w:val="24"/>
          <w:lang w:eastAsia="zh-CN"/>
        </w:rPr>
        <w:t xml:space="preserve">In accordance with </w:t>
      </w:r>
      <w:r w:rsidRPr="00104D3C">
        <w:rPr>
          <w:szCs w:val="24"/>
        </w:rPr>
        <w:t>WTDC-17, t</w:t>
      </w:r>
      <w:r w:rsidRPr="00104D3C">
        <w:rPr>
          <w:szCs w:val="24"/>
          <w:lang w:eastAsia="zh-CN"/>
        </w:rPr>
        <w:t xml:space="preserve">he main objectives </w:t>
      </w:r>
      <w:r w:rsidRPr="00104D3C">
        <w:rPr>
          <w:szCs w:val="24"/>
          <w:lang w:eastAsia="ko-KR"/>
        </w:rPr>
        <w:t xml:space="preserve">of ITU-D </w:t>
      </w:r>
      <w:r w:rsidRPr="00104D3C">
        <w:rPr>
          <w:szCs w:val="24"/>
          <w:lang w:eastAsia="zh-CN"/>
        </w:rPr>
        <w:t>innovation</w:t>
      </w:r>
      <w:r w:rsidRPr="00104D3C">
        <w:rPr>
          <w:szCs w:val="24"/>
          <w:lang w:eastAsia="ko-KR"/>
        </w:rPr>
        <w:t xml:space="preserve"> are to provide assistance in the form of products to support ITU </w:t>
      </w:r>
      <w:r w:rsidR="00EF7CD6">
        <w:rPr>
          <w:szCs w:val="24"/>
          <w:lang w:eastAsia="ko-KR"/>
        </w:rPr>
        <w:t>m</w:t>
      </w:r>
      <w:r w:rsidR="00EF7CD6" w:rsidRPr="00104D3C">
        <w:rPr>
          <w:szCs w:val="24"/>
          <w:lang w:eastAsia="ko-KR"/>
        </w:rPr>
        <w:t xml:space="preserve">embership </w:t>
      </w:r>
      <w:r w:rsidRPr="00104D3C">
        <w:rPr>
          <w:szCs w:val="24"/>
          <w:lang w:eastAsia="ko-KR"/>
        </w:rPr>
        <w:t xml:space="preserve">to actively foster the development of vibrant innovation ecosystems and accelerate digital transformation that fosters sustainable growth of the digital economy. </w:t>
      </w:r>
    </w:p>
    <w:p w:rsidR="006A7324" w:rsidRPr="00104D3C" w:rsidRDefault="006A7324" w:rsidP="00104D3C">
      <w:pPr>
        <w:spacing w:after="120"/>
        <w:rPr>
          <w:szCs w:val="24"/>
          <w:lang w:eastAsia="ko-KR"/>
        </w:rPr>
      </w:pPr>
      <w:r w:rsidRPr="00104D3C">
        <w:rPr>
          <w:szCs w:val="24"/>
          <w:lang w:eastAsia="ko-KR"/>
        </w:rPr>
        <w:t>Output 3.4 of the Buenos Aires Action Plan (</w:t>
      </w:r>
      <w:proofErr w:type="spellStart"/>
      <w:r w:rsidRPr="00104D3C">
        <w:rPr>
          <w:szCs w:val="24"/>
          <w:lang w:eastAsia="ko-KR"/>
        </w:rPr>
        <w:t>BaAP</w:t>
      </w:r>
      <w:proofErr w:type="spellEnd"/>
      <w:r w:rsidRPr="00104D3C">
        <w:rPr>
          <w:szCs w:val="24"/>
          <w:lang w:eastAsia="ko-KR"/>
        </w:rPr>
        <w:t>) specifies some expectations on how to deliver on the innovation objective of WTDC-17, namely through: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>undertaking ecosystem mapping exercises</w:t>
      </w:r>
      <w:r w:rsidRPr="00104D3C">
        <w:rPr>
          <w:szCs w:val="24"/>
        </w:rPr>
        <w:t xml:space="preserve"> to coordinate efforts and create new projects;</w:t>
      </w:r>
    </w:p>
    <w:p w:rsidR="00477352" w:rsidRPr="00104D3C" w:rsidRDefault="00477352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 xml:space="preserve">developing updated ICT policies </w:t>
      </w:r>
      <w:r w:rsidRPr="00104D3C">
        <w:rPr>
          <w:szCs w:val="24"/>
        </w:rPr>
        <w:t>(with new pillars innovation and entrepreneurship);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>bridging gaps in the ecosystem</w:t>
      </w:r>
      <w:r w:rsidRPr="00104D3C">
        <w:rPr>
          <w:szCs w:val="24"/>
        </w:rPr>
        <w:t xml:space="preserve"> with concrete activities (e.g. linking ecosystems); 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>developing high-impact projects with new approaches</w:t>
      </w:r>
      <w:r w:rsidRPr="00104D3C">
        <w:rPr>
          <w:szCs w:val="24"/>
        </w:rPr>
        <w:t>;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 xml:space="preserve">developing mechanisms to reach, engage, support and nurture </w:t>
      </w:r>
      <w:r w:rsidRPr="00104D3C">
        <w:rPr>
          <w:szCs w:val="24"/>
        </w:rPr>
        <w:t>ICT</w:t>
      </w:r>
      <w:r w:rsidRPr="00104D3C">
        <w:rPr>
          <w:szCs w:val="24"/>
        </w:rPr>
        <w:noBreakHyphen/>
        <w:t xml:space="preserve">centric innovation ecosystems with </w:t>
      </w:r>
      <w:r w:rsidRPr="00104D3C">
        <w:rPr>
          <w:b/>
          <w:bCs/>
          <w:szCs w:val="24"/>
        </w:rPr>
        <w:t>diverse stakeholder groups</w:t>
      </w:r>
      <w:r w:rsidRPr="00104D3C">
        <w:rPr>
          <w:szCs w:val="24"/>
        </w:rPr>
        <w:t>;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>disseminating information, conducting studies</w:t>
      </w:r>
      <w:r w:rsidR="00E50CE3" w:rsidRPr="00104D3C">
        <w:rPr>
          <w:szCs w:val="24"/>
        </w:rPr>
        <w:t>,</w:t>
      </w:r>
      <w:r w:rsidRPr="00104D3C">
        <w:rPr>
          <w:szCs w:val="24"/>
        </w:rPr>
        <w:t xml:space="preserve"> and providing </w:t>
      </w:r>
      <w:r w:rsidR="00E50CE3" w:rsidRPr="00104D3C">
        <w:rPr>
          <w:szCs w:val="24"/>
        </w:rPr>
        <w:t>assistance upon request</w:t>
      </w:r>
      <w:r w:rsidRPr="00104D3C">
        <w:rPr>
          <w:szCs w:val="24"/>
        </w:rPr>
        <w:t>;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b/>
          <w:bCs/>
          <w:szCs w:val="24"/>
        </w:rPr>
        <w:t>creating mechanisms to foster new partnerships and initiatives</w:t>
      </w:r>
      <w:r w:rsidRPr="00104D3C">
        <w:rPr>
          <w:szCs w:val="24"/>
        </w:rPr>
        <w:t xml:space="preserve"> that support the scale-up;</w:t>
      </w:r>
    </w:p>
    <w:p w:rsidR="00617D79" w:rsidRPr="00104D3C" w:rsidRDefault="00617D79" w:rsidP="00BA7BD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r w:rsidRPr="00104D3C">
        <w:rPr>
          <w:szCs w:val="24"/>
        </w:rPr>
        <w:t>providing a</w:t>
      </w:r>
      <w:r w:rsidRPr="00104D3C">
        <w:rPr>
          <w:b/>
          <w:bCs/>
          <w:szCs w:val="24"/>
        </w:rPr>
        <w:t xml:space="preserve"> regional platform for strengthening regional cooperation</w:t>
      </w:r>
      <w:r w:rsidRPr="00104D3C">
        <w:rPr>
          <w:szCs w:val="24"/>
        </w:rPr>
        <w:t>;</w:t>
      </w:r>
      <w:r w:rsidR="00320236">
        <w:rPr>
          <w:szCs w:val="24"/>
        </w:rPr>
        <w:t xml:space="preserve"> and</w:t>
      </w:r>
    </w:p>
    <w:p w:rsidR="00617D79" w:rsidRPr="00104D3C" w:rsidRDefault="00617D79" w:rsidP="00636FEA">
      <w:pPr>
        <w:pStyle w:val="ListParagraph"/>
        <w:numPr>
          <w:ilvl w:val="0"/>
          <w:numId w:val="12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szCs w:val="24"/>
        </w:rPr>
      </w:pPr>
      <w:proofErr w:type="gramStart"/>
      <w:r w:rsidRPr="00104D3C">
        <w:rPr>
          <w:szCs w:val="24"/>
        </w:rPr>
        <w:t>supporting</w:t>
      </w:r>
      <w:proofErr w:type="gramEnd"/>
      <w:r w:rsidRPr="00104D3C">
        <w:rPr>
          <w:szCs w:val="24"/>
        </w:rPr>
        <w:t xml:space="preserve"> Member States in </w:t>
      </w:r>
      <w:r w:rsidRPr="00104D3C">
        <w:rPr>
          <w:b/>
          <w:bCs/>
          <w:szCs w:val="24"/>
        </w:rPr>
        <w:t>raising awareness about digital innovation ecosystem</w:t>
      </w:r>
      <w:r w:rsidRPr="009074DB">
        <w:rPr>
          <w:b/>
          <w:bCs/>
          <w:szCs w:val="24"/>
        </w:rPr>
        <w:t>s</w:t>
      </w:r>
      <w:r w:rsidRPr="00104D3C">
        <w:rPr>
          <w:szCs w:val="24"/>
        </w:rPr>
        <w:t xml:space="preserve"> and related </w:t>
      </w:r>
      <w:r w:rsidR="00320236">
        <w:rPr>
          <w:szCs w:val="24"/>
        </w:rPr>
        <w:t xml:space="preserve">emerging </w:t>
      </w:r>
      <w:r w:rsidRPr="00104D3C">
        <w:rPr>
          <w:szCs w:val="24"/>
        </w:rPr>
        <w:t xml:space="preserve">technological trends as well as </w:t>
      </w:r>
      <w:r w:rsidRPr="00104D3C">
        <w:rPr>
          <w:b/>
          <w:bCs/>
          <w:szCs w:val="24"/>
        </w:rPr>
        <w:t>best practices that influence digital transformation</w:t>
      </w:r>
      <w:r w:rsidRPr="00104D3C">
        <w:rPr>
          <w:szCs w:val="24"/>
        </w:rPr>
        <w:t>.</w:t>
      </w:r>
    </w:p>
    <w:p w:rsidR="006A7324" w:rsidRPr="0024448B" w:rsidRDefault="006A7324" w:rsidP="00BA7BDA">
      <w:pPr>
        <w:pStyle w:val="PlainText"/>
        <w:keepNext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lastRenderedPageBreak/>
        <w:t>Key Actions and Results</w:t>
      </w:r>
    </w:p>
    <w:p w:rsidR="00D55089" w:rsidRPr="00D55089" w:rsidRDefault="00D55089" w:rsidP="00636FEA">
      <w:pPr>
        <w:spacing w:after="120"/>
        <w:rPr>
          <w:szCs w:val="24"/>
        </w:rPr>
      </w:pPr>
      <w:r w:rsidRPr="00D55089">
        <w:rPr>
          <w:szCs w:val="24"/>
        </w:rPr>
        <w:t xml:space="preserve">BDT continues to scale up its external initiatives on nurturing ICT centric innovations via </w:t>
      </w:r>
      <w:r w:rsidRPr="00D55089">
        <w:rPr>
          <w:b/>
          <w:bCs/>
          <w:szCs w:val="24"/>
        </w:rPr>
        <w:t xml:space="preserve">development of new products </w:t>
      </w:r>
      <w:r w:rsidRPr="00D55089">
        <w:rPr>
          <w:szCs w:val="24"/>
        </w:rPr>
        <w:t xml:space="preserve">and delivery of services through four strategic building blocks: knowledge sharing, empowering stakeholders through innovation capacity building, conducting both comprehensive and rapid innovation ecosystem assessments, and project co-creations in consultation with </w:t>
      </w:r>
      <w:r w:rsidR="00320236">
        <w:rPr>
          <w:szCs w:val="24"/>
        </w:rPr>
        <w:t>m</w:t>
      </w:r>
      <w:r w:rsidR="00320236" w:rsidRPr="00D55089">
        <w:rPr>
          <w:szCs w:val="24"/>
        </w:rPr>
        <w:t xml:space="preserve">embership </w:t>
      </w:r>
      <w:r w:rsidRPr="00D55089">
        <w:rPr>
          <w:szCs w:val="24"/>
        </w:rPr>
        <w:t>and concerned key stakeholders. These actions are delivered via technical assistance to membership, projects</w:t>
      </w:r>
      <w:r>
        <w:rPr>
          <w:rStyle w:val="FootnoteReference"/>
          <w:szCs w:val="24"/>
        </w:rPr>
        <w:footnoteReference w:id="3"/>
      </w:r>
      <w:r w:rsidRPr="00D55089">
        <w:rPr>
          <w:szCs w:val="24"/>
        </w:rPr>
        <w:t>, and support from key strategic partners</w:t>
      </w:r>
      <w:r>
        <w:rPr>
          <w:rStyle w:val="FootnoteReference"/>
          <w:szCs w:val="24"/>
        </w:rPr>
        <w:footnoteReference w:id="4"/>
      </w:r>
      <w:r w:rsidRPr="00D55089">
        <w:rPr>
          <w:szCs w:val="24"/>
        </w:rPr>
        <w:t xml:space="preserve">. </w:t>
      </w:r>
    </w:p>
    <w:p w:rsidR="006A7324" w:rsidRPr="0024448B" w:rsidRDefault="006A7324" w:rsidP="009074DB">
      <w:pPr>
        <w:pStyle w:val="PlainText"/>
        <w:keepNext/>
        <w:numPr>
          <w:ilvl w:val="1"/>
          <w:numId w:val="8"/>
        </w:numPr>
        <w:spacing w:before="120" w:after="120"/>
        <w:ind w:left="720" w:hanging="7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External Innovation Actions</w:t>
      </w:r>
    </w:p>
    <w:p w:rsidR="006A7324" w:rsidRPr="00104D3C" w:rsidRDefault="00896AEC" w:rsidP="00636FEA">
      <w:pPr>
        <w:spacing w:after="120"/>
        <w:rPr>
          <w:szCs w:val="24"/>
        </w:rPr>
      </w:pPr>
      <w:r w:rsidRPr="00104D3C">
        <w:rPr>
          <w:szCs w:val="24"/>
        </w:rPr>
        <w:t xml:space="preserve">In 2018, several key actions have been </w:t>
      </w:r>
      <w:r w:rsidR="00B55E58" w:rsidRPr="00104D3C">
        <w:rPr>
          <w:szCs w:val="24"/>
        </w:rPr>
        <w:t>conducted</w:t>
      </w:r>
      <w:r w:rsidR="00A012D0" w:rsidRPr="00104D3C">
        <w:rPr>
          <w:szCs w:val="24"/>
        </w:rPr>
        <w:t>,</w:t>
      </w:r>
      <w:r w:rsidR="00B55E58" w:rsidRPr="00104D3C">
        <w:rPr>
          <w:szCs w:val="24"/>
        </w:rPr>
        <w:t xml:space="preserve"> through use of </w:t>
      </w:r>
      <w:r w:rsidR="00A012D0" w:rsidRPr="00104D3C">
        <w:rPr>
          <w:szCs w:val="24"/>
        </w:rPr>
        <w:t>products available from the ITU platform,</w:t>
      </w:r>
      <w:r w:rsidR="00B55E58" w:rsidRPr="00104D3C">
        <w:rPr>
          <w:szCs w:val="24"/>
        </w:rPr>
        <w:t xml:space="preserve"> to achieve the objectives of ITU-D Innovation. </w:t>
      </w:r>
      <w:r w:rsidR="00EF7CD6">
        <w:rPr>
          <w:szCs w:val="24"/>
        </w:rPr>
        <w:t>The</w:t>
      </w:r>
      <w:r w:rsidR="00EF7CD6" w:rsidRPr="00104D3C">
        <w:rPr>
          <w:szCs w:val="24"/>
        </w:rPr>
        <w:t xml:space="preserve"> </w:t>
      </w:r>
      <w:r w:rsidR="00D93F0B" w:rsidRPr="00104D3C">
        <w:rPr>
          <w:szCs w:val="24"/>
        </w:rPr>
        <w:t xml:space="preserve">table </w:t>
      </w:r>
      <w:r w:rsidR="00EF7CD6">
        <w:rPr>
          <w:szCs w:val="24"/>
        </w:rPr>
        <w:t xml:space="preserve">below </w:t>
      </w:r>
      <w:r w:rsidR="00AA3252" w:rsidRPr="00104D3C">
        <w:rPr>
          <w:szCs w:val="24"/>
        </w:rPr>
        <w:t>summ</w:t>
      </w:r>
      <w:r w:rsidR="00A012D0" w:rsidRPr="00104D3C">
        <w:rPr>
          <w:szCs w:val="24"/>
        </w:rPr>
        <w:t>arizes</w:t>
      </w:r>
      <w:r w:rsidR="008B315B" w:rsidRPr="00104D3C">
        <w:rPr>
          <w:szCs w:val="24"/>
        </w:rPr>
        <w:t xml:space="preserve"> </w:t>
      </w:r>
      <w:r w:rsidR="00D93F0B" w:rsidRPr="00104D3C">
        <w:rPr>
          <w:szCs w:val="24"/>
        </w:rPr>
        <w:t xml:space="preserve">actions undertaken by each </w:t>
      </w:r>
      <w:r w:rsidR="00A012D0" w:rsidRPr="00104D3C">
        <w:rPr>
          <w:szCs w:val="24"/>
        </w:rPr>
        <w:t xml:space="preserve">ITU </w:t>
      </w:r>
      <w:r w:rsidR="00D93F0B" w:rsidRPr="00104D3C">
        <w:rPr>
          <w:szCs w:val="24"/>
        </w:rPr>
        <w:t>region</w:t>
      </w:r>
      <w:r w:rsidR="00B55E58" w:rsidRPr="00104D3C">
        <w:rPr>
          <w:szCs w:val="24"/>
        </w:rPr>
        <w:t xml:space="preserve">, </w:t>
      </w:r>
      <w:r w:rsidR="005A12C7" w:rsidRPr="00104D3C">
        <w:rPr>
          <w:szCs w:val="24"/>
        </w:rPr>
        <w:t>in</w:t>
      </w:r>
      <w:r w:rsidR="00EF7CD6">
        <w:rPr>
          <w:szCs w:val="24"/>
        </w:rPr>
        <w:t xml:space="preserve"> </w:t>
      </w:r>
      <w:r w:rsidR="005A12C7" w:rsidRPr="00104D3C">
        <w:rPr>
          <w:szCs w:val="24"/>
        </w:rPr>
        <w:t xml:space="preserve">line with </w:t>
      </w:r>
      <w:r w:rsidR="00A012D0" w:rsidRPr="00104D3C">
        <w:rPr>
          <w:szCs w:val="24"/>
        </w:rPr>
        <w:t>the Regional I</w:t>
      </w:r>
      <w:r w:rsidR="00B55E58" w:rsidRPr="00104D3C">
        <w:rPr>
          <w:szCs w:val="24"/>
        </w:rPr>
        <w:t>nitiatives</w:t>
      </w:r>
      <w:r w:rsidR="00A012D0" w:rsidRPr="00104D3C">
        <w:rPr>
          <w:szCs w:val="24"/>
        </w:rPr>
        <w:t xml:space="preserve"> and the ITU-D Study Group </w:t>
      </w:r>
      <w:r w:rsidR="00EF7CD6">
        <w:rPr>
          <w:szCs w:val="24"/>
        </w:rPr>
        <w:t>Q</w:t>
      </w:r>
      <w:r w:rsidR="00EF7CD6" w:rsidRPr="00104D3C">
        <w:rPr>
          <w:szCs w:val="24"/>
        </w:rPr>
        <w:t>uestions</w:t>
      </w:r>
      <w:r w:rsidR="00D93F0B" w:rsidRPr="00104D3C">
        <w:rPr>
          <w:szCs w:val="24"/>
        </w:rPr>
        <w:t>.</w:t>
      </w:r>
      <w:r w:rsidR="00792160">
        <w:rPr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863CC" w:rsidTr="00D55089"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863CC" w:rsidRPr="00534978" w:rsidRDefault="008863CC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>Regions</w:t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8863CC" w:rsidRPr="00534978" w:rsidRDefault="008863CC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Knowledge Sharing </w:t>
            </w:r>
            <w:r w:rsidR="008B315B" w:rsidRPr="00534978">
              <w:rPr>
                <w:b/>
                <w:bCs/>
                <w:sz w:val="22"/>
                <w:szCs w:val="22"/>
              </w:rPr>
              <w:t>Products</w:t>
            </w:r>
            <w:r w:rsidR="008B315B" w:rsidRPr="00DD681F">
              <w:rPr>
                <w:rStyle w:val="FootnoteReference"/>
                <w:b/>
                <w:bCs/>
                <w:szCs w:val="18"/>
              </w:rPr>
              <w:footnoteReference w:id="5"/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8863CC" w:rsidRPr="00534978" w:rsidRDefault="008863CC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Capacity Building </w:t>
            </w:r>
            <w:r w:rsidR="008B315B" w:rsidRPr="00534978">
              <w:rPr>
                <w:b/>
                <w:bCs/>
                <w:sz w:val="22"/>
                <w:szCs w:val="22"/>
              </w:rPr>
              <w:t>Products</w:t>
            </w:r>
            <w:r w:rsidR="008B315B" w:rsidRPr="00DD681F">
              <w:rPr>
                <w:rStyle w:val="FootnoteReference"/>
                <w:b/>
                <w:bCs/>
                <w:szCs w:val="18"/>
              </w:rPr>
              <w:footnoteReference w:id="6"/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8863CC" w:rsidRPr="00534978" w:rsidRDefault="008863CC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>Innovation Assessments</w:t>
            </w:r>
            <w:r w:rsidR="008B315B" w:rsidRPr="00534978">
              <w:rPr>
                <w:b/>
                <w:bCs/>
                <w:sz w:val="22"/>
                <w:szCs w:val="22"/>
              </w:rPr>
              <w:t xml:space="preserve"> </w:t>
            </w:r>
            <w:r w:rsidR="00534CDC">
              <w:rPr>
                <w:b/>
                <w:bCs/>
                <w:sz w:val="22"/>
                <w:szCs w:val="22"/>
              </w:rPr>
              <w:t>P</w:t>
            </w:r>
            <w:r w:rsidR="008B315B" w:rsidRPr="00534978">
              <w:rPr>
                <w:b/>
                <w:bCs/>
                <w:sz w:val="22"/>
                <w:szCs w:val="22"/>
              </w:rPr>
              <w:t>roducts</w:t>
            </w:r>
            <w:r w:rsidR="008B315B" w:rsidRPr="00DD681F">
              <w:rPr>
                <w:rStyle w:val="FootnoteReference"/>
                <w:b/>
                <w:bCs/>
                <w:szCs w:val="18"/>
              </w:rPr>
              <w:footnoteReference w:id="7"/>
            </w:r>
          </w:p>
        </w:tc>
        <w:tc>
          <w:tcPr>
            <w:tcW w:w="1926" w:type="dxa"/>
            <w:shd w:val="clear" w:color="auto" w:fill="D9D9D9" w:themeFill="background1" w:themeFillShade="D9"/>
          </w:tcPr>
          <w:p w:rsidR="008863CC" w:rsidRPr="00534978" w:rsidRDefault="008863CC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Project </w:t>
            </w:r>
            <w:r w:rsidR="00534CDC">
              <w:rPr>
                <w:b/>
                <w:bCs/>
                <w:sz w:val="22"/>
                <w:szCs w:val="22"/>
              </w:rPr>
              <w:t>C</w:t>
            </w:r>
            <w:r w:rsidRPr="00534978">
              <w:rPr>
                <w:b/>
                <w:bCs/>
                <w:sz w:val="22"/>
                <w:szCs w:val="22"/>
              </w:rPr>
              <w:t>o-creation</w:t>
            </w:r>
            <w:r w:rsidR="008B315B" w:rsidRPr="00534978">
              <w:rPr>
                <w:b/>
                <w:bCs/>
                <w:sz w:val="22"/>
                <w:szCs w:val="22"/>
              </w:rPr>
              <w:t xml:space="preserve"> </w:t>
            </w:r>
            <w:r w:rsidR="00534CDC">
              <w:rPr>
                <w:b/>
                <w:bCs/>
                <w:sz w:val="22"/>
                <w:szCs w:val="22"/>
              </w:rPr>
              <w:t>P</w:t>
            </w:r>
            <w:r w:rsidR="008B315B" w:rsidRPr="00534978">
              <w:rPr>
                <w:b/>
                <w:bCs/>
                <w:sz w:val="22"/>
                <w:szCs w:val="22"/>
              </w:rPr>
              <w:t>roducts</w:t>
            </w:r>
            <w:r w:rsidR="008B315B" w:rsidRPr="00DD681F">
              <w:rPr>
                <w:rStyle w:val="FootnoteReference"/>
                <w:b/>
                <w:bCs/>
                <w:szCs w:val="18"/>
              </w:rPr>
              <w:footnoteReference w:id="8"/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Africa 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>Americas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Arab </w:t>
            </w:r>
            <w:r w:rsidR="00A012D0">
              <w:rPr>
                <w:b/>
                <w:bCs/>
                <w:sz w:val="22"/>
                <w:szCs w:val="22"/>
              </w:rPr>
              <w:t>States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 xml:space="preserve">Asia </w:t>
            </w:r>
            <w:r w:rsidR="00A012D0">
              <w:rPr>
                <w:b/>
                <w:bCs/>
                <w:sz w:val="22"/>
                <w:szCs w:val="22"/>
              </w:rPr>
              <w:t xml:space="preserve">and </w:t>
            </w:r>
            <w:r w:rsidRPr="00534978">
              <w:rPr>
                <w:b/>
                <w:bCs/>
                <w:sz w:val="22"/>
                <w:szCs w:val="22"/>
              </w:rPr>
              <w:t>Pacific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>CIS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0</w:t>
            </w:r>
          </w:p>
        </w:tc>
      </w:tr>
      <w:tr w:rsidR="00435007" w:rsidTr="00D55089">
        <w:tc>
          <w:tcPr>
            <w:tcW w:w="1925" w:type="dxa"/>
            <w:shd w:val="clear" w:color="auto" w:fill="D9D9D9" w:themeFill="background1" w:themeFillShade="D9"/>
          </w:tcPr>
          <w:p w:rsidR="00435007" w:rsidRPr="00534978" w:rsidRDefault="00435007" w:rsidP="00D5508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34978">
              <w:rPr>
                <w:b/>
                <w:bCs/>
                <w:sz w:val="22"/>
                <w:szCs w:val="22"/>
              </w:rPr>
              <w:t>Europe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4</w:t>
            </w:r>
          </w:p>
        </w:tc>
        <w:tc>
          <w:tcPr>
            <w:tcW w:w="1926" w:type="dxa"/>
          </w:tcPr>
          <w:p w:rsidR="00435007" w:rsidRPr="00534978" w:rsidRDefault="00435007" w:rsidP="00D55089">
            <w:pPr>
              <w:spacing w:before="40" w:after="40"/>
              <w:rPr>
                <w:sz w:val="22"/>
                <w:szCs w:val="22"/>
              </w:rPr>
            </w:pPr>
            <w:r w:rsidRPr="00534978">
              <w:rPr>
                <w:sz w:val="22"/>
                <w:szCs w:val="22"/>
              </w:rPr>
              <w:t>2</w:t>
            </w:r>
          </w:p>
        </w:tc>
      </w:tr>
    </w:tbl>
    <w:p w:rsidR="006A7324" w:rsidRPr="0024448B" w:rsidRDefault="006270B3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K</w:t>
      </w:r>
      <w:r w:rsidR="002466C9" w:rsidRPr="0024448B">
        <w:rPr>
          <w:rFonts w:asciiTheme="minorHAnsi" w:hAnsiTheme="minorHAnsi"/>
          <w:b/>
          <w:bCs/>
          <w:sz w:val="24"/>
          <w:szCs w:val="24"/>
        </w:rPr>
        <w:t xml:space="preserve">nowledge </w:t>
      </w:r>
      <w:r w:rsidRPr="0024448B">
        <w:rPr>
          <w:rFonts w:asciiTheme="minorHAnsi" w:hAnsiTheme="minorHAnsi"/>
          <w:b/>
          <w:bCs/>
          <w:sz w:val="24"/>
          <w:szCs w:val="24"/>
        </w:rPr>
        <w:t>S</w:t>
      </w:r>
      <w:r w:rsidR="002466C9" w:rsidRPr="0024448B">
        <w:rPr>
          <w:rFonts w:asciiTheme="minorHAnsi" w:hAnsiTheme="minorHAnsi"/>
          <w:b/>
          <w:bCs/>
          <w:sz w:val="24"/>
          <w:szCs w:val="24"/>
        </w:rPr>
        <w:t>haring</w:t>
      </w:r>
      <w:r w:rsidR="002A57E5" w:rsidRPr="0024448B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5A12C7" w:rsidRPr="005A12C7" w:rsidRDefault="005A12C7" w:rsidP="00636FEA">
      <w:pPr>
        <w:overflowPunct/>
        <w:autoSpaceDE/>
        <w:autoSpaceDN/>
        <w:adjustRightInd/>
        <w:spacing w:after="120"/>
        <w:textAlignment w:val="auto"/>
        <w:rPr>
          <w:color w:val="000000" w:themeColor="text1"/>
        </w:rPr>
      </w:pPr>
      <w:r w:rsidRPr="005A12C7">
        <w:rPr>
          <w:szCs w:val="24"/>
        </w:rPr>
        <w:t xml:space="preserve">To facilitate </w:t>
      </w:r>
      <w:r w:rsidR="00EF7CD6" w:rsidRPr="005A12C7">
        <w:rPr>
          <w:szCs w:val="24"/>
        </w:rPr>
        <w:t>evidence</w:t>
      </w:r>
      <w:r w:rsidR="00EF7CD6">
        <w:rPr>
          <w:szCs w:val="24"/>
        </w:rPr>
        <w:t>-</w:t>
      </w:r>
      <w:r w:rsidRPr="005A12C7">
        <w:rPr>
          <w:szCs w:val="24"/>
        </w:rPr>
        <w:t>base</w:t>
      </w:r>
      <w:r w:rsidR="00EF7CD6">
        <w:rPr>
          <w:szCs w:val="24"/>
        </w:rPr>
        <w:t>d</w:t>
      </w:r>
      <w:r w:rsidRPr="005A12C7">
        <w:rPr>
          <w:szCs w:val="24"/>
        </w:rPr>
        <w:t xml:space="preserve"> knowledge sharing on innovation practice</w:t>
      </w:r>
      <w:r w:rsidR="00CA6727">
        <w:rPr>
          <w:szCs w:val="24"/>
        </w:rPr>
        <w:t>s</w:t>
      </w:r>
      <w:r w:rsidRPr="005A12C7">
        <w:rPr>
          <w:szCs w:val="24"/>
        </w:rPr>
        <w:t xml:space="preserve">, ITU developed a new product, </w:t>
      </w:r>
      <w:r w:rsidRPr="00CA6727">
        <w:rPr>
          <w:b/>
          <w:bCs/>
          <w:szCs w:val="24"/>
        </w:rPr>
        <w:t>Ecosystem Good P</w:t>
      </w:r>
      <w:r w:rsidRPr="00CA6727">
        <w:rPr>
          <w:b/>
          <w:bCs/>
          <w:color w:val="000000" w:themeColor="text1"/>
        </w:rPr>
        <w:t>ractices</w:t>
      </w:r>
      <w:r w:rsidRPr="005A12C7">
        <w:rPr>
          <w:color w:val="000000" w:themeColor="text1"/>
        </w:rPr>
        <w:t xml:space="preserve">, and </w:t>
      </w:r>
      <w:r w:rsidR="00CA6727">
        <w:rPr>
          <w:color w:val="000000" w:themeColor="text1"/>
        </w:rPr>
        <w:t>released</w:t>
      </w:r>
      <w:r w:rsidRPr="005A12C7">
        <w:rPr>
          <w:color w:val="000000" w:themeColor="text1"/>
        </w:rPr>
        <w:t xml:space="preserve"> the first report title</w:t>
      </w:r>
      <w:r w:rsidR="00CA6727">
        <w:rPr>
          <w:color w:val="000000" w:themeColor="text1"/>
        </w:rPr>
        <w:t>d</w:t>
      </w:r>
      <w:r w:rsidRPr="005A12C7">
        <w:rPr>
          <w:color w:val="000000" w:themeColor="text1"/>
        </w:rPr>
        <w:t xml:space="preserve"> </w:t>
      </w:r>
      <w:hyperlink r:id="rId9" w:history="1">
        <w:r w:rsidRPr="00636FEA">
          <w:rPr>
            <w:rStyle w:val="Hyperlink"/>
            <w:i/>
            <w:iCs/>
          </w:rPr>
          <w:t>Good practices that accelerate Digital Transformation in Europe</w:t>
        </w:r>
      </w:hyperlink>
      <w:r w:rsidRPr="005A12C7">
        <w:rPr>
          <w:color w:val="000000" w:themeColor="text1"/>
        </w:rPr>
        <w:t xml:space="preserve"> </w:t>
      </w:r>
      <w:r w:rsidR="00713EAF">
        <w:rPr>
          <w:color w:val="000000" w:themeColor="text1"/>
        </w:rPr>
        <w:t>during WSIS 2018</w:t>
      </w:r>
      <w:r w:rsidRPr="005A12C7">
        <w:rPr>
          <w:color w:val="000000" w:themeColor="text1"/>
        </w:rPr>
        <w:t>.</w:t>
      </w:r>
    </w:p>
    <w:p w:rsidR="00D54BDA" w:rsidRDefault="006A7324" w:rsidP="0024448B">
      <w:pPr>
        <w:spacing w:after="120"/>
      </w:pPr>
      <w:r w:rsidRPr="002466C9">
        <w:rPr>
          <w:szCs w:val="24"/>
        </w:rPr>
        <w:t xml:space="preserve">BDT </w:t>
      </w:r>
      <w:r w:rsidR="00713EAF">
        <w:rPr>
          <w:szCs w:val="24"/>
        </w:rPr>
        <w:t xml:space="preserve">also </w:t>
      </w:r>
      <w:r w:rsidR="002466C9">
        <w:rPr>
          <w:szCs w:val="24"/>
        </w:rPr>
        <w:t xml:space="preserve">revised the </w:t>
      </w:r>
      <w:r w:rsidR="00CA6727" w:rsidRPr="00CA6727">
        <w:rPr>
          <w:b/>
          <w:bCs/>
          <w:szCs w:val="24"/>
        </w:rPr>
        <w:t xml:space="preserve">Innovation </w:t>
      </w:r>
      <w:r w:rsidR="00761E68">
        <w:rPr>
          <w:b/>
          <w:bCs/>
          <w:szCs w:val="24"/>
        </w:rPr>
        <w:t>T</w:t>
      </w:r>
      <w:r w:rsidR="002466C9" w:rsidRPr="00CA6727">
        <w:rPr>
          <w:b/>
          <w:bCs/>
          <w:szCs w:val="24"/>
        </w:rPr>
        <w:t>oolkit</w:t>
      </w:r>
      <w:r w:rsidR="00CA6727">
        <w:rPr>
          <w:szCs w:val="24"/>
        </w:rPr>
        <w:t xml:space="preserve"> product</w:t>
      </w:r>
      <w:r w:rsidR="002466C9">
        <w:rPr>
          <w:szCs w:val="24"/>
        </w:rPr>
        <w:t xml:space="preserve"> </w:t>
      </w:r>
      <w:hyperlink r:id="rId10" w:history="1">
        <w:proofErr w:type="gramStart"/>
        <w:r w:rsidR="002466C9" w:rsidRPr="00CF5C6D">
          <w:rPr>
            <w:rStyle w:val="Hyperlink"/>
            <w:i/>
            <w:iCs/>
            <w:szCs w:val="24"/>
          </w:rPr>
          <w:t>Bridging</w:t>
        </w:r>
        <w:proofErr w:type="gramEnd"/>
        <w:r w:rsidR="002466C9" w:rsidRPr="00CF5C6D">
          <w:rPr>
            <w:rStyle w:val="Hyperlink"/>
            <w:i/>
            <w:iCs/>
            <w:szCs w:val="24"/>
          </w:rPr>
          <w:t xml:space="preserve"> the Digital Innovation Divide: Strengthening ICT Centric Innovation ecosystem</w:t>
        </w:r>
      </w:hyperlink>
      <w:r w:rsidR="00D215BF">
        <w:rPr>
          <w:rStyle w:val="Hyperlink"/>
          <w:i/>
          <w:iCs/>
          <w:szCs w:val="24"/>
        </w:rPr>
        <w:t>s</w:t>
      </w:r>
      <w:r w:rsidR="002466C9">
        <w:rPr>
          <w:i/>
          <w:iCs/>
          <w:szCs w:val="24"/>
        </w:rPr>
        <w:t xml:space="preserve"> </w:t>
      </w:r>
      <w:r w:rsidR="003249A9">
        <w:rPr>
          <w:szCs w:val="24"/>
        </w:rPr>
        <w:t>in the six languages of the UN</w:t>
      </w:r>
      <w:r w:rsidR="003249A9">
        <w:t xml:space="preserve">. </w:t>
      </w:r>
    </w:p>
    <w:p w:rsidR="003249A9" w:rsidRDefault="003249A9" w:rsidP="0024448B">
      <w:pPr>
        <w:spacing w:after="120"/>
      </w:pPr>
      <w:r>
        <w:t>Several knowledge sharing session</w:t>
      </w:r>
      <w:r w:rsidR="006270B3">
        <w:t>s</w:t>
      </w:r>
      <w:r w:rsidR="00D54BDA">
        <w:t>,</w:t>
      </w:r>
      <w:r>
        <w:t xml:space="preserve"> on accelerating digital transformation</w:t>
      </w:r>
      <w:r w:rsidR="00D54BDA">
        <w:t>,</w:t>
      </w:r>
      <w:r>
        <w:t xml:space="preserve"> were organized t</w:t>
      </w:r>
      <w:r w:rsidR="00D54BDA">
        <w:t xml:space="preserve">o </w:t>
      </w:r>
      <w:r w:rsidR="00D54BDA" w:rsidRPr="00C60E5E">
        <w:rPr>
          <w:b/>
          <w:bCs/>
        </w:rPr>
        <w:t>inform stakeholders</w:t>
      </w:r>
      <w:r w:rsidRPr="00C60E5E">
        <w:rPr>
          <w:b/>
          <w:bCs/>
        </w:rPr>
        <w:t xml:space="preserve"> about the challenges and opportunities </w:t>
      </w:r>
      <w:r w:rsidR="00D54BDA" w:rsidRPr="00C60E5E">
        <w:rPr>
          <w:b/>
          <w:bCs/>
        </w:rPr>
        <w:t>of innovation</w:t>
      </w:r>
      <w:r w:rsidR="00D54BDA">
        <w:t xml:space="preserve"> </w:t>
      </w:r>
      <w:r>
        <w:t>in digital ecosystem</w:t>
      </w:r>
      <w:r w:rsidR="00D54BDA">
        <w:t>s</w:t>
      </w:r>
      <w:r>
        <w:t xml:space="preserve">. </w:t>
      </w:r>
    </w:p>
    <w:p w:rsidR="007628A4" w:rsidRPr="003E6A8D" w:rsidRDefault="008367D8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</w:rPr>
      </w:pPr>
      <w:r>
        <w:rPr>
          <w:color w:val="000000" w:themeColor="text1"/>
        </w:rPr>
        <w:t xml:space="preserve">BDT </w:t>
      </w:r>
      <w:r w:rsidR="007628A4" w:rsidRPr="003E6A8D">
        <w:rPr>
          <w:color w:val="000000" w:themeColor="text1"/>
        </w:rPr>
        <w:t xml:space="preserve">continued organizing </w:t>
      </w:r>
      <w:r w:rsidR="00D54BDA">
        <w:rPr>
          <w:b/>
          <w:bCs/>
          <w:color w:val="000000" w:themeColor="text1"/>
        </w:rPr>
        <w:t>Innovation D</w:t>
      </w:r>
      <w:r w:rsidR="007628A4" w:rsidRPr="00D54BDA">
        <w:rPr>
          <w:b/>
          <w:bCs/>
          <w:color w:val="000000" w:themeColor="text1"/>
        </w:rPr>
        <w:t>ialogues</w:t>
      </w:r>
      <w:r w:rsidR="007628A4" w:rsidRPr="003E6A8D">
        <w:rPr>
          <w:color w:val="000000" w:themeColor="text1"/>
        </w:rPr>
        <w:t xml:space="preserve"> by hosting the annual </w:t>
      </w:r>
      <w:hyperlink r:id="rId11" w:history="1">
        <w:r w:rsidR="007628A4" w:rsidRPr="005C613C">
          <w:rPr>
            <w:rStyle w:val="Hyperlink"/>
          </w:rPr>
          <w:t>WSIS innovation</w:t>
        </w:r>
        <w:r w:rsidR="00D54BDA" w:rsidRPr="005C613C">
          <w:rPr>
            <w:rStyle w:val="Hyperlink"/>
          </w:rPr>
          <w:t xml:space="preserve"> track</w:t>
        </w:r>
      </w:hyperlink>
      <w:r w:rsidR="007628A4" w:rsidRPr="003E6A8D">
        <w:rPr>
          <w:color w:val="000000" w:themeColor="text1"/>
        </w:rPr>
        <w:t xml:space="preserve">. </w:t>
      </w:r>
      <w:r w:rsidR="00761E68">
        <w:rPr>
          <w:color w:val="000000" w:themeColor="text1"/>
        </w:rPr>
        <w:t>Five</w:t>
      </w:r>
      <w:r w:rsidR="007628A4" w:rsidRPr="003E6A8D">
        <w:rPr>
          <w:color w:val="000000" w:themeColor="text1"/>
        </w:rPr>
        <w:t xml:space="preserve"> sessions</w:t>
      </w:r>
      <w:r w:rsidR="00D54BDA">
        <w:rPr>
          <w:color w:val="000000" w:themeColor="text1"/>
        </w:rPr>
        <w:t>,</w:t>
      </w:r>
      <w:r w:rsidR="007628A4" w:rsidRPr="003E6A8D">
        <w:rPr>
          <w:color w:val="000000" w:themeColor="text1"/>
        </w:rPr>
        <w:t xml:space="preserve"> with the theme “Accelerating Digital transformation, building </w:t>
      </w:r>
      <w:r w:rsidR="00EF7CD6" w:rsidRPr="003E6A8D">
        <w:rPr>
          <w:color w:val="000000" w:themeColor="text1"/>
        </w:rPr>
        <w:t>ICT</w:t>
      </w:r>
      <w:r w:rsidR="00EF7CD6">
        <w:rPr>
          <w:color w:val="000000" w:themeColor="text1"/>
        </w:rPr>
        <w:t>-</w:t>
      </w:r>
      <w:r w:rsidR="007628A4" w:rsidRPr="003E6A8D">
        <w:rPr>
          <w:color w:val="000000" w:themeColor="text1"/>
        </w:rPr>
        <w:t xml:space="preserve">centric innovation ecosystems”, explored three key areas: </w:t>
      </w:r>
      <w:r w:rsidR="00EF7CD6" w:rsidRPr="003E6A8D">
        <w:rPr>
          <w:color w:val="000000" w:themeColor="text1"/>
        </w:rPr>
        <w:t>evidence</w:t>
      </w:r>
      <w:r w:rsidR="00EF7CD6">
        <w:rPr>
          <w:color w:val="000000" w:themeColor="text1"/>
        </w:rPr>
        <w:t>-</w:t>
      </w:r>
      <w:r w:rsidR="007628A4" w:rsidRPr="003E6A8D">
        <w:rPr>
          <w:color w:val="000000" w:themeColor="text1"/>
        </w:rPr>
        <w:t xml:space="preserve">based innovation practices, innovation ecosystems implementation tools, and funding policy for high impact flagship projects. These dialogues were attended by over 300 participants and 39 expert speakers, </w:t>
      </w:r>
      <w:r w:rsidR="007628A4" w:rsidRPr="003E6A8D">
        <w:rPr>
          <w:color w:val="000000" w:themeColor="text1"/>
        </w:rPr>
        <w:lastRenderedPageBreak/>
        <w:t>including a high level panel, and keynote speakers from industry, bilateral and multilateral development agencies, entrepr</w:t>
      </w:r>
      <w:r w:rsidR="00D01152">
        <w:rPr>
          <w:color w:val="000000" w:themeColor="text1"/>
        </w:rPr>
        <w:t>eneurs, innovation experts, etc.;</w:t>
      </w:r>
    </w:p>
    <w:p w:rsidR="00AA71F5" w:rsidRPr="00AA71F5" w:rsidRDefault="00AA71F5" w:rsidP="00DD681F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</w:rPr>
      </w:pPr>
      <w:r w:rsidRPr="00AA71F5">
        <w:rPr>
          <w:color w:val="000000" w:themeColor="text1"/>
        </w:rPr>
        <w:t>A high level</w:t>
      </w:r>
      <w:r w:rsidR="00D54BDA">
        <w:rPr>
          <w:color w:val="000000" w:themeColor="text1"/>
        </w:rPr>
        <w:t xml:space="preserve"> </w:t>
      </w:r>
      <w:r w:rsidR="00761E68" w:rsidRPr="00AA71F5">
        <w:rPr>
          <w:color w:val="000000" w:themeColor="text1"/>
        </w:rPr>
        <w:t>ITU Telecom</w:t>
      </w:r>
      <w:r w:rsidR="00761E68">
        <w:rPr>
          <w:color w:val="000000" w:themeColor="text1"/>
        </w:rPr>
        <w:t xml:space="preserve"> 201</w:t>
      </w:r>
      <w:r w:rsidR="00705B39">
        <w:rPr>
          <w:color w:val="000000" w:themeColor="text1"/>
        </w:rPr>
        <w:t>8</w:t>
      </w:r>
      <w:r w:rsidR="00761E68">
        <w:rPr>
          <w:color w:val="000000" w:themeColor="text1"/>
        </w:rPr>
        <w:t xml:space="preserve"> Forum Panel, </w:t>
      </w:r>
      <w:r w:rsidR="00761E68" w:rsidRPr="00AA71F5">
        <w:rPr>
          <w:color w:val="000000" w:themeColor="text1"/>
        </w:rPr>
        <w:t>“</w:t>
      </w:r>
      <w:hyperlink r:id="rId12" w:history="1">
        <w:r w:rsidR="00761E68" w:rsidRPr="005C613C">
          <w:rPr>
            <w:rStyle w:val="Hyperlink"/>
          </w:rPr>
          <w:t>Digital innovation ecosystems: the key to Industry 4.0</w:t>
        </w:r>
      </w:hyperlink>
      <w:r w:rsidR="00761E68" w:rsidRPr="00AA71F5">
        <w:rPr>
          <w:color w:val="000000" w:themeColor="text1"/>
        </w:rPr>
        <w:t>”</w:t>
      </w:r>
      <w:r w:rsidR="00761E68">
        <w:rPr>
          <w:color w:val="000000" w:themeColor="text1"/>
        </w:rPr>
        <w:t>, was co-organized with UNIDO</w:t>
      </w:r>
      <w:r w:rsidR="00761E68">
        <w:rPr>
          <w:rStyle w:val="FootnoteReference"/>
          <w:color w:val="000000" w:themeColor="text1"/>
        </w:rPr>
        <w:footnoteReference w:id="9"/>
      </w:r>
      <w:r w:rsidR="00761E68">
        <w:rPr>
          <w:color w:val="000000" w:themeColor="text1"/>
        </w:rPr>
        <w:t xml:space="preserve"> and GMIS</w:t>
      </w:r>
      <w:r w:rsidR="00761E68">
        <w:rPr>
          <w:rStyle w:val="FootnoteReference"/>
          <w:color w:val="000000" w:themeColor="text1"/>
        </w:rPr>
        <w:footnoteReference w:id="10"/>
      </w:r>
      <w:r w:rsidR="00761E68">
        <w:rPr>
          <w:color w:val="000000" w:themeColor="text1"/>
        </w:rPr>
        <w:t xml:space="preserve"> to inform stakeholders on the opportunities of digital innovation ecosystems in fac</w:t>
      </w:r>
      <w:r w:rsidR="00D01152">
        <w:rPr>
          <w:color w:val="000000" w:themeColor="text1"/>
        </w:rPr>
        <w:t>ilitating Industry 4.0 visions;</w:t>
      </w:r>
    </w:p>
    <w:p w:rsidR="00AA71F5" w:rsidRDefault="00AA71F5">
      <w:pPr>
        <w:pStyle w:val="ListParagraph"/>
        <w:numPr>
          <w:ilvl w:val="0"/>
          <w:numId w:val="1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</w:rPr>
      </w:pPr>
      <w:r w:rsidRPr="00AA71F5">
        <w:rPr>
          <w:color w:val="000000" w:themeColor="text1"/>
        </w:rPr>
        <w:t>An Innovation Power Session on “</w:t>
      </w:r>
      <w:hyperlink r:id="rId13" w:history="1">
        <w:r w:rsidRPr="005C613C">
          <w:rPr>
            <w:rStyle w:val="Hyperlink"/>
          </w:rPr>
          <w:t>Monitoring ICT centric innovation policies and programs</w:t>
        </w:r>
      </w:hyperlink>
      <w:r w:rsidRPr="00AA71F5">
        <w:rPr>
          <w:color w:val="000000" w:themeColor="text1"/>
        </w:rPr>
        <w:t>” to build</w:t>
      </w:r>
      <w:r>
        <w:rPr>
          <w:color w:val="000000" w:themeColor="text1"/>
        </w:rPr>
        <w:t xml:space="preserve"> </w:t>
      </w:r>
      <w:r w:rsidRPr="00AA71F5">
        <w:rPr>
          <w:color w:val="000000" w:themeColor="text1"/>
        </w:rPr>
        <w:t xml:space="preserve">technical knowledge and capacity about measuring </w:t>
      </w:r>
      <w:r w:rsidR="00406EF0" w:rsidRPr="00AA71F5">
        <w:rPr>
          <w:color w:val="000000" w:themeColor="text1"/>
        </w:rPr>
        <w:t>ICT</w:t>
      </w:r>
      <w:r w:rsidR="00406EF0">
        <w:rPr>
          <w:color w:val="000000" w:themeColor="text1"/>
        </w:rPr>
        <w:t>-</w:t>
      </w:r>
      <w:r w:rsidRPr="00AA71F5">
        <w:rPr>
          <w:color w:val="000000" w:themeColor="text1"/>
        </w:rPr>
        <w:t xml:space="preserve">centric innovation capabilities, was </w:t>
      </w:r>
      <w:r w:rsidR="00761E68">
        <w:rPr>
          <w:color w:val="000000" w:themeColor="text1"/>
        </w:rPr>
        <w:t xml:space="preserve">also </w:t>
      </w:r>
      <w:r w:rsidRPr="00AA71F5">
        <w:rPr>
          <w:color w:val="000000" w:themeColor="text1"/>
        </w:rPr>
        <w:t xml:space="preserve">delivered during ITU telecom 2018 with participants from policy makers, entrepreneurs, financiers, academia, corporate and SMEs. </w:t>
      </w:r>
    </w:p>
    <w:p w:rsidR="006A7324" w:rsidRPr="0024448B" w:rsidRDefault="002A57E5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 xml:space="preserve">Empowering stakeholders through </w:t>
      </w:r>
      <w:r w:rsidR="006A7324" w:rsidRPr="0024448B">
        <w:rPr>
          <w:rFonts w:asciiTheme="minorHAnsi" w:hAnsiTheme="minorHAnsi"/>
          <w:b/>
          <w:bCs/>
          <w:sz w:val="24"/>
          <w:szCs w:val="24"/>
        </w:rPr>
        <w:t xml:space="preserve">Innovation Capacity Building </w:t>
      </w:r>
    </w:p>
    <w:p w:rsidR="006A7324" w:rsidRPr="00CF5C6D" w:rsidRDefault="007628A4" w:rsidP="0024448B">
      <w:pPr>
        <w:spacing w:after="120"/>
        <w:rPr>
          <w:szCs w:val="24"/>
        </w:rPr>
      </w:pPr>
      <w:r>
        <w:rPr>
          <w:szCs w:val="24"/>
        </w:rPr>
        <w:t xml:space="preserve">Based on new tools and processes developed, BDT has delivered </w:t>
      </w:r>
      <w:r w:rsidR="006A7324" w:rsidRPr="00CF5C6D">
        <w:rPr>
          <w:szCs w:val="24"/>
        </w:rPr>
        <w:t xml:space="preserve">a set of training workshops that </w:t>
      </w:r>
      <w:r w:rsidR="00C14751">
        <w:rPr>
          <w:szCs w:val="24"/>
        </w:rPr>
        <w:t xml:space="preserve">help national, regional and global experts </w:t>
      </w:r>
      <w:r w:rsidR="006A7324" w:rsidRPr="00CF5C6D">
        <w:rPr>
          <w:szCs w:val="24"/>
        </w:rPr>
        <w:t xml:space="preserve">build their innovation competencies. </w:t>
      </w:r>
      <w:r w:rsidR="00B3367F">
        <w:rPr>
          <w:szCs w:val="24"/>
        </w:rPr>
        <w:t>In 2018, t</w:t>
      </w:r>
      <w:r w:rsidR="00C14751">
        <w:rPr>
          <w:szCs w:val="24"/>
        </w:rPr>
        <w:t xml:space="preserve">he following workshops trained and certified </w:t>
      </w:r>
      <w:r w:rsidR="00B3367F">
        <w:rPr>
          <w:szCs w:val="24"/>
        </w:rPr>
        <w:t xml:space="preserve">nearly 100 </w:t>
      </w:r>
      <w:r w:rsidR="00C14751">
        <w:rPr>
          <w:szCs w:val="24"/>
        </w:rPr>
        <w:t>stakeholders</w:t>
      </w:r>
      <w:r w:rsidR="00B3367F">
        <w:rPr>
          <w:szCs w:val="24"/>
        </w:rPr>
        <w:t xml:space="preserve"> from over 55 countries with skills to strengthen </w:t>
      </w:r>
      <w:r w:rsidR="00C14751">
        <w:rPr>
          <w:szCs w:val="24"/>
        </w:rPr>
        <w:t xml:space="preserve">their </w:t>
      </w:r>
      <w:r w:rsidR="00B3367F">
        <w:rPr>
          <w:szCs w:val="24"/>
        </w:rPr>
        <w:t xml:space="preserve">own </w:t>
      </w:r>
      <w:r w:rsidR="00C14751">
        <w:rPr>
          <w:szCs w:val="24"/>
        </w:rPr>
        <w:t xml:space="preserve">innovation </w:t>
      </w:r>
      <w:r w:rsidR="00B3367F">
        <w:rPr>
          <w:szCs w:val="24"/>
        </w:rPr>
        <w:t>ecosystems</w:t>
      </w:r>
      <w:r w:rsidR="006A7324" w:rsidRPr="00CF5C6D">
        <w:rPr>
          <w:szCs w:val="24"/>
        </w:rPr>
        <w:t>:</w:t>
      </w:r>
    </w:p>
    <w:p w:rsidR="00C14751" w:rsidRDefault="00C14751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 w:rsidRPr="003E6A8D">
        <w:rPr>
          <w:color w:val="000000" w:themeColor="text1"/>
        </w:rPr>
        <w:t>Ongoing te</w:t>
      </w:r>
      <w:r>
        <w:rPr>
          <w:color w:val="000000" w:themeColor="text1"/>
        </w:rPr>
        <w:t>chnical assistance to Thailand</w:t>
      </w:r>
      <w:r w:rsidRPr="003E6A8D">
        <w:rPr>
          <w:color w:val="000000" w:themeColor="text1"/>
        </w:rPr>
        <w:t>, co-organized by ONDE,</w:t>
      </w:r>
      <w:r>
        <w:rPr>
          <w:color w:val="000000" w:themeColor="text1"/>
        </w:rPr>
        <w:t xml:space="preserve"> </w:t>
      </w:r>
      <w:r w:rsidRPr="003E6A8D">
        <w:rPr>
          <w:color w:val="000000" w:themeColor="text1"/>
        </w:rPr>
        <w:t xml:space="preserve">was delivered through a </w:t>
      </w:r>
      <w:hyperlink r:id="rId14" w:history="1">
        <w:r w:rsidRPr="005C613C">
          <w:rPr>
            <w:rStyle w:val="Hyperlink"/>
          </w:rPr>
          <w:t>Multi-stakeholder Workshop on Bridging the Digital Innovation Divide</w:t>
        </w:r>
      </w:hyperlink>
      <w:r>
        <w:rPr>
          <w:color w:val="000000" w:themeColor="text1"/>
        </w:rPr>
        <w:t>,</w:t>
      </w:r>
      <w:r w:rsidRPr="003E6A8D">
        <w:rPr>
          <w:color w:val="000000" w:themeColor="text1"/>
        </w:rPr>
        <w:t xml:space="preserve"> 8-9 May</w:t>
      </w:r>
      <w:r w:rsidR="00D3584D">
        <w:rPr>
          <w:color w:val="000000" w:themeColor="text1"/>
        </w:rPr>
        <w:t>,</w:t>
      </w:r>
      <w:r w:rsidR="00E1123E">
        <w:rPr>
          <w:color w:val="000000" w:themeColor="text1"/>
        </w:rPr>
        <w:t xml:space="preserve"> </w:t>
      </w:r>
      <w:r w:rsidRPr="003E6A8D">
        <w:rPr>
          <w:color w:val="000000" w:themeColor="text1"/>
        </w:rPr>
        <w:t xml:space="preserve">in Bangkok, Thailand. </w:t>
      </w:r>
      <w:r>
        <w:rPr>
          <w:color w:val="000000" w:themeColor="text1"/>
        </w:rPr>
        <w:t xml:space="preserve">As a result </w:t>
      </w:r>
      <w:r w:rsidRPr="003E6A8D">
        <w:rPr>
          <w:color w:val="000000" w:themeColor="text1"/>
        </w:rPr>
        <w:t xml:space="preserve">55 national stakeholders </w:t>
      </w:r>
      <w:r w:rsidR="00BB4E99">
        <w:rPr>
          <w:color w:val="000000" w:themeColor="text1"/>
        </w:rPr>
        <w:t>exchanged</w:t>
      </w:r>
      <w:r>
        <w:rPr>
          <w:color w:val="000000" w:themeColor="text1"/>
        </w:rPr>
        <w:t xml:space="preserve"> knowledge</w:t>
      </w:r>
      <w:r w:rsidR="00BB4E99">
        <w:rPr>
          <w:color w:val="000000" w:themeColor="text1"/>
        </w:rPr>
        <w:t xml:space="preserve"> on the topic</w:t>
      </w:r>
      <w:r>
        <w:rPr>
          <w:color w:val="000000" w:themeColor="text1"/>
        </w:rPr>
        <w:t xml:space="preserve"> </w:t>
      </w:r>
      <w:r w:rsidRPr="003E6A8D">
        <w:rPr>
          <w:color w:val="000000" w:themeColor="text1"/>
        </w:rPr>
        <w:t xml:space="preserve">and 13 </w:t>
      </w:r>
      <w:r w:rsidR="00761E68">
        <w:rPr>
          <w:color w:val="000000" w:themeColor="text1"/>
        </w:rPr>
        <w:t xml:space="preserve">of them were </w:t>
      </w:r>
      <w:r w:rsidRPr="003E6A8D">
        <w:rPr>
          <w:color w:val="000000" w:themeColor="text1"/>
        </w:rPr>
        <w:t xml:space="preserve">trained and certified </w:t>
      </w:r>
      <w:r>
        <w:rPr>
          <w:color w:val="000000" w:themeColor="text1"/>
        </w:rPr>
        <w:t>with skills to strengthen ICT centric innovation ecosystems</w:t>
      </w:r>
      <w:r w:rsidR="00D01152">
        <w:rPr>
          <w:color w:val="000000" w:themeColor="text1"/>
        </w:rPr>
        <w:t>;</w:t>
      </w:r>
    </w:p>
    <w:p w:rsidR="003E6A8D" w:rsidRDefault="00BB4E99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</w:rPr>
      </w:pPr>
      <w:r>
        <w:rPr>
          <w:color w:val="000000" w:themeColor="text1"/>
        </w:rPr>
        <w:t>BDT, in collaboration</w:t>
      </w:r>
      <w:r>
        <w:rPr>
          <w:rStyle w:val="FootnoteReference"/>
          <w:color w:val="000000" w:themeColor="text1"/>
        </w:rPr>
        <w:footnoteReference w:id="11"/>
      </w:r>
      <w:r>
        <w:rPr>
          <w:color w:val="000000" w:themeColor="text1"/>
        </w:rPr>
        <w:t xml:space="preserve"> with Busan Metropolitan City, held </w:t>
      </w:r>
      <w:r w:rsidRPr="003E6A8D">
        <w:rPr>
          <w:color w:val="000000" w:themeColor="text1"/>
        </w:rPr>
        <w:t xml:space="preserve">the annual </w:t>
      </w:r>
      <w:hyperlink r:id="rId15" w:history="1">
        <w:r w:rsidR="009B2821" w:rsidRPr="009B2821">
          <w:rPr>
            <w:rStyle w:val="Hyperlink"/>
            <w:b/>
            <w:bCs/>
          </w:rPr>
          <w:t xml:space="preserve">Young </w:t>
        </w:r>
        <w:r w:rsidRPr="009B2821">
          <w:rPr>
            <w:rStyle w:val="Hyperlink"/>
            <w:b/>
            <w:bCs/>
          </w:rPr>
          <w:t>ICT leaders Forum</w:t>
        </w:r>
      </w:hyperlink>
      <w:r w:rsidR="000E7617">
        <w:rPr>
          <w:rStyle w:val="Hyperlink"/>
          <w:b/>
          <w:bCs/>
        </w:rPr>
        <w:t xml:space="preserve">, </w:t>
      </w:r>
      <w:r w:rsidR="00D3584D">
        <w:rPr>
          <w:rStyle w:val="Hyperlink"/>
        </w:rPr>
        <w:t xml:space="preserve">on </w:t>
      </w:r>
      <w:r w:rsidR="000E7617" w:rsidRPr="009074DB">
        <w:rPr>
          <w:rStyle w:val="Hyperlink"/>
        </w:rPr>
        <w:t>4-7</w:t>
      </w:r>
      <w:r w:rsidRPr="003E6A8D">
        <w:rPr>
          <w:color w:val="000000" w:themeColor="text1"/>
        </w:rPr>
        <w:t xml:space="preserve"> </w:t>
      </w:r>
      <w:r w:rsidR="003E6A8D" w:rsidRPr="003E6A8D">
        <w:rPr>
          <w:color w:val="000000" w:themeColor="text1"/>
        </w:rPr>
        <w:t xml:space="preserve">September </w:t>
      </w:r>
      <w:r>
        <w:rPr>
          <w:color w:val="000000" w:themeColor="text1"/>
        </w:rPr>
        <w:t>in Busan</w:t>
      </w:r>
      <w:r w:rsidR="000E7617">
        <w:rPr>
          <w:color w:val="000000" w:themeColor="text1"/>
        </w:rPr>
        <w:t xml:space="preserve">, </w:t>
      </w:r>
      <w:r>
        <w:rPr>
          <w:color w:val="000000" w:themeColor="text1"/>
        </w:rPr>
        <w:t>Korea</w:t>
      </w:r>
      <w:r w:rsidR="000E7617">
        <w:rPr>
          <w:color w:val="000000" w:themeColor="text1"/>
        </w:rPr>
        <w:t xml:space="preserve"> (Rep. of)</w:t>
      </w:r>
      <w:r>
        <w:rPr>
          <w:color w:val="000000" w:themeColor="text1"/>
        </w:rPr>
        <w:t>.</w:t>
      </w:r>
      <w:r w:rsidR="00792160">
        <w:rPr>
          <w:color w:val="000000" w:themeColor="text1"/>
        </w:rPr>
        <w:t xml:space="preserve"> </w:t>
      </w:r>
      <w:r w:rsidR="009B2821" w:rsidRPr="00AA71F5">
        <w:rPr>
          <w:color w:val="000000" w:themeColor="text1"/>
        </w:rPr>
        <w:t>The</w:t>
      </w:r>
      <w:r w:rsidR="009B2821">
        <w:rPr>
          <w:color w:val="000000" w:themeColor="text1"/>
        </w:rPr>
        <w:t xml:space="preserve"> Forum promoted</w:t>
      </w:r>
      <w:r w:rsidR="009B2821" w:rsidRPr="00AA71F5">
        <w:rPr>
          <w:color w:val="000000" w:themeColor="text1"/>
        </w:rPr>
        <w:t xml:space="preserve"> active participation of youth</w:t>
      </w:r>
      <w:r w:rsidR="009B2821">
        <w:rPr>
          <w:color w:val="000000" w:themeColor="text1"/>
        </w:rPr>
        <w:t>s</w:t>
      </w:r>
      <w:r w:rsidR="009B2821" w:rsidRPr="00AA71F5">
        <w:rPr>
          <w:color w:val="000000" w:themeColor="text1"/>
        </w:rPr>
        <w:t xml:space="preserve"> in the digital economy</w:t>
      </w:r>
      <w:r w:rsidR="009B2821">
        <w:rPr>
          <w:color w:val="000000" w:themeColor="text1"/>
        </w:rPr>
        <w:t xml:space="preserve"> and </w:t>
      </w:r>
      <w:r w:rsidR="009B2821" w:rsidRPr="00D15973">
        <w:rPr>
          <w:color w:val="000000" w:themeColor="text1"/>
        </w:rPr>
        <w:t>enabled enthusiast as well as experts on innovation</w:t>
      </w:r>
      <w:r w:rsidR="009B2821">
        <w:rPr>
          <w:color w:val="000000" w:themeColor="text1"/>
        </w:rPr>
        <w:t xml:space="preserve"> ecosystems and policy makers to actively engage and network. </w:t>
      </w:r>
      <w:r>
        <w:rPr>
          <w:color w:val="000000" w:themeColor="text1"/>
        </w:rPr>
        <w:t>T</w:t>
      </w:r>
      <w:r w:rsidR="003E6A8D" w:rsidRPr="003E6A8D">
        <w:rPr>
          <w:color w:val="000000" w:themeColor="text1"/>
        </w:rPr>
        <w:t xml:space="preserve">he theme of the forum was “Nurturing Digital Innovations for sustainable smart cities”, and 71 </w:t>
      </w:r>
      <w:r w:rsidR="00C14751">
        <w:rPr>
          <w:color w:val="000000" w:themeColor="text1"/>
        </w:rPr>
        <w:t>youth</w:t>
      </w:r>
      <w:r w:rsidR="003E6A8D" w:rsidRPr="003E6A8D">
        <w:rPr>
          <w:color w:val="000000" w:themeColor="text1"/>
        </w:rPr>
        <w:t xml:space="preserve"> from 50</w:t>
      </w:r>
      <w:r w:rsidR="00D3584D">
        <w:rPr>
          <w:color w:val="000000" w:themeColor="text1"/>
        </w:rPr>
        <w:t> </w:t>
      </w:r>
      <w:r w:rsidR="003E6A8D" w:rsidRPr="003E6A8D">
        <w:rPr>
          <w:color w:val="000000" w:themeColor="text1"/>
        </w:rPr>
        <w:t xml:space="preserve">countries were trained and certified on how </w:t>
      </w:r>
      <w:r w:rsidR="00D01152">
        <w:rPr>
          <w:color w:val="000000" w:themeColor="text1"/>
        </w:rPr>
        <w:t>to build smart cities ecosystem;</w:t>
      </w:r>
    </w:p>
    <w:p w:rsidR="00BB4E99" w:rsidRDefault="00BB4E99">
      <w:pPr>
        <w:pStyle w:val="ListParagraph"/>
        <w:numPr>
          <w:ilvl w:val="0"/>
          <w:numId w:val="14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 w:rsidRPr="00BB4E99">
        <w:rPr>
          <w:color w:val="000000" w:themeColor="text1"/>
        </w:rPr>
        <w:t xml:space="preserve">In partnership with </w:t>
      </w:r>
      <w:r w:rsidR="009566E2" w:rsidRPr="00BB4E99">
        <w:rPr>
          <w:color w:val="000000" w:themeColor="text1"/>
        </w:rPr>
        <w:t>O</w:t>
      </w:r>
      <w:r w:rsidR="009566E2">
        <w:rPr>
          <w:color w:val="000000" w:themeColor="text1"/>
        </w:rPr>
        <w:t>slo</w:t>
      </w:r>
      <w:r w:rsidR="009566E2" w:rsidRPr="00BB4E99">
        <w:rPr>
          <w:color w:val="000000" w:themeColor="text1"/>
        </w:rPr>
        <w:t xml:space="preserve"> </w:t>
      </w:r>
      <w:r w:rsidRPr="00BB4E99">
        <w:rPr>
          <w:color w:val="000000" w:themeColor="text1"/>
        </w:rPr>
        <w:t>Metropolitan University</w:t>
      </w:r>
      <w:r>
        <w:rPr>
          <w:rStyle w:val="FootnoteReference"/>
          <w:color w:val="000000" w:themeColor="text1"/>
        </w:rPr>
        <w:footnoteReference w:id="12"/>
      </w:r>
      <w:r w:rsidRPr="00BB4E99">
        <w:rPr>
          <w:color w:val="000000" w:themeColor="text1"/>
        </w:rPr>
        <w:t xml:space="preserve">, BDT held the </w:t>
      </w:r>
      <w:hyperlink r:id="rId16" w:history="1">
        <w:r w:rsidR="005C613C" w:rsidRPr="00190402">
          <w:rPr>
            <w:rStyle w:val="Hyperlink"/>
            <w:b/>
          </w:rPr>
          <w:t>Regional</w:t>
        </w:r>
        <w:r w:rsidR="005C613C">
          <w:rPr>
            <w:rStyle w:val="Hyperlink"/>
          </w:rPr>
          <w:t xml:space="preserve"> Innovation F</w:t>
        </w:r>
        <w:r w:rsidRPr="005C613C">
          <w:rPr>
            <w:rStyle w:val="Hyperlink"/>
          </w:rPr>
          <w:t>orum for Europe</w:t>
        </w:r>
      </w:hyperlink>
      <w:r w:rsidR="003E6A8D" w:rsidRPr="00BB4E99">
        <w:rPr>
          <w:color w:val="000000" w:themeColor="text1"/>
        </w:rPr>
        <w:t xml:space="preserve"> in Oslo</w:t>
      </w:r>
      <w:r w:rsidR="00D3584D">
        <w:rPr>
          <w:color w:val="000000" w:themeColor="text1"/>
        </w:rPr>
        <w:t>,</w:t>
      </w:r>
      <w:r w:rsidR="003E6A8D" w:rsidRPr="00BB4E99">
        <w:rPr>
          <w:color w:val="000000" w:themeColor="text1"/>
        </w:rPr>
        <w:t xml:space="preserve"> Norway</w:t>
      </w:r>
      <w:r w:rsidR="00D3584D">
        <w:rPr>
          <w:color w:val="000000" w:themeColor="text1"/>
        </w:rPr>
        <w:t>, on 21-23</w:t>
      </w:r>
      <w:r w:rsidRPr="00BB4E99">
        <w:rPr>
          <w:color w:val="000000" w:themeColor="text1"/>
        </w:rPr>
        <w:t xml:space="preserve"> from November. The </w:t>
      </w:r>
      <w:r w:rsidR="003E6A8D" w:rsidRPr="00BB4E99">
        <w:rPr>
          <w:color w:val="000000" w:themeColor="text1"/>
        </w:rPr>
        <w:t xml:space="preserve">theme </w:t>
      </w:r>
      <w:r w:rsidRPr="00BB4E99">
        <w:rPr>
          <w:color w:val="000000" w:themeColor="text1"/>
        </w:rPr>
        <w:t xml:space="preserve">of the forum was </w:t>
      </w:r>
      <w:r w:rsidR="003E6A8D" w:rsidRPr="00BB4E99">
        <w:rPr>
          <w:color w:val="000000" w:themeColor="text1"/>
        </w:rPr>
        <w:t xml:space="preserve">“Fostering Digital Entrepreneurship and </w:t>
      </w:r>
      <w:proofErr w:type="spellStart"/>
      <w:r w:rsidR="003E6A8D" w:rsidRPr="00BB4E99">
        <w:rPr>
          <w:color w:val="000000" w:themeColor="text1"/>
        </w:rPr>
        <w:t>Startup</w:t>
      </w:r>
      <w:proofErr w:type="spellEnd"/>
      <w:r w:rsidR="003E6A8D" w:rsidRPr="00BB4E99">
        <w:rPr>
          <w:color w:val="000000" w:themeColor="text1"/>
        </w:rPr>
        <w:t xml:space="preserve"> Ecosystem</w:t>
      </w:r>
      <w:r w:rsidR="009566E2">
        <w:rPr>
          <w:color w:val="000000" w:themeColor="text1"/>
        </w:rPr>
        <w:t>s</w:t>
      </w:r>
      <w:r w:rsidR="003E6A8D" w:rsidRPr="00BB4E99">
        <w:rPr>
          <w:color w:val="000000" w:themeColor="text1"/>
        </w:rPr>
        <w:t>”</w:t>
      </w:r>
      <w:r w:rsidRPr="00BB4E99">
        <w:rPr>
          <w:color w:val="000000" w:themeColor="text1"/>
        </w:rPr>
        <w:t>,</w:t>
      </w:r>
      <w:r w:rsidR="003E6A8D" w:rsidRPr="00BB4E99">
        <w:rPr>
          <w:color w:val="000000" w:themeColor="text1"/>
        </w:rPr>
        <w:t xml:space="preserve"> 15 </w:t>
      </w:r>
      <w:r w:rsidR="00C14751" w:rsidRPr="00BB4E99">
        <w:rPr>
          <w:color w:val="000000" w:themeColor="text1"/>
        </w:rPr>
        <w:t>stakeholders</w:t>
      </w:r>
      <w:r w:rsidR="003E6A8D" w:rsidRPr="00BB4E99">
        <w:rPr>
          <w:color w:val="000000" w:themeColor="text1"/>
        </w:rPr>
        <w:t xml:space="preserve"> from 6 countries in Europe were trained and certified with skills to </w:t>
      </w:r>
      <w:r w:rsidR="00534978">
        <w:rPr>
          <w:color w:val="000000" w:themeColor="text1"/>
        </w:rPr>
        <w:t>strengthen</w:t>
      </w:r>
      <w:r w:rsidR="003E6A8D" w:rsidRPr="00BB4E99">
        <w:rPr>
          <w:color w:val="000000" w:themeColor="text1"/>
        </w:rPr>
        <w:t xml:space="preserve"> ICT centric innovation ecosystems. </w:t>
      </w:r>
    </w:p>
    <w:p w:rsidR="00960201" w:rsidRPr="00BB4E99" w:rsidRDefault="00960201">
      <w:pPr>
        <w:overflowPunct/>
        <w:autoSpaceDE/>
        <w:autoSpaceDN/>
        <w:adjustRightInd/>
        <w:spacing w:after="120" w:line="276" w:lineRule="auto"/>
        <w:textAlignment w:val="auto"/>
        <w:rPr>
          <w:color w:val="000000" w:themeColor="text1"/>
        </w:rPr>
      </w:pPr>
      <w:r w:rsidRPr="00BB4E99">
        <w:rPr>
          <w:color w:val="000000" w:themeColor="text1"/>
        </w:rPr>
        <w:t xml:space="preserve">ITU innovation capacity building </w:t>
      </w:r>
      <w:r w:rsidR="00BB4E99">
        <w:rPr>
          <w:color w:val="000000" w:themeColor="text1"/>
        </w:rPr>
        <w:t>empowers</w:t>
      </w:r>
      <w:r w:rsidRPr="00BB4E99">
        <w:rPr>
          <w:color w:val="000000" w:themeColor="text1"/>
        </w:rPr>
        <w:t xml:space="preserve"> stakeholders</w:t>
      </w:r>
      <w:r w:rsidR="005C613C">
        <w:rPr>
          <w:color w:val="000000" w:themeColor="text1"/>
        </w:rPr>
        <w:t xml:space="preserve"> </w:t>
      </w:r>
      <w:r w:rsidR="009B2821">
        <w:rPr>
          <w:color w:val="000000" w:themeColor="text1"/>
        </w:rPr>
        <w:t>to be expert o</w:t>
      </w:r>
      <w:r w:rsidR="00BB4E99">
        <w:rPr>
          <w:color w:val="000000" w:themeColor="text1"/>
        </w:rPr>
        <w:t>n</w:t>
      </w:r>
      <w:r w:rsidRPr="00BB4E99">
        <w:rPr>
          <w:color w:val="000000" w:themeColor="text1"/>
        </w:rPr>
        <w:t xml:space="preserve"> innovation </w:t>
      </w:r>
      <w:r w:rsidR="00341A17">
        <w:rPr>
          <w:color w:val="000000" w:themeColor="text1"/>
        </w:rPr>
        <w:t>policies</w:t>
      </w:r>
      <w:r w:rsidR="00BB4E99">
        <w:rPr>
          <w:color w:val="000000" w:themeColor="text1"/>
        </w:rPr>
        <w:t>, programs and project design. Through</w:t>
      </w:r>
      <w:r w:rsidRPr="00BB4E99">
        <w:rPr>
          <w:color w:val="000000" w:themeColor="text1"/>
        </w:rPr>
        <w:t xml:space="preserve"> </w:t>
      </w:r>
      <w:r w:rsidRPr="00C60E5E">
        <w:rPr>
          <w:b/>
          <w:bCs/>
          <w:color w:val="000000" w:themeColor="text1"/>
        </w:rPr>
        <w:t xml:space="preserve">tools </w:t>
      </w:r>
      <w:r w:rsidR="00BB4E99" w:rsidRPr="00C60E5E">
        <w:rPr>
          <w:b/>
          <w:bCs/>
          <w:color w:val="000000" w:themeColor="text1"/>
        </w:rPr>
        <w:t>and hands</w:t>
      </w:r>
      <w:r w:rsidR="008557D7">
        <w:rPr>
          <w:b/>
          <w:bCs/>
          <w:color w:val="000000" w:themeColor="text1"/>
        </w:rPr>
        <w:t>-</w:t>
      </w:r>
      <w:r w:rsidR="00BB4E99" w:rsidRPr="00C60E5E">
        <w:rPr>
          <w:b/>
          <w:bCs/>
          <w:color w:val="000000" w:themeColor="text1"/>
        </w:rPr>
        <w:t>on workshops</w:t>
      </w:r>
      <w:r w:rsidR="00BB4E99">
        <w:rPr>
          <w:color w:val="000000" w:themeColor="text1"/>
        </w:rPr>
        <w:t xml:space="preserve">, </w:t>
      </w:r>
      <w:r w:rsidR="008557D7">
        <w:rPr>
          <w:color w:val="000000" w:themeColor="text1"/>
        </w:rPr>
        <w:t xml:space="preserve">innovation capacity building </w:t>
      </w:r>
      <w:r w:rsidR="00BB4E99">
        <w:rPr>
          <w:color w:val="000000" w:themeColor="text1"/>
        </w:rPr>
        <w:t xml:space="preserve">gives </w:t>
      </w:r>
      <w:r w:rsidR="008557D7">
        <w:rPr>
          <w:color w:val="000000" w:themeColor="text1"/>
        </w:rPr>
        <w:t xml:space="preserve">participants </w:t>
      </w:r>
      <w:r w:rsidR="00BB4E99">
        <w:rPr>
          <w:color w:val="000000" w:themeColor="text1"/>
        </w:rPr>
        <w:t xml:space="preserve">the potential to be innovation champions in order to </w:t>
      </w:r>
      <w:r w:rsidR="00BB4E99" w:rsidRPr="00C60E5E">
        <w:rPr>
          <w:b/>
          <w:bCs/>
          <w:color w:val="000000" w:themeColor="text1"/>
        </w:rPr>
        <w:t>accelerate digital transformation of their communities</w:t>
      </w:r>
      <w:r w:rsidRPr="00BB4E99">
        <w:rPr>
          <w:color w:val="000000" w:themeColor="text1"/>
        </w:rPr>
        <w:t>.</w:t>
      </w:r>
    </w:p>
    <w:p w:rsidR="006A7324" w:rsidRPr="0024448B" w:rsidRDefault="006A7324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National Innovation Ecosystem Assessments</w:t>
      </w:r>
    </w:p>
    <w:p w:rsidR="00EE43EB" w:rsidRPr="00EE43EB" w:rsidRDefault="00EE43EB" w:rsidP="0024448B">
      <w:pPr>
        <w:spacing w:after="120"/>
        <w:rPr>
          <w:szCs w:val="24"/>
        </w:rPr>
      </w:pPr>
      <w:r w:rsidRPr="00EE43EB">
        <w:rPr>
          <w:szCs w:val="24"/>
        </w:rPr>
        <w:t xml:space="preserve">To accelerate digital transformation in ITU-D membership, </w:t>
      </w:r>
      <w:r w:rsidR="008F776A" w:rsidRPr="00EE43EB">
        <w:rPr>
          <w:szCs w:val="24"/>
        </w:rPr>
        <w:t xml:space="preserve">ITU developed </w:t>
      </w:r>
      <w:r w:rsidR="008F776A" w:rsidRPr="00B156EE">
        <w:rPr>
          <w:b/>
          <w:bCs/>
          <w:szCs w:val="24"/>
        </w:rPr>
        <w:t>new products</w:t>
      </w:r>
      <w:r w:rsidR="008F776A" w:rsidRPr="00EE43EB">
        <w:rPr>
          <w:szCs w:val="24"/>
        </w:rPr>
        <w:t xml:space="preserve">, such as the </w:t>
      </w:r>
      <w:hyperlink r:id="rId17" w:history="1">
        <w:r w:rsidR="008F776A" w:rsidRPr="005C613C">
          <w:rPr>
            <w:rStyle w:val="Hyperlink"/>
            <w:b/>
            <w:bCs/>
            <w:szCs w:val="24"/>
          </w:rPr>
          <w:t>Digital Innovation Profile</w:t>
        </w:r>
        <w:r w:rsidR="00EA57E1" w:rsidRPr="005C613C">
          <w:rPr>
            <w:rStyle w:val="Hyperlink"/>
            <w:b/>
            <w:bCs/>
            <w:szCs w:val="24"/>
          </w:rPr>
          <w:t>s</w:t>
        </w:r>
      </w:hyperlink>
      <w:r w:rsidR="008F776A" w:rsidRPr="00B156EE">
        <w:rPr>
          <w:szCs w:val="24"/>
        </w:rPr>
        <w:t xml:space="preserve"> </w:t>
      </w:r>
      <w:r w:rsidR="008F776A" w:rsidRPr="00EE43EB">
        <w:rPr>
          <w:szCs w:val="24"/>
        </w:rPr>
        <w:t xml:space="preserve">to meet the growing demand of ITU innovation </w:t>
      </w:r>
      <w:r w:rsidR="00F70E08">
        <w:rPr>
          <w:szCs w:val="24"/>
        </w:rPr>
        <w:t>assessment</w:t>
      </w:r>
      <w:r w:rsidR="008F776A" w:rsidRPr="00EE43EB">
        <w:rPr>
          <w:szCs w:val="24"/>
        </w:rPr>
        <w:t>.</w:t>
      </w:r>
    </w:p>
    <w:p w:rsidR="00EE43EB" w:rsidRDefault="008F776A" w:rsidP="00636FEA">
      <w:pPr>
        <w:spacing w:after="120"/>
        <w:rPr>
          <w:szCs w:val="24"/>
        </w:rPr>
      </w:pPr>
      <w:r w:rsidRPr="00EE43EB">
        <w:rPr>
          <w:szCs w:val="24"/>
        </w:rPr>
        <w:lastRenderedPageBreak/>
        <w:t>Digital Innovation Profiles (DIP) are part of BDT's new series of ICT-focused innovation ecosystem snapshots, which offer a quick as</w:t>
      </w:r>
      <w:r w:rsidR="00EE43EB" w:rsidRPr="00EE43EB">
        <w:rPr>
          <w:szCs w:val="24"/>
        </w:rPr>
        <w:t>sessment of the existing capabilities in</w:t>
      </w:r>
      <w:r w:rsidRPr="00EE43EB">
        <w:rPr>
          <w:szCs w:val="24"/>
        </w:rPr>
        <w:t xml:space="preserve"> digital transformation and an overview of opportunities and challenges facing the countries' ecosystems.</w:t>
      </w:r>
      <w:r w:rsidR="00EE43EB" w:rsidRPr="00EE43EB">
        <w:rPr>
          <w:szCs w:val="24"/>
        </w:rPr>
        <w:t xml:space="preserve"> </w:t>
      </w:r>
    </w:p>
    <w:p w:rsidR="008F776A" w:rsidRPr="00EE43EB" w:rsidRDefault="008F776A" w:rsidP="0024448B">
      <w:pPr>
        <w:spacing w:after="120"/>
        <w:rPr>
          <w:szCs w:val="24"/>
        </w:rPr>
      </w:pPr>
      <w:r w:rsidRPr="00EE43EB">
        <w:rPr>
          <w:szCs w:val="24"/>
        </w:rPr>
        <w:t>The following assessment</w:t>
      </w:r>
      <w:r w:rsidR="002A3EFD">
        <w:rPr>
          <w:szCs w:val="24"/>
        </w:rPr>
        <w:t>s</w:t>
      </w:r>
      <w:r w:rsidRPr="00EE43EB">
        <w:rPr>
          <w:szCs w:val="24"/>
        </w:rPr>
        <w:t xml:space="preserve"> were conducted</w:t>
      </w:r>
      <w:r w:rsidR="00341A17">
        <w:rPr>
          <w:szCs w:val="24"/>
        </w:rPr>
        <w:t>:</w:t>
      </w:r>
      <w:r w:rsidRPr="00EE43EB">
        <w:rPr>
          <w:szCs w:val="24"/>
        </w:rPr>
        <w:t xml:space="preserve"> </w:t>
      </w:r>
    </w:p>
    <w:p w:rsidR="008F776A" w:rsidRDefault="008F776A" w:rsidP="00636FEA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</w:pPr>
      <w:r w:rsidRPr="008F776A">
        <w:rPr>
          <w:color w:val="000000" w:themeColor="text1"/>
        </w:rPr>
        <w:t>S</w:t>
      </w:r>
      <w:r w:rsidRPr="00F70E08">
        <w:rPr>
          <w:color w:val="000000" w:themeColor="text1"/>
        </w:rPr>
        <w:t>erbia and Bosnia Herzegovina</w:t>
      </w:r>
      <w:r w:rsidR="00341A17">
        <w:rPr>
          <w:color w:val="000000" w:themeColor="text1"/>
        </w:rPr>
        <w:t xml:space="preserve"> </w:t>
      </w:r>
      <w:r w:rsidRPr="00F70E08">
        <w:rPr>
          <w:color w:val="000000" w:themeColor="text1"/>
        </w:rPr>
        <w:t>assess</w:t>
      </w:r>
      <w:r w:rsidR="00341A17">
        <w:rPr>
          <w:color w:val="000000" w:themeColor="text1"/>
        </w:rPr>
        <w:t>ed</w:t>
      </w:r>
      <w:r w:rsidRPr="00F70E08">
        <w:rPr>
          <w:color w:val="000000" w:themeColor="text1"/>
        </w:rPr>
        <w:t xml:space="preserve"> digital transformation capabilities. As a result, </w:t>
      </w:r>
      <w:r w:rsidRPr="00081403">
        <w:rPr>
          <w:b/>
          <w:bCs/>
          <w:color w:val="000000" w:themeColor="text1"/>
        </w:rPr>
        <w:t xml:space="preserve">Digital </w:t>
      </w:r>
      <w:r w:rsidR="00C75D6D">
        <w:rPr>
          <w:b/>
          <w:bCs/>
          <w:color w:val="000000" w:themeColor="text1"/>
        </w:rPr>
        <w:t>I</w:t>
      </w:r>
      <w:r w:rsidR="00C75D6D" w:rsidRPr="00081403">
        <w:rPr>
          <w:b/>
          <w:bCs/>
          <w:color w:val="000000" w:themeColor="text1"/>
        </w:rPr>
        <w:t xml:space="preserve">nnovation </w:t>
      </w:r>
      <w:r w:rsidR="00C75D6D">
        <w:rPr>
          <w:b/>
          <w:bCs/>
          <w:color w:val="000000" w:themeColor="text1"/>
        </w:rPr>
        <w:t>P</w:t>
      </w:r>
      <w:r w:rsidR="00C75D6D" w:rsidRPr="00081403">
        <w:rPr>
          <w:b/>
          <w:bCs/>
          <w:color w:val="000000" w:themeColor="text1"/>
        </w:rPr>
        <w:t>rofiles</w:t>
      </w:r>
      <w:r w:rsidR="00C75D6D" w:rsidRPr="00F70E08">
        <w:rPr>
          <w:color w:val="000000" w:themeColor="text1"/>
        </w:rPr>
        <w:t xml:space="preserve"> </w:t>
      </w:r>
      <w:r w:rsidRPr="00F70E08">
        <w:rPr>
          <w:color w:val="000000" w:themeColor="text1"/>
        </w:rPr>
        <w:t xml:space="preserve">for </w:t>
      </w:r>
      <w:hyperlink r:id="rId18" w:history="1">
        <w:r w:rsidRPr="00341A17">
          <w:rPr>
            <w:rStyle w:val="Hyperlink"/>
          </w:rPr>
          <w:t>Bosnia and Herzegovina</w:t>
        </w:r>
      </w:hyperlink>
      <w:r w:rsidRPr="00F70E08">
        <w:rPr>
          <w:color w:val="000000" w:themeColor="text1"/>
        </w:rPr>
        <w:t xml:space="preserve">, and </w:t>
      </w:r>
      <w:hyperlink r:id="rId19" w:history="1">
        <w:r w:rsidRPr="00341A17">
          <w:rPr>
            <w:rStyle w:val="Hyperlink"/>
          </w:rPr>
          <w:t>Serbia</w:t>
        </w:r>
      </w:hyperlink>
      <w:r w:rsidR="00341A17">
        <w:rPr>
          <w:color w:val="000000" w:themeColor="text1"/>
        </w:rPr>
        <w:t xml:space="preserve"> were launched during WSIS 2018</w:t>
      </w:r>
      <w:r w:rsidR="00D01152">
        <w:rPr>
          <w:color w:val="000000" w:themeColor="text1"/>
        </w:rPr>
        <w:t>;</w:t>
      </w:r>
    </w:p>
    <w:p w:rsidR="00073534" w:rsidRDefault="008F776A" w:rsidP="00636FEA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 w:rsidRPr="00EE43EB">
        <w:rPr>
          <w:color w:val="000000" w:themeColor="text1"/>
        </w:rPr>
        <w:t>Republic of Moldova</w:t>
      </w:r>
      <w:r w:rsidR="00341A17">
        <w:rPr>
          <w:color w:val="000000" w:themeColor="text1"/>
        </w:rPr>
        <w:t xml:space="preserve"> assessed comprehensive digital transformation capabilities. The </w:t>
      </w:r>
      <w:r w:rsidR="00341A17" w:rsidRPr="00EE43EB">
        <w:rPr>
          <w:color w:val="000000" w:themeColor="text1"/>
        </w:rPr>
        <w:t xml:space="preserve">ICT-centric </w:t>
      </w:r>
      <w:r w:rsidR="00C75D6D">
        <w:rPr>
          <w:b/>
          <w:bCs/>
          <w:color w:val="000000" w:themeColor="text1"/>
        </w:rPr>
        <w:t>I</w:t>
      </w:r>
      <w:r w:rsidR="00C75D6D" w:rsidRPr="00081403">
        <w:rPr>
          <w:b/>
          <w:bCs/>
          <w:color w:val="000000" w:themeColor="text1"/>
        </w:rPr>
        <w:t xml:space="preserve">nnovation </w:t>
      </w:r>
      <w:r w:rsidR="00C75D6D">
        <w:rPr>
          <w:b/>
          <w:bCs/>
          <w:color w:val="000000" w:themeColor="text1"/>
        </w:rPr>
        <w:t>E</w:t>
      </w:r>
      <w:r w:rsidR="00341A17" w:rsidRPr="00081403">
        <w:rPr>
          <w:b/>
          <w:bCs/>
          <w:color w:val="000000" w:themeColor="text1"/>
        </w:rPr>
        <w:t xml:space="preserve">cosystem </w:t>
      </w:r>
      <w:r w:rsidR="00C75D6D">
        <w:rPr>
          <w:b/>
          <w:bCs/>
          <w:color w:val="000000" w:themeColor="text1"/>
        </w:rPr>
        <w:t>C</w:t>
      </w:r>
      <w:r w:rsidR="00C75D6D" w:rsidRPr="00081403">
        <w:rPr>
          <w:b/>
          <w:bCs/>
          <w:color w:val="000000" w:themeColor="text1"/>
        </w:rPr>
        <w:t xml:space="preserve">ountry </w:t>
      </w:r>
      <w:r w:rsidR="00C75D6D">
        <w:rPr>
          <w:b/>
          <w:bCs/>
          <w:color w:val="000000" w:themeColor="text1"/>
        </w:rPr>
        <w:t>R</w:t>
      </w:r>
      <w:r w:rsidR="00C75D6D" w:rsidRPr="00081403">
        <w:rPr>
          <w:b/>
          <w:bCs/>
          <w:color w:val="000000" w:themeColor="text1"/>
        </w:rPr>
        <w:t>eview</w:t>
      </w:r>
      <w:r w:rsidR="00C75D6D" w:rsidRPr="00EE43EB">
        <w:rPr>
          <w:color w:val="000000" w:themeColor="text1"/>
        </w:rPr>
        <w:t xml:space="preserve"> </w:t>
      </w:r>
      <w:r w:rsidR="00341A17">
        <w:rPr>
          <w:color w:val="000000" w:themeColor="text1"/>
        </w:rPr>
        <w:t xml:space="preserve">for </w:t>
      </w:r>
      <w:hyperlink r:id="rId20" w:history="1">
        <w:r w:rsidR="00341A17" w:rsidRPr="00341A17">
          <w:rPr>
            <w:rStyle w:val="Hyperlink"/>
          </w:rPr>
          <w:t>Republic of Moldova</w:t>
        </w:r>
      </w:hyperlink>
      <w:r w:rsidRPr="00EE43EB">
        <w:rPr>
          <w:color w:val="000000" w:themeColor="text1"/>
        </w:rPr>
        <w:t xml:space="preserve"> offers a comprehensive analysis with recommendation on how Moldova can upgrade its ICT policies with innovation and di</w:t>
      </w:r>
      <w:r w:rsidR="00341A17">
        <w:rPr>
          <w:color w:val="000000" w:themeColor="text1"/>
        </w:rPr>
        <w:t>gital entrepreneurship policies</w:t>
      </w:r>
      <w:r w:rsidR="00E50CE3">
        <w:rPr>
          <w:color w:val="000000" w:themeColor="text1"/>
        </w:rPr>
        <w:t xml:space="preserve"> and programs</w:t>
      </w:r>
      <w:r w:rsidR="00D01152">
        <w:rPr>
          <w:color w:val="000000" w:themeColor="text1"/>
        </w:rPr>
        <w:t>;</w:t>
      </w:r>
    </w:p>
    <w:p w:rsidR="00F70E08" w:rsidRPr="00F70E08" w:rsidRDefault="00F70E08" w:rsidP="00636FEA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 w:rsidRPr="00F70E08">
        <w:rPr>
          <w:color w:val="000000" w:themeColor="text1"/>
        </w:rPr>
        <w:t>Republic of South Africa</w:t>
      </w:r>
      <w:r w:rsidR="00FF3A67">
        <w:rPr>
          <w:color w:val="000000" w:themeColor="text1"/>
        </w:rPr>
        <w:t xml:space="preserve"> </w:t>
      </w:r>
      <w:r w:rsidR="00341A17" w:rsidRPr="00F70E08">
        <w:rPr>
          <w:color w:val="000000" w:themeColor="text1"/>
        </w:rPr>
        <w:t>assess</w:t>
      </w:r>
      <w:r w:rsidR="00341A17">
        <w:rPr>
          <w:color w:val="000000" w:themeColor="text1"/>
        </w:rPr>
        <w:t>ed</w:t>
      </w:r>
      <w:r w:rsidR="00341A17" w:rsidRPr="00F70E08">
        <w:rPr>
          <w:color w:val="000000" w:themeColor="text1"/>
        </w:rPr>
        <w:t xml:space="preserve"> digital transformation capabilities</w:t>
      </w:r>
      <w:r w:rsidRPr="00F70E08">
        <w:rPr>
          <w:color w:val="000000" w:themeColor="text1"/>
        </w:rPr>
        <w:t xml:space="preserve">. </w:t>
      </w:r>
      <w:r w:rsidR="00341A17">
        <w:rPr>
          <w:color w:val="000000" w:themeColor="text1"/>
        </w:rPr>
        <w:t xml:space="preserve">The </w:t>
      </w:r>
      <w:r w:rsidRPr="00081403">
        <w:rPr>
          <w:b/>
          <w:bCs/>
          <w:color w:val="000000" w:themeColor="text1"/>
        </w:rPr>
        <w:t xml:space="preserve">Digital Innovation </w:t>
      </w:r>
      <w:r w:rsidR="00C75D6D">
        <w:rPr>
          <w:b/>
          <w:bCs/>
          <w:color w:val="000000" w:themeColor="text1"/>
        </w:rPr>
        <w:t>P</w:t>
      </w:r>
      <w:r w:rsidR="00C75D6D" w:rsidRPr="00081403">
        <w:rPr>
          <w:b/>
          <w:bCs/>
          <w:color w:val="000000" w:themeColor="text1"/>
        </w:rPr>
        <w:t>rofile</w:t>
      </w:r>
      <w:r w:rsidR="00C75D6D" w:rsidRPr="00F70E08">
        <w:rPr>
          <w:color w:val="000000" w:themeColor="text1"/>
        </w:rPr>
        <w:t xml:space="preserve"> </w:t>
      </w:r>
      <w:r w:rsidR="00341A17">
        <w:rPr>
          <w:color w:val="000000" w:themeColor="text1"/>
        </w:rPr>
        <w:t xml:space="preserve">of </w:t>
      </w:r>
      <w:hyperlink r:id="rId21" w:history="1">
        <w:r w:rsidR="00341A17" w:rsidRPr="003E6943">
          <w:rPr>
            <w:rStyle w:val="Hyperlink"/>
          </w:rPr>
          <w:t>Republic South Africa</w:t>
        </w:r>
      </w:hyperlink>
      <w:r w:rsidR="00341A17">
        <w:rPr>
          <w:color w:val="000000" w:themeColor="text1"/>
        </w:rPr>
        <w:t xml:space="preserve"> </w:t>
      </w:r>
      <w:r w:rsidRPr="00F70E08">
        <w:rPr>
          <w:color w:val="000000" w:themeColor="text1"/>
        </w:rPr>
        <w:t xml:space="preserve">was published at </w:t>
      </w:r>
      <w:r w:rsidR="003E6943">
        <w:rPr>
          <w:color w:val="000000" w:themeColor="text1"/>
        </w:rPr>
        <w:t>ITU Telecom 2018</w:t>
      </w:r>
      <w:r w:rsidR="00D01152">
        <w:rPr>
          <w:color w:val="000000" w:themeColor="text1"/>
        </w:rPr>
        <w:t>;</w:t>
      </w:r>
    </w:p>
    <w:p w:rsidR="00F70E08" w:rsidRPr="00F70E08" w:rsidRDefault="00F70E08" w:rsidP="00E61F30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 w:rsidRPr="00F70E08">
        <w:rPr>
          <w:color w:val="000000" w:themeColor="text1"/>
        </w:rPr>
        <w:t>Montenegro</w:t>
      </w:r>
      <w:r w:rsidR="00A153ED">
        <w:rPr>
          <w:color w:val="000000" w:themeColor="text1"/>
        </w:rPr>
        <w:t xml:space="preserve">: ongoing </w:t>
      </w:r>
      <w:r w:rsidR="00A153ED" w:rsidRPr="00F70E08">
        <w:rPr>
          <w:color w:val="000000" w:themeColor="text1"/>
        </w:rPr>
        <w:t>assess</w:t>
      </w:r>
      <w:r w:rsidR="00A153ED">
        <w:rPr>
          <w:color w:val="000000" w:themeColor="text1"/>
        </w:rPr>
        <w:t>ment of</w:t>
      </w:r>
      <w:r w:rsidR="00A153ED" w:rsidRPr="00F70E08">
        <w:rPr>
          <w:color w:val="000000" w:themeColor="text1"/>
        </w:rPr>
        <w:t xml:space="preserve"> digital transformation capabilities</w:t>
      </w:r>
      <w:r w:rsidR="00D01152">
        <w:rPr>
          <w:color w:val="000000" w:themeColor="text1"/>
        </w:rPr>
        <w:t>;</w:t>
      </w:r>
    </w:p>
    <w:p w:rsidR="00833B56" w:rsidRPr="00833B56" w:rsidRDefault="00833B56" w:rsidP="00E61F30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/>
        <w:ind w:left="357" w:hanging="357"/>
        <w:contextualSpacing w:val="0"/>
        <w:textAlignment w:val="auto"/>
        <w:rPr>
          <w:color w:val="000000" w:themeColor="text1"/>
        </w:rPr>
      </w:pPr>
      <w:r w:rsidRPr="00833B56">
        <w:rPr>
          <w:color w:val="000000" w:themeColor="text1"/>
        </w:rPr>
        <w:t>Zimbabwe</w:t>
      </w:r>
      <w:r w:rsidR="00A153ED">
        <w:rPr>
          <w:color w:val="000000" w:themeColor="text1"/>
        </w:rPr>
        <w:t>:</w:t>
      </w:r>
      <w:r w:rsidR="00792160">
        <w:rPr>
          <w:color w:val="000000" w:themeColor="text1"/>
        </w:rPr>
        <w:t xml:space="preserve"> </w:t>
      </w:r>
      <w:r w:rsidR="00A153ED">
        <w:rPr>
          <w:color w:val="000000" w:themeColor="text1"/>
        </w:rPr>
        <w:t xml:space="preserve">ongoing </w:t>
      </w:r>
      <w:r w:rsidR="00A153ED" w:rsidRPr="00F70E08">
        <w:rPr>
          <w:color w:val="000000" w:themeColor="text1"/>
        </w:rPr>
        <w:t>assess</w:t>
      </w:r>
      <w:r w:rsidR="00A153ED">
        <w:rPr>
          <w:color w:val="000000" w:themeColor="text1"/>
        </w:rPr>
        <w:t>ment of</w:t>
      </w:r>
      <w:r w:rsidR="00A153ED" w:rsidRPr="00F70E08">
        <w:rPr>
          <w:color w:val="000000" w:themeColor="text1"/>
        </w:rPr>
        <w:t xml:space="preserve"> digital transformation capabilities</w:t>
      </w:r>
      <w:r w:rsidR="00D01152">
        <w:rPr>
          <w:color w:val="000000" w:themeColor="text1"/>
        </w:rPr>
        <w:t>;</w:t>
      </w:r>
    </w:p>
    <w:p w:rsidR="00F70E08" w:rsidRDefault="00025226" w:rsidP="00E61F30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 w:after="40" w:line="276" w:lineRule="auto"/>
        <w:ind w:left="357" w:hanging="357"/>
        <w:contextualSpacing w:val="0"/>
        <w:textAlignment w:val="auto"/>
        <w:rPr>
          <w:color w:val="000000" w:themeColor="text1"/>
        </w:rPr>
      </w:pPr>
      <w:r>
        <w:rPr>
          <w:color w:val="000000" w:themeColor="text1"/>
        </w:rPr>
        <w:t>FYR Macedonia</w:t>
      </w:r>
      <w:r w:rsidR="00A153ED">
        <w:rPr>
          <w:color w:val="000000" w:themeColor="text1"/>
        </w:rPr>
        <w:t>:</w:t>
      </w:r>
      <w:r w:rsidR="00792160">
        <w:rPr>
          <w:color w:val="000000" w:themeColor="text1"/>
        </w:rPr>
        <w:t xml:space="preserve"> </w:t>
      </w:r>
      <w:r w:rsidR="00A153ED">
        <w:rPr>
          <w:color w:val="000000" w:themeColor="text1"/>
        </w:rPr>
        <w:t xml:space="preserve">ongoing </w:t>
      </w:r>
      <w:r w:rsidR="00A153ED" w:rsidRPr="00F70E08">
        <w:rPr>
          <w:color w:val="000000" w:themeColor="text1"/>
        </w:rPr>
        <w:t>assess</w:t>
      </w:r>
      <w:r w:rsidR="00A153ED">
        <w:rPr>
          <w:color w:val="000000" w:themeColor="text1"/>
        </w:rPr>
        <w:t>ment of</w:t>
      </w:r>
      <w:r w:rsidR="00A153ED" w:rsidRPr="00F70E08">
        <w:rPr>
          <w:color w:val="000000" w:themeColor="text1"/>
        </w:rPr>
        <w:t xml:space="preserve"> digital transformation capabilities</w:t>
      </w:r>
      <w:r w:rsidR="00A153ED">
        <w:rPr>
          <w:color w:val="000000" w:themeColor="text1"/>
        </w:rPr>
        <w:t>.</w:t>
      </w:r>
    </w:p>
    <w:p w:rsidR="006A7324" w:rsidRPr="00CF5C6D" w:rsidRDefault="00E13391" w:rsidP="00636FEA">
      <w:pPr>
        <w:spacing w:after="120"/>
        <w:rPr>
          <w:szCs w:val="24"/>
        </w:rPr>
      </w:pPr>
      <w:r>
        <w:rPr>
          <w:szCs w:val="24"/>
        </w:rPr>
        <w:t xml:space="preserve">The </w:t>
      </w:r>
      <w:r w:rsidR="00C75D6D">
        <w:rPr>
          <w:szCs w:val="24"/>
        </w:rPr>
        <w:t xml:space="preserve">Digital Innovation Profiles </w:t>
      </w:r>
      <w:r>
        <w:rPr>
          <w:szCs w:val="24"/>
        </w:rPr>
        <w:t xml:space="preserve">coupled with the capacity building approach above </w:t>
      </w:r>
      <w:r w:rsidR="00C75D6D">
        <w:rPr>
          <w:szCs w:val="24"/>
        </w:rPr>
        <w:t xml:space="preserve">are </w:t>
      </w:r>
      <w:r w:rsidRPr="00CF5C6D">
        <w:rPr>
          <w:szCs w:val="24"/>
        </w:rPr>
        <w:t xml:space="preserve">enabling BDT to expand its activities and deliver a scalable and more </w:t>
      </w:r>
      <w:r w:rsidRPr="00C60E5E">
        <w:rPr>
          <w:b/>
          <w:bCs/>
          <w:szCs w:val="24"/>
        </w:rPr>
        <w:t>sustainable model of engagement</w:t>
      </w:r>
      <w:r w:rsidR="006B6202">
        <w:rPr>
          <w:szCs w:val="24"/>
        </w:rPr>
        <w:t xml:space="preserve"> to deliver impact</w:t>
      </w:r>
      <w:r w:rsidR="00C60E5E">
        <w:rPr>
          <w:szCs w:val="24"/>
        </w:rPr>
        <w:t xml:space="preserve"> for ITU-D membership</w:t>
      </w:r>
      <w:r w:rsidRPr="00CF5C6D">
        <w:rPr>
          <w:szCs w:val="24"/>
        </w:rPr>
        <w:t>.</w:t>
      </w:r>
    </w:p>
    <w:p w:rsidR="006A7324" w:rsidRPr="0024448B" w:rsidRDefault="006A7324" w:rsidP="009074DB">
      <w:pPr>
        <w:pStyle w:val="PlainText"/>
        <w:keepNext/>
        <w:numPr>
          <w:ilvl w:val="2"/>
          <w:numId w:val="8"/>
        </w:numPr>
        <w:spacing w:before="120" w:after="1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Innovation Projects and Initiatives Development</w:t>
      </w:r>
    </w:p>
    <w:p w:rsidR="007A5F2B" w:rsidRDefault="006A7324" w:rsidP="0024448B">
      <w:pPr>
        <w:spacing w:after="120"/>
        <w:rPr>
          <w:szCs w:val="24"/>
        </w:rPr>
      </w:pPr>
      <w:r w:rsidRPr="00CF5C6D">
        <w:rPr>
          <w:szCs w:val="24"/>
        </w:rPr>
        <w:t xml:space="preserve">BDT </w:t>
      </w:r>
      <w:r w:rsidR="0003536D">
        <w:rPr>
          <w:szCs w:val="24"/>
        </w:rPr>
        <w:t>continue</w:t>
      </w:r>
      <w:r w:rsidR="00A153ED">
        <w:rPr>
          <w:szCs w:val="24"/>
        </w:rPr>
        <w:t>s</w:t>
      </w:r>
      <w:r w:rsidR="0003536D">
        <w:rPr>
          <w:szCs w:val="24"/>
        </w:rPr>
        <w:t xml:space="preserve"> to raise</w:t>
      </w:r>
      <w:r w:rsidRPr="00CF5C6D">
        <w:rPr>
          <w:szCs w:val="24"/>
        </w:rPr>
        <w:t xml:space="preserve"> </w:t>
      </w:r>
      <w:r w:rsidR="0003536D">
        <w:rPr>
          <w:szCs w:val="24"/>
        </w:rPr>
        <w:t xml:space="preserve">additional funds for the innovation program through </w:t>
      </w:r>
      <w:r w:rsidRPr="00CF5C6D">
        <w:rPr>
          <w:szCs w:val="24"/>
        </w:rPr>
        <w:t xml:space="preserve">projects to address the </w:t>
      </w:r>
      <w:r w:rsidR="00A153ED">
        <w:rPr>
          <w:szCs w:val="24"/>
        </w:rPr>
        <w:t>digital innovation gap and develop concrete</w:t>
      </w:r>
      <w:r w:rsidR="0003536D">
        <w:rPr>
          <w:szCs w:val="24"/>
        </w:rPr>
        <w:t xml:space="preserve"> project</w:t>
      </w:r>
      <w:r w:rsidR="00A153ED">
        <w:rPr>
          <w:szCs w:val="24"/>
        </w:rPr>
        <w:t>s</w:t>
      </w:r>
      <w:r w:rsidR="0003536D">
        <w:rPr>
          <w:szCs w:val="24"/>
        </w:rPr>
        <w:t xml:space="preserve"> </w:t>
      </w:r>
      <w:r w:rsidR="00A153ED">
        <w:rPr>
          <w:szCs w:val="24"/>
        </w:rPr>
        <w:t>for countries</w:t>
      </w:r>
      <w:r w:rsidR="0003536D">
        <w:rPr>
          <w:szCs w:val="24"/>
        </w:rPr>
        <w:t>.</w:t>
      </w:r>
      <w:r w:rsidR="00792160">
        <w:rPr>
          <w:szCs w:val="24"/>
        </w:rPr>
        <w:t xml:space="preserve"> </w:t>
      </w:r>
      <w:r w:rsidR="00A153ED">
        <w:rPr>
          <w:szCs w:val="24"/>
        </w:rPr>
        <w:t>In 2018, a</w:t>
      </w:r>
      <w:r w:rsidR="0003536D">
        <w:rPr>
          <w:szCs w:val="24"/>
        </w:rPr>
        <w:t>dditional funding</w:t>
      </w:r>
      <w:r w:rsidR="00A153ED">
        <w:rPr>
          <w:rStyle w:val="FootnoteReference"/>
          <w:szCs w:val="24"/>
        </w:rPr>
        <w:footnoteReference w:id="13"/>
      </w:r>
      <w:r w:rsidR="0003536D">
        <w:rPr>
          <w:szCs w:val="24"/>
        </w:rPr>
        <w:t xml:space="preserve"> was secure</w:t>
      </w:r>
      <w:r w:rsidR="00A153ED">
        <w:rPr>
          <w:szCs w:val="24"/>
        </w:rPr>
        <w:t>d</w:t>
      </w:r>
      <w:r w:rsidR="0003536D">
        <w:rPr>
          <w:szCs w:val="24"/>
        </w:rPr>
        <w:t xml:space="preserve"> </w:t>
      </w:r>
      <w:r w:rsidR="00081403">
        <w:rPr>
          <w:szCs w:val="24"/>
        </w:rPr>
        <w:t xml:space="preserve">for </w:t>
      </w:r>
      <w:r w:rsidR="0003536D">
        <w:rPr>
          <w:szCs w:val="24"/>
        </w:rPr>
        <w:t>train</w:t>
      </w:r>
      <w:r w:rsidR="00081403">
        <w:rPr>
          <w:szCs w:val="24"/>
        </w:rPr>
        <w:t>ing of</w:t>
      </w:r>
      <w:r w:rsidR="0003536D">
        <w:rPr>
          <w:szCs w:val="24"/>
        </w:rPr>
        <w:t xml:space="preserve"> national stakeholders in six countries</w:t>
      </w:r>
      <w:r w:rsidR="00AF1A09">
        <w:rPr>
          <w:szCs w:val="24"/>
        </w:rPr>
        <w:t>.</w:t>
      </w:r>
      <w:r w:rsidR="0003536D">
        <w:rPr>
          <w:szCs w:val="24"/>
        </w:rPr>
        <w:t xml:space="preserve"> </w:t>
      </w:r>
    </w:p>
    <w:p w:rsidR="00187C44" w:rsidRDefault="00187C44" w:rsidP="00636FEA">
      <w:pPr>
        <w:spacing w:after="120"/>
        <w:rPr>
          <w:color w:val="000000" w:themeColor="text1"/>
        </w:rPr>
      </w:pPr>
      <w:r>
        <w:rPr>
          <w:szCs w:val="24"/>
        </w:rPr>
        <w:t xml:space="preserve">Additionally, to strengthen regional cooperation, BDT has revised the </w:t>
      </w:r>
      <w:r w:rsidRPr="007F578F">
        <w:rPr>
          <w:b/>
          <w:bCs/>
          <w:szCs w:val="24"/>
        </w:rPr>
        <w:t>Regional Innovation Forum</w:t>
      </w:r>
      <w:r>
        <w:rPr>
          <w:szCs w:val="24"/>
        </w:rPr>
        <w:t xml:space="preserve"> to allow creation of projects as an outcome, in addition to the capacity building and forum components. One such project is in development with</w:t>
      </w:r>
      <w:r w:rsidRPr="290A1D51">
        <w:rPr>
          <w:color w:val="000000" w:themeColor="text1"/>
        </w:rPr>
        <w:t xml:space="preserve"> Oslo Metropolitan University. </w:t>
      </w:r>
    </w:p>
    <w:p w:rsidR="006B6202" w:rsidRDefault="00C00338">
      <w:pPr>
        <w:spacing w:after="120"/>
        <w:rPr>
          <w:szCs w:val="24"/>
        </w:rPr>
      </w:pPr>
      <w:r w:rsidRPr="007A5F2B">
        <w:rPr>
          <w:noProof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2120265</wp:posOffset>
            </wp:positionH>
            <wp:positionV relativeFrom="paragraph">
              <wp:posOffset>830580</wp:posOffset>
            </wp:positionV>
            <wp:extent cx="404495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464" y="21447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8"/>
                    <a:stretch/>
                  </pic:blipFill>
                  <pic:spPr bwMode="auto">
                    <a:xfrm>
                      <a:off x="0" y="0"/>
                      <a:ext cx="4044950" cy="197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02">
        <w:rPr>
          <w:szCs w:val="24"/>
        </w:rPr>
        <w:t xml:space="preserve">New approaches and strategies that help solve complex problems are essential in helping countries to address the </w:t>
      </w:r>
      <w:r w:rsidR="006B6202" w:rsidRPr="00C60E5E">
        <w:rPr>
          <w:b/>
          <w:bCs/>
          <w:szCs w:val="24"/>
        </w:rPr>
        <w:t>exponential problems and opportunities related to ICT innovations</w:t>
      </w:r>
      <w:r w:rsidR="006B6202">
        <w:rPr>
          <w:szCs w:val="24"/>
        </w:rPr>
        <w:t xml:space="preserve">. </w:t>
      </w:r>
      <w:r w:rsidR="008A79C0">
        <w:rPr>
          <w:szCs w:val="24"/>
        </w:rPr>
        <w:t>BDT</w:t>
      </w:r>
      <w:r w:rsidR="007A5F2B">
        <w:rPr>
          <w:szCs w:val="24"/>
        </w:rPr>
        <w:t xml:space="preserve"> has de</w:t>
      </w:r>
      <w:r w:rsidR="00A153ED">
        <w:rPr>
          <w:szCs w:val="24"/>
        </w:rPr>
        <w:t xml:space="preserve">veloped </w:t>
      </w:r>
      <w:r w:rsidR="00A153ED" w:rsidRPr="00081403">
        <w:rPr>
          <w:b/>
          <w:bCs/>
          <w:szCs w:val="24"/>
        </w:rPr>
        <w:t xml:space="preserve">a strategy </w:t>
      </w:r>
      <w:r w:rsidR="00081403" w:rsidRPr="00081403">
        <w:rPr>
          <w:b/>
          <w:bCs/>
          <w:szCs w:val="24"/>
        </w:rPr>
        <w:t>to promote innovation initiative</w:t>
      </w:r>
      <w:r w:rsidR="00187C44">
        <w:rPr>
          <w:b/>
          <w:bCs/>
          <w:szCs w:val="24"/>
        </w:rPr>
        <w:t>s</w:t>
      </w:r>
      <w:r w:rsidR="00081403" w:rsidRPr="00081403">
        <w:rPr>
          <w:b/>
          <w:bCs/>
          <w:szCs w:val="24"/>
        </w:rPr>
        <w:t xml:space="preserve"> </w:t>
      </w:r>
      <w:r w:rsidR="00081403">
        <w:rPr>
          <w:szCs w:val="24"/>
        </w:rPr>
        <w:t xml:space="preserve">through a </w:t>
      </w:r>
      <w:r w:rsidR="00A86157">
        <w:rPr>
          <w:szCs w:val="24"/>
        </w:rPr>
        <w:t>framework</w:t>
      </w:r>
      <w:r w:rsidR="00081403">
        <w:rPr>
          <w:szCs w:val="24"/>
        </w:rPr>
        <w:t xml:space="preserve"> that facilitates the</w:t>
      </w:r>
      <w:r w:rsidR="00A153ED">
        <w:rPr>
          <w:szCs w:val="24"/>
        </w:rPr>
        <w:t xml:space="preserve"> development of bankable</w:t>
      </w:r>
      <w:r w:rsidR="005B3860">
        <w:rPr>
          <w:szCs w:val="24"/>
        </w:rPr>
        <w:t xml:space="preserve"> </w:t>
      </w:r>
      <w:r w:rsidR="007A5F2B">
        <w:rPr>
          <w:szCs w:val="24"/>
        </w:rPr>
        <w:t>innovation projects</w:t>
      </w:r>
      <w:r w:rsidR="00187C44">
        <w:rPr>
          <w:szCs w:val="24"/>
        </w:rPr>
        <w:t xml:space="preserve"> at the national level</w:t>
      </w:r>
      <w:r w:rsidR="00081403">
        <w:rPr>
          <w:szCs w:val="24"/>
        </w:rPr>
        <w:t xml:space="preserve">, while ensuring </w:t>
      </w:r>
      <w:r w:rsidR="00A86157">
        <w:rPr>
          <w:szCs w:val="24"/>
        </w:rPr>
        <w:t xml:space="preserve">that </w:t>
      </w:r>
      <w:r w:rsidR="00081403">
        <w:rPr>
          <w:szCs w:val="24"/>
        </w:rPr>
        <w:t>new partnership</w:t>
      </w:r>
      <w:r w:rsidR="00187C44">
        <w:rPr>
          <w:szCs w:val="24"/>
        </w:rPr>
        <w:t xml:space="preserve"> models</w:t>
      </w:r>
      <w:r w:rsidR="00A86157">
        <w:rPr>
          <w:szCs w:val="24"/>
        </w:rPr>
        <w:t xml:space="preserve"> with diverse stakeholder groups are nurtured to make co-create</w:t>
      </w:r>
      <w:r w:rsidR="00B72B95">
        <w:rPr>
          <w:szCs w:val="24"/>
        </w:rPr>
        <w:t>d</w:t>
      </w:r>
      <w:r w:rsidR="00A86157">
        <w:rPr>
          <w:szCs w:val="24"/>
        </w:rPr>
        <w:t xml:space="preserve"> </w:t>
      </w:r>
      <w:r w:rsidR="008A79C0">
        <w:rPr>
          <w:szCs w:val="24"/>
        </w:rPr>
        <w:t>projects</w:t>
      </w:r>
      <w:r w:rsidR="00A86157">
        <w:rPr>
          <w:szCs w:val="24"/>
        </w:rPr>
        <w:t xml:space="preserve"> successful</w:t>
      </w:r>
      <w:r w:rsidR="00F22931">
        <w:rPr>
          <w:szCs w:val="24"/>
        </w:rPr>
        <w:t xml:space="preserve">. </w:t>
      </w:r>
    </w:p>
    <w:p w:rsidR="00A86157" w:rsidRDefault="00F22931" w:rsidP="00636FEA">
      <w:pPr>
        <w:spacing w:after="120"/>
        <w:rPr>
          <w:szCs w:val="24"/>
        </w:rPr>
      </w:pPr>
      <w:r>
        <w:rPr>
          <w:szCs w:val="24"/>
        </w:rPr>
        <w:t xml:space="preserve">The </w:t>
      </w:r>
      <w:r w:rsidR="00A153ED">
        <w:rPr>
          <w:szCs w:val="24"/>
        </w:rPr>
        <w:t>strateg</w:t>
      </w:r>
      <w:r w:rsidR="00C132E1">
        <w:rPr>
          <w:szCs w:val="24"/>
        </w:rPr>
        <w:t>y builds</w:t>
      </w:r>
      <w:r w:rsidR="00A153ED">
        <w:rPr>
          <w:szCs w:val="24"/>
        </w:rPr>
        <w:t xml:space="preserve"> on the digital innovation profile assessment</w:t>
      </w:r>
      <w:r w:rsidR="00C132E1">
        <w:rPr>
          <w:szCs w:val="24"/>
        </w:rPr>
        <w:t>s</w:t>
      </w:r>
      <w:r w:rsidR="00A86157">
        <w:rPr>
          <w:szCs w:val="24"/>
        </w:rPr>
        <w:t xml:space="preserve"> (as shown in figure)</w:t>
      </w:r>
      <w:r w:rsidR="00C132E1">
        <w:rPr>
          <w:szCs w:val="24"/>
        </w:rPr>
        <w:t xml:space="preserve">, and </w:t>
      </w:r>
      <w:r>
        <w:rPr>
          <w:szCs w:val="24"/>
        </w:rPr>
        <w:t>develop</w:t>
      </w:r>
      <w:r w:rsidR="00C132E1">
        <w:rPr>
          <w:szCs w:val="24"/>
        </w:rPr>
        <w:t>s</w:t>
      </w:r>
      <w:r>
        <w:rPr>
          <w:szCs w:val="24"/>
        </w:rPr>
        <w:t xml:space="preserve"> </w:t>
      </w:r>
      <w:r w:rsidR="00187C44" w:rsidRPr="00190402">
        <w:rPr>
          <w:szCs w:val="24"/>
        </w:rPr>
        <w:t>a</w:t>
      </w:r>
      <w:r w:rsidR="00C75D6D">
        <w:rPr>
          <w:szCs w:val="24"/>
        </w:rPr>
        <w:t>n</w:t>
      </w:r>
      <w:r w:rsidR="00187C44" w:rsidRPr="00190402">
        <w:rPr>
          <w:szCs w:val="24"/>
        </w:rPr>
        <w:t xml:space="preserve"> </w:t>
      </w:r>
      <w:r w:rsidRPr="00190402">
        <w:rPr>
          <w:szCs w:val="24"/>
        </w:rPr>
        <w:t>innovation</w:t>
      </w:r>
      <w:r w:rsidR="00187C44" w:rsidRPr="00190402">
        <w:rPr>
          <w:szCs w:val="24"/>
        </w:rPr>
        <w:t xml:space="preserve"> </w:t>
      </w:r>
      <w:proofErr w:type="spellStart"/>
      <w:r w:rsidR="00187C44" w:rsidRPr="00190402">
        <w:rPr>
          <w:szCs w:val="24"/>
        </w:rPr>
        <w:t>center</w:t>
      </w:r>
      <w:proofErr w:type="spellEnd"/>
      <w:r w:rsidRPr="00190402">
        <w:rPr>
          <w:szCs w:val="24"/>
        </w:rPr>
        <w:t xml:space="preserve"> </w:t>
      </w:r>
      <w:r w:rsidR="00C132E1" w:rsidRPr="00190402">
        <w:rPr>
          <w:szCs w:val="24"/>
        </w:rPr>
        <w:t>that can act</w:t>
      </w:r>
      <w:r w:rsidR="00C132E1">
        <w:rPr>
          <w:szCs w:val="24"/>
        </w:rPr>
        <w:t xml:space="preserve"> </w:t>
      </w:r>
      <w:r w:rsidR="00C132E1">
        <w:rPr>
          <w:szCs w:val="24"/>
        </w:rPr>
        <w:lastRenderedPageBreak/>
        <w:t>as</w:t>
      </w:r>
      <w:r>
        <w:rPr>
          <w:szCs w:val="24"/>
        </w:rPr>
        <w:t xml:space="preserve"> </w:t>
      </w:r>
      <w:r w:rsidRPr="00C60E5E">
        <w:rPr>
          <w:b/>
          <w:bCs/>
          <w:szCs w:val="24"/>
        </w:rPr>
        <w:t>testbed for accelerating digital transformation</w:t>
      </w:r>
      <w:r w:rsidR="008A79C0">
        <w:rPr>
          <w:szCs w:val="24"/>
        </w:rPr>
        <w:t xml:space="preserve"> to meet national visions</w:t>
      </w:r>
      <w:r>
        <w:rPr>
          <w:szCs w:val="24"/>
        </w:rPr>
        <w:t xml:space="preserve">. </w:t>
      </w:r>
    </w:p>
    <w:p w:rsidR="00C132E1" w:rsidRDefault="00C132E1" w:rsidP="0024448B">
      <w:pPr>
        <w:spacing w:after="120"/>
        <w:rPr>
          <w:szCs w:val="24"/>
        </w:rPr>
      </w:pPr>
      <w:r>
        <w:rPr>
          <w:szCs w:val="24"/>
        </w:rPr>
        <w:t xml:space="preserve">The first pilot of such initiative, in collaboration with </w:t>
      </w:r>
      <w:r w:rsidR="00F53B94">
        <w:rPr>
          <w:szCs w:val="24"/>
        </w:rPr>
        <w:t xml:space="preserve">the </w:t>
      </w:r>
      <w:r>
        <w:rPr>
          <w:szCs w:val="24"/>
        </w:rPr>
        <w:t xml:space="preserve">Department of Postal and Telecommunication of </w:t>
      </w:r>
      <w:r w:rsidR="008A79C0">
        <w:rPr>
          <w:szCs w:val="24"/>
        </w:rPr>
        <w:t xml:space="preserve">the Republic of </w:t>
      </w:r>
      <w:r>
        <w:rPr>
          <w:szCs w:val="24"/>
        </w:rPr>
        <w:t xml:space="preserve">South Africa, is </w:t>
      </w:r>
      <w:r w:rsidR="008A79C0">
        <w:rPr>
          <w:szCs w:val="24"/>
        </w:rPr>
        <w:t>under development</w:t>
      </w:r>
      <w:r w:rsidR="007A5F2B">
        <w:rPr>
          <w:szCs w:val="24"/>
        </w:rPr>
        <w:t>.</w:t>
      </w:r>
      <w:r w:rsidR="00792160">
        <w:rPr>
          <w:szCs w:val="24"/>
        </w:rPr>
        <w:t xml:space="preserve"> </w:t>
      </w:r>
    </w:p>
    <w:p w:rsidR="007A5F2B" w:rsidRDefault="007A5F2B" w:rsidP="0024448B">
      <w:pPr>
        <w:spacing w:after="120"/>
        <w:rPr>
          <w:szCs w:val="24"/>
        </w:rPr>
      </w:pPr>
      <w:r w:rsidRPr="007A5F2B">
        <w:rPr>
          <w:szCs w:val="24"/>
        </w:rPr>
        <w:t xml:space="preserve">Digital Transformation </w:t>
      </w:r>
      <w:proofErr w:type="spellStart"/>
      <w:r w:rsidRPr="007A5F2B">
        <w:rPr>
          <w:szCs w:val="24"/>
        </w:rPr>
        <w:t>Center</w:t>
      </w:r>
      <w:r w:rsidR="006B6202">
        <w:rPr>
          <w:szCs w:val="24"/>
        </w:rPr>
        <w:t>s</w:t>
      </w:r>
      <w:proofErr w:type="spellEnd"/>
      <w:r w:rsidRPr="007A5F2B">
        <w:rPr>
          <w:szCs w:val="24"/>
        </w:rPr>
        <w:t xml:space="preserve"> will have a </w:t>
      </w:r>
      <w:r w:rsidR="008A79C0">
        <w:rPr>
          <w:szCs w:val="24"/>
        </w:rPr>
        <w:t>key role in supporting</w:t>
      </w:r>
      <w:r w:rsidR="00C132E1">
        <w:rPr>
          <w:szCs w:val="24"/>
        </w:rPr>
        <w:t xml:space="preserve"> </w:t>
      </w:r>
      <w:r w:rsidR="006B6202">
        <w:rPr>
          <w:szCs w:val="24"/>
        </w:rPr>
        <w:t>a country</w:t>
      </w:r>
      <w:r>
        <w:rPr>
          <w:szCs w:val="24"/>
        </w:rPr>
        <w:t xml:space="preserve"> </w:t>
      </w:r>
      <w:r w:rsidR="006B6202">
        <w:rPr>
          <w:szCs w:val="24"/>
        </w:rPr>
        <w:t xml:space="preserve">to </w:t>
      </w:r>
      <w:r w:rsidR="00C35B5E">
        <w:rPr>
          <w:szCs w:val="24"/>
        </w:rPr>
        <w:t>facilitat</w:t>
      </w:r>
      <w:r w:rsidR="003A3F63">
        <w:rPr>
          <w:szCs w:val="24"/>
        </w:rPr>
        <w:t>e</w:t>
      </w:r>
      <w:r w:rsidRPr="007A5F2B">
        <w:rPr>
          <w:szCs w:val="24"/>
        </w:rPr>
        <w:t xml:space="preserve"> the diffusion and permeation of </w:t>
      </w:r>
      <w:r w:rsidR="00C132E1">
        <w:rPr>
          <w:szCs w:val="24"/>
        </w:rPr>
        <w:t>ICT</w:t>
      </w:r>
      <w:r w:rsidRPr="007A5F2B">
        <w:rPr>
          <w:szCs w:val="24"/>
        </w:rPr>
        <w:t xml:space="preserve"> innovation</w:t>
      </w:r>
      <w:r w:rsidR="00C132E1">
        <w:rPr>
          <w:szCs w:val="24"/>
        </w:rPr>
        <w:t>s</w:t>
      </w:r>
      <w:r w:rsidRPr="007A5F2B">
        <w:rPr>
          <w:szCs w:val="24"/>
        </w:rPr>
        <w:t xml:space="preserve"> by </w:t>
      </w:r>
      <w:r w:rsidR="003A3F63">
        <w:rPr>
          <w:szCs w:val="24"/>
        </w:rPr>
        <w:t xml:space="preserve">all </w:t>
      </w:r>
      <w:r w:rsidR="00C35B5E">
        <w:rPr>
          <w:szCs w:val="24"/>
        </w:rPr>
        <w:t>stakeholders</w:t>
      </w:r>
      <w:r w:rsidR="00081403">
        <w:rPr>
          <w:szCs w:val="24"/>
        </w:rPr>
        <w:t xml:space="preserve">. </w:t>
      </w:r>
      <w:r w:rsidR="00D90CC0">
        <w:rPr>
          <w:szCs w:val="24"/>
        </w:rPr>
        <w:t xml:space="preserve">The </w:t>
      </w:r>
      <w:proofErr w:type="spellStart"/>
      <w:r w:rsidR="00D90CC0">
        <w:rPr>
          <w:szCs w:val="24"/>
        </w:rPr>
        <w:t>Center</w:t>
      </w:r>
      <w:proofErr w:type="spellEnd"/>
      <w:r w:rsidR="00D90CC0">
        <w:rPr>
          <w:szCs w:val="24"/>
        </w:rPr>
        <w:t xml:space="preserve"> will act</w:t>
      </w:r>
      <w:r w:rsidR="00D90CC0" w:rsidRPr="007A5F2B">
        <w:rPr>
          <w:szCs w:val="24"/>
        </w:rPr>
        <w:t xml:space="preserve"> as </w:t>
      </w:r>
      <w:r w:rsidR="007F578F">
        <w:rPr>
          <w:szCs w:val="24"/>
        </w:rPr>
        <w:t xml:space="preserve">an </w:t>
      </w:r>
      <w:r w:rsidR="00D90CC0" w:rsidRPr="007A5F2B">
        <w:rPr>
          <w:szCs w:val="24"/>
        </w:rPr>
        <w:t>orchestrator of</w:t>
      </w:r>
      <w:r w:rsidR="00D90CC0">
        <w:rPr>
          <w:szCs w:val="24"/>
        </w:rPr>
        <w:t xml:space="preserve"> key </w:t>
      </w:r>
      <w:r w:rsidR="007F578F">
        <w:rPr>
          <w:szCs w:val="24"/>
        </w:rPr>
        <w:t xml:space="preserve">actions </w:t>
      </w:r>
      <w:r w:rsidR="00D90CC0">
        <w:rPr>
          <w:szCs w:val="24"/>
        </w:rPr>
        <w:t xml:space="preserve">and </w:t>
      </w:r>
      <w:r w:rsidR="00C132E1">
        <w:rPr>
          <w:szCs w:val="24"/>
        </w:rPr>
        <w:t>provide</w:t>
      </w:r>
      <w:r w:rsidR="0002305D">
        <w:rPr>
          <w:szCs w:val="24"/>
        </w:rPr>
        <w:t>s</w:t>
      </w:r>
      <w:r w:rsidR="00C132E1">
        <w:rPr>
          <w:szCs w:val="24"/>
        </w:rPr>
        <w:t xml:space="preserve"> a framework through which </w:t>
      </w:r>
      <w:r w:rsidRPr="007A5F2B">
        <w:rPr>
          <w:szCs w:val="24"/>
        </w:rPr>
        <w:t xml:space="preserve">multi-stakeholder groups of </w:t>
      </w:r>
      <w:r w:rsidR="00B72B95">
        <w:rPr>
          <w:szCs w:val="24"/>
        </w:rPr>
        <w:t>stakeholders (including policy makers, innovators, SMEs, private sector, financiers, academics, and other actors)</w:t>
      </w:r>
      <w:r w:rsidRPr="007A5F2B">
        <w:rPr>
          <w:szCs w:val="24"/>
        </w:rPr>
        <w:t xml:space="preserve"> </w:t>
      </w:r>
      <w:r w:rsidR="00B72B95">
        <w:rPr>
          <w:szCs w:val="24"/>
        </w:rPr>
        <w:t>can partner,</w:t>
      </w:r>
      <w:r w:rsidR="00D90CC0">
        <w:rPr>
          <w:szCs w:val="24"/>
        </w:rPr>
        <w:t xml:space="preserve"> collaborate, co-create projects</w:t>
      </w:r>
      <w:r w:rsidR="007F578F">
        <w:rPr>
          <w:szCs w:val="24"/>
        </w:rPr>
        <w:t>,</w:t>
      </w:r>
      <w:r w:rsidR="00D90CC0">
        <w:rPr>
          <w:szCs w:val="24"/>
        </w:rPr>
        <w:t xml:space="preserve"> and engage </w:t>
      </w:r>
      <w:r w:rsidR="007F578F">
        <w:rPr>
          <w:szCs w:val="24"/>
        </w:rPr>
        <w:t>in digital transformation initiatives.</w:t>
      </w:r>
      <w:r w:rsidR="00792160">
        <w:rPr>
          <w:szCs w:val="24"/>
        </w:rPr>
        <w:t xml:space="preserve"> </w:t>
      </w:r>
    </w:p>
    <w:p w:rsidR="006A7324" w:rsidRPr="00CF5C6D" w:rsidRDefault="00187C44" w:rsidP="00636FEA">
      <w:pPr>
        <w:spacing w:after="120"/>
        <w:rPr>
          <w:szCs w:val="24"/>
        </w:rPr>
      </w:pPr>
      <w:r>
        <w:rPr>
          <w:szCs w:val="24"/>
        </w:rPr>
        <w:t xml:space="preserve">The </w:t>
      </w:r>
      <w:r w:rsidR="003A3F63">
        <w:rPr>
          <w:szCs w:val="24"/>
        </w:rPr>
        <w:t>Innovation P</w:t>
      </w:r>
      <w:r>
        <w:rPr>
          <w:szCs w:val="24"/>
        </w:rPr>
        <w:t>latform</w:t>
      </w:r>
      <w:r w:rsidR="000A29D3">
        <w:rPr>
          <w:szCs w:val="24"/>
        </w:rPr>
        <w:t xml:space="preserve"> co-creation </w:t>
      </w:r>
      <w:r w:rsidR="007F578F">
        <w:rPr>
          <w:szCs w:val="24"/>
        </w:rPr>
        <w:t xml:space="preserve">model </w:t>
      </w:r>
      <w:r>
        <w:rPr>
          <w:szCs w:val="24"/>
        </w:rPr>
        <w:t xml:space="preserve">for </w:t>
      </w:r>
      <w:r w:rsidR="000A29D3">
        <w:rPr>
          <w:szCs w:val="24"/>
        </w:rPr>
        <w:t>project</w:t>
      </w:r>
      <w:r>
        <w:rPr>
          <w:szCs w:val="24"/>
        </w:rPr>
        <w:t>s</w:t>
      </w:r>
      <w:r w:rsidR="006B5801">
        <w:rPr>
          <w:szCs w:val="24"/>
        </w:rPr>
        <w:t xml:space="preserve"> </w:t>
      </w:r>
      <w:r w:rsidR="006A7324" w:rsidRPr="00CF5C6D">
        <w:rPr>
          <w:szCs w:val="24"/>
        </w:rPr>
        <w:t>is expected to</w:t>
      </w:r>
      <w:r w:rsidR="006B5801">
        <w:rPr>
          <w:szCs w:val="24"/>
        </w:rPr>
        <w:t xml:space="preserve"> </w:t>
      </w:r>
      <w:r w:rsidR="000A29D3">
        <w:rPr>
          <w:szCs w:val="24"/>
        </w:rPr>
        <w:t>offer ITU</w:t>
      </w:r>
      <w:r w:rsidR="003A3F63">
        <w:rPr>
          <w:szCs w:val="24"/>
        </w:rPr>
        <w:t>-D</w:t>
      </w:r>
      <w:r w:rsidR="000A29D3">
        <w:rPr>
          <w:szCs w:val="24"/>
        </w:rPr>
        <w:t xml:space="preserve"> membership </w:t>
      </w:r>
      <w:r w:rsidR="00C75D6D">
        <w:rPr>
          <w:szCs w:val="24"/>
        </w:rPr>
        <w:t xml:space="preserve">creative </w:t>
      </w:r>
      <w:r w:rsidR="000A29D3">
        <w:rPr>
          <w:szCs w:val="24"/>
        </w:rPr>
        <w:t xml:space="preserve">ways </w:t>
      </w:r>
      <w:r w:rsidR="00F53B94">
        <w:rPr>
          <w:szCs w:val="24"/>
        </w:rPr>
        <w:t xml:space="preserve">to </w:t>
      </w:r>
      <w:r>
        <w:rPr>
          <w:szCs w:val="24"/>
        </w:rPr>
        <w:t>“</w:t>
      </w:r>
      <w:r w:rsidR="006A7324" w:rsidRPr="00CF5C6D">
        <w:rPr>
          <w:szCs w:val="24"/>
        </w:rPr>
        <w:t>build</w:t>
      </w:r>
      <w:r>
        <w:rPr>
          <w:szCs w:val="24"/>
        </w:rPr>
        <w:t xml:space="preserve"> </w:t>
      </w:r>
      <w:r w:rsidR="006A7324" w:rsidRPr="00CF5C6D">
        <w:rPr>
          <w:szCs w:val="24"/>
        </w:rPr>
        <w:t xml:space="preserve">scalable </w:t>
      </w:r>
      <w:r w:rsidR="00F22931">
        <w:rPr>
          <w:szCs w:val="24"/>
        </w:rPr>
        <w:t>and bankable project</w:t>
      </w:r>
      <w:r>
        <w:rPr>
          <w:szCs w:val="24"/>
        </w:rPr>
        <w:t>s</w:t>
      </w:r>
      <w:r w:rsidR="00B72B95">
        <w:rPr>
          <w:szCs w:val="24"/>
        </w:rPr>
        <w:t xml:space="preserve"> while nurturing new partnerships</w:t>
      </w:r>
      <w:r>
        <w:rPr>
          <w:szCs w:val="24"/>
        </w:rPr>
        <w:t>”</w:t>
      </w:r>
      <w:r w:rsidR="000A29D3">
        <w:rPr>
          <w:szCs w:val="24"/>
        </w:rPr>
        <w:t>,</w:t>
      </w:r>
      <w:r w:rsidR="00F22931">
        <w:rPr>
          <w:szCs w:val="24"/>
        </w:rPr>
        <w:t xml:space="preserve"> and will </w:t>
      </w:r>
      <w:r w:rsidR="00C60E5E">
        <w:rPr>
          <w:szCs w:val="24"/>
        </w:rPr>
        <w:t>contribute to</w:t>
      </w:r>
      <w:r w:rsidR="003E1A8A">
        <w:rPr>
          <w:szCs w:val="24"/>
        </w:rPr>
        <w:t xml:space="preserve"> </w:t>
      </w:r>
      <w:r w:rsidR="003E1A8A" w:rsidRPr="00C60E5E">
        <w:rPr>
          <w:b/>
          <w:bCs/>
          <w:szCs w:val="24"/>
        </w:rPr>
        <w:t>accelerate the achievement of the Buenos Aires Action Plan</w:t>
      </w:r>
      <w:r w:rsidR="006A7324" w:rsidRPr="00CF5C6D">
        <w:rPr>
          <w:szCs w:val="24"/>
        </w:rPr>
        <w:t>.</w:t>
      </w:r>
      <w:r w:rsidR="00792160">
        <w:rPr>
          <w:szCs w:val="24"/>
        </w:rPr>
        <w:t xml:space="preserve"> </w:t>
      </w:r>
    </w:p>
    <w:p w:rsidR="006A7324" w:rsidRPr="0024448B" w:rsidRDefault="006A7324" w:rsidP="009074DB">
      <w:pPr>
        <w:pStyle w:val="PlainText"/>
        <w:keepNext/>
        <w:numPr>
          <w:ilvl w:val="1"/>
          <w:numId w:val="8"/>
        </w:numPr>
        <w:spacing w:before="120" w:after="120"/>
        <w:ind w:left="720" w:hanging="7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Internal Innovation Actions</w:t>
      </w:r>
    </w:p>
    <w:p w:rsidR="006A7324" w:rsidRDefault="006A7324" w:rsidP="0024448B">
      <w:pPr>
        <w:spacing w:after="120"/>
        <w:rPr>
          <w:szCs w:val="24"/>
        </w:rPr>
      </w:pPr>
      <w:r w:rsidRPr="00CF5C6D">
        <w:rPr>
          <w:szCs w:val="24"/>
        </w:rPr>
        <w:t xml:space="preserve">BDT </w:t>
      </w:r>
      <w:r w:rsidR="006B5801">
        <w:rPr>
          <w:szCs w:val="24"/>
        </w:rPr>
        <w:t>cont</w:t>
      </w:r>
      <w:r w:rsidR="0002305D">
        <w:rPr>
          <w:szCs w:val="24"/>
        </w:rPr>
        <w:t>inues</w:t>
      </w:r>
      <w:r w:rsidR="006B5801">
        <w:rPr>
          <w:szCs w:val="24"/>
        </w:rPr>
        <w:t xml:space="preserve"> to support internal innovation as appropriate through </w:t>
      </w:r>
      <w:r w:rsidR="00666B13">
        <w:rPr>
          <w:szCs w:val="24"/>
        </w:rPr>
        <w:t xml:space="preserve">the </w:t>
      </w:r>
      <w:r w:rsidR="006B5801">
        <w:rPr>
          <w:szCs w:val="24"/>
        </w:rPr>
        <w:t>development of new tools or conducting internal innovation activities</w:t>
      </w:r>
      <w:r w:rsidR="001966BD">
        <w:rPr>
          <w:szCs w:val="24"/>
        </w:rPr>
        <w:t>.</w:t>
      </w:r>
    </w:p>
    <w:p w:rsidR="007F066D" w:rsidRDefault="00666B13" w:rsidP="00636FEA">
      <w:pPr>
        <w:spacing w:after="120"/>
        <w:rPr>
          <w:szCs w:val="24"/>
        </w:rPr>
      </w:pPr>
      <w:r>
        <w:rPr>
          <w:szCs w:val="24"/>
        </w:rPr>
        <w:t>To this aim</w:t>
      </w:r>
      <w:r w:rsidR="001966BD" w:rsidRPr="001966BD">
        <w:rPr>
          <w:szCs w:val="24"/>
        </w:rPr>
        <w:t xml:space="preserve">, </w:t>
      </w:r>
      <w:r>
        <w:rPr>
          <w:szCs w:val="24"/>
        </w:rPr>
        <w:t xml:space="preserve">the </w:t>
      </w:r>
      <w:r w:rsidR="001966BD" w:rsidRPr="001966BD">
        <w:rPr>
          <w:szCs w:val="24"/>
        </w:rPr>
        <w:t>BDT</w:t>
      </w:r>
      <w:r>
        <w:rPr>
          <w:szCs w:val="24"/>
        </w:rPr>
        <w:t xml:space="preserve"> I</w:t>
      </w:r>
      <w:r w:rsidR="001966BD" w:rsidRPr="001966BD">
        <w:rPr>
          <w:szCs w:val="24"/>
        </w:rPr>
        <w:t xml:space="preserve">nnovation </w:t>
      </w:r>
      <w:r>
        <w:rPr>
          <w:szCs w:val="24"/>
        </w:rPr>
        <w:t xml:space="preserve">Service </w:t>
      </w:r>
      <w:r w:rsidR="001966BD" w:rsidRPr="001966BD">
        <w:rPr>
          <w:szCs w:val="24"/>
        </w:rPr>
        <w:t>organised and delivered a workshop on resource mobilization</w:t>
      </w:r>
      <w:r w:rsidR="001966BD">
        <w:rPr>
          <w:szCs w:val="24"/>
        </w:rPr>
        <w:t xml:space="preserve"> </w:t>
      </w:r>
      <w:r w:rsidR="001966BD" w:rsidRPr="001966BD">
        <w:rPr>
          <w:szCs w:val="24"/>
        </w:rPr>
        <w:t xml:space="preserve">during the BDT </w:t>
      </w:r>
      <w:r>
        <w:rPr>
          <w:szCs w:val="24"/>
        </w:rPr>
        <w:t xml:space="preserve">management </w:t>
      </w:r>
      <w:r w:rsidR="001966BD" w:rsidRPr="001966BD">
        <w:rPr>
          <w:szCs w:val="24"/>
        </w:rPr>
        <w:t>retreat, through developing a strategic framework (with five tools) for resource mobilization. As a result</w:t>
      </w:r>
      <w:r>
        <w:rPr>
          <w:szCs w:val="24"/>
        </w:rPr>
        <w:t>,</w:t>
      </w:r>
      <w:r w:rsidR="001966BD" w:rsidRPr="001966BD">
        <w:rPr>
          <w:szCs w:val="24"/>
        </w:rPr>
        <w:t xml:space="preserve"> a roadmap was developed with </w:t>
      </w:r>
      <w:r w:rsidR="00DE447F">
        <w:rPr>
          <w:szCs w:val="24"/>
        </w:rPr>
        <w:t xml:space="preserve">some key </w:t>
      </w:r>
      <w:r w:rsidR="001966BD" w:rsidRPr="001966BD">
        <w:rPr>
          <w:szCs w:val="24"/>
        </w:rPr>
        <w:t xml:space="preserve">priority actions to strengthen BDT resource mobilization. </w:t>
      </w:r>
      <w:r w:rsidR="007F066D">
        <w:rPr>
          <w:szCs w:val="24"/>
        </w:rPr>
        <w:t xml:space="preserve"> More information on these key priority actions may be found in document </w:t>
      </w:r>
      <w:hyperlink r:id="rId23" w:history="1">
        <w:r w:rsidR="007F066D" w:rsidRPr="007F066D">
          <w:rPr>
            <w:rStyle w:val="Hyperlink"/>
            <w:szCs w:val="24"/>
          </w:rPr>
          <w:t>TDAG-19/21</w:t>
        </w:r>
      </w:hyperlink>
      <w:r w:rsidR="007F066D">
        <w:rPr>
          <w:szCs w:val="24"/>
        </w:rPr>
        <w:t xml:space="preserve"> on Partnership and Resource Mobilization.</w:t>
      </w:r>
    </w:p>
    <w:p w:rsidR="001966BD" w:rsidRPr="00CF5C6D" w:rsidRDefault="001966BD" w:rsidP="00636FEA">
      <w:pPr>
        <w:spacing w:after="120"/>
        <w:rPr>
          <w:szCs w:val="24"/>
        </w:rPr>
      </w:pPr>
      <w:r w:rsidRPr="001966BD">
        <w:rPr>
          <w:szCs w:val="24"/>
        </w:rPr>
        <w:t xml:space="preserve">Additionally, a new tool was also developed </w:t>
      </w:r>
      <w:r w:rsidR="00C75D6D">
        <w:rPr>
          <w:szCs w:val="24"/>
        </w:rPr>
        <w:t xml:space="preserve">to </w:t>
      </w:r>
      <w:r w:rsidR="00C75D6D" w:rsidRPr="0002305D">
        <w:rPr>
          <w:szCs w:val="24"/>
        </w:rPr>
        <w:t>enhanc</w:t>
      </w:r>
      <w:r w:rsidR="00C75D6D">
        <w:rPr>
          <w:szCs w:val="24"/>
        </w:rPr>
        <w:t>e</w:t>
      </w:r>
      <w:r w:rsidR="00C75D6D" w:rsidRPr="0002305D">
        <w:rPr>
          <w:szCs w:val="24"/>
        </w:rPr>
        <w:t xml:space="preserve"> </w:t>
      </w:r>
      <w:r w:rsidR="0002305D" w:rsidRPr="0002305D">
        <w:rPr>
          <w:szCs w:val="24"/>
        </w:rPr>
        <w:t>data collection i</w:t>
      </w:r>
      <w:r w:rsidR="0002305D">
        <w:rPr>
          <w:szCs w:val="24"/>
        </w:rPr>
        <w:t xml:space="preserve">n </w:t>
      </w:r>
      <w:r w:rsidR="00F53B94">
        <w:rPr>
          <w:szCs w:val="24"/>
        </w:rPr>
        <w:t xml:space="preserve">ITU-D </w:t>
      </w:r>
      <w:r w:rsidRPr="001966BD">
        <w:rPr>
          <w:szCs w:val="24"/>
        </w:rPr>
        <w:t xml:space="preserve">Study Group </w:t>
      </w:r>
      <w:r w:rsidR="00A82A7B">
        <w:rPr>
          <w:szCs w:val="24"/>
        </w:rPr>
        <w:t xml:space="preserve">Question </w:t>
      </w:r>
      <w:r w:rsidR="0002305D">
        <w:rPr>
          <w:szCs w:val="24"/>
        </w:rPr>
        <w:t>on smart society.</w:t>
      </w:r>
    </w:p>
    <w:p w:rsidR="006A7324" w:rsidRPr="0024448B" w:rsidRDefault="006A7324" w:rsidP="009074DB">
      <w:pPr>
        <w:pStyle w:val="PlainText"/>
        <w:keepNext/>
        <w:numPr>
          <w:ilvl w:val="0"/>
          <w:numId w:val="2"/>
        </w:numPr>
        <w:spacing w:before="120" w:after="120"/>
        <w:ind w:left="720" w:hanging="720"/>
        <w:rPr>
          <w:rFonts w:asciiTheme="minorHAnsi" w:hAnsiTheme="minorHAnsi"/>
          <w:b/>
          <w:bCs/>
          <w:sz w:val="24"/>
          <w:szCs w:val="24"/>
        </w:rPr>
      </w:pPr>
      <w:r w:rsidRPr="0024448B">
        <w:rPr>
          <w:rFonts w:asciiTheme="minorHAnsi" w:hAnsiTheme="minorHAnsi"/>
          <w:b/>
          <w:bCs/>
          <w:sz w:val="24"/>
          <w:szCs w:val="24"/>
        </w:rPr>
        <w:t>Way Forward</w:t>
      </w:r>
    </w:p>
    <w:p w:rsidR="006A7324" w:rsidRPr="00CF5C6D" w:rsidRDefault="00DD5A19" w:rsidP="00C924CF">
      <w:pPr>
        <w:spacing w:after="120"/>
        <w:rPr>
          <w:rStyle w:val="Strong"/>
          <w:b w:val="0"/>
          <w:bCs w:val="0"/>
          <w:szCs w:val="24"/>
        </w:rPr>
      </w:pPr>
      <w:r w:rsidRPr="00DD5A19">
        <w:rPr>
          <w:szCs w:val="24"/>
        </w:rPr>
        <w:t xml:space="preserve">Innovation is a way of thinking.  The BDT Director </w:t>
      </w:r>
      <w:r w:rsidR="00C924CF">
        <w:rPr>
          <w:szCs w:val="24"/>
        </w:rPr>
        <w:t>is coordinating</w:t>
      </w:r>
      <w:r w:rsidRPr="00DD5A19">
        <w:rPr>
          <w:szCs w:val="24"/>
        </w:rPr>
        <w:t xml:space="preserve"> a cross-ITU team to look at an innovation strategy for the Union. </w:t>
      </w:r>
      <w:r w:rsidR="006A7324" w:rsidRPr="00CF5C6D">
        <w:rPr>
          <w:szCs w:val="24"/>
        </w:rPr>
        <w:t xml:space="preserve">BDT will </w:t>
      </w:r>
      <w:r>
        <w:rPr>
          <w:szCs w:val="24"/>
        </w:rPr>
        <w:t xml:space="preserve">continue to </w:t>
      </w:r>
      <w:r w:rsidR="006A7324" w:rsidRPr="00CF5C6D">
        <w:rPr>
          <w:szCs w:val="24"/>
        </w:rPr>
        <w:t>strengthen innovation activities as below</w:t>
      </w:r>
      <w:r w:rsidR="00F53B94">
        <w:rPr>
          <w:szCs w:val="24"/>
        </w:rPr>
        <w:t>,</w:t>
      </w:r>
      <w:r w:rsidR="006A7324" w:rsidRPr="00CF5C6D">
        <w:rPr>
          <w:szCs w:val="24"/>
        </w:rPr>
        <w:t xml:space="preserve"> </w:t>
      </w:r>
      <w:r w:rsidR="00F53B94">
        <w:rPr>
          <w:szCs w:val="24"/>
        </w:rPr>
        <w:t>to cite a few</w:t>
      </w:r>
      <w:r w:rsidR="006A7324" w:rsidRPr="00CF5C6D">
        <w:rPr>
          <w:szCs w:val="24"/>
        </w:rPr>
        <w:t>:</w:t>
      </w:r>
    </w:p>
    <w:p w:rsidR="001966BD" w:rsidRDefault="001966BD" w:rsidP="00B74326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>
        <w:rPr>
          <w:iCs/>
          <w:szCs w:val="24"/>
        </w:rPr>
        <w:t xml:space="preserve">Launch new </w:t>
      </w:r>
      <w:r w:rsidR="006A7324" w:rsidRPr="00CF5C6D">
        <w:rPr>
          <w:iCs/>
          <w:szCs w:val="24"/>
        </w:rPr>
        <w:t xml:space="preserve">toolkits </w:t>
      </w:r>
      <w:r>
        <w:rPr>
          <w:iCs/>
          <w:szCs w:val="24"/>
        </w:rPr>
        <w:t xml:space="preserve">to accelerate digital transformation, to build an entrepreneurial ecosystem </w:t>
      </w:r>
      <w:r w:rsidR="00E27E72">
        <w:rPr>
          <w:iCs/>
          <w:szCs w:val="24"/>
        </w:rPr>
        <w:t xml:space="preserve">and </w:t>
      </w:r>
      <w:r w:rsidR="00FE00E6">
        <w:rPr>
          <w:iCs/>
          <w:szCs w:val="24"/>
        </w:rPr>
        <w:t xml:space="preserve">to nurture innovation communities; </w:t>
      </w:r>
    </w:p>
    <w:p w:rsidR="00E27E72" w:rsidRPr="00CF5C6D" w:rsidRDefault="00705B39" w:rsidP="00B74326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>
        <w:rPr>
          <w:iCs/>
          <w:szCs w:val="24"/>
        </w:rPr>
        <w:t>C</w:t>
      </w:r>
      <w:r w:rsidR="00E27E72">
        <w:rPr>
          <w:iCs/>
          <w:szCs w:val="24"/>
        </w:rPr>
        <w:t>ontinue to s</w:t>
      </w:r>
      <w:r w:rsidR="00E27E72" w:rsidRPr="00CF5C6D">
        <w:rPr>
          <w:iCs/>
          <w:szCs w:val="24"/>
        </w:rPr>
        <w:t xml:space="preserve">cale-up expert-led </w:t>
      </w:r>
      <w:r>
        <w:rPr>
          <w:iCs/>
          <w:szCs w:val="24"/>
        </w:rPr>
        <w:t>D</w:t>
      </w:r>
      <w:r w:rsidRPr="00CF5C6D">
        <w:rPr>
          <w:iCs/>
          <w:szCs w:val="24"/>
        </w:rPr>
        <w:t xml:space="preserve">igital </w:t>
      </w:r>
      <w:r>
        <w:rPr>
          <w:iCs/>
          <w:szCs w:val="24"/>
        </w:rPr>
        <w:t>I</w:t>
      </w:r>
      <w:r w:rsidRPr="00CF5C6D">
        <w:rPr>
          <w:iCs/>
          <w:szCs w:val="24"/>
        </w:rPr>
        <w:t xml:space="preserve">nnovation </w:t>
      </w:r>
      <w:r>
        <w:rPr>
          <w:iCs/>
          <w:szCs w:val="24"/>
        </w:rPr>
        <w:t>P</w:t>
      </w:r>
      <w:r w:rsidRPr="00CF5C6D">
        <w:rPr>
          <w:iCs/>
          <w:szCs w:val="24"/>
        </w:rPr>
        <w:t xml:space="preserve">rofile </w:t>
      </w:r>
      <w:r w:rsidR="00E27E72" w:rsidRPr="00CF5C6D">
        <w:rPr>
          <w:iCs/>
          <w:szCs w:val="24"/>
        </w:rPr>
        <w:t>assessments</w:t>
      </w:r>
      <w:r w:rsidR="00E27E72">
        <w:rPr>
          <w:iCs/>
          <w:szCs w:val="24"/>
        </w:rPr>
        <w:t>;</w:t>
      </w:r>
    </w:p>
    <w:p w:rsidR="00E27E72" w:rsidRDefault="00E27E72" w:rsidP="00B74326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>
        <w:rPr>
          <w:iCs/>
          <w:szCs w:val="24"/>
        </w:rPr>
        <w:t>Scale-up innovation capacity building at the national, regional and global levels;</w:t>
      </w:r>
    </w:p>
    <w:p w:rsidR="00E27E72" w:rsidRDefault="00E27E72" w:rsidP="00B74326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>
        <w:rPr>
          <w:iCs/>
          <w:szCs w:val="24"/>
        </w:rPr>
        <w:t>Accelerate innovation project development</w:t>
      </w:r>
      <w:r w:rsidR="00A82A7B">
        <w:rPr>
          <w:iCs/>
          <w:szCs w:val="24"/>
        </w:rPr>
        <w:t>,</w:t>
      </w:r>
      <w:r>
        <w:rPr>
          <w:iCs/>
          <w:szCs w:val="24"/>
        </w:rPr>
        <w:t xml:space="preserve"> such </w:t>
      </w:r>
      <w:r w:rsidR="00705B39">
        <w:rPr>
          <w:iCs/>
          <w:szCs w:val="24"/>
        </w:rPr>
        <w:t xml:space="preserve">as </w:t>
      </w:r>
      <w:r>
        <w:rPr>
          <w:iCs/>
          <w:szCs w:val="24"/>
        </w:rPr>
        <w:t>the South African initiative above;</w:t>
      </w:r>
    </w:p>
    <w:p w:rsidR="00E27E72" w:rsidRDefault="00E27E72" w:rsidP="00B74326">
      <w:pPr>
        <w:pStyle w:val="ListParagraph"/>
        <w:numPr>
          <w:ilvl w:val="0"/>
          <w:numId w:val="16"/>
        </w:numPr>
        <w:tabs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>
        <w:rPr>
          <w:iCs/>
          <w:szCs w:val="24"/>
        </w:rPr>
        <w:t>Secure additional funding and resources to build capabilities in digital transformation;</w:t>
      </w:r>
    </w:p>
    <w:p w:rsidR="00E27E72" w:rsidRDefault="00FE00E6" w:rsidP="00B74326">
      <w:pPr>
        <w:pStyle w:val="ListParagraph"/>
        <w:numPr>
          <w:ilvl w:val="0"/>
          <w:numId w:val="16"/>
        </w:numPr>
        <w:tabs>
          <w:tab w:val="clear" w:pos="1134"/>
          <w:tab w:val="clear" w:pos="1871"/>
          <w:tab w:val="clear" w:pos="2268"/>
          <w:tab w:val="left" w:pos="567"/>
        </w:tabs>
        <w:spacing w:before="40" w:after="40"/>
        <w:ind w:left="357" w:hanging="357"/>
        <w:contextualSpacing w:val="0"/>
        <w:rPr>
          <w:iCs/>
          <w:szCs w:val="24"/>
        </w:rPr>
      </w:pPr>
      <w:r w:rsidRPr="00E27E72">
        <w:rPr>
          <w:iCs/>
          <w:szCs w:val="24"/>
        </w:rPr>
        <w:t xml:space="preserve">Continue </w:t>
      </w:r>
      <w:r w:rsidR="00E27E72" w:rsidRPr="00E27E72">
        <w:rPr>
          <w:iCs/>
          <w:szCs w:val="24"/>
        </w:rPr>
        <w:t xml:space="preserve">creating synergies between different ITU platforms </w:t>
      </w:r>
      <w:r w:rsidR="00E27E72" w:rsidRPr="00190402">
        <w:rPr>
          <w:iCs/>
          <w:szCs w:val="24"/>
        </w:rPr>
        <w:t>such</w:t>
      </w:r>
      <w:r w:rsidRPr="00190402">
        <w:rPr>
          <w:iCs/>
          <w:szCs w:val="24"/>
        </w:rPr>
        <w:t xml:space="preserve"> </w:t>
      </w:r>
      <w:r w:rsidR="00D15973" w:rsidRPr="00190402">
        <w:rPr>
          <w:iCs/>
          <w:szCs w:val="24"/>
        </w:rPr>
        <w:t xml:space="preserve">as </w:t>
      </w:r>
      <w:r w:rsidRPr="00190402">
        <w:rPr>
          <w:iCs/>
          <w:szCs w:val="24"/>
        </w:rPr>
        <w:t>ITU</w:t>
      </w:r>
      <w:r w:rsidRPr="00E27E72">
        <w:rPr>
          <w:iCs/>
          <w:szCs w:val="24"/>
        </w:rPr>
        <w:t xml:space="preserve"> telecom</w:t>
      </w:r>
      <w:r w:rsidR="00E27E72" w:rsidRPr="00E27E72">
        <w:rPr>
          <w:iCs/>
          <w:szCs w:val="24"/>
        </w:rPr>
        <w:t>.</w:t>
      </w:r>
      <w:r w:rsidR="006A7324" w:rsidRPr="00E27E72">
        <w:rPr>
          <w:iCs/>
          <w:szCs w:val="24"/>
        </w:rPr>
        <w:t xml:space="preserve"> </w:t>
      </w:r>
      <w:bookmarkStart w:id="6" w:name="Proposal"/>
      <w:bookmarkEnd w:id="6"/>
    </w:p>
    <w:p w:rsidR="00821996" w:rsidRPr="00E27E72" w:rsidRDefault="003C58BF" w:rsidP="00E27E72">
      <w:pPr>
        <w:pStyle w:val="ListParagraph"/>
        <w:tabs>
          <w:tab w:val="clear" w:pos="1871"/>
          <w:tab w:val="clear" w:pos="2268"/>
        </w:tabs>
        <w:spacing w:before="60"/>
        <w:ind w:left="0"/>
        <w:contextualSpacing w:val="0"/>
        <w:jc w:val="center"/>
        <w:rPr>
          <w:iCs/>
          <w:szCs w:val="24"/>
        </w:rPr>
      </w:pPr>
      <w:bookmarkStart w:id="7" w:name="_GoBack"/>
      <w:bookmarkEnd w:id="7"/>
      <w:r>
        <w:t>_____________</w:t>
      </w:r>
      <w:r w:rsidR="004122C5">
        <w:t>_</w:t>
      </w:r>
      <w:r w:rsidR="00922EC1">
        <w:t>_</w:t>
      </w:r>
    </w:p>
    <w:sectPr w:rsidR="00821996" w:rsidRPr="00E27E72" w:rsidSect="00D55089">
      <w:headerReference w:type="defaul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88" w:rsidRDefault="009D5188">
      <w:r>
        <w:separator/>
      </w:r>
    </w:p>
  </w:endnote>
  <w:endnote w:type="continuationSeparator" w:id="0">
    <w:p w:rsidR="009D5188" w:rsidRDefault="009D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47BAC" w:rsidRPr="009359B8" w:rsidTr="006B6A4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547BAC" w:rsidRPr="00103886" w:rsidRDefault="00547BAC" w:rsidP="00547BAC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Dr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sz w:val="18"/>
              <w:szCs w:val="18"/>
              <w:lang w:val="en-US"/>
            </w:rPr>
            <w:t>Eun-Ju</w:t>
          </w:r>
          <w:proofErr w:type="spellEnd"/>
          <w:r>
            <w:rPr>
              <w:sz w:val="18"/>
              <w:szCs w:val="18"/>
              <w:lang w:val="en-US"/>
            </w:rPr>
            <w:t xml:space="preserve"> Kim, Chief, Innovation and Partnership Department </w:t>
          </w:r>
          <w:r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547BAC" w:rsidRPr="009359B8" w:rsidTr="006B6A46">
      <w:tc>
        <w:tcPr>
          <w:tcW w:w="1526" w:type="dxa"/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547BAC" w:rsidRPr="00103886" w:rsidRDefault="00547BAC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+41 22 730 5900</w:t>
          </w:r>
        </w:p>
      </w:tc>
    </w:tr>
    <w:tr w:rsidR="00547BAC" w:rsidRPr="009359B8" w:rsidTr="006B6A46">
      <w:tc>
        <w:tcPr>
          <w:tcW w:w="1526" w:type="dxa"/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47BAC" w:rsidRPr="004D495C" w:rsidRDefault="00547BAC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547BAC" w:rsidRPr="00103886" w:rsidRDefault="00BB3450" w:rsidP="00547BA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47BAC" w:rsidRPr="00996114">
              <w:rPr>
                <w:rStyle w:val="Hyperlink"/>
                <w:sz w:val="18"/>
                <w:szCs w:val="18"/>
                <w:lang w:val="en-US"/>
              </w:rPr>
              <w:t>eun-ju.kim@itu.int</w:t>
            </w:r>
          </w:hyperlink>
          <w:r w:rsidR="00547BAC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C60E5E" w:rsidRPr="0059420B" w:rsidRDefault="00BB3450" w:rsidP="00B80157">
    <w:pPr>
      <w:pStyle w:val="Footer"/>
      <w:jc w:val="center"/>
      <w:rPr>
        <w:lang w:val="en-GB"/>
      </w:rPr>
    </w:pPr>
    <w:hyperlink r:id="rId2" w:history="1">
      <w:r w:rsidR="00C60E5E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88" w:rsidRDefault="009D5188">
      <w:r>
        <w:t>____________________</w:t>
      </w:r>
    </w:p>
  </w:footnote>
  <w:footnote w:type="continuationSeparator" w:id="0">
    <w:p w:rsidR="009D5188" w:rsidRDefault="009D5188">
      <w:r>
        <w:continuationSeparator/>
      </w:r>
    </w:p>
  </w:footnote>
  <w:footnote w:id="1">
    <w:p w:rsidR="00D55089" w:rsidRPr="002E00CF" w:rsidRDefault="00D55089" w:rsidP="00D55089">
      <w:pPr>
        <w:pStyle w:val="FootnoteText"/>
        <w:rPr>
          <w:sz w:val="20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PP-18 Resolution 205</w:t>
      </w:r>
    </w:p>
  </w:footnote>
  <w:footnote w:id="2">
    <w:p w:rsidR="00D55089" w:rsidRPr="0045019B" w:rsidRDefault="00D55089" w:rsidP="00D55089">
      <w:pPr>
        <w:pStyle w:val="FootnoteText"/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PP-18 ITU strategic goal 4</w:t>
      </w:r>
    </w:p>
  </w:footnote>
  <w:footnote w:id="3">
    <w:p w:rsidR="00D55089" w:rsidRPr="002E00CF" w:rsidRDefault="00D55089" w:rsidP="002E00CF">
      <w:pPr>
        <w:pStyle w:val="FootnoteText"/>
        <w:spacing w:before="0"/>
        <w:rPr>
          <w:sz w:val="20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E.g. Projects funding from R.O. Korea</w:t>
      </w:r>
    </w:p>
  </w:footnote>
  <w:footnote w:id="4">
    <w:p w:rsidR="00D55089" w:rsidRPr="002E00CF" w:rsidRDefault="00D55089" w:rsidP="002E00CF">
      <w:pPr>
        <w:pStyle w:val="FootnoteText"/>
        <w:spacing w:before="0"/>
        <w:rPr>
          <w:sz w:val="20"/>
          <w:lang w:val="en-US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  <w:lang w:val="en-US"/>
        </w:rPr>
        <w:t xml:space="preserve"> E.g. Hungary, UNIDO, GMIS</w:t>
      </w:r>
    </w:p>
  </w:footnote>
  <w:footnote w:id="5">
    <w:p w:rsidR="00C60E5E" w:rsidRPr="002E00CF" w:rsidRDefault="00C60E5E" w:rsidP="002E00CF">
      <w:pPr>
        <w:pStyle w:val="FootnoteText"/>
        <w:spacing w:before="0"/>
        <w:ind w:left="0" w:firstLine="0"/>
        <w:rPr>
          <w:sz w:val="20"/>
          <w:lang w:val="en-US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</w:t>
      </w:r>
      <w:r w:rsidRPr="002E00CF">
        <w:rPr>
          <w:sz w:val="20"/>
          <w:lang w:val="en-US"/>
        </w:rPr>
        <w:t>E.g. WSIS, Telecom, Young ICT leaders Forum, Global Good Practices</w:t>
      </w:r>
    </w:p>
  </w:footnote>
  <w:footnote w:id="6">
    <w:p w:rsidR="00C60E5E" w:rsidRPr="002E00CF" w:rsidRDefault="00C60E5E" w:rsidP="002E00CF">
      <w:pPr>
        <w:pStyle w:val="FootnoteText"/>
        <w:spacing w:before="0"/>
        <w:ind w:left="0" w:firstLine="0"/>
        <w:rPr>
          <w:sz w:val="20"/>
          <w:lang w:val="en-US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E.g. </w:t>
      </w:r>
      <w:r w:rsidRPr="002E00CF">
        <w:rPr>
          <w:sz w:val="20"/>
          <w:lang w:val="en-US"/>
        </w:rPr>
        <w:t>Regional Innovation Forum, Young ICT leader Capacity Building</w:t>
      </w:r>
    </w:p>
  </w:footnote>
  <w:footnote w:id="7">
    <w:p w:rsidR="00C60E5E" w:rsidRPr="002E00CF" w:rsidRDefault="00C60E5E" w:rsidP="002E00CF">
      <w:pPr>
        <w:pStyle w:val="FootnoteText"/>
        <w:spacing w:before="0"/>
        <w:ind w:left="0" w:firstLine="0"/>
        <w:rPr>
          <w:sz w:val="20"/>
          <w:lang w:val="en-US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</w:t>
      </w:r>
      <w:r w:rsidRPr="002E00CF">
        <w:rPr>
          <w:sz w:val="20"/>
          <w:lang w:val="en-US"/>
        </w:rPr>
        <w:t>E.g. as Digital Innovation Profiles, Country Reviews</w:t>
      </w:r>
    </w:p>
  </w:footnote>
  <w:footnote w:id="8">
    <w:p w:rsidR="00C60E5E" w:rsidRPr="002E00CF" w:rsidRDefault="00C60E5E" w:rsidP="002E00CF">
      <w:pPr>
        <w:pStyle w:val="FootnoteText"/>
        <w:spacing w:before="0"/>
        <w:ind w:left="0" w:firstLine="0"/>
        <w:rPr>
          <w:sz w:val="20"/>
          <w:lang w:val="en-US"/>
        </w:rPr>
      </w:pPr>
      <w:r w:rsidRPr="002E00CF">
        <w:rPr>
          <w:rStyle w:val="FootnoteReference"/>
          <w:sz w:val="20"/>
        </w:rPr>
        <w:footnoteRef/>
      </w:r>
      <w:r w:rsidRPr="002E00CF">
        <w:rPr>
          <w:sz w:val="20"/>
        </w:rPr>
        <w:t xml:space="preserve"> </w:t>
      </w:r>
      <w:r w:rsidRPr="002E00CF">
        <w:rPr>
          <w:sz w:val="20"/>
          <w:lang w:val="en-US"/>
        </w:rPr>
        <w:t>E.g. Innovation Project Advisory</w:t>
      </w:r>
    </w:p>
  </w:footnote>
  <w:footnote w:id="9">
    <w:p w:rsidR="00C60E5E" w:rsidRPr="0024448B" w:rsidRDefault="00C60E5E" w:rsidP="0024448B">
      <w:pPr>
        <w:pStyle w:val="FootnoteText"/>
        <w:spacing w:before="0"/>
        <w:ind w:left="0" w:firstLine="0"/>
        <w:rPr>
          <w:sz w:val="20"/>
        </w:rPr>
      </w:pPr>
      <w:r w:rsidRPr="0024448B">
        <w:rPr>
          <w:rStyle w:val="FootnoteReference"/>
          <w:sz w:val="20"/>
        </w:rPr>
        <w:footnoteRef/>
      </w:r>
      <w:r w:rsidRPr="0024448B">
        <w:rPr>
          <w:sz w:val="20"/>
        </w:rPr>
        <w:t xml:space="preserve"> United Nations Industrial Development Organization</w:t>
      </w:r>
    </w:p>
  </w:footnote>
  <w:footnote w:id="10">
    <w:p w:rsidR="00C60E5E" w:rsidRPr="0024448B" w:rsidRDefault="00C60E5E" w:rsidP="0024448B">
      <w:pPr>
        <w:pStyle w:val="FootnoteText"/>
        <w:spacing w:before="0"/>
        <w:ind w:left="0" w:firstLine="0"/>
        <w:rPr>
          <w:sz w:val="20"/>
        </w:rPr>
      </w:pPr>
      <w:r w:rsidRPr="0024448B">
        <w:rPr>
          <w:rStyle w:val="FootnoteReference"/>
          <w:sz w:val="20"/>
        </w:rPr>
        <w:footnoteRef/>
      </w:r>
      <w:r w:rsidRPr="0024448B">
        <w:rPr>
          <w:sz w:val="20"/>
        </w:rPr>
        <w:t xml:space="preserve"> Global Manufacturing and Industrialisation Summit</w:t>
      </w:r>
    </w:p>
  </w:footnote>
  <w:footnote w:id="11">
    <w:p w:rsidR="00C60E5E" w:rsidRPr="0024448B" w:rsidRDefault="00C60E5E" w:rsidP="0024448B">
      <w:pPr>
        <w:pStyle w:val="FootnoteText"/>
        <w:spacing w:before="0"/>
        <w:ind w:left="0" w:firstLine="0"/>
        <w:rPr>
          <w:sz w:val="20"/>
          <w:lang w:val="en-US"/>
        </w:rPr>
      </w:pPr>
      <w:r w:rsidRPr="0024448B">
        <w:rPr>
          <w:rStyle w:val="FootnoteReference"/>
          <w:sz w:val="20"/>
        </w:rPr>
        <w:footnoteRef/>
      </w:r>
      <w:r w:rsidRPr="0024448B">
        <w:rPr>
          <w:sz w:val="20"/>
        </w:rPr>
        <w:t xml:space="preserve"> </w:t>
      </w:r>
      <w:r w:rsidRPr="0024448B">
        <w:rPr>
          <w:color w:val="000000" w:themeColor="text1"/>
          <w:sz w:val="20"/>
        </w:rPr>
        <w:t>MoU from PP-2014 between the city of Busan and ITU</w:t>
      </w:r>
    </w:p>
  </w:footnote>
  <w:footnote w:id="12">
    <w:p w:rsidR="00C60E5E" w:rsidRPr="0024448B" w:rsidRDefault="00C60E5E" w:rsidP="0024448B">
      <w:pPr>
        <w:pStyle w:val="FootnoteText"/>
        <w:spacing w:before="0"/>
        <w:ind w:left="0" w:firstLine="0"/>
        <w:rPr>
          <w:sz w:val="20"/>
          <w:lang w:val="en-US"/>
        </w:rPr>
      </w:pPr>
      <w:r w:rsidRPr="0024448B">
        <w:rPr>
          <w:rStyle w:val="FootnoteReference"/>
          <w:sz w:val="20"/>
        </w:rPr>
        <w:footnoteRef/>
      </w:r>
      <w:r w:rsidRPr="0024448B">
        <w:rPr>
          <w:sz w:val="20"/>
        </w:rPr>
        <w:t xml:space="preserve"> Oslo Metropolitan university is an </w:t>
      </w:r>
      <w:r w:rsidRPr="0024448B">
        <w:rPr>
          <w:sz w:val="20"/>
          <w:lang w:val="en-US"/>
        </w:rPr>
        <w:t>ITU academia member</w:t>
      </w:r>
    </w:p>
  </w:footnote>
  <w:footnote w:id="13">
    <w:p w:rsidR="00C60E5E" w:rsidRPr="0024448B" w:rsidRDefault="00C60E5E" w:rsidP="00C75D6D">
      <w:pPr>
        <w:pStyle w:val="FootnoteText"/>
        <w:spacing w:before="0"/>
        <w:ind w:left="0" w:firstLine="0"/>
        <w:rPr>
          <w:sz w:val="20"/>
          <w:lang w:val="en-US"/>
        </w:rPr>
      </w:pPr>
      <w:r w:rsidRPr="0024448B">
        <w:rPr>
          <w:rStyle w:val="FootnoteReference"/>
          <w:sz w:val="20"/>
        </w:rPr>
        <w:footnoteRef/>
      </w:r>
      <w:r w:rsidRPr="0024448B">
        <w:rPr>
          <w:sz w:val="20"/>
        </w:rPr>
        <w:t xml:space="preserve"> </w:t>
      </w:r>
      <w:r w:rsidRPr="0024448B">
        <w:rPr>
          <w:sz w:val="20"/>
          <w:lang w:val="en-US"/>
        </w:rPr>
        <w:t xml:space="preserve">Project </w:t>
      </w:r>
      <w:r w:rsidR="00C75D6D" w:rsidRPr="0024448B">
        <w:rPr>
          <w:sz w:val="20"/>
          <w:lang w:val="en-US"/>
        </w:rPr>
        <w:t>fund</w:t>
      </w:r>
      <w:r w:rsidR="00C75D6D">
        <w:rPr>
          <w:sz w:val="20"/>
          <w:lang w:val="en-US"/>
        </w:rPr>
        <w:t>ed</w:t>
      </w:r>
      <w:r w:rsidR="00C75D6D" w:rsidRPr="0024448B">
        <w:rPr>
          <w:sz w:val="20"/>
          <w:lang w:val="en-US"/>
        </w:rPr>
        <w:t xml:space="preserve"> </w:t>
      </w:r>
      <w:r w:rsidR="00C75D6D">
        <w:rPr>
          <w:sz w:val="20"/>
          <w:lang w:val="en-US"/>
        </w:rPr>
        <w:t>by</w:t>
      </w:r>
      <w:r w:rsidR="00C75D6D" w:rsidRPr="0024448B">
        <w:rPr>
          <w:sz w:val="20"/>
          <w:lang w:val="en-US"/>
        </w:rPr>
        <w:t xml:space="preserve"> </w:t>
      </w:r>
      <w:r w:rsidRPr="0024448B">
        <w:rPr>
          <w:sz w:val="20"/>
          <w:lang w:val="en-US"/>
        </w:rPr>
        <w:t xml:space="preserve"> Korea</w:t>
      </w:r>
      <w:r w:rsidR="00C75D6D">
        <w:rPr>
          <w:sz w:val="20"/>
          <w:lang w:val="en-US"/>
        </w:rPr>
        <w:t xml:space="preserve"> (Rep. of)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5E" w:rsidRPr="00B07936" w:rsidRDefault="00C60E5E" w:rsidP="00B0793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B07936">
      <w:rPr>
        <w:sz w:val="22"/>
        <w:szCs w:val="22"/>
        <w:lang w:val="de-CH"/>
      </w:rPr>
      <w:t>22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BB3450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86A"/>
    <w:multiLevelType w:val="hybridMultilevel"/>
    <w:tmpl w:val="811EC538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F7824CB"/>
    <w:multiLevelType w:val="hybridMultilevel"/>
    <w:tmpl w:val="57B41B46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82C5B"/>
    <w:multiLevelType w:val="hybridMultilevel"/>
    <w:tmpl w:val="AB508864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283DF7"/>
    <w:multiLevelType w:val="hybridMultilevel"/>
    <w:tmpl w:val="FC9466D2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21D5196"/>
    <w:multiLevelType w:val="hybridMultilevel"/>
    <w:tmpl w:val="56264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A245D"/>
    <w:multiLevelType w:val="multilevel"/>
    <w:tmpl w:val="9C24A5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BA00B93"/>
    <w:multiLevelType w:val="hybridMultilevel"/>
    <w:tmpl w:val="E1B6B5C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1E0670"/>
    <w:multiLevelType w:val="hybridMultilevel"/>
    <w:tmpl w:val="5A340BE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83451FA"/>
    <w:multiLevelType w:val="hybridMultilevel"/>
    <w:tmpl w:val="A0FC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1DF2"/>
    <w:multiLevelType w:val="hybridMultilevel"/>
    <w:tmpl w:val="EED64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13C64"/>
    <w:multiLevelType w:val="hybridMultilevel"/>
    <w:tmpl w:val="F932BF8E"/>
    <w:lvl w:ilvl="0" w:tplc="5066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2B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2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A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CF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6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AF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AB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49"/>
    <w:rsid w:val="00002716"/>
    <w:rsid w:val="00005791"/>
    <w:rsid w:val="00010827"/>
    <w:rsid w:val="00015089"/>
    <w:rsid w:val="0002305D"/>
    <w:rsid w:val="0002520B"/>
    <w:rsid w:val="00025226"/>
    <w:rsid w:val="0003536D"/>
    <w:rsid w:val="00037A9E"/>
    <w:rsid w:val="00037F91"/>
    <w:rsid w:val="000539F1"/>
    <w:rsid w:val="00054747"/>
    <w:rsid w:val="00055A2A"/>
    <w:rsid w:val="000615C1"/>
    <w:rsid w:val="00061675"/>
    <w:rsid w:val="00064726"/>
    <w:rsid w:val="00073534"/>
    <w:rsid w:val="000743AA"/>
    <w:rsid w:val="00081403"/>
    <w:rsid w:val="0009225C"/>
    <w:rsid w:val="000A17C4"/>
    <w:rsid w:val="000A29D3"/>
    <w:rsid w:val="000A36A4"/>
    <w:rsid w:val="000B2352"/>
    <w:rsid w:val="000C7B84"/>
    <w:rsid w:val="000D261B"/>
    <w:rsid w:val="000D58A3"/>
    <w:rsid w:val="000E3ED4"/>
    <w:rsid w:val="000E3F9C"/>
    <w:rsid w:val="000E7617"/>
    <w:rsid w:val="000F1550"/>
    <w:rsid w:val="000F251B"/>
    <w:rsid w:val="000F5FE8"/>
    <w:rsid w:val="000F64E0"/>
    <w:rsid w:val="000F6644"/>
    <w:rsid w:val="00100833"/>
    <w:rsid w:val="00102F72"/>
    <w:rsid w:val="00104D3C"/>
    <w:rsid w:val="00107E85"/>
    <w:rsid w:val="00113EE8"/>
    <w:rsid w:val="0011455A"/>
    <w:rsid w:val="00114A65"/>
    <w:rsid w:val="00133061"/>
    <w:rsid w:val="00141699"/>
    <w:rsid w:val="001452A5"/>
    <w:rsid w:val="00147000"/>
    <w:rsid w:val="00152EFF"/>
    <w:rsid w:val="00163091"/>
    <w:rsid w:val="001645CB"/>
    <w:rsid w:val="00166305"/>
    <w:rsid w:val="00167545"/>
    <w:rsid w:val="001703C6"/>
    <w:rsid w:val="00173781"/>
    <w:rsid w:val="00174A04"/>
    <w:rsid w:val="00175ADF"/>
    <w:rsid w:val="00175CAE"/>
    <w:rsid w:val="001828DB"/>
    <w:rsid w:val="001850FE"/>
    <w:rsid w:val="00185135"/>
    <w:rsid w:val="00187C44"/>
    <w:rsid w:val="0019037C"/>
    <w:rsid w:val="00190402"/>
    <w:rsid w:val="001905A9"/>
    <w:rsid w:val="00191273"/>
    <w:rsid w:val="001942A7"/>
    <w:rsid w:val="0019587B"/>
    <w:rsid w:val="001966BD"/>
    <w:rsid w:val="001A163D"/>
    <w:rsid w:val="001A441E"/>
    <w:rsid w:val="001A6733"/>
    <w:rsid w:val="001B357F"/>
    <w:rsid w:val="001C3444"/>
    <w:rsid w:val="001C3702"/>
    <w:rsid w:val="001C4656"/>
    <w:rsid w:val="001C46BC"/>
    <w:rsid w:val="001E1225"/>
    <w:rsid w:val="001F23E6"/>
    <w:rsid w:val="001F4238"/>
    <w:rsid w:val="00200A38"/>
    <w:rsid w:val="00200A46"/>
    <w:rsid w:val="00204851"/>
    <w:rsid w:val="00211B6F"/>
    <w:rsid w:val="00217CC3"/>
    <w:rsid w:val="00220AB6"/>
    <w:rsid w:val="0022120F"/>
    <w:rsid w:val="0022754A"/>
    <w:rsid w:val="00236560"/>
    <w:rsid w:val="0023662E"/>
    <w:rsid w:val="0024448B"/>
    <w:rsid w:val="00245D0F"/>
    <w:rsid w:val="002466C9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3EFD"/>
    <w:rsid w:val="002A57E5"/>
    <w:rsid w:val="002C1B47"/>
    <w:rsid w:val="002C1EC7"/>
    <w:rsid w:val="002C3015"/>
    <w:rsid w:val="002C4342"/>
    <w:rsid w:val="002C7EA3"/>
    <w:rsid w:val="002D20AE"/>
    <w:rsid w:val="002D6C61"/>
    <w:rsid w:val="002E00CF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0236"/>
    <w:rsid w:val="003211FF"/>
    <w:rsid w:val="003242AB"/>
    <w:rsid w:val="003249A9"/>
    <w:rsid w:val="00327247"/>
    <w:rsid w:val="00327A9D"/>
    <w:rsid w:val="0033130E"/>
    <w:rsid w:val="0033269C"/>
    <w:rsid w:val="00341A17"/>
    <w:rsid w:val="00351C79"/>
    <w:rsid w:val="0035516C"/>
    <w:rsid w:val="00355A4C"/>
    <w:rsid w:val="003604FB"/>
    <w:rsid w:val="00360B73"/>
    <w:rsid w:val="00380B71"/>
    <w:rsid w:val="0038365A"/>
    <w:rsid w:val="0038400F"/>
    <w:rsid w:val="00386A89"/>
    <w:rsid w:val="0039648E"/>
    <w:rsid w:val="003A3F63"/>
    <w:rsid w:val="003A5AFE"/>
    <w:rsid w:val="003A5D5F"/>
    <w:rsid w:val="003A7FFE"/>
    <w:rsid w:val="003B0A63"/>
    <w:rsid w:val="003B50E1"/>
    <w:rsid w:val="003C1746"/>
    <w:rsid w:val="003C2AA9"/>
    <w:rsid w:val="003C5709"/>
    <w:rsid w:val="003C58BF"/>
    <w:rsid w:val="003D451D"/>
    <w:rsid w:val="003E1A8A"/>
    <w:rsid w:val="003E6943"/>
    <w:rsid w:val="003E6A8D"/>
    <w:rsid w:val="003F2DD8"/>
    <w:rsid w:val="003F3F2D"/>
    <w:rsid w:val="003F50B2"/>
    <w:rsid w:val="00400CCF"/>
    <w:rsid w:val="00401BFF"/>
    <w:rsid w:val="00404424"/>
    <w:rsid w:val="00406EF0"/>
    <w:rsid w:val="004071B7"/>
    <w:rsid w:val="0041156B"/>
    <w:rsid w:val="004122C5"/>
    <w:rsid w:val="00413B78"/>
    <w:rsid w:val="00416DDE"/>
    <w:rsid w:val="00424AA4"/>
    <w:rsid w:val="00435007"/>
    <w:rsid w:val="00435F6C"/>
    <w:rsid w:val="0044411E"/>
    <w:rsid w:val="0045019B"/>
    <w:rsid w:val="00453435"/>
    <w:rsid w:val="00466398"/>
    <w:rsid w:val="0047306D"/>
    <w:rsid w:val="00473791"/>
    <w:rsid w:val="00476E48"/>
    <w:rsid w:val="00477352"/>
    <w:rsid w:val="00481DE9"/>
    <w:rsid w:val="0049128B"/>
    <w:rsid w:val="00493B49"/>
    <w:rsid w:val="00495501"/>
    <w:rsid w:val="004A070A"/>
    <w:rsid w:val="004A320E"/>
    <w:rsid w:val="004A4E9C"/>
    <w:rsid w:val="004B1A3C"/>
    <w:rsid w:val="004B7867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02F1"/>
    <w:rsid w:val="00534978"/>
    <w:rsid w:val="00534CDC"/>
    <w:rsid w:val="0053538D"/>
    <w:rsid w:val="0054420E"/>
    <w:rsid w:val="00544D1B"/>
    <w:rsid w:val="00545DC0"/>
    <w:rsid w:val="00545F6C"/>
    <w:rsid w:val="005477D9"/>
    <w:rsid w:val="00547BAC"/>
    <w:rsid w:val="0055720C"/>
    <w:rsid w:val="00561796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20B"/>
    <w:rsid w:val="00594C4D"/>
    <w:rsid w:val="005A12C7"/>
    <w:rsid w:val="005A33B0"/>
    <w:rsid w:val="005A7B89"/>
    <w:rsid w:val="005B3860"/>
    <w:rsid w:val="005C2DC2"/>
    <w:rsid w:val="005C304A"/>
    <w:rsid w:val="005C3D69"/>
    <w:rsid w:val="005C613C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B4B"/>
    <w:rsid w:val="005F6BE1"/>
    <w:rsid w:val="005F7416"/>
    <w:rsid w:val="0060059D"/>
    <w:rsid w:val="00600C11"/>
    <w:rsid w:val="00606B89"/>
    <w:rsid w:val="00611EAF"/>
    <w:rsid w:val="00617D79"/>
    <w:rsid w:val="00623F30"/>
    <w:rsid w:val="00625FB8"/>
    <w:rsid w:val="006261BD"/>
    <w:rsid w:val="006270B3"/>
    <w:rsid w:val="00635EDB"/>
    <w:rsid w:val="00636FEA"/>
    <w:rsid w:val="0064734E"/>
    <w:rsid w:val="00650137"/>
    <w:rsid w:val="006509D7"/>
    <w:rsid w:val="00651CE8"/>
    <w:rsid w:val="0065521B"/>
    <w:rsid w:val="00666B13"/>
    <w:rsid w:val="00671EF6"/>
    <w:rsid w:val="0067205B"/>
    <w:rsid w:val="006748F8"/>
    <w:rsid w:val="00680489"/>
    <w:rsid w:val="00683C32"/>
    <w:rsid w:val="00687A85"/>
    <w:rsid w:val="00690BB2"/>
    <w:rsid w:val="00693D09"/>
    <w:rsid w:val="006A6549"/>
    <w:rsid w:val="006A7324"/>
    <w:rsid w:val="006A7710"/>
    <w:rsid w:val="006A7A61"/>
    <w:rsid w:val="006B0877"/>
    <w:rsid w:val="006B1E59"/>
    <w:rsid w:val="006B2FFB"/>
    <w:rsid w:val="006B3AE6"/>
    <w:rsid w:val="006B5801"/>
    <w:rsid w:val="006B5849"/>
    <w:rsid w:val="006B6202"/>
    <w:rsid w:val="006C10A2"/>
    <w:rsid w:val="006C1F18"/>
    <w:rsid w:val="006D40D5"/>
    <w:rsid w:val="006F009A"/>
    <w:rsid w:val="006F3D93"/>
    <w:rsid w:val="007019B1"/>
    <w:rsid w:val="00705B39"/>
    <w:rsid w:val="00713EAF"/>
    <w:rsid w:val="00717599"/>
    <w:rsid w:val="00721657"/>
    <w:rsid w:val="007279A8"/>
    <w:rsid w:val="00727B1A"/>
    <w:rsid w:val="00741337"/>
    <w:rsid w:val="00752258"/>
    <w:rsid w:val="007529E1"/>
    <w:rsid w:val="00761E68"/>
    <w:rsid w:val="00762880"/>
    <w:rsid w:val="007628A4"/>
    <w:rsid w:val="00762AD6"/>
    <w:rsid w:val="00762E02"/>
    <w:rsid w:val="00772290"/>
    <w:rsid w:val="00777265"/>
    <w:rsid w:val="007805E7"/>
    <w:rsid w:val="00781DA5"/>
    <w:rsid w:val="0078222A"/>
    <w:rsid w:val="00784C7C"/>
    <w:rsid w:val="00786D4D"/>
    <w:rsid w:val="00787D48"/>
    <w:rsid w:val="00792160"/>
    <w:rsid w:val="00795294"/>
    <w:rsid w:val="007A4E50"/>
    <w:rsid w:val="007A5F2B"/>
    <w:rsid w:val="007A6C54"/>
    <w:rsid w:val="007B18A7"/>
    <w:rsid w:val="007B250E"/>
    <w:rsid w:val="007B2FA2"/>
    <w:rsid w:val="007C27FC"/>
    <w:rsid w:val="007C51FF"/>
    <w:rsid w:val="007D50E4"/>
    <w:rsid w:val="007E02F6"/>
    <w:rsid w:val="007E2DC5"/>
    <w:rsid w:val="007F066D"/>
    <w:rsid w:val="007F1CC7"/>
    <w:rsid w:val="007F2D2E"/>
    <w:rsid w:val="007F578F"/>
    <w:rsid w:val="008027AC"/>
    <w:rsid w:val="008028CE"/>
    <w:rsid w:val="0080332E"/>
    <w:rsid w:val="008141E0"/>
    <w:rsid w:val="00816EE1"/>
    <w:rsid w:val="00816F88"/>
    <w:rsid w:val="008200E8"/>
    <w:rsid w:val="00821996"/>
    <w:rsid w:val="00821B57"/>
    <w:rsid w:val="00822323"/>
    <w:rsid w:val="00827BC6"/>
    <w:rsid w:val="008300AD"/>
    <w:rsid w:val="00833024"/>
    <w:rsid w:val="00833B56"/>
    <w:rsid w:val="008367D8"/>
    <w:rsid w:val="00840E9D"/>
    <w:rsid w:val="008419B1"/>
    <w:rsid w:val="00844A56"/>
    <w:rsid w:val="00845B11"/>
    <w:rsid w:val="00852081"/>
    <w:rsid w:val="00855380"/>
    <w:rsid w:val="008557D7"/>
    <w:rsid w:val="00872B6E"/>
    <w:rsid w:val="00874DFD"/>
    <w:rsid w:val="00876C39"/>
    <w:rsid w:val="008802F9"/>
    <w:rsid w:val="0088283B"/>
    <w:rsid w:val="00883086"/>
    <w:rsid w:val="008863CC"/>
    <w:rsid w:val="008879FD"/>
    <w:rsid w:val="00894C37"/>
    <w:rsid w:val="00896AEC"/>
    <w:rsid w:val="008A00EA"/>
    <w:rsid w:val="008A3F93"/>
    <w:rsid w:val="008A6236"/>
    <w:rsid w:val="008A6E1C"/>
    <w:rsid w:val="008A72FD"/>
    <w:rsid w:val="008A79C0"/>
    <w:rsid w:val="008B2EDF"/>
    <w:rsid w:val="008B315B"/>
    <w:rsid w:val="008B47C7"/>
    <w:rsid w:val="008B54CB"/>
    <w:rsid w:val="008B5A3D"/>
    <w:rsid w:val="008C4010"/>
    <w:rsid w:val="008C4FDF"/>
    <w:rsid w:val="008C6B1F"/>
    <w:rsid w:val="008D2EB9"/>
    <w:rsid w:val="008D5E4F"/>
    <w:rsid w:val="008F14F5"/>
    <w:rsid w:val="008F71C1"/>
    <w:rsid w:val="008F776A"/>
    <w:rsid w:val="00902D41"/>
    <w:rsid w:val="00902F49"/>
    <w:rsid w:val="00904230"/>
    <w:rsid w:val="009074DB"/>
    <w:rsid w:val="00914004"/>
    <w:rsid w:val="00922EC1"/>
    <w:rsid w:val="009301F1"/>
    <w:rsid w:val="009307DF"/>
    <w:rsid w:val="009359B8"/>
    <w:rsid w:val="00935FF0"/>
    <w:rsid w:val="009431F8"/>
    <w:rsid w:val="00947A35"/>
    <w:rsid w:val="009566E2"/>
    <w:rsid w:val="00960201"/>
    <w:rsid w:val="0096201B"/>
    <w:rsid w:val="00962081"/>
    <w:rsid w:val="00966CB5"/>
    <w:rsid w:val="00972318"/>
    <w:rsid w:val="00975786"/>
    <w:rsid w:val="00981CB7"/>
    <w:rsid w:val="00983E1F"/>
    <w:rsid w:val="00993F46"/>
    <w:rsid w:val="00997358"/>
    <w:rsid w:val="009A452B"/>
    <w:rsid w:val="009B050C"/>
    <w:rsid w:val="009B087F"/>
    <w:rsid w:val="009B2821"/>
    <w:rsid w:val="009B2AF4"/>
    <w:rsid w:val="009C110B"/>
    <w:rsid w:val="009C5441"/>
    <w:rsid w:val="009C59E9"/>
    <w:rsid w:val="009D119F"/>
    <w:rsid w:val="009D49A2"/>
    <w:rsid w:val="009D5188"/>
    <w:rsid w:val="009F3940"/>
    <w:rsid w:val="009F3EB2"/>
    <w:rsid w:val="009F6EB1"/>
    <w:rsid w:val="00A012D0"/>
    <w:rsid w:val="00A11D05"/>
    <w:rsid w:val="00A13162"/>
    <w:rsid w:val="00A153ED"/>
    <w:rsid w:val="00A1726E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02CA"/>
    <w:rsid w:val="00A705E8"/>
    <w:rsid w:val="00A721F4"/>
    <w:rsid w:val="00A747DB"/>
    <w:rsid w:val="00A82A7B"/>
    <w:rsid w:val="00A86157"/>
    <w:rsid w:val="00A9392C"/>
    <w:rsid w:val="00A9462B"/>
    <w:rsid w:val="00A97D59"/>
    <w:rsid w:val="00AA3252"/>
    <w:rsid w:val="00AA3E09"/>
    <w:rsid w:val="00AA4BEF"/>
    <w:rsid w:val="00AA71F5"/>
    <w:rsid w:val="00AB1659"/>
    <w:rsid w:val="00AB4962"/>
    <w:rsid w:val="00AB4D98"/>
    <w:rsid w:val="00AB734E"/>
    <w:rsid w:val="00AB740F"/>
    <w:rsid w:val="00AC6F14"/>
    <w:rsid w:val="00AC7221"/>
    <w:rsid w:val="00AD5DE0"/>
    <w:rsid w:val="00AE5961"/>
    <w:rsid w:val="00AF0745"/>
    <w:rsid w:val="00AF1A09"/>
    <w:rsid w:val="00AF1EE2"/>
    <w:rsid w:val="00AF4971"/>
    <w:rsid w:val="00AF5276"/>
    <w:rsid w:val="00AF7C86"/>
    <w:rsid w:val="00B01046"/>
    <w:rsid w:val="00B0331A"/>
    <w:rsid w:val="00B07936"/>
    <w:rsid w:val="00B156EE"/>
    <w:rsid w:val="00B22E7F"/>
    <w:rsid w:val="00B279C6"/>
    <w:rsid w:val="00B310F9"/>
    <w:rsid w:val="00B3367F"/>
    <w:rsid w:val="00B3584B"/>
    <w:rsid w:val="00B369D6"/>
    <w:rsid w:val="00B37866"/>
    <w:rsid w:val="00B412FB"/>
    <w:rsid w:val="00B4576B"/>
    <w:rsid w:val="00B46350"/>
    <w:rsid w:val="00B46DF3"/>
    <w:rsid w:val="00B55E58"/>
    <w:rsid w:val="00B66E8F"/>
    <w:rsid w:val="00B72B95"/>
    <w:rsid w:val="00B74326"/>
    <w:rsid w:val="00B80157"/>
    <w:rsid w:val="00B83D5E"/>
    <w:rsid w:val="00B8460A"/>
    <w:rsid w:val="00B8650D"/>
    <w:rsid w:val="00B879B4"/>
    <w:rsid w:val="00B90F07"/>
    <w:rsid w:val="00B97BB9"/>
    <w:rsid w:val="00BA0009"/>
    <w:rsid w:val="00BA7BDA"/>
    <w:rsid w:val="00BB1863"/>
    <w:rsid w:val="00BB25EE"/>
    <w:rsid w:val="00BB3450"/>
    <w:rsid w:val="00BB363A"/>
    <w:rsid w:val="00BB4E99"/>
    <w:rsid w:val="00BC10A0"/>
    <w:rsid w:val="00BC10FA"/>
    <w:rsid w:val="00BC3A3B"/>
    <w:rsid w:val="00BC7BA2"/>
    <w:rsid w:val="00BD426B"/>
    <w:rsid w:val="00BD79F0"/>
    <w:rsid w:val="00BE2B4D"/>
    <w:rsid w:val="00C00338"/>
    <w:rsid w:val="00C015F8"/>
    <w:rsid w:val="00C07E26"/>
    <w:rsid w:val="00C1011C"/>
    <w:rsid w:val="00C12F94"/>
    <w:rsid w:val="00C132E1"/>
    <w:rsid w:val="00C14751"/>
    <w:rsid w:val="00C177C5"/>
    <w:rsid w:val="00C34EC3"/>
    <w:rsid w:val="00C35B5E"/>
    <w:rsid w:val="00C4038C"/>
    <w:rsid w:val="00C42BA2"/>
    <w:rsid w:val="00C44066"/>
    <w:rsid w:val="00C44E13"/>
    <w:rsid w:val="00C51608"/>
    <w:rsid w:val="00C60A41"/>
    <w:rsid w:val="00C60E5E"/>
    <w:rsid w:val="00C62DE8"/>
    <w:rsid w:val="00C62DFB"/>
    <w:rsid w:val="00C630E6"/>
    <w:rsid w:val="00C63812"/>
    <w:rsid w:val="00C64AF3"/>
    <w:rsid w:val="00C66F4D"/>
    <w:rsid w:val="00C67BB5"/>
    <w:rsid w:val="00C72713"/>
    <w:rsid w:val="00C75D6D"/>
    <w:rsid w:val="00C848EF"/>
    <w:rsid w:val="00C86600"/>
    <w:rsid w:val="00C87BCA"/>
    <w:rsid w:val="00C87EED"/>
    <w:rsid w:val="00C924CF"/>
    <w:rsid w:val="00C94506"/>
    <w:rsid w:val="00C954BC"/>
    <w:rsid w:val="00CA1F0B"/>
    <w:rsid w:val="00CA38FB"/>
    <w:rsid w:val="00CA6727"/>
    <w:rsid w:val="00CB110F"/>
    <w:rsid w:val="00CB2A2E"/>
    <w:rsid w:val="00CB338A"/>
    <w:rsid w:val="00CB79C5"/>
    <w:rsid w:val="00CC411F"/>
    <w:rsid w:val="00CC4B75"/>
    <w:rsid w:val="00CC732E"/>
    <w:rsid w:val="00CD2FCD"/>
    <w:rsid w:val="00CD7143"/>
    <w:rsid w:val="00CD7207"/>
    <w:rsid w:val="00CE0422"/>
    <w:rsid w:val="00CE0DBE"/>
    <w:rsid w:val="00CE5E4D"/>
    <w:rsid w:val="00CE6644"/>
    <w:rsid w:val="00CF02C4"/>
    <w:rsid w:val="00CF167F"/>
    <w:rsid w:val="00CF72E5"/>
    <w:rsid w:val="00D01152"/>
    <w:rsid w:val="00D013EE"/>
    <w:rsid w:val="00D01F54"/>
    <w:rsid w:val="00D040F7"/>
    <w:rsid w:val="00D04A76"/>
    <w:rsid w:val="00D10FC7"/>
    <w:rsid w:val="00D1519F"/>
    <w:rsid w:val="00D15973"/>
    <w:rsid w:val="00D20E99"/>
    <w:rsid w:val="00D215BF"/>
    <w:rsid w:val="00D21C83"/>
    <w:rsid w:val="00D3584D"/>
    <w:rsid w:val="00D35BDD"/>
    <w:rsid w:val="00D54BDA"/>
    <w:rsid w:val="00D55089"/>
    <w:rsid w:val="00D63006"/>
    <w:rsid w:val="00D63863"/>
    <w:rsid w:val="00D72301"/>
    <w:rsid w:val="00D90CC0"/>
    <w:rsid w:val="00D911DE"/>
    <w:rsid w:val="00D91B97"/>
    <w:rsid w:val="00D93ACC"/>
    <w:rsid w:val="00D93C08"/>
    <w:rsid w:val="00D93F0B"/>
    <w:rsid w:val="00D95DAC"/>
    <w:rsid w:val="00DA0B53"/>
    <w:rsid w:val="00DB1171"/>
    <w:rsid w:val="00DB1519"/>
    <w:rsid w:val="00DB2840"/>
    <w:rsid w:val="00DC1BD3"/>
    <w:rsid w:val="00DC2C1A"/>
    <w:rsid w:val="00DD5A19"/>
    <w:rsid w:val="00DD66B4"/>
    <w:rsid w:val="00DD681F"/>
    <w:rsid w:val="00DE1972"/>
    <w:rsid w:val="00DE2685"/>
    <w:rsid w:val="00DE27AB"/>
    <w:rsid w:val="00DE447F"/>
    <w:rsid w:val="00DF2AB3"/>
    <w:rsid w:val="00DF7250"/>
    <w:rsid w:val="00E00AF1"/>
    <w:rsid w:val="00E00CAA"/>
    <w:rsid w:val="00E03EBF"/>
    <w:rsid w:val="00E05209"/>
    <w:rsid w:val="00E05E5A"/>
    <w:rsid w:val="00E1123E"/>
    <w:rsid w:val="00E11BCF"/>
    <w:rsid w:val="00E13391"/>
    <w:rsid w:val="00E2258E"/>
    <w:rsid w:val="00E260C2"/>
    <w:rsid w:val="00E26B8D"/>
    <w:rsid w:val="00E27E7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CE3"/>
    <w:rsid w:val="00E55807"/>
    <w:rsid w:val="00E61F30"/>
    <w:rsid w:val="00E63B14"/>
    <w:rsid w:val="00E65CA0"/>
    <w:rsid w:val="00E70D9F"/>
    <w:rsid w:val="00E83810"/>
    <w:rsid w:val="00E86933"/>
    <w:rsid w:val="00E9171A"/>
    <w:rsid w:val="00E9605B"/>
    <w:rsid w:val="00E97298"/>
    <w:rsid w:val="00E97753"/>
    <w:rsid w:val="00EA57E1"/>
    <w:rsid w:val="00EA7DE7"/>
    <w:rsid w:val="00EB7A8A"/>
    <w:rsid w:val="00EC5DA1"/>
    <w:rsid w:val="00EC6FED"/>
    <w:rsid w:val="00EC7F3B"/>
    <w:rsid w:val="00EE3A64"/>
    <w:rsid w:val="00EE43EB"/>
    <w:rsid w:val="00EE50E5"/>
    <w:rsid w:val="00EF01CF"/>
    <w:rsid w:val="00EF7CD6"/>
    <w:rsid w:val="00F03590"/>
    <w:rsid w:val="00F03622"/>
    <w:rsid w:val="00F077FD"/>
    <w:rsid w:val="00F204F3"/>
    <w:rsid w:val="00F218AB"/>
    <w:rsid w:val="00F22931"/>
    <w:rsid w:val="00F238B3"/>
    <w:rsid w:val="00F24FED"/>
    <w:rsid w:val="00F2506A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0BD"/>
    <w:rsid w:val="00F52741"/>
    <w:rsid w:val="00F53B94"/>
    <w:rsid w:val="00F53D8A"/>
    <w:rsid w:val="00F626F7"/>
    <w:rsid w:val="00F70E08"/>
    <w:rsid w:val="00F736F9"/>
    <w:rsid w:val="00F73833"/>
    <w:rsid w:val="00F9211C"/>
    <w:rsid w:val="00F93B88"/>
    <w:rsid w:val="00FA095D"/>
    <w:rsid w:val="00FA6C8B"/>
    <w:rsid w:val="00FA6CDA"/>
    <w:rsid w:val="00FA7C89"/>
    <w:rsid w:val="00FB4139"/>
    <w:rsid w:val="00FB476E"/>
    <w:rsid w:val="00FC0D90"/>
    <w:rsid w:val="00FC6A3E"/>
    <w:rsid w:val="00FC7D8C"/>
    <w:rsid w:val="00FD3980"/>
    <w:rsid w:val="00FD431E"/>
    <w:rsid w:val="00FD5A2C"/>
    <w:rsid w:val="00FE00E6"/>
    <w:rsid w:val="00FE0D47"/>
    <w:rsid w:val="00FE0DE7"/>
    <w:rsid w:val="00FE1D5C"/>
    <w:rsid w:val="00FE2F8B"/>
    <w:rsid w:val="00FE3669"/>
    <w:rsid w:val="00FE5204"/>
    <w:rsid w:val="00FF06C0"/>
    <w:rsid w:val="00FF287F"/>
    <w:rsid w:val="00FF3A6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D51C995-59A2-4E46-A1DC-3CB58D1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6A7324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6A7324"/>
    <w:rPr>
      <w:b/>
      <w:bCs/>
    </w:rPr>
  </w:style>
  <w:style w:type="table" w:customStyle="1" w:styleId="LightGrid-Accent112">
    <w:name w:val="Light Grid - Accent 112"/>
    <w:basedOn w:val="TableNormal"/>
    <w:next w:val="LightGrid-Accent1"/>
    <w:uiPriority w:val="62"/>
    <w:rsid w:val="00833B5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33B5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4501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19B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AB4D9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04D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04D3C"/>
    <w:rPr>
      <w:rFonts w:ascii="Calibri" w:eastAsiaTheme="minorEastAsia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net4/Telecom/webs/TelecomWorld/session/description/C-00005003" TargetMode="External"/><Relationship Id="rId18" Type="http://schemas.openxmlformats.org/officeDocument/2006/relationships/hyperlink" Target="https://www.itu.int/en/ITU-D/Innovation/Documents/Publications/eBAT_Brochure&#8211;DIP%20BosniaH_431106_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D/Innovation/Documents/Publications/Brochure%e2%80%93DIP%20South%20Afric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comworld.itu.int/2018-daily-highlights-day-3/digital-innovation-ecosystems-the-key-to-industry-4-0/" TargetMode="External"/><Relationship Id="rId17" Type="http://schemas.openxmlformats.org/officeDocument/2006/relationships/hyperlink" Target="https://www.itu.int/en/ITU-D/Innovation/Pages/Platform/diprofile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Regional-Presence/Europe/Pages/Events/2018/IF/InnovationForum.aspx" TargetMode="External"/><Relationship Id="rId20" Type="http://schemas.openxmlformats.org/officeDocument/2006/relationships/hyperlink" Target="http://handle.itu.int/11.1002/pub/810fd87d-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D/Regional-Presence/Europe/Pages/Events/2018/WSI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Innovation/Pages/Events/2018/YILF2018.aspx" TargetMode="External"/><Relationship Id="rId23" Type="http://schemas.openxmlformats.org/officeDocument/2006/relationships/hyperlink" Target="https://www.itu.int/md/D18-TDAG24-C-0021" TargetMode="External"/><Relationship Id="rId10" Type="http://schemas.openxmlformats.org/officeDocument/2006/relationships/hyperlink" Target="https://www.itu.int/en/ITU-D/Innovation/Documents/Publications/Policy_Toolkit-Innovation_D012A0000D13301PDFE.pdf" TargetMode="External"/><Relationship Id="rId19" Type="http://schemas.openxmlformats.org/officeDocument/2006/relationships/hyperlink" Target="https://www.itu.int/en/ITU-D/Innovation/Documents/Publications/eBAT_Brochure&#8211;DIP%20Serbia_432746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Regional-Presence/Europe/Documents/Events/2018/WSIS/Accelerating%20Digital%20Transformation.pdf" TargetMode="External"/><Relationship Id="rId14" Type="http://schemas.openxmlformats.org/officeDocument/2006/relationships/hyperlink" Target="https://www.itu.int/en/ITU-D/Innovation/Pages/Events/2018/BDID_Workshop_Thailand.aspx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DD65-2964-46E8-95BE-AABD1AB5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1971</Words>
  <Characters>13534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</cp:lastModifiedBy>
  <cp:revision>4</cp:revision>
  <cp:lastPrinted>2019-01-30T15:43:00Z</cp:lastPrinted>
  <dcterms:created xsi:type="dcterms:W3CDTF">2019-02-14T16:19:00Z</dcterms:created>
  <dcterms:modified xsi:type="dcterms:W3CDTF">2019-02-15T08:32:00Z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