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rsidTr="006D7E3A">
        <w:trPr>
          <w:cantSplit/>
          <w:trHeight w:val="1134"/>
        </w:trPr>
        <w:tc>
          <w:tcPr>
            <w:tcW w:w="7251" w:type="dxa"/>
          </w:tcPr>
          <w:p w:rsidR="0021438F" w:rsidRPr="000C61E9" w:rsidRDefault="0021438F" w:rsidP="007E2F1F">
            <w:pPr>
              <w:tabs>
                <w:tab w:val="left" w:pos="1871"/>
                <w:tab w:val="left" w:pos="2268"/>
              </w:tabs>
              <w:spacing w:before="20" w:after="48"/>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21438F" w:rsidRPr="00156BF6" w:rsidRDefault="00D87E6C" w:rsidP="007E2F1F">
            <w:pPr>
              <w:tabs>
                <w:tab w:val="clear" w:pos="1191"/>
                <w:tab w:val="clear" w:pos="1588"/>
                <w:tab w:val="clear" w:pos="1985"/>
              </w:tabs>
              <w:spacing w:before="100" w:after="120"/>
              <w:ind w:left="34"/>
              <w:rPr>
                <w:rFonts w:ascii="Verdana" w:hAnsi="Verdana"/>
                <w:sz w:val="28"/>
                <w:szCs w:val="28"/>
              </w:rPr>
            </w:pPr>
            <w:r w:rsidRPr="006231B0">
              <w:rPr>
                <w:b/>
                <w:bCs/>
                <w:sz w:val="26"/>
                <w:szCs w:val="26"/>
                <w:lang w:val="fr-FR"/>
              </w:rPr>
              <w:t>2</w:t>
            </w:r>
            <w:r>
              <w:rPr>
                <w:b/>
                <w:bCs/>
                <w:sz w:val="26"/>
                <w:szCs w:val="26"/>
                <w:lang w:val="fr-FR"/>
              </w:rPr>
              <w:t>4</w:t>
            </w:r>
            <w:r w:rsidRPr="006231B0">
              <w:rPr>
                <w:b/>
                <w:bCs/>
                <w:sz w:val="26"/>
                <w:szCs w:val="26"/>
                <w:lang w:val="fr-FR"/>
              </w:rPr>
              <w:t xml:space="preserve">ème réunion, Genève, </w:t>
            </w:r>
            <w:r>
              <w:rPr>
                <w:b/>
                <w:bCs/>
                <w:sz w:val="26"/>
                <w:szCs w:val="26"/>
                <w:lang w:val="fr-FR"/>
              </w:rPr>
              <w:t>3</w:t>
            </w:r>
            <w:r w:rsidRPr="006231B0">
              <w:rPr>
                <w:b/>
                <w:bCs/>
                <w:sz w:val="26"/>
                <w:szCs w:val="26"/>
                <w:lang w:val="fr-FR"/>
              </w:rPr>
              <w:t>-</w:t>
            </w:r>
            <w:r>
              <w:rPr>
                <w:b/>
                <w:bCs/>
                <w:sz w:val="26"/>
                <w:szCs w:val="26"/>
                <w:lang w:val="fr-FR"/>
              </w:rPr>
              <w:t>5</w:t>
            </w:r>
            <w:r w:rsidRPr="006231B0">
              <w:rPr>
                <w:b/>
                <w:bCs/>
                <w:sz w:val="26"/>
                <w:szCs w:val="26"/>
                <w:lang w:val="fr-FR"/>
              </w:rPr>
              <w:t xml:space="preserve"> </w:t>
            </w:r>
            <w:r>
              <w:rPr>
                <w:b/>
                <w:bCs/>
                <w:sz w:val="26"/>
                <w:szCs w:val="26"/>
                <w:lang w:val="fr-FR"/>
              </w:rPr>
              <w:t>avril</w:t>
            </w:r>
            <w:r w:rsidRPr="006231B0">
              <w:rPr>
                <w:b/>
                <w:bCs/>
                <w:sz w:val="26"/>
                <w:szCs w:val="26"/>
                <w:lang w:val="fr-FR"/>
              </w:rPr>
              <w:t xml:space="preserve"> 201</w:t>
            </w:r>
            <w:r>
              <w:rPr>
                <w:b/>
                <w:bCs/>
                <w:sz w:val="26"/>
                <w:szCs w:val="26"/>
                <w:lang w:val="fr-FR"/>
              </w:rPr>
              <w:t>9</w:t>
            </w:r>
          </w:p>
        </w:tc>
        <w:tc>
          <w:tcPr>
            <w:tcW w:w="2996" w:type="dxa"/>
          </w:tcPr>
          <w:p w:rsidR="0021438F" w:rsidRPr="00156BF6" w:rsidRDefault="00D87E6C" w:rsidP="007E2F1F">
            <w:pPr>
              <w:spacing w:before="0"/>
              <w:ind w:right="142"/>
              <w:jc w:val="right"/>
            </w:pPr>
            <w:r w:rsidRPr="008E52B1">
              <w:rPr>
                <w:noProof/>
                <w:color w:val="3399FF"/>
                <w:lang w:val="fr-FR"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56BF6" w:rsidTr="000C61E9">
        <w:trPr>
          <w:cantSplit/>
        </w:trPr>
        <w:tc>
          <w:tcPr>
            <w:tcW w:w="7251" w:type="dxa"/>
            <w:tcBorders>
              <w:top w:val="single" w:sz="12" w:space="0" w:color="auto"/>
            </w:tcBorders>
          </w:tcPr>
          <w:p w:rsidR="00683C32" w:rsidRPr="00156BF6" w:rsidRDefault="00683C32" w:rsidP="007E2F1F">
            <w:pPr>
              <w:spacing w:before="0"/>
              <w:rPr>
                <w:rFonts w:cs="Arial"/>
                <w:b/>
                <w:bCs/>
                <w:sz w:val="20"/>
              </w:rPr>
            </w:pPr>
          </w:p>
        </w:tc>
        <w:tc>
          <w:tcPr>
            <w:tcW w:w="2996" w:type="dxa"/>
            <w:tcBorders>
              <w:top w:val="single" w:sz="12" w:space="0" w:color="auto"/>
            </w:tcBorders>
          </w:tcPr>
          <w:p w:rsidR="00683C32" w:rsidRPr="00156BF6" w:rsidRDefault="00683C32" w:rsidP="007E2F1F">
            <w:pPr>
              <w:spacing w:before="0"/>
              <w:rPr>
                <w:b/>
                <w:bCs/>
                <w:sz w:val="20"/>
              </w:rPr>
            </w:pPr>
          </w:p>
        </w:tc>
      </w:tr>
      <w:tr w:rsidR="00683C32" w:rsidRPr="00156BF6" w:rsidTr="000C61E9">
        <w:trPr>
          <w:cantSplit/>
        </w:trPr>
        <w:tc>
          <w:tcPr>
            <w:tcW w:w="7251" w:type="dxa"/>
          </w:tcPr>
          <w:p w:rsidR="00683C32" w:rsidRPr="00156BF6" w:rsidRDefault="00683C32" w:rsidP="007E2F1F">
            <w:pPr>
              <w:pStyle w:val="Committee"/>
              <w:spacing w:before="0"/>
              <w:rPr>
                <w:b w:val="0"/>
                <w:szCs w:val="24"/>
              </w:rPr>
            </w:pPr>
          </w:p>
        </w:tc>
        <w:tc>
          <w:tcPr>
            <w:tcW w:w="2996" w:type="dxa"/>
          </w:tcPr>
          <w:p w:rsidR="00683C32" w:rsidRPr="00156BF6" w:rsidRDefault="00323587" w:rsidP="007E2F1F">
            <w:pPr>
              <w:spacing w:before="0"/>
              <w:rPr>
                <w:bCs/>
                <w:szCs w:val="24"/>
              </w:rPr>
            </w:pPr>
            <w:r w:rsidRPr="008F5D48">
              <w:rPr>
                <w:b/>
                <w:bCs/>
                <w:szCs w:val="28"/>
              </w:rPr>
              <w:t xml:space="preserve">Document </w:t>
            </w:r>
            <w:bookmarkStart w:id="0" w:name="DocRef1"/>
            <w:bookmarkEnd w:id="0"/>
            <w:r w:rsidRPr="008F5D48">
              <w:rPr>
                <w:b/>
                <w:bCs/>
                <w:szCs w:val="28"/>
              </w:rPr>
              <w:t>TDAG</w:t>
            </w:r>
            <w:r w:rsidR="008F20EB">
              <w:rPr>
                <w:b/>
                <w:bCs/>
                <w:szCs w:val="28"/>
              </w:rPr>
              <w:t>-</w:t>
            </w:r>
            <w:r w:rsidRPr="008F5D48">
              <w:rPr>
                <w:b/>
                <w:bCs/>
                <w:szCs w:val="28"/>
              </w:rPr>
              <w:t>1</w:t>
            </w:r>
            <w:r w:rsidR="00D87E6C">
              <w:rPr>
                <w:b/>
                <w:bCs/>
                <w:szCs w:val="28"/>
              </w:rPr>
              <w:t>9</w:t>
            </w:r>
            <w:r w:rsidRPr="008F5D48">
              <w:rPr>
                <w:b/>
                <w:bCs/>
                <w:szCs w:val="28"/>
              </w:rPr>
              <w:t>/</w:t>
            </w:r>
            <w:bookmarkStart w:id="1" w:name="DocNo1"/>
            <w:bookmarkEnd w:id="1"/>
            <w:r w:rsidR="00C15671">
              <w:rPr>
                <w:b/>
                <w:bCs/>
                <w:szCs w:val="28"/>
              </w:rPr>
              <w:t>22</w:t>
            </w:r>
            <w:r w:rsidRPr="008F5D48">
              <w:rPr>
                <w:b/>
                <w:bCs/>
                <w:szCs w:val="28"/>
              </w:rPr>
              <w:t>-F</w:t>
            </w:r>
          </w:p>
        </w:tc>
      </w:tr>
      <w:tr w:rsidR="00683C32" w:rsidRPr="00156BF6" w:rsidTr="000C61E9">
        <w:trPr>
          <w:cantSplit/>
        </w:trPr>
        <w:tc>
          <w:tcPr>
            <w:tcW w:w="7251" w:type="dxa"/>
          </w:tcPr>
          <w:p w:rsidR="00683C32" w:rsidRPr="00156BF6" w:rsidRDefault="00683C32" w:rsidP="007E2F1F">
            <w:pPr>
              <w:spacing w:before="0"/>
              <w:rPr>
                <w:b/>
                <w:bCs/>
                <w:smallCaps/>
                <w:szCs w:val="24"/>
              </w:rPr>
            </w:pPr>
          </w:p>
        </w:tc>
        <w:tc>
          <w:tcPr>
            <w:tcW w:w="2996" w:type="dxa"/>
          </w:tcPr>
          <w:p w:rsidR="00683C32" w:rsidRPr="00156BF6" w:rsidRDefault="00C15671" w:rsidP="007E2F1F">
            <w:pPr>
              <w:spacing w:before="0"/>
              <w:rPr>
                <w:b/>
                <w:szCs w:val="24"/>
              </w:rPr>
            </w:pPr>
            <w:bookmarkStart w:id="2" w:name="CreationDate"/>
            <w:bookmarkEnd w:id="2"/>
            <w:r>
              <w:rPr>
                <w:b/>
                <w:bCs/>
                <w:szCs w:val="28"/>
              </w:rPr>
              <w:t xml:space="preserve">12 février </w:t>
            </w:r>
            <w:r w:rsidR="00323587" w:rsidRPr="008F5D48">
              <w:rPr>
                <w:b/>
                <w:bCs/>
                <w:szCs w:val="28"/>
              </w:rPr>
              <w:t>201</w:t>
            </w:r>
            <w:r w:rsidR="00D87E6C">
              <w:rPr>
                <w:b/>
                <w:bCs/>
                <w:szCs w:val="28"/>
              </w:rPr>
              <w:t>9</w:t>
            </w:r>
          </w:p>
        </w:tc>
      </w:tr>
      <w:tr w:rsidR="00683C32" w:rsidRPr="00156BF6" w:rsidTr="000C61E9">
        <w:trPr>
          <w:cantSplit/>
        </w:trPr>
        <w:tc>
          <w:tcPr>
            <w:tcW w:w="7251" w:type="dxa"/>
          </w:tcPr>
          <w:p w:rsidR="00683C32" w:rsidRPr="00156BF6" w:rsidRDefault="00683C32" w:rsidP="007E2F1F">
            <w:pPr>
              <w:spacing w:before="0"/>
              <w:rPr>
                <w:b/>
                <w:bCs/>
                <w:smallCaps/>
                <w:szCs w:val="24"/>
              </w:rPr>
            </w:pPr>
          </w:p>
        </w:tc>
        <w:tc>
          <w:tcPr>
            <w:tcW w:w="2996" w:type="dxa"/>
          </w:tcPr>
          <w:p w:rsidR="00514D2F" w:rsidRPr="00156BF6" w:rsidRDefault="00323587" w:rsidP="007E2F1F">
            <w:pPr>
              <w:spacing w:before="0"/>
              <w:rPr>
                <w:szCs w:val="24"/>
              </w:rPr>
            </w:pPr>
            <w:r w:rsidRPr="008F5D48">
              <w:rPr>
                <w:b/>
                <w:szCs w:val="28"/>
              </w:rPr>
              <w:t>Original:</w:t>
            </w:r>
            <w:bookmarkStart w:id="3" w:name="Original"/>
            <w:bookmarkEnd w:id="3"/>
            <w:r w:rsidR="00C15671">
              <w:rPr>
                <w:b/>
                <w:szCs w:val="28"/>
              </w:rPr>
              <w:t xml:space="preserve"> anglais</w:t>
            </w:r>
          </w:p>
        </w:tc>
      </w:tr>
      <w:tr w:rsidR="00A13162" w:rsidRPr="00156BF6" w:rsidTr="000C61E9">
        <w:trPr>
          <w:cantSplit/>
          <w:trHeight w:val="852"/>
        </w:trPr>
        <w:tc>
          <w:tcPr>
            <w:tcW w:w="10247" w:type="dxa"/>
            <w:gridSpan w:val="2"/>
          </w:tcPr>
          <w:p w:rsidR="00A13162" w:rsidRPr="00C15671" w:rsidRDefault="00C15671" w:rsidP="007E2F1F">
            <w:pPr>
              <w:pStyle w:val="Source"/>
              <w:rPr>
                <w:lang w:val="fr-FR"/>
              </w:rPr>
            </w:pPr>
            <w:bookmarkStart w:id="4" w:name="Source"/>
            <w:bookmarkEnd w:id="4"/>
            <w:r w:rsidRPr="00C15671">
              <w:rPr>
                <w:lang w:val="fr-FR"/>
              </w:rPr>
              <w:t>Directeur du Bureau de développement des télécommunications</w:t>
            </w:r>
          </w:p>
        </w:tc>
      </w:tr>
      <w:tr w:rsidR="00AC6F14" w:rsidRPr="00156BF6" w:rsidTr="000C61E9">
        <w:trPr>
          <w:cantSplit/>
        </w:trPr>
        <w:tc>
          <w:tcPr>
            <w:tcW w:w="10247" w:type="dxa"/>
            <w:gridSpan w:val="2"/>
          </w:tcPr>
          <w:p w:rsidR="00AC6F14" w:rsidRPr="00156BF6" w:rsidRDefault="00E86D82" w:rsidP="007E2F1F">
            <w:pPr>
              <w:pStyle w:val="Title1"/>
            </w:pPr>
            <w:bookmarkStart w:id="5" w:name="Title"/>
            <w:bookmarkEnd w:id="5"/>
            <w:r>
              <w:t>L'INNOVATION À L'UIT-</w:t>
            </w:r>
            <w:r w:rsidR="00C15671" w:rsidRPr="00C15671">
              <w:t>D</w:t>
            </w:r>
          </w:p>
        </w:tc>
      </w:tr>
      <w:tr w:rsidR="00A721F4" w:rsidRPr="00156BF6" w:rsidTr="000C61E9">
        <w:trPr>
          <w:cantSplit/>
        </w:trPr>
        <w:tc>
          <w:tcPr>
            <w:tcW w:w="10247" w:type="dxa"/>
            <w:gridSpan w:val="2"/>
            <w:tcBorders>
              <w:bottom w:val="single" w:sz="4" w:space="0" w:color="auto"/>
            </w:tcBorders>
          </w:tcPr>
          <w:p w:rsidR="00A721F4" w:rsidRPr="00156BF6" w:rsidRDefault="00A721F4" w:rsidP="007E2F1F"/>
        </w:tc>
      </w:tr>
      <w:tr w:rsidR="00A721F4" w:rsidRPr="00156BF6"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156BF6" w:rsidRDefault="00156BF6" w:rsidP="007E2F1F">
            <w:pPr>
              <w:rPr>
                <w:b/>
                <w:bCs/>
                <w:szCs w:val="24"/>
              </w:rPr>
            </w:pPr>
            <w:r w:rsidRPr="00156BF6">
              <w:rPr>
                <w:b/>
                <w:bCs/>
                <w:szCs w:val="24"/>
              </w:rPr>
              <w:t>Résumé:</w:t>
            </w:r>
          </w:p>
          <w:p w:rsidR="00A721F4" w:rsidRDefault="00C15671" w:rsidP="009D3681">
            <w:pPr>
              <w:rPr>
                <w:szCs w:val="24"/>
              </w:rPr>
            </w:pPr>
            <w:r w:rsidRPr="00C15671">
              <w:rPr>
                <w:szCs w:val="24"/>
              </w:rPr>
              <w:t xml:space="preserve">Le présent rapport donne un aperçu de l'innovation à l'UIT-D, qui constitue l'un des produits et des buts adoptés </w:t>
            </w:r>
            <w:r w:rsidR="00922478">
              <w:rPr>
                <w:szCs w:val="24"/>
              </w:rPr>
              <w:t xml:space="preserve">respectivement </w:t>
            </w:r>
            <w:r w:rsidRPr="00C15671">
              <w:rPr>
                <w:szCs w:val="24"/>
              </w:rPr>
              <w:t>par la Conférence mondiale de développement des t</w:t>
            </w:r>
            <w:r>
              <w:rPr>
                <w:szCs w:val="24"/>
              </w:rPr>
              <w:t>élécommunications de 2017 (CMDT</w:t>
            </w:r>
            <w:r w:rsidR="009D3681">
              <w:rPr>
                <w:szCs w:val="24"/>
              </w:rPr>
              <w:noBreakHyphen/>
            </w:r>
            <w:r>
              <w:rPr>
                <w:szCs w:val="24"/>
              </w:rPr>
              <w:t>17) et la Conférence de plénipotentiaires (PP-18)</w:t>
            </w:r>
            <w:r w:rsidRPr="00C15671">
              <w:rPr>
                <w:szCs w:val="24"/>
              </w:rPr>
              <w:t>.</w:t>
            </w:r>
          </w:p>
          <w:p w:rsidR="00C15671" w:rsidRPr="00156BF6" w:rsidRDefault="00922478" w:rsidP="007E2F1F">
            <w:pPr>
              <w:rPr>
                <w:szCs w:val="24"/>
              </w:rPr>
            </w:pPr>
            <w:r>
              <w:rPr>
                <w:szCs w:val="24"/>
              </w:rPr>
              <w:t>L</w:t>
            </w:r>
            <w:r w:rsidR="00C15671" w:rsidRPr="00C15671">
              <w:rPr>
                <w:szCs w:val="24"/>
              </w:rPr>
              <w:t xml:space="preserve">e présent rapport </w:t>
            </w:r>
            <w:r>
              <w:rPr>
                <w:szCs w:val="24"/>
              </w:rPr>
              <w:t>met en lumière</w:t>
            </w:r>
            <w:r w:rsidR="007E2F1F">
              <w:rPr>
                <w:szCs w:val="24"/>
              </w:rPr>
              <w:t xml:space="preserve"> </w:t>
            </w:r>
            <w:r w:rsidR="00C15671" w:rsidRPr="00C15671">
              <w:rPr>
                <w:szCs w:val="24"/>
              </w:rPr>
              <w:t xml:space="preserve">les objectifs et </w:t>
            </w:r>
            <w:r w:rsidR="00FC2E67">
              <w:rPr>
                <w:szCs w:val="24"/>
              </w:rPr>
              <w:t xml:space="preserve">les </w:t>
            </w:r>
            <w:r w:rsidR="00C15671" w:rsidRPr="00C15671">
              <w:rPr>
                <w:szCs w:val="24"/>
              </w:rPr>
              <w:t xml:space="preserve">stratégies </w:t>
            </w:r>
            <w:r>
              <w:rPr>
                <w:szCs w:val="24"/>
              </w:rPr>
              <w:t xml:space="preserve">du </w:t>
            </w:r>
            <w:r w:rsidR="00FC2E67">
              <w:rPr>
                <w:szCs w:val="24"/>
              </w:rPr>
              <w:t>p</w:t>
            </w:r>
            <w:r>
              <w:rPr>
                <w:szCs w:val="24"/>
              </w:rPr>
              <w:t>rogramme en faveur de l'</w:t>
            </w:r>
            <w:r w:rsidR="00C15671" w:rsidRPr="00C15671">
              <w:rPr>
                <w:szCs w:val="24"/>
              </w:rPr>
              <w:t>innovation</w:t>
            </w:r>
            <w:r>
              <w:rPr>
                <w:szCs w:val="24"/>
              </w:rPr>
              <w:t>, donne une vue d'ensemble des</w:t>
            </w:r>
            <w:r w:rsidR="007E2F1F">
              <w:rPr>
                <w:szCs w:val="24"/>
              </w:rPr>
              <w:t xml:space="preserve"> </w:t>
            </w:r>
            <w:r w:rsidR="00C15671" w:rsidRPr="00C15671">
              <w:rPr>
                <w:szCs w:val="24"/>
              </w:rPr>
              <w:t xml:space="preserve">principales mesures déjà prises, ou qu'il est prévu de prendre, et </w:t>
            </w:r>
            <w:r>
              <w:rPr>
                <w:szCs w:val="24"/>
              </w:rPr>
              <w:t xml:space="preserve">présente </w:t>
            </w:r>
            <w:r w:rsidR="00C15671" w:rsidRPr="00C15671">
              <w:rPr>
                <w:szCs w:val="24"/>
              </w:rPr>
              <w:t>les</w:t>
            </w:r>
            <w:r>
              <w:rPr>
                <w:szCs w:val="24"/>
              </w:rPr>
              <w:t xml:space="preserve"> solutions possibles</w:t>
            </w:r>
            <w:r w:rsidRPr="00C15671">
              <w:rPr>
                <w:szCs w:val="24"/>
              </w:rPr>
              <w:t xml:space="preserve"> </w:t>
            </w:r>
            <w:r>
              <w:rPr>
                <w:szCs w:val="24"/>
              </w:rPr>
              <w:t>c</w:t>
            </w:r>
            <w:r w:rsidRPr="00C15671">
              <w:rPr>
                <w:szCs w:val="24"/>
              </w:rPr>
              <w:t>ompte tenu de la gestion axée sur les résultats</w:t>
            </w:r>
            <w:r w:rsidR="00FC2E67">
              <w:rPr>
                <w:szCs w:val="24"/>
              </w:rPr>
              <w:t>.</w:t>
            </w:r>
          </w:p>
          <w:p w:rsidR="00A721F4" w:rsidRPr="00156BF6" w:rsidRDefault="00156BF6" w:rsidP="007E2F1F">
            <w:pPr>
              <w:rPr>
                <w:b/>
                <w:bCs/>
                <w:szCs w:val="24"/>
              </w:rPr>
            </w:pPr>
            <w:r w:rsidRPr="00156BF6">
              <w:rPr>
                <w:b/>
                <w:bCs/>
                <w:szCs w:val="24"/>
              </w:rPr>
              <w:t>Suite à donner:</w:t>
            </w:r>
          </w:p>
          <w:p w:rsidR="00A721F4" w:rsidRPr="00156BF6" w:rsidRDefault="00C15671" w:rsidP="007E2F1F">
            <w:pPr>
              <w:rPr>
                <w:szCs w:val="24"/>
              </w:rPr>
            </w:pPr>
            <w:r w:rsidRPr="00C15671">
              <w:rPr>
                <w:szCs w:val="24"/>
              </w:rPr>
              <w:t>Le GCDT est invité à prendre note du présent document et à fournir les indications qu'il jugera utiles.</w:t>
            </w:r>
          </w:p>
          <w:p w:rsidR="00A721F4" w:rsidRPr="00156BF6" w:rsidRDefault="00156BF6" w:rsidP="007E2F1F">
            <w:pPr>
              <w:rPr>
                <w:b/>
                <w:bCs/>
                <w:szCs w:val="24"/>
              </w:rPr>
            </w:pPr>
            <w:r w:rsidRPr="00156BF6">
              <w:rPr>
                <w:b/>
                <w:bCs/>
                <w:szCs w:val="24"/>
              </w:rPr>
              <w:t>Références:</w:t>
            </w:r>
          </w:p>
          <w:p w:rsidR="00FC2E67" w:rsidRDefault="00C15671" w:rsidP="007E2F1F">
            <w:pPr>
              <w:spacing w:after="120"/>
            </w:pPr>
            <w:r w:rsidRPr="00C15671">
              <w:t>Déclaration de Buenos Aires de la CMDT-17; Résolutions 17 (Rév.</w:t>
            </w:r>
            <w:r>
              <w:t xml:space="preserve"> </w:t>
            </w:r>
            <w:r w:rsidRPr="00C15671">
              <w:t xml:space="preserve">Buenos Aires, 2017), </w:t>
            </w:r>
            <w:r>
              <w:t>30 </w:t>
            </w:r>
            <w:r w:rsidRPr="00C15671">
              <w:t>(Rév.</w:t>
            </w:r>
            <w:r>
              <w:t> Buenos </w:t>
            </w:r>
            <w:r w:rsidRPr="00C15671">
              <w:t>Aires, 2017), 66 (Rév.</w:t>
            </w:r>
            <w:r>
              <w:t xml:space="preserve"> </w:t>
            </w:r>
            <w:r w:rsidRPr="00C15671">
              <w:t>Buenos Aires, 2017), 71 (Rév.</w:t>
            </w:r>
            <w:r>
              <w:t xml:space="preserve"> Buenos Aires, 2017), 76 </w:t>
            </w:r>
            <w:r w:rsidRPr="00C15671">
              <w:t>(Rév.</w:t>
            </w:r>
            <w:r>
              <w:t> Buenos Aires, 2017)</w:t>
            </w:r>
            <w:r w:rsidR="00922478">
              <w:t xml:space="preserve"> et </w:t>
            </w:r>
            <w:r w:rsidRPr="00C15671">
              <w:t>85 (Rév.</w:t>
            </w:r>
            <w:r>
              <w:t> Buenos Aires, 2017)</w:t>
            </w:r>
            <w:r w:rsidR="00922478" w:rsidRPr="00C15671">
              <w:t xml:space="preserve"> </w:t>
            </w:r>
            <w:r w:rsidR="00922478">
              <w:t>de la CMDT</w:t>
            </w:r>
            <w:r w:rsidRPr="00C15671">
              <w:t xml:space="preserve">; </w:t>
            </w:r>
          </w:p>
          <w:p w:rsidR="00A721F4" w:rsidRPr="00156BF6" w:rsidRDefault="00C15671" w:rsidP="007E2F1F">
            <w:pPr>
              <w:spacing w:after="120"/>
            </w:pPr>
            <w:r w:rsidRPr="00C15671">
              <w:t>Résolution</w:t>
            </w:r>
            <w:r w:rsidR="00922478">
              <w:t>s</w:t>
            </w:r>
            <w:r w:rsidRPr="00C15671">
              <w:t xml:space="preserve"> 200 (</w:t>
            </w:r>
            <w:r>
              <w:t>Rév. Dubaï, 2018</w:t>
            </w:r>
            <w:r w:rsidRPr="00C15671">
              <w:t xml:space="preserve">) </w:t>
            </w:r>
            <w:r w:rsidR="00922478">
              <w:t>et 205 (Dubaï, 2018</w:t>
            </w:r>
            <w:r w:rsidR="00922478" w:rsidRPr="00C15671">
              <w:t xml:space="preserve">) </w:t>
            </w:r>
            <w:r w:rsidRPr="00C15671">
              <w:t>d</w:t>
            </w:r>
            <w:r>
              <w:t>e la PP</w:t>
            </w:r>
            <w:r w:rsidR="007E2F1F">
              <w:t xml:space="preserve"> </w:t>
            </w:r>
            <w:r w:rsidRPr="00C15671">
              <w:t>et But 4 défini à</w:t>
            </w:r>
            <w:r>
              <w:t xml:space="preserve"> l'échelle de l'UIT par la PP </w:t>
            </w:r>
            <w:r w:rsidR="00770805">
              <w:t>(</w:t>
            </w:r>
            <w:r>
              <w:t>Rév. Dubaï, 2018</w:t>
            </w:r>
            <w:r w:rsidRPr="00C15671">
              <w:t>).</w:t>
            </w:r>
          </w:p>
        </w:tc>
      </w:tr>
    </w:tbl>
    <w:p w:rsidR="00E91EBD" w:rsidRDefault="00E91EBD" w:rsidP="007E2F1F">
      <w:pPr>
        <w:tabs>
          <w:tab w:val="clear" w:pos="794"/>
          <w:tab w:val="clear" w:pos="1191"/>
          <w:tab w:val="clear" w:pos="1588"/>
          <w:tab w:val="clear" w:pos="1985"/>
        </w:tabs>
        <w:overflowPunct/>
        <w:autoSpaceDE/>
        <w:autoSpaceDN/>
        <w:adjustRightInd/>
        <w:spacing w:before="0"/>
        <w:textAlignment w:val="auto"/>
      </w:pPr>
      <w:bookmarkStart w:id="6" w:name="Proposal"/>
      <w:bookmarkEnd w:id="6"/>
      <w:r>
        <w:br w:type="page"/>
      </w:r>
    </w:p>
    <w:p w:rsidR="00CA7BB9" w:rsidRPr="00922478" w:rsidRDefault="00CA7BB9" w:rsidP="007E2F1F">
      <w:pPr>
        <w:pStyle w:val="Heading1"/>
      </w:pPr>
      <w:r w:rsidRPr="00922478">
        <w:lastRenderedPageBreak/>
        <w:t>1</w:t>
      </w:r>
      <w:r w:rsidRPr="00922478">
        <w:tab/>
        <w:t>Rappel</w:t>
      </w:r>
    </w:p>
    <w:p w:rsidR="00836BDB" w:rsidRDefault="00922478" w:rsidP="00E50377">
      <w:pPr>
        <w:rPr>
          <w:rFonts w:cstheme="minorHAnsi"/>
          <w:szCs w:val="24"/>
          <w:lang w:val="fr-FR"/>
        </w:rPr>
      </w:pPr>
      <w:r>
        <w:rPr>
          <w:lang w:val="fr-FR"/>
        </w:rPr>
        <w:t xml:space="preserve">La mise en œuvre du programme en faveur de l'innovation a été demandée </w:t>
      </w:r>
      <w:r w:rsidR="00FC2E67">
        <w:rPr>
          <w:lang w:val="fr-FR"/>
        </w:rPr>
        <w:t>à l'origine</w:t>
      </w:r>
      <w:r>
        <w:rPr>
          <w:lang w:val="fr-FR"/>
        </w:rPr>
        <w:t xml:space="preserve"> par les </w:t>
      </w:r>
      <w:r w:rsidR="00FC2E67">
        <w:rPr>
          <w:lang w:val="fr-FR"/>
        </w:rPr>
        <w:t>M</w:t>
      </w:r>
      <w:r>
        <w:rPr>
          <w:lang w:val="fr-FR"/>
        </w:rPr>
        <w:t>embres de l'UIT-D</w:t>
      </w:r>
      <w:r w:rsidR="007E2F1F">
        <w:rPr>
          <w:lang w:val="fr-FR"/>
        </w:rPr>
        <w:t xml:space="preserve"> </w:t>
      </w:r>
      <w:r>
        <w:rPr>
          <w:lang w:val="fr-FR"/>
        </w:rPr>
        <w:t>lors de la</w:t>
      </w:r>
      <w:r w:rsidR="007E2F1F">
        <w:rPr>
          <w:lang w:val="fr-FR"/>
        </w:rPr>
        <w:t xml:space="preserve"> </w:t>
      </w:r>
      <w:r w:rsidR="00CA7BB9" w:rsidRPr="00CA7BB9">
        <w:rPr>
          <w:lang w:val="fr-FR"/>
        </w:rPr>
        <w:t>CMDT-14</w:t>
      </w:r>
      <w:r>
        <w:rPr>
          <w:lang w:val="fr-FR"/>
        </w:rPr>
        <w:t xml:space="preserve"> tenue à </w:t>
      </w:r>
      <w:r w:rsidR="00E50377" w:rsidRPr="00CA7BB9">
        <w:rPr>
          <w:lang w:val="fr-FR"/>
        </w:rPr>
        <w:t>Dubaï</w:t>
      </w:r>
      <w:r w:rsidR="00CA7BB9" w:rsidRPr="00CA7BB9">
        <w:rPr>
          <w:lang w:val="fr-FR"/>
        </w:rPr>
        <w:t>,</w:t>
      </w:r>
      <w:r>
        <w:rPr>
          <w:lang w:val="fr-FR"/>
        </w:rPr>
        <w:t xml:space="preserve"> en vue de </w:t>
      </w:r>
      <w:r w:rsidR="00CA7BB9" w:rsidRPr="00CA7BB9">
        <w:rPr>
          <w:lang w:val="fr-FR"/>
        </w:rPr>
        <w:t>"</w:t>
      </w:r>
      <w:r w:rsidR="00CA7BB9" w:rsidRPr="00E50377">
        <w:rPr>
          <w:rFonts w:cstheme="minorHAnsi"/>
          <w:b/>
          <w:bCs/>
          <w:szCs w:val="24"/>
          <w:lang w:val="fr-FR"/>
        </w:rPr>
        <w:t>renforcer la capacité des membres d'intégrer l'innovation en matière de TIC dans leurs programmes de développement</w:t>
      </w:r>
      <w:r w:rsidR="00CA7BB9" w:rsidRPr="00CA7BB9">
        <w:rPr>
          <w:rFonts w:cstheme="minorHAnsi"/>
          <w:szCs w:val="24"/>
          <w:lang w:val="fr-FR"/>
        </w:rPr>
        <w:t xml:space="preserve">". </w:t>
      </w:r>
      <w:r w:rsidR="00FC2E67">
        <w:rPr>
          <w:rFonts w:cstheme="minorHAnsi"/>
          <w:szCs w:val="24"/>
          <w:lang w:val="fr-FR"/>
        </w:rPr>
        <w:t>C</w:t>
      </w:r>
      <w:r>
        <w:rPr>
          <w:rFonts w:cstheme="minorHAnsi"/>
          <w:szCs w:val="24"/>
          <w:lang w:val="fr-FR"/>
        </w:rPr>
        <w:t xml:space="preserve">e programme a encore été amélioré par la </w:t>
      </w:r>
      <w:r w:rsidRPr="004F2EF9">
        <w:rPr>
          <w:rFonts w:cstheme="minorHAnsi"/>
          <w:szCs w:val="24"/>
          <w:lang w:val="fr-FR"/>
        </w:rPr>
        <w:t xml:space="preserve">CMDT-17 </w:t>
      </w:r>
      <w:r>
        <w:rPr>
          <w:rFonts w:cstheme="minorHAnsi"/>
          <w:szCs w:val="24"/>
          <w:lang w:val="fr-FR"/>
        </w:rPr>
        <w:t xml:space="preserve">tenue à </w:t>
      </w:r>
      <w:r w:rsidRPr="004F2EF9">
        <w:rPr>
          <w:rFonts w:cstheme="minorHAnsi"/>
          <w:szCs w:val="24"/>
          <w:lang w:val="fr-FR"/>
        </w:rPr>
        <w:t>Buenos Aires</w:t>
      </w:r>
      <w:r>
        <w:rPr>
          <w:rFonts w:cstheme="minorHAnsi"/>
          <w:szCs w:val="24"/>
          <w:lang w:val="fr-FR"/>
        </w:rPr>
        <w:t xml:space="preserve"> et complété par un nouvel objectif destiné</w:t>
      </w:r>
      <w:r w:rsidR="007E2F1F">
        <w:rPr>
          <w:rFonts w:cstheme="minorHAnsi"/>
          <w:szCs w:val="24"/>
          <w:lang w:val="fr-FR"/>
        </w:rPr>
        <w:t xml:space="preserve"> </w:t>
      </w:r>
      <w:r>
        <w:rPr>
          <w:rFonts w:cstheme="minorHAnsi"/>
          <w:szCs w:val="24"/>
          <w:lang w:val="fr-FR"/>
        </w:rPr>
        <w:t>à</w:t>
      </w:r>
      <w:r w:rsidR="007E2F1F">
        <w:rPr>
          <w:rFonts w:cstheme="minorHAnsi"/>
          <w:szCs w:val="24"/>
          <w:lang w:val="fr-FR"/>
        </w:rPr>
        <w:t xml:space="preserve"> </w:t>
      </w:r>
      <w:r w:rsidR="00CA7BB9" w:rsidRPr="004F2EF9">
        <w:rPr>
          <w:rFonts w:cstheme="minorHAnsi"/>
          <w:szCs w:val="24"/>
          <w:lang w:val="fr-FR"/>
        </w:rPr>
        <w:t>"</w:t>
      </w:r>
      <w:r w:rsidR="004F2EF9" w:rsidRPr="00E50377">
        <w:rPr>
          <w:rFonts w:cstheme="minorHAnsi"/>
          <w:b/>
          <w:bCs/>
          <w:szCs w:val="24"/>
          <w:lang w:val="fr-FR"/>
        </w:rPr>
        <w:t>élaborer des stratégies visant à promouvoir les initiatives en matière d'innovation, y compris dans le cadre de partenariats publics, privés ou public-privé</w:t>
      </w:r>
      <w:r w:rsidR="00CA7BB9" w:rsidRPr="004F2EF9">
        <w:rPr>
          <w:rFonts w:cstheme="minorHAnsi"/>
          <w:szCs w:val="24"/>
          <w:lang w:val="fr-FR"/>
        </w:rPr>
        <w:t xml:space="preserve">". </w:t>
      </w:r>
      <w:r w:rsidR="00CA7BB9" w:rsidRPr="00CA7BB9">
        <w:rPr>
          <w:rFonts w:cstheme="minorHAnsi"/>
          <w:szCs w:val="24"/>
          <w:lang w:val="fr-FR"/>
        </w:rPr>
        <w:t>L'accent a également été mis sur l'innovation en tant que but interne du BDT</w:t>
      </w:r>
      <w:r w:rsidR="007E2F1F">
        <w:rPr>
          <w:rFonts w:cstheme="minorHAnsi"/>
          <w:szCs w:val="24"/>
          <w:lang w:val="fr-FR"/>
        </w:rPr>
        <w:t>,</w:t>
      </w:r>
      <w:r w:rsidR="00CA7BB9" w:rsidRPr="00CA7BB9">
        <w:rPr>
          <w:rFonts w:cstheme="minorHAnsi"/>
          <w:szCs w:val="24"/>
          <w:lang w:val="fr-FR"/>
        </w:rPr>
        <w:t xml:space="preserve"> l'objectif étant </w:t>
      </w:r>
      <w:r w:rsidR="00FC2E67">
        <w:rPr>
          <w:rFonts w:cstheme="minorHAnsi"/>
          <w:szCs w:val="24"/>
          <w:lang w:val="fr-FR"/>
        </w:rPr>
        <w:t>d'aider</w:t>
      </w:r>
      <w:r w:rsidR="00CA7BB9" w:rsidRPr="00CA7BB9">
        <w:rPr>
          <w:rFonts w:cstheme="minorHAnsi"/>
          <w:szCs w:val="24"/>
          <w:lang w:val="fr-FR"/>
        </w:rPr>
        <w:t xml:space="preserve"> le BDT à réinventer ses produits et services pour pouvoir s'adapter à l'évolution de l'environnement des télécommunications/TIC. En conséquence, l'innovation au BDT comporte une double dimension</w:t>
      </w:r>
      <w:r w:rsidR="007E2F1F">
        <w:rPr>
          <w:rFonts w:cstheme="minorHAnsi"/>
          <w:szCs w:val="24"/>
          <w:lang w:val="fr-FR"/>
        </w:rPr>
        <w:t xml:space="preserve"> </w:t>
      </w:r>
      <w:r w:rsidR="00CA7BB9" w:rsidRPr="00CA7BB9">
        <w:rPr>
          <w:rFonts w:cstheme="minorHAnsi"/>
          <w:szCs w:val="24"/>
          <w:lang w:val="fr-FR"/>
        </w:rPr>
        <w:t>interne et externe</w:t>
      </w:r>
      <w:r w:rsidR="007E03B7">
        <w:rPr>
          <w:rFonts w:cstheme="minorHAnsi"/>
          <w:szCs w:val="24"/>
          <w:lang w:val="fr-FR"/>
        </w:rPr>
        <w:t>, qui tire parti des synergies</w:t>
      </w:r>
      <w:r w:rsidR="00CA7BB9" w:rsidRPr="00CA7BB9">
        <w:rPr>
          <w:rFonts w:cstheme="minorHAnsi"/>
          <w:szCs w:val="24"/>
          <w:lang w:val="fr-FR"/>
        </w:rPr>
        <w:t>.</w:t>
      </w:r>
    </w:p>
    <w:p w:rsidR="00052F6D" w:rsidRDefault="00FC2E67" w:rsidP="007E2F1F">
      <w:pPr>
        <w:rPr>
          <w:szCs w:val="24"/>
        </w:rPr>
      </w:pPr>
      <w:r>
        <w:rPr>
          <w:szCs w:val="24"/>
          <w:lang w:eastAsia="zh-CN"/>
        </w:rPr>
        <w:t>L</w:t>
      </w:r>
      <w:r w:rsidR="007E03B7">
        <w:rPr>
          <w:szCs w:val="24"/>
          <w:lang w:eastAsia="zh-CN"/>
        </w:rPr>
        <w:t xml:space="preserve">'innovation figure également au nombre </w:t>
      </w:r>
      <w:r w:rsidR="00052F6D" w:rsidRPr="0056473E">
        <w:rPr>
          <w:szCs w:val="24"/>
          <w:lang w:eastAsia="zh-CN"/>
        </w:rPr>
        <w:t>des Objectifs de développement durable fixés par les Nations Unies, à savoir l'Objectif 9: "</w:t>
      </w:r>
      <w:r w:rsidR="00052F6D" w:rsidRPr="0056473E">
        <w:rPr>
          <w:szCs w:val="24"/>
        </w:rPr>
        <w:t>Bâtir une infrastructure résiliente, promouvoir une industrialisation durable qui profite à tous et encourager l'innovation".</w:t>
      </w:r>
    </w:p>
    <w:p w:rsidR="007E03B7" w:rsidRPr="0056473E" w:rsidRDefault="007E03B7" w:rsidP="007E2F1F">
      <w:pPr>
        <w:rPr>
          <w:szCs w:val="24"/>
        </w:rPr>
      </w:pPr>
      <w:r w:rsidRPr="007E03B7">
        <w:rPr>
          <w:szCs w:val="24"/>
        </w:rPr>
        <w:t>De plus, lors de la</w:t>
      </w:r>
      <w:r>
        <w:rPr>
          <w:szCs w:val="24"/>
        </w:rPr>
        <w:t xml:space="preserve"> </w:t>
      </w:r>
      <w:r w:rsidRPr="007E03B7">
        <w:rPr>
          <w:szCs w:val="24"/>
        </w:rPr>
        <w:t>PP-18 tenue</w:t>
      </w:r>
      <w:r>
        <w:rPr>
          <w:szCs w:val="24"/>
        </w:rPr>
        <w:t xml:space="preserve"> à</w:t>
      </w:r>
      <w:r w:rsidRPr="007E03B7">
        <w:rPr>
          <w:szCs w:val="24"/>
        </w:rPr>
        <w:t xml:space="preserve"> </w:t>
      </w:r>
      <w:r>
        <w:rPr>
          <w:szCs w:val="24"/>
        </w:rPr>
        <w:t>D</w:t>
      </w:r>
      <w:r w:rsidRPr="007E03B7">
        <w:rPr>
          <w:szCs w:val="24"/>
        </w:rPr>
        <w:t xml:space="preserve">ubaï, les </w:t>
      </w:r>
      <w:r w:rsidR="009D3681" w:rsidRPr="007E03B7">
        <w:rPr>
          <w:szCs w:val="24"/>
        </w:rPr>
        <w:t>m</w:t>
      </w:r>
      <w:r w:rsidRPr="007E03B7">
        <w:rPr>
          <w:szCs w:val="24"/>
        </w:rPr>
        <w:t>embres de l'UIT ont adopté une nouvelle Résolution</w:t>
      </w:r>
      <w:r w:rsidR="00AA4C35">
        <w:rPr>
          <w:rStyle w:val="FootnoteReference"/>
          <w:szCs w:val="24"/>
        </w:rPr>
        <w:footnoteReference w:id="1"/>
      </w:r>
      <w:r w:rsidR="007E2F1F">
        <w:rPr>
          <w:szCs w:val="24"/>
        </w:rPr>
        <w:t xml:space="preserve"> </w:t>
      </w:r>
      <w:r w:rsidRPr="007E03B7">
        <w:rPr>
          <w:szCs w:val="24"/>
        </w:rPr>
        <w:t>intitulée</w:t>
      </w:r>
      <w:r w:rsidR="007E2F1F">
        <w:rPr>
          <w:szCs w:val="24"/>
        </w:rPr>
        <w:t xml:space="preserve"> </w:t>
      </w:r>
      <w:r w:rsidRPr="007E03B7">
        <w:rPr>
          <w:szCs w:val="24"/>
        </w:rPr>
        <w:t>"Rôle de l'UIT</w:t>
      </w:r>
      <w:r>
        <w:rPr>
          <w:szCs w:val="24"/>
        </w:rPr>
        <w:t xml:space="preserve"> </w:t>
      </w:r>
      <w:r w:rsidRPr="007E03B7">
        <w:rPr>
          <w:szCs w:val="24"/>
        </w:rPr>
        <w:t xml:space="preserve">dans la promotion d'une innovation centrée sur les télécommunications/technologies de l'information et de la communication pour appuyer l'économie et la société </w:t>
      </w:r>
      <w:r w:rsidR="00A7345E" w:rsidRPr="007E03B7">
        <w:rPr>
          <w:szCs w:val="24"/>
        </w:rPr>
        <w:t>numériques</w:t>
      </w:r>
      <w:r w:rsidRPr="007E03B7">
        <w:rPr>
          <w:szCs w:val="24"/>
        </w:rPr>
        <w:t>", ainsi qu'un but consacré à l'innovation</w:t>
      </w:r>
      <w:r w:rsidR="00AA4C35">
        <w:rPr>
          <w:rStyle w:val="FootnoteReference"/>
          <w:szCs w:val="24"/>
        </w:rPr>
        <w:footnoteReference w:id="2"/>
      </w:r>
      <w:r w:rsidR="007E2F1F">
        <w:rPr>
          <w:szCs w:val="24"/>
        </w:rPr>
        <w:t>,</w:t>
      </w:r>
      <w:r w:rsidRPr="007E03B7">
        <w:rPr>
          <w:szCs w:val="24"/>
        </w:rPr>
        <w:t xml:space="preserve"> qui est assorti d'une cible concrète, à savoir</w:t>
      </w:r>
      <w:r w:rsidR="007E2F1F">
        <w:rPr>
          <w:szCs w:val="24"/>
        </w:rPr>
        <w:t xml:space="preserve">: </w:t>
      </w:r>
      <w:r w:rsidRPr="007E03B7">
        <w:rPr>
          <w:szCs w:val="24"/>
        </w:rPr>
        <w:t>"D'ici à 2023, tous les pays devraient être dotés de politiques/stratégies encourageant l'innovation centrée sur les télécommunications/TIC".</w:t>
      </w:r>
    </w:p>
    <w:p w:rsidR="00581728" w:rsidRPr="00D06854" w:rsidRDefault="00581728" w:rsidP="007E2F1F">
      <w:pPr>
        <w:pStyle w:val="Heading1"/>
        <w:rPr>
          <w:szCs w:val="24"/>
        </w:rPr>
      </w:pPr>
      <w:r w:rsidRPr="00D06854">
        <w:rPr>
          <w:szCs w:val="24"/>
        </w:rPr>
        <w:t>2</w:t>
      </w:r>
      <w:r w:rsidRPr="00D06854">
        <w:rPr>
          <w:szCs w:val="24"/>
        </w:rPr>
        <w:tab/>
      </w:r>
      <w:r w:rsidRPr="00D06854">
        <w:t>Objectifs et stratégies</w:t>
      </w:r>
    </w:p>
    <w:p w:rsidR="00581728" w:rsidRPr="009C0DC8" w:rsidRDefault="00581728" w:rsidP="007E2F1F">
      <w:pPr>
        <w:rPr>
          <w:szCs w:val="24"/>
          <w:lang w:eastAsia="zh-CN"/>
        </w:rPr>
      </w:pPr>
      <w:bookmarkStart w:id="7" w:name="lt_pId036"/>
      <w:r w:rsidRPr="009C0DC8">
        <w:rPr>
          <w:szCs w:val="24"/>
          <w:lang w:eastAsia="zh-CN"/>
        </w:rPr>
        <w:t xml:space="preserve">Conformément à </w:t>
      </w:r>
      <w:r>
        <w:rPr>
          <w:szCs w:val="24"/>
          <w:lang w:eastAsia="zh-CN"/>
        </w:rPr>
        <w:t xml:space="preserve">la </w:t>
      </w:r>
      <w:r>
        <w:rPr>
          <w:szCs w:val="24"/>
        </w:rPr>
        <w:t>CMDT-</w:t>
      </w:r>
      <w:r w:rsidRPr="009C0DC8">
        <w:rPr>
          <w:szCs w:val="24"/>
        </w:rPr>
        <w:t>17, les principaux objectifs de l</w:t>
      </w:r>
      <w:r>
        <w:rPr>
          <w:szCs w:val="24"/>
        </w:rPr>
        <w:t>'</w:t>
      </w:r>
      <w:r w:rsidRPr="009C0DC8">
        <w:rPr>
          <w:szCs w:val="24"/>
        </w:rPr>
        <w:t xml:space="preserve">innovation à </w:t>
      </w:r>
      <w:r w:rsidRPr="009C0DC8">
        <w:rPr>
          <w:szCs w:val="24"/>
          <w:lang w:eastAsia="zh-CN"/>
        </w:rPr>
        <w:t>l</w:t>
      </w:r>
      <w:r>
        <w:rPr>
          <w:szCs w:val="24"/>
          <w:lang w:eastAsia="zh-CN"/>
        </w:rPr>
        <w:t>'UIT-</w:t>
      </w:r>
      <w:r w:rsidRPr="009C0DC8">
        <w:rPr>
          <w:szCs w:val="24"/>
          <w:lang w:eastAsia="zh-CN"/>
        </w:rPr>
        <w:t>D</w:t>
      </w:r>
      <w:r w:rsidRPr="009C0DC8">
        <w:rPr>
          <w:szCs w:val="24"/>
        </w:rPr>
        <w:t xml:space="preserve"> consistent à fournir une assistance </w:t>
      </w:r>
      <w:r>
        <w:rPr>
          <w:szCs w:val="24"/>
        </w:rPr>
        <w:t>sous</w:t>
      </w:r>
      <w:r w:rsidRPr="009C0DC8">
        <w:rPr>
          <w:szCs w:val="24"/>
        </w:rPr>
        <w:t xml:space="preserve"> la forme de produits</w:t>
      </w:r>
      <w:r w:rsidR="007E2F1F">
        <w:rPr>
          <w:szCs w:val="24"/>
        </w:rPr>
        <w:t xml:space="preserve"> </w:t>
      </w:r>
      <w:r w:rsidRPr="009C0DC8">
        <w:rPr>
          <w:szCs w:val="24"/>
        </w:rPr>
        <w:t>destinés à aider les membres de l</w:t>
      </w:r>
      <w:r>
        <w:rPr>
          <w:szCs w:val="24"/>
        </w:rPr>
        <w:t>'</w:t>
      </w:r>
      <w:r w:rsidRPr="009C0DC8">
        <w:rPr>
          <w:szCs w:val="24"/>
        </w:rPr>
        <w:t xml:space="preserve">UIT à encourager activement le développement </w:t>
      </w:r>
      <w:r>
        <w:rPr>
          <w:szCs w:val="24"/>
        </w:rPr>
        <w:t>d'</w:t>
      </w:r>
      <w:r w:rsidRPr="009C0DC8">
        <w:rPr>
          <w:szCs w:val="24"/>
        </w:rPr>
        <w:t>écosystème</w:t>
      </w:r>
      <w:r>
        <w:rPr>
          <w:szCs w:val="24"/>
        </w:rPr>
        <w:t>s</w:t>
      </w:r>
      <w:r w:rsidRPr="009C0DC8">
        <w:rPr>
          <w:szCs w:val="24"/>
        </w:rPr>
        <w:t xml:space="preserve"> de l</w:t>
      </w:r>
      <w:r>
        <w:rPr>
          <w:szCs w:val="24"/>
        </w:rPr>
        <w:t>'</w:t>
      </w:r>
      <w:r w:rsidRPr="009C0DC8">
        <w:rPr>
          <w:szCs w:val="24"/>
        </w:rPr>
        <w:t>innovation dynamique</w:t>
      </w:r>
      <w:r>
        <w:rPr>
          <w:szCs w:val="24"/>
        </w:rPr>
        <w:t>s</w:t>
      </w:r>
      <w:r w:rsidRPr="009C0DC8">
        <w:rPr>
          <w:szCs w:val="24"/>
        </w:rPr>
        <w:t xml:space="preserve"> et à</w:t>
      </w:r>
      <w:r>
        <w:rPr>
          <w:szCs w:val="24"/>
        </w:rPr>
        <w:t xml:space="preserve"> </w:t>
      </w:r>
      <w:r w:rsidRPr="009C0DC8">
        <w:rPr>
          <w:color w:val="000000"/>
        </w:rPr>
        <w:t>accélérer la transformation numérique</w:t>
      </w:r>
      <w:r w:rsidR="00FC2E67">
        <w:rPr>
          <w:color w:val="000000"/>
        </w:rPr>
        <w:t>,</w:t>
      </w:r>
      <w:r>
        <w:rPr>
          <w:color w:val="000000"/>
        </w:rPr>
        <w:t xml:space="preserve"> de manière à favoriser </w:t>
      </w:r>
      <w:r w:rsidRPr="009C0DC8">
        <w:rPr>
          <w:color w:val="000000"/>
        </w:rPr>
        <w:t>la croissance durable de l</w:t>
      </w:r>
      <w:r>
        <w:rPr>
          <w:color w:val="000000"/>
        </w:rPr>
        <w:t>'</w:t>
      </w:r>
      <w:r w:rsidRPr="009C0DC8">
        <w:rPr>
          <w:color w:val="000000"/>
        </w:rPr>
        <w:t>économie numérique.</w:t>
      </w:r>
      <w:bookmarkEnd w:id="7"/>
      <w:r>
        <w:rPr>
          <w:szCs w:val="24"/>
          <w:lang w:eastAsia="ko-KR"/>
        </w:rPr>
        <w:t xml:space="preserve"> </w:t>
      </w:r>
    </w:p>
    <w:p w:rsidR="00581728" w:rsidRPr="00440247" w:rsidRDefault="00581728" w:rsidP="007E2F1F">
      <w:pPr>
        <w:rPr>
          <w:szCs w:val="24"/>
          <w:lang w:eastAsia="ko-KR"/>
        </w:rPr>
      </w:pPr>
      <w:bookmarkStart w:id="8" w:name="lt_pId037"/>
      <w:r>
        <w:rPr>
          <w:szCs w:val="24"/>
          <w:lang w:eastAsia="ko-KR"/>
        </w:rPr>
        <w:t>Le P</w:t>
      </w:r>
      <w:r w:rsidRPr="00440247">
        <w:rPr>
          <w:szCs w:val="24"/>
          <w:lang w:eastAsia="ko-KR"/>
        </w:rPr>
        <w:t>roduit 3.4 du Plan d</w:t>
      </w:r>
      <w:r>
        <w:rPr>
          <w:szCs w:val="24"/>
          <w:lang w:eastAsia="ko-KR"/>
        </w:rPr>
        <w:t>'</w:t>
      </w:r>
      <w:r w:rsidRPr="00440247">
        <w:rPr>
          <w:szCs w:val="24"/>
          <w:lang w:eastAsia="ko-KR"/>
        </w:rPr>
        <w:t>action de</w:t>
      </w:r>
      <w:r>
        <w:rPr>
          <w:szCs w:val="24"/>
          <w:lang w:eastAsia="ko-KR"/>
        </w:rPr>
        <w:t xml:space="preserve"> </w:t>
      </w:r>
      <w:r w:rsidRPr="00440247">
        <w:rPr>
          <w:szCs w:val="24"/>
          <w:lang w:eastAsia="ko-KR"/>
        </w:rPr>
        <w:t>Buenos Aires</w:t>
      </w:r>
      <w:r>
        <w:rPr>
          <w:szCs w:val="24"/>
          <w:lang w:eastAsia="ko-KR"/>
        </w:rPr>
        <w:t xml:space="preserve"> </w:t>
      </w:r>
      <w:r w:rsidRPr="00440247">
        <w:rPr>
          <w:szCs w:val="24"/>
          <w:lang w:eastAsia="ko-KR"/>
        </w:rPr>
        <w:t>(PaBa</w:t>
      </w:r>
      <w:r>
        <w:rPr>
          <w:szCs w:val="24"/>
          <w:lang w:eastAsia="ko-KR"/>
        </w:rPr>
        <w:t>)</w:t>
      </w:r>
      <w:r w:rsidRPr="00440247">
        <w:rPr>
          <w:szCs w:val="24"/>
          <w:lang w:eastAsia="ko-KR"/>
        </w:rPr>
        <w:t xml:space="preserve"> précise</w:t>
      </w:r>
      <w:r>
        <w:rPr>
          <w:szCs w:val="24"/>
          <w:lang w:eastAsia="ko-KR"/>
        </w:rPr>
        <w:t xml:space="preserve"> certain</w:t>
      </w:r>
      <w:r w:rsidRPr="00440247">
        <w:rPr>
          <w:szCs w:val="24"/>
          <w:lang w:eastAsia="ko-KR"/>
        </w:rPr>
        <w:t xml:space="preserve">s </w:t>
      </w:r>
      <w:r>
        <w:rPr>
          <w:szCs w:val="24"/>
          <w:lang w:eastAsia="ko-KR"/>
        </w:rPr>
        <w:t>moyens de parvenir à l'objectif en matière d'innovation défini par la CMDT-</w:t>
      </w:r>
      <w:r w:rsidRPr="00440247">
        <w:rPr>
          <w:szCs w:val="24"/>
          <w:lang w:eastAsia="ko-KR"/>
        </w:rPr>
        <w:t xml:space="preserve">17, </w:t>
      </w:r>
      <w:r>
        <w:rPr>
          <w:szCs w:val="24"/>
          <w:lang w:eastAsia="ko-KR"/>
        </w:rPr>
        <w:t>à savoir</w:t>
      </w:r>
      <w:r w:rsidRPr="00440247">
        <w:rPr>
          <w:szCs w:val="24"/>
          <w:lang w:eastAsia="ko-KR"/>
        </w:rPr>
        <w:t>:</w:t>
      </w:r>
      <w:bookmarkEnd w:id="8"/>
    </w:p>
    <w:p w:rsidR="00581728" w:rsidRDefault="005B5CC2" w:rsidP="007E2F1F">
      <w:pPr>
        <w:pStyle w:val="enumlev1"/>
      </w:pPr>
      <w:r>
        <w:t>–</w:t>
      </w:r>
      <w:r>
        <w:tab/>
      </w:r>
      <w:r w:rsidRPr="005B5CC2">
        <w:rPr>
          <w:b/>
          <w:bCs/>
        </w:rPr>
        <w:t>mettre en correspondance les écosystèmes</w:t>
      </w:r>
      <w:r w:rsidR="00FC2E67" w:rsidRPr="00FC2E67">
        <w:t>,</w:t>
      </w:r>
      <w:r w:rsidRPr="005B5CC2">
        <w:t xml:space="preserve"> afin de coordonner les efforts et lancer de nouveaux projets</w:t>
      </w:r>
      <w:r>
        <w:t>;</w:t>
      </w:r>
    </w:p>
    <w:p w:rsidR="005B5CC2" w:rsidRDefault="005B5CC2" w:rsidP="000E040F">
      <w:pPr>
        <w:pStyle w:val="enumlev1"/>
      </w:pPr>
      <w:r>
        <w:t>–</w:t>
      </w:r>
      <w:r>
        <w:tab/>
      </w:r>
      <w:r w:rsidRPr="005B5CC2">
        <w:rPr>
          <w:b/>
          <w:bCs/>
        </w:rPr>
        <w:t>mettre à jour les politiques relatives aux</w:t>
      </w:r>
      <w:r w:rsidR="007E2F1F">
        <w:rPr>
          <w:b/>
          <w:bCs/>
        </w:rPr>
        <w:t xml:space="preserve"> </w:t>
      </w:r>
      <w:r w:rsidRPr="005B5CC2">
        <w:rPr>
          <w:b/>
          <w:bCs/>
        </w:rPr>
        <w:t>TIC</w:t>
      </w:r>
      <w:r w:rsidRPr="005B5CC2">
        <w:t xml:space="preserve"> </w:t>
      </w:r>
      <w:r>
        <w:t>(</w:t>
      </w:r>
      <w:r w:rsidRPr="005B5CC2">
        <w:t>en y intégrant de nouvelles composantes reposant sur l</w:t>
      </w:r>
      <w:r>
        <w:t>'innovation et l'entrepren</w:t>
      </w:r>
      <w:r w:rsidR="000E040F">
        <w:t>eu</w:t>
      </w:r>
      <w:r>
        <w:t>riat);</w:t>
      </w:r>
    </w:p>
    <w:p w:rsidR="000F51B6" w:rsidRDefault="000F51B6" w:rsidP="007E2F1F">
      <w:pPr>
        <w:pStyle w:val="enumlev1"/>
      </w:pPr>
      <w:r>
        <w:t>–</w:t>
      </w:r>
      <w:r>
        <w:tab/>
      </w:r>
      <w:r w:rsidRPr="000F51B6">
        <w:rPr>
          <w:b/>
          <w:bCs/>
        </w:rPr>
        <w:t>pallier aux insuffisances de l'écosystème</w:t>
      </w:r>
      <w:r w:rsidR="00FC2E67" w:rsidRPr="00FC2E67">
        <w:t>,</w:t>
      </w:r>
      <w:r w:rsidRPr="000F51B6">
        <w:t xml:space="preserve"> en menant des activités concrètes (par exemple en reliant les </w:t>
      </w:r>
      <w:r w:rsidR="00994CD1" w:rsidRPr="000F51B6">
        <w:t>écosystèmes</w:t>
      </w:r>
      <w:r w:rsidR="00994CD1">
        <w:t>)</w:t>
      </w:r>
      <w:r>
        <w:t>;</w:t>
      </w:r>
    </w:p>
    <w:p w:rsidR="000F51B6" w:rsidRDefault="000F51B6" w:rsidP="007E2F1F">
      <w:pPr>
        <w:pStyle w:val="enumlev1"/>
      </w:pPr>
      <w:r>
        <w:t>–</w:t>
      </w:r>
      <w:r>
        <w:tab/>
      </w:r>
      <w:r w:rsidRPr="000F51B6">
        <w:rPr>
          <w:b/>
          <w:bCs/>
        </w:rPr>
        <w:t>intégrer de nouvelles approches dans les projets de grande envergure</w:t>
      </w:r>
      <w:r>
        <w:t>;</w:t>
      </w:r>
    </w:p>
    <w:p w:rsidR="000F51B6" w:rsidRDefault="000F51B6" w:rsidP="007E2F1F">
      <w:pPr>
        <w:pStyle w:val="enumlev1"/>
      </w:pPr>
      <w:r>
        <w:t>–</w:t>
      </w:r>
      <w:r>
        <w:tab/>
      </w:r>
      <w:r w:rsidR="00FC2E67">
        <w:rPr>
          <w:b/>
          <w:bCs/>
        </w:rPr>
        <w:t xml:space="preserve">concevoir </w:t>
      </w:r>
      <w:r w:rsidRPr="000F51B6">
        <w:rPr>
          <w:b/>
          <w:bCs/>
        </w:rPr>
        <w:t>des mécanismes pour développer, mobiliser, soutenir et entretenir</w:t>
      </w:r>
      <w:r w:rsidRPr="000F51B6">
        <w:t xml:space="preserve"> des écosystèmes d'innovation centrés sur les TIC, en association avec </w:t>
      </w:r>
      <w:r w:rsidRPr="000F51B6">
        <w:rPr>
          <w:b/>
          <w:bCs/>
        </w:rPr>
        <w:t>divers groupes de parties prenantes</w:t>
      </w:r>
      <w:r w:rsidRPr="000F51B6">
        <w:t>;</w:t>
      </w:r>
    </w:p>
    <w:p w:rsidR="000F51B6" w:rsidRDefault="000F51B6" w:rsidP="007E2F1F">
      <w:pPr>
        <w:pStyle w:val="enumlev1"/>
      </w:pPr>
      <w:r>
        <w:t>–</w:t>
      </w:r>
      <w:r>
        <w:tab/>
      </w:r>
      <w:r w:rsidRPr="000F51B6">
        <w:rPr>
          <w:b/>
          <w:bCs/>
        </w:rPr>
        <w:t>diffuser des informations, mener des études</w:t>
      </w:r>
      <w:r w:rsidRPr="000F51B6">
        <w:t xml:space="preserve"> et fournir une assistance, sur demande</w:t>
      </w:r>
      <w:r>
        <w:t>;</w:t>
      </w:r>
    </w:p>
    <w:p w:rsidR="000F51B6" w:rsidRDefault="000F51B6" w:rsidP="007E2F1F">
      <w:pPr>
        <w:pStyle w:val="enumlev1"/>
      </w:pPr>
      <w:r>
        <w:lastRenderedPageBreak/>
        <w:t>–</w:t>
      </w:r>
      <w:r>
        <w:tab/>
      </w:r>
      <w:r w:rsidRPr="000F51B6">
        <w:rPr>
          <w:b/>
          <w:bCs/>
        </w:rPr>
        <w:t>créer des mécanismes susceptibles d'encourager de nouveaux partenariats et de nouvelles initiatives</w:t>
      </w:r>
      <w:r w:rsidRPr="000F51B6">
        <w:t xml:space="preserve"> en faveur d'un élargissement des activités</w:t>
      </w:r>
      <w:r w:rsidR="00D06EBF">
        <w:t xml:space="preserve"> </w:t>
      </w:r>
      <w:r>
        <w:t>;</w:t>
      </w:r>
    </w:p>
    <w:p w:rsidR="000F51B6" w:rsidRDefault="000F51B6" w:rsidP="007E2F1F">
      <w:pPr>
        <w:pStyle w:val="enumlev1"/>
      </w:pPr>
      <w:r>
        <w:t>–</w:t>
      </w:r>
      <w:r>
        <w:tab/>
      </w:r>
      <w:r w:rsidRPr="000F51B6">
        <w:t xml:space="preserve">fournir une </w:t>
      </w:r>
      <w:r w:rsidRPr="000F51B6">
        <w:rPr>
          <w:b/>
          <w:bCs/>
        </w:rPr>
        <w:t>plate-forme régionale pour renforcer la coopération régionale</w:t>
      </w:r>
      <w:r>
        <w:t>;</w:t>
      </w:r>
      <w:r w:rsidR="00FC2E67">
        <w:t xml:space="preserve"> et</w:t>
      </w:r>
    </w:p>
    <w:p w:rsidR="000F51B6" w:rsidRDefault="000F51B6" w:rsidP="007E2F1F">
      <w:pPr>
        <w:pStyle w:val="enumlev1"/>
      </w:pPr>
      <w:r>
        <w:t>–</w:t>
      </w:r>
      <w:r>
        <w:tab/>
        <w:t xml:space="preserve">aider les Etats Membres </w:t>
      </w:r>
      <w:r w:rsidRPr="000F51B6">
        <w:t xml:space="preserve">à </w:t>
      </w:r>
      <w:r w:rsidRPr="000F51B6">
        <w:rPr>
          <w:b/>
          <w:bCs/>
        </w:rPr>
        <w:t>mieux faire connaître les écosystèmes de l'innovation numérique</w:t>
      </w:r>
      <w:r w:rsidRPr="000F51B6">
        <w:t xml:space="preserve"> et les nouvelles tendances connexes en matière de technologie, ainsi que les </w:t>
      </w:r>
      <w:r w:rsidRPr="000F51B6">
        <w:rPr>
          <w:b/>
          <w:bCs/>
        </w:rPr>
        <w:t>bonnes pratiques qui ont des incidences sur la transformation numérique</w:t>
      </w:r>
      <w:r>
        <w:t>.</w:t>
      </w:r>
    </w:p>
    <w:p w:rsidR="00425CE6" w:rsidRPr="00C84BEE" w:rsidRDefault="00425CE6" w:rsidP="007E2F1F">
      <w:pPr>
        <w:pStyle w:val="Heading1"/>
      </w:pPr>
      <w:r w:rsidRPr="00C84BEE">
        <w:t>3</w:t>
      </w:r>
      <w:r w:rsidRPr="00C84BEE">
        <w:tab/>
      </w:r>
      <w:bookmarkStart w:id="9" w:name="lt_pId047"/>
      <w:r w:rsidRPr="00C84BEE">
        <w:t>Principales activités et principaux résultats</w:t>
      </w:r>
      <w:bookmarkEnd w:id="9"/>
    </w:p>
    <w:p w:rsidR="00425CE6" w:rsidRPr="005921A7" w:rsidRDefault="00D06EBF" w:rsidP="009D3681">
      <w:pPr>
        <w:spacing w:after="120"/>
        <w:rPr>
          <w:szCs w:val="24"/>
        </w:rPr>
      </w:pPr>
      <w:r w:rsidRPr="005921A7">
        <w:rPr>
          <w:szCs w:val="24"/>
        </w:rPr>
        <w:t xml:space="preserve">Le </w:t>
      </w:r>
      <w:r w:rsidR="00425CE6" w:rsidRPr="005921A7">
        <w:rPr>
          <w:szCs w:val="24"/>
        </w:rPr>
        <w:t>BDT continue</w:t>
      </w:r>
      <w:r w:rsidRPr="005921A7">
        <w:rPr>
          <w:szCs w:val="24"/>
        </w:rPr>
        <w:t xml:space="preserve"> de développer ses initiatives extérieures destinées à favoriser les innovations</w:t>
      </w:r>
      <w:r w:rsidR="007E2F1F">
        <w:rPr>
          <w:szCs w:val="24"/>
        </w:rPr>
        <w:t xml:space="preserve"> </w:t>
      </w:r>
      <w:r w:rsidRPr="005921A7">
        <w:rPr>
          <w:color w:val="000000"/>
        </w:rPr>
        <w:t>centrées sur les TIC,</w:t>
      </w:r>
      <w:r w:rsidR="007E2F1F">
        <w:rPr>
          <w:color w:val="000000"/>
        </w:rPr>
        <w:t xml:space="preserve"> </w:t>
      </w:r>
      <w:r w:rsidRPr="005921A7">
        <w:rPr>
          <w:color w:val="000000"/>
        </w:rPr>
        <w:t xml:space="preserve">en </w:t>
      </w:r>
      <w:r w:rsidRPr="009D3681">
        <w:rPr>
          <w:b/>
          <w:bCs/>
          <w:color w:val="000000"/>
        </w:rPr>
        <w:t>mettant au point de nouveaux produits</w:t>
      </w:r>
      <w:r w:rsidRPr="005921A7">
        <w:rPr>
          <w:color w:val="000000"/>
        </w:rPr>
        <w:t xml:space="preserve"> et en fournissant des services </w:t>
      </w:r>
      <w:r w:rsidR="005921A7" w:rsidRPr="005921A7">
        <w:rPr>
          <w:color w:val="000000"/>
        </w:rPr>
        <w:t>qui reposent sur quatre grands axes stratégiques</w:t>
      </w:r>
      <w:r w:rsidR="007E2F1F">
        <w:rPr>
          <w:color w:val="000000"/>
        </w:rPr>
        <w:t>:</w:t>
      </w:r>
      <w:r w:rsidR="00425CE6" w:rsidRPr="005921A7">
        <w:rPr>
          <w:szCs w:val="24"/>
        </w:rPr>
        <w:t xml:space="preserve"> </w:t>
      </w:r>
      <w:r w:rsidR="005921A7" w:rsidRPr="005921A7">
        <w:rPr>
          <w:szCs w:val="24"/>
        </w:rPr>
        <w:t>échange de connaissances,</w:t>
      </w:r>
      <w:r w:rsidR="00425CE6" w:rsidRPr="005921A7">
        <w:rPr>
          <w:szCs w:val="24"/>
        </w:rPr>
        <w:t>,</w:t>
      </w:r>
      <w:r w:rsidR="005921A7">
        <w:rPr>
          <w:szCs w:val="24"/>
        </w:rPr>
        <w:t xml:space="preserve"> autonomisation des parties prenantes par le biais du renforcement des capacités en matière d'innovation,</w:t>
      </w:r>
      <w:r w:rsidR="005921A7" w:rsidRPr="005921A7">
        <w:rPr>
          <w:color w:val="000000"/>
        </w:rPr>
        <w:t xml:space="preserve"> </w:t>
      </w:r>
      <w:r w:rsidR="005921A7">
        <w:rPr>
          <w:color w:val="000000"/>
        </w:rPr>
        <w:t>évaluations complètes et rapides des écosystèmes d'innovation et création conjointe de projets,</w:t>
      </w:r>
      <w:r w:rsidR="007E2F1F">
        <w:rPr>
          <w:szCs w:val="24"/>
        </w:rPr>
        <w:t xml:space="preserve"> </w:t>
      </w:r>
      <w:r w:rsidR="00FC2E67">
        <w:rPr>
          <w:color w:val="000000"/>
        </w:rPr>
        <w:t xml:space="preserve">après </w:t>
      </w:r>
      <w:r w:rsidR="005921A7">
        <w:rPr>
          <w:color w:val="000000"/>
        </w:rPr>
        <w:t xml:space="preserve">consultation </w:t>
      </w:r>
      <w:r w:rsidR="00FC2E67">
        <w:rPr>
          <w:color w:val="000000"/>
        </w:rPr>
        <w:t>d</w:t>
      </w:r>
      <w:r w:rsidR="005921A7">
        <w:rPr>
          <w:color w:val="000000"/>
        </w:rPr>
        <w:t xml:space="preserve">es membres et </w:t>
      </w:r>
      <w:r w:rsidR="00FC2E67">
        <w:rPr>
          <w:color w:val="000000"/>
        </w:rPr>
        <w:t>d</w:t>
      </w:r>
      <w:r w:rsidR="005921A7">
        <w:rPr>
          <w:color w:val="000000"/>
        </w:rPr>
        <w:t>es principales parties prenantes concernées.</w:t>
      </w:r>
      <w:r w:rsidR="005921A7">
        <w:rPr>
          <w:szCs w:val="24"/>
        </w:rPr>
        <w:t xml:space="preserve"> C</w:t>
      </w:r>
      <w:r w:rsidR="005921A7" w:rsidRPr="005921A7">
        <w:rPr>
          <w:szCs w:val="24"/>
        </w:rPr>
        <w:t xml:space="preserve">es activités sont menées à bien par le biais d'une assistance technique offerte </w:t>
      </w:r>
      <w:r w:rsidR="005921A7">
        <w:rPr>
          <w:szCs w:val="24"/>
        </w:rPr>
        <w:t>aux membres et</w:t>
      </w:r>
      <w:r w:rsidR="007E2F1F">
        <w:rPr>
          <w:szCs w:val="24"/>
        </w:rPr>
        <w:t xml:space="preserve"> </w:t>
      </w:r>
      <w:r w:rsidR="005921A7">
        <w:rPr>
          <w:szCs w:val="24"/>
        </w:rPr>
        <w:t>à des projets</w:t>
      </w:r>
      <w:r w:rsidR="00AA4C35">
        <w:rPr>
          <w:rStyle w:val="FootnoteReference"/>
          <w:szCs w:val="24"/>
        </w:rPr>
        <w:footnoteReference w:id="3"/>
      </w:r>
      <w:r w:rsidR="005921A7">
        <w:rPr>
          <w:szCs w:val="24"/>
        </w:rPr>
        <w:t xml:space="preserve"> et d'un appui fourni par les principaux partenaires stratégiques</w:t>
      </w:r>
      <w:r w:rsidR="00AA4C35">
        <w:rPr>
          <w:rStyle w:val="FootnoteReference"/>
          <w:szCs w:val="24"/>
        </w:rPr>
        <w:footnoteReference w:id="4"/>
      </w:r>
      <w:r w:rsidR="00AA4C35">
        <w:rPr>
          <w:szCs w:val="24"/>
        </w:rPr>
        <w:t>.</w:t>
      </w:r>
      <w:r w:rsidR="005921A7">
        <w:rPr>
          <w:szCs w:val="24"/>
        </w:rPr>
        <w:t xml:space="preserve"> </w:t>
      </w:r>
    </w:p>
    <w:p w:rsidR="00425CE6" w:rsidRPr="00C84BEE" w:rsidRDefault="00425CE6" w:rsidP="007E2F1F">
      <w:pPr>
        <w:pStyle w:val="Heading2"/>
      </w:pPr>
      <w:r w:rsidRPr="00C84BEE">
        <w:t>3.1</w:t>
      </w:r>
      <w:r w:rsidRPr="00C84BEE">
        <w:tab/>
      </w:r>
      <w:bookmarkStart w:id="10" w:name="lt_pId050"/>
      <w:r w:rsidRPr="00C84BEE">
        <w:t>Activités liées à l'innovation externe</w:t>
      </w:r>
      <w:bookmarkEnd w:id="10"/>
    </w:p>
    <w:p w:rsidR="00425CE6" w:rsidRPr="00AA4C35" w:rsidRDefault="00AA4C35" w:rsidP="007E2F1F">
      <w:pPr>
        <w:spacing w:after="120"/>
        <w:rPr>
          <w:szCs w:val="24"/>
        </w:rPr>
      </w:pPr>
      <w:r w:rsidRPr="00AA4C35">
        <w:rPr>
          <w:szCs w:val="24"/>
        </w:rPr>
        <w:t>E</w:t>
      </w:r>
      <w:r w:rsidR="00425CE6" w:rsidRPr="00AA4C35">
        <w:rPr>
          <w:szCs w:val="24"/>
        </w:rPr>
        <w:t xml:space="preserve">n 2018, </w:t>
      </w:r>
      <w:r w:rsidRPr="00AA4C35">
        <w:rPr>
          <w:szCs w:val="24"/>
        </w:rPr>
        <w:t xml:space="preserve">plusieurs </w:t>
      </w:r>
      <w:r w:rsidR="00FC2E67">
        <w:rPr>
          <w:szCs w:val="24"/>
        </w:rPr>
        <w:t>activités</w:t>
      </w:r>
      <w:r w:rsidRPr="00AA4C35">
        <w:rPr>
          <w:szCs w:val="24"/>
        </w:rPr>
        <w:t xml:space="preserve"> essentielles ont été </w:t>
      </w:r>
      <w:r w:rsidR="00FC2E67">
        <w:rPr>
          <w:szCs w:val="24"/>
        </w:rPr>
        <w:t>menées</w:t>
      </w:r>
      <w:r w:rsidRPr="00AA4C35">
        <w:rPr>
          <w:szCs w:val="24"/>
        </w:rPr>
        <w:t xml:space="preserve">, par le biais de l'utilisation des produits disponibles sur la plate-forme de l'UIT, pour atteindre les objectifs en matière d'innovation </w:t>
      </w:r>
      <w:r w:rsidR="00FC2E67">
        <w:rPr>
          <w:szCs w:val="24"/>
        </w:rPr>
        <w:t xml:space="preserve">à </w:t>
      </w:r>
      <w:r>
        <w:rPr>
          <w:szCs w:val="24"/>
        </w:rPr>
        <w:t>l'</w:t>
      </w:r>
      <w:r w:rsidR="00FC2E67">
        <w:rPr>
          <w:szCs w:val="24"/>
        </w:rPr>
        <w:t>UIT</w:t>
      </w:r>
      <w:r w:rsidR="00FC2E67">
        <w:rPr>
          <w:szCs w:val="24"/>
        </w:rPr>
        <w:noBreakHyphen/>
      </w:r>
      <w:r w:rsidR="00425CE6" w:rsidRPr="00AA4C35">
        <w:rPr>
          <w:szCs w:val="24"/>
        </w:rPr>
        <w:t>D</w:t>
      </w:r>
      <w:r>
        <w:rPr>
          <w:szCs w:val="24"/>
        </w:rPr>
        <w:t xml:space="preserve">. Le tableau ci-dessous présente les </w:t>
      </w:r>
      <w:r w:rsidR="00FC2E67">
        <w:rPr>
          <w:szCs w:val="24"/>
        </w:rPr>
        <w:t>activités menées</w:t>
      </w:r>
      <w:r>
        <w:rPr>
          <w:szCs w:val="24"/>
        </w:rPr>
        <w:t xml:space="preserve"> par chaque région de l'UIT, conformément aux initiatives régionales et aux Questions confiées aux </w:t>
      </w:r>
      <w:r w:rsidR="009D3681">
        <w:rPr>
          <w:szCs w:val="24"/>
        </w:rPr>
        <w:t>C</w:t>
      </w:r>
      <w:r>
        <w:rPr>
          <w:szCs w:val="24"/>
        </w:rPr>
        <w:t>ommissions d'études de</w:t>
      </w:r>
      <w:r w:rsidR="007E2F1F">
        <w:rPr>
          <w:szCs w:val="24"/>
        </w:rPr>
        <w:t xml:space="preserve"> </w:t>
      </w:r>
      <w:r>
        <w:rPr>
          <w:szCs w:val="24"/>
        </w:rPr>
        <w:t>l'</w:t>
      </w:r>
      <w:r w:rsidR="004E0C6E">
        <w:rPr>
          <w:szCs w:val="24"/>
        </w:rPr>
        <w:t>UIT-D.</w:t>
      </w:r>
    </w:p>
    <w:tbl>
      <w:tblPr>
        <w:tblStyle w:val="TableGrid"/>
        <w:tblW w:w="0" w:type="auto"/>
        <w:tblLook w:val="04A0" w:firstRow="1" w:lastRow="0" w:firstColumn="1" w:lastColumn="0" w:noHBand="0" w:noVBand="1"/>
      </w:tblPr>
      <w:tblGrid>
        <w:gridCol w:w="1925"/>
        <w:gridCol w:w="1926"/>
        <w:gridCol w:w="1926"/>
        <w:gridCol w:w="1926"/>
        <w:gridCol w:w="1926"/>
      </w:tblGrid>
      <w:tr w:rsidR="00425CE6" w:rsidTr="00AB096E">
        <w:tc>
          <w:tcPr>
            <w:tcW w:w="1925" w:type="dxa"/>
            <w:tcBorders>
              <w:bottom w:val="single" w:sz="4" w:space="0" w:color="000000" w:themeColor="text1"/>
            </w:tcBorders>
            <w:shd w:val="clear" w:color="auto" w:fill="D9D9D9" w:themeFill="background1" w:themeFillShade="D9"/>
          </w:tcPr>
          <w:p w:rsidR="00425CE6" w:rsidRPr="00534978" w:rsidRDefault="00425CE6" w:rsidP="007E2F1F">
            <w:pPr>
              <w:pStyle w:val="Tablehead"/>
              <w:jc w:val="left"/>
            </w:pPr>
            <w:r w:rsidRPr="00534978">
              <w:t>R</w:t>
            </w:r>
            <w:r w:rsidR="00AA4C35">
              <w:t>é</w:t>
            </w:r>
            <w:r w:rsidRPr="00534978">
              <w:t>gions</w:t>
            </w:r>
          </w:p>
        </w:tc>
        <w:tc>
          <w:tcPr>
            <w:tcW w:w="1926" w:type="dxa"/>
            <w:shd w:val="clear" w:color="auto" w:fill="D9D9D9" w:themeFill="background1" w:themeFillShade="D9"/>
          </w:tcPr>
          <w:p w:rsidR="00425CE6" w:rsidRPr="00534978" w:rsidRDefault="00343632" w:rsidP="007E2F1F">
            <w:pPr>
              <w:pStyle w:val="Tablehead"/>
              <w:jc w:val="left"/>
            </w:pPr>
            <w:r>
              <w:t>Produits liés à l'échange de connaissances</w:t>
            </w:r>
            <w:r w:rsidR="007E2F1F">
              <w:t xml:space="preserve"> </w:t>
            </w:r>
            <w:r w:rsidR="00425CE6" w:rsidRPr="00DD681F">
              <w:rPr>
                <w:rStyle w:val="FootnoteReference"/>
                <w:bCs/>
                <w:szCs w:val="18"/>
              </w:rPr>
              <w:footnoteReference w:id="5"/>
            </w:r>
          </w:p>
        </w:tc>
        <w:tc>
          <w:tcPr>
            <w:tcW w:w="1926" w:type="dxa"/>
            <w:shd w:val="clear" w:color="auto" w:fill="D9D9D9" w:themeFill="background1" w:themeFillShade="D9"/>
          </w:tcPr>
          <w:p w:rsidR="00425CE6" w:rsidRPr="00534978" w:rsidRDefault="00343632" w:rsidP="007E2F1F">
            <w:pPr>
              <w:pStyle w:val="Tablehead"/>
              <w:jc w:val="left"/>
            </w:pPr>
            <w:r>
              <w:t>Produits liés au renforcement des capacités</w:t>
            </w:r>
            <w:r w:rsidR="007E2F1F">
              <w:t xml:space="preserve"> </w:t>
            </w:r>
            <w:r w:rsidR="00425CE6" w:rsidRPr="00DD681F">
              <w:rPr>
                <w:rStyle w:val="FootnoteReference"/>
                <w:bCs/>
                <w:szCs w:val="18"/>
              </w:rPr>
              <w:footnoteReference w:id="6"/>
            </w:r>
          </w:p>
        </w:tc>
        <w:tc>
          <w:tcPr>
            <w:tcW w:w="1926" w:type="dxa"/>
            <w:shd w:val="clear" w:color="auto" w:fill="D9D9D9" w:themeFill="background1" w:themeFillShade="D9"/>
          </w:tcPr>
          <w:p w:rsidR="00425CE6" w:rsidRPr="00534978" w:rsidRDefault="00343632" w:rsidP="007E2F1F">
            <w:pPr>
              <w:pStyle w:val="Tablehead"/>
              <w:jc w:val="left"/>
            </w:pPr>
            <w:r>
              <w:t>Produits liés aux évaluations de l'innovation</w:t>
            </w:r>
            <w:r w:rsidR="007E2F1F">
              <w:t xml:space="preserve"> </w:t>
            </w:r>
            <w:r w:rsidR="00425CE6" w:rsidRPr="00DD681F">
              <w:rPr>
                <w:rStyle w:val="FootnoteReference"/>
                <w:bCs/>
                <w:szCs w:val="18"/>
              </w:rPr>
              <w:footnoteReference w:id="7"/>
            </w:r>
          </w:p>
        </w:tc>
        <w:tc>
          <w:tcPr>
            <w:tcW w:w="1926" w:type="dxa"/>
            <w:shd w:val="clear" w:color="auto" w:fill="D9D9D9" w:themeFill="background1" w:themeFillShade="D9"/>
          </w:tcPr>
          <w:p w:rsidR="00425CE6" w:rsidRPr="00534978" w:rsidRDefault="00343632" w:rsidP="007E2F1F">
            <w:pPr>
              <w:pStyle w:val="Tablehead"/>
              <w:jc w:val="left"/>
            </w:pPr>
            <w:r>
              <w:t xml:space="preserve">Produits liés à la création conjointe de </w:t>
            </w:r>
            <w:r w:rsidR="003E0519">
              <w:t>projets</w:t>
            </w:r>
            <w:r w:rsidR="007E2F1F">
              <w:t xml:space="preserve"> </w:t>
            </w:r>
            <w:r w:rsidR="00425CE6" w:rsidRPr="00DD681F">
              <w:rPr>
                <w:rStyle w:val="FootnoteReference"/>
                <w:bCs/>
                <w:szCs w:val="18"/>
              </w:rPr>
              <w:footnoteReference w:id="8"/>
            </w:r>
          </w:p>
        </w:tc>
      </w:tr>
      <w:tr w:rsidR="00425CE6" w:rsidTr="00AB096E">
        <w:tc>
          <w:tcPr>
            <w:tcW w:w="1925" w:type="dxa"/>
            <w:shd w:val="clear" w:color="auto" w:fill="D9D9D9" w:themeFill="background1" w:themeFillShade="D9"/>
          </w:tcPr>
          <w:p w:rsidR="00425CE6" w:rsidRPr="00534978" w:rsidRDefault="004D1109" w:rsidP="007E2F1F">
            <w:pPr>
              <w:spacing w:before="40" w:after="40"/>
              <w:rPr>
                <w:b/>
                <w:bCs/>
                <w:sz w:val="22"/>
                <w:szCs w:val="22"/>
              </w:rPr>
            </w:pPr>
            <w:r>
              <w:rPr>
                <w:b/>
                <w:bCs/>
                <w:sz w:val="22"/>
                <w:szCs w:val="22"/>
              </w:rPr>
              <w:t>Afrique</w:t>
            </w:r>
          </w:p>
        </w:tc>
        <w:tc>
          <w:tcPr>
            <w:tcW w:w="1926" w:type="dxa"/>
          </w:tcPr>
          <w:p w:rsidR="00425CE6" w:rsidRPr="00534978" w:rsidRDefault="00425CE6" w:rsidP="00A7345E">
            <w:pPr>
              <w:spacing w:before="40" w:after="40"/>
              <w:jc w:val="center"/>
              <w:rPr>
                <w:sz w:val="22"/>
                <w:szCs w:val="22"/>
              </w:rPr>
            </w:pPr>
            <w:r w:rsidRPr="00534978">
              <w:rPr>
                <w:sz w:val="22"/>
                <w:szCs w:val="22"/>
              </w:rPr>
              <w:t>1</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c>
          <w:tcPr>
            <w:tcW w:w="1926" w:type="dxa"/>
          </w:tcPr>
          <w:p w:rsidR="00425CE6" w:rsidRPr="00534978" w:rsidRDefault="00425CE6" w:rsidP="00A7345E">
            <w:pPr>
              <w:spacing w:before="40" w:after="40"/>
              <w:jc w:val="center"/>
              <w:rPr>
                <w:sz w:val="22"/>
                <w:szCs w:val="22"/>
              </w:rPr>
            </w:pPr>
            <w:r w:rsidRPr="00534978">
              <w:rPr>
                <w:sz w:val="22"/>
                <w:szCs w:val="22"/>
              </w:rPr>
              <w:t>2</w:t>
            </w:r>
          </w:p>
        </w:tc>
        <w:tc>
          <w:tcPr>
            <w:tcW w:w="1926" w:type="dxa"/>
          </w:tcPr>
          <w:p w:rsidR="00425CE6" w:rsidRPr="00534978" w:rsidRDefault="00425CE6" w:rsidP="00A7345E">
            <w:pPr>
              <w:spacing w:before="40" w:after="40"/>
              <w:jc w:val="center"/>
              <w:rPr>
                <w:sz w:val="22"/>
                <w:szCs w:val="22"/>
              </w:rPr>
            </w:pPr>
            <w:r w:rsidRPr="00534978">
              <w:rPr>
                <w:sz w:val="22"/>
                <w:szCs w:val="22"/>
              </w:rPr>
              <w:t>1</w:t>
            </w:r>
          </w:p>
        </w:tc>
      </w:tr>
      <w:tr w:rsidR="00425CE6" w:rsidTr="00AB096E">
        <w:tc>
          <w:tcPr>
            <w:tcW w:w="1925" w:type="dxa"/>
            <w:shd w:val="clear" w:color="auto" w:fill="D9D9D9" w:themeFill="background1" w:themeFillShade="D9"/>
          </w:tcPr>
          <w:p w:rsidR="00425CE6" w:rsidRPr="00534978" w:rsidRDefault="004D1109" w:rsidP="007E2F1F">
            <w:pPr>
              <w:spacing w:before="40" w:after="40"/>
              <w:rPr>
                <w:b/>
                <w:bCs/>
                <w:sz w:val="22"/>
                <w:szCs w:val="22"/>
              </w:rPr>
            </w:pPr>
            <w:r>
              <w:rPr>
                <w:b/>
                <w:bCs/>
                <w:sz w:val="22"/>
                <w:szCs w:val="22"/>
              </w:rPr>
              <w:t>Amériques</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r>
      <w:tr w:rsidR="00425CE6" w:rsidTr="00AB096E">
        <w:tc>
          <w:tcPr>
            <w:tcW w:w="1925" w:type="dxa"/>
            <w:shd w:val="clear" w:color="auto" w:fill="D9D9D9" w:themeFill="background1" w:themeFillShade="D9"/>
          </w:tcPr>
          <w:p w:rsidR="00425CE6" w:rsidRPr="00534978" w:rsidRDefault="009D3681" w:rsidP="007E2F1F">
            <w:pPr>
              <w:spacing w:before="40" w:after="40"/>
              <w:rPr>
                <w:b/>
                <w:bCs/>
                <w:sz w:val="22"/>
                <w:szCs w:val="22"/>
              </w:rPr>
            </w:pPr>
            <w:r>
              <w:rPr>
                <w:b/>
                <w:bCs/>
                <w:sz w:val="22"/>
                <w:szCs w:val="22"/>
              </w:rPr>
              <w:t>E</w:t>
            </w:r>
            <w:r w:rsidR="004D1109">
              <w:rPr>
                <w:b/>
                <w:bCs/>
                <w:sz w:val="22"/>
                <w:szCs w:val="22"/>
              </w:rPr>
              <w:t>tats arabes</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r>
      <w:tr w:rsidR="00425CE6" w:rsidTr="00AB096E">
        <w:tc>
          <w:tcPr>
            <w:tcW w:w="1925" w:type="dxa"/>
            <w:shd w:val="clear" w:color="auto" w:fill="D9D9D9" w:themeFill="background1" w:themeFillShade="D9"/>
          </w:tcPr>
          <w:p w:rsidR="00425CE6" w:rsidRPr="00534978" w:rsidRDefault="004D1109" w:rsidP="007E2F1F">
            <w:pPr>
              <w:spacing w:before="40" w:after="40"/>
              <w:rPr>
                <w:b/>
                <w:bCs/>
                <w:sz w:val="22"/>
                <w:szCs w:val="22"/>
              </w:rPr>
            </w:pPr>
            <w:r>
              <w:rPr>
                <w:b/>
                <w:bCs/>
                <w:sz w:val="22"/>
                <w:szCs w:val="22"/>
              </w:rPr>
              <w:t>Asie et Pacifique</w:t>
            </w:r>
          </w:p>
        </w:tc>
        <w:tc>
          <w:tcPr>
            <w:tcW w:w="1926" w:type="dxa"/>
          </w:tcPr>
          <w:p w:rsidR="00425CE6" w:rsidRPr="00534978" w:rsidRDefault="00425CE6" w:rsidP="00A7345E">
            <w:pPr>
              <w:spacing w:before="40" w:after="40"/>
              <w:jc w:val="center"/>
              <w:rPr>
                <w:sz w:val="22"/>
                <w:szCs w:val="22"/>
              </w:rPr>
            </w:pPr>
            <w:r w:rsidRPr="00534978">
              <w:rPr>
                <w:sz w:val="22"/>
                <w:szCs w:val="22"/>
              </w:rPr>
              <w:t>1</w:t>
            </w:r>
          </w:p>
        </w:tc>
        <w:tc>
          <w:tcPr>
            <w:tcW w:w="1926" w:type="dxa"/>
          </w:tcPr>
          <w:p w:rsidR="00425CE6" w:rsidRPr="00534978" w:rsidRDefault="00425CE6" w:rsidP="00A7345E">
            <w:pPr>
              <w:spacing w:before="40" w:after="40"/>
              <w:jc w:val="center"/>
              <w:rPr>
                <w:sz w:val="22"/>
                <w:szCs w:val="22"/>
              </w:rPr>
            </w:pPr>
            <w:r w:rsidRPr="00534978">
              <w:rPr>
                <w:sz w:val="22"/>
                <w:szCs w:val="22"/>
              </w:rPr>
              <w:t>1</w:t>
            </w:r>
          </w:p>
        </w:tc>
        <w:tc>
          <w:tcPr>
            <w:tcW w:w="1926" w:type="dxa"/>
          </w:tcPr>
          <w:p w:rsidR="00425CE6" w:rsidRPr="00534978" w:rsidRDefault="00425CE6" w:rsidP="00A7345E">
            <w:pPr>
              <w:spacing w:before="40" w:after="40"/>
              <w:jc w:val="center"/>
              <w:rPr>
                <w:sz w:val="22"/>
                <w:szCs w:val="22"/>
              </w:rPr>
            </w:pPr>
            <w:r w:rsidRPr="00534978">
              <w:rPr>
                <w:sz w:val="22"/>
                <w:szCs w:val="22"/>
              </w:rPr>
              <w:t>1</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r>
      <w:tr w:rsidR="00425CE6" w:rsidTr="00AB096E">
        <w:tc>
          <w:tcPr>
            <w:tcW w:w="1925" w:type="dxa"/>
            <w:shd w:val="clear" w:color="auto" w:fill="D9D9D9" w:themeFill="background1" w:themeFillShade="D9"/>
          </w:tcPr>
          <w:p w:rsidR="00425CE6" w:rsidRPr="00534978" w:rsidRDefault="00425CE6" w:rsidP="007E2F1F">
            <w:pPr>
              <w:spacing w:before="40" w:after="40"/>
              <w:rPr>
                <w:b/>
                <w:bCs/>
                <w:sz w:val="22"/>
                <w:szCs w:val="22"/>
              </w:rPr>
            </w:pPr>
            <w:r w:rsidRPr="00534978">
              <w:rPr>
                <w:b/>
                <w:bCs/>
                <w:sz w:val="22"/>
                <w:szCs w:val="22"/>
              </w:rPr>
              <w:t>C</w:t>
            </w:r>
            <w:r w:rsidR="004D1109">
              <w:rPr>
                <w:b/>
                <w:bCs/>
                <w:sz w:val="22"/>
                <w:szCs w:val="22"/>
              </w:rPr>
              <w:t>EI</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c>
          <w:tcPr>
            <w:tcW w:w="1926" w:type="dxa"/>
          </w:tcPr>
          <w:p w:rsidR="00425CE6" w:rsidRPr="00534978" w:rsidRDefault="00425CE6" w:rsidP="00A7345E">
            <w:pPr>
              <w:spacing w:before="40" w:after="40"/>
              <w:jc w:val="center"/>
              <w:rPr>
                <w:sz w:val="22"/>
                <w:szCs w:val="22"/>
              </w:rPr>
            </w:pPr>
            <w:r w:rsidRPr="00534978">
              <w:rPr>
                <w:sz w:val="22"/>
                <w:szCs w:val="22"/>
              </w:rPr>
              <w:t>1</w:t>
            </w:r>
          </w:p>
        </w:tc>
        <w:tc>
          <w:tcPr>
            <w:tcW w:w="1926" w:type="dxa"/>
          </w:tcPr>
          <w:p w:rsidR="00425CE6" w:rsidRPr="00534978" w:rsidRDefault="00425CE6" w:rsidP="00A7345E">
            <w:pPr>
              <w:spacing w:before="40" w:after="40"/>
              <w:jc w:val="center"/>
              <w:rPr>
                <w:sz w:val="22"/>
                <w:szCs w:val="22"/>
              </w:rPr>
            </w:pPr>
            <w:r w:rsidRPr="00534978">
              <w:rPr>
                <w:sz w:val="22"/>
                <w:szCs w:val="22"/>
              </w:rPr>
              <w:t>0</w:t>
            </w:r>
          </w:p>
        </w:tc>
      </w:tr>
      <w:tr w:rsidR="00425CE6" w:rsidTr="00AB096E">
        <w:tc>
          <w:tcPr>
            <w:tcW w:w="1925" w:type="dxa"/>
            <w:shd w:val="clear" w:color="auto" w:fill="D9D9D9" w:themeFill="background1" w:themeFillShade="D9"/>
          </w:tcPr>
          <w:p w:rsidR="00425CE6" w:rsidRPr="00534978" w:rsidRDefault="00425CE6" w:rsidP="007E2F1F">
            <w:pPr>
              <w:spacing w:before="40" w:after="40"/>
              <w:rPr>
                <w:b/>
                <w:bCs/>
                <w:sz w:val="22"/>
                <w:szCs w:val="22"/>
              </w:rPr>
            </w:pPr>
            <w:r w:rsidRPr="00534978">
              <w:rPr>
                <w:b/>
                <w:bCs/>
                <w:sz w:val="22"/>
                <w:szCs w:val="22"/>
              </w:rPr>
              <w:t>Europe</w:t>
            </w:r>
          </w:p>
        </w:tc>
        <w:tc>
          <w:tcPr>
            <w:tcW w:w="1926" w:type="dxa"/>
          </w:tcPr>
          <w:p w:rsidR="00425CE6" w:rsidRPr="00534978" w:rsidRDefault="00425CE6" w:rsidP="00A7345E">
            <w:pPr>
              <w:spacing w:before="40" w:after="40"/>
              <w:jc w:val="center"/>
              <w:rPr>
                <w:sz w:val="22"/>
                <w:szCs w:val="22"/>
              </w:rPr>
            </w:pPr>
            <w:r w:rsidRPr="00534978">
              <w:rPr>
                <w:sz w:val="22"/>
                <w:szCs w:val="22"/>
              </w:rPr>
              <w:t>2</w:t>
            </w:r>
          </w:p>
        </w:tc>
        <w:tc>
          <w:tcPr>
            <w:tcW w:w="1926" w:type="dxa"/>
          </w:tcPr>
          <w:p w:rsidR="00425CE6" w:rsidRPr="00534978" w:rsidRDefault="00425CE6" w:rsidP="00A7345E">
            <w:pPr>
              <w:spacing w:before="40" w:after="40"/>
              <w:jc w:val="center"/>
              <w:rPr>
                <w:sz w:val="22"/>
                <w:szCs w:val="22"/>
              </w:rPr>
            </w:pPr>
            <w:r w:rsidRPr="00534978">
              <w:rPr>
                <w:sz w:val="22"/>
                <w:szCs w:val="22"/>
              </w:rPr>
              <w:t>1</w:t>
            </w:r>
          </w:p>
        </w:tc>
        <w:tc>
          <w:tcPr>
            <w:tcW w:w="1926" w:type="dxa"/>
          </w:tcPr>
          <w:p w:rsidR="00425CE6" w:rsidRPr="00534978" w:rsidRDefault="00425CE6" w:rsidP="00A7345E">
            <w:pPr>
              <w:spacing w:before="40" w:after="40"/>
              <w:jc w:val="center"/>
              <w:rPr>
                <w:sz w:val="22"/>
                <w:szCs w:val="22"/>
              </w:rPr>
            </w:pPr>
            <w:r w:rsidRPr="00534978">
              <w:rPr>
                <w:sz w:val="22"/>
                <w:szCs w:val="22"/>
              </w:rPr>
              <w:t>4</w:t>
            </w:r>
          </w:p>
        </w:tc>
        <w:tc>
          <w:tcPr>
            <w:tcW w:w="1926" w:type="dxa"/>
          </w:tcPr>
          <w:p w:rsidR="00425CE6" w:rsidRPr="00534978" w:rsidRDefault="00425CE6" w:rsidP="00A7345E">
            <w:pPr>
              <w:spacing w:before="40" w:after="40"/>
              <w:jc w:val="center"/>
              <w:rPr>
                <w:sz w:val="22"/>
                <w:szCs w:val="22"/>
              </w:rPr>
            </w:pPr>
            <w:r w:rsidRPr="00534978">
              <w:rPr>
                <w:sz w:val="22"/>
                <w:szCs w:val="22"/>
              </w:rPr>
              <w:t>2</w:t>
            </w:r>
          </w:p>
        </w:tc>
      </w:tr>
    </w:tbl>
    <w:p w:rsidR="00425CE6" w:rsidRPr="00F04176" w:rsidRDefault="00425CE6" w:rsidP="00994CD1">
      <w:pPr>
        <w:pStyle w:val="Heading3"/>
      </w:pPr>
      <w:r w:rsidRPr="00F04176">
        <w:lastRenderedPageBreak/>
        <w:t>3.1.1</w:t>
      </w:r>
      <w:r w:rsidRPr="00F04176">
        <w:tab/>
      </w:r>
      <w:r w:rsidR="00994CD1">
        <w:t>E</w:t>
      </w:r>
      <w:r w:rsidR="004D1109">
        <w:t>change de connaissances</w:t>
      </w:r>
    </w:p>
    <w:p w:rsidR="00425CE6" w:rsidRPr="004D1109" w:rsidRDefault="004D1109" w:rsidP="00A7345E">
      <w:pPr>
        <w:overflowPunct/>
        <w:autoSpaceDE/>
        <w:autoSpaceDN/>
        <w:adjustRightInd/>
        <w:spacing w:after="120"/>
        <w:textAlignment w:val="auto"/>
        <w:rPr>
          <w:color w:val="000000" w:themeColor="text1"/>
        </w:rPr>
      </w:pPr>
      <w:r w:rsidRPr="004D1109">
        <w:rPr>
          <w:szCs w:val="24"/>
        </w:rPr>
        <w:t>Afin de faciliter l'échange de connaissances fondé</w:t>
      </w:r>
      <w:r w:rsidR="007E2F1F">
        <w:rPr>
          <w:szCs w:val="24"/>
        </w:rPr>
        <w:t xml:space="preserve"> </w:t>
      </w:r>
      <w:r w:rsidRPr="004D1109">
        <w:rPr>
          <w:szCs w:val="24"/>
        </w:rPr>
        <w:t>sur des données probantes en ce qui concerne les pratiques en matière d'innovation, l'UIT a conçu un nouveau produit</w:t>
      </w:r>
      <w:r>
        <w:rPr>
          <w:szCs w:val="24"/>
        </w:rPr>
        <w:t>,</w:t>
      </w:r>
      <w:r w:rsidRPr="004D1109">
        <w:rPr>
          <w:szCs w:val="24"/>
        </w:rPr>
        <w:t xml:space="preserve"> </w:t>
      </w:r>
      <w:r>
        <w:rPr>
          <w:szCs w:val="24"/>
        </w:rPr>
        <w:t xml:space="preserve">intitulé </w:t>
      </w:r>
      <w:r w:rsidR="00A7345E">
        <w:rPr>
          <w:szCs w:val="24"/>
        </w:rPr>
        <w:t>"</w:t>
      </w:r>
      <w:r w:rsidRPr="00A7345E">
        <w:rPr>
          <w:b/>
          <w:bCs/>
          <w:szCs w:val="24"/>
        </w:rPr>
        <w:t>Bonnes pratiques sur les écosystèmes</w:t>
      </w:r>
      <w:r w:rsidR="00A7345E">
        <w:rPr>
          <w:szCs w:val="24"/>
        </w:rPr>
        <w:t>"</w:t>
      </w:r>
      <w:r>
        <w:rPr>
          <w:szCs w:val="24"/>
        </w:rPr>
        <w:t xml:space="preserve"> et a publi</w:t>
      </w:r>
      <w:r w:rsidR="00A7345E">
        <w:rPr>
          <w:szCs w:val="24"/>
        </w:rPr>
        <w:t>é le premier rapport intitulé "</w:t>
      </w:r>
      <w:hyperlink r:id="rId9" w:history="1">
        <w:r w:rsidRPr="00A7345E">
          <w:rPr>
            <w:rStyle w:val="Hyperlink"/>
            <w:i/>
            <w:iCs/>
            <w:szCs w:val="24"/>
          </w:rPr>
          <w:t>Bonnes pratiques destinées à accélérer la transformation numérique en Europe</w:t>
        </w:r>
      </w:hyperlink>
      <w:r w:rsidR="00221FCC">
        <w:rPr>
          <w:szCs w:val="24"/>
        </w:rPr>
        <w:t>"</w:t>
      </w:r>
      <w:r w:rsidR="003E0519">
        <w:rPr>
          <w:szCs w:val="24"/>
        </w:rPr>
        <w:t>,</w:t>
      </w:r>
      <w:r w:rsidR="00221FCC" w:rsidRPr="00221FCC">
        <w:rPr>
          <w:color w:val="000000"/>
        </w:rPr>
        <w:t xml:space="preserve"> </w:t>
      </w:r>
      <w:r w:rsidR="00221FCC">
        <w:rPr>
          <w:color w:val="000000"/>
        </w:rPr>
        <w:t>à l'occasion du Forum 2018 du SMSI</w:t>
      </w:r>
      <w:r w:rsidR="003E0519">
        <w:rPr>
          <w:szCs w:val="24"/>
        </w:rPr>
        <w:t>.</w:t>
      </w:r>
    </w:p>
    <w:p w:rsidR="00425CE6" w:rsidRDefault="003E0519" w:rsidP="007E2F1F">
      <w:pPr>
        <w:rPr>
          <w:iCs/>
          <w:szCs w:val="24"/>
        </w:rPr>
      </w:pPr>
      <w:bookmarkStart w:id="11" w:name="lt_pId054"/>
      <w:r>
        <w:rPr>
          <w:szCs w:val="24"/>
        </w:rPr>
        <w:t>L</w:t>
      </w:r>
      <w:r w:rsidR="00E86D82" w:rsidRPr="00F04176">
        <w:rPr>
          <w:szCs w:val="24"/>
        </w:rPr>
        <w:t>e BDT a</w:t>
      </w:r>
      <w:r w:rsidR="007E2F1F">
        <w:rPr>
          <w:szCs w:val="24"/>
        </w:rPr>
        <w:t xml:space="preserve"> </w:t>
      </w:r>
      <w:r w:rsidR="005C095D">
        <w:rPr>
          <w:szCs w:val="24"/>
        </w:rPr>
        <w:t xml:space="preserve">également remanié </w:t>
      </w:r>
      <w:r w:rsidR="00E86D82" w:rsidRPr="00F04176">
        <w:rPr>
          <w:szCs w:val="24"/>
        </w:rPr>
        <w:t xml:space="preserve">le </w:t>
      </w:r>
      <w:r w:rsidR="00E86D82">
        <w:rPr>
          <w:szCs w:val="24"/>
        </w:rPr>
        <w:t xml:space="preserve">kit </w:t>
      </w:r>
      <w:r w:rsidR="00E86D82" w:rsidRPr="00F04176">
        <w:rPr>
          <w:szCs w:val="24"/>
        </w:rPr>
        <w:t>pratique</w:t>
      </w:r>
      <w:r w:rsidR="00E86D82">
        <w:rPr>
          <w:szCs w:val="24"/>
        </w:rPr>
        <w:t>:</w:t>
      </w:r>
      <w:r w:rsidR="00E86D82" w:rsidRPr="00F04176">
        <w:rPr>
          <w:szCs w:val="24"/>
        </w:rPr>
        <w:t xml:space="preserve"> </w:t>
      </w:r>
      <w:r w:rsidR="00E86D82">
        <w:rPr>
          <w:szCs w:val="24"/>
        </w:rPr>
        <w:t>"</w:t>
      </w:r>
      <w:hyperlink r:id="rId10" w:history="1">
        <w:r w:rsidR="00E86D82" w:rsidRPr="00A7345E">
          <w:rPr>
            <w:rStyle w:val="Hyperlink"/>
            <w:i/>
            <w:iCs/>
          </w:rPr>
          <w:t>Réduire les disparités en matière d'innovation numérique: renforcer l'écosystème de l'innovation</w:t>
        </w:r>
        <w:r w:rsidR="00E86D82" w:rsidRPr="00A7345E">
          <w:rPr>
            <w:rStyle w:val="Hyperlink"/>
            <w:i/>
            <w:iCs/>
            <w:szCs w:val="24"/>
          </w:rPr>
          <w:t xml:space="preserve"> </w:t>
        </w:r>
        <w:r w:rsidR="00E86D82" w:rsidRPr="00A7345E">
          <w:rPr>
            <w:rStyle w:val="Hyperlink"/>
            <w:i/>
            <w:iCs/>
          </w:rPr>
          <w:t>centré sur les TIC</w:t>
        </w:r>
      </w:hyperlink>
      <w:bookmarkEnd w:id="11"/>
      <w:r w:rsidR="00E86D82">
        <w:rPr>
          <w:iCs/>
          <w:szCs w:val="24"/>
        </w:rPr>
        <w:t xml:space="preserve">" </w:t>
      </w:r>
      <w:r w:rsidR="005C095D">
        <w:rPr>
          <w:iCs/>
          <w:szCs w:val="24"/>
        </w:rPr>
        <w:t>dans les six langues de l'ONU</w:t>
      </w:r>
      <w:r w:rsidR="00D52AF1">
        <w:rPr>
          <w:iCs/>
          <w:szCs w:val="24"/>
        </w:rPr>
        <w:t>.</w:t>
      </w:r>
    </w:p>
    <w:p w:rsidR="00E86D82" w:rsidRPr="005C095D" w:rsidRDefault="005C095D" w:rsidP="007E2F1F">
      <w:pPr>
        <w:spacing w:after="120"/>
      </w:pPr>
      <w:r w:rsidRPr="005C095D">
        <w:t xml:space="preserve">Plusieurs </w:t>
      </w:r>
      <w:r w:rsidR="00D52AF1">
        <w:t>réunions</w:t>
      </w:r>
      <w:r w:rsidRPr="005C095D">
        <w:t xml:space="preserve"> d'échange de connaissances</w:t>
      </w:r>
      <w:r>
        <w:t xml:space="preserve"> sur le</w:t>
      </w:r>
      <w:r w:rsidRPr="005C095D">
        <w:t xml:space="preserve"> thème</w:t>
      </w:r>
      <w:r>
        <w:t xml:space="preserve"> de</w:t>
      </w:r>
      <w:r w:rsidRPr="005C095D">
        <w:t xml:space="preserve"> l'accélération de la transformation numérique</w:t>
      </w:r>
      <w:r w:rsidR="007E2F1F">
        <w:t xml:space="preserve"> </w:t>
      </w:r>
      <w:r>
        <w:t>ont été organisées, pour i</w:t>
      </w:r>
      <w:r w:rsidRPr="009D3681">
        <w:rPr>
          <w:b/>
          <w:bCs/>
        </w:rPr>
        <w:t xml:space="preserve">nformer les parties prenantes des défis et des perspectives de l'innovation </w:t>
      </w:r>
      <w:r>
        <w:t>dans les écosystèmes numériques.</w:t>
      </w:r>
      <w:r w:rsidR="007E2F1F">
        <w:t xml:space="preserve"> </w:t>
      </w:r>
    </w:p>
    <w:p w:rsidR="00E86D82" w:rsidRPr="00486CDF" w:rsidRDefault="00E86D82" w:rsidP="00A83480">
      <w:pPr>
        <w:pStyle w:val="enumlev1"/>
      </w:pPr>
      <w:r w:rsidRPr="009A3FFA">
        <w:t>–</w:t>
      </w:r>
      <w:r w:rsidRPr="009A3FFA">
        <w:tab/>
      </w:r>
      <w:r w:rsidR="009D3681" w:rsidRPr="009A3FFA">
        <w:t>L</w:t>
      </w:r>
      <w:r w:rsidR="009A3FFA" w:rsidRPr="009A3FFA">
        <w:t xml:space="preserve">e </w:t>
      </w:r>
      <w:r w:rsidRPr="009A3FFA">
        <w:t xml:space="preserve">BDT </w:t>
      </w:r>
      <w:r w:rsidR="009A3FFA" w:rsidRPr="009A3FFA">
        <w:t xml:space="preserve">a continué d'organiser des </w:t>
      </w:r>
      <w:r w:rsidR="009A3FFA" w:rsidRPr="00E70494">
        <w:rPr>
          <w:b/>
          <w:bCs/>
        </w:rPr>
        <w:t>dialogues sur l'innovation</w:t>
      </w:r>
      <w:r w:rsidR="009A3FFA" w:rsidRPr="009A3FFA">
        <w:t xml:space="preserve">, en </w:t>
      </w:r>
      <w:r w:rsidR="00486CDF">
        <w:rPr>
          <w:color w:val="000000"/>
        </w:rPr>
        <w:t>accueillant</w:t>
      </w:r>
      <w:r w:rsidR="009A3FFA" w:rsidRPr="009A3FFA">
        <w:rPr>
          <w:color w:val="000000"/>
        </w:rPr>
        <w:t xml:space="preserve"> le volet annuel </w:t>
      </w:r>
      <w:hyperlink r:id="rId11" w:history="1">
        <w:r w:rsidR="009A3FFA" w:rsidRPr="00E70494">
          <w:rPr>
            <w:rStyle w:val="Hyperlink"/>
          </w:rPr>
          <w:t>Inn</w:t>
        </w:r>
        <w:r w:rsidR="009A3FFA" w:rsidRPr="00E70494">
          <w:rPr>
            <w:rStyle w:val="Hyperlink"/>
          </w:rPr>
          <w:t>o</w:t>
        </w:r>
        <w:r w:rsidR="009A3FFA" w:rsidRPr="00E70494">
          <w:rPr>
            <w:rStyle w:val="Hyperlink"/>
          </w:rPr>
          <w:t>vation du SMSI</w:t>
        </w:r>
      </w:hyperlink>
      <w:r w:rsidR="009A3FFA" w:rsidRPr="009A3FFA">
        <w:rPr>
          <w:color w:val="000000"/>
        </w:rPr>
        <w:t xml:space="preserve">. Au cours de cinq sessions ayant pour thème </w:t>
      </w:r>
      <w:r w:rsidR="00DE2313">
        <w:rPr>
          <w:color w:val="000000"/>
        </w:rPr>
        <w:t>"</w:t>
      </w:r>
      <w:r w:rsidR="009A3FFA">
        <w:rPr>
          <w:color w:val="000000"/>
        </w:rPr>
        <w:t>A</w:t>
      </w:r>
      <w:r w:rsidR="009A3FFA" w:rsidRPr="009A3FFA">
        <w:rPr>
          <w:color w:val="000000"/>
        </w:rPr>
        <w:t>ccélérer la transformation numérique</w:t>
      </w:r>
      <w:r w:rsidR="009A3FFA">
        <w:rPr>
          <w:color w:val="000000"/>
        </w:rPr>
        <w:t xml:space="preserve"> et </w:t>
      </w:r>
      <w:r w:rsidR="009A3FFA" w:rsidRPr="009A3FFA">
        <w:rPr>
          <w:color w:val="000000"/>
        </w:rPr>
        <w:t xml:space="preserve">mettre en place des </w:t>
      </w:r>
      <w:r w:rsidR="009A3FFA">
        <w:rPr>
          <w:color w:val="000000"/>
        </w:rPr>
        <w:t>écosystèmes de l'innovation centrés sur les TIC</w:t>
      </w:r>
      <w:r w:rsidRPr="009A3FFA">
        <w:t xml:space="preserve">", </w:t>
      </w:r>
      <w:r w:rsidR="00486CDF">
        <w:t>trois questions principales ont été examinées</w:t>
      </w:r>
      <w:r w:rsidR="007E2F1F">
        <w:t>:</w:t>
      </w:r>
      <w:r w:rsidR="00486CDF">
        <w:t xml:space="preserve"> pratiques d'innovation fondées sur des données factuelles, outils de mise en œuvre d'écosystèmes de l'innovation et </w:t>
      </w:r>
      <w:r w:rsidR="00D52AF1">
        <w:t xml:space="preserve">politique de financement de </w:t>
      </w:r>
      <w:r w:rsidR="00486CDF">
        <w:rPr>
          <w:color w:val="000000"/>
        </w:rPr>
        <w:t>projets phares</w:t>
      </w:r>
      <w:r w:rsidR="00486CDF">
        <w:t xml:space="preserve"> </w:t>
      </w:r>
      <w:r w:rsidR="00486CDF">
        <w:rPr>
          <w:color w:val="000000"/>
        </w:rPr>
        <w:t>à fort impact</w:t>
      </w:r>
      <w:r w:rsidR="007E2F1F">
        <w:rPr>
          <w:color w:val="000000"/>
        </w:rPr>
        <w:t>.</w:t>
      </w:r>
      <w:r w:rsidR="00486CDF">
        <w:rPr>
          <w:color w:val="000000"/>
        </w:rPr>
        <w:t xml:space="preserve"> Ces dialogues ont eu lieu en présence de plus de 300 participants et de 39 experts,</w:t>
      </w:r>
      <w:r w:rsidR="00486CDF">
        <w:t xml:space="preserve"> parmi lesquels figurait un groupe de personnalités de haut niveau et d'éminents orateurs du secteur privé</w:t>
      </w:r>
      <w:r w:rsidR="00455711">
        <w:t xml:space="preserve"> ainsi que</w:t>
      </w:r>
      <w:r w:rsidR="007E2F1F">
        <w:t xml:space="preserve"> </w:t>
      </w:r>
      <w:r w:rsidR="00486CDF">
        <w:rPr>
          <w:color w:val="000000"/>
        </w:rPr>
        <w:t>d'institutions bilatérales et multilatérales de développement</w:t>
      </w:r>
      <w:r w:rsidR="00486CDF">
        <w:t>,</w:t>
      </w:r>
      <w:r w:rsidR="00455711">
        <w:t xml:space="preserve"> </w:t>
      </w:r>
      <w:r w:rsidR="00486CDF">
        <w:t>d</w:t>
      </w:r>
      <w:r w:rsidR="00D52AF1">
        <w:t xml:space="preserve">es </w:t>
      </w:r>
      <w:r w:rsidRPr="00486CDF">
        <w:t xml:space="preserve">entrepreneurs, </w:t>
      </w:r>
      <w:r w:rsidR="00486CDF">
        <w:t>de</w:t>
      </w:r>
      <w:r w:rsidR="00D52AF1">
        <w:t>s</w:t>
      </w:r>
      <w:r w:rsidR="00486CDF">
        <w:t xml:space="preserve"> spécialistes de l'innovation</w:t>
      </w:r>
      <w:r w:rsidR="009D3681">
        <w:t>, etc.</w:t>
      </w:r>
    </w:p>
    <w:p w:rsidR="009E4728" w:rsidRPr="00455711" w:rsidRDefault="009E4728" w:rsidP="00E70494">
      <w:pPr>
        <w:pStyle w:val="enumlev1"/>
        <w:rPr>
          <w:color w:val="000000" w:themeColor="text1"/>
        </w:rPr>
      </w:pPr>
      <w:r w:rsidRPr="00455711">
        <w:t>–</w:t>
      </w:r>
      <w:r w:rsidRPr="00455711">
        <w:tab/>
      </w:r>
      <w:r w:rsidR="009D3681">
        <w:t>U</w:t>
      </w:r>
      <w:r w:rsidR="00D52AF1">
        <w:t xml:space="preserve">ne </w:t>
      </w:r>
      <w:r w:rsidR="001E51B9" w:rsidRPr="001E51B9">
        <w:t xml:space="preserve">réunion-débat </w:t>
      </w:r>
      <w:r w:rsidR="00455711" w:rsidRPr="00455711">
        <w:t xml:space="preserve">de haut niveau </w:t>
      </w:r>
      <w:r w:rsidR="00D52AF1">
        <w:t xml:space="preserve">du Forum </w:t>
      </w:r>
      <w:r w:rsidR="00455711" w:rsidRPr="00455711">
        <w:rPr>
          <w:color w:val="000000" w:themeColor="text1"/>
        </w:rPr>
        <w:t>d'</w:t>
      </w:r>
      <w:r w:rsidRPr="00455711">
        <w:rPr>
          <w:color w:val="000000" w:themeColor="text1"/>
        </w:rPr>
        <w:t xml:space="preserve">ITU </w:t>
      </w:r>
      <w:r w:rsidRPr="00455711">
        <w:t>Telecom</w:t>
      </w:r>
      <w:r w:rsidRPr="00455711">
        <w:rPr>
          <w:color w:val="000000" w:themeColor="text1"/>
        </w:rPr>
        <w:t xml:space="preserve"> </w:t>
      </w:r>
      <w:r w:rsidR="00D52AF1">
        <w:rPr>
          <w:color w:val="000000" w:themeColor="text1"/>
        </w:rPr>
        <w:t>2018</w:t>
      </w:r>
      <w:r w:rsidR="001E51B9">
        <w:rPr>
          <w:color w:val="000000" w:themeColor="text1"/>
        </w:rPr>
        <w:t>, ayant pour thème</w:t>
      </w:r>
      <w:r w:rsidR="007E2F1F">
        <w:rPr>
          <w:color w:val="000000" w:themeColor="text1"/>
        </w:rPr>
        <w:t xml:space="preserve"> </w:t>
      </w:r>
      <w:r w:rsidRPr="00455711">
        <w:rPr>
          <w:color w:val="000000" w:themeColor="text1"/>
        </w:rPr>
        <w:t>"</w:t>
      </w:r>
      <w:hyperlink r:id="rId12" w:history="1">
        <w:r w:rsidR="00455711" w:rsidRPr="00E70494">
          <w:rPr>
            <w:rStyle w:val="Hyperlink"/>
          </w:rPr>
          <w:t>Les écosystèmes de l'innovation numérique sont la clé de l'industrie</w:t>
        </w:r>
        <w:r w:rsidR="007E2F1F" w:rsidRPr="00E70494">
          <w:rPr>
            <w:rStyle w:val="Hyperlink"/>
          </w:rPr>
          <w:t xml:space="preserve"> </w:t>
        </w:r>
        <w:r w:rsidRPr="00E70494">
          <w:rPr>
            <w:rStyle w:val="Hyperlink"/>
          </w:rPr>
          <w:t>4.0</w:t>
        </w:r>
      </w:hyperlink>
      <w:r w:rsidRPr="00455711">
        <w:rPr>
          <w:color w:val="000000" w:themeColor="text1"/>
        </w:rPr>
        <w:t>",</w:t>
      </w:r>
      <w:r w:rsidR="00455711">
        <w:rPr>
          <w:color w:val="000000" w:themeColor="text1"/>
        </w:rPr>
        <w:t xml:space="preserve"> </w:t>
      </w:r>
      <w:r w:rsidR="00D52AF1">
        <w:rPr>
          <w:color w:val="000000" w:themeColor="text1"/>
        </w:rPr>
        <w:t xml:space="preserve">a </w:t>
      </w:r>
      <w:r w:rsidR="00455711">
        <w:rPr>
          <w:color w:val="000000" w:themeColor="text1"/>
        </w:rPr>
        <w:t>été organisé</w:t>
      </w:r>
      <w:r w:rsidR="00D52AF1">
        <w:rPr>
          <w:color w:val="000000" w:themeColor="text1"/>
        </w:rPr>
        <w:t>e</w:t>
      </w:r>
      <w:r w:rsidR="00455711">
        <w:rPr>
          <w:color w:val="000000" w:themeColor="text1"/>
        </w:rPr>
        <w:t xml:space="preserve"> conjointement</w:t>
      </w:r>
      <w:r w:rsidR="007E2F1F">
        <w:rPr>
          <w:color w:val="000000" w:themeColor="text1"/>
        </w:rPr>
        <w:t xml:space="preserve"> </w:t>
      </w:r>
      <w:r w:rsidR="00455711">
        <w:rPr>
          <w:color w:val="000000" w:themeColor="text1"/>
        </w:rPr>
        <w:t xml:space="preserve">par l'ONUDI </w:t>
      </w:r>
      <w:r>
        <w:rPr>
          <w:rStyle w:val="FootnoteReference"/>
          <w:color w:val="000000" w:themeColor="text1"/>
        </w:rPr>
        <w:footnoteReference w:id="9"/>
      </w:r>
      <w:r w:rsidR="007E2F1F">
        <w:rPr>
          <w:color w:val="000000" w:themeColor="text1"/>
        </w:rPr>
        <w:t xml:space="preserve"> </w:t>
      </w:r>
      <w:r w:rsidR="00455711">
        <w:rPr>
          <w:color w:val="000000" w:themeColor="text1"/>
        </w:rPr>
        <w:t xml:space="preserve">et le </w:t>
      </w:r>
      <w:r w:rsidRPr="00455711">
        <w:rPr>
          <w:color w:val="000000" w:themeColor="text1"/>
        </w:rPr>
        <w:t>GMIS</w:t>
      </w:r>
      <w:r w:rsidR="00455711">
        <w:rPr>
          <w:color w:val="000000" w:themeColor="text1"/>
        </w:rPr>
        <w:t xml:space="preserve"> </w:t>
      </w:r>
      <w:r>
        <w:rPr>
          <w:rStyle w:val="FootnoteReference"/>
          <w:color w:val="000000" w:themeColor="text1"/>
        </w:rPr>
        <w:footnoteReference w:id="10"/>
      </w:r>
      <w:r w:rsidR="007E2F1F">
        <w:rPr>
          <w:color w:val="000000" w:themeColor="text1"/>
        </w:rPr>
        <w:t>,</w:t>
      </w:r>
      <w:r w:rsidR="00455711">
        <w:rPr>
          <w:color w:val="000000" w:themeColor="text1"/>
        </w:rPr>
        <w:t xml:space="preserve"> afin d'informer les parties prenantes des possibilités qu'offrent les écosystèmes de l'innov</w:t>
      </w:r>
      <w:r w:rsidR="00D52AF1">
        <w:rPr>
          <w:color w:val="000000" w:themeColor="text1"/>
        </w:rPr>
        <w:t>ation numérique pour faciliter la réalisation d</w:t>
      </w:r>
      <w:r w:rsidR="00455711">
        <w:rPr>
          <w:color w:val="000000" w:themeColor="text1"/>
        </w:rPr>
        <w:t>es projets de</w:t>
      </w:r>
      <w:r w:rsidR="00455711" w:rsidRPr="00455711">
        <w:rPr>
          <w:color w:val="000000" w:themeColor="text1"/>
        </w:rPr>
        <w:t xml:space="preserve"> l'industrie</w:t>
      </w:r>
      <w:r w:rsidR="00E70494">
        <w:rPr>
          <w:color w:val="000000" w:themeColor="text1"/>
        </w:rPr>
        <w:t xml:space="preserve"> 4.0</w:t>
      </w:r>
      <w:r w:rsidR="00D60E19">
        <w:rPr>
          <w:color w:val="000000" w:themeColor="text1"/>
        </w:rPr>
        <w:t>.</w:t>
      </w:r>
    </w:p>
    <w:p w:rsidR="009E4728" w:rsidRPr="001E51B9" w:rsidRDefault="009E4728" w:rsidP="00E70494">
      <w:pPr>
        <w:pStyle w:val="enumlev1"/>
      </w:pPr>
      <w:r w:rsidRPr="00455711">
        <w:t>–</w:t>
      </w:r>
      <w:r w:rsidRPr="00455711">
        <w:tab/>
      </w:r>
      <w:r w:rsidR="009D3681" w:rsidRPr="00455711">
        <w:t>U</w:t>
      </w:r>
      <w:r w:rsidR="00455711" w:rsidRPr="00455711">
        <w:t>ne session consacrée au potentiel de l'innovation, intitulée</w:t>
      </w:r>
      <w:r w:rsidR="007E2F1F">
        <w:t xml:space="preserve"> </w:t>
      </w:r>
      <w:r w:rsidRPr="00455711">
        <w:rPr>
          <w:color w:val="000000" w:themeColor="text1"/>
        </w:rPr>
        <w:t>"</w:t>
      </w:r>
      <w:hyperlink r:id="rId13" w:history="1">
        <w:r w:rsidR="00455711">
          <w:rPr>
            <w:rStyle w:val="Hyperlink"/>
          </w:rPr>
          <w:t xml:space="preserve">Suivi des </w:t>
        </w:r>
        <w:r w:rsidR="00455711" w:rsidRPr="00E70494">
          <w:rPr>
            <w:rStyle w:val="Hyperlink"/>
          </w:rPr>
          <w:t>politiques et des programmes en matière d</w:t>
        </w:r>
        <w:r w:rsidR="00BA3639">
          <w:rPr>
            <w:rStyle w:val="Hyperlink"/>
          </w:rPr>
          <w:t>'</w:t>
        </w:r>
        <w:r w:rsidR="00455711" w:rsidRPr="00E70494">
          <w:rPr>
            <w:rStyle w:val="Hyperlink"/>
          </w:rPr>
          <w:t>innovation centrés sur les TIC</w:t>
        </w:r>
      </w:hyperlink>
      <w:r w:rsidRPr="001E51B9">
        <w:rPr>
          <w:color w:val="000000" w:themeColor="text1"/>
        </w:rPr>
        <w:t xml:space="preserve">" </w:t>
      </w:r>
      <w:r w:rsidR="001E51B9">
        <w:rPr>
          <w:color w:val="000000" w:themeColor="text1"/>
        </w:rPr>
        <w:t xml:space="preserve">et </w:t>
      </w:r>
      <w:r w:rsidR="00F15307">
        <w:rPr>
          <w:color w:val="000000" w:themeColor="text1"/>
        </w:rPr>
        <w:t>destinée</w:t>
      </w:r>
      <w:r w:rsidR="001E51B9">
        <w:rPr>
          <w:color w:val="000000" w:themeColor="text1"/>
        </w:rPr>
        <w:t xml:space="preserve"> à renforcer les connaissances et les capacités techniques sur la mesure</w:t>
      </w:r>
      <w:r w:rsidR="007E2F1F">
        <w:rPr>
          <w:color w:val="000000" w:themeColor="text1"/>
        </w:rPr>
        <w:t xml:space="preserve"> </w:t>
      </w:r>
      <w:r w:rsidR="001E51B9">
        <w:rPr>
          <w:color w:val="000000"/>
        </w:rPr>
        <w:t>des capacités d'innovation centrées sur les TIC</w:t>
      </w:r>
      <w:r w:rsidRPr="001E51B9">
        <w:rPr>
          <w:color w:val="000000" w:themeColor="text1"/>
        </w:rPr>
        <w:t xml:space="preserve">, </w:t>
      </w:r>
      <w:r w:rsidR="001E51B9">
        <w:rPr>
          <w:color w:val="000000" w:themeColor="text1"/>
        </w:rPr>
        <w:t>a également été organisée à l'occasion</w:t>
      </w:r>
      <w:r w:rsidR="001E51B9" w:rsidRPr="00455711">
        <w:t xml:space="preserve"> </w:t>
      </w:r>
      <w:r w:rsidR="001E51B9" w:rsidRPr="00455711">
        <w:rPr>
          <w:color w:val="000000"/>
        </w:rPr>
        <w:t>de l'édition de 2018</w:t>
      </w:r>
      <w:r w:rsidR="007E2F1F">
        <w:rPr>
          <w:color w:val="000000"/>
        </w:rPr>
        <w:t xml:space="preserve"> </w:t>
      </w:r>
      <w:r w:rsidR="001E51B9" w:rsidRPr="00455711">
        <w:rPr>
          <w:color w:val="000000" w:themeColor="text1"/>
        </w:rPr>
        <w:t xml:space="preserve">d'ITU </w:t>
      </w:r>
      <w:r w:rsidR="001E51B9" w:rsidRPr="00455711">
        <w:t>Telecom</w:t>
      </w:r>
      <w:r w:rsidR="007E2F1F">
        <w:rPr>
          <w:color w:val="000000" w:themeColor="text1"/>
        </w:rPr>
        <w:t>,</w:t>
      </w:r>
      <w:r w:rsidR="001E51B9">
        <w:rPr>
          <w:color w:val="000000" w:themeColor="text1"/>
        </w:rPr>
        <w:t xml:space="preserve"> en présence de décideurs, d'entrepreneurs, de </w:t>
      </w:r>
      <w:r w:rsidRPr="001E51B9">
        <w:rPr>
          <w:color w:val="000000" w:themeColor="text1"/>
        </w:rPr>
        <w:t xml:space="preserve">financiers, </w:t>
      </w:r>
      <w:r w:rsidR="001E51B9">
        <w:rPr>
          <w:color w:val="000000" w:themeColor="text1"/>
        </w:rPr>
        <w:t>d'établissements universitaires, d'entreprises et de PME</w:t>
      </w:r>
      <w:r w:rsidR="00F15307">
        <w:rPr>
          <w:color w:val="000000" w:themeColor="text1"/>
        </w:rPr>
        <w:t>.</w:t>
      </w:r>
    </w:p>
    <w:p w:rsidR="00451363" w:rsidRPr="00130E1D" w:rsidRDefault="00451363" w:rsidP="007E2F1F">
      <w:pPr>
        <w:pStyle w:val="Heading3"/>
      </w:pPr>
      <w:r w:rsidRPr="00130E1D">
        <w:t>3.1.2</w:t>
      </w:r>
      <w:r w:rsidRPr="00130E1D">
        <w:tab/>
      </w:r>
      <w:r w:rsidR="001E51B9">
        <w:t>Autonomisations des parties prenantes grâce au</w:t>
      </w:r>
      <w:r w:rsidR="007E2F1F">
        <w:t xml:space="preserve"> </w:t>
      </w:r>
      <w:r w:rsidRPr="00130E1D">
        <w:t>renforcement des capacités dans le domaine de l</w:t>
      </w:r>
      <w:r>
        <w:t>'</w:t>
      </w:r>
      <w:r w:rsidRPr="00130E1D">
        <w:t>innovation</w:t>
      </w:r>
    </w:p>
    <w:p w:rsidR="00E86D82" w:rsidRPr="003D2268" w:rsidRDefault="00451363" w:rsidP="007E2F1F">
      <w:r>
        <w:t>A</w:t>
      </w:r>
      <w:r w:rsidRPr="00130E1D">
        <w:t xml:space="preserve"> </w:t>
      </w:r>
      <w:r w:rsidR="00F15307">
        <w:t>l'aide</w:t>
      </w:r>
      <w:r w:rsidRPr="00130E1D">
        <w:t xml:space="preserve"> des </w:t>
      </w:r>
      <w:r w:rsidR="003D2268">
        <w:t>nouveaux outils et processus mis au point</w:t>
      </w:r>
      <w:r w:rsidR="007E2F1F">
        <w:t>,</w:t>
      </w:r>
      <w:r w:rsidR="00994CD1">
        <w:t xml:space="preserve"> </w:t>
      </w:r>
      <w:r w:rsidRPr="00130E1D">
        <w:t>le BDT a</w:t>
      </w:r>
      <w:r w:rsidR="003D2268">
        <w:t xml:space="preserve"> organisé </w:t>
      </w:r>
      <w:r w:rsidRPr="00130E1D">
        <w:t>une série d</w:t>
      </w:r>
      <w:r>
        <w:t>'</w:t>
      </w:r>
      <w:r w:rsidRPr="00130E1D">
        <w:t>ateliers de formation</w:t>
      </w:r>
      <w:r w:rsidR="003D2268">
        <w:t xml:space="preserve"> destinés à</w:t>
      </w:r>
      <w:r w:rsidRPr="00130E1D">
        <w:t xml:space="preserve"> aider</w:t>
      </w:r>
      <w:r w:rsidR="007E2F1F">
        <w:t xml:space="preserve"> </w:t>
      </w:r>
      <w:r>
        <w:t>d</w:t>
      </w:r>
      <w:r w:rsidRPr="00130E1D">
        <w:t>es experts nationaux</w:t>
      </w:r>
      <w:r w:rsidR="007E2F1F">
        <w:t>,</w:t>
      </w:r>
      <w:r w:rsidRPr="00130E1D">
        <w:t xml:space="preserve"> régionaux </w:t>
      </w:r>
      <w:r w:rsidR="003D2268">
        <w:t xml:space="preserve">et mondiaux </w:t>
      </w:r>
      <w:r>
        <w:t xml:space="preserve">à renforcer leurs compétences en matière d'innovation. </w:t>
      </w:r>
      <w:r w:rsidR="003D2268" w:rsidRPr="003D2268">
        <w:t>E</w:t>
      </w:r>
      <w:r w:rsidRPr="003D2268">
        <w:t xml:space="preserve">n 2018, </w:t>
      </w:r>
      <w:r w:rsidR="003D2268" w:rsidRPr="003D2268">
        <w:t xml:space="preserve">près de 100 parties prenantes de plus de 55 pays ont suivi </w:t>
      </w:r>
      <w:r w:rsidR="00F15307">
        <w:t>pendant</w:t>
      </w:r>
      <w:r w:rsidR="00F15307" w:rsidRPr="003D2268">
        <w:t xml:space="preserve"> les ateliers ci-après</w:t>
      </w:r>
      <w:r w:rsidR="00F15307" w:rsidRPr="003D2268">
        <w:t xml:space="preserve"> </w:t>
      </w:r>
      <w:r w:rsidR="003D2268" w:rsidRPr="003D2268">
        <w:t>une formation</w:t>
      </w:r>
      <w:r w:rsidR="007E2F1F">
        <w:t xml:space="preserve"> </w:t>
      </w:r>
      <w:r w:rsidR="003D2268">
        <w:t>sanctionnée par un diplôme</w:t>
      </w:r>
      <w:r w:rsidR="004C2A9E">
        <w:t xml:space="preserve"> destinée à renforcer leurs propres écosystèmes de l'innovation</w:t>
      </w:r>
      <w:r w:rsidRPr="003D2268">
        <w:t>:</w:t>
      </w:r>
    </w:p>
    <w:p w:rsidR="00451363" w:rsidRDefault="00451363" w:rsidP="007E2F1F">
      <w:pPr>
        <w:pStyle w:val="enumlev1"/>
        <w:rPr>
          <w:color w:val="000000" w:themeColor="text1"/>
        </w:rPr>
      </w:pPr>
      <w:bookmarkStart w:id="12" w:name="_GoBack"/>
      <w:bookmarkEnd w:id="12"/>
      <w:r w:rsidRPr="004C2A9E">
        <w:t>–</w:t>
      </w:r>
      <w:r w:rsidRPr="004C2A9E">
        <w:tab/>
      </w:r>
      <w:r w:rsidR="004C2A9E" w:rsidRPr="004C2A9E">
        <w:rPr>
          <w:color w:val="000000" w:themeColor="text1"/>
        </w:rPr>
        <w:t>Assistance technique permanente à la Thaïlande</w:t>
      </w:r>
      <w:r w:rsidR="007E2F1F">
        <w:rPr>
          <w:color w:val="000000" w:themeColor="text1"/>
        </w:rPr>
        <w:t xml:space="preserve">: </w:t>
      </w:r>
      <w:hyperlink r:id="rId14" w:history="1">
        <w:r w:rsidR="004C2A9E" w:rsidRPr="00E73691">
          <w:rPr>
            <w:rStyle w:val="Hyperlink"/>
          </w:rPr>
          <w:t>un atelier multi</w:t>
        </w:r>
        <w:r w:rsidR="00F15307" w:rsidRPr="00E73691">
          <w:rPr>
            <w:rStyle w:val="Hyperlink"/>
          </w:rPr>
          <w:t>-</w:t>
        </w:r>
        <w:r w:rsidR="004C2A9E" w:rsidRPr="00E73691">
          <w:rPr>
            <w:rStyle w:val="Hyperlink"/>
          </w:rPr>
          <w:t>parties prenantes sur la réduction des disparités en matière d'innovation numérique</w:t>
        </w:r>
      </w:hyperlink>
      <w:r w:rsidR="004C2A9E">
        <w:rPr>
          <w:color w:val="000000" w:themeColor="text1"/>
        </w:rPr>
        <w:t xml:space="preserve"> a été organisé</w:t>
      </w:r>
      <w:r w:rsidR="007E2F1F">
        <w:rPr>
          <w:color w:val="000000" w:themeColor="text1"/>
        </w:rPr>
        <w:t xml:space="preserve"> </w:t>
      </w:r>
      <w:r w:rsidR="004C2A9E">
        <w:rPr>
          <w:color w:val="000000" w:themeColor="text1"/>
        </w:rPr>
        <w:t xml:space="preserve">conjointement </w:t>
      </w:r>
      <w:r w:rsidR="004C2A9E">
        <w:rPr>
          <w:color w:val="000000" w:themeColor="text1"/>
        </w:rPr>
        <w:lastRenderedPageBreak/>
        <w:t>par</w:t>
      </w:r>
      <w:r w:rsidRPr="004C2A9E">
        <w:rPr>
          <w:color w:val="000000" w:themeColor="text1"/>
        </w:rPr>
        <w:t xml:space="preserve"> ONDE</w:t>
      </w:r>
      <w:r w:rsidR="00F15307">
        <w:rPr>
          <w:color w:val="000000" w:themeColor="text1"/>
        </w:rPr>
        <w:t>,</w:t>
      </w:r>
      <w:r w:rsidR="002C273E">
        <w:rPr>
          <w:color w:val="000000" w:themeColor="text1"/>
        </w:rPr>
        <w:t xml:space="preserve"> les 8 et 9 mai</w:t>
      </w:r>
      <w:r w:rsidR="007E2F1F">
        <w:rPr>
          <w:color w:val="000000" w:themeColor="text1"/>
        </w:rPr>
        <w:t xml:space="preserve"> </w:t>
      </w:r>
      <w:r w:rsidR="002C273E">
        <w:rPr>
          <w:color w:val="000000" w:themeColor="text1"/>
        </w:rPr>
        <w:t xml:space="preserve">à Bangkok (Thaïlande). </w:t>
      </w:r>
      <w:r w:rsidR="002C273E" w:rsidRPr="002C273E">
        <w:rPr>
          <w:color w:val="000000" w:themeColor="text1"/>
        </w:rPr>
        <w:t>Cet atelier a permis à 55 parties prenantes nationales d'échanger des connaissances sur la question et 13 d'entre elles</w:t>
      </w:r>
      <w:r w:rsidR="002C273E">
        <w:rPr>
          <w:color w:val="000000" w:themeColor="text1"/>
        </w:rPr>
        <w:t xml:space="preserve"> ont acquis des compétences, validées par un diplôme, sur le renforcement des écosystèmes de l</w:t>
      </w:r>
      <w:r w:rsidR="00F15307">
        <w:rPr>
          <w:color w:val="000000" w:themeColor="text1"/>
        </w:rPr>
        <w:t>'innovation centrée sur les TIC</w:t>
      </w:r>
      <w:r w:rsidR="00F36294">
        <w:rPr>
          <w:color w:val="000000" w:themeColor="text1"/>
        </w:rPr>
        <w:t>.</w:t>
      </w:r>
    </w:p>
    <w:p w:rsidR="00451363" w:rsidRPr="00231017" w:rsidRDefault="00451363" w:rsidP="00F36294">
      <w:pPr>
        <w:pStyle w:val="enumlev1"/>
        <w:rPr>
          <w:color w:val="000000" w:themeColor="text1"/>
        </w:rPr>
      </w:pPr>
      <w:r w:rsidRPr="002C273E">
        <w:rPr>
          <w:color w:val="000000" w:themeColor="text1"/>
        </w:rPr>
        <w:t>–</w:t>
      </w:r>
      <w:r w:rsidRPr="002C273E">
        <w:rPr>
          <w:color w:val="000000" w:themeColor="text1"/>
        </w:rPr>
        <w:tab/>
      </w:r>
      <w:r w:rsidR="00F15307">
        <w:rPr>
          <w:color w:val="000000" w:themeColor="text1"/>
        </w:rPr>
        <w:t>L</w:t>
      </w:r>
      <w:r w:rsidR="002C273E" w:rsidRPr="002C273E">
        <w:rPr>
          <w:color w:val="000000" w:themeColor="text1"/>
        </w:rPr>
        <w:t xml:space="preserve">e </w:t>
      </w:r>
      <w:r w:rsidRPr="002C273E">
        <w:rPr>
          <w:color w:val="000000" w:themeColor="text1"/>
        </w:rPr>
        <w:t xml:space="preserve">BDT, </w:t>
      </w:r>
      <w:r w:rsidR="002C273E" w:rsidRPr="002C273E">
        <w:rPr>
          <w:color w:val="000000" w:themeColor="text1"/>
        </w:rPr>
        <w:t>e</w:t>
      </w:r>
      <w:r w:rsidRPr="002C273E">
        <w:rPr>
          <w:color w:val="000000" w:themeColor="text1"/>
        </w:rPr>
        <w:t>n collaboration</w:t>
      </w:r>
      <w:r>
        <w:rPr>
          <w:rStyle w:val="FootnoteReference"/>
          <w:color w:val="000000" w:themeColor="text1"/>
        </w:rPr>
        <w:footnoteReference w:id="11"/>
      </w:r>
      <w:r w:rsidR="007E2F1F">
        <w:rPr>
          <w:color w:val="000000" w:themeColor="text1"/>
        </w:rPr>
        <w:t xml:space="preserve"> </w:t>
      </w:r>
      <w:r w:rsidR="002C273E" w:rsidRPr="002C273E">
        <w:rPr>
          <w:color w:val="000000" w:themeColor="text1"/>
        </w:rPr>
        <w:t>avec la ville de Busan,</w:t>
      </w:r>
      <w:r w:rsidR="00994CD1">
        <w:rPr>
          <w:color w:val="000000" w:themeColor="text1"/>
        </w:rPr>
        <w:t xml:space="preserve"> </w:t>
      </w:r>
      <w:r w:rsidR="002C273E" w:rsidRPr="002C273E">
        <w:rPr>
          <w:color w:val="000000" w:themeColor="text1"/>
        </w:rPr>
        <w:t>a</w:t>
      </w:r>
      <w:r w:rsidR="007E2F1F">
        <w:rPr>
          <w:color w:val="000000" w:themeColor="text1"/>
        </w:rPr>
        <w:t xml:space="preserve"> </w:t>
      </w:r>
      <w:r w:rsidR="002C273E" w:rsidRPr="002C273E">
        <w:rPr>
          <w:color w:val="000000" w:themeColor="text1"/>
        </w:rPr>
        <w:t xml:space="preserve">organisé le </w:t>
      </w:r>
      <w:hyperlink r:id="rId15" w:history="1">
        <w:r w:rsidR="002C273E" w:rsidRPr="00F36294">
          <w:rPr>
            <w:rStyle w:val="Hyperlink"/>
            <w:b/>
            <w:bCs/>
          </w:rPr>
          <w:t>Forum annuel pour les jeunes dirigeants du secteur des TIC</w:t>
        </w:r>
      </w:hyperlink>
      <w:r w:rsidR="007E2F1F">
        <w:rPr>
          <w:color w:val="000000" w:themeColor="text1"/>
        </w:rPr>
        <w:t xml:space="preserve"> </w:t>
      </w:r>
      <w:r w:rsidR="002C273E">
        <w:rPr>
          <w:color w:val="000000" w:themeColor="text1"/>
        </w:rPr>
        <w:t xml:space="preserve">du 4 au 7 septembre à </w:t>
      </w:r>
      <w:r w:rsidRPr="002C273E">
        <w:rPr>
          <w:color w:val="000000" w:themeColor="text1"/>
        </w:rPr>
        <w:t>Busan</w:t>
      </w:r>
      <w:r w:rsidR="002C273E">
        <w:rPr>
          <w:color w:val="000000" w:themeColor="text1"/>
        </w:rPr>
        <w:t xml:space="preserve"> (</w:t>
      </w:r>
      <w:r w:rsidR="00F15307">
        <w:rPr>
          <w:color w:val="000000" w:themeColor="text1"/>
        </w:rPr>
        <w:t>République de Corée). C</w:t>
      </w:r>
      <w:r w:rsidR="002C273E">
        <w:rPr>
          <w:color w:val="000000" w:themeColor="text1"/>
        </w:rPr>
        <w:t>e Forum avait pour but d'encourager la participation active des jeunes à l'économie numérique et a permis à des spécialistes des écosystèmes de l'innovation ainsi qu'à des décideurs de se mobiliser activement et de nouer des contacts</w:t>
      </w:r>
      <w:r w:rsidR="007E2F1F">
        <w:rPr>
          <w:color w:val="000000" w:themeColor="text1"/>
        </w:rPr>
        <w:t>.</w:t>
      </w:r>
      <w:r w:rsidRPr="002C273E">
        <w:rPr>
          <w:color w:val="000000" w:themeColor="text1"/>
        </w:rPr>
        <w:t xml:space="preserve"> </w:t>
      </w:r>
      <w:r w:rsidR="005E69BE">
        <w:rPr>
          <w:color w:val="000000" w:themeColor="text1"/>
        </w:rPr>
        <w:t>L</w:t>
      </w:r>
      <w:r w:rsidR="00231017">
        <w:rPr>
          <w:color w:val="000000" w:themeColor="text1"/>
        </w:rPr>
        <w:t>e Forum, qui avait pour thème</w:t>
      </w:r>
      <w:r w:rsidR="007E2F1F">
        <w:rPr>
          <w:color w:val="000000" w:themeColor="text1"/>
        </w:rPr>
        <w:t xml:space="preserve"> </w:t>
      </w:r>
      <w:r w:rsidRPr="00231017">
        <w:rPr>
          <w:color w:val="000000" w:themeColor="text1"/>
        </w:rPr>
        <w:t>"</w:t>
      </w:r>
      <w:r w:rsidR="002C273E" w:rsidRPr="00231017">
        <w:rPr>
          <w:color w:val="000000" w:themeColor="text1"/>
        </w:rPr>
        <w:t>Encourager l'innovation numérique pour des villes intelligentes et</w:t>
      </w:r>
      <w:r w:rsidR="007E2F1F">
        <w:rPr>
          <w:color w:val="000000" w:themeColor="text1"/>
        </w:rPr>
        <w:t xml:space="preserve"> </w:t>
      </w:r>
      <w:r w:rsidR="00231017">
        <w:rPr>
          <w:color w:val="000000" w:themeColor="text1"/>
        </w:rPr>
        <w:t>durables</w:t>
      </w:r>
      <w:r w:rsidR="00F36294">
        <w:rPr>
          <w:color w:val="000000" w:themeColor="text1"/>
        </w:rPr>
        <w:t>"</w:t>
      </w:r>
      <w:r w:rsidR="00231017">
        <w:rPr>
          <w:color w:val="000000" w:themeColor="text1"/>
        </w:rPr>
        <w:t>, a permis à</w:t>
      </w:r>
      <w:r w:rsidR="007E2F1F">
        <w:rPr>
          <w:color w:val="000000" w:themeColor="text1"/>
        </w:rPr>
        <w:t xml:space="preserve"> </w:t>
      </w:r>
      <w:r w:rsidR="00231017">
        <w:rPr>
          <w:color w:val="000000" w:themeColor="text1"/>
        </w:rPr>
        <w:t>71 jeunes de 50 pays de suivre</w:t>
      </w:r>
      <w:r w:rsidR="007E2F1F">
        <w:rPr>
          <w:color w:val="000000" w:themeColor="text1"/>
        </w:rPr>
        <w:t xml:space="preserve"> </w:t>
      </w:r>
      <w:r w:rsidR="00231017" w:rsidRPr="00231017">
        <w:t>une formation,</w:t>
      </w:r>
      <w:r w:rsidR="007E2F1F">
        <w:t xml:space="preserve"> </w:t>
      </w:r>
      <w:r w:rsidR="00231017" w:rsidRPr="00231017">
        <w:t>sanctionnée par un diplôme, sur la façon de mettre en place un éco</w:t>
      </w:r>
      <w:r w:rsidR="00323321">
        <w:t>système de villes intelligentes.</w:t>
      </w:r>
    </w:p>
    <w:p w:rsidR="00206303" w:rsidRPr="00EC0DA4" w:rsidRDefault="00206303" w:rsidP="00994CD1">
      <w:pPr>
        <w:pStyle w:val="enumlev1"/>
        <w:rPr>
          <w:color w:val="000000" w:themeColor="text1"/>
        </w:rPr>
      </w:pPr>
      <w:r w:rsidRPr="00EC0DA4">
        <w:t>–</w:t>
      </w:r>
      <w:r w:rsidRPr="00EC0DA4">
        <w:tab/>
      </w:r>
      <w:r w:rsidR="00323321" w:rsidRPr="00EC0DA4">
        <w:t>E</w:t>
      </w:r>
      <w:r w:rsidR="00231017" w:rsidRPr="00EC0DA4">
        <w:t xml:space="preserve">n partenariat avec </w:t>
      </w:r>
      <w:r w:rsidR="00323321">
        <w:t>l</w:t>
      </w:r>
      <w:r w:rsidR="00231017" w:rsidRPr="00EC0DA4">
        <w:t>'Université métropolitaine d'Oslo</w:t>
      </w:r>
      <w:r>
        <w:rPr>
          <w:rStyle w:val="FootnoteReference"/>
          <w:color w:val="000000" w:themeColor="text1"/>
        </w:rPr>
        <w:footnoteReference w:id="12"/>
      </w:r>
      <w:r w:rsidRPr="00EC0DA4">
        <w:rPr>
          <w:color w:val="000000" w:themeColor="text1"/>
        </w:rPr>
        <w:t>,</w:t>
      </w:r>
      <w:r w:rsidR="00994CD1">
        <w:rPr>
          <w:color w:val="000000" w:themeColor="text1"/>
        </w:rPr>
        <w:t xml:space="preserve"> </w:t>
      </w:r>
      <w:r w:rsidR="00EC0DA4">
        <w:rPr>
          <w:color w:val="000000" w:themeColor="text1"/>
        </w:rPr>
        <w:t xml:space="preserve">le </w:t>
      </w:r>
      <w:r w:rsidRPr="00EC0DA4">
        <w:rPr>
          <w:color w:val="000000" w:themeColor="text1"/>
        </w:rPr>
        <w:t xml:space="preserve">BDT </w:t>
      </w:r>
      <w:r w:rsidR="00EC0DA4">
        <w:rPr>
          <w:color w:val="000000" w:themeColor="text1"/>
        </w:rPr>
        <w:t xml:space="preserve">a organisé </w:t>
      </w:r>
      <w:r w:rsidR="00EC0DA4">
        <w:rPr>
          <w:color w:val="000000"/>
        </w:rPr>
        <w:t xml:space="preserve">le </w:t>
      </w:r>
      <w:hyperlink r:id="rId16" w:history="1">
        <w:r w:rsidR="00EC0DA4" w:rsidRPr="00E73691">
          <w:rPr>
            <w:rStyle w:val="Hyperlink"/>
          </w:rPr>
          <w:t xml:space="preserve">Forum </w:t>
        </w:r>
        <w:r w:rsidR="00EC0DA4" w:rsidRPr="00F36294">
          <w:rPr>
            <w:rStyle w:val="Hyperlink"/>
            <w:b/>
            <w:bCs/>
          </w:rPr>
          <w:t>régional</w:t>
        </w:r>
        <w:r w:rsidR="00EC0DA4" w:rsidRPr="00E73691">
          <w:rPr>
            <w:rStyle w:val="Hyperlink"/>
          </w:rPr>
          <w:t xml:space="preserve"> de l'innovation</w:t>
        </w:r>
        <w:r w:rsidR="007E2F1F" w:rsidRPr="00E73691">
          <w:rPr>
            <w:rStyle w:val="Hyperlink"/>
          </w:rPr>
          <w:t xml:space="preserve"> </w:t>
        </w:r>
        <w:r w:rsidR="00EC0DA4" w:rsidRPr="00E73691">
          <w:rPr>
            <w:rStyle w:val="Hyperlink"/>
          </w:rPr>
          <w:t>pour l'Europe</w:t>
        </w:r>
      </w:hyperlink>
      <w:r w:rsidR="007E2F1F">
        <w:rPr>
          <w:color w:val="000000"/>
        </w:rPr>
        <w:t xml:space="preserve"> </w:t>
      </w:r>
      <w:r w:rsidR="00EC0DA4">
        <w:rPr>
          <w:color w:val="000000"/>
        </w:rPr>
        <w:t>à Oslo (Norvège) du 21 au 23 novembre</w:t>
      </w:r>
      <w:r w:rsidR="007E2F1F">
        <w:rPr>
          <w:color w:val="000000" w:themeColor="text1"/>
        </w:rPr>
        <w:t>.</w:t>
      </w:r>
      <w:r w:rsidR="00EC0DA4" w:rsidRPr="00EC0DA4">
        <w:rPr>
          <w:color w:val="000000" w:themeColor="text1"/>
        </w:rPr>
        <w:t xml:space="preserve"> Ce Forum, qui</w:t>
      </w:r>
      <w:r w:rsidR="007E2F1F">
        <w:rPr>
          <w:color w:val="000000" w:themeColor="text1"/>
        </w:rPr>
        <w:t xml:space="preserve"> </w:t>
      </w:r>
      <w:r w:rsidR="00EC0DA4" w:rsidRPr="00EC0DA4">
        <w:rPr>
          <w:color w:val="000000" w:themeColor="text1"/>
        </w:rPr>
        <w:t xml:space="preserve">avait pour thème </w:t>
      </w:r>
      <w:r w:rsidR="00DE2313">
        <w:rPr>
          <w:color w:val="000000" w:themeColor="text1"/>
        </w:rPr>
        <w:t>"</w:t>
      </w:r>
      <w:r w:rsidR="00EC0DA4" w:rsidRPr="00EC0DA4">
        <w:rPr>
          <w:color w:val="000000"/>
        </w:rPr>
        <w:t>Favoriser l</w:t>
      </w:r>
      <w:r w:rsidR="00BA3639">
        <w:rPr>
          <w:color w:val="000000"/>
        </w:rPr>
        <w:t>'</w:t>
      </w:r>
      <w:r w:rsidR="00EC0DA4" w:rsidRPr="00EC0DA4">
        <w:rPr>
          <w:color w:val="000000"/>
        </w:rPr>
        <w:t>entrepreneuriat numérique et les écosystèmes de jeunes entreprises</w:t>
      </w:r>
      <w:r w:rsidR="00EC0DA4">
        <w:rPr>
          <w:color w:val="000000"/>
        </w:rPr>
        <w:t>",</w:t>
      </w:r>
      <w:r w:rsidR="00EC0DA4">
        <w:rPr>
          <w:color w:val="000000" w:themeColor="text1"/>
        </w:rPr>
        <w:t xml:space="preserve"> a permis à 15 parties prenantes</w:t>
      </w:r>
      <w:r w:rsidR="007E2F1F">
        <w:rPr>
          <w:color w:val="000000" w:themeColor="text1"/>
        </w:rPr>
        <w:t xml:space="preserve"> </w:t>
      </w:r>
      <w:r w:rsidR="00EC0DA4">
        <w:rPr>
          <w:color w:val="000000" w:themeColor="text1"/>
        </w:rPr>
        <w:t>de 6</w:t>
      </w:r>
      <w:r w:rsidR="007E2F1F">
        <w:rPr>
          <w:color w:val="000000" w:themeColor="text1"/>
        </w:rPr>
        <w:t xml:space="preserve"> </w:t>
      </w:r>
      <w:r w:rsidR="00EC0DA4">
        <w:rPr>
          <w:color w:val="000000" w:themeColor="text1"/>
        </w:rPr>
        <w:t>pays européens de suivre une formation, sanctionnée par un diplôme, sur le renforcement des écosystèmes de l'</w:t>
      </w:r>
      <w:r w:rsidR="00323321">
        <w:rPr>
          <w:color w:val="000000" w:themeColor="text1"/>
        </w:rPr>
        <w:t>innovation centrée sur les TIC.</w:t>
      </w:r>
    </w:p>
    <w:p w:rsidR="00206303" w:rsidRPr="00FF3D82" w:rsidRDefault="00231017" w:rsidP="007E2F1F">
      <w:pPr>
        <w:overflowPunct/>
        <w:autoSpaceDE/>
        <w:autoSpaceDN/>
        <w:adjustRightInd/>
        <w:spacing w:after="120"/>
        <w:textAlignment w:val="auto"/>
        <w:rPr>
          <w:color w:val="000000" w:themeColor="text1"/>
        </w:rPr>
      </w:pPr>
      <w:r w:rsidRPr="00231017">
        <w:rPr>
          <w:color w:val="000000" w:themeColor="text1"/>
        </w:rPr>
        <w:t xml:space="preserve">Les activités menées par UIT dans le domaine du renforcement des capacités </w:t>
      </w:r>
      <w:r w:rsidR="00323321">
        <w:rPr>
          <w:color w:val="000000" w:themeColor="text1"/>
        </w:rPr>
        <w:t xml:space="preserve">en matière </w:t>
      </w:r>
      <w:r w:rsidRPr="00231017">
        <w:rPr>
          <w:color w:val="000000" w:themeColor="text1"/>
        </w:rPr>
        <w:t>d'innovation permettent aux parti</w:t>
      </w:r>
      <w:r>
        <w:rPr>
          <w:color w:val="000000" w:themeColor="text1"/>
        </w:rPr>
        <w:t>es</w:t>
      </w:r>
      <w:r w:rsidRPr="00231017">
        <w:rPr>
          <w:color w:val="000000" w:themeColor="text1"/>
        </w:rPr>
        <w:t xml:space="preserve"> prenantes de se spécialiser</w:t>
      </w:r>
      <w:r w:rsidR="00EC0DA4">
        <w:rPr>
          <w:color w:val="000000" w:themeColor="text1"/>
        </w:rPr>
        <w:t xml:space="preserve"> dans la conception de politiques générales, de programmes et de projets liés à l'innovation</w:t>
      </w:r>
      <w:r w:rsidR="007E2F1F">
        <w:rPr>
          <w:color w:val="000000" w:themeColor="text1"/>
        </w:rPr>
        <w:t>.</w:t>
      </w:r>
      <w:r w:rsidR="00206303" w:rsidRPr="00231017">
        <w:rPr>
          <w:color w:val="000000" w:themeColor="text1"/>
        </w:rPr>
        <w:t xml:space="preserve"> </w:t>
      </w:r>
      <w:r w:rsidR="00EC0DA4" w:rsidRPr="00FF3D82">
        <w:rPr>
          <w:color w:val="000000" w:themeColor="text1"/>
        </w:rPr>
        <w:t xml:space="preserve">Grâce à des </w:t>
      </w:r>
      <w:r w:rsidR="00EC0DA4" w:rsidRPr="00E73691">
        <w:rPr>
          <w:b/>
          <w:bCs/>
          <w:color w:val="000000" w:themeColor="text1"/>
        </w:rPr>
        <w:t>outils et à des ateliers pratiques</w:t>
      </w:r>
      <w:r w:rsidR="00EC0DA4" w:rsidRPr="00FF3D82">
        <w:rPr>
          <w:color w:val="000000" w:themeColor="text1"/>
        </w:rPr>
        <w:t xml:space="preserve">, le renforcement des capacités </w:t>
      </w:r>
      <w:r w:rsidR="00323321">
        <w:rPr>
          <w:color w:val="000000" w:themeColor="text1"/>
        </w:rPr>
        <w:t xml:space="preserve">en matière </w:t>
      </w:r>
      <w:r w:rsidR="00FF3D82">
        <w:rPr>
          <w:color w:val="000000" w:themeColor="text1"/>
        </w:rPr>
        <w:t xml:space="preserve">d'innovation </w:t>
      </w:r>
      <w:r w:rsidR="00323321">
        <w:rPr>
          <w:color w:val="000000" w:themeColor="text1"/>
        </w:rPr>
        <w:t xml:space="preserve">offre </w:t>
      </w:r>
      <w:r w:rsidR="00FF3D82">
        <w:rPr>
          <w:color w:val="000000" w:themeColor="text1"/>
        </w:rPr>
        <w:t xml:space="preserve">aux participants </w:t>
      </w:r>
      <w:r w:rsidR="00323321">
        <w:rPr>
          <w:color w:val="000000" w:themeColor="text1"/>
        </w:rPr>
        <w:t xml:space="preserve">la possibilité </w:t>
      </w:r>
      <w:r w:rsidR="00FF3D82">
        <w:rPr>
          <w:color w:val="000000" w:themeColor="text1"/>
        </w:rPr>
        <w:t>de devenir des pionniers de l'innovation</w:t>
      </w:r>
      <w:r w:rsidR="00323321">
        <w:rPr>
          <w:color w:val="000000" w:themeColor="text1"/>
        </w:rPr>
        <w:t>,</w:t>
      </w:r>
      <w:r w:rsidR="00FF3D82">
        <w:rPr>
          <w:color w:val="000000" w:themeColor="text1"/>
        </w:rPr>
        <w:t xml:space="preserve"> afin </w:t>
      </w:r>
      <w:r w:rsidR="00FF3D82" w:rsidRPr="00E73691">
        <w:rPr>
          <w:b/>
          <w:bCs/>
          <w:color w:val="000000" w:themeColor="text1"/>
        </w:rPr>
        <w:t>d'accélérer la transformatio</w:t>
      </w:r>
      <w:r w:rsidR="00323321" w:rsidRPr="00E73691">
        <w:rPr>
          <w:b/>
          <w:bCs/>
          <w:color w:val="000000" w:themeColor="text1"/>
        </w:rPr>
        <w:t>n numérique de leur communauté</w:t>
      </w:r>
      <w:r w:rsidR="00323321">
        <w:rPr>
          <w:color w:val="000000" w:themeColor="text1"/>
        </w:rPr>
        <w:t>.</w:t>
      </w:r>
    </w:p>
    <w:p w:rsidR="00206303" w:rsidRPr="00FF3D82" w:rsidRDefault="00206303" w:rsidP="007E2F1F">
      <w:pPr>
        <w:pStyle w:val="Heading3"/>
      </w:pPr>
      <w:r w:rsidRPr="00FF3D82">
        <w:t>3.1.3</w:t>
      </w:r>
      <w:r w:rsidRPr="00FF3D82">
        <w:tab/>
      </w:r>
      <w:bookmarkStart w:id="13" w:name="lt_pId072"/>
      <w:r w:rsidRPr="00FF3D82">
        <w:t>Evaluations nationales des écosystèmes d'innovation</w:t>
      </w:r>
      <w:bookmarkEnd w:id="13"/>
    </w:p>
    <w:p w:rsidR="00206303" w:rsidRPr="00FF3D82" w:rsidRDefault="00FF3D82" w:rsidP="007E2F1F">
      <w:pPr>
        <w:spacing w:after="120"/>
        <w:rPr>
          <w:szCs w:val="24"/>
        </w:rPr>
      </w:pPr>
      <w:r w:rsidRPr="00FF3D82">
        <w:rPr>
          <w:szCs w:val="24"/>
        </w:rPr>
        <w:t xml:space="preserve">Pour accélérer la transformation numérique au sein des </w:t>
      </w:r>
      <w:r w:rsidR="001F144D" w:rsidRPr="00FF3D82">
        <w:rPr>
          <w:szCs w:val="24"/>
        </w:rPr>
        <w:t>M</w:t>
      </w:r>
      <w:r w:rsidR="001F144D">
        <w:rPr>
          <w:szCs w:val="24"/>
        </w:rPr>
        <w:t>embres de l'</w:t>
      </w:r>
      <w:r w:rsidRPr="00FF3D82">
        <w:rPr>
          <w:szCs w:val="24"/>
        </w:rPr>
        <w:t>UIT-D</w:t>
      </w:r>
      <w:r w:rsidR="007E2F1F">
        <w:rPr>
          <w:szCs w:val="24"/>
        </w:rPr>
        <w:t>,</w:t>
      </w:r>
      <w:r w:rsidRPr="00FF3D82">
        <w:rPr>
          <w:szCs w:val="24"/>
        </w:rPr>
        <w:t xml:space="preserve"> </w:t>
      </w:r>
      <w:r>
        <w:rPr>
          <w:szCs w:val="24"/>
        </w:rPr>
        <w:t xml:space="preserve">l'UIT a mis au point de </w:t>
      </w:r>
      <w:r w:rsidRPr="00AE7872">
        <w:rPr>
          <w:b/>
          <w:bCs/>
          <w:szCs w:val="24"/>
        </w:rPr>
        <w:t>nouveaux produits</w:t>
      </w:r>
      <w:r>
        <w:rPr>
          <w:szCs w:val="24"/>
        </w:rPr>
        <w:t>, tels que les</w:t>
      </w:r>
      <w:r w:rsidR="007E2F1F">
        <w:rPr>
          <w:szCs w:val="24"/>
        </w:rPr>
        <w:t xml:space="preserve"> </w:t>
      </w:r>
      <w:hyperlink r:id="rId17" w:history="1">
        <w:r w:rsidR="006A3433" w:rsidRPr="00A81325">
          <w:rPr>
            <w:rStyle w:val="Hyperlink"/>
            <w:b/>
            <w:bCs/>
            <w:szCs w:val="24"/>
          </w:rPr>
          <w:t>Profils d</w:t>
        </w:r>
        <w:r w:rsidR="00206303" w:rsidRPr="00A81325">
          <w:rPr>
            <w:rStyle w:val="Hyperlink"/>
            <w:b/>
            <w:bCs/>
            <w:szCs w:val="24"/>
          </w:rPr>
          <w:t>'innovation numérique</w:t>
        </w:r>
      </w:hyperlink>
      <w:r w:rsidR="007E2F1F">
        <w:rPr>
          <w:szCs w:val="24"/>
        </w:rPr>
        <w:t>,</w:t>
      </w:r>
      <w:r>
        <w:rPr>
          <w:szCs w:val="24"/>
        </w:rPr>
        <w:t xml:space="preserve"> afin de répondre à la demande croissante d'évalua</w:t>
      </w:r>
      <w:r w:rsidR="001F144D">
        <w:rPr>
          <w:szCs w:val="24"/>
        </w:rPr>
        <w:t>tions de l'innovation par l'UIT.</w:t>
      </w:r>
    </w:p>
    <w:p w:rsidR="00206303" w:rsidRDefault="006A3433" w:rsidP="007E2F1F">
      <w:pPr>
        <w:rPr>
          <w:lang w:val="fr-FR"/>
        </w:rPr>
      </w:pPr>
      <w:r w:rsidRPr="006A3433">
        <w:rPr>
          <w:lang w:val="fr-FR"/>
        </w:rPr>
        <w:t>Les profils d'innovation numérique (DIP) font partie de la nouvelle série de rapports de l'UIT qui dressent un état des lieux des écosystèmes de l'innovation axés sur les technologies de l'information et de la communication (TIC). Ces rapports offrent un bref aperçu des moyens qui existent actuellement pour accélérer la transformation numérique et donnent une vue d'ensemble des défis que doivent relever les pays et des possibilités qui s'offrent à eux en ce qui concerne les écosystèmes.</w:t>
      </w:r>
    </w:p>
    <w:p w:rsidR="006A3433" w:rsidRPr="00600A63" w:rsidRDefault="00600A63" w:rsidP="007E2F1F">
      <w:pPr>
        <w:spacing w:after="120"/>
        <w:rPr>
          <w:szCs w:val="24"/>
        </w:rPr>
      </w:pPr>
      <w:r w:rsidRPr="00600A63">
        <w:rPr>
          <w:szCs w:val="24"/>
        </w:rPr>
        <w:t>Il a été procédé aux évaluations suivantes</w:t>
      </w:r>
      <w:r w:rsidR="007E2F1F">
        <w:rPr>
          <w:szCs w:val="24"/>
        </w:rPr>
        <w:t>:</w:t>
      </w:r>
    </w:p>
    <w:p w:rsidR="006A3433" w:rsidRDefault="006672D2" w:rsidP="007E2F1F">
      <w:pPr>
        <w:pStyle w:val="enumlev1"/>
        <w:rPr>
          <w:color w:val="000000" w:themeColor="text1"/>
        </w:rPr>
      </w:pPr>
      <w:r w:rsidRPr="006672D2">
        <w:rPr>
          <w:lang w:val="fr-FR"/>
        </w:rPr>
        <w:t>–</w:t>
      </w:r>
      <w:r w:rsidRPr="006672D2">
        <w:rPr>
          <w:lang w:val="fr-FR"/>
        </w:rPr>
        <w:tab/>
      </w:r>
      <w:r>
        <w:rPr>
          <w:color w:val="000000" w:themeColor="text1"/>
          <w:lang w:val="fr-FR"/>
        </w:rPr>
        <w:t>L</w:t>
      </w:r>
      <w:r w:rsidRPr="006672D2">
        <w:rPr>
          <w:color w:val="000000" w:themeColor="text1"/>
        </w:rPr>
        <w:t xml:space="preserve">a </w:t>
      </w:r>
      <w:r w:rsidR="003C7192" w:rsidRPr="006672D2">
        <w:rPr>
          <w:color w:val="000000" w:themeColor="text1"/>
        </w:rPr>
        <w:t>Serbie</w:t>
      </w:r>
      <w:r w:rsidR="003C7192" w:rsidRPr="006672D2">
        <w:rPr>
          <w:color w:val="000000" w:themeColor="text1"/>
          <w:lang w:val="fr-FR"/>
        </w:rPr>
        <w:t xml:space="preserve"> </w:t>
      </w:r>
      <w:r w:rsidR="003C7192">
        <w:rPr>
          <w:color w:val="000000" w:themeColor="text1"/>
          <w:lang w:val="fr-FR"/>
        </w:rPr>
        <w:t xml:space="preserve">et la </w:t>
      </w:r>
      <w:r w:rsidRPr="006672D2">
        <w:rPr>
          <w:color w:val="000000" w:themeColor="text1"/>
        </w:rPr>
        <w:t xml:space="preserve">Bosnie-Herzégovine </w:t>
      </w:r>
      <w:r w:rsidR="00600A63">
        <w:rPr>
          <w:color w:val="000000" w:themeColor="text1"/>
          <w:lang w:val="fr-FR"/>
        </w:rPr>
        <w:t>ont évalué leurs capacités en matière de transformation numérique et ont présenté par la suite</w:t>
      </w:r>
      <w:r w:rsidR="007E2F1F">
        <w:rPr>
          <w:color w:val="000000" w:themeColor="text1"/>
          <w:lang w:val="fr-FR"/>
        </w:rPr>
        <w:t xml:space="preserve"> </w:t>
      </w:r>
      <w:r w:rsidR="00600A63">
        <w:rPr>
          <w:color w:val="000000" w:themeColor="text1"/>
        </w:rPr>
        <w:t>des</w:t>
      </w:r>
      <w:r>
        <w:rPr>
          <w:color w:val="000000" w:themeColor="text1"/>
        </w:rPr>
        <w:t xml:space="preserve"> </w:t>
      </w:r>
      <w:r w:rsidRPr="006672D2">
        <w:rPr>
          <w:b/>
          <w:bCs/>
          <w:color w:val="000000" w:themeColor="text1"/>
        </w:rPr>
        <w:t>Profils d'innovation numérique</w:t>
      </w:r>
      <w:r w:rsidRPr="006672D2">
        <w:rPr>
          <w:color w:val="000000" w:themeColor="text1"/>
        </w:rPr>
        <w:t xml:space="preserve"> pour la </w:t>
      </w:r>
      <w:hyperlink r:id="rId18" w:history="1">
        <w:r w:rsidRPr="006672D2">
          <w:rPr>
            <w:rStyle w:val="Hyperlink"/>
          </w:rPr>
          <w:t>Bosnie-Herzégovine</w:t>
        </w:r>
      </w:hyperlink>
      <w:r w:rsidRPr="006672D2">
        <w:rPr>
          <w:color w:val="000000" w:themeColor="text1"/>
        </w:rPr>
        <w:t xml:space="preserve"> et la </w:t>
      </w:r>
      <w:hyperlink r:id="rId19" w:history="1">
        <w:r w:rsidRPr="006672D2">
          <w:rPr>
            <w:rStyle w:val="Hyperlink"/>
          </w:rPr>
          <w:t>Serbie</w:t>
        </w:r>
      </w:hyperlink>
      <w:r w:rsidR="00600A63">
        <w:rPr>
          <w:color w:val="000000" w:themeColor="text1"/>
        </w:rPr>
        <w:t xml:space="preserve"> à l'occasion du SMSI-</w:t>
      </w:r>
      <w:r w:rsidR="003C7192">
        <w:rPr>
          <w:color w:val="000000" w:themeColor="text1"/>
        </w:rPr>
        <w:t>2018.</w:t>
      </w:r>
    </w:p>
    <w:p w:rsidR="006672D2" w:rsidRDefault="006672D2" w:rsidP="00157977">
      <w:pPr>
        <w:pStyle w:val="enumlev1"/>
        <w:rPr>
          <w:color w:val="000000" w:themeColor="text1"/>
        </w:rPr>
      </w:pPr>
      <w:r w:rsidRPr="006672D2">
        <w:rPr>
          <w:lang w:val="fr-FR"/>
        </w:rPr>
        <w:lastRenderedPageBreak/>
        <w:t>–</w:t>
      </w:r>
      <w:r w:rsidRPr="006672D2">
        <w:rPr>
          <w:lang w:val="fr-FR"/>
        </w:rPr>
        <w:tab/>
        <w:t xml:space="preserve">La </w:t>
      </w:r>
      <w:r w:rsidRPr="006672D2">
        <w:rPr>
          <w:color w:val="000000" w:themeColor="text1"/>
          <w:lang w:val="fr-FR"/>
        </w:rPr>
        <w:t xml:space="preserve">République de Moldova </w:t>
      </w:r>
      <w:r w:rsidR="00590E57">
        <w:rPr>
          <w:color w:val="000000" w:themeColor="text1"/>
          <w:lang w:val="fr-FR"/>
        </w:rPr>
        <w:t>a procédé à une analyse détaillée de ses capacités en matière de transformation numérique</w:t>
      </w:r>
      <w:r w:rsidR="007E2F1F">
        <w:rPr>
          <w:color w:val="000000" w:themeColor="text1"/>
          <w:lang w:val="fr-FR"/>
        </w:rPr>
        <w:t>.</w:t>
      </w:r>
      <w:r w:rsidRPr="006672D2">
        <w:rPr>
          <w:color w:val="000000" w:themeColor="text1"/>
          <w:lang w:val="fr-FR"/>
        </w:rPr>
        <w:t xml:space="preserve"> </w:t>
      </w:r>
      <w:r w:rsidR="00600A63" w:rsidRPr="00157977">
        <w:rPr>
          <w:b/>
          <w:bCs/>
          <w:color w:val="000000" w:themeColor="text1"/>
          <w:lang w:val="fr-FR"/>
        </w:rPr>
        <w:t>L'</w:t>
      </w:r>
      <w:r w:rsidR="00600A63" w:rsidRPr="00157977">
        <w:rPr>
          <w:b/>
          <w:bCs/>
          <w:color w:val="000000"/>
        </w:rPr>
        <w:t>analyse nationale sur l'écosystème d'innovation</w:t>
      </w:r>
      <w:r w:rsidR="00600A63">
        <w:rPr>
          <w:color w:val="000000"/>
        </w:rPr>
        <w:t xml:space="preserve"> centré sur les TIC</w:t>
      </w:r>
      <w:r w:rsidR="007E2F1F">
        <w:rPr>
          <w:color w:val="000000" w:themeColor="text1"/>
          <w:lang w:val="fr-FR"/>
        </w:rPr>
        <w:t xml:space="preserve"> </w:t>
      </w:r>
      <w:r w:rsidRPr="006672D2">
        <w:rPr>
          <w:color w:val="000000" w:themeColor="text1"/>
          <w:lang w:val="fr-FR"/>
        </w:rPr>
        <w:t xml:space="preserve">en </w:t>
      </w:r>
      <w:hyperlink r:id="rId20" w:history="1">
        <w:r w:rsidRPr="006672D2">
          <w:rPr>
            <w:rStyle w:val="Hyperlink"/>
            <w:lang w:val="fr-FR"/>
          </w:rPr>
          <w:t>République de Mo</w:t>
        </w:r>
        <w:r w:rsidRPr="006672D2">
          <w:rPr>
            <w:rStyle w:val="Hyperlink"/>
            <w:lang w:val="fr-FR"/>
          </w:rPr>
          <w:t>l</w:t>
        </w:r>
        <w:r w:rsidRPr="006672D2">
          <w:rPr>
            <w:rStyle w:val="Hyperlink"/>
            <w:lang w:val="fr-FR"/>
          </w:rPr>
          <w:t>dova</w:t>
        </w:r>
      </w:hyperlink>
      <w:r w:rsidR="007E2F1F">
        <w:rPr>
          <w:color w:val="000000" w:themeColor="text1"/>
          <w:lang w:val="fr-FR"/>
        </w:rPr>
        <w:t xml:space="preserve"> </w:t>
      </w:r>
      <w:r w:rsidR="00600A63">
        <w:rPr>
          <w:color w:val="000000" w:themeColor="text1"/>
        </w:rPr>
        <w:t>est une étude exhaustive accompagnée de recommandations sur la façon dont</w:t>
      </w:r>
      <w:r w:rsidR="007E2F1F">
        <w:rPr>
          <w:color w:val="000000" w:themeColor="text1"/>
        </w:rPr>
        <w:t xml:space="preserve"> </w:t>
      </w:r>
      <w:r w:rsidR="00157977">
        <w:rPr>
          <w:color w:val="000000" w:themeColor="text1"/>
        </w:rPr>
        <w:t>ce pays</w:t>
      </w:r>
      <w:r w:rsidR="00600A63">
        <w:rPr>
          <w:color w:val="000000" w:themeColor="text1"/>
        </w:rPr>
        <w:t xml:space="preserve"> peut intégrer</w:t>
      </w:r>
      <w:r w:rsidR="007E2F1F">
        <w:rPr>
          <w:color w:val="000000" w:themeColor="text1"/>
        </w:rPr>
        <w:t xml:space="preserve"> </w:t>
      </w:r>
      <w:r w:rsidR="00600A63">
        <w:rPr>
          <w:color w:val="000000" w:themeColor="text1"/>
          <w:lang w:val="fr-FR"/>
        </w:rPr>
        <w:t>des politiques et des programmes d'innovation</w:t>
      </w:r>
      <w:r w:rsidR="00600A63" w:rsidRPr="00600A63">
        <w:rPr>
          <w:color w:val="000000"/>
        </w:rPr>
        <w:t xml:space="preserve"> </w:t>
      </w:r>
      <w:r w:rsidR="00600A63">
        <w:rPr>
          <w:color w:val="000000"/>
        </w:rPr>
        <w:t>et d</w:t>
      </w:r>
      <w:r w:rsidR="00BA3639">
        <w:rPr>
          <w:color w:val="000000"/>
        </w:rPr>
        <w:t>'</w:t>
      </w:r>
      <w:r w:rsidR="00600A63">
        <w:rPr>
          <w:color w:val="000000"/>
        </w:rPr>
        <w:t>entrepren</w:t>
      </w:r>
      <w:r w:rsidR="00157977">
        <w:rPr>
          <w:color w:val="000000"/>
        </w:rPr>
        <w:t>eu</w:t>
      </w:r>
      <w:r w:rsidR="00600A63">
        <w:rPr>
          <w:color w:val="000000"/>
        </w:rPr>
        <w:t>riat numérique dans</w:t>
      </w:r>
      <w:r w:rsidR="007E2F1F">
        <w:rPr>
          <w:color w:val="000000"/>
        </w:rPr>
        <w:t xml:space="preserve"> </w:t>
      </w:r>
      <w:r w:rsidR="00600A63">
        <w:rPr>
          <w:color w:val="000000" w:themeColor="text1"/>
        </w:rPr>
        <w:t xml:space="preserve">ses politiques </w:t>
      </w:r>
      <w:r w:rsidR="003C7192">
        <w:rPr>
          <w:color w:val="000000" w:themeColor="text1"/>
        </w:rPr>
        <w:t>relatives aux</w:t>
      </w:r>
      <w:r w:rsidR="00994CD1">
        <w:rPr>
          <w:color w:val="000000" w:themeColor="text1"/>
        </w:rPr>
        <w:t> </w:t>
      </w:r>
      <w:r w:rsidR="00600A63">
        <w:rPr>
          <w:color w:val="000000"/>
        </w:rPr>
        <w:t>TIC</w:t>
      </w:r>
      <w:r w:rsidR="003C7192">
        <w:rPr>
          <w:color w:val="000000" w:themeColor="text1"/>
        </w:rPr>
        <w:t>.</w:t>
      </w:r>
    </w:p>
    <w:p w:rsidR="007351A7" w:rsidRPr="00590E57" w:rsidRDefault="007351A7" w:rsidP="007E2F1F">
      <w:pPr>
        <w:pStyle w:val="enumlev1"/>
        <w:rPr>
          <w:color w:val="000000" w:themeColor="text1"/>
        </w:rPr>
      </w:pPr>
      <w:r w:rsidRPr="00590E57">
        <w:t>–</w:t>
      </w:r>
      <w:r w:rsidRPr="00590E57">
        <w:tab/>
      </w:r>
      <w:r w:rsidR="00590E57" w:rsidRPr="00590E57">
        <w:t xml:space="preserve">La </w:t>
      </w:r>
      <w:r w:rsidR="003C7192">
        <w:t>R</w:t>
      </w:r>
      <w:r w:rsidR="00590E57" w:rsidRPr="00590E57">
        <w:t xml:space="preserve">épublique sudafricaine </w:t>
      </w:r>
      <w:r w:rsidR="00590E57">
        <w:t>a</w:t>
      </w:r>
      <w:r w:rsidR="00590E57" w:rsidRPr="00590E57">
        <w:t xml:space="preserve"> évalu</w:t>
      </w:r>
      <w:r w:rsidR="00590E57">
        <w:t>é</w:t>
      </w:r>
      <w:r w:rsidR="00590E57" w:rsidRPr="00590E57">
        <w:t xml:space="preserve"> ses capacités en matière de transformation numérique</w:t>
      </w:r>
      <w:r w:rsidR="003C7192">
        <w:t xml:space="preserve">. </w:t>
      </w:r>
      <w:r w:rsidR="00590E57">
        <w:rPr>
          <w:color w:val="000000" w:themeColor="text1"/>
        </w:rPr>
        <w:t>Les</w:t>
      </w:r>
      <w:r w:rsidRPr="00590E57">
        <w:rPr>
          <w:color w:val="000000" w:themeColor="text1"/>
        </w:rPr>
        <w:t xml:space="preserve"> </w:t>
      </w:r>
      <w:r w:rsidRPr="00590E57">
        <w:rPr>
          <w:b/>
          <w:bCs/>
          <w:color w:val="000000" w:themeColor="text1"/>
        </w:rPr>
        <w:t>Profils d'innovation numérique</w:t>
      </w:r>
      <w:r w:rsidR="007E2F1F">
        <w:rPr>
          <w:color w:val="000000" w:themeColor="text1"/>
        </w:rPr>
        <w:t xml:space="preserve"> </w:t>
      </w:r>
      <w:r w:rsidR="00590E57">
        <w:rPr>
          <w:color w:val="000000" w:themeColor="text1"/>
        </w:rPr>
        <w:t>de la</w:t>
      </w:r>
      <w:r w:rsidR="007E2F1F">
        <w:rPr>
          <w:color w:val="000000" w:themeColor="text1"/>
        </w:rPr>
        <w:t xml:space="preserve"> </w:t>
      </w:r>
      <w:hyperlink r:id="rId21" w:history="1">
        <w:r w:rsidRPr="00590E57">
          <w:rPr>
            <w:rStyle w:val="Hyperlink"/>
          </w:rPr>
          <w:t>République sudafricaine</w:t>
        </w:r>
      </w:hyperlink>
      <w:r w:rsidR="007E2F1F">
        <w:rPr>
          <w:color w:val="000000" w:themeColor="text1"/>
        </w:rPr>
        <w:t xml:space="preserve"> </w:t>
      </w:r>
      <w:r w:rsidR="00590E57">
        <w:rPr>
          <w:color w:val="000000" w:themeColor="text1"/>
        </w:rPr>
        <w:t xml:space="preserve">ont été </w:t>
      </w:r>
      <w:r w:rsidR="00994CD1">
        <w:rPr>
          <w:color w:val="000000" w:themeColor="text1"/>
        </w:rPr>
        <w:t>publiés</w:t>
      </w:r>
      <w:r w:rsidR="00590E57">
        <w:rPr>
          <w:color w:val="000000" w:themeColor="text1"/>
        </w:rPr>
        <w:t xml:space="preserve"> à l'occasion</w:t>
      </w:r>
      <w:r w:rsidR="007E2F1F">
        <w:rPr>
          <w:color w:val="000000" w:themeColor="text1"/>
        </w:rPr>
        <w:t xml:space="preserve"> </w:t>
      </w:r>
      <w:r w:rsidR="00590E57">
        <w:rPr>
          <w:color w:val="000000" w:themeColor="text1"/>
        </w:rPr>
        <w:t>d'</w:t>
      </w:r>
      <w:r w:rsidR="003C7192">
        <w:rPr>
          <w:color w:val="000000" w:themeColor="text1"/>
        </w:rPr>
        <w:t>ITU Telecom 2018.</w:t>
      </w:r>
    </w:p>
    <w:p w:rsidR="007351A7" w:rsidRPr="00590E57" w:rsidRDefault="007351A7" w:rsidP="007E2F1F">
      <w:pPr>
        <w:pStyle w:val="enumlev1"/>
        <w:rPr>
          <w:color w:val="000000" w:themeColor="text1"/>
        </w:rPr>
      </w:pPr>
      <w:r w:rsidRPr="00590E57">
        <w:t>–</w:t>
      </w:r>
      <w:r w:rsidRPr="00590E57">
        <w:tab/>
      </w:r>
      <w:r w:rsidR="00590E57">
        <w:rPr>
          <w:color w:val="000000"/>
        </w:rPr>
        <w:t>Monténégro</w:t>
      </w:r>
      <w:r w:rsidRPr="00590E57">
        <w:rPr>
          <w:color w:val="000000" w:themeColor="text1"/>
        </w:rPr>
        <w:t>:</w:t>
      </w:r>
      <w:r w:rsidR="00590E57">
        <w:rPr>
          <w:color w:val="000000" w:themeColor="text1"/>
        </w:rPr>
        <w:t xml:space="preserve"> évaluation en cours des </w:t>
      </w:r>
      <w:r w:rsidR="00590E57" w:rsidRPr="00590E57">
        <w:t>capacités en matière de transformation numérique</w:t>
      </w:r>
      <w:r w:rsidR="003C7192">
        <w:rPr>
          <w:color w:val="000000" w:themeColor="text1"/>
        </w:rPr>
        <w:t>.</w:t>
      </w:r>
    </w:p>
    <w:p w:rsidR="007351A7" w:rsidRPr="00590E57" w:rsidRDefault="007351A7" w:rsidP="007E2F1F">
      <w:pPr>
        <w:pStyle w:val="enumlev1"/>
        <w:rPr>
          <w:color w:val="000000" w:themeColor="text1"/>
        </w:rPr>
      </w:pPr>
      <w:r w:rsidRPr="00590E57">
        <w:t>–</w:t>
      </w:r>
      <w:r w:rsidRPr="00590E57">
        <w:tab/>
      </w:r>
      <w:r w:rsidRPr="00590E57">
        <w:rPr>
          <w:color w:val="000000" w:themeColor="text1"/>
        </w:rPr>
        <w:t xml:space="preserve">Zimbabwe: </w:t>
      </w:r>
      <w:r w:rsidR="00590E57">
        <w:rPr>
          <w:color w:val="000000" w:themeColor="text1"/>
        </w:rPr>
        <w:t xml:space="preserve">évaluation en cours des </w:t>
      </w:r>
      <w:r w:rsidR="00590E57" w:rsidRPr="00590E57">
        <w:t>capacités en matière de transformation numérique</w:t>
      </w:r>
      <w:r w:rsidR="003C7192">
        <w:t>.</w:t>
      </w:r>
    </w:p>
    <w:p w:rsidR="007351A7" w:rsidRPr="00590E57" w:rsidRDefault="007351A7" w:rsidP="007E2F1F">
      <w:pPr>
        <w:pStyle w:val="enumlev1"/>
        <w:rPr>
          <w:color w:val="000000" w:themeColor="text1"/>
        </w:rPr>
      </w:pPr>
      <w:r w:rsidRPr="00590E57">
        <w:t>–</w:t>
      </w:r>
      <w:r w:rsidRPr="00590E57">
        <w:tab/>
      </w:r>
      <w:r w:rsidR="00590E57">
        <w:rPr>
          <w:color w:val="000000"/>
        </w:rPr>
        <w:t>l'ex-République yougoslave de Macédoine</w:t>
      </w:r>
      <w:r w:rsidRPr="00590E57">
        <w:rPr>
          <w:color w:val="000000" w:themeColor="text1"/>
        </w:rPr>
        <w:t xml:space="preserve">: </w:t>
      </w:r>
      <w:r w:rsidR="00590E57">
        <w:rPr>
          <w:color w:val="000000" w:themeColor="text1"/>
        </w:rPr>
        <w:t xml:space="preserve">évaluation en cours des </w:t>
      </w:r>
      <w:r w:rsidR="00590E57" w:rsidRPr="00590E57">
        <w:t>capacités en matière de transformation numérique</w:t>
      </w:r>
      <w:r w:rsidRPr="00590E57">
        <w:rPr>
          <w:color w:val="000000" w:themeColor="text1"/>
        </w:rPr>
        <w:t>.</w:t>
      </w:r>
    </w:p>
    <w:p w:rsidR="007351A7" w:rsidRPr="00590E57" w:rsidRDefault="00590E57" w:rsidP="007E2F1F">
      <w:pPr>
        <w:rPr>
          <w:szCs w:val="24"/>
        </w:rPr>
      </w:pPr>
      <w:r w:rsidRPr="00590E57">
        <w:rPr>
          <w:szCs w:val="24"/>
        </w:rPr>
        <w:t>Les profils d'innovation numérique, conjugué</w:t>
      </w:r>
      <w:r w:rsidR="000C07AF">
        <w:rPr>
          <w:szCs w:val="24"/>
        </w:rPr>
        <w:t>s</w:t>
      </w:r>
      <w:r w:rsidRPr="00590E57">
        <w:rPr>
          <w:szCs w:val="24"/>
        </w:rPr>
        <w:t xml:space="preserve"> à la stratégie de renforcement des capacités décrite</w:t>
      </w:r>
      <w:r w:rsidR="007E2F1F">
        <w:rPr>
          <w:szCs w:val="24"/>
        </w:rPr>
        <w:t xml:space="preserve"> </w:t>
      </w:r>
      <w:r w:rsidRPr="00590E57">
        <w:rPr>
          <w:szCs w:val="24"/>
        </w:rPr>
        <w:t>ci-dessus</w:t>
      </w:r>
      <w:r w:rsidR="000C07AF">
        <w:rPr>
          <w:szCs w:val="24"/>
        </w:rPr>
        <w:t>,</w:t>
      </w:r>
      <w:r w:rsidRPr="00590E57">
        <w:rPr>
          <w:szCs w:val="24"/>
        </w:rPr>
        <w:t xml:space="preserve"> perme</w:t>
      </w:r>
      <w:r w:rsidR="000C07AF">
        <w:rPr>
          <w:szCs w:val="24"/>
        </w:rPr>
        <w:t>t</w:t>
      </w:r>
      <w:r w:rsidRPr="00590E57">
        <w:rPr>
          <w:szCs w:val="24"/>
        </w:rPr>
        <w:t>t</w:t>
      </w:r>
      <w:r w:rsidR="000C07AF">
        <w:rPr>
          <w:szCs w:val="24"/>
        </w:rPr>
        <w:t>ent</w:t>
      </w:r>
      <w:r w:rsidRPr="00590E57">
        <w:rPr>
          <w:szCs w:val="24"/>
        </w:rPr>
        <w:t xml:space="preserve"> au</w:t>
      </w:r>
      <w:r w:rsidR="007E2F1F">
        <w:rPr>
          <w:szCs w:val="24"/>
        </w:rPr>
        <w:t xml:space="preserve"> </w:t>
      </w:r>
      <w:r w:rsidRPr="00590E57">
        <w:rPr>
          <w:szCs w:val="24"/>
        </w:rPr>
        <w:t>BDT d'élargir ses activités et de</w:t>
      </w:r>
      <w:r w:rsidR="007E2F1F">
        <w:rPr>
          <w:szCs w:val="24"/>
        </w:rPr>
        <w:t xml:space="preserve"> </w:t>
      </w:r>
      <w:r>
        <w:rPr>
          <w:color w:val="000000"/>
        </w:rPr>
        <w:t xml:space="preserve">fournir un </w:t>
      </w:r>
      <w:r w:rsidRPr="00AE7872">
        <w:rPr>
          <w:b/>
          <w:bCs/>
          <w:color w:val="000000"/>
        </w:rPr>
        <w:t>modèle de participation</w:t>
      </w:r>
      <w:r>
        <w:rPr>
          <w:color w:val="000000"/>
        </w:rPr>
        <w:t xml:space="preserve"> évolutif et </w:t>
      </w:r>
      <w:r w:rsidRPr="00AE7872">
        <w:rPr>
          <w:b/>
          <w:bCs/>
          <w:color w:val="000000"/>
        </w:rPr>
        <w:t>plus durable</w:t>
      </w:r>
      <w:r>
        <w:rPr>
          <w:color w:val="000000"/>
        </w:rPr>
        <w:t xml:space="preserve"> à l'intention des Membres </w:t>
      </w:r>
      <w:r>
        <w:rPr>
          <w:szCs w:val="24"/>
        </w:rPr>
        <w:t>de l'</w:t>
      </w:r>
      <w:r w:rsidR="000C07AF">
        <w:rPr>
          <w:szCs w:val="24"/>
        </w:rPr>
        <w:t>UIT-D.</w:t>
      </w:r>
    </w:p>
    <w:p w:rsidR="00FC4B71" w:rsidRPr="005F2190" w:rsidRDefault="00FC4B71" w:rsidP="007E2F1F">
      <w:pPr>
        <w:pStyle w:val="Heading3"/>
      </w:pPr>
      <w:r w:rsidRPr="005F2190">
        <w:t>3.1.4</w:t>
      </w:r>
      <w:r w:rsidRPr="005F2190">
        <w:tab/>
      </w:r>
      <w:bookmarkStart w:id="14" w:name="lt_pId081"/>
      <w:r>
        <w:t>E</w:t>
      </w:r>
      <w:r w:rsidRPr="005F2190">
        <w:t>laboration</w:t>
      </w:r>
      <w:r>
        <w:t xml:space="preserve"> </w:t>
      </w:r>
      <w:r w:rsidRPr="005F2190">
        <w:t>de projets et d</w:t>
      </w:r>
      <w:r>
        <w:t>'</w:t>
      </w:r>
      <w:r w:rsidRPr="005F2190">
        <w:t>initiatives en matière d</w:t>
      </w:r>
      <w:r>
        <w:t>'</w:t>
      </w:r>
      <w:r w:rsidRPr="005F2190">
        <w:t>innovation</w:t>
      </w:r>
      <w:bookmarkEnd w:id="14"/>
      <w:r>
        <w:t xml:space="preserve"> </w:t>
      </w:r>
    </w:p>
    <w:p w:rsidR="00FC4B71" w:rsidRPr="0074590A" w:rsidRDefault="00590E57" w:rsidP="007E2F1F">
      <w:pPr>
        <w:tabs>
          <w:tab w:val="left" w:pos="3544"/>
        </w:tabs>
        <w:spacing w:after="120"/>
        <w:rPr>
          <w:szCs w:val="24"/>
        </w:rPr>
      </w:pPr>
      <w:r w:rsidRPr="00590E57">
        <w:rPr>
          <w:color w:val="000000"/>
        </w:rPr>
        <w:t>Le BDT continue de lever</w:t>
      </w:r>
      <w:r w:rsidR="007E2F1F">
        <w:rPr>
          <w:color w:val="000000"/>
        </w:rPr>
        <w:t xml:space="preserve"> </w:t>
      </w:r>
      <w:r w:rsidRPr="00590E57">
        <w:rPr>
          <w:color w:val="000000"/>
        </w:rPr>
        <w:t xml:space="preserve">d'autres fonds au profit du programme en </w:t>
      </w:r>
      <w:r>
        <w:rPr>
          <w:color w:val="000000"/>
        </w:rPr>
        <w:t>faveur de l'</w:t>
      </w:r>
      <w:r w:rsidRPr="00590E57">
        <w:rPr>
          <w:color w:val="000000"/>
        </w:rPr>
        <w:t>innovation</w:t>
      </w:r>
      <w:r w:rsidR="007E2F1F">
        <w:rPr>
          <w:color w:val="000000"/>
        </w:rPr>
        <w:t>,</w:t>
      </w:r>
      <w:r>
        <w:rPr>
          <w:color w:val="000000"/>
        </w:rPr>
        <w:t xml:space="preserve"> en mettant en œuvre des projets</w:t>
      </w:r>
      <w:r w:rsidRPr="00590E57">
        <w:rPr>
          <w:color w:val="000000"/>
        </w:rPr>
        <w:t xml:space="preserve"> </w:t>
      </w:r>
      <w:r>
        <w:rPr>
          <w:color w:val="000000"/>
        </w:rPr>
        <w:t xml:space="preserve">pour remédier aux lacunes </w:t>
      </w:r>
      <w:r w:rsidR="0074590A">
        <w:rPr>
          <w:color w:val="000000"/>
        </w:rPr>
        <w:t>dans le domaine de l'innovation numérique</w:t>
      </w:r>
      <w:r w:rsidR="00461F5B">
        <w:rPr>
          <w:color w:val="000000"/>
        </w:rPr>
        <w:t>,</w:t>
      </w:r>
      <w:r w:rsidR="0074590A">
        <w:rPr>
          <w:color w:val="000000"/>
        </w:rPr>
        <w:t xml:space="preserve"> et </w:t>
      </w:r>
      <w:r w:rsidR="00461F5B">
        <w:rPr>
          <w:color w:val="000000"/>
        </w:rPr>
        <w:t xml:space="preserve">de </w:t>
      </w:r>
      <w:r w:rsidR="0074590A">
        <w:rPr>
          <w:color w:val="000000"/>
        </w:rPr>
        <w:t>concevoir des projets concrets à l'intention des pays</w:t>
      </w:r>
      <w:r w:rsidR="0074590A">
        <w:rPr>
          <w:szCs w:val="24"/>
        </w:rPr>
        <w:t xml:space="preserve">. </w:t>
      </w:r>
      <w:r w:rsidR="0074590A" w:rsidRPr="00FC2E67">
        <w:rPr>
          <w:szCs w:val="24"/>
          <w:lang w:val="fr-FR"/>
        </w:rPr>
        <w:t>En 2018,</w:t>
      </w:r>
      <w:r w:rsidR="00461F5B">
        <w:rPr>
          <w:szCs w:val="24"/>
          <w:lang w:val="fr-FR"/>
        </w:rPr>
        <w:t xml:space="preserve"> d</w:t>
      </w:r>
      <w:r w:rsidR="0074590A" w:rsidRPr="0074590A">
        <w:rPr>
          <w:szCs w:val="24"/>
        </w:rPr>
        <w:t>es financements additionnels</w:t>
      </w:r>
      <w:r w:rsidR="0074590A">
        <w:rPr>
          <w:rStyle w:val="FootnoteReference"/>
          <w:szCs w:val="24"/>
        </w:rPr>
        <w:footnoteReference w:id="13"/>
      </w:r>
      <w:r w:rsidR="007E2F1F">
        <w:rPr>
          <w:szCs w:val="24"/>
        </w:rPr>
        <w:t xml:space="preserve"> </w:t>
      </w:r>
      <w:r w:rsidR="0074590A" w:rsidRPr="0074590A">
        <w:rPr>
          <w:szCs w:val="24"/>
        </w:rPr>
        <w:t>ont été obtenus afin d'assurer la formation des parties prenantes nationales dans six pays</w:t>
      </w:r>
      <w:r w:rsidR="00586A35">
        <w:rPr>
          <w:szCs w:val="24"/>
        </w:rPr>
        <w:t>.</w:t>
      </w:r>
    </w:p>
    <w:p w:rsidR="00FC4B71" w:rsidRPr="00172316" w:rsidRDefault="00172316" w:rsidP="007E2F1F">
      <w:pPr>
        <w:spacing w:after="120"/>
        <w:rPr>
          <w:color w:val="000000" w:themeColor="text1"/>
        </w:rPr>
      </w:pPr>
      <w:r>
        <w:rPr>
          <w:szCs w:val="24"/>
        </w:rPr>
        <w:t>E</w:t>
      </w:r>
      <w:r w:rsidR="0074590A" w:rsidRPr="0074590A">
        <w:rPr>
          <w:szCs w:val="24"/>
        </w:rPr>
        <w:t xml:space="preserve">n outre, pour renforcer la coopération régionale, le BDT a remanié le produit intitulé </w:t>
      </w:r>
      <w:r w:rsidR="00F85E7A">
        <w:rPr>
          <w:szCs w:val="24"/>
        </w:rPr>
        <w:t>"</w:t>
      </w:r>
      <w:r w:rsidR="0074590A" w:rsidRPr="00F85E7A">
        <w:rPr>
          <w:b/>
          <w:bCs/>
          <w:color w:val="000000"/>
        </w:rPr>
        <w:t>Forum régional de l'innovation</w:t>
      </w:r>
      <w:r w:rsidR="0074590A" w:rsidRPr="0074590A">
        <w:rPr>
          <w:color w:val="000000"/>
        </w:rPr>
        <w:t>"</w:t>
      </w:r>
      <w:r w:rsidR="00461F5B">
        <w:rPr>
          <w:color w:val="000000"/>
        </w:rPr>
        <w:t>,</w:t>
      </w:r>
      <w:r>
        <w:rPr>
          <w:color w:val="000000"/>
        </w:rPr>
        <w:t xml:space="preserve"> </w:t>
      </w:r>
      <w:r w:rsidR="0074590A" w:rsidRPr="0074590A">
        <w:rPr>
          <w:color w:val="000000"/>
        </w:rPr>
        <w:t>pour permettre la création de projet</w:t>
      </w:r>
      <w:r w:rsidR="0074590A">
        <w:rPr>
          <w:color w:val="000000"/>
        </w:rPr>
        <w:t>s</w:t>
      </w:r>
      <w:r w:rsidR="0074590A" w:rsidRPr="0074590A">
        <w:rPr>
          <w:color w:val="000000"/>
        </w:rPr>
        <w:t xml:space="preserve"> en tant que résultat</w:t>
      </w:r>
      <w:r>
        <w:rPr>
          <w:color w:val="000000"/>
        </w:rPr>
        <w:t>, en plus des composantes que sont le ren</w:t>
      </w:r>
      <w:r w:rsidR="00461F5B">
        <w:rPr>
          <w:color w:val="000000"/>
        </w:rPr>
        <w:t>forcement des capacités et</w:t>
      </w:r>
      <w:r w:rsidR="007E2F1F">
        <w:rPr>
          <w:color w:val="000000"/>
        </w:rPr>
        <w:t xml:space="preserve"> </w:t>
      </w:r>
      <w:r w:rsidR="00461F5B">
        <w:rPr>
          <w:color w:val="000000"/>
        </w:rPr>
        <w:t>le F</w:t>
      </w:r>
      <w:r>
        <w:rPr>
          <w:color w:val="000000"/>
        </w:rPr>
        <w:t xml:space="preserve">orum. Un projet de ce type est en cours d'élaboration avec </w:t>
      </w:r>
      <w:r w:rsidR="00A10AB1">
        <w:rPr>
          <w:color w:val="000000"/>
        </w:rPr>
        <w:t>l'Université métropolitaine d</w:t>
      </w:r>
      <w:r w:rsidRPr="00172316">
        <w:rPr>
          <w:color w:val="000000" w:themeColor="text1"/>
        </w:rPr>
        <w:t>'</w:t>
      </w:r>
      <w:r w:rsidR="005425EF" w:rsidRPr="00172316">
        <w:rPr>
          <w:color w:val="000000" w:themeColor="text1"/>
        </w:rPr>
        <w:t>Oslo.</w:t>
      </w:r>
    </w:p>
    <w:p w:rsidR="00FC4B71" w:rsidRPr="0034759E" w:rsidRDefault="00172316" w:rsidP="007E2F1F">
      <w:pPr>
        <w:spacing w:after="120"/>
        <w:rPr>
          <w:szCs w:val="24"/>
        </w:rPr>
      </w:pPr>
      <w:r w:rsidRPr="00172316">
        <w:rPr>
          <w:szCs w:val="24"/>
        </w:rPr>
        <w:t xml:space="preserve">Il est indispensable de concevoir des approches et des stratégies nouvelles pour aider les pays </w:t>
      </w:r>
      <w:r>
        <w:rPr>
          <w:szCs w:val="24"/>
        </w:rPr>
        <w:t xml:space="preserve">à faire face aux </w:t>
      </w:r>
      <w:r w:rsidRPr="00292E2B">
        <w:rPr>
          <w:b/>
          <w:bCs/>
          <w:szCs w:val="24"/>
        </w:rPr>
        <w:t xml:space="preserve">problèmes majeurs </w:t>
      </w:r>
      <w:r w:rsidR="0034759E" w:rsidRPr="00292E2B">
        <w:rPr>
          <w:b/>
          <w:bCs/>
          <w:szCs w:val="24"/>
        </w:rPr>
        <w:t>que posent les innovations dans le secteur des TIC</w:t>
      </w:r>
      <w:r w:rsidR="0034759E">
        <w:rPr>
          <w:szCs w:val="24"/>
        </w:rPr>
        <w:t xml:space="preserve"> et pour tirer parti des possibilités qu'elles offrent</w:t>
      </w:r>
      <w:r w:rsidR="007E2F1F">
        <w:rPr>
          <w:szCs w:val="24"/>
        </w:rPr>
        <w:t>.</w:t>
      </w:r>
      <w:r w:rsidR="00FC4B71" w:rsidRPr="00172316">
        <w:rPr>
          <w:szCs w:val="24"/>
        </w:rPr>
        <w:t xml:space="preserve"> </w:t>
      </w:r>
      <w:r w:rsidR="0034759E" w:rsidRPr="0034759E">
        <w:rPr>
          <w:szCs w:val="24"/>
        </w:rPr>
        <w:t xml:space="preserve">Le </w:t>
      </w:r>
      <w:r w:rsidR="00FC4B71" w:rsidRPr="0034759E">
        <w:rPr>
          <w:szCs w:val="24"/>
        </w:rPr>
        <w:t>BDT</w:t>
      </w:r>
      <w:r w:rsidR="0034759E" w:rsidRPr="0034759E">
        <w:rPr>
          <w:szCs w:val="24"/>
        </w:rPr>
        <w:t xml:space="preserve"> a formulé une </w:t>
      </w:r>
      <w:r w:rsidR="0034759E" w:rsidRPr="00292E2B">
        <w:rPr>
          <w:b/>
          <w:bCs/>
          <w:szCs w:val="24"/>
        </w:rPr>
        <w:t>stratégie destinée à encourager les initiatives</w:t>
      </w:r>
      <w:r w:rsidR="0034759E" w:rsidRPr="00292E2B">
        <w:rPr>
          <w:b/>
          <w:bCs/>
          <w:color w:val="000000"/>
        </w:rPr>
        <w:t xml:space="preserve"> en matière d'innovation</w:t>
      </w:r>
      <w:r w:rsidR="0034759E">
        <w:rPr>
          <w:color w:val="000000"/>
        </w:rPr>
        <w:t>; il</w:t>
      </w:r>
      <w:r w:rsidR="007E2F1F">
        <w:rPr>
          <w:color w:val="000000"/>
        </w:rPr>
        <w:t xml:space="preserve"> </w:t>
      </w:r>
      <w:r w:rsidR="0034759E" w:rsidRPr="0034759E">
        <w:rPr>
          <w:color w:val="000000"/>
        </w:rPr>
        <w:t>a mis au point à cet effet un cadre</w:t>
      </w:r>
      <w:r w:rsidR="0034759E">
        <w:rPr>
          <w:color w:val="000000"/>
        </w:rPr>
        <w:t xml:space="preserve"> qui facilite </w:t>
      </w:r>
      <w:r w:rsidR="00590E57" w:rsidRPr="0034759E">
        <w:rPr>
          <w:color w:val="000000"/>
        </w:rPr>
        <w:t>l'élaboration de projets susceptibles de trouver un financement</w:t>
      </w:r>
      <w:r w:rsidR="00590E57" w:rsidRPr="0034759E">
        <w:rPr>
          <w:szCs w:val="24"/>
        </w:rPr>
        <w:t xml:space="preserve"> </w:t>
      </w:r>
      <w:r w:rsidR="0074590A" w:rsidRPr="0034759E">
        <w:rPr>
          <w:szCs w:val="24"/>
        </w:rPr>
        <w:t>au niveau national</w:t>
      </w:r>
      <w:r w:rsidR="0034759E">
        <w:rPr>
          <w:szCs w:val="24"/>
        </w:rPr>
        <w:t>, tout en veillant à ce que les nouveaux modèles de partenariat avec</w:t>
      </w:r>
      <w:r w:rsidR="0034759E" w:rsidRPr="0034759E">
        <w:rPr>
          <w:color w:val="000000"/>
        </w:rPr>
        <w:t xml:space="preserve"> </w:t>
      </w:r>
      <w:r w:rsidR="0034759E">
        <w:rPr>
          <w:color w:val="000000"/>
        </w:rPr>
        <w:t xml:space="preserve">divers groupes de parties prenantes soient encouragés </w:t>
      </w:r>
      <w:r w:rsidR="009C37F8">
        <w:rPr>
          <w:color w:val="000000"/>
        </w:rPr>
        <w:t>de façon à</w:t>
      </w:r>
      <w:r w:rsidR="0034759E">
        <w:rPr>
          <w:color w:val="000000"/>
        </w:rPr>
        <w:t xml:space="preserve"> garantir le succès des projets élaborés de concert</w:t>
      </w:r>
      <w:r w:rsidR="009C37F8">
        <w:rPr>
          <w:color w:val="000000"/>
        </w:rPr>
        <w:t>.</w:t>
      </w:r>
    </w:p>
    <w:p w:rsidR="005425EF" w:rsidRDefault="005425EF" w:rsidP="007E2F1F">
      <w:pPr>
        <w:spacing w:after="120"/>
        <w:jc w:val="center"/>
        <w:rPr>
          <w:szCs w:val="24"/>
          <w:lang w:val="en-GB"/>
        </w:rPr>
      </w:pPr>
      <w:r w:rsidRPr="007A5F2B">
        <w:rPr>
          <w:noProof/>
          <w:szCs w:val="24"/>
          <w:lang w:val="fr-FR" w:eastAsia="zh-CN"/>
        </w:rPr>
        <w:lastRenderedPageBreak/>
        <w:drawing>
          <wp:inline distT="0" distB="0" distL="0" distR="0">
            <wp:extent cx="4044950" cy="19761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t="13148"/>
                    <a:stretch/>
                  </pic:blipFill>
                  <pic:spPr bwMode="auto">
                    <a:xfrm>
                      <a:off x="0" y="0"/>
                      <a:ext cx="4044950" cy="1976120"/>
                    </a:xfrm>
                    <a:prstGeom prst="rect">
                      <a:avLst/>
                    </a:prstGeom>
                    <a:ln>
                      <a:noFill/>
                    </a:ln>
                    <a:extLst>
                      <a:ext uri="{53640926-AAD7-44D8-BBD7-CCE9431645EC}">
                        <a14:shadowObscured xmlns:a14="http://schemas.microsoft.com/office/drawing/2010/main"/>
                      </a:ext>
                    </a:extLst>
                  </pic:spPr>
                </pic:pic>
              </a:graphicData>
            </a:graphic>
          </wp:inline>
        </w:drawing>
      </w:r>
    </w:p>
    <w:p w:rsidR="005826A8" w:rsidRDefault="00586A35" w:rsidP="00586A35">
      <w:pPr>
        <w:pStyle w:val="Figurelegend"/>
        <w:tabs>
          <w:tab w:val="left" w:pos="426"/>
        </w:tabs>
        <w:rPr>
          <w:lang w:val="fr-FR"/>
        </w:rPr>
      </w:pPr>
      <w:r>
        <w:rPr>
          <w:lang w:val="fr-FR"/>
        </w:rPr>
        <w:tab/>
      </w:r>
      <w:r w:rsidR="005425EF" w:rsidRPr="004E6B5E">
        <w:rPr>
          <w:lang w:val="fr-FR"/>
        </w:rPr>
        <w:t>Légende</w:t>
      </w:r>
      <w:r w:rsidR="004E6B5E" w:rsidRPr="004E6B5E">
        <w:rPr>
          <w:lang w:val="fr-FR"/>
        </w:rPr>
        <w:t xml:space="preserve">: </w:t>
      </w:r>
    </w:p>
    <w:tbl>
      <w:tblPr>
        <w:tblStyle w:val="TableGrid"/>
        <w:tblW w:w="8500" w:type="dxa"/>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1271"/>
        <w:gridCol w:w="851"/>
        <w:gridCol w:w="850"/>
        <w:gridCol w:w="851"/>
        <w:gridCol w:w="850"/>
        <w:gridCol w:w="851"/>
        <w:gridCol w:w="1417"/>
        <w:gridCol w:w="1559"/>
      </w:tblGrid>
      <w:tr w:rsidR="00293EDD" w:rsidRPr="00586A35" w:rsidTr="00586A35">
        <w:trPr>
          <w:jc w:val="center"/>
        </w:trPr>
        <w:tc>
          <w:tcPr>
            <w:tcW w:w="1271" w:type="dxa"/>
          </w:tcPr>
          <w:p w:rsidR="00293EDD" w:rsidRPr="00586A35" w:rsidRDefault="00293EDD" w:rsidP="007E2F1F">
            <w:pPr>
              <w:pStyle w:val="Figurelegend"/>
              <w:keepNext w:val="0"/>
              <w:keepLines w:val="0"/>
              <w:rPr>
                <w:sz w:val="16"/>
                <w:szCs w:val="16"/>
              </w:rPr>
            </w:pPr>
            <w:r w:rsidRPr="00586A35">
              <w:rPr>
                <w:sz w:val="16"/>
                <w:szCs w:val="16"/>
              </w:rPr>
              <w:t>ÉVALUATION</w:t>
            </w:r>
          </w:p>
        </w:tc>
        <w:tc>
          <w:tcPr>
            <w:tcW w:w="4253" w:type="dxa"/>
            <w:gridSpan w:val="5"/>
          </w:tcPr>
          <w:p w:rsidR="00293EDD" w:rsidRPr="00586A35" w:rsidRDefault="00293EDD" w:rsidP="007E2F1F">
            <w:pPr>
              <w:pStyle w:val="Figurelegend"/>
              <w:keepNext w:val="0"/>
              <w:keepLines w:val="0"/>
              <w:jc w:val="center"/>
              <w:rPr>
                <w:sz w:val="16"/>
                <w:szCs w:val="16"/>
              </w:rPr>
            </w:pPr>
            <w:r w:rsidRPr="00586A35">
              <w:rPr>
                <w:sz w:val="16"/>
                <w:szCs w:val="16"/>
              </w:rPr>
              <w:t>CONCEPTION</w:t>
            </w:r>
          </w:p>
        </w:tc>
        <w:tc>
          <w:tcPr>
            <w:tcW w:w="1417" w:type="dxa"/>
          </w:tcPr>
          <w:p w:rsidR="00293EDD" w:rsidRPr="00586A35" w:rsidRDefault="00293EDD" w:rsidP="007E2F1F">
            <w:pPr>
              <w:pStyle w:val="Figurelegend"/>
              <w:keepNext w:val="0"/>
              <w:keepLines w:val="0"/>
              <w:rPr>
                <w:sz w:val="16"/>
                <w:szCs w:val="16"/>
              </w:rPr>
            </w:pPr>
            <w:r w:rsidRPr="00586A35">
              <w:rPr>
                <w:sz w:val="16"/>
                <w:szCs w:val="16"/>
              </w:rPr>
              <w:t>MISE EN ŒUVRE</w:t>
            </w:r>
          </w:p>
        </w:tc>
        <w:tc>
          <w:tcPr>
            <w:tcW w:w="1559" w:type="dxa"/>
          </w:tcPr>
          <w:p w:rsidR="00293EDD" w:rsidRPr="00586A35" w:rsidRDefault="00293EDD" w:rsidP="007E2F1F">
            <w:pPr>
              <w:pStyle w:val="Figurelegend"/>
              <w:keepNext w:val="0"/>
              <w:keepLines w:val="0"/>
              <w:rPr>
                <w:sz w:val="16"/>
                <w:szCs w:val="16"/>
              </w:rPr>
            </w:pPr>
            <w:r w:rsidRPr="00586A35">
              <w:rPr>
                <w:sz w:val="16"/>
                <w:szCs w:val="16"/>
              </w:rPr>
              <w:t>DÉVELOPPEMENT</w:t>
            </w:r>
          </w:p>
        </w:tc>
      </w:tr>
      <w:tr w:rsidR="00586A35" w:rsidRPr="00586A35" w:rsidTr="00586A35">
        <w:trPr>
          <w:jc w:val="center"/>
        </w:trPr>
        <w:tc>
          <w:tcPr>
            <w:tcW w:w="1271" w:type="dxa"/>
          </w:tcPr>
          <w:p w:rsidR="00310A4B" w:rsidRPr="00586A35" w:rsidRDefault="00310A4B" w:rsidP="007E2F1F">
            <w:pPr>
              <w:pStyle w:val="Figurelegend"/>
              <w:keepNext w:val="0"/>
              <w:keepLines w:val="0"/>
              <w:rPr>
                <w:sz w:val="16"/>
                <w:szCs w:val="16"/>
              </w:rPr>
            </w:pPr>
          </w:p>
        </w:tc>
        <w:tc>
          <w:tcPr>
            <w:tcW w:w="4253" w:type="dxa"/>
            <w:gridSpan w:val="5"/>
          </w:tcPr>
          <w:p w:rsidR="00310A4B" w:rsidRPr="00586A35" w:rsidRDefault="00310A4B" w:rsidP="007E2F1F">
            <w:pPr>
              <w:pStyle w:val="Figurelegend"/>
              <w:keepNext w:val="0"/>
              <w:keepLines w:val="0"/>
              <w:jc w:val="center"/>
              <w:rPr>
                <w:sz w:val="16"/>
                <w:szCs w:val="16"/>
              </w:rPr>
            </w:pPr>
            <w:r w:rsidRPr="00586A35">
              <w:rPr>
                <w:sz w:val="16"/>
                <w:szCs w:val="16"/>
              </w:rPr>
              <w:t>Système de gouvernance</w:t>
            </w:r>
          </w:p>
        </w:tc>
        <w:tc>
          <w:tcPr>
            <w:tcW w:w="1417" w:type="dxa"/>
          </w:tcPr>
          <w:p w:rsidR="00310A4B" w:rsidRPr="00586A35" w:rsidRDefault="00310A4B" w:rsidP="007E2F1F">
            <w:pPr>
              <w:pStyle w:val="Figurelegend"/>
              <w:keepNext w:val="0"/>
              <w:keepLines w:val="0"/>
              <w:rPr>
                <w:sz w:val="16"/>
                <w:szCs w:val="16"/>
              </w:rPr>
            </w:pPr>
          </w:p>
        </w:tc>
        <w:tc>
          <w:tcPr>
            <w:tcW w:w="1559" w:type="dxa"/>
          </w:tcPr>
          <w:p w:rsidR="00310A4B" w:rsidRPr="00586A35" w:rsidRDefault="00310A4B" w:rsidP="007E2F1F">
            <w:pPr>
              <w:pStyle w:val="Figurelegend"/>
              <w:keepNext w:val="0"/>
              <w:keepLines w:val="0"/>
              <w:rPr>
                <w:sz w:val="16"/>
                <w:szCs w:val="16"/>
              </w:rPr>
            </w:pPr>
          </w:p>
        </w:tc>
      </w:tr>
      <w:tr w:rsidR="00586A35" w:rsidRPr="00586A35" w:rsidTr="00586A35">
        <w:trPr>
          <w:jc w:val="center"/>
        </w:trPr>
        <w:tc>
          <w:tcPr>
            <w:tcW w:w="1271" w:type="dxa"/>
          </w:tcPr>
          <w:p w:rsidR="00310A4B" w:rsidRPr="00586A35" w:rsidRDefault="00310A4B" w:rsidP="007E2F1F">
            <w:pPr>
              <w:pStyle w:val="Figurelegend"/>
              <w:keepNext w:val="0"/>
              <w:keepLines w:val="0"/>
              <w:rPr>
                <w:sz w:val="16"/>
                <w:szCs w:val="16"/>
              </w:rPr>
            </w:pPr>
            <w:r w:rsidRPr="00586A35">
              <w:rPr>
                <w:sz w:val="16"/>
                <w:szCs w:val="16"/>
              </w:rPr>
              <w:t>Profil d'innovation numérique</w:t>
            </w:r>
          </w:p>
        </w:tc>
        <w:tc>
          <w:tcPr>
            <w:tcW w:w="851" w:type="dxa"/>
          </w:tcPr>
          <w:p w:rsidR="00310A4B" w:rsidRPr="00586A35" w:rsidRDefault="00310A4B" w:rsidP="007E2F1F">
            <w:pPr>
              <w:pStyle w:val="Figurelegend"/>
              <w:keepNext w:val="0"/>
              <w:keepLines w:val="0"/>
              <w:rPr>
                <w:sz w:val="16"/>
                <w:szCs w:val="16"/>
              </w:rPr>
            </w:pPr>
            <w:r w:rsidRPr="00586A35">
              <w:rPr>
                <w:sz w:val="16"/>
                <w:szCs w:val="16"/>
              </w:rPr>
              <w:t>Vision et stratégie</w:t>
            </w:r>
          </w:p>
        </w:tc>
        <w:tc>
          <w:tcPr>
            <w:tcW w:w="850" w:type="dxa"/>
          </w:tcPr>
          <w:p w:rsidR="00310A4B" w:rsidRPr="00586A35" w:rsidRDefault="00310A4B" w:rsidP="007E2F1F">
            <w:pPr>
              <w:pStyle w:val="Figurelegend"/>
              <w:keepNext w:val="0"/>
              <w:keepLines w:val="0"/>
              <w:rPr>
                <w:sz w:val="16"/>
                <w:szCs w:val="16"/>
              </w:rPr>
            </w:pPr>
            <w:r w:rsidRPr="00586A35">
              <w:rPr>
                <w:sz w:val="16"/>
                <w:szCs w:val="16"/>
              </w:rPr>
              <w:t>Projet 1</w:t>
            </w:r>
          </w:p>
        </w:tc>
        <w:tc>
          <w:tcPr>
            <w:tcW w:w="851" w:type="dxa"/>
          </w:tcPr>
          <w:p w:rsidR="00310A4B" w:rsidRPr="00586A35" w:rsidRDefault="00310A4B" w:rsidP="007E2F1F">
            <w:pPr>
              <w:pStyle w:val="Figurelegend"/>
              <w:keepNext w:val="0"/>
              <w:keepLines w:val="0"/>
              <w:rPr>
                <w:sz w:val="16"/>
                <w:szCs w:val="16"/>
              </w:rPr>
            </w:pPr>
            <w:r w:rsidRPr="00586A35">
              <w:rPr>
                <w:sz w:val="16"/>
                <w:szCs w:val="16"/>
              </w:rPr>
              <w:t>Projet 2</w:t>
            </w:r>
          </w:p>
        </w:tc>
        <w:tc>
          <w:tcPr>
            <w:tcW w:w="850" w:type="dxa"/>
          </w:tcPr>
          <w:p w:rsidR="00310A4B" w:rsidRPr="00586A35" w:rsidRDefault="00310A4B" w:rsidP="007E2F1F">
            <w:pPr>
              <w:pStyle w:val="Figurelegend"/>
              <w:keepNext w:val="0"/>
              <w:keepLines w:val="0"/>
              <w:rPr>
                <w:sz w:val="16"/>
                <w:szCs w:val="16"/>
              </w:rPr>
            </w:pPr>
            <w:r w:rsidRPr="00586A35">
              <w:rPr>
                <w:sz w:val="16"/>
                <w:szCs w:val="16"/>
              </w:rPr>
              <w:t>Projet 3</w:t>
            </w:r>
          </w:p>
        </w:tc>
        <w:tc>
          <w:tcPr>
            <w:tcW w:w="851" w:type="dxa"/>
          </w:tcPr>
          <w:p w:rsidR="00310A4B" w:rsidRPr="00586A35" w:rsidRDefault="00310A4B" w:rsidP="007E2F1F">
            <w:pPr>
              <w:pStyle w:val="Figurelegend"/>
              <w:keepNext w:val="0"/>
              <w:keepLines w:val="0"/>
              <w:rPr>
                <w:sz w:val="16"/>
                <w:szCs w:val="16"/>
              </w:rPr>
            </w:pPr>
            <w:r w:rsidRPr="00586A35">
              <w:rPr>
                <w:sz w:val="16"/>
                <w:szCs w:val="16"/>
              </w:rPr>
              <w:t>Projet 4</w:t>
            </w:r>
          </w:p>
        </w:tc>
        <w:tc>
          <w:tcPr>
            <w:tcW w:w="1417" w:type="dxa"/>
          </w:tcPr>
          <w:p w:rsidR="00310A4B" w:rsidRPr="00586A35" w:rsidRDefault="00310A4B" w:rsidP="007E2F1F">
            <w:pPr>
              <w:pStyle w:val="Figurelegend"/>
              <w:keepNext w:val="0"/>
              <w:keepLines w:val="0"/>
              <w:rPr>
                <w:sz w:val="16"/>
                <w:szCs w:val="16"/>
              </w:rPr>
            </w:pPr>
            <w:r w:rsidRPr="00586A35">
              <w:rPr>
                <w:sz w:val="16"/>
                <w:szCs w:val="16"/>
              </w:rPr>
              <w:t>Faciliter la mise en œuvre d'un portefeuille de projets</w:t>
            </w:r>
          </w:p>
        </w:tc>
        <w:tc>
          <w:tcPr>
            <w:tcW w:w="1559" w:type="dxa"/>
          </w:tcPr>
          <w:p w:rsidR="00310A4B" w:rsidRPr="00586A35" w:rsidRDefault="00310A4B" w:rsidP="007E2F1F">
            <w:pPr>
              <w:pStyle w:val="Figurelegend"/>
              <w:keepNext w:val="0"/>
              <w:keepLines w:val="0"/>
              <w:rPr>
                <w:sz w:val="16"/>
                <w:szCs w:val="16"/>
              </w:rPr>
            </w:pPr>
            <w:r w:rsidRPr="00586A35">
              <w:rPr>
                <w:sz w:val="16"/>
                <w:szCs w:val="16"/>
              </w:rPr>
              <w:t>Suivi, évaluation, développement et viabilité</w:t>
            </w:r>
          </w:p>
        </w:tc>
      </w:tr>
      <w:tr w:rsidR="00310A4B" w:rsidRPr="00293EDD" w:rsidTr="00586A35">
        <w:trPr>
          <w:jc w:val="center"/>
        </w:trPr>
        <w:tc>
          <w:tcPr>
            <w:tcW w:w="8500" w:type="dxa"/>
            <w:gridSpan w:val="8"/>
          </w:tcPr>
          <w:p w:rsidR="00310A4B" w:rsidRPr="00293EDD" w:rsidRDefault="00310A4B" w:rsidP="007E2F1F">
            <w:pPr>
              <w:pStyle w:val="Figurelegend"/>
              <w:keepNext w:val="0"/>
              <w:keepLines w:val="0"/>
              <w:jc w:val="center"/>
            </w:pPr>
            <w:r w:rsidRPr="00293EDD">
              <w:t>Renforcement des capacités et échange de connaissances</w:t>
            </w:r>
          </w:p>
        </w:tc>
      </w:tr>
    </w:tbl>
    <w:p w:rsidR="00FC4B71" w:rsidRPr="00B6434E" w:rsidRDefault="00B6434E" w:rsidP="005E0786">
      <w:pPr>
        <w:spacing w:before="240" w:after="120"/>
        <w:rPr>
          <w:szCs w:val="24"/>
        </w:rPr>
      </w:pPr>
      <w:r w:rsidRPr="00B6434E">
        <w:rPr>
          <w:szCs w:val="24"/>
        </w:rPr>
        <w:t xml:space="preserve">La stratégie repose sur </w:t>
      </w:r>
      <w:r>
        <w:rPr>
          <w:szCs w:val="24"/>
        </w:rPr>
        <w:t>d</w:t>
      </w:r>
      <w:r w:rsidRPr="00B6434E">
        <w:rPr>
          <w:szCs w:val="24"/>
        </w:rPr>
        <w:t>es évaluations d</w:t>
      </w:r>
      <w:r>
        <w:rPr>
          <w:szCs w:val="24"/>
        </w:rPr>
        <w:t>es</w:t>
      </w:r>
      <w:r w:rsidRPr="00B6434E">
        <w:rPr>
          <w:szCs w:val="24"/>
        </w:rPr>
        <w:t xml:space="preserve"> profil</w:t>
      </w:r>
      <w:r>
        <w:rPr>
          <w:szCs w:val="24"/>
        </w:rPr>
        <w:t>s</w:t>
      </w:r>
      <w:r w:rsidRPr="00B6434E">
        <w:rPr>
          <w:szCs w:val="24"/>
        </w:rPr>
        <w:t xml:space="preserve"> d'innovation numérique</w:t>
      </w:r>
      <w:r>
        <w:rPr>
          <w:szCs w:val="24"/>
        </w:rPr>
        <w:t xml:space="preserve"> </w:t>
      </w:r>
      <w:r w:rsidR="00FC4B71" w:rsidRPr="00B6434E">
        <w:rPr>
          <w:szCs w:val="24"/>
        </w:rPr>
        <w:t>(</w:t>
      </w:r>
      <w:r>
        <w:rPr>
          <w:szCs w:val="24"/>
        </w:rPr>
        <w:t xml:space="preserve">comme indiqué sur la </w:t>
      </w:r>
      <w:r w:rsidR="00FC4B71" w:rsidRPr="00B6434E">
        <w:rPr>
          <w:szCs w:val="24"/>
        </w:rPr>
        <w:t>figure)</w:t>
      </w:r>
      <w:r>
        <w:rPr>
          <w:szCs w:val="24"/>
        </w:rPr>
        <w:t xml:space="preserve"> et sur la création d'un centre pour l'innovation entièrement nouveau, qui peut servir de </w:t>
      </w:r>
      <w:r w:rsidRPr="00830A5C">
        <w:rPr>
          <w:b/>
          <w:bCs/>
          <w:szCs w:val="24"/>
        </w:rPr>
        <w:t>banc d'essai pour accélérer la transformation numérique</w:t>
      </w:r>
      <w:r>
        <w:rPr>
          <w:szCs w:val="24"/>
        </w:rPr>
        <w:t xml:space="preserve"> de façon à conc</w:t>
      </w:r>
      <w:r w:rsidR="00B60A39">
        <w:rPr>
          <w:szCs w:val="24"/>
        </w:rPr>
        <w:t>rétiser les visions nationales.</w:t>
      </w:r>
    </w:p>
    <w:p w:rsidR="00FC4B71" w:rsidRPr="00B6434E" w:rsidRDefault="00BD576E" w:rsidP="007E2F1F">
      <w:pPr>
        <w:spacing w:after="120"/>
        <w:rPr>
          <w:szCs w:val="24"/>
        </w:rPr>
      </w:pPr>
      <w:r>
        <w:rPr>
          <w:szCs w:val="24"/>
        </w:rPr>
        <w:t>La première version pilote de cette initiative,</w:t>
      </w:r>
      <w:r w:rsidR="007E2F1F">
        <w:rPr>
          <w:szCs w:val="24"/>
        </w:rPr>
        <w:t xml:space="preserve"> </w:t>
      </w:r>
      <w:r>
        <w:rPr>
          <w:szCs w:val="24"/>
        </w:rPr>
        <w:t>mise en œuvre en collaboration avec le</w:t>
      </w:r>
      <w:r w:rsidR="007E2F1F">
        <w:rPr>
          <w:szCs w:val="24"/>
        </w:rPr>
        <w:t xml:space="preserve"> </w:t>
      </w:r>
      <w:r w:rsidR="00B6434E">
        <w:rPr>
          <w:color w:val="000000"/>
        </w:rPr>
        <w:t>Département des télécommunications et des services postaux de la République sudafricaine</w:t>
      </w:r>
      <w:r w:rsidR="00FC4B71" w:rsidRPr="00B6434E">
        <w:rPr>
          <w:szCs w:val="24"/>
        </w:rPr>
        <w:t>,</w:t>
      </w:r>
      <w:r>
        <w:rPr>
          <w:szCs w:val="24"/>
        </w:rPr>
        <w:t xml:space="preserve"> est en cours d'élaboration.</w:t>
      </w:r>
      <w:r w:rsidR="007E2F1F">
        <w:rPr>
          <w:szCs w:val="24"/>
        </w:rPr>
        <w:t xml:space="preserve"> </w:t>
      </w:r>
    </w:p>
    <w:p w:rsidR="00FC4B71" w:rsidRPr="00BD576E" w:rsidRDefault="00BD576E" w:rsidP="007E2F1F">
      <w:pPr>
        <w:spacing w:after="120"/>
        <w:rPr>
          <w:szCs w:val="24"/>
        </w:rPr>
      </w:pPr>
      <w:r w:rsidRPr="00BD576E">
        <w:rPr>
          <w:szCs w:val="24"/>
        </w:rPr>
        <w:t>Les Centres pour la transformation numérique</w:t>
      </w:r>
      <w:r>
        <w:rPr>
          <w:szCs w:val="24"/>
        </w:rPr>
        <w:t xml:space="preserve"> sont appelés à jouer </w:t>
      </w:r>
      <w:r w:rsidRPr="00BD576E">
        <w:rPr>
          <w:szCs w:val="24"/>
        </w:rPr>
        <w:t>un rôle décisif</w:t>
      </w:r>
      <w:r>
        <w:rPr>
          <w:szCs w:val="24"/>
        </w:rPr>
        <w:t>,</w:t>
      </w:r>
      <w:r w:rsidRPr="00BD576E">
        <w:rPr>
          <w:szCs w:val="24"/>
        </w:rPr>
        <w:t xml:space="preserve"> en ce sens qu'ils </w:t>
      </w:r>
      <w:r>
        <w:rPr>
          <w:szCs w:val="24"/>
        </w:rPr>
        <w:t>aideront un pays</w:t>
      </w:r>
      <w:r w:rsidR="007E2F1F">
        <w:rPr>
          <w:szCs w:val="24"/>
        </w:rPr>
        <w:t xml:space="preserve"> </w:t>
      </w:r>
      <w:r w:rsidRPr="00BD576E">
        <w:rPr>
          <w:szCs w:val="24"/>
        </w:rPr>
        <w:t>à faciliter la diffusion</w:t>
      </w:r>
      <w:r>
        <w:rPr>
          <w:szCs w:val="24"/>
        </w:rPr>
        <w:t xml:space="preserve"> et l'intégration des innovations dans le secteur des TIC par toutes les parties prenantes. </w:t>
      </w:r>
      <w:r w:rsidRPr="00BD576E">
        <w:rPr>
          <w:szCs w:val="24"/>
        </w:rPr>
        <w:t xml:space="preserve">Le Centre supervisera en quelque sorte les principales </w:t>
      </w:r>
      <w:r w:rsidR="00B60A39">
        <w:rPr>
          <w:szCs w:val="24"/>
        </w:rPr>
        <w:t>activités à mener</w:t>
      </w:r>
      <w:r w:rsidRPr="00BD576E">
        <w:rPr>
          <w:szCs w:val="24"/>
        </w:rPr>
        <w:t xml:space="preserve"> et </w:t>
      </w:r>
      <w:r>
        <w:rPr>
          <w:szCs w:val="24"/>
        </w:rPr>
        <w:t>offrira un</w:t>
      </w:r>
      <w:r w:rsidRPr="00BD576E">
        <w:rPr>
          <w:szCs w:val="24"/>
        </w:rPr>
        <w:t xml:space="preserve"> cadre</w:t>
      </w:r>
      <w:r>
        <w:rPr>
          <w:szCs w:val="24"/>
        </w:rPr>
        <w:t xml:space="preserve"> qui permettra à des</w:t>
      </w:r>
      <w:r w:rsidRPr="00BD576E">
        <w:rPr>
          <w:szCs w:val="24"/>
        </w:rPr>
        <w:t xml:space="preserve"> </w:t>
      </w:r>
      <w:r>
        <w:rPr>
          <w:color w:val="000000"/>
        </w:rPr>
        <w:t>groupes</w:t>
      </w:r>
      <w:r w:rsidR="007E2F1F">
        <w:rPr>
          <w:color w:val="000000"/>
        </w:rPr>
        <w:t xml:space="preserve"> </w:t>
      </w:r>
      <w:r>
        <w:rPr>
          <w:color w:val="000000"/>
        </w:rPr>
        <w:t>multi-parties prenantes</w:t>
      </w:r>
      <w:r w:rsidR="007E2F1F">
        <w:rPr>
          <w:szCs w:val="24"/>
        </w:rPr>
        <w:t xml:space="preserve"> </w:t>
      </w:r>
      <w:r w:rsidR="00FC4B71" w:rsidRPr="00BD576E">
        <w:rPr>
          <w:szCs w:val="24"/>
        </w:rPr>
        <w:t>(</w:t>
      </w:r>
      <w:r w:rsidR="00DC4D77">
        <w:rPr>
          <w:szCs w:val="24"/>
        </w:rPr>
        <w:t>à savoir des décideurs, des innovateurs, des PME, des représentants du secteur privé, des établissements universitaires et d'autres acteurs)</w:t>
      </w:r>
      <w:r w:rsidR="007E2F1F">
        <w:rPr>
          <w:szCs w:val="24"/>
        </w:rPr>
        <w:t xml:space="preserve"> </w:t>
      </w:r>
      <w:r w:rsidR="00DC4D77">
        <w:rPr>
          <w:szCs w:val="24"/>
        </w:rPr>
        <w:t>de nouer des partenariats, de collaborer, d'élaborer conjointement des projets et de participer à des initiatives liées à la transformation numérique</w:t>
      </w:r>
      <w:r w:rsidR="00B60A39">
        <w:rPr>
          <w:szCs w:val="24"/>
        </w:rPr>
        <w:t>.</w:t>
      </w:r>
    </w:p>
    <w:p w:rsidR="00FC4B71" w:rsidRPr="00B60A39" w:rsidRDefault="00DC4D77" w:rsidP="00AF0EDA">
      <w:pPr>
        <w:spacing w:after="120"/>
        <w:rPr>
          <w:szCs w:val="24"/>
        </w:rPr>
      </w:pPr>
      <w:r w:rsidRPr="00DC4D77">
        <w:rPr>
          <w:szCs w:val="24"/>
        </w:rPr>
        <w:t xml:space="preserve">Il est prévu que le modèle d'élaboration conjointe </w:t>
      </w:r>
      <w:r w:rsidR="00B60A39">
        <w:rPr>
          <w:szCs w:val="24"/>
        </w:rPr>
        <w:t>de projets</w:t>
      </w:r>
      <w:r w:rsidRPr="00DC4D77">
        <w:rPr>
          <w:szCs w:val="24"/>
        </w:rPr>
        <w:t xml:space="preserve"> de la plate-forme en faveur de l'innovation permet</w:t>
      </w:r>
      <w:r>
        <w:rPr>
          <w:szCs w:val="24"/>
        </w:rPr>
        <w:t>te</w:t>
      </w:r>
      <w:r w:rsidRPr="00DC4D77">
        <w:rPr>
          <w:szCs w:val="24"/>
        </w:rPr>
        <w:t xml:space="preserve"> aux </w:t>
      </w:r>
      <w:r w:rsidR="00B60A39">
        <w:rPr>
          <w:szCs w:val="24"/>
        </w:rPr>
        <w:t>M</w:t>
      </w:r>
      <w:r w:rsidRPr="00DC4D77">
        <w:rPr>
          <w:szCs w:val="24"/>
        </w:rPr>
        <w:t xml:space="preserve">embres de </w:t>
      </w:r>
      <w:r>
        <w:rPr>
          <w:szCs w:val="24"/>
        </w:rPr>
        <w:t>l'</w:t>
      </w:r>
      <w:r w:rsidRPr="00DC4D77">
        <w:rPr>
          <w:szCs w:val="24"/>
        </w:rPr>
        <w:t>UIT-D</w:t>
      </w:r>
      <w:r w:rsidR="007E2F1F">
        <w:rPr>
          <w:szCs w:val="24"/>
        </w:rPr>
        <w:t xml:space="preserve"> </w:t>
      </w:r>
      <w:r w:rsidRPr="00DC4D77">
        <w:rPr>
          <w:szCs w:val="24"/>
        </w:rPr>
        <w:t>de disposer de moyens novateurs</w:t>
      </w:r>
      <w:r>
        <w:rPr>
          <w:szCs w:val="24"/>
        </w:rPr>
        <w:t xml:space="preserve"> pour </w:t>
      </w:r>
      <w:r w:rsidR="00AF0EDA">
        <w:rPr>
          <w:szCs w:val="24"/>
        </w:rPr>
        <w:t>"</w:t>
      </w:r>
      <w:r>
        <w:rPr>
          <w:szCs w:val="24"/>
        </w:rPr>
        <w:t>élaborer des projets modulables et susceptibles d'être financés, tout en favorisant de nouveaux partenariats</w:t>
      </w:r>
      <w:r w:rsidR="00AF0EDA">
        <w:rPr>
          <w:szCs w:val="24"/>
        </w:rPr>
        <w:t>"</w:t>
      </w:r>
      <w:r>
        <w:rPr>
          <w:szCs w:val="24"/>
        </w:rPr>
        <w:t xml:space="preserve"> et contribue </w:t>
      </w:r>
      <w:r w:rsidRPr="00AF0EDA">
        <w:rPr>
          <w:b/>
          <w:bCs/>
          <w:szCs w:val="24"/>
        </w:rPr>
        <w:t xml:space="preserve">à accélérer la réalisation du Plan d'action de </w:t>
      </w:r>
      <w:r w:rsidR="00FC4B71" w:rsidRPr="00AF0EDA">
        <w:rPr>
          <w:b/>
          <w:bCs/>
          <w:szCs w:val="24"/>
        </w:rPr>
        <w:t>Buenos</w:t>
      </w:r>
      <w:r w:rsidR="00FC4B71" w:rsidRPr="00DC4D77">
        <w:rPr>
          <w:b/>
          <w:bCs/>
          <w:szCs w:val="24"/>
        </w:rPr>
        <w:t xml:space="preserve"> Aires</w:t>
      </w:r>
      <w:r w:rsidR="00B60A39">
        <w:rPr>
          <w:szCs w:val="24"/>
        </w:rPr>
        <w:t>.</w:t>
      </w:r>
    </w:p>
    <w:p w:rsidR="005425EF" w:rsidRPr="00FC2E67" w:rsidRDefault="005425EF" w:rsidP="007E2F1F">
      <w:pPr>
        <w:pStyle w:val="Heading2"/>
        <w:rPr>
          <w:lang w:val="fr-FR"/>
        </w:rPr>
      </w:pPr>
      <w:r w:rsidRPr="00FC2E67">
        <w:rPr>
          <w:lang w:val="fr-FR"/>
        </w:rPr>
        <w:t>3.2</w:t>
      </w:r>
      <w:r w:rsidRPr="00FC2E67">
        <w:rPr>
          <w:lang w:val="fr-FR"/>
        </w:rPr>
        <w:tab/>
      </w:r>
      <w:bookmarkStart w:id="15" w:name="lt_pId096"/>
      <w:r w:rsidRPr="00FC2E67">
        <w:rPr>
          <w:lang w:val="fr-FR"/>
        </w:rPr>
        <w:t>Activités d'innovation interne</w:t>
      </w:r>
      <w:bookmarkEnd w:id="15"/>
    </w:p>
    <w:p w:rsidR="005425EF" w:rsidRPr="00DC4D77" w:rsidRDefault="00DC4D77" w:rsidP="007E2F1F">
      <w:pPr>
        <w:spacing w:after="120"/>
        <w:rPr>
          <w:szCs w:val="24"/>
        </w:rPr>
      </w:pPr>
      <w:r w:rsidRPr="00DC4D77">
        <w:rPr>
          <w:szCs w:val="24"/>
        </w:rPr>
        <w:t xml:space="preserve">Le </w:t>
      </w:r>
      <w:r w:rsidR="005425EF" w:rsidRPr="00DC4D77">
        <w:rPr>
          <w:szCs w:val="24"/>
        </w:rPr>
        <w:t>BDT continue</w:t>
      </w:r>
      <w:r w:rsidRPr="00DC4D77">
        <w:rPr>
          <w:szCs w:val="24"/>
        </w:rPr>
        <w:t xml:space="preserve"> d'appuyer l'innovation interne en fonction des besoins, en mettant au point de nouveaux outils ou en </w:t>
      </w:r>
      <w:r w:rsidR="00B60A39">
        <w:rPr>
          <w:szCs w:val="24"/>
        </w:rPr>
        <w:t>menant à bien</w:t>
      </w:r>
      <w:r w:rsidRPr="00DC4D77">
        <w:rPr>
          <w:szCs w:val="24"/>
        </w:rPr>
        <w:t xml:space="preserve"> des activités d'innovation interne</w:t>
      </w:r>
      <w:r w:rsidR="00B60A39">
        <w:rPr>
          <w:szCs w:val="24"/>
        </w:rPr>
        <w:t>.</w:t>
      </w:r>
    </w:p>
    <w:p w:rsidR="005E0786" w:rsidRDefault="005E0786" w:rsidP="005E0786">
      <w:pPr>
        <w:spacing w:after="120"/>
        <w:rPr>
          <w:szCs w:val="24"/>
        </w:rPr>
      </w:pPr>
      <w:r>
        <w:rPr>
          <w:szCs w:val="24"/>
        </w:rPr>
        <w:br w:type="page"/>
      </w:r>
    </w:p>
    <w:p w:rsidR="005425EF" w:rsidRPr="00370952" w:rsidRDefault="00C20CF5" w:rsidP="005E0786">
      <w:pPr>
        <w:spacing w:after="120"/>
        <w:rPr>
          <w:szCs w:val="24"/>
        </w:rPr>
      </w:pPr>
      <w:r>
        <w:rPr>
          <w:szCs w:val="24"/>
        </w:rPr>
        <w:lastRenderedPageBreak/>
        <w:t>A</w:t>
      </w:r>
      <w:r w:rsidR="00DC4D77" w:rsidRPr="00DC4D77">
        <w:rPr>
          <w:szCs w:val="24"/>
        </w:rPr>
        <w:t xml:space="preserve"> cette fin, le</w:t>
      </w:r>
      <w:r w:rsidR="007E2F1F">
        <w:rPr>
          <w:szCs w:val="24"/>
        </w:rPr>
        <w:t xml:space="preserve"> </w:t>
      </w:r>
      <w:r w:rsidR="00DC4D77" w:rsidRPr="00DC4D77">
        <w:rPr>
          <w:color w:val="000000"/>
        </w:rPr>
        <w:t xml:space="preserve">Service de l'innovation </w:t>
      </w:r>
      <w:r w:rsidR="00B60A39">
        <w:rPr>
          <w:color w:val="000000"/>
        </w:rPr>
        <w:t xml:space="preserve">du </w:t>
      </w:r>
      <w:r w:rsidR="00DC4D77" w:rsidRPr="00DC4D77">
        <w:rPr>
          <w:color w:val="000000"/>
        </w:rPr>
        <w:t>BDT a organisé un atelier sur la mobilisation de ressources</w:t>
      </w:r>
      <w:r w:rsidR="007E2F1F">
        <w:rPr>
          <w:color w:val="000000"/>
        </w:rPr>
        <w:t xml:space="preserve"> </w:t>
      </w:r>
      <w:r w:rsidR="00D71E3A">
        <w:rPr>
          <w:color w:val="000000"/>
        </w:rPr>
        <w:t xml:space="preserve">lors </w:t>
      </w:r>
      <w:r w:rsidR="00DC4D77" w:rsidRPr="00DC4D77">
        <w:rPr>
          <w:color w:val="000000"/>
        </w:rPr>
        <w:t>de la retraite à l'intention de l'équipe de direction</w:t>
      </w:r>
      <w:r w:rsidR="007E2F1F">
        <w:rPr>
          <w:color w:val="000000"/>
        </w:rPr>
        <w:t xml:space="preserve"> </w:t>
      </w:r>
      <w:r w:rsidR="00DC4D77" w:rsidRPr="00DC4D77">
        <w:rPr>
          <w:color w:val="000000"/>
        </w:rPr>
        <w:t>du BDT</w:t>
      </w:r>
      <w:r w:rsidR="00DC4D77">
        <w:rPr>
          <w:color w:val="000000"/>
        </w:rPr>
        <w:t>, en élaborant un cadre stratégique (comprenant cinq outils) pour la mobilisation de ressources</w:t>
      </w:r>
      <w:r w:rsidR="007E2F1F">
        <w:rPr>
          <w:szCs w:val="24"/>
        </w:rPr>
        <w:t>.</w:t>
      </w:r>
      <w:r w:rsidR="00D71E3A">
        <w:rPr>
          <w:szCs w:val="24"/>
        </w:rPr>
        <w:t xml:space="preserve"> </w:t>
      </w:r>
      <w:r w:rsidR="00D71E3A" w:rsidRPr="00D71E3A">
        <w:rPr>
          <w:szCs w:val="24"/>
        </w:rPr>
        <w:t>En conséquence,</w:t>
      </w:r>
      <w:r w:rsidR="007E2F1F">
        <w:rPr>
          <w:szCs w:val="24"/>
        </w:rPr>
        <w:t xml:space="preserve"> </w:t>
      </w:r>
      <w:r w:rsidR="00D71E3A" w:rsidRPr="00D71E3A">
        <w:rPr>
          <w:szCs w:val="24"/>
        </w:rPr>
        <w:t>une feuille de route</w:t>
      </w:r>
      <w:r w:rsidR="00D71E3A">
        <w:rPr>
          <w:szCs w:val="24"/>
        </w:rPr>
        <w:t xml:space="preserve"> assortie</w:t>
      </w:r>
      <w:r w:rsidR="00D71E3A" w:rsidRPr="00D71E3A">
        <w:rPr>
          <w:szCs w:val="24"/>
        </w:rPr>
        <w:t xml:space="preserve"> de</w:t>
      </w:r>
      <w:r w:rsidR="007E2F1F">
        <w:rPr>
          <w:szCs w:val="24"/>
        </w:rPr>
        <w:t xml:space="preserve"> </w:t>
      </w:r>
      <w:r w:rsidR="00D71E3A" w:rsidRPr="00D71E3A">
        <w:rPr>
          <w:szCs w:val="24"/>
        </w:rPr>
        <w:t>mesures à effet rapide</w:t>
      </w:r>
      <w:r w:rsidR="007E2F1F">
        <w:rPr>
          <w:szCs w:val="24"/>
        </w:rPr>
        <w:t xml:space="preserve"> </w:t>
      </w:r>
      <w:r w:rsidR="00D71E3A" w:rsidRPr="00D71E3A">
        <w:rPr>
          <w:szCs w:val="24"/>
        </w:rPr>
        <w:t>a été établi</w:t>
      </w:r>
      <w:r w:rsidR="00D71E3A">
        <w:rPr>
          <w:szCs w:val="24"/>
        </w:rPr>
        <w:t>e et</w:t>
      </w:r>
      <w:r w:rsidR="007E2F1F">
        <w:rPr>
          <w:szCs w:val="24"/>
        </w:rPr>
        <w:t xml:space="preserve"> </w:t>
      </w:r>
      <w:r w:rsidR="00D71E3A">
        <w:rPr>
          <w:szCs w:val="24"/>
        </w:rPr>
        <w:t>un certain nombre d</w:t>
      </w:r>
      <w:r w:rsidR="00B60A39">
        <w:rPr>
          <w:szCs w:val="24"/>
        </w:rPr>
        <w:t xml:space="preserve">'activités </w:t>
      </w:r>
      <w:r w:rsidR="00D71E3A">
        <w:rPr>
          <w:szCs w:val="24"/>
        </w:rPr>
        <w:t>prioritaires ont été définies</w:t>
      </w:r>
      <w:r w:rsidR="00370952">
        <w:rPr>
          <w:szCs w:val="24"/>
        </w:rPr>
        <w:t>,</w:t>
      </w:r>
      <w:r w:rsidR="00D71E3A">
        <w:rPr>
          <w:szCs w:val="24"/>
        </w:rPr>
        <w:t xml:space="preserve"> en vue de</w:t>
      </w:r>
      <w:r w:rsidR="007E2F1F">
        <w:rPr>
          <w:szCs w:val="24"/>
        </w:rPr>
        <w:t xml:space="preserve"> </w:t>
      </w:r>
      <w:r w:rsidR="00D71E3A">
        <w:rPr>
          <w:szCs w:val="24"/>
        </w:rPr>
        <w:t xml:space="preserve">renforcer la mobilisation de ressources par le BDT. </w:t>
      </w:r>
      <w:r w:rsidR="00370952">
        <w:rPr>
          <w:szCs w:val="24"/>
        </w:rPr>
        <w:t xml:space="preserve">On trouvera davantage de renseignements sur ces </w:t>
      </w:r>
      <w:r w:rsidR="00B60A39">
        <w:rPr>
          <w:szCs w:val="24"/>
        </w:rPr>
        <w:t>activités</w:t>
      </w:r>
      <w:r w:rsidR="00370952">
        <w:rPr>
          <w:szCs w:val="24"/>
        </w:rPr>
        <w:t xml:space="preserve"> prioritaires dans le </w:t>
      </w:r>
      <w:r w:rsidR="005E0786">
        <w:rPr>
          <w:szCs w:val="24"/>
        </w:rPr>
        <w:t>D</w:t>
      </w:r>
      <w:r w:rsidR="00370952">
        <w:rPr>
          <w:szCs w:val="24"/>
        </w:rPr>
        <w:t xml:space="preserve">ocument </w:t>
      </w:r>
      <w:hyperlink r:id="rId23" w:history="1">
        <w:r w:rsidR="005425EF" w:rsidRPr="00370952">
          <w:rPr>
            <w:rStyle w:val="Hyperlink"/>
            <w:szCs w:val="24"/>
          </w:rPr>
          <w:t>TDAG-19/21</w:t>
        </w:r>
      </w:hyperlink>
      <w:r w:rsidR="007E2F1F">
        <w:rPr>
          <w:szCs w:val="24"/>
        </w:rPr>
        <w:t xml:space="preserve"> </w:t>
      </w:r>
      <w:r w:rsidR="00370952">
        <w:rPr>
          <w:szCs w:val="24"/>
        </w:rPr>
        <w:t>(Partenariats et mobilisation de ressources).</w:t>
      </w:r>
      <w:r w:rsidR="007E2F1F">
        <w:rPr>
          <w:szCs w:val="24"/>
        </w:rPr>
        <w:t xml:space="preserve"> </w:t>
      </w:r>
    </w:p>
    <w:p w:rsidR="005425EF" w:rsidRPr="00775999" w:rsidRDefault="00775999" w:rsidP="007E2F1F">
      <w:pPr>
        <w:spacing w:after="120"/>
        <w:rPr>
          <w:szCs w:val="24"/>
        </w:rPr>
      </w:pPr>
      <w:r w:rsidRPr="00775999">
        <w:rPr>
          <w:szCs w:val="24"/>
        </w:rPr>
        <w:t xml:space="preserve">En outre, on a mis au point un nouvel outil </w:t>
      </w:r>
      <w:r>
        <w:rPr>
          <w:szCs w:val="24"/>
        </w:rPr>
        <w:t>pour améliorer la collecte de données au titre de la Question sur la société intelligente confiée à la Commission d'étude</w:t>
      </w:r>
      <w:r w:rsidR="00000ADC">
        <w:rPr>
          <w:szCs w:val="24"/>
        </w:rPr>
        <w:t>s concernée</w:t>
      </w:r>
      <w:r>
        <w:rPr>
          <w:szCs w:val="24"/>
        </w:rPr>
        <w:t xml:space="preserve"> de l'UIT-D</w:t>
      </w:r>
      <w:r w:rsidR="00000ADC">
        <w:rPr>
          <w:szCs w:val="24"/>
        </w:rPr>
        <w:t>.</w:t>
      </w:r>
    </w:p>
    <w:p w:rsidR="005425EF" w:rsidRPr="00FC2E67" w:rsidRDefault="005425EF" w:rsidP="007E2F1F">
      <w:pPr>
        <w:pStyle w:val="Heading1"/>
        <w:rPr>
          <w:lang w:val="fr-FR"/>
        </w:rPr>
      </w:pPr>
      <w:r w:rsidRPr="00FC2E67">
        <w:rPr>
          <w:lang w:val="fr-FR"/>
        </w:rPr>
        <w:t>4</w:t>
      </w:r>
      <w:r w:rsidRPr="00FC2E67">
        <w:rPr>
          <w:lang w:val="fr-FR"/>
        </w:rPr>
        <w:tab/>
        <w:t>Perspectives</w:t>
      </w:r>
    </w:p>
    <w:p w:rsidR="005425EF" w:rsidRPr="005425EF" w:rsidRDefault="00775999" w:rsidP="007E2F1F">
      <w:pPr>
        <w:rPr>
          <w:lang w:val="fr-FR"/>
        </w:rPr>
      </w:pPr>
      <w:r w:rsidRPr="00775999">
        <w:rPr>
          <w:szCs w:val="24"/>
        </w:rPr>
        <w:t>L'inno</w:t>
      </w:r>
      <w:r>
        <w:rPr>
          <w:szCs w:val="24"/>
        </w:rPr>
        <w:t>vation est une façon de penser</w:t>
      </w:r>
      <w:r w:rsidR="005425EF" w:rsidRPr="00775999">
        <w:rPr>
          <w:szCs w:val="24"/>
        </w:rPr>
        <w:t xml:space="preserve">. </w:t>
      </w:r>
      <w:r w:rsidRPr="00775999">
        <w:rPr>
          <w:szCs w:val="24"/>
        </w:rPr>
        <w:t>Le Directeur du BDT coordonne les travaux d'une</w:t>
      </w:r>
      <w:r w:rsidR="007E2F1F">
        <w:rPr>
          <w:szCs w:val="24"/>
        </w:rPr>
        <w:t xml:space="preserve"> </w:t>
      </w:r>
      <w:r w:rsidRPr="00775999">
        <w:rPr>
          <w:color w:val="000000"/>
        </w:rPr>
        <w:t>équipe à l'échelle de l'UIT,</w:t>
      </w:r>
      <w:r w:rsidR="007E6A4F">
        <w:rPr>
          <w:color w:val="000000"/>
        </w:rPr>
        <w:t xml:space="preserve"> qui est chargée de réfléchir à une stratégie en matière d'innovation pour l'Union</w:t>
      </w:r>
      <w:r w:rsidR="00000ADC">
        <w:rPr>
          <w:color w:val="000000"/>
        </w:rPr>
        <w:t>.</w:t>
      </w:r>
      <w:r w:rsidR="007E2F1F">
        <w:rPr>
          <w:szCs w:val="24"/>
        </w:rPr>
        <w:t xml:space="preserve"> </w:t>
      </w:r>
      <w:r w:rsidR="005425EF" w:rsidRPr="005425EF">
        <w:rPr>
          <w:lang w:val="fr-FR"/>
        </w:rPr>
        <w:t>Le BDT continuera de renforcer les activités</w:t>
      </w:r>
      <w:r w:rsidR="007E6A4F">
        <w:rPr>
          <w:lang w:val="fr-FR"/>
        </w:rPr>
        <w:t xml:space="preserve"> relatives à </w:t>
      </w:r>
      <w:r w:rsidR="005425EF" w:rsidRPr="005425EF">
        <w:rPr>
          <w:lang w:val="fr-FR"/>
        </w:rPr>
        <w:t>l'innovation, en prenant</w:t>
      </w:r>
      <w:r w:rsidR="007E6A4F">
        <w:rPr>
          <w:lang w:val="fr-FR"/>
        </w:rPr>
        <w:t xml:space="preserve"> notamment </w:t>
      </w:r>
      <w:r w:rsidR="00556728">
        <w:rPr>
          <w:lang w:val="fr-FR"/>
        </w:rPr>
        <w:t>d</w:t>
      </w:r>
      <w:r w:rsidR="007E6A4F">
        <w:rPr>
          <w:lang w:val="fr-FR"/>
        </w:rPr>
        <w:t xml:space="preserve">es mesures </w:t>
      </w:r>
      <w:r w:rsidR="00556728">
        <w:rPr>
          <w:lang w:val="fr-FR"/>
        </w:rPr>
        <w:t>pour</w:t>
      </w:r>
      <w:r w:rsidR="007E6A4F">
        <w:rPr>
          <w:lang w:val="fr-FR"/>
        </w:rPr>
        <w:t>:</w:t>
      </w:r>
      <w:r w:rsidR="007E2F1F">
        <w:rPr>
          <w:lang w:val="fr-FR"/>
        </w:rPr>
        <w:t xml:space="preserve"> </w:t>
      </w:r>
    </w:p>
    <w:p w:rsidR="00FC4B71" w:rsidRPr="007E6A4F" w:rsidRDefault="00814662" w:rsidP="005E0786">
      <w:pPr>
        <w:pStyle w:val="enumlev1"/>
        <w:rPr>
          <w:iCs/>
          <w:szCs w:val="24"/>
        </w:rPr>
      </w:pPr>
      <w:r w:rsidRPr="007E6A4F">
        <w:t>–</w:t>
      </w:r>
      <w:r w:rsidRPr="007E6A4F">
        <w:tab/>
      </w:r>
      <w:r w:rsidR="007E6A4F" w:rsidRPr="007E6A4F">
        <w:t>élabor</w:t>
      </w:r>
      <w:r w:rsidR="00556728">
        <w:t xml:space="preserve">er </w:t>
      </w:r>
      <w:r w:rsidR="007E6A4F" w:rsidRPr="007E6A4F">
        <w:t xml:space="preserve">de nouveaux </w:t>
      </w:r>
      <w:r w:rsidR="007E6A4F">
        <w:rPr>
          <w:color w:val="000000"/>
        </w:rPr>
        <w:t>kits pratiques</w:t>
      </w:r>
      <w:r w:rsidR="007E6A4F" w:rsidRPr="007E6A4F">
        <w:t xml:space="preserve"> </w:t>
      </w:r>
      <w:r w:rsidR="00000ADC">
        <w:t>pour</w:t>
      </w:r>
      <w:r w:rsidR="007E6A4F" w:rsidRPr="007E6A4F">
        <w:t xml:space="preserve"> accélérer la transformation numérique,</w:t>
      </w:r>
      <w:r w:rsidR="007E6A4F">
        <w:t xml:space="preserve"> mettre en place un écosystème favorable aux entreprises </w:t>
      </w:r>
      <w:r w:rsidR="007E6A4F">
        <w:rPr>
          <w:iCs/>
          <w:szCs w:val="24"/>
        </w:rPr>
        <w:t>et encourager les communautés d'acteurs de l'innovation</w:t>
      </w:r>
      <w:r w:rsidRPr="007E6A4F">
        <w:rPr>
          <w:iCs/>
          <w:szCs w:val="24"/>
        </w:rPr>
        <w:t>;</w:t>
      </w:r>
    </w:p>
    <w:p w:rsidR="00814662" w:rsidRDefault="00814662" w:rsidP="007E2F1F">
      <w:pPr>
        <w:pStyle w:val="enumlev1"/>
      </w:pPr>
      <w:r w:rsidRPr="00814662">
        <w:rPr>
          <w:iCs/>
          <w:szCs w:val="24"/>
          <w:lang w:val="fr-FR"/>
        </w:rPr>
        <w:t>–</w:t>
      </w:r>
      <w:r w:rsidRPr="00814662">
        <w:rPr>
          <w:iCs/>
          <w:szCs w:val="24"/>
          <w:lang w:val="fr-FR"/>
        </w:rPr>
        <w:tab/>
      </w:r>
      <w:r w:rsidR="007E6A4F">
        <w:t>poursui</w:t>
      </w:r>
      <w:r w:rsidR="00556728">
        <w:t>vre le</w:t>
      </w:r>
      <w:r w:rsidR="007E6A4F">
        <w:t xml:space="preserve"> développement des </w:t>
      </w:r>
      <w:r w:rsidRPr="00181247">
        <w:t xml:space="preserve">évaluations </w:t>
      </w:r>
      <w:r>
        <w:t>nationales dirigées par des experts sur le profil d'innovation numérique;</w:t>
      </w:r>
    </w:p>
    <w:p w:rsidR="00814662" w:rsidRPr="00556728" w:rsidRDefault="00814662" w:rsidP="005E0786">
      <w:pPr>
        <w:pStyle w:val="enumlev1"/>
      </w:pPr>
      <w:r w:rsidRPr="00556728">
        <w:rPr>
          <w:iCs/>
          <w:szCs w:val="24"/>
        </w:rPr>
        <w:t>–</w:t>
      </w:r>
      <w:r w:rsidRPr="00556728">
        <w:rPr>
          <w:iCs/>
          <w:szCs w:val="24"/>
        </w:rPr>
        <w:tab/>
      </w:r>
      <w:r w:rsidR="00556728" w:rsidRPr="00556728">
        <w:rPr>
          <w:iCs/>
          <w:szCs w:val="24"/>
        </w:rPr>
        <w:t>renforce</w:t>
      </w:r>
      <w:r w:rsidR="00556728">
        <w:rPr>
          <w:iCs/>
          <w:szCs w:val="24"/>
        </w:rPr>
        <w:t>r</w:t>
      </w:r>
      <w:r w:rsidR="00556728" w:rsidRPr="00556728">
        <w:rPr>
          <w:iCs/>
          <w:szCs w:val="24"/>
        </w:rPr>
        <w:t xml:space="preserve"> </w:t>
      </w:r>
      <w:r w:rsidR="00556728">
        <w:rPr>
          <w:iCs/>
          <w:szCs w:val="24"/>
        </w:rPr>
        <w:t>l</w:t>
      </w:r>
      <w:r w:rsidR="00556728" w:rsidRPr="00556728">
        <w:rPr>
          <w:iCs/>
          <w:szCs w:val="24"/>
        </w:rPr>
        <w:t>es capacités en matière d'innovation au</w:t>
      </w:r>
      <w:r w:rsidR="00556728">
        <w:rPr>
          <w:iCs/>
          <w:szCs w:val="24"/>
        </w:rPr>
        <w:t>x</w:t>
      </w:r>
      <w:r w:rsidR="00556728" w:rsidRPr="00556728">
        <w:rPr>
          <w:iCs/>
          <w:szCs w:val="24"/>
        </w:rPr>
        <w:t xml:space="preserve"> niveau</w:t>
      </w:r>
      <w:r w:rsidR="00556728">
        <w:rPr>
          <w:iCs/>
          <w:szCs w:val="24"/>
        </w:rPr>
        <w:t>x</w:t>
      </w:r>
      <w:r w:rsidR="00556728" w:rsidRPr="00556728">
        <w:rPr>
          <w:iCs/>
          <w:szCs w:val="24"/>
        </w:rPr>
        <w:t xml:space="preserve"> national, régional et mondial</w:t>
      </w:r>
      <w:r w:rsidRPr="00556728">
        <w:t>;</w:t>
      </w:r>
    </w:p>
    <w:p w:rsidR="00814662" w:rsidRPr="00556728" w:rsidRDefault="00814662" w:rsidP="007E2F1F">
      <w:pPr>
        <w:pStyle w:val="enumlev1"/>
      </w:pPr>
      <w:r w:rsidRPr="00556728">
        <w:rPr>
          <w:iCs/>
          <w:szCs w:val="24"/>
        </w:rPr>
        <w:t>–</w:t>
      </w:r>
      <w:r w:rsidRPr="00556728">
        <w:rPr>
          <w:iCs/>
          <w:szCs w:val="24"/>
        </w:rPr>
        <w:tab/>
      </w:r>
      <w:r w:rsidR="00556728" w:rsidRPr="00556728">
        <w:rPr>
          <w:iCs/>
          <w:szCs w:val="24"/>
        </w:rPr>
        <w:t>accélérer la mise au point de projets</w:t>
      </w:r>
      <w:r w:rsidR="00556728">
        <w:rPr>
          <w:iCs/>
          <w:szCs w:val="24"/>
        </w:rPr>
        <w:t xml:space="preserve"> tournés vers </w:t>
      </w:r>
      <w:r w:rsidR="00556728" w:rsidRPr="00556728">
        <w:rPr>
          <w:iCs/>
          <w:szCs w:val="24"/>
        </w:rPr>
        <w:t>l'innovation, par exemple l'initiative</w:t>
      </w:r>
      <w:r w:rsidR="005E0786">
        <w:rPr>
          <w:iCs/>
          <w:szCs w:val="24"/>
        </w:rPr>
        <w:t xml:space="preserve"> ci</w:t>
      </w:r>
      <w:r w:rsidR="005E0786">
        <w:rPr>
          <w:iCs/>
          <w:szCs w:val="24"/>
        </w:rPr>
        <w:noBreakHyphen/>
      </w:r>
      <w:r w:rsidR="00556728">
        <w:rPr>
          <w:iCs/>
          <w:szCs w:val="24"/>
        </w:rPr>
        <w:t>dessus associant</w:t>
      </w:r>
      <w:r w:rsidR="007E2F1F">
        <w:rPr>
          <w:iCs/>
          <w:szCs w:val="24"/>
        </w:rPr>
        <w:t xml:space="preserve"> </w:t>
      </w:r>
      <w:r w:rsidR="00556728">
        <w:rPr>
          <w:color w:val="000000"/>
        </w:rPr>
        <w:t>la République sudafricaine</w:t>
      </w:r>
      <w:r w:rsidR="007E2F1F">
        <w:t xml:space="preserve"> </w:t>
      </w:r>
      <w:r w:rsidRPr="00556728">
        <w:t>;</w:t>
      </w:r>
    </w:p>
    <w:p w:rsidR="00814662" w:rsidRPr="00556728" w:rsidRDefault="00814662" w:rsidP="007E2F1F">
      <w:pPr>
        <w:pStyle w:val="enumlev1"/>
      </w:pPr>
      <w:r w:rsidRPr="00556728">
        <w:rPr>
          <w:iCs/>
          <w:szCs w:val="24"/>
        </w:rPr>
        <w:t>–</w:t>
      </w:r>
      <w:r w:rsidRPr="00556728">
        <w:rPr>
          <w:iCs/>
          <w:szCs w:val="24"/>
        </w:rPr>
        <w:tab/>
      </w:r>
      <w:r w:rsidR="00556728">
        <w:rPr>
          <w:iCs/>
          <w:szCs w:val="24"/>
        </w:rPr>
        <w:t>obtenir des</w:t>
      </w:r>
      <w:r w:rsidR="007E2F1F">
        <w:rPr>
          <w:iCs/>
          <w:szCs w:val="24"/>
        </w:rPr>
        <w:t xml:space="preserve"> </w:t>
      </w:r>
      <w:r w:rsidR="00556728" w:rsidRPr="00556728">
        <w:rPr>
          <w:iCs/>
          <w:szCs w:val="24"/>
        </w:rPr>
        <w:t>crédits et de</w:t>
      </w:r>
      <w:r w:rsidR="00556728">
        <w:rPr>
          <w:iCs/>
          <w:szCs w:val="24"/>
        </w:rPr>
        <w:t>s</w:t>
      </w:r>
      <w:r w:rsidR="00556728" w:rsidRPr="00556728">
        <w:rPr>
          <w:iCs/>
          <w:szCs w:val="24"/>
        </w:rPr>
        <w:t xml:space="preserve"> ressources additionnels pour renforcer les capacités en matière de transformation numérique</w:t>
      </w:r>
      <w:r w:rsidR="00556728">
        <w:t xml:space="preserve"> </w:t>
      </w:r>
      <w:r w:rsidRPr="00556728">
        <w:t>;</w:t>
      </w:r>
    </w:p>
    <w:p w:rsidR="00814662" w:rsidRPr="00556728" w:rsidRDefault="00814662" w:rsidP="007E2F1F">
      <w:pPr>
        <w:pStyle w:val="enumlev1"/>
        <w:rPr>
          <w:iCs/>
          <w:szCs w:val="24"/>
        </w:rPr>
      </w:pPr>
      <w:r w:rsidRPr="00556728">
        <w:rPr>
          <w:iCs/>
          <w:szCs w:val="24"/>
        </w:rPr>
        <w:t>–</w:t>
      </w:r>
      <w:r w:rsidRPr="00556728">
        <w:rPr>
          <w:iCs/>
          <w:szCs w:val="24"/>
        </w:rPr>
        <w:tab/>
      </w:r>
      <w:r w:rsidR="00556728" w:rsidRPr="00556728">
        <w:rPr>
          <w:iCs/>
          <w:szCs w:val="24"/>
        </w:rPr>
        <w:t>continue</w:t>
      </w:r>
      <w:r w:rsidR="005E0786">
        <w:rPr>
          <w:iCs/>
          <w:szCs w:val="24"/>
        </w:rPr>
        <w:t>r</w:t>
      </w:r>
      <w:r w:rsidR="00556728" w:rsidRPr="00556728">
        <w:rPr>
          <w:iCs/>
          <w:szCs w:val="24"/>
        </w:rPr>
        <w:t xml:space="preserve"> de créer des synergies entre différent</w:t>
      </w:r>
      <w:r w:rsidR="005E0786">
        <w:rPr>
          <w:iCs/>
          <w:szCs w:val="24"/>
        </w:rPr>
        <w:t>e</w:t>
      </w:r>
      <w:r w:rsidR="00556728" w:rsidRPr="00556728">
        <w:rPr>
          <w:iCs/>
          <w:szCs w:val="24"/>
        </w:rPr>
        <w:t>s plates-formes de l'UIT, par exemple</w:t>
      </w:r>
      <w:r w:rsidR="007E2F1F">
        <w:rPr>
          <w:iCs/>
          <w:szCs w:val="24"/>
        </w:rPr>
        <w:t xml:space="preserve"> </w:t>
      </w:r>
      <w:r w:rsidR="005E0786">
        <w:rPr>
          <w:iCs/>
          <w:szCs w:val="24"/>
        </w:rPr>
        <w:t>ITU </w:t>
      </w:r>
      <w:r w:rsidR="00556728" w:rsidRPr="00556728">
        <w:rPr>
          <w:iCs/>
          <w:szCs w:val="24"/>
        </w:rPr>
        <w:t>T</w:t>
      </w:r>
      <w:r w:rsidR="005E0786" w:rsidRPr="00556728">
        <w:rPr>
          <w:iCs/>
          <w:szCs w:val="24"/>
        </w:rPr>
        <w:t>elecom</w:t>
      </w:r>
      <w:r w:rsidR="00556728" w:rsidRPr="00556728">
        <w:rPr>
          <w:iCs/>
          <w:szCs w:val="24"/>
        </w:rPr>
        <w:t>.</w:t>
      </w:r>
    </w:p>
    <w:p w:rsidR="00202F0E" w:rsidRPr="00556728" w:rsidRDefault="00202F0E" w:rsidP="007E2F1F">
      <w:pPr>
        <w:pStyle w:val="Reasons"/>
      </w:pPr>
    </w:p>
    <w:p w:rsidR="00202F0E" w:rsidRDefault="00202F0E" w:rsidP="007E2F1F">
      <w:pPr>
        <w:jc w:val="center"/>
      </w:pPr>
      <w:r>
        <w:t>______________</w:t>
      </w:r>
    </w:p>
    <w:p w:rsidR="00202F0E" w:rsidRPr="00556728" w:rsidRDefault="00202F0E" w:rsidP="007E2F1F"/>
    <w:sectPr w:rsidR="00202F0E" w:rsidRPr="00556728" w:rsidSect="00473791">
      <w:headerReference w:type="default" r:id="rId24"/>
      <w:footerReference w:type="default" r:id="rId25"/>
      <w:footerReference w:type="first" r:id="rId2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671" w:rsidRDefault="00C15671">
      <w:r>
        <w:separator/>
      </w:r>
    </w:p>
  </w:endnote>
  <w:endnote w:type="continuationSeparator" w:id="0">
    <w:p w:rsidR="00C15671" w:rsidRDefault="00C1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B60A39" w:rsidRDefault="00721657" w:rsidP="00E91EBD">
    <w:pPr>
      <w:pStyle w:val="Footer"/>
      <w:rPr>
        <w:caps w:val="0"/>
        <w:szCs w:val="16"/>
        <w:lang w:val="es-ES"/>
      </w:rPr>
    </w:pPr>
    <w:r w:rsidRPr="00E91EBD">
      <w:rPr>
        <w:caps w:val="0"/>
        <w:szCs w:val="16"/>
      </w:rPr>
      <w:fldChar w:fldCharType="begin"/>
    </w:r>
    <w:r w:rsidRPr="00B60A39">
      <w:rPr>
        <w:caps w:val="0"/>
        <w:szCs w:val="16"/>
        <w:lang w:val="es-ES"/>
      </w:rPr>
      <w:instrText xml:space="preserve"> FILENAME \p \* MERGEFORMAT </w:instrText>
    </w:r>
    <w:r w:rsidRPr="00E91EBD">
      <w:rPr>
        <w:caps w:val="0"/>
        <w:szCs w:val="16"/>
      </w:rPr>
      <w:fldChar w:fldCharType="separate"/>
    </w:r>
    <w:r w:rsidR="005E0786">
      <w:rPr>
        <w:caps w:val="0"/>
        <w:szCs w:val="16"/>
        <w:lang w:val="es-ES"/>
      </w:rPr>
      <w:t>P:\FRA\ITU-D\CONF-D\TDAG19\000\022F.docx</w:t>
    </w:r>
    <w:r w:rsidRPr="00E91EBD">
      <w:rPr>
        <w:caps w:val="0"/>
        <w:szCs w:val="16"/>
        <w:lang w:val="en-US"/>
      </w:rPr>
      <w:fldChar w:fldCharType="end"/>
    </w:r>
    <w:r w:rsidR="00E91EBD" w:rsidRPr="00B60A39">
      <w:rPr>
        <w:caps w:val="0"/>
        <w:szCs w:val="16"/>
        <w:lang w:val="es-ES"/>
      </w:rPr>
      <w:t xml:space="preserve"> (449228)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454E1" w:rsidRPr="004D495C" w:rsidTr="004E3CF5">
      <w:tc>
        <w:tcPr>
          <w:tcW w:w="1526" w:type="dxa"/>
          <w:tcBorders>
            <w:top w:val="single" w:sz="4" w:space="0" w:color="000000"/>
          </w:tcBorders>
          <w:shd w:val="clear" w:color="auto" w:fill="auto"/>
        </w:tcPr>
        <w:p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454E1" w:rsidRPr="004D495C" w:rsidRDefault="00A454E1"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A454E1" w:rsidRPr="00E91EBD" w:rsidRDefault="009D3681" w:rsidP="00E91EBD">
          <w:pPr>
            <w:pStyle w:val="FirstFooter"/>
            <w:rPr>
              <w:sz w:val="18"/>
              <w:szCs w:val="18"/>
            </w:rPr>
          </w:pPr>
          <w:bookmarkStart w:id="16" w:name="OrgName"/>
          <w:bookmarkEnd w:id="16"/>
          <w:r>
            <w:rPr>
              <w:sz w:val="18"/>
              <w:szCs w:val="18"/>
            </w:rPr>
            <w:t>M.</w:t>
          </w:r>
          <w:r w:rsidR="00E91EBD" w:rsidRPr="00D14354">
            <w:rPr>
              <w:sz w:val="18"/>
              <w:szCs w:val="18"/>
              <w:lang w:val="fr-CH"/>
            </w:rPr>
            <w:t xml:space="preserve"> Eun-Jun Kim, Chef du Département de l'innovation et des partenariats Bureau</w:t>
          </w:r>
          <w:r w:rsidR="00E91EBD">
            <w:rPr>
              <w:sz w:val="18"/>
              <w:szCs w:val="18"/>
              <w:lang w:val="fr-CH"/>
            </w:rPr>
            <w:t xml:space="preserve"> de développement des télécommunications</w:t>
          </w:r>
        </w:p>
      </w:tc>
    </w:tr>
    <w:tr w:rsidR="00A454E1" w:rsidRPr="004D495C" w:rsidTr="004E3CF5">
      <w:tc>
        <w:tcPr>
          <w:tcW w:w="1526" w:type="dxa"/>
          <w:shd w:val="clear" w:color="auto" w:fill="auto"/>
        </w:tcPr>
        <w:p w:rsidR="00A454E1" w:rsidRPr="00E91EBD" w:rsidRDefault="00A454E1" w:rsidP="00A454E1">
          <w:pPr>
            <w:pStyle w:val="FirstFooter"/>
            <w:tabs>
              <w:tab w:val="left" w:pos="1559"/>
              <w:tab w:val="left" w:pos="3828"/>
            </w:tabs>
            <w:rPr>
              <w:sz w:val="20"/>
            </w:rPr>
          </w:pPr>
        </w:p>
      </w:tc>
      <w:tc>
        <w:tcPr>
          <w:tcW w:w="2410" w:type="dxa"/>
          <w:shd w:val="clear" w:color="auto" w:fill="auto"/>
        </w:tcPr>
        <w:p w:rsidR="00A454E1" w:rsidRPr="009D3681" w:rsidRDefault="00A454E1" w:rsidP="00A454E1">
          <w:pPr>
            <w:pStyle w:val="FirstFooter"/>
            <w:tabs>
              <w:tab w:val="left" w:pos="2302"/>
            </w:tabs>
            <w:rPr>
              <w:sz w:val="18"/>
              <w:szCs w:val="18"/>
            </w:rPr>
          </w:pPr>
          <w:r w:rsidRPr="009D3681">
            <w:rPr>
              <w:sz w:val="18"/>
              <w:szCs w:val="18"/>
            </w:rPr>
            <w:t>Numéro de téléphone:</w:t>
          </w:r>
        </w:p>
      </w:tc>
      <w:tc>
        <w:tcPr>
          <w:tcW w:w="5987" w:type="dxa"/>
          <w:shd w:val="clear" w:color="auto" w:fill="auto"/>
        </w:tcPr>
        <w:p w:rsidR="00A454E1" w:rsidRPr="009D3681" w:rsidRDefault="00E91EBD" w:rsidP="00A454E1">
          <w:pPr>
            <w:pStyle w:val="FirstFooter"/>
            <w:tabs>
              <w:tab w:val="left" w:pos="2302"/>
            </w:tabs>
            <w:rPr>
              <w:sz w:val="18"/>
              <w:szCs w:val="18"/>
            </w:rPr>
          </w:pPr>
          <w:bookmarkStart w:id="17" w:name="PhoneNo"/>
          <w:bookmarkEnd w:id="17"/>
          <w:r w:rsidRPr="009D3681">
            <w:rPr>
              <w:sz w:val="18"/>
              <w:szCs w:val="18"/>
            </w:rPr>
            <w:t>+41 22 730 5900</w:t>
          </w:r>
        </w:p>
      </w:tc>
    </w:tr>
    <w:tr w:rsidR="00A454E1" w:rsidRPr="009D3681" w:rsidTr="004E3CF5">
      <w:tc>
        <w:tcPr>
          <w:tcW w:w="1526" w:type="dxa"/>
          <w:shd w:val="clear" w:color="auto" w:fill="auto"/>
        </w:tcPr>
        <w:p w:rsidR="00A454E1" w:rsidRPr="009D3681" w:rsidRDefault="00A454E1" w:rsidP="00A454E1">
          <w:pPr>
            <w:pStyle w:val="FirstFooter"/>
            <w:tabs>
              <w:tab w:val="left" w:pos="1559"/>
              <w:tab w:val="left" w:pos="3828"/>
            </w:tabs>
            <w:rPr>
              <w:sz w:val="20"/>
            </w:rPr>
          </w:pPr>
        </w:p>
      </w:tc>
      <w:tc>
        <w:tcPr>
          <w:tcW w:w="2410" w:type="dxa"/>
          <w:shd w:val="clear" w:color="auto" w:fill="auto"/>
        </w:tcPr>
        <w:p w:rsidR="00A454E1" w:rsidRPr="009D3681" w:rsidRDefault="00A454E1" w:rsidP="00A454E1">
          <w:pPr>
            <w:pStyle w:val="FirstFooter"/>
            <w:tabs>
              <w:tab w:val="left" w:pos="2302"/>
            </w:tabs>
            <w:rPr>
              <w:sz w:val="18"/>
              <w:szCs w:val="18"/>
            </w:rPr>
          </w:pPr>
          <w:r w:rsidRPr="009D3681">
            <w:rPr>
              <w:sz w:val="18"/>
              <w:szCs w:val="18"/>
            </w:rPr>
            <w:t>Courriel:</w:t>
          </w:r>
        </w:p>
      </w:tc>
      <w:bookmarkStart w:id="18" w:name="Email"/>
      <w:bookmarkEnd w:id="18"/>
      <w:tc>
        <w:tcPr>
          <w:tcW w:w="5987" w:type="dxa"/>
          <w:shd w:val="clear" w:color="auto" w:fill="auto"/>
        </w:tcPr>
        <w:p w:rsidR="00A454E1" w:rsidRPr="009D3681" w:rsidRDefault="00E91EBD" w:rsidP="00A454E1">
          <w:pPr>
            <w:pStyle w:val="FirstFooter"/>
            <w:tabs>
              <w:tab w:val="left" w:pos="2302"/>
            </w:tabs>
            <w:rPr>
              <w:sz w:val="18"/>
              <w:szCs w:val="18"/>
            </w:rPr>
          </w:pPr>
          <w:r>
            <w:rPr>
              <w:rStyle w:val="Hyperlink"/>
              <w:sz w:val="18"/>
              <w:szCs w:val="18"/>
              <w:lang w:val="en-US"/>
            </w:rPr>
            <w:fldChar w:fldCharType="begin"/>
          </w:r>
          <w:r w:rsidRPr="009D3681">
            <w:rPr>
              <w:rStyle w:val="Hyperlink"/>
              <w:sz w:val="18"/>
              <w:szCs w:val="18"/>
            </w:rPr>
            <w:instrText xml:space="preserve"> HYPERLINK "mailto:eun-ju.kim@itu.int" </w:instrText>
          </w:r>
          <w:r>
            <w:rPr>
              <w:rStyle w:val="Hyperlink"/>
              <w:sz w:val="18"/>
              <w:szCs w:val="18"/>
              <w:lang w:val="en-US"/>
            </w:rPr>
            <w:fldChar w:fldCharType="separate"/>
          </w:r>
          <w:r w:rsidRPr="009D3681">
            <w:rPr>
              <w:rStyle w:val="Hyperlink"/>
              <w:sz w:val="18"/>
              <w:szCs w:val="18"/>
            </w:rPr>
            <w:t>eun-ju.kim@itu.int</w:t>
          </w:r>
          <w:r>
            <w:rPr>
              <w:rStyle w:val="Hyperlink"/>
              <w:sz w:val="18"/>
              <w:szCs w:val="18"/>
              <w:lang w:val="en-US"/>
            </w:rPr>
            <w:fldChar w:fldCharType="end"/>
          </w:r>
        </w:p>
      </w:tc>
    </w:tr>
  </w:tbl>
  <w:p w:rsidR="00A454E1" w:rsidRPr="009D3681" w:rsidRDefault="00A454E1" w:rsidP="00B80157">
    <w:pPr>
      <w:pStyle w:val="Footer"/>
      <w:jc w:val="center"/>
    </w:pPr>
  </w:p>
  <w:p w:rsidR="00721657" w:rsidRPr="008802F9" w:rsidRDefault="00A83480" w:rsidP="00B80157">
    <w:pPr>
      <w:pStyle w:val="Footer"/>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671" w:rsidRDefault="00C15671">
      <w:r>
        <w:t>____________________</w:t>
      </w:r>
    </w:p>
  </w:footnote>
  <w:footnote w:type="continuationSeparator" w:id="0">
    <w:p w:rsidR="00C15671" w:rsidRDefault="00C15671">
      <w:r>
        <w:continuationSeparator/>
      </w:r>
    </w:p>
  </w:footnote>
  <w:footnote w:id="1">
    <w:p w:rsidR="00AA4C35" w:rsidRPr="00C84BEE" w:rsidRDefault="00AA4C35">
      <w:pPr>
        <w:pStyle w:val="FootnoteText"/>
      </w:pPr>
      <w:r>
        <w:rPr>
          <w:rStyle w:val="FootnoteReference"/>
        </w:rPr>
        <w:footnoteRef/>
      </w:r>
      <w:r w:rsidRPr="00C84BEE">
        <w:t xml:space="preserve"> </w:t>
      </w:r>
      <w:r w:rsidRPr="00C84BEE">
        <w:tab/>
        <w:t>Résolution 205 de la PP-18.</w:t>
      </w:r>
    </w:p>
  </w:footnote>
  <w:footnote w:id="2">
    <w:p w:rsidR="00AA4C35" w:rsidRPr="00AA4C35" w:rsidRDefault="00AA4C35">
      <w:pPr>
        <w:pStyle w:val="FootnoteText"/>
      </w:pPr>
      <w:r>
        <w:rPr>
          <w:rStyle w:val="FootnoteReference"/>
        </w:rPr>
        <w:footnoteRef/>
      </w:r>
      <w:r w:rsidRPr="00AA4C35">
        <w:t xml:space="preserve"> </w:t>
      </w:r>
      <w:r w:rsidRPr="00AA4C35">
        <w:tab/>
        <w:t>But stratégique 4 de l'UIT, PP-18.</w:t>
      </w:r>
    </w:p>
  </w:footnote>
  <w:footnote w:id="3">
    <w:p w:rsidR="00AA4C35" w:rsidRPr="00AA4C35" w:rsidRDefault="00AA4C35">
      <w:pPr>
        <w:pStyle w:val="FootnoteText"/>
      </w:pPr>
      <w:r>
        <w:rPr>
          <w:rStyle w:val="FootnoteReference"/>
        </w:rPr>
        <w:footnoteRef/>
      </w:r>
      <w:r w:rsidRPr="00AA4C35">
        <w:t xml:space="preserve"> </w:t>
      </w:r>
      <w:r w:rsidRPr="00AA4C35">
        <w:tab/>
        <w:t>Projets financés par la République de Corée</w:t>
      </w:r>
      <w:r w:rsidR="003E0519">
        <w:t xml:space="preserve"> par exemple</w:t>
      </w:r>
      <w:r w:rsidRPr="00AA4C35">
        <w:t>.</w:t>
      </w:r>
    </w:p>
  </w:footnote>
  <w:footnote w:id="4">
    <w:p w:rsidR="00AA4C35" w:rsidRPr="00AA4C35" w:rsidRDefault="00AA4C35">
      <w:pPr>
        <w:pStyle w:val="FootnoteText"/>
      </w:pPr>
      <w:r>
        <w:rPr>
          <w:rStyle w:val="FootnoteReference"/>
        </w:rPr>
        <w:footnoteRef/>
      </w:r>
      <w:r w:rsidRPr="00AA4C35">
        <w:t xml:space="preserve"> </w:t>
      </w:r>
      <w:r w:rsidRPr="00AA4C35">
        <w:tab/>
        <w:t>Par exemple, Hongrie, ONUDI, GMIS.</w:t>
      </w:r>
    </w:p>
  </w:footnote>
  <w:footnote w:id="5">
    <w:p w:rsidR="00425CE6" w:rsidRPr="00D84FDC" w:rsidRDefault="00425CE6" w:rsidP="00D84FDC">
      <w:pPr>
        <w:pStyle w:val="FootnoteText"/>
        <w:spacing w:before="0"/>
        <w:ind w:left="0" w:firstLine="0"/>
        <w:rPr>
          <w:sz w:val="20"/>
        </w:rPr>
      </w:pPr>
      <w:r w:rsidRPr="002E00CF">
        <w:rPr>
          <w:rStyle w:val="FootnoteReference"/>
          <w:sz w:val="20"/>
        </w:rPr>
        <w:footnoteRef/>
      </w:r>
      <w:r w:rsidR="0085483F">
        <w:rPr>
          <w:sz w:val="20"/>
        </w:rPr>
        <w:tab/>
      </w:r>
      <w:r w:rsidR="004D1109" w:rsidRPr="00D84FDC">
        <w:t>Par exemple</w:t>
      </w:r>
      <w:r w:rsidR="004D1109" w:rsidRPr="00D84FDC">
        <w:rPr>
          <w:sz w:val="20"/>
        </w:rPr>
        <w:t xml:space="preserve"> </w:t>
      </w:r>
      <w:r w:rsidR="00D84FDC" w:rsidRPr="0022437B">
        <w:rPr>
          <w:szCs w:val="24"/>
        </w:rPr>
        <w:t>SMSI</w:t>
      </w:r>
      <w:r w:rsidRPr="0022437B">
        <w:rPr>
          <w:szCs w:val="24"/>
        </w:rPr>
        <w:t xml:space="preserve">, Telecom, </w:t>
      </w:r>
      <w:r w:rsidR="00D84FDC" w:rsidRPr="0022437B">
        <w:rPr>
          <w:szCs w:val="24"/>
        </w:rPr>
        <w:t>Forum pour les jeunes dirigeants du secteur des TIC</w:t>
      </w:r>
      <w:r w:rsidRPr="0022437B">
        <w:rPr>
          <w:szCs w:val="24"/>
        </w:rPr>
        <w:t xml:space="preserve">, </w:t>
      </w:r>
      <w:r w:rsidR="00D84FDC" w:rsidRPr="0022437B">
        <w:rPr>
          <w:szCs w:val="24"/>
        </w:rPr>
        <w:t>bonnes pratiques mondiales</w:t>
      </w:r>
      <w:r w:rsidR="00D84FDC" w:rsidRPr="00D84FDC">
        <w:rPr>
          <w:sz w:val="20"/>
        </w:rPr>
        <w:t>.</w:t>
      </w:r>
    </w:p>
  </w:footnote>
  <w:footnote w:id="6">
    <w:p w:rsidR="00425CE6" w:rsidRPr="00D84FDC" w:rsidRDefault="00425CE6" w:rsidP="0022437B">
      <w:pPr>
        <w:pStyle w:val="FootnoteText"/>
        <w:spacing w:before="0"/>
        <w:ind w:left="0" w:firstLine="0"/>
        <w:rPr>
          <w:sz w:val="20"/>
        </w:rPr>
      </w:pPr>
      <w:r w:rsidRPr="002E00CF">
        <w:rPr>
          <w:rStyle w:val="FootnoteReference"/>
          <w:sz w:val="20"/>
        </w:rPr>
        <w:footnoteRef/>
      </w:r>
      <w:r w:rsidR="0085483F">
        <w:rPr>
          <w:sz w:val="20"/>
        </w:rPr>
        <w:tab/>
      </w:r>
      <w:r w:rsidR="004D1109" w:rsidRPr="00D84FDC">
        <w:t xml:space="preserve">Par </w:t>
      </w:r>
      <w:r w:rsidR="004D1109" w:rsidRPr="0022437B">
        <w:rPr>
          <w:szCs w:val="24"/>
        </w:rPr>
        <w:t xml:space="preserve">exemple </w:t>
      </w:r>
      <w:r w:rsidR="00D52AF1" w:rsidRPr="0022437B">
        <w:rPr>
          <w:szCs w:val="24"/>
        </w:rPr>
        <w:t>F</w:t>
      </w:r>
      <w:r w:rsidR="00D84FDC" w:rsidRPr="0022437B">
        <w:rPr>
          <w:szCs w:val="24"/>
        </w:rPr>
        <w:t>orum</w:t>
      </w:r>
      <w:r w:rsidR="007E2F1F">
        <w:rPr>
          <w:szCs w:val="24"/>
        </w:rPr>
        <w:t xml:space="preserve"> </w:t>
      </w:r>
      <w:r w:rsidR="00D84FDC" w:rsidRPr="0022437B">
        <w:rPr>
          <w:szCs w:val="24"/>
        </w:rPr>
        <w:t>régional de l'innovation</w:t>
      </w:r>
      <w:r w:rsidRPr="0022437B">
        <w:rPr>
          <w:szCs w:val="24"/>
        </w:rPr>
        <w:t>,</w:t>
      </w:r>
      <w:r w:rsidR="00221FCC" w:rsidRPr="0022437B">
        <w:rPr>
          <w:szCs w:val="24"/>
        </w:rPr>
        <w:t xml:space="preserve"> Renforcement des capacités </w:t>
      </w:r>
      <w:r w:rsidR="009B5D5B" w:rsidRPr="0022437B">
        <w:rPr>
          <w:szCs w:val="24"/>
        </w:rPr>
        <w:t>pour les jeunes dirigeants du secteur des TIC</w:t>
      </w:r>
      <w:r w:rsidR="0022437B">
        <w:rPr>
          <w:sz w:val="20"/>
        </w:rPr>
        <w:t>.</w:t>
      </w:r>
    </w:p>
  </w:footnote>
  <w:footnote w:id="7">
    <w:p w:rsidR="00425CE6" w:rsidRPr="00221FCC" w:rsidRDefault="00425CE6" w:rsidP="00221FCC">
      <w:pPr>
        <w:pStyle w:val="FootnoteText"/>
        <w:spacing w:before="0"/>
        <w:ind w:left="0" w:firstLine="0"/>
        <w:rPr>
          <w:sz w:val="20"/>
        </w:rPr>
      </w:pPr>
      <w:r w:rsidRPr="002E00CF">
        <w:rPr>
          <w:rStyle w:val="FootnoteReference"/>
          <w:sz w:val="20"/>
        </w:rPr>
        <w:footnoteRef/>
      </w:r>
      <w:r w:rsidR="0085483F">
        <w:rPr>
          <w:sz w:val="20"/>
        </w:rPr>
        <w:tab/>
      </w:r>
      <w:r w:rsidR="004D1109" w:rsidRPr="00221FCC">
        <w:t xml:space="preserve">Par </w:t>
      </w:r>
      <w:r w:rsidR="004D1109" w:rsidRPr="0022437B">
        <w:rPr>
          <w:szCs w:val="24"/>
        </w:rPr>
        <w:t xml:space="preserve">exemple </w:t>
      </w:r>
      <w:r w:rsidR="00221FCC" w:rsidRPr="0022437B">
        <w:rPr>
          <w:szCs w:val="24"/>
        </w:rPr>
        <w:t>profils d'innovation numérique</w:t>
      </w:r>
      <w:r w:rsidR="007E2F1F">
        <w:rPr>
          <w:szCs w:val="24"/>
        </w:rPr>
        <w:t>,</w:t>
      </w:r>
      <w:r w:rsidRPr="0022437B">
        <w:rPr>
          <w:szCs w:val="24"/>
        </w:rPr>
        <w:t xml:space="preserve"> </w:t>
      </w:r>
      <w:r w:rsidR="00221FCC" w:rsidRPr="0022437B">
        <w:rPr>
          <w:szCs w:val="24"/>
        </w:rPr>
        <w:t>analyses par pays.</w:t>
      </w:r>
    </w:p>
  </w:footnote>
  <w:footnote w:id="8">
    <w:p w:rsidR="00425CE6" w:rsidRPr="0022437B" w:rsidRDefault="00425CE6" w:rsidP="00221FCC">
      <w:pPr>
        <w:pStyle w:val="FootnoteText"/>
        <w:spacing w:before="0"/>
        <w:ind w:left="0" w:firstLine="0"/>
        <w:rPr>
          <w:szCs w:val="24"/>
        </w:rPr>
      </w:pPr>
      <w:r w:rsidRPr="002E00CF">
        <w:rPr>
          <w:rStyle w:val="FootnoteReference"/>
          <w:sz w:val="20"/>
        </w:rPr>
        <w:footnoteRef/>
      </w:r>
      <w:r w:rsidR="0085483F">
        <w:rPr>
          <w:sz w:val="20"/>
        </w:rPr>
        <w:tab/>
      </w:r>
      <w:r w:rsidR="00221FCC" w:rsidRPr="00221FCC">
        <w:t xml:space="preserve">Par </w:t>
      </w:r>
      <w:r w:rsidR="00221FCC" w:rsidRPr="0022437B">
        <w:rPr>
          <w:szCs w:val="24"/>
        </w:rPr>
        <w:t>exemple</w:t>
      </w:r>
      <w:r w:rsidR="007E2F1F">
        <w:rPr>
          <w:szCs w:val="24"/>
        </w:rPr>
        <w:t xml:space="preserve"> </w:t>
      </w:r>
      <w:r w:rsidR="00221FCC" w:rsidRPr="0022437B">
        <w:rPr>
          <w:szCs w:val="24"/>
        </w:rPr>
        <w:t>services de conseil pour des projets en matière d'innovation</w:t>
      </w:r>
      <w:r w:rsidR="0022437B">
        <w:rPr>
          <w:szCs w:val="24"/>
        </w:rPr>
        <w:t>.</w:t>
      </w:r>
    </w:p>
  </w:footnote>
  <w:footnote w:id="9">
    <w:p w:rsidR="009E4728" w:rsidRPr="001E51B9" w:rsidRDefault="009E4728" w:rsidP="001E51B9">
      <w:pPr>
        <w:pStyle w:val="FootnoteText"/>
        <w:spacing w:before="0"/>
        <w:ind w:left="0" w:firstLine="0"/>
        <w:rPr>
          <w:sz w:val="20"/>
        </w:rPr>
      </w:pPr>
      <w:r w:rsidRPr="0024448B">
        <w:rPr>
          <w:rStyle w:val="FootnoteReference"/>
          <w:sz w:val="20"/>
        </w:rPr>
        <w:footnoteRef/>
      </w:r>
      <w:r w:rsidR="00451363" w:rsidRPr="001E51B9">
        <w:rPr>
          <w:sz w:val="20"/>
        </w:rPr>
        <w:tab/>
      </w:r>
      <w:r w:rsidR="001E51B9">
        <w:rPr>
          <w:color w:val="000000"/>
        </w:rPr>
        <w:t>Organisation des Nations Unies pour le développement industriel</w:t>
      </w:r>
      <w:r w:rsidR="009D3681">
        <w:rPr>
          <w:color w:val="000000"/>
        </w:rPr>
        <w:t>.</w:t>
      </w:r>
    </w:p>
  </w:footnote>
  <w:footnote w:id="10">
    <w:p w:rsidR="009E4728" w:rsidRPr="001E51B9" w:rsidRDefault="009E4728" w:rsidP="001E51B9">
      <w:pPr>
        <w:pStyle w:val="FootnoteText"/>
        <w:spacing w:before="0"/>
        <w:ind w:left="0" w:firstLine="0"/>
        <w:rPr>
          <w:sz w:val="20"/>
        </w:rPr>
      </w:pPr>
      <w:r w:rsidRPr="0024448B">
        <w:rPr>
          <w:rStyle w:val="FootnoteReference"/>
          <w:sz w:val="20"/>
        </w:rPr>
        <w:footnoteRef/>
      </w:r>
      <w:r w:rsidR="00451363" w:rsidRPr="001E51B9">
        <w:rPr>
          <w:sz w:val="20"/>
        </w:rPr>
        <w:tab/>
      </w:r>
      <w:r w:rsidR="001E51B9">
        <w:rPr>
          <w:color w:val="000000"/>
        </w:rPr>
        <w:t>Sommet mondial sur la production industrielle et l'industrialisation</w:t>
      </w:r>
      <w:r w:rsidR="009D3681">
        <w:rPr>
          <w:color w:val="000000"/>
        </w:rPr>
        <w:t>.</w:t>
      </w:r>
    </w:p>
  </w:footnote>
  <w:footnote w:id="11">
    <w:p w:rsidR="00451363" w:rsidRPr="0081223E" w:rsidRDefault="00451363" w:rsidP="00157977">
      <w:pPr>
        <w:pStyle w:val="FootnoteText"/>
        <w:spacing w:before="0"/>
        <w:ind w:left="0" w:firstLine="0"/>
        <w:rPr>
          <w:szCs w:val="24"/>
        </w:rPr>
      </w:pPr>
      <w:r w:rsidRPr="0024448B">
        <w:rPr>
          <w:rStyle w:val="FootnoteReference"/>
          <w:sz w:val="20"/>
        </w:rPr>
        <w:footnoteRef/>
      </w:r>
      <w:r w:rsidRPr="00231017">
        <w:rPr>
          <w:sz w:val="20"/>
        </w:rPr>
        <w:tab/>
      </w:r>
      <w:r w:rsidR="00231017" w:rsidRPr="0081223E">
        <w:rPr>
          <w:szCs w:val="24"/>
        </w:rPr>
        <w:t xml:space="preserve">Mémorandum d'accord entre la ville de Busan et l'UIT </w:t>
      </w:r>
      <w:r w:rsidR="005E69BE" w:rsidRPr="0081223E">
        <w:rPr>
          <w:szCs w:val="24"/>
        </w:rPr>
        <w:t>conclu lors de</w:t>
      </w:r>
      <w:r w:rsidR="00231017" w:rsidRPr="0081223E">
        <w:rPr>
          <w:szCs w:val="24"/>
        </w:rPr>
        <w:t xml:space="preserve"> la </w:t>
      </w:r>
      <w:r w:rsidR="00231017" w:rsidRPr="0081223E">
        <w:rPr>
          <w:color w:val="000000" w:themeColor="text1"/>
          <w:szCs w:val="24"/>
        </w:rPr>
        <w:t>PP-</w:t>
      </w:r>
      <w:r w:rsidRPr="0081223E">
        <w:rPr>
          <w:color w:val="000000" w:themeColor="text1"/>
          <w:szCs w:val="24"/>
        </w:rPr>
        <w:t>14</w:t>
      </w:r>
      <w:r w:rsidR="005E69BE" w:rsidRPr="0081223E">
        <w:rPr>
          <w:color w:val="000000" w:themeColor="text1"/>
          <w:szCs w:val="24"/>
        </w:rPr>
        <w:t>.</w:t>
      </w:r>
    </w:p>
  </w:footnote>
  <w:footnote w:id="12">
    <w:p w:rsidR="00206303" w:rsidRPr="00415FFF" w:rsidRDefault="00206303" w:rsidP="00231017">
      <w:pPr>
        <w:pStyle w:val="FootnoteText"/>
        <w:spacing w:before="0"/>
        <w:ind w:left="0" w:firstLine="0"/>
        <w:rPr>
          <w:szCs w:val="24"/>
        </w:rPr>
      </w:pPr>
      <w:r w:rsidRPr="0024448B">
        <w:rPr>
          <w:rStyle w:val="FootnoteReference"/>
          <w:sz w:val="20"/>
        </w:rPr>
        <w:footnoteRef/>
      </w:r>
      <w:r w:rsidR="00FC4B71" w:rsidRPr="00231017">
        <w:rPr>
          <w:sz w:val="20"/>
        </w:rPr>
        <w:tab/>
      </w:r>
      <w:r w:rsidR="00231017" w:rsidRPr="00415FFF">
        <w:rPr>
          <w:szCs w:val="24"/>
        </w:rPr>
        <w:t>L'Université métropolitaine d'Oslo est un établissement universitaire p</w:t>
      </w:r>
      <w:r w:rsidR="00415FFF">
        <w:rPr>
          <w:szCs w:val="24"/>
        </w:rPr>
        <w:t>articipant aux travaux de l'UIT.</w:t>
      </w:r>
    </w:p>
  </w:footnote>
  <w:footnote w:id="13">
    <w:p w:rsidR="0074590A" w:rsidRPr="004E6B5E" w:rsidRDefault="0074590A" w:rsidP="00AE199C">
      <w:pPr>
        <w:pStyle w:val="FootnoteText"/>
        <w:spacing w:before="0"/>
        <w:ind w:left="0" w:firstLine="0"/>
        <w:rPr>
          <w:sz w:val="20"/>
          <w:lang w:val="fr-FR"/>
        </w:rPr>
      </w:pPr>
      <w:r w:rsidRPr="0024448B">
        <w:rPr>
          <w:rStyle w:val="FootnoteReference"/>
          <w:sz w:val="20"/>
        </w:rPr>
        <w:footnoteRef/>
      </w:r>
      <w:r w:rsidRPr="004E6B5E">
        <w:rPr>
          <w:sz w:val="20"/>
          <w:lang w:val="fr-FR"/>
        </w:rPr>
        <w:tab/>
      </w:r>
      <w:r w:rsidR="00AE199C" w:rsidRPr="004E6B5E">
        <w:rPr>
          <w:szCs w:val="24"/>
          <w:lang w:val="fr-FR"/>
        </w:rPr>
        <w:t>Projet financé par la République de Corée.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E91EBD" w:rsidRDefault="00A525CC" w:rsidP="00E91EBD">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8F20EB">
      <w:rPr>
        <w:sz w:val="22"/>
        <w:szCs w:val="22"/>
        <w:lang w:val="de-CH"/>
      </w:rPr>
      <w:t>-</w:t>
    </w:r>
    <w:r w:rsidRPr="00A54E72">
      <w:rPr>
        <w:sz w:val="22"/>
        <w:szCs w:val="22"/>
        <w:lang w:val="de-CH"/>
      </w:rPr>
      <w:t>1</w:t>
    </w:r>
    <w:r w:rsidR="00D87E6C">
      <w:rPr>
        <w:sz w:val="22"/>
        <w:szCs w:val="22"/>
        <w:lang w:val="de-CH"/>
      </w:rPr>
      <w:t>9</w:t>
    </w:r>
    <w:r w:rsidRPr="00A54E72">
      <w:rPr>
        <w:sz w:val="22"/>
        <w:szCs w:val="22"/>
        <w:lang w:val="de-CH"/>
      </w:rPr>
      <w:t>/</w:t>
    </w:r>
    <w:r w:rsidR="00E91EBD">
      <w:rPr>
        <w:sz w:val="22"/>
        <w:szCs w:val="22"/>
        <w:lang w:val="de-CH"/>
      </w:rPr>
      <w:t>22</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83480">
      <w:rPr>
        <w:noProof/>
        <w:sz w:val="22"/>
        <w:szCs w:val="22"/>
        <w:lang w:val="de-CH"/>
      </w:rPr>
      <w:t>8</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86A"/>
    <w:multiLevelType w:val="hybridMultilevel"/>
    <w:tmpl w:val="811EC538"/>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 w15:restartNumberingAfterBreak="0">
    <w:nsid w:val="4F1E0670"/>
    <w:multiLevelType w:val="hybridMultilevel"/>
    <w:tmpl w:val="5A340BE0"/>
    <w:lvl w:ilvl="0" w:tplc="9CDC48F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C31E126-7100-4851-AA4E-6BA6A5C51913}"/>
    <w:docVar w:name="dgnword-eventsink" w:val="523131848"/>
  </w:docVars>
  <w:rsids>
    <w:rsidRoot w:val="00C15671"/>
    <w:rsid w:val="00000ADC"/>
    <w:rsid w:val="00002716"/>
    <w:rsid w:val="00005791"/>
    <w:rsid w:val="00010827"/>
    <w:rsid w:val="00015089"/>
    <w:rsid w:val="0002520B"/>
    <w:rsid w:val="00037A9E"/>
    <w:rsid w:val="00037F91"/>
    <w:rsid w:val="00052F6D"/>
    <w:rsid w:val="000539F1"/>
    <w:rsid w:val="00054747"/>
    <w:rsid w:val="00055A2A"/>
    <w:rsid w:val="000615C1"/>
    <w:rsid w:val="00061675"/>
    <w:rsid w:val="000743AA"/>
    <w:rsid w:val="0009225C"/>
    <w:rsid w:val="000A17C4"/>
    <w:rsid w:val="000A36A4"/>
    <w:rsid w:val="000B1EE1"/>
    <w:rsid w:val="000B2352"/>
    <w:rsid w:val="000C07AF"/>
    <w:rsid w:val="000C61E9"/>
    <w:rsid w:val="000C7B84"/>
    <w:rsid w:val="000D261B"/>
    <w:rsid w:val="000D58A3"/>
    <w:rsid w:val="000E040F"/>
    <w:rsid w:val="000E3BF5"/>
    <w:rsid w:val="000E3ED4"/>
    <w:rsid w:val="000E3F9C"/>
    <w:rsid w:val="000F1550"/>
    <w:rsid w:val="000F251B"/>
    <w:rsid w:val="000F51B6"/>
    <w:rsid w:val="000F5FE8"/>
    <w:rsid w:val="000F6644"/>
    <w:rsid w:val="00100833"/>
    <w:rsid w:val="00102F72"/>
    <w:rsid w:val="00107E85"/>
    <w:rsid w:val="00113EE8"/>
    <w:rsid w:val="0011455A"/>
    <w:rsid w:val="00114A65"/>
    <w:rsid w:val="00133061"/>
    <w:rsid w:val="00141699"/>
    <w:rsid w:val="00147000"/>
    <w:rsid w:val="00156BF6"/>
    <w:rsid w:val="00157977"/>
    <w:rsid w:val="00163091"/>
    <w:rsid w:val="001645CB"/>
    <w:rsid w:val="00166305"/>
    <w:rsid w:val="00167545"/>
    <w:rsid w:val="001703C6"/>
    <w:rsid w:val="0017231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E51B9"/>
    <w:rsid w:val="001F144D"/>
    <w:rsid w:val="001F23E6"/>
    <w:rsid w:val="001F4238"/>
    <w:rsid w:val="00200A38"/>
    <w:rsid w:val="00200A46"/>
    <w:rsid w:val="00202F0E"/>
    <w:rsid w:val="00206303"/>
    <w:rsid w:val="00211B6F"/>
    <w:rsid w:val="0021438F"/>
    <w:rsid w:val="00217CC3"/>
    <w:rsid w:val="00220AB6"/>
    <w:rsid w:val="0022120F"/>
    <w:rsid w:val="00221FCC"/>
    <w:rsid w:val="0022437B"/>
    <w:rsid w:val="0022754A"/>
    <w:rsid w:val="00231017"/>
    <w:rsid w:val="00236560"/>
    <w:rsid w:val="0023662E"/>
    <w:rsid w:val="002441E5"/>
    <w:rsid w:val="00245D0F"/>
    <w:rsid w:val="002548C3"/>
    <w:rsid w:val="00257ACD"/>
    <w:rsid w:val="00262908"/>
    <w:rsid w:val="002650F4"/>
    <w:rsid w:val="002715FD"/>
    <w:rsid w:val="002770B1"/>
    <w:rsid w:val="00285B33"/>
    <w:rsid w:val="00287A3C"/>
    <w:rsid w:val="00292E2B"/>
    <w:rsid w:val="00293EDD"/>
    <w:rsid w:val="002A2FC6"/>
    <w:rsid w:val="002C1EC7"/>
    <w:rsid w:val="002C273E"/>
    <w:rsid w:val="002C4342"/>
    <w:rsid w:val="002C7EA3"/>
    <w:rsid w:val="002D20AE"/>
    <w:rsid w:val="002D6C61"/>
    <w:rsid w:val="002E2104"/>
    <w:rsid w:val="002E2DAC"/>
    <w:rsid w:val="002E6963"/>
    <w:rsid w:val="002E6F8F"/>
    <w:rsid w:val="002F05D8"/>
    <w:rsid w:val="002F0682"/>
    <w:rsid w:val="002F2DE0"/>
    <w:rsid w:val="002F5E25"/>
    <w:rsid w:val="0030353C"/>
    <w:rsid w:val="00310A4B"/>
    <w:rsid w:val="003125C3"/>
    <w:rsid w:val="00312AE6"/>
    <w:rsid w:val="00317D1A"/>
    <w:rsid w:val="003211FF"/>
    <w:rsid w:val="00323321"/>
    <w:rsid w:val="00323587"/>
    <w:rsid w:val="00327247"/>
    <w:rsid w:val="00327A9D"/>
    <w:rsid w:val="0033130E"/>
    <w:rsid w:val="0033269C"/>
    <w:rsid w:val="00343632"/>
    <w:rsid w:val="0034759E"/>
    <w:rsid w:val="0035516C"/>
    <w:rsid w:val="00355A4C"/>
    <w:rsid w:val="003604FB"/>
    <w:rsid w:val="00360B73"/>
    <w:rsid w:val="00370952"/>
    <w:rsid w:val="00380B71"/>
    <w:rsid w:val="0038365A"/>
    <w:rsid w:val="00386A89"/>
    <w:rsid w:val="0039648E"/>
    <w:rsid w:val="003A5AFE"/>
    <w:rsid w:val="003A5D5F"/>
    <w:rsid w:val="003A7FFE"/>
    <w:rsid w:val="003B0A63"/>
    <w:rsid w:val="003B50E1"/>
    <w:rsid w:val="003C1746"/>
    <w:rsid w:val="003C2AA9"/>
    <w:rsid w:val="003C58BF"/>
    <w:rsid w:val="003C7192"/>
    <w:rsid w:val="003D2268"/>
    <w:rsid w:val="003D451D"/>
    <w:rsid w:val="003E0519"/>
    <w:rsid w:val="003F2DD8"/>
    <w:rsid w:val="003F3F2D"/>
    <w:rsid w:val="003F50B2"/>
    <w:rsid w:val="00400CCF"/>
    <w:rsid w:val="00401BFF"/>
    <w:rsid w:val="00404424"/>
    <w:rsid w:val="0041156B"/>
    <w:rsid w:val="004122C5"/>
    <w:rsid w:val="00413B78"/>
    <w:rsid w:val="00415FFF"/>
    <w:rsid w:val="00416DDE"/>
    <w:rsid w:val="00425CE6"/>
    <w:rsid w:val="0044411E"/>
    <w:rsid w:val="00451363"/>
    <w:rsid w:val="00453435"/>
    <w:rsid w:val="00455711"/>
    <w:rsid w:val="00461F5B"/>
    <w:rsid w:val="00466398"/>
    <w:rsid w:val="0047306D"/>
    <w:rsid w:val="00473791"/>
    <w:rsid w:val="00476E48"/>
    <w:rsid w:val="00481DE9"/>
    <w:rsid w:val="00486CDF"/>
    <w:rsid w:val="0049128B"/>
    <w:rsid w:val="00493B49"/>
    <w:rsid w:val="00495501"/>
    <w:rsid w:val="004A070A"/>
    <w:rsid w:val="004A320E"/>
    <w:rsid w:val="004A4E9C"/>
    <w:rsid w:val="004B1A3C"/>
    <w:rsid w:val="004C2A9E"/>
    <w:rsid w:val="004D1109"/>
    <w:rsid w:val="004D2CC3"/>
    <w:rsid w:val="004D35CB"/>
    <w:rsid w:val="004E0C6E"/>
    <w:rsid w:val="004E20E5"/>
    <w:rsid w:val="004E64EA"/>
    <w:rsid w:val="004E6B5E"/>
    <w:rsid w:val="004E7828"/>
    <w:rsid w:val="004F2EF9"/>
    <w:rsid w:val="004F46AA"/>
    <w:rsid w:val="004F6A70"/>
    <w:rsid w:val="00500AD7"/>
    <w:rsid w:val="00502ABF"/>
    <w:rsid w:val="00504DB0"/>
    <w:rsid w:val="00507C35"/>
    <w:rsid w:val="00510735"/>
    <w:rsid w:val="00514D2F"/>
    <w:rsid w:val="005425EF"/>
    <w:rsid w:val="0054420E"/>
    <w:rsid w:val="00544D1B"/>
    <w:rsid w:val="00545DC0"/>
    <w:rsid w:val="00545F6C"/>
    <w:rsid w:val="005477D9"/>
    <w:rsid w:val="00556728"/>
    <w:rsid w:val="0055720C"/>
    <w:rsid w:val="005632DD"/>
    <w:rsid w:val="0056423B"/>
    <w:rsid w:val="00573424"/>
    <w:rsid w:val="0057402F"/>
    <w:rsid w:val="00581728"/>
    <w:rsid w:val="005826A8"/>
    <w:rsid w:val="005849D6"/>
    <w:rsid w:val="00585367"/>
    <w:rsid w:val="00586A35"/>
    <w:rsid w:val="005871A1"/>
    <w:rsid w:val="0058737E"/>
    <w:rsid w:val="00590E57"/>
    <w:rsid w:val="005921A7"/>
    <w:rsid w:val="00592518"/>
    <w:rsid w:val="00592E87"/>
    <w:rsid w:val="00594C4D"/>
    <w:rsid w:val="005A33B0"/>
    <w:rsid w:val="005B5CC2"/>
    <w:rsid w:val="005C095D"/>
    <w:rsid w:val="005C2DC2"/>
    <w:rsid w:val="005C304A"/>
    <w:rsid w:val="005C3D69"/>
    <w:rsid w:val="005C7C98"/>
    <w:rsid w:val="005D55A4"/>
    <w:rsid w:val="005D57C8"/>
    <w:rsid w:val="005D7761"/>
    <w:rsid w:val="005E0278"/>
    <w:rsid w:val="005E0786"/>
    <w:rsid w:val="005E090D"/>
    <w:rsid w:val="005E3CA0"/>
    <w:rsid w:val="005E44B1"/>
    <w:rsid w:val="005E67B0"/>
    <w:rsid w:val="005E69BE"/>
    <w:rsid w:val="005E7047"/>
    <w:rsid w:val="005E777F"/>
    <w:rsid w:val="005F1CA7"/>
    <w:rsid w:val="005F43DD"/>
    <w:rsid w:val="005F51A9"/>
    <w:rsid w:val="005F6BE1"/>
    <w:rsid w:val="005F7416"/>
    <w:rsid w:val="00600A63"/>
    <w:rsid w:val="00600C11"/>
    <w:rsid w:val="00606B89"/>
    <w:rsid w:val="00611EAF"/>
    <w:rsid w:val="00623F30"/>
    <w:rsid w:val="00625FB8"/>
    <w:rsid w:val="006261BD"/>
    <w:rsid w:val="00635EDB"/>
    <w:rsid w:val="0064734E"/>
    <w:rsid w:val="00650137"/>
    <w:rsid w:val="006509D7"/>
    <w:rsid w:val="00651CE8"/>
    <w:rsid w:val="0065521B"/>
    <w:rsid w:val="006672D2"/>
    <w:rsid w:val="00671EF6"/>
    <w:rsid w:val="0067205B"/>
    <w:rsid w:val="006748F8"/>
    <w:rsid w:val="00680489"/>
    <w:rsid w:val="00683C32"/>
    <w:rsid w:val="00690BB2"/>
    <w:rsid w:val="00693D09"/>
    <w:rsid w:val="006A3433"/>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351A7"/>
    <w:rsid w:val="00741337"/>
    <w:rsid w:val="0074590A"/>
    <w:rsid w:val="00752258"/>
    <w:rsid w:val="007529E1"/>
    <w:rsid w:val="00762880"/>
    <w:rsid w:val="00762AD6"/>
    <w:rsid w:val="00762E02"/>
    <w:rsid w:val="00770805"/>
    <w:rsid w:val="00772290"/>
    <w:rsid w:val="00775999"/>
    <w:rsid w:val="00777265"/>
    <w:rsid w:val="007805E7"/>
    <w:rsid w:val="0078222A"/>
    <w:rsid w:val="00787D48"/>
    <w:rsid w:val="00795294"/>
    <w:rsid w:val="007A4E50"/>
    <w:rsid w:val="007B18A7"/>
    <w:rsid w:val="007B250E"/>
    <w:rsid w:val="007C27FC"/>
    <w:rsid w:val="007C51FF"/>
    <w:rsid w:val="007D50E4"/>
    <w:rsid w:val="007E03B7"/>
    <w:rsid w:val="007E2F1F"/>
    <w:rsid w:val="007E6A4F"/>
    <w:rsid w:val="007F1CC7"/>
    <w:rsid w:val="008027AC"/>
    <w:rsid w:val="008028CE"/>
    <w:rsid w:val="0080332E"/>
    <w:rsid w:val="0081223E"/>
    <w:rsid w:val="008141E0"/>
    <w:rsid w:val="00814662"/>
    <w:rsid w:val="00816EE1"/>
    <w:rsid w:val="00816F88"/>
    <w:rsid w:val="00822323"/>
    <w:rsid w:val="00827BC6"/>
    <w:rsid w:val="008300AD"/>
    <w:rsid w:val="00830A5C"/>
    <w:rsid w:val="00833024"/>
    <w:rsid w:val="00836BDB"/>
    <w:rsid w:val="008419B1"/>
    <w:rsid w:val="008428A3"/>
    <w:rsid w:val="00844A56"/>
    <w:rsid w:val="00845B11"/>
    <w:rsid w:val="00851060"/>
    <w:rsid w:val="00852081"/>
    <w:rsid w:val="0085483F"/>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478"/>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4CD1"/>
    <w:rsid w:val="00997358"/>
    <w:rsid w:val="009A3FFA"/>
    <w:rsid w:val="009A452B"/>
    <w:rsid w:val="009B050C"/>
    <w:rsid w:val="009B087F"/>
    <w:rsid w:val="009B2AF4"/>
    <w:rsid w:val="009B5D5B"/>
    <w:rsid w:val="009C110B"/>
    <w:rsid w:val="009C259A"/>
    <w:rsid w:val="009C37F8"/>
    <w:rsid w:val="009C5441"/>
    <w:rsid w:val="009D119F"/>
    <w:rsid w:val="009D3681"/>
    <w:rsid w:val="009D49A2"/>
    <w:rsid w:val="009E2E4A"/>
    <w:rsid w:val="009E4728"/>
    <w:rsid w:val="009E5BE4"/>
    <w:rsid w:val="009F3940"/>
    <w:rsid w:val="009F3EB2"/>
    <w:rsid w:val="009F6EB1"/>
    <w:rsid w:val="00A10AB1"/>
    <w:rsid w:val="00A11D05"/>
    <w:rsid w:val="00A13162"/>
    <w:rsid w:val="00A20267"/>
    <w:rsid w:val="00A3158C"/>
    <w:rsid w:val="00A32DF3"/>
    <w:rsid w:val="00A33E32"/>
    <w:rsid w:val="00A35E20"/>
    <w:rsid w:val="00A36F6D"/>
    <w:rsid w:val="00A454E1"/>
    <w:rsid w:val="00A50CA0"/>
    <w:rsid w:val="00A525CC"/>
    <w:rsid w:val="00A53E7C"/>
    <w:rsid w:val="00A559CB"/>
    <w:rsid w:val="00A60087"/>
    <w:rsid w:val="00A705E8"/>
    <w:rsid w:val="00A721F4"/>
    <w:rsid w:val="00A7345E"/>
    <w:rsid w:val="00A81325"/>
    <w:rsid w:val="00A83480"/>
    <w:rsid w:val="00A9392C"/>
    <w:rsid w:val="00A9462B"/>
    <w:rsid w:val="00A97D59"/>
    <w:rsid w:val="00AA3E09"/>
    <w:rsid w:val="00AA4BEF"/>
    <w:rsid w:val="00AA4C35"/>
    <w:rsid w:val="00AB1659"/>
    <w:rsid w:val="00AB4962"/>
    <w:rsid w:val="00AB734E"/>
    <w:rsid w:val="00AB740F"/>
    <w:rsid w:val="00AC6F14"/>
    <w:rsid w:val="00AC7221"/>
    <w:rsid w:val="00AE199C"/>
    <w:rsid w:val="00AE39D5"/>
    <w:rsid w:val="00AE5961"/>
    <w:rsid w:val="00AE7872"/>
    <w:rsid w:val="00AF0745"/>
    <w:rsid w:val="00AF0EDA"/>
    <w:rsid w:val="00AF4971"/>
    <w:rsid w:val="00AF5276"/>
    <w:rsid w:val="00AF7C86"/>
    <w:rsid w:val="00B01046"/>
    <w:rsid w:val="00B310F9"/>
    <w:rsid w:val="00B37866"/>
    <w:rsid w:val="00B412FB"/>
    <w:rsid w:val="00B4576B"/>
    <w:rsid w:val="00B46350"/>
    <w:rsid w:val="00B46DF3"/>
    <w:rsid w:val="00B533E9"/>
    <w:rsid w:val="00B60A39"/>
    <w:rsid w:val="00B6434E"/>
    <w:rsid w:val="00B66E8F"/>
    <w:rsid w:val="00B80157"/>
    <w:rsid w:val="00B83D5E"/>
    <w:rsid w:val="00B8460A"/>
    <w:rsid w:val="00B8650D"/>
    <w:rsid w:val="00B879B4"/>
    <w:rsid w:val="00B90F07"/>
    <w:rsid w:val="00B97BB9"/>
    <w:rsid w:val="00BA0009"/>
    <w:rsid w:val="00BA3639"/>
    <w:rsid w:val="00BB1863"/>
    <w:rsid w:val="00BB25EE"/>
    <w:rsid w:val="00BB363A"/>
    <w:rsid w:val="00BC10A0"/>
    <w:rsid w:val="00BC7BA2"/>
    <w:rsid w:val="00BD426B"/>
    <w:rsid w:val="00BD576E"/>
    <w:rsid w:val="00BD79F0"/>
    <w:rsid w:val="00BE2B4D"/>
    <w:rsid w:val="00C015F8"/>
    <w:rsid w:val="00C07E26"/>
    <w:rsid w:val="00C1011C"/>
    <w:rsid w:val="00C12F94"/>
    <w:rsid w:val="00C15671"/>
    <w:rsid w:val="00C177C5"/>
    <w:rsid w:val="00C20CF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4BEE"/>
    <w:rsid w:val="00C86600"/>
    <w:rsid w:val="00C87BCA"/>
    <w:rsid w:val="00C87EED"/>
    <w:rsid w:val="00C94506"/>
    <w:rsid w:val="00C954BC"/>
    <w:rsid w:val="00CA1F0B"/>
    <w:rsid w:val="00CA7BB9"/>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06EBF"/>
    <w:rsid w:val="00D10FC7"/>
    <w:rsid w:val="00D1519F"/>
    <w:rsid w:val="00D20E99"/>
    <w:rsid w:val="00D21C83"/>
    <w:rsid w:val="00D35BDD"/>
    <w:rsid w:val="00D52AF1"/>
    <w:rsid w:val="00D5468D"/>
    <w:rsid w:val="00D60E19"/>
    <w:rsid w:val="00D63006"/>
    <w:rsid w:val="00D71E3A"/>
    <w:rsid w:val="00D72301"/>
    <w:rsid w:val="00D84FDC"/>
    <w:rsid w:val="00D87E6C"/>
    <w:rsid w:val="00D90E76"/>
    <w:rsid w:val="00D911DE"/>
    <w:rsid w:val="00D91B97"/>
    <w:rsid w:val="00D93ACC"/>
    <w:rsid w:val="00D93C08"/>
    <w:rsid w:val="00D95DAC"/>
    <w:rsid w:val="00D96423"/>
    <w:rsid w:val="00DA0B53"/>
    <w:rsid w:val="00DB1171"/>
    <w:rsid w:val="00DB1519"/>
    <w:rsid w:val="00DB2840"/>
    <w:rsid w:val="00DC1BD3"/>
    <w:rsid w:val="00DC2C1A"/>
    <w:rsid w:val="00DC4D77"/>
    <w:rsid w:val="00DD66B4"/>
    <w:rsid w:val="00DE1972"/>
    <w:rsid w:val="00DE2313"/>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0377"/>
    <w:rsid w:val="00E55807"/>
    <w:rsid w:val="00E5733F"/>
    <w:rsid w:val="00E63B14"/>
    <w:rsid w:val="00E65CA0"/>
    <w:rsid w:val="00E70494"/>
    <w:rsid w:val="00E70D9F"/>
    <w:rsid w:val="00E73691"/>
    <w:rsid w:val="00E83810"/>
    <w:rsid w:val="00E86933"/>
    <w:rsid w:val="00E86D82"/>
    <w:rsid w:val="00E91EBD"/>
    <w:rsid w:val="00E9605B"/>
    <w:rsid w:val="00E97298"/>
    <w:rsid w:val="00E97753"/>
    <w:rsid w:val="00E9780D"/>
    <w:rsid w:val="00EA7DE7"/>
    <w:rsid w:val="00EB7196"/>
    <w:rsid w:val="00EB7A8A"/>
    <w:rsid w:val="00EC0DA4"/>
    <w:rsid w:val="00EE3A64"/>
    <w:rsid w:val="00EE50E5"/>
    <w:rsid w:val="00EF01CF"/>
    <w:rsid w:val="00F03590"/>
    <w:rsid w:val="00F03622"/>
    <w:rsid w:val="00F077FD"/>
    <w:rsid w:val="00F15307"/>
    <w:rsid w:val="00F204F3"/>
    <w:rsid w:val="00F218AB"/>
    <w:rsid w:val="00F238B3"/>
    <w:rsid w:val="00F24FED"/>
    <w:rsid w:val="00F25586"/>
    <w:rsid w:val="00F2651D"/>
    <w:rsid w:val="00F27362"/>
    <w:rsid w:val="00F31498"/>
    <w:rsid w:val="00F32FEF"/>
    <w:rsid w:val="00F36294"/>
    <w:rsid w:val="00F41B1C"/>
    <w:rsid w:val="00F42E13"/>
    <w:rsid w:val="00F42F1C"/>
    <w:rsid w:val="00F43B44"/>
    <w:rsid w:val="00F440E5"/>
    <w:rsid w:val="00F448F6"/>
    <w:rsid w:val="00F52741"/>
    <w:rsid w:val="00F53D8A"/>
    <w:rsid w:val="00F626F7"/>
    <w:rsid w:val="00F736F9"/>
    <w:rsid w:val="00F73833"/>
    <w:rsid w:val="00F758FA"/>
    <w:rsid w:val="00F85E7A"/>
    <w:rsid w:val="00F9211C"/>
    <w:rsid w:val="00FA095D"/>
    <w:rsid w:val="00FA6C8B"/>
    <w:rsid w:val="00FA7C89"/>
    <w:rsid w:val="00FB3E99"/>
    <w:rsid w:val="00FB4139"/>
    <w:rsid w:val="00FB476E"/>
    <w:rsid w:val="00FC0D90"/>
    <w:rsid w:val="00FC2E67"/>
    <w:rsid w:val="00FC4B71"/>
    <w:rsid w:val="00FC7D8C"/>
    <w:rsid w:val="00FD3980"/>
    <w:rsid w:val="00FD431E"/>
    <w:rsid w:val="00FD5A2C"/>
    <w:rsid w:val="00FE0D47"/>
    <w:rsid w:val="00FE1D5C"/>
    <w:rsid w:val="00FE2F8B"/>
    <w:rsid w:val="00FE3669"/>
    <w:rsid w:val="00FE5204"/>
    <w:rsid w:val="00FF287F"/>
    <w:rsid w:val="00FF3D82"/>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E143B38-E292-4CA0-B321-51196A2A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semiHidden/>
    <w:unhideWhenUsed/>
    <w:rsid w:val="00E86D82"/>
    <w:rPr>
      <w:color w:val="800080" w:themeColor="followedHyperlink"/>
      <w:u w:val="single"/>
    </w:rPr>
  </w:style>
  <w:style w:type="character" w:customStyle="1" w:styleId="ListParagraphChar">
    <w:name w:val="List Paragraph Char"/>
    <w:aliases w:val="List Paragraph1 Char,Recommendation Char,List Paragraph11 Char"/>
    <w:basedOn w:val="DefaultParagraphFont"/>
    <w:link w:val="ListParagraph"/>
    <w:uiPriority w:val="34"/>
    <w:locked/>
    <w:rsid w:val="00E86D82"/>
    <w:rPr>
      <w:rFonts w:asciiTheme="minorHAnsi" w:hAnsiTheme="minorHAnsi"/>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net4/Telecom/webs/TelecomWorld/session/description/C-00005003" TargetMode="External"/><Relationship Id="rId18" Type="http://schemas.openxmlformats.org/officeDocument/2006/relationships/hyperlink" Target="https://www.itu.int/en/ITU-D/Innovation/Documents/Publications/eBAT_Brochure&#8211;DIP%20BosniaH_431106_.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en/ITU-D/Innovation/Documents/Publications/Brochure&#8211;DIP%20South%20Africa.pdf" TargetMode="External"/><Relationship Id="rId7" Type="http://schemas.openxmlformats.org/officeDocument/2006/relationships/endnotes" Target="endnotes.xml"/><Relationship Id="rId12" Type="http://schemas.openxmlformats.org/officeDocument/2006/relationships/hyperlink" Target="https://telecomworld.itu.int/2018-daily-highlights-day-3/digital-innovation-ecosystems-the-key-to-industry-4-0/" TargetMode="External"/><Relationship Id="rId17" Type="http://schemas.openxmlformats.org/officeDocument/2006/relationships/hyperlink" Target="https://www.itu.int/fr/ITU-D/Innovation/Pages/Platform/diprofile.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D/Regional-Presence/Europe/Pages/Events/2018/IF/InnovationForum.aspx" TargetMode="External"/><Relationship Id="rId20" Type="http://schemas.openxmlformats.org/officeDocument/2006/relationships/hyperlink" Target="http://www.itu.int/net4/ITU-T/registration/Resolver/Index?handle_id=11.1002/pub/810fd87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D/Regional-Presence/Europe/Pages/Events/2018/WSI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D/Innovation/Pages/Events/2018/YILF2018.aspx" TargetMode="External"/><Relationship Id="rId23" Type="http://schemas.openxmlformats.org/officeDocument/2006/relationships/hyperlink" Target="https://www.itu.int/md/meetingdoc.asp?lang=fr&amp;parent=" TargetMode="External"/><Relationship Id="rId28" Type="http://schemas.openxmlformats.org/officeDocument/2006/relationships/theme" Target="theme/theme1.xml"/><Relationship Id="rId10" Type="http://schemas.openxmlformats.org/officeDocument/2006/relationships/hyperlink" Target="https://www.itu.int/dms_pub/itu-d/opb/inno/D-INNO-TOOLKIT.1-2018-PDF-F.pdf" TargetMode="External"/><Relationship Id="rId19" Type="http://schemas.openxmlformats.org/officeDocument/2006/relationships/hyperlink" Target="https://www.itu.int/en/ITU-D/Innovation/Documents/Publications/eBAT_Brochure&#8211;DIP%20Serbia_432746_.pdf" TargetMode="External"/><Relationship Id="rId4" Type="http://schemas.openxmlformats.org/officeDocument/2006/relationships/settings" Target="settings.xml"/><Relationship Id="rId9" Type="http://schemas.openxmlformats.org/officeDocument/2006/relationships/hyperlink" Target="https://www.itu.int/en/ITU-D/Regional-Presence/Europe/Documents/Events/2018/WSIS/Accelerating%20Digital%20Transformation.pdf" TargetMode="External"/><Relationship Id="rId14" Type="http://schemas.openxmlformats.org/officeDocument/2006/relationships/hyperlink" Target="https://www.itu.int/en/ITU-D/Innovation/Pages/Events/2018/BDID_Workshop_Thailand.aspx" TargetMode="External"/><Relationship Id="rId22" Type="http://schemas.openxmlformats.org/officeDocument/2006/relationships/image" Target="media/image2.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3451-DD5D-4882-9858-C8444C88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79</TotalTime>
  <Pages>8</Pages>
  <Words>2834</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Cormier-Ribout, Kevin</dc:creator>
  <cp:lastModifiedBy>Geneux, Aude</cp:lastModifiedBy>
  <cp:revision>51</cp:revision>
  <cp:lastPrinted>2019-03-11T10:05:00Z</cp:lastPrinted>
  <dcterms:created xsi:type="dcterms:W3CDTF">2019-03-11T09:09:00Z</dcterms:created>
  <dcterms:modified xsi:type="dcterms:W3CDTF">2019-03-11T11:45:00Z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