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E7861" w14:paraId="330C0D7D" w14:textId="77777777" w:rsidTr="00D92762">
        <w:trPr>
          <w:cantSplit/>
          <w:trHeight w:val="1134"/>
        </w:trPr>
        <w:tc>
          <w:tcPr>
            <w:tcW w:w="6663" w:type="dxa"/>
            <w:tcBorders>
              <w:bottom w:val="single" w:sz="12" w:space="0" w:color="auto"/>
            </w:tcBorders>
          </w:tcPr>
          <w:p w14:paraId="7C743BAA" w14:textId="77777777" w:rsidR="00D372A5" w:rsidRDefault="00D372A5" w:rsidP="00BC7208">
            <w:pPr>
              <w:rPr>
                <w:b/>
                <w:bCs/>
                <w:sz w:val="32"/>
                <w:szCs w:val="32"/>
              </w:rPr>
            </w:pPr>
            <w:r>
              <w:rPr>
                <w:b/>
                <w:bCs/>
                <w:sz w:val="32"/>
                <w:szCs w:val="32"/>
              </w:rPr>
              <w:t>Grupo Asesor de Desarrollo de las Telecomunicaciones (GADT)</w:t>
            </w:r>
          </w:p>
          <w:p w14:paraId="1221EA9D" w14:textId="77777777" w:rsidR="00D372A5" w:rsidRPr="00560C51" w:rsidRDefault="004E7861" w:rsidP="000725A1">
            <w:pPr>
              <w:spacing w:before="100" w:after="120"/>
              <w:rPr>
                <w:rFonts w:ascii="Verdana" w:hAnsi="Verdana"/>
                <w:sz w:val="28"/>
                <w:szCs w:val="28"/>
              </w:rPr>
            </w:pPr>
            <w:r>
              <w:rPr>
                <w:b/>
                <w:bCs/>
                <w:sz w:val="26"/>
                <w:szCs w:val="26"/>
              </w:rPr>
              <w:t>24ª reunión, Ginebra, 3-5 de abril de 2019</w:t>
            </w:r>
          </w:p>
        </w:tc>
        <w:tc>
          <w:tcPr>
            <w:tcW w:w="3225" w:type="dxa"/>
            <w:tcBorders>
              <w:bottom w:val="single" w:sz="12" w:space="0" w:color="auto"/>
            </w:tcBorders>
          </w:tcPr>
          <w:p w14:paraId="3A323445" w14:textId="77777777" w:rsidR="00D372A5" w:rsidRPr="00560C51" w:rsidRDefault="004E7861" w:rsidP="004E7861">
            <w:pPr>
              <w:spacing w:before="40" w:after="80"/>
              <w:ind w:right="142"/>
              <w:jc w:val="right"/>
            </w:pPr>
            <w:r>
              <w:rPr>
                <w:noProof/>
                <w:color w:val="3399FF"/>
                <w:lang w:val="en-GB" w:eastAsia="zh-CN"/>
              </w:rPr>
              <w:drawing>
                <wp:inline distT="0" distB="0" distL="0" distR="0" wp14:anchorId="72B51FAB" wp14:editId="298CD86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14:paraId="1A73E036" w14:textId="77777777" w:rsidTr="004B7893">
        <w:trPr>
          <w:cantSplit/>
        </w:trPr>
        <w:tc>
          <w:tcPr>
            <w:tcW w:w="6663" w:type="dxa"/>
            <w:tcBorders>
              <w:top w:val="single" w:sz="12" w:space="0" w:color="auto"/>
            </w:tcBorders>
          </w:tcPr>
          <w:p w14:paraId="706E46C1" w14:textId="77777777" w:rsidR="004B7893" w:rsidRPr="00560C51" w:rsidRDefault="004B7893" w:rsidP="004B7893">
            <w:pPr>
              <w:spacing w:before="0"/>
              <w:rPr>
                <w:rFonts w:cs="Arial"/>
                <w:b/>
                <w:bCs/>
                <w:sz w:val="20"/>
                <w:lang w:val="es-ES_tradnl"/>
              </w:rPr>
            </w:pPr>
          </w:p>
        </w:tc>
        <w:tc>
          <w:tcPr>
            <w:tcW w:w="3225" w:type="dxa"/>
            <w:tcBorders>
              <w:top w:val="single" w:sz="12" w:space="0" w:color="auto"/>
            </w:tcBorders>
          </w:tcPr>
          <w:p w14:paraId="519D4BDB" w14:textId="77777777" w:rsidR="004B7893" w:rsidRPr="00560C51" w:rsidRDefault="004B7893" w:rsidP="004B7893">
            <w:pPr>
              <w:spacing w:before="0"/>
              <w:rPr>
                <w:b/>
                <w:bCs/>
                <w:sz w:val="20"/>
                <w:lang w:val="es-ES_tradnl"/>
              </w:rPr>
            </w:pPr>
          </w:p>
        </w:tc>
      </w:tr>
      <w:tr w:rsidR="004B7893" w:rsidRPr="00560C51" w14:paraId="2317E405" w14:textId="77777777" w:rsidTr="004B7893">
        <w:trPr>
          <w:cantSplit/>
        </w:trPr>
        <w:tc>
          <w:tcPr>
            <w:tcW w:w="6663" w:type="dxa"/>
          </w:tcPr>
          <w:p w14:paraId="6A6D2E50" w14:textId="77777777" w:rsidR="004B7893" w:rsidRPr="00560C51" w:rsidRDefault="004B7893" w:rsidP="004B7893">
            <w:pPr>
              <w:pStyle w:val="Committee"/>
              <w:spacing w:before="0"/>
              <w:rPr>
                <w:b w:val="0"/>
                <w:lang w:val="es-ES_tradnl"/>
              </w:rPr>
            </w:pPr>
          </w:p>
        </w:tc>
        <w:tc>
          <w:tcPr>
            <w:tcW w:w="3225" w:type="dxa"/>
          </w:tcPr>
          <w:p w14:paraId="7996A3D4" w14:textId="77777777" w:rsidR="004B7893" w:rsidRPr="00560C51" w:rsidRDefault="005637B9" w:rsidP="00060F0A">
            <w:pPr>
              <w:spacing w:before="0"/>
              <w:rPr>
                <w:bCs/>
              </w:rPr>
            </w:pPr>
            <w:r>
              <w:rPr>
                <w:b/>
                <w:bCs/>
              </w:rPr>
              <w:t xml:space="preserve">Documento </w:t>
            </w:r>
            <w:bookmarkStart w:id="0" w:name="DocRef1"/>
            <w:bookmarkEnd w:id="0"/>
            <w:r>
              <w:rPr>
                <w:b/>
                <w:bCs/>
              </w:rPr>
              <w:t>TDAG-19/</w:t>
            </w:r>
            <w:bookmarkStart w:id="1" w:name="DocNo1"/>
            <w:bookmarkEnd w:id="1"/>
            <w:r>
              <w:rPr>
                <w:b/>
                <w:bCs/>
              </w:rPr>
              <w:t>22-S</w:t>
            </w:r>
          </w:p>
        </w:tc>
      </w:tr>
      <w:tr w:rsidR="004B7893" w:rsidRPr="00560C51" w14:paraId="1B8FB734" w14:textId="77777777" w:rsidTr="004B7893">
        <w:trPr>
          <w:cantSplit/>
        </w:trPr>
        <w:tc>
          <w:tcPr>
            <w:tcW w:w="6663" w:type="dxa"/>
          </w:tcPr>
          <w:p w14:paraId="66934BC9" w14:textId="77777777" w:rsidR="004B7893" w:rsidRPr="00560C51" w:rsidRDefault="004B7893" w:rsidP="004B7893">
            <w:pPr>
              <w:spacing w:before="0"/>
              <w:rPr>
                <w:b/>
                <w:bCs/>
                <w:smallCaps/>
                <w:lang w:val="es-ES_tradnl"/>
              </w:rPr>
            </w:pPr>
          </w:p>
        </w:tc>
        <w:tc>
          <w:tcPr>
            <w:tcW w:w="3225" w:type="dxa"/>
          </w:tcPr>
          <w:p w14:paraId="3BCF5229" w14:textId="77777777" w:rsidR="004B7893" w:rsidRPr="00360762" w:rsidRDefault="00060F0A" w:rsidP="00060F0A">
            <w:pPr>
              <w:spacing w:before="0"/>
              <w:rPr>
                <w:b/>
              </w:rPr>
            </w:pPr>
            <w:bookmarkStart w:id="2" w:name="CreationDate"/>
            <w:bookmarkEnd w:id="2"/>
            <w:r>
              <w:rPr>
                <w:b/>
                <w:bCs/>
                <w:szCs w:val="28"/>
              </w:rPr>
              <w:t>12 febrero de 2019</w:t>
            </w:r>
          </w:p>
        </w:tc>
      </w:tr>
      <w:tr w:rsidR="004B7893" w:rsidRPr="00560C51" w14:paraId="7401B7E6" w14:textId="77777777" w:rsidTr="004B7893">
        <w:trPr>
          <w:cantSplit/>
        </w:trPr>
        <w:tc>
          <w:tcPr>
            <w:tcW w:w="6663" w:type="dxa"/>
          </w:tcPr>
          <w:p w14:paraId="7374043A" w14:textId="77777777" w:rsidR="004B7893" w:rsidRPr="00560C51" w:rsidRDefault="004B7893" w:rsidP="004B7893">
            <w:pPr>
              <w:spacing w:before="0"/>
              <w:rPr>
                <w:b/>
                <w:bCs/>
                <w:smallCaps/>
                <w:lang w:val="es-ES_tradnl"/>
              </w:rPr>
            </w:pPr>
          </w:p>
        </w:tc>
        <w:tc>
          <w:tcPr>
            <w:tcW w:w="3225" w:type="dxa"/>
          </w:tcPr>
          <w:p w14:paraId="44D32A11" w14:textId="77777777" w:rsidR="004B7893" w:rsidRPr="007F1CC7" w:rsidRDefault="005637B9" w:rsidP="004B7893">
            <w:pPr>
              <w:spacing w:before="0"/>
              <w:rPr>
                <w:szCs w:val="24"/>
              </w:rPr>
            </w:pPr>
            <w:r>
              <w:rPr>
                <w:b/>
              </w:rPr>
              <w:t>Original:</w:t>
            </w:r>
            <w:bookmarkStart w:id="3" w:name="Original"/>
            <w:bookmarkEnd w:id="3"/>
            <w:r>
              <w:rPr>
                <w:b/>
              </w:rPr>
              <w:t xml:space="preserve"> </w:t>
            </w:r>
            <w:r w:rsidR="002B2ECB">
              <w:rPr>
                <w:b/>
              </w:rPr>
              <w:t>inglés</w:t>
            </w:r>
          </w:p>
        </w:tc>
      </w:tr>
      <w:tr w:rsidR="004B7893" w:rsidRPr="00C91BDF" w14:paraId="65781CFC" w14:textId="77777777" w:rsidTr="004B7893">
        <w:trPr>
          <w:cantSplit/>
          <w:trHeight w:val="852"/>
        </w:trPr>
        <w:tc>
          <w:tcPr>
            <w:tcW w:w="9888" w:type="dxa"/>
            <w:gridSpan w:val="2"/>
          </w:tcPr>
          <w:p w14:paraId="00F8D7B6" w14:textId="77777777" w:rsidR="004B7893" w:rsidRPr="00560C51" w:rsidRDefault="00060F0A" w:rsidP="00535541">
            <w:pPr>
              <w:pStyle w:val="Source"/>
              <w:spacing w:before="120"/>
              <w:rPr>
                <w:szCs w:val="28"/>
              </w:rPr>
            </w:pPr>
            <w:bookmarkStart w:id="4" w:name="Source"/>
            <w:bookmarkEnd w:id="4"/>
            <w:r>
              <w:t>Director de la Oficina de Desarrollo de las Telecomunicaciones</w:t>
            </w:r>
          </w:p>
        </w:tc>
      </w:tr>
      <w:tr w:rsidR="004B7893" w:rsidRPr="00C91BDF" w14:paraId="3C874F70" w14:textId="77777777" w:rsidTr="004B7893">
        <w:trPr>
          <w:cantSplit/>
        </w:trPr>
        <w:tc>
          <w:tcPr>
            <w:tcW w:w="9888" w:type="dxa"/>
            <w:gridSpan w:val="2"/>
          </w:tcPr>
          <w:p w14:paraId="4BFCCE68" w14:textId="77777777" w:rsidR="004B7893" w:rsidRPr="000135AE" w:rsidRDefault="00060F0A" w:rsidP="00535541">
            <w:pPr>
              <w:pStyle w:val="Title1"/>
              <w:spacing w:before="0"/>
              <w:rPr>
                <w:bCs/>
                <w:szCs w:val="28"/>
              </w:rPr>
            </w:pPr>
            <w:bookmarkStart w:id="5" w:name="Title"/>
            <w:bookmarkEnd w:id="5"/>
            <w:r>
              <w:t>INNOVACIÓN EN EL UIT-D</w:t>
            </w:r>
          </w:p>
        </w:tc>
      </w:tr>
      <w:tr w:rsidR="004B7893" w:rsidRPr="00C91BDF" w14:paraId="3519C964" w14:textId="77777777" w:rsidTr="004B7893">
        <w:trPr>
          <w:cantSplit/>
        </w:trPr>
        <w:tc>
          <w:tcPr>
            <w:tcW w:w="9888" w:type="dxa"/>
            <w:gridSpan w:val="2"/>
            <w:tcBorders>
              <w:bottom w:val="single" w:sz="4" w:space="0" w:color="auto"/>
            </w:tcBorders>
          </w:tcPr>
          <w:p w14:paraId="2DFF457E" w14:textId="77777777" w:rsidR="004B7893" w:rsidRPr="00060F0A" w:rsidRDefault="004B7893" w:rsidP="00BC7208">
            <w:pPr>
              <w:rPr>
                <w:lang w:val="es-ES_tradnl"/>
              </w:rPr>
            </w:pPr>
          </w:p>
        </w:tc>
      </w:tr>
      <w:tr w:rsidR="004B7893" w:rsidRPr="00C91BDF" w14:paraId="25E351DC"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394FDA45" w14:textId="77777777" w:rsidR="004B7893" w:rsidRPr="00F9202F" w:rsidRDefault="004B7893" w:rsidP="004B7893">
            <w:pPr>
              <w:spacing w:before="240"/>
              <w:rPr>
                <w:b/>
                <w:bCs/>
              </w:rPr>
            </w:pPr>
            <w:r>
              <w:rPr>
                <w:b/>
                <w:bCs/>
              </w:rPr>
              <w:t>Resumen:</w:t>
            </w:r>
          </w:p>
          <w:p w14:paraId="477553D8" w14:textId="77777777" w:rsidR="004B7893" w:rsidRPr="00C91BDF" w:rsidRDefault="00F9202F" w:rsidP="003F792F">
            <w:pPr>
              <w:rPr>
                <w:szCs w:val="24"/>
              </w:rPr>
            </w:pPr>
            <w:r>
              <w:t>En el presente informe se proporciona información actualizada sobre la innovación en el UIT</w:t>
            </w:r>
            <w:r>
              <w:noBreakHyphen/>
              <w:t xml:space="preserve">D, que es uno de los </w:t>
            </w:r>
            <w:r w:rsidRPr="003F792F">
              <w:rPr>
                <w:szCs w:val="24"/>
                <w:lang w:val="es-ES_tradnl"/>
              </w:rPr>
              <w:t>resultados</w:t>
            </w:r>
            <w:r>
              <w:t xml:space="preserve"> y los objetivos adoptados, </w:t>
            </w:r>
            <w:r w:rsidRPr="00F9719F">
              <w:t xml:space="preserve">respectivamente, por la Conferencia Mundial de Desarrollo de las Telecomunicaciones de 2017 (CMDT-17) </w:t>
            </w:r>
            <w:r w:rsidRPr="00F9719F">
              <w:rPr>
                <w:szCs w:val="24"/>
              </w:rPr>
              <w:t>y por la Conferencia de Plenipotenciarios (PP-18).</w:t>
            </w:r>
          </w:p>
          <w:p w14:paraId="7B1E69F2" w14:textId="77777777" w:rsidR="007C4FA2" w:rsidRPr="00F9202F" w:rsidRDefault="007C4FA2" w:rsidP="002B2ECB">
            <w:pPr>
              <w:rPr>
                <w:b/>
                <w:bCs/>
              </w:rPr>
            </w:pPr>
            <w:bookmarkStart w:id="6" w:name="lt_pId021"/>
            <w:r>
              <w:t>El informe describe los objetivos y estrategias del programa de innovación, y ofrece información sobre las principales actividades realizadas o previstas, y la forma de avanzar teniendo en cuenta una gestión basada en los resultados.</w:t>
            </w:r>
            <w:bookmarkEnd w:id="6"/>
          </w:p>
          <w:p w14:paraId="58D35901" w14:textId="77777777" w:rsidR="004B7893" w:rsidRPr="00F9202F" w:rsidRDefault="007C4FA2" w:rsidP="004B7893">
            <w:pPr>
              <w:rPr>
                <w:b/>
                <w:bCs/>
              </w:rPr>
            </w:pPr>
            <w:r>
              <w:rPr>
                <w:b/>
                <w:bCs/>
              </w:rPr>
              <w:t>Acción solicitada:</w:t>
            </w:r>
          </w:p>
          <w:p w14:paraId="3F0A7160" w14:textId="77777777" w:rsidR="004B7893" w:rsidRPr="00F9202F" w:rsidRDefault="007C4FA2" w:rsidP="002B2ECB">
            <w:pPr>
              <w:rPr>
                <w:b/>
                <w:bCs/>
              </w:rPr>
            </w:pPr>
            <w:r>
              <w:t>Se invita al GADT a tomar nota del presente informe y a proporcionar las orientaciones que estime oportun</w:t>
            </w:r>
            <w:r w:rsidR="003F792F">
              <w:t>as.</w:t>
            </w:r>
          </w:p>
          <w:p w14:paraId="0EAC4CF0" w14:textId="77777777" w:rsidR="004B7893" w:rsidRPr="002B2ECB" w:rsidRDefault="004B7893" w:rsidP="002B2ECB">
            <w:pPr>
              <w:rPr>
                <w:b/>
                <w:bCs/>
              </w:rPr>
            </w:pPr>
            <w:r w:rsidRPr="002B2ECB">
              <w:rPr>
                <w:b/>
                <w:bCs/>
              </w:rPr>
              <w:t>Referencias:</w:t>
            </w:r>
          </w:p>
          <w:p w14:paraId="03105D98" w14:textId="77777777" w:rsidR="004B7893" w:rsidRPr="00F9202F" w:rsidRDefault="007C4FA2" w:rsidP="00572FD2">
            <w:pPr>
              <w:rPr>
                <w:b/>
                <w:bCs/>
              </w:rPr>
            </w:pPr>
            <w:bookmarkStart w:id="7" w:name="lt_pId025"/>
            <w:r>
              <w:t>Declaración de Buenos Aires de la CMDT-17; Resoluciones 1</w:t>
            </w:r>
            <w:r w:rsidR="00CF4F4E">
              <w:t xml:space="preserve">7 (Rev. Buenos Aires, 2017), 30 (Rev. </w:t>
            </w:r>
            <w:r>
              <w:t>Buenos Aires, 2017), 66 (Rev. Buenos Aires, 2017), 71 (Rev</w:t>
            </w:r>
            <w:r w:rsidR="005A150B">
              <w:t xml:space="preserve">. Buenos Aires, 2017), 76 (Rev. </w:t>
            </w:r>
            <w:r>
              <w:t xml:space="preserve">Buenos Aires, 2017) y 85 </w:t>
            </w:r>
            <w:r w:rsidRPr="00CF4F4E">
              <w:t>(Buenos</w:t>
            </w:r>
            <w:r>
              <w:t xml:space="preserve"> Aires, 2017) de la </w:t>
            </w:r>
            <w:r w:rsidR="00CF4F4E">
              <w:t xml:space="preserve">CMDT; </w:t>
            </w:r>
            <w:r w:rsidR="00572FD2">
              <w:t>Resolucio</w:t>
            </w:r>
            <w:r>
              <w:t>n</w:t>
            </w:r>
            <w:r w:rsidR="00572FD2">
              <w:t>es</w:t>
            </w:r>
            <w:r>
              <w:t xml:space="preserve"> </w:t>
            </w:r>
            <w:r w:rsidRPr="00572FD2">
              <w:t>200 (</w:t>
            </w:r>
            <w:r w:rsidR="00CF4F4E" w:rsidRPr="00572FD2">
              <w:t>Rev. Dubái</w:t>
            </w:r>
            <w:r w:rsidRPr="00572FD2">
              <w:t>,</w:t>
            </w:r>
            <w:r w:rsidR="00CF4F4E" w:rsidRPr="00572FD2">
              <w:t xml:space="preserve"> </w:t>
            </w:r>
            <w:r w:rsidRPr="00572FD2">
              <w:t>201</w:t>
            </w:r>
            <w:r w:rsidR="00572FD2" w:rsidRPr="00572FD2">
              <w:t>8</w:t>
            </w:r>
            <w:r w:rsidRPr="00572FD2">
              <w:t>) y</w:t>
            </w:r>
            <w:r>
              <w:t xml:space="preserve"> </w:t>
            </w:r>
            <w:r w:rsidR="00572FD2">
              <w:t>205 (Dubái, 2018) de la PP;</w:t>
            </w:r>
            <w:r>
              <w:t xml:space="preserve"> y Objet</w:t>
            </w:r>
            <w:r w:rsidR="00CF4F4E">
              <w:t>ivo global de la UIT 4 de la PP</w:t>
            </w:r>
            <w:r w:rsidR="00CF4F4E">
              <w:noBreakHyphen/>
            </w:r>
            <w:r>
              <w:t>18 (Rev. Dubái, 2018).</w:t>
            </w:r>
            <w:bookmarkEnd w:id="7"/>
          </w:p>
        </w:tc>
      </w:tr>
    </w:tbl>
    <w:p w14:paraId="1CC81CE6" w14:textId="77777777" w:rsidR="002B2ECB" w:rsidRDefault="002B2ECB">
      <w:pPr>
        <w:tabs>
          <w:tab w:val="clear" w:pos="794"/>
          <w:tab w:val="clear" w:pos="1191"/>
          <w:tab w:val="clear" w:pos="1588"/>
          <w:tab w:val="clear" w:pos="1985"/>
        </w:tabs>
        <w:overflowPunct/>
        <w:autoSpaceDE/>
        <w:autoSpaceDN/>
        <w:adjustRightInd/>
        <w:spacing w:before="0" w:after="200" w:line="276" w:lineRule="auto"/>
        <w:textAlignment w:val="auto"/>
        <w:rPr>
          <w:b/>
          <w:sz w:val="28"/>
        </w:rPr>
      </w:pPr>
      <w:r>
        <w:br w:type="page"/>
      </w:r>
    </w:p>
    <w:p w14:paraId="440961F8" w14:textId="77777777" w:rsidR="000725A1" w:rsidRPr="00C91BDF" w:rsidRDefault="002B2ECB" w:rsidP="002B2ECB">
      <w:pPr>
        <w:pStyle w:val="Heading1"/>
      </w:pPr>
      <w:r>
        <w:lastRenderedPageBreak/>
        <w:t>1</w:t>
      </w:r>
      <w:r w:rsidR="000B323A">
        <w:tab/>
      </w:r>
      <w:r w:rsidR="000B323A" w:rsidRPr="002B2ECB">
        <w:t>Antecedentes</w:t>
      </w:r>
    </w:p>
    <w:p w14:paraId="37004CB3" w14:textId="77777777" w:rsidR="000B323A" w:rsidRPr="00F9719F" w:rsidRDefault="00C91BDF" w:rsidP="002B2ECB">
      <w:r>
        <w:t>El programa de innovación fue solicitado inicialmente por los Miembros del UIT-D en la CMDT-14 en Dubái, con el objetivo de</w:t>
      </w:r>
      <w:r w:rsidRPr="008F15E1">
        <w:t xml:space="preserve"> "</w:t>
      </w:r>
      <w:r w:rsidRPr="008F15E1">
        <w:rPr>
          <w:b/>
          <w:bCs/>
        </w:rPr>
        <w:t>reforzar la capacidad de los Miembros para incorporar la innovación de las TIC en los progra</w:t>
      </w:r>
      <w:r w:rsidR="002B2ECB" w:rsidRPr="008F15E1">
        <w:rPr>
          <w:b/>
          <w:bCs/>
        </w:rPr>
        <w:t>mas de desarrollo nacionales</w:t>
      </w:r>
      <w:r w:rsidR="002B2ECB" w:rsidRPr="008F15E1">
        <w:t>"</w:t>
      </w:r>
      <w:r w:rsidR="002B2ECB">
        <w:t xml:space="preserve">. </w:t>
      </w:r>
      <w:r>
        <w:t>El programa se mejoró posteriormente en la CMDT-17 en Buenos Aires con el objetivo adicional de "</w:t>
      </w:r>
      <w:r w:rsidRPr="008F15E1">
        <w:rPr>
          <w:b/>
          <w:bCs/>
        </w:rPr>
        <w:t>elaborar estrategias de promoción de iniciativas innovadoras, incluso mediante asociaciones públicas, privadas y público-privadas</w:t>
      </w:r>
      <w:r>
        <w:t xml:space="preserve">". Se destacó también la innovación como uno de los objetivos internos de la BDT, con el fin de instar a la Oficina a reinventar sus productos y servicios para adaptarse al entorno variable de las telecomunicaciones/TIC. Por consiguiente, la innovación en la BDT tiene dimensiones sinérgicas </w:t>
      </w:r>
      <w:r w:rsidRPr="00F9719F">
        <w:t>internas y externas.</w:t>
      </w:r>
    </w:p>
    <w:p w14:paraId="218B2E32" w14:textId="77777777" w:rsidR="000B323A" w:rsidRPr="004F49CB" w:rsidRDefault="004F49CB" w:rsidP="002B2ECB">
      <w:r w:rsidRPr="00F9719F">
        <w:rPr>
          <w:szCs w:val="24"/>
        </w:rPr>
        <w:t xml:space="preserve">La innovación es también uno de los Objetivos de Desarrollo Sostenible de las Naciones Unidas, a saber el 9: </w:t>
      </w:r>
      <w:r w:rsidRPr="00F9719F">
        <w:t>"Construir</w:t>
      </w:r>
      <w:r>
        <w:t xml:space="preserve"> infraestructuras resilientes, promover la industrialización inclusiva y sostenible y fomentar la innovación".</w:t>
      </w:r>
    </w:p>
    <w:p w14:paraId="7377EC5C" w14:textId="77777777" w:rsidR="00C91BDF" w:rsidRPr="00E76DB8" w:rsidRDefault="00AD1F16" w:rsidP="002B2ECB">
      <w:r>
        <w:t>Además, en la PP-18 en Dubái, los Miembros de la UIT adoptaron una nueva Resolución</w:t>
      </w:r>
      <w:r w:rsidRPr="001D51AE">
        <w:rPr>
          <w:rStyle w:val="FootnoteReference"/>
          <w:lang w:val="es-ES_tradnl"/>
        </w:rPr>
        <w:footnoteReference w:id="1"/>
      </w:r>
      <w:r w:rsidRPr="001D51AE">
        <w:rPr>
          <w:rStyle w:val="FootnoteReference"/>
          <w:lang w:val="es-ES_tradnl"/>
        </w:rPr>
        <w:t xml:space="preserve"> </w:t>
      </w:r>
      <w:r>
        <w:t>sobre el "Papel de la UIT en el fomento de la innovación centrada en las telecomunicaciones/tecnologías de la información y la comunicación para impulsar la economía y la sociedad digitales" y una meta sobre la innovación</w:t>
      </w:r>
      <w:r w:rsidR="00F02C26">
        <w:rPr>
          <w:rStyle w:val="FootnoteReference"/>
        </w:rPr>
        <w:footnoteReference w:id="2"/>
      </w:r>
      <w:r>
        <w:t xml:space="preserve"> con el objetivo concreto de "Que, en 2023, todos los países dispongan de políticas y/o estrategias encaminadas a fomentar la innovación centrada en las telecomunicaciones/TIC".</w:t>
      </w:r>
    </w:p>
    <w:p w14:paraId="5AB3681A" w14:textId="77777777" w:rsidR="00C91BDF" w:rsidRDefault="002B2ECB" w:rsidP="002B2ECB">
      <w:pPr>
        <w:pStyle w:val="Heading1"/>
      </w:pPr>
      <w:r>
        <w:t>2</w:t>
      </w:r>
      <w:r w:rsidR="007A7072">
        <w:tab/>
      </w:r>
      <w:r w:rsidR="007A7072" w:rsidRPr="002B2ECB">
        <w:t>Objetivos</w:t>
      </w:r>
      <w:r w:rsidR="007A7072">
        <w:t xml:space="preserve"> y estrategias</w:t>
      </w:r>
    </w:p>
    <w:p w14:paraId="2FAD8FD4" w14:textId="77777777" w:rsidR="007A7072" w:rsidRDefault="00FF5269" w:rsidP="0007085A">
      <w:bookmarkStart w:id="8" w:name="lt_pId036"/>
      <w:r>
        <w:t>De conformidad con la CMDT-17, los principales objetivos de la innovación en el UIT-D son prestar asistencia en la forma de productos para ayudar a los Miembros de la</w:t>
      </w:r>
      <w:r w:rsidR="0007085A">
        <w:t xml:space="preserve"> </w:t>
      </w:r>
      <w:r>
        <w:t>UIT a fomentar activamente el desarrollo de ecosistemas de innovación dinámicos y a acelerar una transformación digital que promueva el crecimiento sostenible de la economía digital.</w:t>
      </w:r>
      <w:bookmarkEnd w:id="8"/>
    </w:p>
    <w:p w14:paraId="30737E73" w14:textId="77777777" w:rsidR="007A7072" w:rsidRDefault="00FF5269" w:rsidP="002B2ECB">
      <w:bookmarkStart w:id="9" w:name="lt_pId037"/>
      <w:r>
        <w:t>El producto 3.4 del Plan de Acción de Buenos Aires (PABA) indica algunas de las expectativas para cumplir el objetivo de innovación de la CMDT-17, a saber:</w:t>
      </w:r>
      <w:bookmarkEnd w:id="9"/>
    </w:p>
    <w:p w14:paraId="59C6D1B9" w14:textId="77777777" w:rsidR="007A7072" w:rsidRPr="004E3099" w:rsidRDefault="004E7FE0" w:rsidP="002B2ECB">
      <w:pPr>
        <w:pStyle w:val="enumlev1"/>
      </w:pPr>
      <w:r>
        <w:t>–</w:t>
      </w:r>
      <w:r>
        <w:tab/>
        <w:t>la</w:t>
      </w:r>
      <w:r>
        <w:rPr>
          <w:b/>
          <w:bCs/>
        </w:rPr>
        <w:t xml:space="preserve"> </w:t>
      </w:r>
      <w:r w:rsidRPr="00FF3E71">
        <w:rPr>
          <w:b/>
          <w:bCs/>
        </w:rPr>
        <w:t>realización d</w:t>
      </w:r>
      <w:r>
        <w:rPr>
          <w:b/>
          <w:bCs/>
        </w:rPr>
        <w:t>e ejercicios de análisis del ecosistema</w:t>
      </w:r>
      <w:r>
        <w:t xml:space="preserve"> para coordinar los esfuerzos y poner en marcha nuevos proyectos;</w:t>
      </w:r>
    </w:p>
    <w:p w14:paraId="3B689F24" w14:textId="77777777" w:rsidR="007A7072" w:rsidRPr="00653891" w:rsidRDefault="004E3099" w:rsidP="002B2ECB">
      <w:pPr>
        <w:pStyle w:val="enumlev1"/>
      </w:pPr>
      <w:r>
        <w:t>–</w:t>
      </w:r>
      <w:r>
        <w:tab/>
        <w:t>el</w:t>
      </w:r>
      <w:r>
        <w:rPr>
          <w:b/>
          <w:bCs/>
        </w:rPr>
        <w:t xml:space="preserve"> desarrollo </w:t>
      </w:r>
      <w:r w:rsidRPr="00FF3E71">
        <w:rPr>
          <w:b/>
          <w:bCs/>
        </w:rPr>
        <w:t>de políticas sobre</w:t>
      </w:r>
      <w:r>
        <w:rPr>
          <w:b/>
          <w:bCs/>
        </w:rPr>
        <w:t xml:space="preserve"> las TIC actualizadas</w:t>
      </w:r>
      <w:r>
        <w:t xml:space="preserve"> (con nuevos pilares basados en la innovación y el emprendimiento);</w:t>
      </w:r>
    </w:p>
    <w:p w14:paraId="37AE085D" w14:textId="77777777" w:rsidR="00FA0938" w:rsidRPr="00A135E8" w:rsidRDefault="004E3099" w:rsidP="002B2ECB">
      <w:pPr>
        <w:pStyle w:val="enumlev1"/>
      </w:pPr>
      <w:r>
        <w:t>–</w:t>
      </w:r>
      <w:r>
        <w:tab/>
        <w:t>la</w:t>
      </w:r>
      <w:r>
        <w:rPr>
          <w:b/>
          <w:bCs/>
        </w:rPr>
        <w:t xml:space="preserve"> </w:t>
      </w:r>
      <w:r w:rsidRPr="00FF3E71">
        <w:rPr>
          <w:b/>
          <w:bCs/>
        </w:rPr>
        <w:t>reducción de las lagunas del</w:t>
      </w:r>
      <w:r>
        <w:rPr>
          <w:b/>
          <w:bCs/>
        </w:rPr>
        <w:t xml:space="preserve"> ecosistema</w:t>
      </w:r>
      <w:r>
        <w:t xml:space="preserve"> con actividades concretas (por ejemplo, ligando ecosistemas globales);</w:t>
      </w:r>
    </w:p>
    <w:p w14:paraId="2A839AEC" w14:textId="77777777" w:rsidR="00FA0938" w:rsidRPr="00761A94" w:rsidRDefault="004E3099" w:rsidP="002B2ECB">
      <w:pPr>
        <w:pStyle w:val="enumlev1"/>
      </w:pPr>
      <w:r>
        <w:t>–</w:t>
      </w:r>
      <w:r>
        <w:tab/>
        <w:t xml:space="preserve">la </w:t>
      </w:r>
      <w:r w:rsidRPr="00FF3E71">
        <w:rPr>
          <w:b/>
          <w:bCs/>
        </w:rPr>
        <w:t>creación de proyectos de gran alcance con nuevos métodos</w:t>
      </w:r>
      <w:r>
        <w:t>;</w:t>
      </w:r>
    </w:p>
    <w:p w14:paraId="15DB1FFC" w14:textId="77777777" w:rsidR="004E3099" w:rsidRPr="004972A2" w:rsidRDefault="004E3099" w:rsidP="002B2ECB">
      <w:pPr>
        <w:pStyle w:val="enumlev1"/>
      </w:pPr>
      <w:r>
        <w:t>–</w:t>
      </w:r>
      <w:r>
        <w:tab/>
        <w:t xml:space="preserve">la </w:t>
      </w:r>
      <w:r w:rsidRPr="00FF3E71">
        <w:rPr>
          <w:b/>
          <w:bCs/>
        </w:rPr>
        <w:t>creación de mecanismos para abarcar, comprometer, apoyar y nutrir</w:t>
      </w:r>
      <w:r>
        <w:t xml:space="preserve"> los ecosistemas de la innovación en las TIC </w:t>
      </w:r>
      <w:r w:rsidRPr="00FF3E71">
        <w:rPr>
          <w:b/>
          <w:bCs/>
        </w:rPr>
        <w:t>con grupos de partes interesadas</w:t>
      </w:r>
      <w:r>
        <w:t>;</w:t>
      </w:r>
    </w:p>
    <w:p w14:paraId="1266CEA2" w14:textId="77777777" w:rsidR="004E3099" w:rsidRPr="002B2ECB" w:rsidRDefault="004E3099" w:rsidP="002B2ECB">
      <w:pPr>
        <w:pStyle w:val="enumlev1"/>
      </w:pPr>
      <w:r>
        <w:t>–</w:t>
      </w:r>
      <w:r>
        <w:tab/>
      </w:r>
      <w:r w:rsidRPr="002B2ECB">
        <w:t xml:space="preserve">la </w:t>
      </w:r>
      <w:r w:rsidRPr="00FF3E71">
        <w:rPr>
          <w:b/>
          <w:bCs/>
        </w:rPr>
        <w:t>divulgación de información, realización de estudios</w:t>
      </w:r>
      <w:r w:rsidRPr="002B2ECB">
        <w:t xml:space="preserve"> y prestación de asistencia, si se solicita;</w:t>
      </w:r>
    </w:p>
    <w:p w14:paraId="0D11C64A" w14:textId="77777777" w:rsidR="00FA0938" w:rsidRPr="002B2ECB" w:rsidRDefault="004E3099" w:rsidP="002B2ECB">
      <w:pPr>
        <w:pStyle w:val="enumlev1"/>
      </w:pPr>
      <w:r w:rsidRPr="002B2ECB">
        <w:lastRenderedPageBreak/>
        <w:t>–</w:t>
      </w:r>
      <w:r w:rsidRPr="002B2ECB">
        <w:tab/>
        <w:t xml:space="preserve">el </w:t>
      </w:r>
      <w:r w:rsidRPr="0061489D">
        <w:rPr>
          <w:b/>
          <w:bCs/>
        </w:rPr>
        <w:t>desarrollo de mecanismos para fomentar nuevas asociaciones e iniciativas</w:t>
      </w:r>
      <w:r w:rsidRPr="002B2ECB">
        <w:t xml:space="preserve"> que permitan el crecimiento;</w:t>
      </w:r>
    </w:p>
    <w:p w14:paraId="7DF0C984" w14:textId="77777777" w:rsidR="00FA0938" w:rsidRPr="002B2ECB" w:rsidRDefault="004E3099" w:rsidP="002B2ECB">
      <w:pPr>
        <w:pStyle w:val="enumlev1"/>
      </w:pPr>
      <w:r w:rsidRPr="002B2ECB">
        <w:t>–</w:t>
      </w:r>
      <w:r w:rsidRPr="002B2ECB">
        <w:tab/>
        <w:t xml:space="preserve">el establecimiento de una </w:t>
      </w:r>
      <w:r w:rsidRPr="0061489D">
        <w:rPr>
          <w:b/>
          <w:bCs/>
        </w:rPr>
        <w:t>plataforma regional para intensificar la cooperación regional</w:t>
      </w:r>
      <w:r w:rsidRPr="002B2ECB">
        <w:t>;</w:t>
      </w:r>
    </w:p>
    <w:p w14:paraId="196FB57B" w14:textId="77777777" w:rsidR="004E3099" w:rsidRPr="0094440D" w:rsidRDefault="004E3099" w:rsidP="002B2ECB">
      <w:pPr>
        <w:pStyle w:val="enumlev1"/>
      </w:pPr>
      <w:r w:rsidRPr="002B2ECB">
        <w:t>–</w:t>
      </w:r>
      <w:r w:rsidRPr="002B2ECB">
        <w:tab/>
        <w:t xml:space="preserve">y el apoyo a los Estados Miembros para </w:t>
      </w:r>
      <w:r w:rsidRPr="0061489D">
        <w:rPr>
          <w:b/>
          <w:bCs/>
        </w:rPr>
        <w:t xml:space="preserve">sensibilizar acerca de los ecosistemas de innovación digital </w:t>
      </w:r>
      <w:r w:rsidRPr="002B2ECB">
        <w:t xml:space="preserve">y las nuevas tendencias tecnológicas conexas, así como de las </w:t>
      </w:r>
      <w:r w:rsidRPr="0061489D">
        <w:rPr>
          <w:b/>
          <w:bCs/>
        </w:rPr>
        <w:t>prácticas óptimas que influyen en la transformación digital</w:t>
      </w:r>
      <w:r w:rsidR="00927B87">
        <w:t>.</w:t>
      </w:r>
    </w:p>
    <w:p w14:paraId="6D91F224" w14:textId="77777777" w:rsidR="00416C74" w:rsidRPr="005B2D07" w:rsidRDefault="00416C74" w:rsidP="002B2ECB">
      <w:pPr>
        <w:pStyle w:val="Heading1"/>
        <w:rPr>
          <w:szCs w:val="28"/>
        </w:rPr>
      </w:pPr>
      <w:bookmarkStart w:id="10" w:name="lt_pId047"/>
      <w:r>
        <w:t>3</w:t>
      </w:r>
      <w:r>
        <w:tab/>
      </w:r>
      <w:r w:rsidRPr="002B2ECB">
        <w:t>Principales</w:t>
      </w:r>
      <w:r>
        <w:t xml:space="preserve"> actividades y resultados</w:t>
      </w:r>
      <w:bookmarkEnd w:id="10"/>
    </w:p>
    <w:p w14:paraId="130353B4" w14:textId="77777777" w:rsidR="005B2D07" w:rsidRPr="005B2D07" w:rsidRDefault="005B2D07" w:rsidP="002B2ECB">
      <w:pPr>
        <w:rPr>
          <w:szCs w:val="24"/>
        </w:rPr>
      </w:pPr>
      <w:r>
        <w:t xml:space="preserve">La BDT sigue aumentando el número de iniciativas externas de fomento de la innovación centrada en las TIC mediante el </w:t>
      </w:r>
      <w:r>
        <w:rPr>
          <w:b/>
          <w:bCs/>
        </w:rPr>
        <w:t>desarrollo de nuevos productos</w:t>
      </w:r>
      <w:r>
        <w:t xml:space="preserve"> y la prestación de servicios a través de cuatro bloques estratégicos: intercambio de conocimientos, el empoderamiento de las partes interesadas mediante la creación de capacidades en materia de innovación, la realización de evaluaciones del ecosistema de innovación rápidas y completas, y la cocreación de proyectos en consulta con los Miembros y las partes interesadas principales. Esas acciones se llevan a cabo mediante una asistencia técnica a los Miembros, proyectos</w:t>
      </w:r>
      <w:r>
        <w:rPr>
          <w:rStyle w:val="FootnoteReference"/>
          <w:szCs w:val="24"/>
        </w:rPr>
        <w:footnoteReference w:id="3"/>
      </w:r>
      <w:r>
        <w:t xml:space="preserve"> y el apoyo de socios estratégicos clave</w:t>
      </w:r>
      <w:r>
        <w:rPr>
          <w:rStyle w:val="FootnoteReference"/>
          <w:szCs w:val="24"/>
        </w:rPr>
        <w:footnoteReference w:id="4"/>
      </w:r>
      <w:r>
        <w:t>.</w:t>
      </w:r>
    </w:p>
    <w:p w14:paraId="01AEE75A" w14:textId="77777777" w:rsidR="00416C74" w:rsidRPr="00987986" w:rsidRDefault="00416C74" w:rsidP="002B2ECB">
      <w:pPr>
        <w:pStyle w:val="Heading2"/>
      </w:pPr>
      <w:bookmarkStart w:id="11" w:name="lt_pId050"/>
      <w:r>
        <w:t>3.1</w:t>
      </w:r>
      <w:r>
        <w:tab/>
      </w:r>
      <w:r w:rsidRPr="002B2ECB">
        <w:t>Actividades</w:t>
      </w:r>
      <w:r>
        <w:t xml:space="preserve"> de innovación externas</w:t>
      </w:r>
      <w:bookmarkEnd w:id="11"/>
    </w:p>
    <w:p w14:paraId="2DEE1BB2" w14:textId="77777777" w:rsidR="00987986" w:rsidRPr="00987986" w:rsidRDefault="00987986" w:rsidP="001D51AE">
      <w:pPr>
        <w:spacing w:after="120"/>
        <w:rPr>
          <w:szCs w:val="24"/>
        </w:rPr>
      </w:pPr>
      <w:r>
        <w:t xml:space="preserve">En 2018 se han llevado a cabo diversas medidas clave, utilizando los productos disponibles de la plataforma de la UIT, para alcanzar los objetivos de innovación del UIT-D. En el siguiente cuadro se resumen las medidas tomadas por cada región de la UIT, a tenor de las iniciativas regionales y las cuestiones de Comisiones de Estudio del UIT-D. </w:t>
      </w:r>
    </w:p>
    <w:tbl>
      <w:tblPr>
        <w:tblStyle w:val="TableGrid"/>
        <w:tblW w:w="0" w:type="auto"/>
        <w:jc w:val="center"/>
        <w:tblLook w:val="04A0" w:firstRow="1" w:lastRow="0" w:firstColumn="1" w:lastColumn="0" w:noHBand="0" w:noVBand="1"/>
      </w:tblPr>
      <w:tblGrid>
        <w:gridCol w:w="1924"/>
        <w:gridCol w:w="1926"/>
        <w:gridCol w:w="1926"/>
        <w:gridCol w:w="1926"/>
        <w:gridCol w:w="1926"/>
      </w:tblGrid>
      <w:tr w:rsidR="00987986" w:rsidRPr="00987986" w14:paraId="1C76F6E8" w14:textId="77777777" w:rsidTr="00191401">
        <w:trPr>
          <w:jc w:val="center"/>
        </w:trPr>
        <w:tc>
          <w:tcPr>
            <w:tcW w:w="1925" w:type="dxa"/>
            <w:tcBorders>
              <w:bottom w:val="single" w:sz="4" w:space="0" w:color="000000" w:themeColor="text1"/>
            </w:tcBorders>
            <w:shd w:val="clear" w:color="auto" w:fill="D9D9D9" w:themeFill="background1" w:themeFillShade="D9"/>
          </w:tcPr>
          <w:p w14:paraId="22A957C1" w14:textId="77777777" w:rsidR="00987986" w:rsidRPr="00987986" w:rsidRDefault="00987986" w:rsidP="00C52978">
            <w:pPr>
              <w:pStyle w:val="Tablehead"/>
              <w:jc w:val="left"/>
              <w:rPr>
                <w:rFonts w:asciiTheme="minorHAnsi" w:hAnsiTheme="minorHAnsi"/>
                <w:b w:val="0"/>
                <w:bCs/>
                <w:szCs w:val="22"/>
              </w:rPr>
            </w:pPr>
            <w:r w:rsidRPr="00C52978">
              <w:rPr>
                <w:rFonts w:asciiTheme="minorHAnsi" w:hAnsiTheme="minorHAnsi"/>
                <w:lang w:val="fr-CH"/>
              </w:rPr>
              <w:t>Regiones</w:t>
            </w:r>
          </w:p>
        </w:tc>
        <w:tc>
          <w:tcPr>
            <w:tcW w:w="1926" w:type="dxa"/>
            <w:shd w:val="clear" w:color="auto" w:fill="D9D9D9" w:themeFill="background1" w:themeFillShade="D9"/>
          </w:tcPr>
          <w:p w14:paraId="55985AA8" w14:textId="77777777" w:rsidR="00987986" w:rsidRPr="00EE6102" w:rsidRDefault="00987986" w:rsidP="00EE6102">
            <w:pPr>
              <w:pStyle w:val="Tablehead"/>
              <w:jc w:val="left"/>
            </w:pPr>
            <w:r w:rsidRPr="00C52978">
              <w:rPr>
                <w:rFonts w:asciiTheme="minorHAnsi" w:hAnsiTheme="minorHAnsi"/>
                <w:lang w:val="es-ES_tradnl"/>
              </w:rPr>
              <w:t>Productos de intercambio de conocimientos</w:t>
            </w:r>
            <w:r w:rsidRPr="00F22941">
              <w:rPr>
                <w:rStyle w:val="FootnoteReference"/>
                <w:b w:val="0"/>
                <w:bCs/>
                <w:lang w:val="fr-CH"/>
              </w:rPr>
              <w:footnoteReference w:id="5"/>
            </w:r>
          </w:p>
        </w:tc>
        <w:tc>
          <w:tcPr>
            <w:tcW w:w="1926" w:type="dxa"/>
            <w:shd w:val="clear" w:color="auto" w:fill="D9D9D9" w:themeFill="background1" w:themeFillShade="D9"/>
          </w:tcPr>
          <w:p w14:paraId="50DACD2D" w14:textId="77777777" w:rsidR="00987986" w:rsidRPr="00EE6102" w:rsidRDefault="00987986" w:rsidP="00EE6102">
            <w:pPr>
              <w:pStyle w:val="Tablehead"/>
              <w:jc w:val="left"/>
            </w:pPr>
            <w:r w:rsidRPr="00C52978">
              <w:rPr>
                <w:rFonts w:asciiTheme="minorHAnsi" w:hAnsiTheme="minorHAnsi"/>
                <w:lang w:val="es-ES_tradnl"/>
              </w:rPr>
              <w:t>Productos de creación de capacidades</w:t>
            </w:r>
            <w:r w:rsidRPr="00F22941">
              <w:rPr>
                <w:rStyle w:val="FootnoteReference"/>
                <w:b w:val="0"/>
                <w:bCs/>
                <w:lang w:val="fr-CH"/>
              </w:rPr>
              <w:footnoteReference w:id="6"/>
            </w:r>
          </w:p>
        </w:tc>
        <w:tc>
          <w:tcPr>
            <w:tcW w:w="1926" w:type="dxa"/>
            <w:shd w:val="clear" w:color="auto" w:fill="D9D9D9" w:themeFill="background1" w:themeFillShade="D9"/>
          </w:tcPr>
          <w:p w14:paraId="74FE11A2" w14:textId="77777777" w:rsidR="00987986" w:rsidRPr="00EE6102" w:rsidRDefault="00C52978" w:rsidP="00EE6102">
            <w:pPr>
              <w:pStyle w:val="Tablehead"/>
              <w:jc w:val="left"/>
            </w:pPr>
            <w:r>
              <w:rPr>
                <w:rFonts w:asciiTheme="minorHAnsi" w:hAnsiTheme="minorHAnsi"/>
                <w:lang w:val="es-ES_tradnl"/>
              </w:rPr>
              <w:t>Productos de evaluación de</w:t>
            </w:r>
            <w:r>
              <w:rPr>
                <w:rFonts w:asciiTheme="minorHAnsi" w:hAnsiTheme="minorHAnsi"/>
                <w:lang w:val="es-ES_tradnl"/>
              </w:rPr>
              <w:br/>
            </w:r>
            <w:r w:rsidR="00987986" w:rsidRPr="00C52978">
              <w:rPr>
                <w:rFonts w:asciiTheme="minorHAnsi" w:hAnsiTheme="minorHAnsi"/>
                <w:lang w:val="es-ES_tradnl"/>
              </w:rPr>
              <w:t>la innovación</w:t>
            </w:r>
            <w:r w:rsidR="00987986" w:rsidRPr="00F22941">
              <w:rPr>
                <w:rStyle w:val="FootnoteReference"/>
                <w:b w:val="0"/>
                <w:bCs/>
                <w:lang w:val="fr-CH"/>
              </w:rPr>
              <w:footnoteReference w:id="7"/>
            </w:r>
          </w:p>
        </w:tc>
        <w:tc>
          <w:tcPr>
            <w:tcW w:w="1926" w:type="dxa"/>
            <w:shd w:val="clear" w:color="auto" w:fill="D9D9D9" w:themeFill="background1" w:themeFillShade="D9"/>
          </w:tcPr>
          <w:p w14:paraId="51F76F55" w14:textId="77777777" w:rsidR="00987986" w:rsidRPr="00EE6102" w:rsidRDefault="00987986" w:rsidP="00EE6102">
            <w:pPr>
              <w:pStyle w:val="Tablehead"/>
              <w:jc w:val="left"/>
            </w:pPr>
            <w:r w:rsidRPr="00C52978">
              <w:rPr>
                <w:rFonts w:asciiTheme="minorHAnsi" w:hAnsiTheme="minorHAnsi"/>
                <w:lang w:val="es-ES_tradnl"/>
              </w:rPr>
              <w:t>Productos de cocreación de proyecto</w:t>
            </w:r>
            <w:r w:rsidRPr="00F22941">
              <w:rPr>
                <w:rStyle w:val="FootnoteReference"/>
                <w:b w:val="0"/>
                <w:bCs/>
                <w:lang w:val="fr-CH"/>
              </w:rPr>
              <w:footnoteReference w:id="8"/>
            </w:r>
          </w:p>
        </w:tc>
      </w:tr>
      <w:tr w:rsidR="00987986" w:rsidRPr="00987986" w14:paraId="3C317666" w14:textId="77777777" w:rsidTr="00191401">
        <w:trPr>
          <w:jc w:val="center"/>
        </w:trPr>
        <w:tc>
          <w:tcPr>
            <w:tcW w:w="1925" w:type="dxa"/>
            <w:shd w:val="clear" w:color="auto" w:fill="D9D9D9" w:themeFill="background1" w:themeFillShade="D9"/>
          </w:tcPr>
          <w:p w14:paraId="1AEAF2C2" w14:textId="77777777" w:rsidR="00987986" w:rsidRPr="00987986" w:rsidRDefault="00987986" w:rsidP="000840EE">
            <w:pPr>
              <w:spacing w:before="40" w:after="40"/>
              <w:rPr>
                <w:rFonts w:asciiTheme="minorHAnsi" w:hAnsiTheme="minorHAnsi"/>
                <w:b/>
                <w:bCs/>
                <w:sz w:val="22"/>
                <w:szCs w:val="22"/>
              </w:rPr>
            </w:pPr>
            <w:r w:rsidRPr="00C52978">
              <w:rPr>
                <w:rFonts w:asciiTheme="minorHAnsi" w:hAnsiTheme="minorHAnsi"/>
                <w:b/>
                <w:sz w:val="22"/>
                <w:lang w:val="es-ES_tradnl"/>
              </w:rPr>
              <w:t xml:space="preserve">África </w:t>
            </w:r>
          </w:p>
        </w:tc>
        <w:tc>
          <w:tcPr>
            <w:tcW w:w="1926" w:type="dxa"/>
          </w:tcPr>
          <w:p w14:paraId="426FB319"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1</w:t>
            </w:r>
          </w:p>
        </w:tc>
        <w:tc>
          <w:tcPr>
            <w:tcW w:w="1926" w:type="dxa"/>
          </w:tcPr>
          <w:p w14:paraId="5236AFE1"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c>
          <w:tcPr>
            <w:tcW w:w="1926" w:type="dxa"/>
          </w:tcPr>
          <w:p w14:paraId="170636DD"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2</w:t>
            </w:r>
          </w:p>
        </w:tc>
        <w:tc>
          <w:tcPr>
            <w:tcW w:w="1926" w:type="dxa"/>
          </w:tcPr>
          <w:p w14:paraId="647373E1"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1</w:t>
            </w:r>
          </w:p>
        </w:tc>
      </w:tr>
      <w:tr w:rsidR="00987986" w:rsidRPr="00987986" w14:paraId="50507FF4" w14:textId="77777777" w:rsidTr="00191401">
        <w:trPr>
          <w:jc w:val="center"/>
        </w:trPr>
        <w:tc>
          <w:tcPr>
            <w:tcW w:w="1925" w:type="dxa"/>
            <w:shd w:val="clear" w:color="auto" w:fill="D9D9D9" w:themeFill="background1" w:themeFillShade="D9"/>
          </w:tcPr>
          <w:p w14:paraId="509803F7" w14:textId="77777777" w:rsidR="00987986" w:rsidRPr="00987986" w:rsidRDefault="00987986" w:rsidP="000840EE">
            <w:pPr>
              <w:spacing w:before="40" w:after="40"/>
              <w:rPr>
                <w:rFonts w:asciiTheme="minorHAnsi" w:hAnsiTheme="minorHAnsi"/>
                <w:b/>
                <w:bCs/>
                <w:sz w:val="22"/>
                <w:szCs w:val="22"/>
              </w:rPr>
            </w:pPr>
            <w:r w:rsidRPr="00C52978">
              <w:rPr>
                <w:rFonts w:asciiTheme="minorHAnsi" w:hAnsiTheme="minorHAnsi"/>
                <w:b/>
                <w:sz w:val="22"/>
                <w:lang w:val="es-ES_tradnl"/>
              </w:rPr>
              <w:t>Américas</w:t>
            </w:r>
          </w:p>
        </w:tc>
        <w:tc>
          <w:tcPr>
            <w:tcW w:w="1926" w:type="dxa"/>
          </w:tcPr>
          <w:p w14:paraId="72DCFD8F"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c>
          <w:tcPr>
            <w:tcW w:w="1926" w:type="dxa"/>
          </w:tcPr>
          <w:p w14:paraId="22F84732"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c>
          <w:tcPr>
            <w:tcW w:w="1926" w:type="dxa"/>
          </w:tcPr>
          <w:p w14:paraId="29D0008A"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c>
          <w:tcPr>
            <w:tcW w:w="1926" w:type="dxa"/>
          </w:tcPr>
          <w:p w14:paraId="2BB16A87"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r>
      <w:tr w:rsidR="00987986" w:rsidRPr="00987986" w14:paraId="5AE5B50D" w14:textId="77777777" w:rsidTr="00191401">
        <w:trPr>
          <w:jc w:val="center"/>
        </w:trPr>
        <w:tc>
          <w:tcPr>
            <w:tcW w:w="1925" w:type="dxa"/>
            <w:shd w:val="clear" w:color="auto" w:fill="D9D9D9" w:themeFill="background1" w:themeFillShade="D9"/>
          </w:tcPr>
          <w:p w14:paraId="3B499559" w14:textId="77777777" w:rsidR="00987986" w:rsidRPr="00987986" w:rsidRDefault="00987986" w:rsidP="000840EE">
            <w:pPr>
              <w:spacing w:before="40" w:after="40"/>
              <w:rPr>
                <w:rFonts w:asciiTheme="minorHAnsi" w:hAnsiTheme="minorHAnsi"/>
                <w:b/>
                <w:bCs/>
                <w:sz w:val="22"/>
                <w:szCs w:val="22"/>
              </w:rPr>
            </w:pPr>
            <w:r w:rsidRPr="00C52978">
              <w:rPr>
                <w:rFonts w:asciiTheme="minorHAnsi" w:hAnsiTheme="minorHAnsi"/>
                <w:b/>
                <w:sz w:val="22"/>
                <w:lang w:val="es-ES_tradnl"/>
              </w:rPr>
              <w:t>Estados Árabes</w:t>
            </w:r>
          </w:p>
        </w:tc>
        <w:tc>
          <w:tcPr>
            <w:tcW w:w="1926" w:type="dxa"/>
          </w:tcPr>
          <w:p w14:paraId="10F34BC8"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c>
          <w:tcPr>
            <w:tcW w:w="1926" w:type="dxa"/>
          </w:tcPr>
          <w:p w14:paraId="60AEDFF7"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c>
          <w:tcPr>
            <w:tcW w:w="1926" w:type="dxa"/>
          </w:tcPr>
          <w:p w14:paraId="2FD2FC4B"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c>
          <w:tcPr>
            <w:tcW w:w="1926" w:type="dxa"/>
          </w:tcPr>
          <w:p w14:paraId="4C25A2DC"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r>
      <w:tr w:rsidR="00987986" w:rsidRPr="00987986" w14:paraId="662B5170" w14:textId="77777777" w:rsidTr="00191401">
        <w:trPr>
          <w:jc w:val="center"/>
        </w:trPr>
        <w:tc>
          <w:tcPr>
            <w:tcW w:w="1925" w:type="dxa"/>
            <w:shd w:val="clear" w:color="auto" w:fill="D9D9D9" w:themeFill="background1" w:themeFillShade="D9"/>
          </w:tcPr>
          <w:p w14:paraId="395F997A" w14:textId="77777777" w:rsidR="00987986" w:rsidRPr="00987986" w:rsidRDefault="00987986" w:rsidP="000840EE">
            <w:pPr>
              <w:spacing w:before="40" w:after="40"/>
              <w:rPr>
                <w:rFonts w:asciiTheme="minorHAnsi" w:hAnsiTheme="minorHAnsi"/>
                <w:b/>
                <w:bCs/>
                <w:sz w:val="22"/>
                <w:szCs w:val="22"/>
              </w:rPr>
            </w:pPr>
            <w:r w:rsidRPr="00C52978">
              <w:rPr>
                <w:rFonts w:asciiTheme="minorHAnsi" w:hAnsiTheme="minorHAnsi"/>
                <w:b/>
                <w:sz w:val="22"/>
                <w:lang w:val="es-ES_tradnl"/>
              </w:rPr>
              <w:t>Asia y el Pacífico</w:t>
            </w:r>
          </w:p>
        </w:tc>
        <w:tc>
          <w:tcPr>
            <w:tcW w:w="1926" w:type="dxa"/>
          </w:tcPr>
          <w:p w14:paraId="238FAA6C"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1</w:t>
            </w:r>
          </w:p>
        </w:tc>
        <w:tc>
          <w:tcPr>
            <w:tcW w:w="1926" w:type="dxa"/>
          </w:tcPr>
          <w:p w14:paraId="5989C78D"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1</w:t>
            </w:r>
          </w:p>
        </w:tc>
        <w:tc>
          <w:tcPr>
            <w:tcW w:w="1926" w:type="dxa"/>
          </w:tcPr>
          <w:p w14:paraId="15B94FA8"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1</w:t>
            </w:r>
          </w:p>
        </w:tc>
        <w:tc>
          <w:tcPr>
            <w:tcW w:w="1926" w:type="dxa"/>
          </w:tcPr>
          <w:p w14:paraId="013194EF"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r>
      <w:tr w:rsidR="00987986" w:rsidRPr="00987986" w14:paraId="5E464A4E" w14:textId="77777777" w:rsidTr="00191401">
        <w:trPr>
          <w:jc w:val="center"/>
        </w:trPr>
        <w:tc>
          <w:tcPr>
            <w:tcW w:w="1925" w:type="dxa"/>
            <w:shd w:val="clear" w:color="auto" w:fill="D9D9D9" w:themeFill="background1" w:themeFillShade="D9"/>
          </w:tcPr>
          <w:p w14:paraId="26E033DF" w14:textId="77777777" w:rsidR="00987986" w:rsidRPr="00987986" w:rsidRDefault="00987986" w:rsidP="000840EE">
            <w:pPr>
              <w:spacing w:before="40" w:after="40"/>
              <w:rPr>
                <w:rFonts w:asciiTheme="minorHAnsi" w:hAnsiTheme="minorHAnsi"/>
                <w:b/>
                <w:bCs/>
                <w:sz w:val="22"/>
                <w:szCs w:val="22"/>
              </w:rPr>
            </w:pPr>
            <w:r w:rsidRPr="00C52978">
              <w:rPr>
                <w:rFonts w:asciiTheme="minorHAnsi" w:hAnsiTheme="minorHAnsi"/>
                <w:b/>
                <w:sz w:val="22"/>
                <w:lang w:val="es-ES_tradnl"/>
              </w:rPr>
              <w:t>CEI</w:t>
            </w:r>
          </w:p>
        </w:tc>
        <w:tc>
          <w:tcPr>
            <w:tcW w:w="1926" w:type="dxa"/>
          </w:tcPr>
          <w:p w14:paraId="0232AC76"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c>
          <w:tcPr>
            <w:tcW w:w="1926" w:type="dxa"/>
          </w:tcPr>
          <w:p w14:paraId="6D0ED20D"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c>
          <w:tcPr>
            <w:tcW w:w="1926" w:type="dxa"/>
          </w:tcPr>
          <w:p w14:paraId="6C9D3CDA"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1</w:t>
            </w:r>
          </w:p>
        </w:tc>
        <w:tc>
          <w:tcPr>
            <w:tcW w:w="1926" w:type="dxa"/>
          </w:tcPr>
          <w:p w14:paraId="673458FA"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0</w:t>
            </w:r>
          </w:p>
        </w:tc>
      </w:tr>
      <w:tr w:rsidR="00987986" w:rsidRPr="00987986" w14:paraId="7B4EF425" w14:textId="77777777" w:rsidTr="00191401">
        <w:trPr>
          <w:jc w:val="center"/>
        </w:trPr>
        <w:tc>
          <w:tcPr>
            <w:tcW w:w="1925" w:type="dxa"/>
            <w:shd w:val="clear" w:color="auto" w:fill="D9D9D9" w:themeFill="background1" w:themeFillShade="D9"/>
          </w:tcPr>
          <w:p w14:paraId="499D8A39" w14:textId="77777777" w:rsidR="00987986" w:rsidRPr="00987986" w:rsidRDefault="00987986" w:rsidP="000840EE">
            <w:pPr>
              <w:spacing w:before="40" w:after="40"/>
              <w:rPr>
                <w:rFonts w:asciiTheme="minorHAnsi" w:hAnsiTheme="minorHAnsi"/>
                <w:b/>
                <w:bCs/>
                <w:sz w:val="22"/>
                <w:szCs w:val="22"/>
              </w:rPr>
            </w:pPr>
            <w:r w:rsidRPr="00C52978">
              <w:rPr>
                <w:rFonts w:asciiTheme="minorHAnsi" w:hAnsiTheme="minorHAnsi"/>
                <w:b/>
                <w:sz w:val="22"/>
                <w:lang w:val="es-ES_tradnl"/>
              </w:rPr>
              <w:t>Europa</w:t>
            </w:r>
          </w:p>
        </w:tc>
        <w:tc>
          <w:tcPr>
            <w:tcW w:w="1926" w:type="dxa"/>
          </w:tcPr>
          <w:p w14:paraId="3BCC7829"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2</w:t>
            </w:r>
          </w:p>
        </w:tc>
        <w:tc>
          <w:tcPr>
            <w:tcW w:w="1926" w:type="dxa"/>
          </w:tcPr>
          <w:p w14:paraId="2E2A935D"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1</w:t>
            </w:r>
          </w:p>
        </w:tc>
        <w:tc>
          <w:tcPr>
            <w:tcW w:w="1926" w:type="dxa"/>
          </w:tcPr>
          <w:p w14:paraId="326421CA"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4</w:t>
            </w:r>
          </w:p>
        </w:tc>
        <w:tc>
          <w:tcPr>
            <w:tcW w:w="1926" w:type="dxa"/>
          </w:tcPr>
          <w:p w14:paraId="46711567" w14:textId="77777777" w:rsidR="00987986" w:rsidRPr="00987986" w:rsidRDefault="00987986" w:rsidP="00C52978">
            <w:pPr>
              <w:spacing w:before="40" w:after="40"/>
              <w:jc w:val="center"/>
              <w:rPr>
                <w:rFonts w:asciiTheme="minorHAnsi" w:hAnsiTheme="minorHAnsi"/>
                <w:sz w:val="22"/>
                <w:szCs w:val="22"/>
              </w:rPr>
            </w:pPr>
            <w:r>
              <w:rPr>
                <w:rFonts w:asciiTheme="minorHAnsi" w:hAnsiTheme="minorHAnsi"/>
                <w:sz w:val="22"/>
                <w:szCs w:val="22"/>
              </w:rPr>
              <w:t>2</w:t>
            </w:r>
          </w:p>
        </w:tc>
      </w:tr>
    </w:tbl>
    <w:p w14:paraId="1EF92694" w14:textId="77777777" w:rsidR="00987986" w:rsidRPr="0024448B" w:rsidRDefault="002B2ECB" w:rsidP="002B2ECB">
      <w:pPr>
        <w:pStyle w:val="Heading3"/>
      </w:pPr>
      <w:r>
        <w:t>3.1.1</w:t>
      </w:r>
      <w:r>
        <w:tab/>
      </w:r>
      <w:r w:rsidR="00987986">
        <w:t>Intercambio de conocimientos</w:t>
      </w:r>
    </w:p>
    <w:p w14:paraId="5749CE69" w14:textId="77777777" w:rsidR="00987986" w:rsidRPr="00987986" w:rsidRDefault="00987986" w:rsidP="002B2ECB">
      <w:pPr>
        <w:rPr>
          <w:color w:val="000000" w:themeColor="text1"/>
        </w:rPr>
      </w:pPr>
      <w:r>
        <w:t xml:space="preserve">Para facilitar el intercambio de conocimientos basados en pruebas sobre las prácticas de innovación, la UIT desarrolló un nuevo producto, </w:t>
      </w:r>
      <w:r>
        <w:rPr>
          <w:b/>
          <w:bCs/>
        </w:rPr>
        <w:t>las buenas prácticas de ecosistema (</w:t>
      </w:r>
      <w:r>
        <w:rPr>
          <w:b/>
          <w:bCs/>
          <w:szCs w:val="24"/>
        </w:rPr>
        <w:t xml:space="preserve">Ecosystem </w:t>
      </w:r>
      <w:r>
        <w:rPr>
          <w:b/>
          <w:bCs/>
          <w:szCs w:val="24"/>
        </w:rPr>
        <w:lastRenderedPageBreak/>
        <w:t>Good P</w:t>
      </w:r>
      <w:r>
        <w:rPr>
          <w:b/>
          <w:bCs/>
          <w:color w:val="000000" w:themeColor="text1"/>
        </w:rPr>
        <w:t>ractices</w:t>
      </w:r>
      <w:r>
        <w:rPr>
          <w:b/>
          <w:bCs/>
        </w:rPr>
        <w:t>)</w:t>
      </w:r>
      <w:r>
        <w:rPr>
          <w:color w:val="000000" w:themeColor="text1"/>
        </w:rPr>
        <w:t>, y publicó su primer informe "</w:t>
      </w:r>
      <w:hyperlink r:id="rId9" w:history="1">
        <w:r>
          <w:rPr>
            <w:rStyle w:val="Hyperlink"/>
          </w:rPr>
          <w:t>Good practices that accelerate Digital Transformation in Europe</w:t>
        </w:r>
      </w:hyperlink>
      <w:r>
        <w:rPr>
          <w:color w:val="000000" w:themeColor="text1"/>
        </w:rPr>
        <w:t>" (Buenas prácticas que aceleran la transformación digital en Europa) en la CMSI de 2018.</w:t>
      </w:r>
    </w:p>
    <w:p w14:paraId="45807965" w14:textId="77777777" w:rsidR="00416C74" w:rsidRPr="00201EB5" w:rsidRDefault="00201EB5" w:rsidP="00E345B8">
      <w:r>
        <w:t>La BDT también revi</w:t>
      </w:r>
      <w:r w:rsidR="00E345B8">
        <w:t>só la herramienta de innovación</w:t>
      </w:r>
      <w:r>
        <w:t xml:space="preserve"> </w:t>
      </w:r>
      <w:r w:rsidR="00E345B8">
        <w:t>"</w:t>
      </w:r>
      <w:hyperlink r:id="rId10" w:history="1">
        <w:r w:rsidRPr="00E345B8">
          <w:rPr>
            <w:rStyle w:val="Hyperlink"/>
            <w:szCs w:val="24"/>
          </w:rPr>
          <w:t>Bridging the Digital Innovation Divide:</w:t>
        </w:r>
      </w:hyperlink>
      <w:bookmarkStart w:id="12" w:name="lt_pId054"/>
      <w:r w:rsidR="00AD76DB" w:rsidRPr="00E345B8">
        <w:rPr>
          <w:rStyle w:val="Hyperlink"/>
          <w:szCs w:val="24"/>
        </w:rPr>
        <w:fldChar w:fldCharType="begin"/>
      </w:r>
      <w:r w:rsidR="00927B87" w:rsidRPr="00E345B8">
        <w:rPr>
          <w:rStyle w:val="Hyperlink"/>
          <w:szCs w:val="24"/>
        </w:rPr>
        <w:instrText>HYPERLINK "https://www.itu.int/en/ITU-D/Innovation/Documents/Publications/Policy_Toolkit-Innovation_D012A0000D13301PDFE.pdf"</w:instrText>
      </w:r>
      <w:r w:rsidR="00AD76DB" w:rsidRPr="00E345B8">
        <w:rPr>
          <w:rStyle w:val="Hyperlink"/>
          <w:szCs w:val="24"/>
        </w:rPr>
        <w:fldChar w:fldCharType="separate"/>
      </w:r>
      <w:r w:rsidRPr="00E345B8">
        <w:rPr>
          <w:rStyle w:val="Hyperlink"/>
          <w:szCs w:val="24"/>
        </w:rPr>
        <w:t xml:space="preserve"> Strengthening ICT Centric Innovation ecosystem</w:t>
      </w:r>
      <w:r w:rsidR="00AD76DB" w:rsidRPr="00E345B8">
        <w:rPr>
          <w:rStyle w:val="Hyperlink"/>
          <w:szCs w:val="24"/>
        </w:rPr>
        <w:fldChar w:fldCharType="end"/>
      </w:r>
      <w:bookmarkEnd w:id="12"/>
      <w:r w:rsidR="00E345B8" w:rsidRPr="00E345B8">
        <w:t>"</w:t>
      </w:r>
      <w:r>
        <w:t xml:space="preserve"> en </w:t>
      </w:r>
      <w:r w:rsidRPr="00E345B8">
        <w:t>lo</w:t>
      </w:r>
      <w:r>
        <w:t>s seis idiomas de las Naciones Unidas.</w:t>
      </w:r>
    </w:p>
    <w:p w14:paraId="6CBDFD11" w14:textId="77777777" w:rsidR="00201EB5" w:rsidRPr="00201EB5" w:rsidRDefault="00201EB5" w:rsidP="002B2ECB">
      <w:r>
        <w:t xml:space="preserve">Se organizaron varias sesiones de intercambio de conocimientos sobre la aceleración de la transformación digital para </w:t>
      </w:r>
      <w:r>
        <w:rPr>
          <w:b/>
          <w:bCs/>
        </w:rPr>
        <w:t>informar a las partes interesadas sobre los problemas y oportunidades de la innovación</w:t>
      </w:r>
      <w:r>
        <w:t xml:space="preserve"> en los ecosistemas digitales.</w:t>
      </w:r>
    </w:p>
    <w:p w14:paraId="4FA26C29" w14:textId="77777777" w:rsidR="00416C74" w:rsidRPr="002B2ECB" w:rsidRDefault="00201EB5" w:rsidP="002B2ECB">
      <w:pPr>
        <w:pStyle w:val="enumlev1"/>
      </w:pPr>
      <w:r w:rsidRPr="002B2ECB">
        <w:t>–</w:t>
      </w:r>
      <w:r w:rsidRPr="002B2ECB">
        <w:tab/>
        <w:t xml:space="preserve">La BDT siguió organizando </w:t>
      </w:r>
      <w:r w:rsidRPr="00927B87">
        <w:rPr>
          <w:b/>
          <w:bCs/>
        </w:rPr>
        <w:t>diálogos sobre innovación</w:t>
      </w:r>
      <w:r w:rsidRPr="002B2ECB">
        <w:t xml:space="preserve"> mediante la celebración de la </w:t>
      </w:r>
      <w:r w:rsidRPr="00BB65D7">
        <w:t xml:space="preserve">sesión de </w:t>
      </w:r>
      <w:hyperlink r:id="rId11" w:history="1">
        <w:r w:rsidRPr="00BB65D7">
          <w:rPr>
            <w:rStyle w:val="Hyperlink"/>
          </w:rPr>
          <w:t>la CMSI sobre la innovación</w:t>
        </w:r>
      </w:hyperlink>
      <w:r w:rsidRPr="002B2ECB">
        <w:t xml:space="preserve"> anual. En cinco sesiones sobre la aceleración de la transformación digital y la creación de ecosistemas de innovación centrados en las TIC, se exploraron las tres esferas clave siguientes: las prácticas de innovación basadas en pruebas, los instrumentos de aplicación de los ecosistemas de innovación y las políticas de financiación para proyecto</w:t>
      </w:r>
      <w:r w:rsidR="00F22941">
        <w:t xml:space="preserve">s emblemáticos de gran alcance. </w:t>
      </w:r>
      <w:r w:rsidRPr="002B2ECB">
        <w:t>A esos diálogos asistieron más de 300 participantes y 39 ponentes expertos, entre ellos un grupo de alto nivel y los ponentes principales del sector, organismos bilaterales y multilaterales de desarrollo, empresarios, ex</w:t>
      </w:r>
      <w:r w:rsidR="009A6E9F">
        <w:t>pertos en innovación, etc.</w:t>
      </w:r>
    </w:p>
    <w:p w14:paraId="251C4BD2" w14:textId="485E2C48" w:rsidR="00201EB5" w:rsidRPr="002B2ECB" w:rsidRDefault="00201EB5" w:rsidP="005F1CCE">
      <w:pPr>
        <w:pStyle w:val="enumlev1"/>
      </w:pPr>
      <w:r w:rsidRPr="002B2ECB">
        <w:t>–</w:t>
      </w:r>
      <w:r w:rsidRPr="002B2ECB">
        <w:tab/>
        <w:t>En 2018 se organizó un foro de expertos de alto nivel en el ITU Telecom, "</w:t>
      </w:r>
      <w:hyperlink r:id="rId12" w:history="1">
        <w:r w:rsidRPr="009A6E9F">
          <w:rPr>
            <w:rStyle w:val="Hyperlink"/>
          </w:rPr>
          <w:t>Digital innovation ecosystems: the key to Industry 4.0</w:t>
        </w:r>
      </w:hyperlink>
      <w:r w:rsidRPr="002B2ECB">
        <w:t>" (Ecosistemas de innovación digital: la clave para la Industria 4.0), entre la ONUDI</w:t>
      </w:r>
      <w:r w:rsidR="00D372B8" w:rsidRPr="00F22941">
        <w:rPr>
          <w:rStyle w:val="FootnoteReference"/>
        </w:rPr>
        <w:footnoteReference w:id="9"/>
      </w:r>
      <w:r w:rsidRPr="002B2ECB">
        <w:t xml:space="preserve"> y </w:t>
      </w:r>
      <w:r w:rsidRPr="00617A33">
        <w:t>la</w:t>
      </w:r>
      <w:r w:rsidR="005F1CCE">
        <w:t xml:space="preserve"> GMIS</w:t>
      </w:r>
      <w:r w:rsidR="005F1CCE">
        <w:rPr>
          <w:rStyle w:val="FootnoteReference"/>
        </w:rPr>
        <w:footnoteReference w:id="10"/>
      </w:r>
      <w:r w:rsidRPr="002B2ECB">
        <w:t>, para informar a las partes interesadas sobre los ecosistemas de innovación digital con miras a facilita</w:t>
      </w:r>
      <w:r w:rsidR="009A6E9F">
        <w:t>r las visiones de</w:t>
      </w:r>
      <w:r w:rsidR="00BB65D7">
        <w:t xml:space="preserve"> la</w:t>
      </w:r>
      <w:r w:rsidR="009A6E9F">
        <w:t xml:space="preserve"> Industria 4.0.</w:t>
      </w:r>
    </w:p>
    <w:p w14:paraId="4995727B" w14:textId="77777777" w:rsidR="00201EB5" w:rsidRPr="007B4502" w:rsidRDefault="00201EB5" w:rsidP="009A6E9F">
      <w:pPr>
        <w:pStyle w:val="enumlev1"/>
      </w:pPr>
      <w:r w:rsidRPr="002B2ECB">
        <w:t>–</w:t>
      </w:r>
      <w:r w:rsidRPr="002B2ECB">
        <w:tab/>
        <w:t>También se celebró una sesión para potenciar la innovación sobre la monitorización de los programas y políticas de innovación centrados en las TIC (</w:t>
      </w:r>
      <w:r w:rsidR="009A6E9F">
        <w:t>"</w:t>
      </w:r>
      <w:hyperlink r:id="rId13" w:history="1">
        <w:r w:rsidRPr="009A6E9F">
          <w:rPr>
            <w:rStyle w:val="Hyperlink"/>
          </w:rPr>
          <w:t>Monitoring ICT centric innovation policies and programs</w:t>
        </w:r>
      </w:hyperlink>
      <w:r w:rsidR="009A6E9F">
        <w:t>"</w:t>
      </w:r>
      <w:r w:rsidRPr="002B2ECB">
        <w:t>) para obtener conocimiento técnico y competencias sobre la medición de la capacidad de innovación centrada en las TIC en el ITU Telecom 2018 en la que participaron legisladores, empresarios, agentes financieros, personal académico, compañías y pymes.</w:t>
      </w:r>
    </w:p>
    <w:p w14:paraId="0555C58F" w14:textId="77777777" w:rsidR="008D1C15" w:rsidRPr="00BB6F56" w:rsidRDefault="008D1C15" w:rsidP="002B2ECB">
      <w:pPr>
        <w:pStyle w:val="Heading3"/>
      </w:pPr>
      <w:r>
        <w:t>3.1.2</w:t>
      </w:r>
      <w:r>
        <w:tab/>
      </w:r>
      <w:bookmarkStart w:id="13" w:name="lt_pId061"/>
      <w:r w:rsidRPr="002B2ECB">
        <w:t>Empoderamiento</w:t>
      </w:r>
      <w:r>
        <w:t xml:space="preserve"> de las partes interesadas mediante creación de capacidades sobre innovación</w:t>
      </w:r>
      <w:bookmarkEnd w:id="13"/>
    </w:p>
    <w:p w14:paraId="4688AF81" w14:textId="77777777" w:rsidR="008D1C15" w:rsidRPr="00AA3D29" w:rsidRDefault="008D1C15" w:rsidP="009A6E9F">
      <w:bookmarkStart w:id="14" w:name="lt_pId062"/>
      <w:r>
        <w:t>Basándose en nuevos instrumentos y procesos elaborados, la BDT ha elaborado un conjunto de talleres de formación con los que ayudar a los expertos regionales, nacionales e internacionales a desarrollar sus competencias en materia de innovación.</w:t>
      </w:r>
      <w:bookmarkEnd w:id="14"/>
      <w:r w:rsidR="003F792F">
        <w:t xml:space="preserve"> </w:t>
      </w:r>
      <w:r>
        <w:t>En 2018, se ofreció formación y certificación a unas 100 partes interesadas de más de 55 países en los siguientes talleres sobre las habilidades para fortalecer sus ecosistemas de innovación:</w:t>
      </w:r>
    </w:p>
    <w:p w14:paraId="04C1B651" w14:textId="77777777" w:rsidR="008D1C15" w:rsidRPr="002525DD" w:rsidRDefault="001F1B1E" w:rsidP="000D4928">
      <w:pPr>
        <w:pStyle w:val="enumlev1"/>
      </w:pPr>
      <w:r w:rsidRPr="002525DD">
        <w:t>–</w:t>
      </w:r>
      <w:r w:rsidRPr="002525DD">
        <w:tab/>
        <w:t>Se prestó asistencia técnica continua a Tailandia en el taller coorganizado con la ONDE para múltiples partes interesadas sobre la reducción de la brecha digital de innovación (</w:t>
      </w:r>
      <w:hyperlink r:id="rId14" w:history="1">
        <w:r w:rsidRPr="009A6E9F">
          <w:rPr>
            <w:rStyle w:val="Hyperlink"/>
          </w:rPr>
          <w:t>Multi-stakeholder Workshop on Bridging the Digital Innovation Divide</w:t>
        </w:r>
      </w:hyperlink>
      <w:r w:rsidRPr="002525DD">
        <w:t xml:space="preserve">), </w:t>
      </w:r>
      <w:r w:rsidR="000D4928">
        <w:t xml:space="preserve">del </w:t>
      </w:r>
      <w:r w:rsidRPr="002525DD">
        <w:t>8</w:t>
      </w:r>
      <w:r w:rsidR="000D4928">
        <w:t xml:space="preserve"> al 9 de mayo en</w:t>
      </w:r>
      <w:r w:rsidRPr="002525DD">
        <w:t xml:space="preserve"> Bangkok, Tailandia. Como resultado, 55 partes interesadas nacionales intercambiaron </w:t>
      </w:r>
      <w:r w:rsidRPr="002525DD">
        <w:lastRenderedPageBreak/>
        <w:t xml:space="preserve">información sobre el tema y 13 de ellas recibieron formación y certificación para fortalecer los ecosistemas de </w:t>
      </w:r>
      <w:r w:rsidR="009A6E9F">
        <w:t>innovación centrados en las TIC.</w:t>
      </w:r>
    </w:p>
    <w:p w14:paraId="167BFBB9" w14:textId="06E6CB35" w:rsidR="001F1B1E" w:rsidRPr="002525DD" w:rsidRDefault="001F1B1E" w:rsidP="000F2B82">
      <w:pPr>
        <w:pStyle w:val="enumlev1"/>
      </w:pPr>
      <w:r w:rsidRPr="002525DD">
        <w:t>–</w:t>
      </w:r>
      <w:r w:rsidRPr="002525DD">
        <w:tab/>
        <w:t>La BDT, en colaboración</w:t>
      </w:r>
      <w:r w:rsidR="00085EAD" w:rsidRPr="009A6E9F">
        <w:rPr>
          <w:rStyle w:val="FootnoteReference"/>
          <w:color w:val="000000" w:themeColor="text1"/>
          <w:lang w:val="fr-CH"/>
        </w:rPr>
        <w:footnoteReference w:id="11"/>
      </w:r>
      <w:r w:rsidRPr="002525DD">
        <w:t xml:space="preserve"> con la Ciudad Metropolitana de Bus</w:t>
      </w:r>
      <w:r w:rsidR="000F2B82">
        <w:t>á</w:t>
      </w:r>
      <w:r w:rsidRPr="002525DD">
        <w:t xml:space="preserve">n, celebró como cada año el </w:t>
      </w:r>
      <w:hyperlink r:id="rId15" w:history="1">
        <w:r w:rsidRPr="009A6E9F">
          <w:rPr>
            <w:rStyle w:val="Hyperlink"/>
          </w:rPr>
          <w:t>Foro de Jóvenes Líderes de las TIC</w:t>
        </w:r>
      </w:hyperlink>
      <w:r w:rsidRPr="002525DD">
        <w:rPr>
          <w:rStyle w:val="Hyperlink"/>
          <w:color w:val="auto"/>
          <w:u w:val="none"/>
        </w:rPr>
        <w:t>, del 4 al 7</w:t>
      </w:r>
      <w:r w:rsidRPr="002525DD">
        <w:t xml:space="preserve"> d</w:t>
      </w:r>
      <w:r w:rsidR="000F2B82">
        <w:t>e septiembre en Busá</w:t>
      </w:r>
      <w:r w:rsidR="00E215A6">
        <w:t>n, Corea (</w:t>
      </w:r>
      <w:r w:rsidRPr="002525DD">
        <w:t>República de). En el Foro se promovió la participación activa de los jóvenes en la economía digital y se facilitó a los entusiastas y expertos en ecosistemas de innovación y a los legisladores a participar y a entablar contacto entre ellos. El foro versó sobre el fomento de las innovaciones digitales para las ciudades inteligentes y sostenibles ("Nurturing Digital Innovations for sustainable smart cities") y en él se ofreció</w:t>
      </w:r>
      <w:r w:rsidR="00EF76FE">
        <w:t xml:space="preserve"> formación y certificación a 71 </w:t>
      </w:r>
      <w:r w:rsidRPr="002525DD">
        <w:t>jóvenes de 50 países sobre cómo construir un ecos</w:t>
      </w:r>
      <w:r w:rsidR="00EF76FE">
        <w:t>istema de ciudades inteligentes.</w:t>
      </w:r>
    </w:p>
    <w:p w14:paraId="2D74A7D3" w14:textId="77777777" w:rsidR="008D1C15" w:rsidRPr="00BA7C3F" w:rsidRDefault="001F1B1E" w:rsidP="002525DD">
      <w:pPr>
        <w:pStyle w:val="enumlev1"/>
      </w:pPr>
      <w:r w:rsidRPr="002525DD">
        <w:t>–</w:t>
      </w:r>
      <w:r w:rsidRPr="002525DD">
        <w:tab/>
        <w:t>En colaboración con la Universidad Metropolitana de Oslo</w:t>
      </w:r>
      <w:r w:rsidR="00BA7C3F" w:rsidRPr="00EF76FE">
        <w:rPr>
          <w:rStyle w:val="FootnoteReference"/>
        </w:rPr>
        <w:footnoteReference w:id="12"/>
      </w:r>
      <w:r w:rsidRPr="002525DD">
        <w:t xml:space="preserve">, la BDT celebro el </w:t>
      </w:r>
      <w:hyperlink r:id="rId16" w:history="1">
        <w:r w:rsidRPr="00A13CB0">
          <w:rPr>
            <w:rStyle w:val="Hyperlink"/>
          </w:rPr>
          <w:t>Foro regional de innovación para Europa</w:t>
        </w:r>
      </w:hyperlink>
      <w:r w:rsidRPr="00A13CB0">
        <w:rPr>
          <w:rStyle w:val="Hyperlink"/>
          <w:color w:val="auto"/>
          <w:u w:val="none"/>
        </w:rPr>
        <w:t xml:space="preserve"> en Oslo</w:t>
      </w:r>
      <w:r w:rsidRPr="002525DD">
        <w:t>, Noruega, del 21 al 23 de noviembre. El tema del foro fue el fomento de la iniciativa empresarial digital y los ecosistemas de las empresas emergentes ("Fostering Digital Entrepreneurship and Startup Ecosystems"). En él se ofreció formación y certificación a 15 partes interesadas de 6 países en habilidades para fomentar los ecosistemas de innovación centrados en las TIC.</w:t>
      </w:r>
    </w:p>
    <w:p w14:paraId="6F57054B" w14:textId="77777777" w:rsidR="008D1C15" w:rsidRPr="00D337BD" w:rsidRDefault="00D337BD" w:rsidP="002525DD">
      <w:r>
        <w:t xml:space="preserve">La creación de capacidades sobre innovación de la UIT empodera a las partes interesadas en el dominio del diseño de proyectos, programas y políticas sobre innovación. A través de </w:t>
      </w:r>
      <w:r>
        <w:rPr>
          <w:b/>
          <w:bCs/>
        </w:rPr>
        <w:t>instrumentos y talleres prácticos</w:t>
      </w:r>
      <w:r>
        <w:t xml:space="preserve">, la creación de capacidades de innovación ofrece a los participantes el potencial de promover la innovación para </w:t>
      </w:r>
      <w:r>
        <w:rPr>
          <w:b/>
          <w:bCs/>
        </w:rPr>
        <w:t>acelerar la transformación digital de sus comunidades</w:t>
      </w:r>
      <w:r>
        <w:t>.</w:t>
      </w:r>
    </w:p>
    <w:p w14:paraId="7872FE8F" w14:textId="77777777" w:rsidR="00416C74" w:rsidRPr="00BB6F56" w:rsidRDefault="00416C74" w:rsidP="002525DD">
      <w:pPr>
        <w:pStyle w:val="Heading3"/>
      </w:pPr>
      <w:r>
        <w:t>3.1.3</w:t>
      </w:r>
      <w:r>
        <w:tab/>
      </w:r>
      <w:bookmarkStart w:id="15" w:name="lt_pId072"/>
      <w:r w:rsidRPr="002525DD">
        <w:t>Evaluación</w:t>
      </w:r>
      <w:r>
        <w:t xml:space="preserve"> del ecosistema nacional de innovación</w:t>
      </w:r>
      <w:bookmarkEnd w:id="15"/>
    </w:p>
    <w:p w14:paraId="6E9CBEF0" w14:textId="54A6002D" w:rsidR="00416C74" w:rsidRPr="00641CB0" w:rsidRDefault="00641CB0" w:rsidP="000F2B82">
      <w:r>
        <w:t xml:space="preserve">Para acelerar la transformación digital entre los </w:t>
      </w:r>
      <w:r w:rsidR="005F1CCE">
        <w:t xml:space="preserve">Miembros del </w:t>
      </w:r>
      <w:r w:rsidRPr="00E345B8">
        <w:t>UIT</w:t>
      </w:r>
      <w:r w:rsidR="005F1CCE">
        <w:t>-D</w:t>
      </w:r>
      <w:r w:rsidRPr="00E345B8">
        <w:t>, la Unión</w:t>
      </w:r>
      <w:r>
        <w:t xml:space="preserve"> desarrolló </w:t>
      </w:r>
      <w:r w:rsidRPr="00A13CB0">
        <w:rPr>
          <w:b/>
          <w:bCs/>
        </w:rPr>
        <w:t>nuevos productos</w:t>
      </w:r>
      <w:r>
        <w:t xml:space="preserve">, como </w:t>
      </w:r>
      <w:r w:rsidRPr="000D4928">
        <w:t xml:space="preserve">los </w:t>
      </w:r>
      <w:hyperlink r:id="rId17" w:history="1">
        <w:r w:rsidR="000D4928" w:rsidRPr="000D4928">
          <w:rPr>
            <w:rStyle w:val="Hyperlink"/>
            <w:b/>
            <w:bCs/>
            <w:szCs w:val="24"/>
          </w:rPr>
          <w:t>P</w:t>
        </w:r>
        <w:r w:rsidRPr="000D4928">
          <w:rPr>
            <w:rStyle w:val="Hyperlink"/>
            <w:b/>
            <w:bCs/>
            <w:szCs w:val="24"/>
          </w:rPr>
          <w:t>erfiles de innovación digital</w:t>
        </w:r>
      </w:hyperlink>
      <w:r w:rsidRPr="000D4928">
        <w:t>, para satisfacer</w:t>
      </w:r>
      <w:r>
        <w:t xml:space="preserve"> la creciente demanda por una evaluación de la innovación en la UIT.</w:t>
      </w:r>
    </w:p>
    <w:p w14:paraId="0E55FB4C" w14:textId="77777777" w:rsidR="00416C74" w:rsidRPr="005C7912" w:rsidRDefault="005C7912" w:rsidP="002525DD">
      <w:r>
        <w:t>Los perfiles de innovación digital (PID) forman parte de la nueva serie de instantáneas de ecosistemas de innovación centrados en las tecnologías de la información y la comunicación (TIC) de la BDT, que ofrecen una rápida evaluación de la capacidad existente en materia de transformación digital y una visión global de las oportunidades y desafíos a los que se enfrentan los ecosistemas de los países.</w:t>
      </w:r>
    </w:p>
    <w:p w14:paraId="13963AB3" w14:textId="77777777" w:rsidR="00A330AB" w:rsidRPr="00A330AB" w:rsidRDefault="00A330AB" w:rsidP="002525DD">
      <w:r>
        <w:t>Se realizar</w:t>
      </w:r>
      <w:r w:rsidR="002525DD">
        <w:t>on las siguientes evaluaciones:</w:t>
      </w:r>
    </w:p>
    <w:p w14:paraId="05569F53" w14:textId="77777777" w:rsidR="00641CB0" w:rsidRPr="002525DD" w:rsidRDefault="002525DD" w:rsidP="002525DD">
      <w:pPr>
        <w:pStyle w:val="enumlev1"/>
      </w:pPr>
      <w:r>
        <w:t>–</w:t>
      </w:r>
      <w:r w:rsidR="00AD5493" w:rsidRPr="002525DD">
        <w:tab/>
        <w:t xml:space="preserve">Serbia y Bosnia y Herzegovina evaluaron las capacidades de transformación digital. Como resultado se lanzaron los </w:t>
      </w:r>
      <w:r w:rsidR="00AD5493" w:rsidRPr="006D07A7">
        <w:rPr>
          <w:b/>
          <w:bCs/>
        </w:rPr>
        <w:t xml:space="preserve">Perfiles de innovación digital </w:t>
      </w:r>
      <w:r w:rsidR="00AD5493" w:rsidRPr="00C83923">
        <w:t xml:space="preserve">para </w:t>
      </w:r>
      <w:hyperlink r:id="rId18" w:history="1">
        <w:r w:rsidR="00AD5493" w:rsidRPr="00C83923">
          <w:rPr>
            <w:rStyle w:val="Hyperlink"/>
          </w:rPr>
          <w:t>Bosnia y Herzegovina</w:t>
        </w:r>
      </w:hyperlink>
      <w:r w:rsidR="00AD5493" w:rsidRPr="000D4928">
        <w:t xml:space="preserve"> y </w:t>
      </w:r>
      <w:hyperlink r:id="rId19" w:history="1">
        <w:r w:rsidR="00AD5493" w:rsidRPr="00C83923">
          <w:rPr>
            <w:rStyle w:val="Hyperlink"/>
          </w:rPr>
          <w:t>Serbia</w:t>
        </w:r>
      </w:hyperlink>
      <w:r w:rsidR="00AD5493" w:rsidRPr="00C83923">
        <w:t xml:space="preserve"> en </w:t>
      </w:r>
      <w:r w:rsidR="00E72D8C">
        <w:t>la CMSI de 2018.</w:t>
      </w:r>
    </w:p>
    <w:p w14:paraId="672AF2C4" w14:textId="77777777" w:rsidR="00A330AB" w:rsidRPr="002525DD" w:rsidRDefault="002525DD" w:rsidP="002525DD">
      <w:pPr>
        <w:pStyle w:val="enumlev1"/>
      </w:pPr>
      <w:r>
        <w:t>–</w:t>
      </w:r>
      <w:r w:rsidR="00F9719F" w:rsidRPr="002525DD">
        <w:tab/>
        <w:t xml:space="preserve">La </w:t>
      </w:r>
      <w:r w:rsidR="00AD5493" w:rsidRPr="002525DD">
        <w:t>República de Moldova evaluó las capacidades integr</w:t>
      </w:r>
      <w:r w:rsidR="003F792F">
        <w:t>ales de transformación digital.</w:t>
      </w:r>
      <w:r w:rsidR="00AD5493" w:rsidRPr="002525DD">
        <w:t xml:space="preserve"> El </w:t>
      </w:r>
      <w:r w:rsidR="00AD5493" w:rsidRPr="006D07A7">
        <w:rPr>
          <w:b/>
          <w:bCs/>
        </w:rPr>
        <w:t>examen por país del ecosistema de innovación</w:t>
      </w:r>
      <w:r w:rsidR="00AD5493" w:rsidRPr="002525DD">
        <w:t xml:space="preserve"> centrada en las TIC de la </w:t>
      </w:r>
      <w:hyperlink r:id="rId20" w:history="1">
        <w:r w:rsidR="00AD5493" w:rsidRPr="000D4928">
          <w:rPr>
            <w:rStyle w:val="Hyperlink"/>
          </w:rPr>
          <w:t>República de Moldova</w:t>
        </w:r>
      </w:hyperlink>
      <w:r w:rsidR="00AD5493" w:rsidRPr="002525DD">
        <w:t xml:space="preserve"> es un análisis completo con recomendaciones sobre el modo en que el país puede mejorar sus políticas TIC con programas y políticas de iniciativa e</w:t>
      </w:r>
      <w:r w:rsidR="00E72D8C">
        <w:t>mpresarial digital e innovación.</w:t>
      </w:r>
    </w:p>
    <w:p w14:paraId="75B02B35" w14:textId="77777777" w:rsidR="00A330AB" w:rsidRPr="002525DD" w:rsidRDefault="002525DD" w:rsidP="002525DD">
      <w:pPr>
        <w:pStyle w:val="enumlev1"/>
      </w:pPr>
      <w:r>
        <w:lastRenderedPageBreak/>
        <w:t>–</w:t>
      </w:r>
      <w:r w:rsidR="00AD5493" w:rsidRPr="002525DD">
        <w:tab/>
        <w:t xml:space="preserve">La República de Sudáfrica evaluó las capacidades de transformación digital. El </w:t>
      </w:r>
      <w:r w:rsidR="0075667B" w:rsidRPr="006D07A7">
        <w:rPr>
          <w:b/>
          <w:bCs/>
        </w:rPr>
        <w:t xml:space="preserve">Perfil </w:t>
      </w:r>
      <w:r w:rsidR="00AD5493" w:rsidRPr="006D07A7">
        <w:rPr>
          <w:b/>
          <w:bCs/>
        </w:rPr>
        <w:t>de innovación digital</w:t>
      </w:r>
      <w:r w:rsidR="00AD5493" w:rsidRPr="002525DD">
        <w:t xml:space="preserve"> de la </w:t>
      </w:r>
      <w:hyperlink r:id="rId21" w:history="1">
        <w:r w:rsidR="00AD5493" w:rsidRPr="006D07A7">
          <w:rPr>
            <w:rStyle w:val="Hyperlink"/>
          </w:rPr>
          <w:t>República de Sudáfrica</w:t>
        </w:r>
      </w:hyperlink>
      <w:r w:rsidR="00AD5493" w:rsidRPr="002525DD">
        <w:t xml:space="preserve"> fue p</w:t>
      </w:r>
      <w:r w:rsidR="00E72D8C">
        <w:t>ublicado en el ITU Telecom 2018.</w:t>
      </w:r>
    </w:p>
    <w:p w14:paraId="02768093" w14:textId="77777777" w:rsidR="00A330AB" w:rsidRPr="002525DD" w:rsidRDefault="002525DD" w:rsidP="002525DD">
      <w:pPr>
        <w:pStyle w:val="enumlev1"/>
      </w:pPr>
      <w:r>
        <w:t>–</w:t>
      </w:r>
      <w:r w:rsidR="00F9719F" w:rsidRPr="002525DD">
        <w:tab/>
      </w:r>
      <w:r w:rsidR="00AD5493" w:rsidRPr="002525DD">
        <w:t>Montenegro: evaluación permanente de las capaci</w:t>
      </w:r>
      <w:r w:rsidR="00E72D8C">
        <w:t>dades de transformación digital.</w:t>
      </w:r>
    </w:p>
    <w:p w14:paraId="172F45AC" w14:textId="77777777" w:rsidR="00A330AB" w:rsidRPr="00476761" w:rsidRDefault="00476761" w:rsidP="00476761">
      <w:pPr>
        <w:pStyle w:val="enumlev1"/>
      </w:pPr>
      <w:r>
        <w:t>–</w:t>
      </w:r>
      <w:r w:rsidR="00AD5493" w:rsidRPr="00476761">
        <w:tab/>
        <w:t>Zimbabwe: evaluación permanente de las capaci</w:t>
      </w:r>
      <w:r w:rsidR="00E72D8C">
        <w:t>dades de transformación digital.</w:t>
      </w:r>
    </w:p>
    <w:p w14:paraId="0B9088CB" w14:textId="4E5334EE" w:rsidR="00AD5493" w:rsidRDefault="00476761" w:rsidP="00604EEE">
      <w:pPr>
        <w:pStyle w:val="enumlev1"/>
      </w:pPr>
      <w:r>
        <w:t>–</w:t>
      </w:r>
      <w:r w:rsidR="00AD5493" w:rsidRPr="00476761">
        <w:tab/>
      </w:r>
      <w:r w:rsidR="00B234CC" w:rsidRPr="00F45272">
        <w:t>Macedonia del Norte (República de)</w:t>
      </w:r>
      <w:bookmarkStart w:id="16" w:name="_GoBack"/>
      <w:bookmarkEnd w:id="16"/>
      <w:r w:rsidR="00AD5493" w:rsidRPr="00F45272">
        <w:t>: evaluación</w:t>
      </w:r>
      <w:r w:rsidR="00AD5493" w:rsidRPr="00476761">
        <w:t xml:space="preserve"> permanente de las capacidades de transformación digital.</w:t>
      </w:r>
    </w:p>
    <w:p w14:paraId="4A47BD7A" w14:textId="77777777" w:rsidR="00E914CD" w:rsidRPr="00E914CD" w:rsidRDefault="00E914CD" w:rsidP="00E914CD">
      <w:r w:rsidRPr="00E914CD">
        <w:t>Los perfiles de innovación digital, unidos al antes citado enfoque de capacitación, están permitiendo a la BDT expandir sus actividades y proporcionar un modelo de implicación progresiva y más sostenible a fin de ofrecer eficacia a los miembros del UIT-D.</w:t>
      </w:r>
    </w:p>
    <w:p w14:paraId="21EBBF7E" w14:textId="77777777" w:rsidR="00416C74" w:rsidRPr="00476761" w:rsidRDefault="00416C74" w:rsidP="00476761">
      <w:pPr>
        <w:pStyle w:val="Heading3"/>
      </w:pPr>
      <w:r w:rsidRPr="00476761">
        <w:t>3.1.4</w:t>
      </w:r>
      <w:r w:rsidRPr="00476761">
        <w:tab/>
      </w:r>
      <w:bookmarkStart w:id="17" w:name="lt_pId081"/>
      <w:r w:rsidRPr="00476761">
        <w:t>Proyectos de innovación y desarrollo de iniciativas</w:t>
      </w:r>
      <w:bookmarkEnd w:id="17"/>
    </w:p>
    <w:p w14:paraId="6C1E08F5" w14:textId="77777777" w:rsidR="009A77ED" w:rsidRPr="0052066F" w:rsidRDefault="009A77ED" w:rsidP="00476761">
      <w:pPr>
        <w:rPr>
          <w:szCs w:val="24"/>
        </w:rPr>
      </w:pPr>
      <w:r>
        <w:t>La BDT sigue recaudando fondos adicionales para el programa de innovación mediante proyectos con los que abordar la brecha digital de innovación y desarrollando proyectos concretos para los países. En 2018, se aseguraron fondos adicionales</w:t>
      </w:r>
      <w:r>
        <w:rPr>
          <w:rStyle w:val="FootnoteReference"/>
          <w:szCs w:val="24"/>
        </w:rPr>
        <w:footnoteReference w:id="13"/>
      </w:r>
      <w:r>
        <w:t xml:space="preserve"> para la formación de las partes interesadas nacionales en seis países. </w:t>
      </w:r>
    </w:p>
    <w:p w14:paraId="574A8415" w14:textId="77777777" w:rsidR="009A77ED" w:rsidRPr="0052066F" w:rsidRDefault="009A77ED" w:rsidP="00476761">
      <w:r>
        <w:t xml:space="preserve">Además, con miras a reforzar la cooperación regional, la BDT ha revisado el producto del </w:t>
      </w:r>
      <w:r w:rsidR="00020CC6">
        <w:rPr>
          <w:b/>
          <w:bCs/>
        </w:rPr>
        <w:t>Foro Regional de Inn</w:t>
      </w:r>
      <w:r>
        <w:rPr>
          <w:b/>
          <w:bCs/>
        </w:rPr>
        <w:t>ovación</w:t>
      </w:r>
      <w:r>
        <w:t xml:space="preserve"> para crear proyectos como resultado, y como creación de capacidades y componentes del foro. Uno de esos proyectos se está desarrollando con la</w:t>
      </w:r>
      <w:r>
        <w:rPr>
          <w:color w:val="000000" w:themeColor="text1"/>
        </w:rPr>
        <w:t xml:space="preserve"> Universidad Metropolitana de Oslo.</w:t>
      </w:r>
    </w:p>
    <w:p w14:paraId="60B9F4D1" w14:textId="77777777" w:rsidR="007B0134" w:rsidRDefault="007B0134" w:rsidP="00476761">
      <w:r>
        <w:t xml:space="preserve">Son fundamentales los enfoques y estrategias nuevos que ayudan a resolver problemas complejos para ayudar a los países a abordar los </w:t>
      </w:r>
      <w:r>
        <w:rPr>
          <w:b/>
          <w:bCs/>
          <w:szCs w:val="24"/>
        </w:rPr>
        <w:t>problemas exponenciales y las oportunidades relacionadas con las innovaciones de las TIC</w:t>
      </w:r>
      <w:r>
        <w:t xml:space="preserve">. La BDT ha desarrollado </w:t>
      </w:r>
      <w:r>
        <w:rPr>
          <w:b/>
          <w:bCs/>
        </w:rPr>
        <w:t>una estrategia para promover las iniciativas de innovación</w:t>
      </w:r>
      <w:r>
        <w:t xml:space="preserve"> mediante un marco en el que se facilita el desarrollo de proyectos de innovación financiables a nivel nacional, al tiempo que se vela por el fomento de nuevos modelos de asociación con diversos grupos de partes interesadas con miras a que los proye</w:t>
      </w:r>
      <w:r w:rsidR="00476761">
        <w:t>ctos de cocreación tenga éxito.</w:t>
      </w:r>
    </w:p>
    <w:p w14:paraId="58F1D1F0" w14:textId="77777777" w:rsidR="00476761" w:rsidRPr="007B0134" w:rsidRDefault="00476761" w:rsidP="0075667B">
      <w:pPr>
        <w:jc w:val="center"/>
        <w:rPr>
          <w:szCs w:val="24"/>
        </w:rPr>
      </w:pPr>
      <w:r>
        <w:rPr>
          <w:noProof/>
          <w:lang w:val="en-GB" w:eastAsia="zh-CN"/>
        </w:rPr>
        <w:drawing>
          <wp:inline distT="0" distB="0" distL="0" distR="0" wp14:anchorId="1B5622B6" wp14:editId="4114D4E7">
            <wp:extent cx="4044950" cy="19501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t="13148"/>
                    <a:stretch/>
                  </pic:blipFill>
                  <pic:spPr bwMode="auto">
                    <a:xfrm>
                      <a:off x="0" y="0"/>
                      <a:ext cx="4046273" cy="1950781"/>
                    </a:xfrm>
                    <a:prstGeom prst="rect">
                      <a:avLst/>
                    </a:prstGeom>
                    <a:ln>
                      <a:noFill/>
                    </a:ln>
                    <a:extLst>
                      <a:ext uri="{53640926-AAD7-44D8-BBD7-CCE9431645EC}">
                        <a14:shadowObscured xmlns:a14="http://schemas.microsoft.com/office/drawing/2010/main"/>
                      </a:ext>
                    </a:extLst>
                  </pic:spPr>
                </pic:pic>
              </a:graphicData>
            </a:graphic>
          </wp:inline>
        </w:drawing>
      </w:r>
    </w:p>
    <w:p w14:paraId="500FC020" w14:textId="77777777" w:rsidR="00020CC6" w:rsidRDefault="001E27C8" w:rsidP="00F45272">
      <w:pPr>
        <w:pStyle w:val="Figurelegend"/>
        <w:spacing w:before="120"/>
      </w:pPr>
      <w:r w:rsidRPr="00F9719F">
        <w:t>Leyenda:</w:t>
      </w:r>
      <w:r>
        <w:t xml:space="preserve"> </w:t>
      </w:r>
    </w:p>
    <w:tbl>
      <w:tblPr>
        <w:tblStyle w:val="TableGrid"/>
        <w:tblW w:w="8500" w:type="dxa"/>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CellMar>
          <w:left w:w="57" w:type="dxa"/>
          <w:right w:w="57" w:type="dxa"/>
        </w:tblCellMar>
        <w:tblLook w:val="04A0" w:firstRow="1" w:lastRow="0" w:firstColumn="1" w:lastColumn="0" w:noHBand="0" w:noVBand="1"/>
      </w:tblPr>
      <w:tblGrid>
        <w:gridCol w:w="1271"/>
        <w:gridCol w:w="851"/>
        <w:gridCol w:w="850"/>
        <w:gridCol w:w="851"/>
        <w:gridCol w:w="850"/>
        <w:gridCol w:w="851"/>
        <w:gridCol w:w="1417"/>
        <w:gridCol w:w="1559"/>
      </w:tblGrid>
      <w:tr w:rsidR="00020CC6" w:rsidRPr="00586A35" w14:paraId="666D56DE" w14:textId="77777777" w:rsidTr="006A5B4C">
        <w:trPr>
          <w:jc w:val="center"/>
        </w:trPr>
        <w:tc>
          <w:tcPr>
            <w:tcW w:w="1271" w:type="dxa"/>
          </w:tcPr>
          <w:p w14:paraId="074A6099" w14:textId="77777777" w:rsidR="00020CC6" w:rsidRPr="00586A35" w:rsidRDefault="00020CC6" w:rsidP="0066424B">
            <w:pPr>
              <w:pStyle w:val="Figurelegend"/>
              <w:keepNext w:val="0"/>
              <w:keepLines w:val="0"/>
              <w:rPr>
                <w:sz w:val="16"/>
                <w:szCs w:val="16"/>
              </w:rPr>
            </w:pPr>
            <w:r>
              <w:rPr>
                <w:sz w:val="16"/>
                <w:szCs w:val="16"/>
              </w:rPr>
              <w:t>EVALUACIÓN</w:t>
            </w:r>
          </w:p>
        </w:tc>
        <w:tc>
          <w:tcPr>
            <w:tcW w:w="4253" w:type="dxa"/>
            <w:gridSpan w:val="5"/>
          </w:tcPr>
          <w:p w14:paraId="4B68804F" w14:textId="77777777" w:rsidR="00020CC6" w:rsidRPr="00586A35" w:rsidRDefault="00020CC6" w:rsidP="0066424B">
            <w:pPr>
              <w:pStyle w:val="Figurelegend"/>
              <w:keepNext w:val="0"/>
              <w:keepLines w:val="0"/>
              <w:jc w:val="center"/>
              <w:rPr>
                <w:sz w:val="16"/>
                <w:szCs w:val="16"/>
              </w:rPr>
            </w:pPr>
            <w:r>
              <w:rPr>
                <w:sz w:val="16"/>
                <w:szCs w:val="16"/>
              </w:rPr>
              <w:t>DISEÑO</w:t>
            </w:r>
          </w:p>
        </w:tc>
        <w:tc>
          <w:tcPr>
            <w:tcW w:w="1417" w:type="dxa"/>
          </w:tcPr>
          <w:p w14:paraId="030F2F6B" w14:textId="77777777" w:rsidR="00020CC6" w:rsidRPr="00586A35" w:rsidRDefault="00020CC6" w:rsidP="00020CC6">
            <w:pPr>
              <w:pStyle w:val="Figurelegend"/>
              <w:keepNext w:val="0"/>
              <w:keepLines w:val="0"/>
              <w:rPr>
                <w:sz w:val="16"/>
                <w:szCs w:val="16"/>
              </w:rPr>
            </w:pPr>
            <w:r w:rsidRPr="00020CC6">
              <w:rPr>
                <w:sz w:val="16"/>
                <w:szCs w:val="16"/>
              </w:rPr>
              <w:t>APLICACIÓN</w:t>
            </w:r>
          </w:p>
        </w:tc>
        <w:tc>
          <w:tcPr>
            <w:tcW w:w="1559" w:type="dxa"/>
          </w:tcPr>
          <w:p w14:paraId="789AD1BE" w14:textId="77777777" w:rsidR="00020CC6" w:rsidRPr="00586A35" w:rsidRDefault="00020CC6" w:rsidP="0066424B">
            <w:pPr>
              <w:pStyle w:val="Figurelegend"/>
              <w:keepNext w:val="0"/>
              <w:keepLines w:val="0"/>
              <w:rPr>
                <w:sz w:val="16"/>
                <w:szCs w:val="16"/>
              </w:rPr>
            </w:pPr>
            <w:r w:rsidRPr="00020CC6">
              <w:rPr>
                <w:sz w:val="16"/>
                <w:szCs w:val="16"/>
              </w:rPr>
              <w:t>AUMENTO</w:t>
            </w:r>
          </w:p>
        </w:tc>
      </w:tr>
      <w:tr w:rsidR="00020CC6" w:rsidRPr="00586A35" w14:paraId="3CC1BA88" w14:textId="77777777" w:rsidTr="006A5B4C">
        <w:trPr>
          <w:jc w:val="center"/>
        </w:trPr>
        <w:tc>
          <w:tcPr>
            <w:tcW w:w="1271" w:type="dxa"/>
          </w:tcPr>
          <w:p w14:paraId="0BAA6256" w14:textId="77777777" w:rsidR="00020CC6" w:rsidRPr="00586A35" w:rsidRDefault="00020CC6" w:rsidP="0066424B">
            <w:pPr>
              <w:pStyle w:val="Figurelegend"/>
              <w:keepNext w:val="0"/>
              <w:keepLines w:val="0"/>
              <w:rPr>
                <w:sz w:val="16"/>
                <w:szCs w:val="16"/>
              </w:rPr>
            </w:pPr>
          </w:p>
        </w:tc>
        <w:tc>
          <w:tcPr>
            <w:tcW w:w="4253" w:type="dxa"/>
            <w:gridSpan w:val="5"/>
          </w:tcPr>
          <w:p w14:paraId="228B2EFF" w14:textId="77777777" w:rsidR="00020CC6" w:rsidRPr="00586A35" w:rsidRDefault="00020CC6" w:rsidP="0066424B">
            <w:pPr>
              <w:pStyle w:val="Figurelegend"/>
              <w:keepNext w:val="0"/>
              <w:keepLines w:val="0"/>
              <w:jc w:val="center"/>
              <w:rPr>
                <w:sz w:val="16"/>
                <w:szCs w:val="16"/>
              </w:rPr>
            </w:pPr>
            <w:r>
              <w:rPr>
                <w:sz w:val="16"/>
                <w:szCs w:val="16"/>
              </w:rPr>
              <w:t>Sistema de gobernanza</w:t>
            </w:r>
          </w:p>
        </w:tc>
        <w:tc>
          <w:tcPr>
            <w:tcW w:w="1417" w:type="dxa"/>
          </w:tcPr>
          <w:p w14:paraId="5096B77D" w14:textId="77777777" w:rsidR="00020CC6" w:rsidRPr="00586A35" w:rsidRDefault="00020CC6" w:rsidP="0066424B">
            <w:pPr>
              <w:pStyle w:val="Figurelegend"/>
              <w:keepNext w:val="0"/>
              <w:keepLines w:val="0"/>
              <w:rPr>
                <w:sz w:val="16"/>
                <w:szCs w:val="16"/>
              </w:rPr>
            </w:pPr>
          </w:p>
        </w:tc>
        <w:tc>
          <w:tcPr>
            <w:tcW w:w="1559" w:type="dxa"/>
          </w:tcPr>
          <w:p w14:paraId="410A21DC" w14:textId="77777777" w:rsidR="00020CC6" w:rsidRPr="00586A35" w:rsidRDefault="00020CC6" w:rsidP="0066424B">
            <w:pPr>
              <w:pStyle w:val="Figurelegend"/>
              <w:keepNext w:val="0"/>
              <w:keepLines w:val="0"/>
              <w:rPr>
                <w:sz w:val="16"/>
                <w:szCs w:val="16"/>
              </w:rPr>
            </w:pPr>
          </w:p>
        </w:tc>
      </w:tr>
      <w:tr w:rsidR="00020CC6" w:rsidRPr="006A5B4C" w14:paraId="746829AE" w14:textId="77777777" w:rsidTr="006A5B4C">
        <w:trPr>
          <w:jc w:val="center"/>
        </w:trPr>
        <w:tc>
          <w:tcPr>
            <w:tcW w:w="1271" w:type="dxa"/>
          </w:tcPr>
          <w:p w14:paraId="6F1DC36D" w14:textId="77777777" w:rsidR="00020CC6" w:rsidRPr="00020CC6" w:rsidRDefault="00020CC6" w:rsidP="00020CC6">
            <w:pPr>
              <w:pStyle w:val="Figurelegend"/>
              <w:keepNext w:val="0"/>
              <w:keepLines w:val="0"/>
              <w:rPr>
                <w:sz w:val="16"/>
                <w:szCs w:val="16"/>
                <w:lang w:val="fr-CH"/>
              </w:rPr>
            </w:pPr>
            <w:r w:rsidRPr="00020CC6">
              <w:rPr>
                <w:sz w:val="16"/>
                <w:szCs w:val="16"/>
                <w:lang w:val="fr-CH"/>
              </w:rPr>
              <w:t>Perfil de innovación</w:t>
            </w:r>
            <w:r>
              <w:rPr>
                <w:sz w:val="16"/>
                <w:szCs w:val="16"/>
                <w:lang w:val="fr-CH"/>
              </w:rPr>
              <w:t xml:space="preserve"> digital</w:t>
            </w:r>
          </w:p>
        </w:tc>
        <w:tc>
          <w:tcPr>
            <w:tcW w:w="851" w:type="dxa"/>
          </w:tcPr>
          <w:p w14:paraId="63DF2C80" w14:textId="77777777" w:rsidR="00020CC6" w:rsidRPr="00586A35" w:rsidRDefault="00020CC6" w:rsidP="0066424B">
            <w:pPr>
              <w:pStyle w:val="Figurelegend"/>
              <w:keepNext w:val="0"/>
              <w:keepLines w:val="0"/>
              <w:rPr>
                <w:sz w:val="16"/>
                <w:szCs w:val="16"/>
              </w:rPr>
            </w:pPr>
            <w:r w:rsidRPr="00020CC6">
              <w:rPr>
                <w:sz w:val="16"/>
                <w:szCs w:val="16"/>
              </w:rPr>
              <w:t>Visión y estrategia</w:t>
            </w:r>
          </w:p>
        </w:tc>
        <w:tc>
          <w:tcPr>
            <w:tcW w:w="850" w:type="dxa"/>
          </w:tcPr>
          <w:p w14:paraId="03BB06BE" w14:textId="77777777" w:rsidR="00020CC6" w:rsidRPr="00586A35" w:rsidRDefault="00020CC6" w:rsidP="0066424B">
            <w:pPr>
              <w:pStyle w:val="Figurelegend"/>
              <w:keepNext w:val="0"/>
              <w:keepLines w:val="0"/>
              <w:rPr>
                <w:sz w:val="16"/>
                <w:szCs w:val="16"/>
              </w:rPr>
            </w:pPr>
            <w:r w:rsidRPr="00020CC6">
              <w:rPr>
                <w:sz w:val="16"/>
                <w:szCs w:val="16"/>
              </w:rPr>
              <w:t>Proyecto 1</w:t>
            </w:r>
          </w:p>
        </w:tc>
        <w:tc>
          <w:tcPr>
            <w:tcW w:w="851" w:type="dxa"/>
          </w:tcPr>
          <w:p w14:paraId="38FE4B24" w14:textId="77777777" w:rsidR="00020CC6" w:rsidRPr="00586A35" w:rsidRDefault="00020CC6" w:rsidP="0066424B">
            <w:pPr>
              <w:pStyle w:val="Figurelegend"/>
              <w:keepNext w:val="0"/>
              <w:keepLines w:val="0"/>
              <w:rPr>
                <w:sz w:val="16"/>
                <w:szCs w:val="16"/>
              </w:rPr>
            </w:pPr>
            <w:r w:rsidRPr="00020CC6">
              <w:rPr>
                <w:sz w:val="16"/>
                <w:szCs w:val="16"/>
              </w:rPr>
              <w:t xml:space="preserve">Proyecto </w:t>
            </w:r>
            <w:r>
              <w:rPr>
                <w:sz w:val="16"/>
                <w:szCs w:val="16"/>
              </w:rPr>
              <w:t>2</w:t>
            </w:r>
          </w:p>
        </w:tc>
        <w:tc>
          <w:tcPr>
            <w:tcW w:w="850" w:type="dxa"/>
          </w:tcPr>
          <w:p w14:paraId="0E956CB0" w14:textId="77777777" w:rsidR="00020CC6" w:rsidRPr="00586A35" w:rsidRDefault="00020CC6" w:rsidP="0066424B">
            <w:pPr>
              <w:pStyle w:val="Figurelegend"/>
              <w:keepNext w:val="0"/>
              <w:keepLines w:val="0"/>
              <w:rPr>
                <w:sz w:val="16"/>
                <w:szCs w:val="16"/>
              </w:rPr>
            </w:pPr>
            <w:r w:rsidRPr="00020CC6">
              <w:rPr>
                <w:sz w:val="16"/>
                <w:szCs w:val="16"/>
              </w:rPr>
              <w:t xml:space="preserve">Proyecto </w:t>
            </w:r>
            <w:r>
              <w:rPr>
                <w:sz w:val="16"/>
                <w:szCs w:val="16"/>
              </w:rPr>
              <w:t>3</w:t>
            </w:r>
          </w:p>
        </w:tc>
        <w:tc>
          <w:tcPr>
            <w:tcW w:w="851" w:type="dxa"/>
          </w:tcPr>
          <w:p w14:paraId="15774FCA" w14:textId="77777777" w:rsidR="00020CC6" w:rsidRPr="00586A35" w:rsidRDefault="00020CC6" w:rsidP="00020CC6">
            <w:pPr>
              <w:pStyle w:val="Figurelegend"/>
              <w:keepNext w:val="0"/>
              <w:keepLines w:val="0"/>
              <w:rPr>
                <w:sz w:val="16"/>
                <w:szCs w:val="16"/>
              </w:rPr>
            </w:pPr>
            <w:r w:rsidRPr="00020CC6">
              <w:rPr>
                <w:sz w:val="16"/>
                <w:szCs w:val="16"/>
              </w:rPr>
              <w:t xml:space="preserve">Proyecto </w:t>
            </w:r>
            <w:r>
              <w:rPr>
                <w:sz w:val="16"/>
                <w:szCs w:val="16"/>
              </w:rPr>
              <w:t>4</w:t>
            </w:r>
          </w:p>
        </w:tc>
        <w:tc>
          <w:tcPr>
            <w:tcW w:w="1417" w:type="dxa"/>
          </w:tcPr>
          <w:p w14:paraId="1D3CC689" w14:textId="77777777" w:rsidR="00020CC6" w:rsidRPr="00020CC6" w:rsidRDefault="00020CC6" w:rsidP="00020CC6">
            <w:pPr>
              <w:pStyle w:val="Figurelegend"/>
              <w:keepNext w:val="0"/>
              <w:keepLines w:val="0"/>
              <w:rPr>
                <w:sz w:val="16"/>
                <w:szCs w:val="16"/>
                <w:lang w:val="es-ES_tradnl"/>
              </w:rPr>
            </w:pPr>
            <w:r w:rsidRPr="00020CC6">
              <w:rPr>
                <w:sz w:val="16"/>
                <w:szCs w:val="16"/>
                <w:lang w:val="es-ES_tradnl"/>
              </w:rPr>
              <w:t>Facilitar la aplicación de la cartera de proyecto</w:t>
            </w:r>
          </w:p>
        </w:tc>
        <w:tc>
          <w:tcPr>
            <w:tcW w:w="1559" w:type="dxa"/>
          </w:tcPr>
          <w:p w14:paraId="3F993A8E" w14:textId="77777777" w:rsidR="00020CC6" w:rsidRPr="006A5B4C" w:rsidRDefault="006A5B4C" w:rsidP="0066424B">
            <w:pPr>
              <w:pStyle w:val="Figurelegend"/>
              <w:keepNext w:val="0"/>
              <w:keepLines w:val="0"/>
              <w:rPr>
                <w:sz w:val="16"/>
                <w:szCs w:val="16"/>
                <w:lang w:val="es-ES_tradnl"/>
              </w:rPr>
            </w:pPr>
            <w:r w:rsidRPr="006A5B4C">
              <w:rPr>
                <w:sz w:val="16"/>
                <w:szCs w:val="16"/>
                <w:lang w:val="es-ES_tradnl"/>
              </w:rPr>
              <w:t>Monitorización, evaluación, aumento y sostenibilidad</w:t>
            </w:r>
          </w:p>
        </w:tc>
      </w:tr>
      <w:tr w:rsidR="00020CC6" w:rsidRPr="006A5B4C" w14:paraId="292DA0AC" w14:textId="77777777" w:rsidTr="006A5B4C">
        <w:trPr>
          <w:jc w:val="center"/>
        </w:trPr>
        <w:tc>
          <w:tcPr>
            <w:tcW w:w="8500" w:type="dxa"/>
            <w:gridSpan w:val="8"/>
          </w:tcPr>
          <w:p w14:paraId="5B13FF15" w14:textId="77777777" w:rsidR="00020CC6" w:rsidRPr="006A5B4C" w:rsidRDefault="006A5B4C" w:rsidP="0066424B">
            <w:pPr>
              <w:pStyle w:val="Figurelegend"/>
              <w:keepNext w:val="0"/>
              <w:keepLines w:val="0"/>
              <w:jc w:val="center"/>
              <w:rPr>
                <w:lang w:val="es-ES_tradnl"/>
              </w:rPr>
            </w:pPr>
            <w:r w:rsidRPr="006A5B4C">
              <w:rPr>
                <w:lang w:val="es-ES_tradnl"/>
              </w:rPr>
              <w:t>Creación de capacidades e intercambio de información</w:t>
            </w:r>
          </w:p>
        </w:tc>
      </w:tr>
    </w:tbl>
    <w:p w14:paraId="5679AA5E" w14:textId="77777777" w:rsidR="00F9719F" w:rsidRPr="00F9719F" w:rsidRDefault="007B0134" w:rsidP="00F45272">
      <w:pPr>
        <w:spacing w:before="240"/>
      </w:pPr>
      <w:r>
        <w:lastRenderedPageBreak/>
        <w:t xml:space="preserve">La estrategia se basa en las evaluaciones del perfil de innovación digital (como se muestra en la figura) y en ella se desarrolla un nuevo centro de innovación que puede actuar como </w:t>
      </w:r>
      <w:r>
        <w:rPr>
          <w:b/>
          <w:bCs/>
          <w:szCs w:val="24"/>
        </w:rPr>
        <w:t>banco de pruebas para acelerar la transformación digital</w:t>
      </w:r>
      <w:r>
        <w:t xml:space="preserve"> con miras a </w:t>
      </w:r>
      <w:r w:rsidR="00476761">
        <w:t>lograr las visiones nacionales.</w:t>
      </w:r>
    </w:p>
    <w:p w14:paraId="1489C7B8" w14:textId="77777777" w:rsidR="007B0134" w:rsidRPr="007B0134" w:rsidRDefault="007B0134" w:rsidP="00F45272">
      <w:pPr>
        <w:rPr>
          <w:szCs w:val="24"/>
        </w:rPr>
      </w:pPr>
      <w:r>
        <w:t xml:space="preserve">Se está preparando el primer proyecto piloto de esa iniciativa, en colaboración con el Departamento de Correos y Telecomunicaciones de la República de Sudáfrica. </w:t>
      </w:r>
    </w:p>
    <w:p w14:paraId="04BFA315" w14:textId="77777777" w:rsidR="007B0134" w:rsidRPr="007B0134" w:rsidRDefault="007B0134" w:rsidP="00780CE8">
      <w:pPr>
        <w:rPr>
          <w:szCs w:val="24"/>
        </w:rPr>
      </w:pPr>
      <w:r>
        <w:t xml:space="preserve">Los centros de transformación digital tendrán un papel clave en el apoyo que se prestará al país para facilitar a todas las partes interesadas la difusión e integración de las innovaciones TIC. También organizarán acciones clave y proporcionarán un marco para que los grupos de las partes interesadas (incluidos legisladores, innovadores, </w:t>
      </w:r>
      <w:r w:rsidR="00780CE8">
        <w:t>pymes</w:t>
      </w:r>
      <w:r>
        <w:t xml:space="preserve">, sector privado, agentes financieros, personal académico y otros actores) puedan asociarse, colaborar, cocrear proyectos y participar en iniciativas de transformación digital. </w:t>
      </w:r>
    </w:p>
    <w:p w14:paraId="46E009D0" w14:textId="77777777" w:rsidR="0008546F" w:rsidRPr="0008546F" w:rsidRDefault="0008546F" w:rsidP="00476761">
      <w:pPr>
        <w:rPr>
          <w:szCs w:val="24"/>
        </w:rPr>
      </w:pPr>
      <w:r>
        <w:t xml:space="preserve">El modelo de cocreación de la plataforma de innovación para proyectos servirá a los Miembros del UIT-D para encontrar nuevas formas de "crear proyectos escalonables y financiables al tiempo que se fomentan nuevas asociaciones" y ayudará a </w:t>
      </w:r>
      <w:r>
        <w:rPr>
          <w:b/>
          <w:bCs/>
        </w:rPr>
        <w:t>acelerar los logros del Plan de Acción de Buenos Aires.</w:t>
      </w:r>
    </w:p>
    <w:p w14:paraId="1BE53859" w14:textId="77777777" w:rsidR="00D93B77" w:rsidRDefault="00D93B77" w:rsidP="00476761">
      <w:pPr>
        <w:pStyle w:val="Heading2"/>
      </w:pPr>
      <w:bookmarkStart w:id="18" w:name="lt_pId096"/>
      <w:r>
        <w:t>3.2</w:t>
      </w:r>
      <w:r>
        <w:tab/>
        <w:t xml:space="preserve">Actividades de </w:t>
      </w:r>
      <w:r w:rsidRPr="00476761">
        <w:t>innovación</w:t>
      </w:r>
      <w:r>
        <w:t xml:space="preserve"> internas</w:t>
      </w:r>
      <w:bookmarkEnd w:id="18"/>
    </w:p>
    <w:p w14:paraId="43AF6242" w14:textId="77777777" w:rsidR="00893595" w:rsidRPr="00893595" w:rsidRDefault="00893595" w:rsidP="00476761">
      <w:pPr>
        <w:rPr>
          <w:szCs w:val="24"/>
        </w:rPr>
      </w:pPr>
      <w:r>
        <w:t>La BDT sigue apoyando la innovación interna, por considerarla apropiada, mediante el desarrollo de nuevos instrumentos o realizando actividades sobre la materia.</w:t>
      </w:r>
    </w:p>
    <w:p w14:paraId="3A595319" w14:textId="77777777" w:rsidR="00893595" w:rsidRPr="00893595" w:rsidRDefault="00893595" w:rsidP="00476761">
      <w:pPr>
        <w:rPr>
          <w:szCs w:val="24"/>
        </w:rPr>
      </w:pPr>
      <w:r>
        <w:t>Para ello, el Servicio de Innovación de la BDT organizó durante el retiro del equipo directivo un taller sobre movilización de recursos mediante el desarrollo de un marco estratégico (con cinco instrumentos). Como resultado se elaboró una hoja de ruta de eficacia inmediata con algunas medidas prioritarias clave para reforzar la movil</w:t>
      </w:r>
      <w:r w:rsidR="003F792F">
        <w:t xml:space="preserve">ización de recursos de la BDT. </w:t>
      </w:r>
      <w:r>
        <w:t xml:space="preserve">Puede obtenerse más información sobre estas medidas en el documento </w:t>
      </w:r>
      <w:hyperlink r:id="rId23" w:history="1">
        <w:r>
          <w:rPr>
            <w:rStyle w:val="Hyperlink"/>
          </w:rPr>
          <w:t>TDAG-19/21</w:t>
        </w:r>
      </w:hyperlink>
      <w:r>
        <w:t xml:space="preserve"> sobre asociación y movilización de recursos.</w:t>
      </w:r>
    </w:p>
    <w:p w14:paraId="0FD5A6C0" w14:textId="77777777" w:rsidR="00893595" w:rsidRPr="00893595" w:rsidRDefault="00893595" w:rsidP="00476761">
      <w:pPr>
        <w:rPr>
          <w:szCs w:val="24"/>
        </w:rPr>
      </w:pPr>
      <w:r>
        <w:t>Por otro parte, se desarrolló un nuevo instrumento para mejorar la recopilación de datos en la Cuestión sobre la sociedad inteligente de la Comisión de Estudio del UIT-D.</w:t>
      </w:r>
    </w:p>
    <w:p w14:paraId="126ABDDD" w14:textId="77777777" w:rsidR="00C249A1" w:rsidRPr="00476761" w:rsidRDefault="00C249A1" w:rsidP="00476761">
      <w:pPr>
        <w:pStyle w:val="Heading1"/>
      </w:pPr>
      <w:r w:rsidRPr="00476761">
        <w:t>4</w:t>
      </w:r>
      <w:r w:rsidRPr="00476761">
        <w:tab/>
        <w:t>Orientaciones para el futuro</w:t>
      </w:r>
    </w:p>
    <w:p w14:paraId="24027DE9" w14:textId="77777777" w:rsidR="00095D19" w:rsidRPr="00471294" w:rsidRDefault="00095D19" w:rsidP="00476761">
      <w:pPr>
        <w:rPr>
          <w:rStyle w:val="Strong"/>
          <w:b w:val="0"/>
          <w:bCs w:val="0"/>
          <w:szCs w:val="24"/>
          <w:highlight w:val="cyan"/>
        </w:rPr>
      </w:pPr>
      <w:r>
        <w:t xml:space="preserve">La innovación es </w:t>
      </w:r>
      <w:r w:rsidR="003F792F">
        <w:t xml:space="preserve">una forma de pensar. </w:t>
      </w:r>
      <w:r>
        <w:t>La Directora de la BDT está coordinando un equipo que abarca los diversos sectores de la UIT para estudiar una estrategia de innovación para la Unión. La BDT seguirá reforzando las actividades de innovación, por ejemplo:</w:t>
      </w:r>
    </w:p>
    <w:p w14:paraId="0EA51715" w14:textId="77777777" w:rsidR="00095D19" w:rsidRPr="00476761" w:rsidRDefault="00476761" w:rsidP="00476761">
      <w:pPr>
        <w:pStyle w:val="enumlev1"/>
      </w:pPr>
      <w:r>
        <w:t>–</w:t>
      </w:r>
      <w:r w:rsidR="001E27C8" w:rsidRPr="00476761">
        <w:tab/>
      </w:r>
      <w:r w:rsidR="00780CE8" w:rsidRPr="00476761">
        <w:t xml:space="preserve">el </w:t>
      </w:r>
      <w:r w:rsidR="00095D19" w:rsidRPr="00476761">
        <w:t>lanzamiento de nuevos instrumentos para acelerar la transformación digital, crear un ecosistema empresarial y fomentar las comunidades de innovación;</w:t>
      </w:r>
    </w:p>
    <w:p w14:paraId="6E734662" w14:textId="77777777" w:rsidR="00FF1711" w:rsidRPr="00476761" w:rsidRDefault="00476761" w:rsidP="00476761">
      <w:pPr>
        <w:pStyle w:val="enumlev1"/>
      </w:pPr>
      <w:r>
        <w:t>–</w:t>
      </w:r>
      <w:r w:rsidR="001E27C8" w:rsidRPr="00476761">
        <w:tab/>
      </w:r>
      <w:r w:rsidR="00780CE8" w:rsidRPr="00476761">
        <w:t xml:space="preserve">el </w:t>
      </w:r>
      <w:r w:rsidR="00FF1711" w:rsidRPr="00476761">
        <w:t>aumento continuo de las evaluaciones del perfil de innovación digital dirigidas por expertos;</w:t>
      </w:r>
    </w:p>
    <w:p w14:paraId="576021ED" w14:textId="77777777" w:rsidR="00FF1711" w:rsidRPr="00476761" w:rsidRDefault="00476761" w:rsidP="00476761">
      <w:pPr>
        <w:pStyle w:val="enumlev1"/>
      </w:pPr>
      <w:r>
        <w:t>–</w:t>
      </w:r>
      <w:r w:rsidR="001E27C8" w:rsidRPr="00476761">
        <w:tab/>
      </w:r>
      <w:r w:rsidR="00780CE8" w:rsidRPr="00476761">
        <w:t xml:space="preserve">la </w:t>
      </w:r>
      <w:r w:rsidR="00FF1711" w:rsidRPr="00476761">
        <w:t>ampliación de la creación de capacidades de innovación a nivel nacional, regional y mundial;</w:t>
      </w:r>
    </w:p>
    <w:p w14:paraId="1E02528C" w14:textId="77777777" w:rsidR="00FF1711" w:rsidRPr="00476761" w:rsidRDefault="00476761" w:rsidP="00476761">
      <w:pPr>
        <w:pStyle w:val="enumlev1"/>
      </w:pPr>
      <w:r>
        <w:t>–</w:t>
      </w:r>
      <w:r w:rsidR="001E27C8" w:rsidRPr="00476761">
        <w:tab/>
      </w:r>
      <w:r w:rsidR="00780CE8" w:rsidRPr="00476761">
        <w:t xml:space="preserve">la </w:t>
      </w:r>
      <w:r w:rsidR="00FF1711" w:rsidRPr="00476761">
        <w:t>aceleración del desarrollo de proyectos de innovación, como la iniciativa sudafricana mencionada anteriormente;</w:t>
      </w:r>
    </w:p>
    <w:p w14:paraId="5A258958" w14:textId="77777777" w:rsidR="00FF1711" w:rsidRPr="00476761" w:rsidRDefault="00476761" w:rsidP="00476761">
      <w:pPr>
        <w:pStyle w:val="enumlev1"/>
      </w:pPr>
      <w:r>
        <w:t>–</w:t>
      </w:r>
      <w:r w:rsidR="001E27C8" w:rsidRPr="00476761">
        <w:tab/>
      </w:r>
      <w:r w:rsidR="00780CE8" w:rsidRPr="00476761">
        <w:t xml:space="preserve">la </w:t>
      </w:r>
      <w:r w:rsidR="00FF1711" w:rsidRPr="00476761">
        <w:t>obtención de financiación y recursos adicionales para crear capacidades en materia de transformación digital;</w:t>
      </w:r>
    </w:p>
    <w:p w14:paraId="6D12CF8E" w14:textId="7386BC31" w:rsidR="00FF1711" w:rsidRPr="00574126" w:rsidRDefault="00476761" w:rsidP="00476761">
      <w:pPr>
        <w:pStyle w:val="enumlev1"/>
      </w:pPr>
      <w:r>
        <w:lastRenderedPageBreak/>
        <w:t>–</w:t>
      </w:r>
      <w:r w:rsidR="00FF1711" w:rsidRPr="00476761">
        <w:tab/>
        <w:t xml:space="preserve">La creación continua de sinergias entre las diferentes </w:t>
      </w:r>
      <w:r w:rsidR="0015188F">
        <w:t>plataformas de la UIT, como ITU </w:t>
      </w:r>
      <w:r w:rsidR="00FF1711" w:rsidRPr="00476761">
        <w:t>Telecom.</w:t>
      </w:r>
    </w:p>
    <w:p w14:paraId="05B16B95" w14:textId="77777777" w:rsidR="00B35C87" w:rsidRPr="002B2ECB" w:rsidRDefault="00B35C87" w:rsidP="00B35C87">
      <w:pPr>
        <w:rPr>
          <w:lang w:val="es-ES_tradnl"/>
        </w:rPr>
      </w:pPr>
    </w:p>
    <w:p w14:paraId="0278E350" w14:textId="77777777" w:rsidR="00C249A1" w:rsidRPr="00095D19" w:rsidRDefault="00B35C87" w:rsidP="003F792F">
      <w:pPr>
        <w:jc w:val="center"/>
        <w:rPr>
          <w:lang w:val="en-US"/>
        </w:rPr>
      </w:pPr>
      <w:r>
        <w:t>______________</w:t>
      </w:r>
    </w:p>
    <w:sectPr w:rsidR="00C249A1" w:rsidRPr="00095D19" w:rsidSect="004B7893">
      <w:headerReference w:type="default" r:id="rId24"/>
      <w:footerReference w:type="default" r:id="rId25"/>
      <w:footerReference w:type="first" r:id="rId2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E148B" w14:textId="77777777" w:rsidR="00AD76DB" w:rsidRDefault="00AD76DB" w:rsidP="0088106F">
      <w:r>
        <w:separator/>
      </w:r>
    </w:p>
  </w:endnote>
  <w:endnote w:type="continuationSeparator" w:id="0">
    <w:p w14:paraId="7B33E16D" w14:textId="77777777" w:rsidR="00AD76DB" w:rsidRDefault="00AD76DB"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D46A6" w14:textId="77777777" w:rsidR="0088106F" w:rsidRPr="00B608F8" w:rsidRDefault="00604EEE" w:rsidP="003F792F">
    <w:pPr>
      <w:pStyle w:val="Footer"/>
    </w:pPr>
    <w:r>
      <w:fldChar w:fldCharType="begin"/>
    </w:r>
    <w:r>
      <w:instrText xml:space="preserve"> FILENAME \p  \* MERGEFORMAT </w:instrText>
    </w:r>
    <w:r>
      <w:fldChar w:fldCharType="separate"/>
    </w:r>
    <w:r w:rsidR="006A5B4C">
      <w:t>P:\ESP\ITU-D\CONF-D\TDAG19\000\022S.docx</w:t>
    </w:r>
    <w:r>
      <w:fldChar w:fldCharType="end"/>
    </w:r>
    <w:r w:rsidR="00B608F8" w:rsidRPr="003F792F">
      <w:t xml:space="preserve"> (449228)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D1BD4" w:rsidRPr="00C91BDF" w14:paraId="49551A14" w14:textId="77777777" w:rsidTr="004E3CF5">
      <w:tc>
        <w:tcPr>
          <w:tcW w:w="1134" w:type="dxa"/>
          <w:tcBorders>
            <w:top w:val="single" w:sz="4" w:space="0" w:color="000000"/>
          </w:tcBorders>
          <w:shd w:val="clear" w:color="auto" w:fill="auto"/>
        </w:tcPr>
        <w:p w14:paraId="1A9DB443" w14:textId="77777777" w:rsidR="009D1BD4" w:rsidRPr="004D495C" w:rsidRDefault="009D1BD4" w:rsidP="009D1BD4">
          <w:pPr>
            <w:pStyle w:val="FirstFooter"/>
            <w:tabs>
              <w:tab w:val="left" w:pos="1559"/>
              <w:tab w:val="left" w:pos="3828"/>
            </w:tabs>
            <w:rPr>
              <w:sz w:val="18"/>
              <w:szCs w:val="18"/>
            </w:rPr>
          </w:pPr>
          <w:r>
            <w:rPr>
              <w:sz w:val="18"/>
              <w:szCs w:val="18"/>
            </w:rPr>
            <w:t>Contacto:</w:t>
          </w:r>
        </w:p>
      </w:tc>
      <w:tc>
        <w:tcPr>
          <w:tcW w:w="2552" w:type="dxa"/>
          <w:tcBorders>
            <w:top w:val="single" w:sz="4" w:space="0" w:color="000000"/>
          </w:tcBorders>
          <w:shd w:val="clear" w:color="auto" w:fill="auto"/>
        </w:tcPr>
        <w:p w14:paraId="2F193DD7" w14:textId="77777777" w:rsidR="009D1BD4" w:rsidRPr="004D495C" w:rsidRDefault="009D1BD4" w:rsidP="009D1BD4">
          <w:pPr>
            <w:pStyle w:val="FirstFooter"/>
            <w:tabs>
              <w:tab w:val="left" w:pos="2302"/>
            </w:tabs>
            <w:ind w:left="2302" w:hanging="2302"/>
            <w:rPr>
              <w:sz w:val="18"/>
              <w:szCs w:val="18"/>
            </w:rPr>
          </w:pPr>
          <w:r>
            <w:rPr>
              <w:sz w:val="18"/>
              <w:szCs w:val="18"/>
            </w:rPr>
            <w:t>Nombre/Organización/Entidad:</w:t>
          </w:r>
        </w:p>
      </w:tc>
      <w:tc>
        <w:tcPr>
          <w:tcW w:w="6237" w:type="dxa"/>
          <w:tcBorders>
            <w:top w:val="single" w:sz="4" w:space="0" w:color="000000"/>
          </w:tcBorders>
          <w:shd w:val="clear" w:color="auto" w:fill="auto"/>
        </w:tcPr>
        <w:p w14:paraId="7666303A" w14:textId="77777777" w:rsidR="009D1BD4" w:rsidRPr="00050E06" w:rsidRDefault="00486895" w:rsidP="00486895">
          <w:pPr>
            <w:pStyle w:val="FirstFooter"/>
            <w:tabs>
              <w:tab w:val="left" w:pos="1201"/>
            </w:tabs>
            <w:rPr>
              <w:sz w:val="18"/>
              <w:szCs w:val="18"/>
            </w:rPr>
          </w:pPr>
          <w:bookmarkStart w:id="19" w:name="OrgName"/>
          <w:bookmarkEnd w:id="19"/>
          <w:r>
            <w:rPr>
              <w:sz w:val="18"/>
              <w:szCs w:val="18"/>
            </w:rPr>
            <w:t>Sra. Eun-Jun Kim, Jefa del Departamen</w:t>
          </w:r>
          <w:r w:rsidR="006D07A7">
            <w:rPr>
              <w:sz w:val="18"/>
              <w:szCs w:val="18"/>
            </w:rPr>
            <w:t>to de Innovación y Asociaciones</w:t>
          </w:r>
          <w:r w:rsidR="006D07A7">
            <w:rPr>
              <w:sz w:val="18"/>
              <w:szCs w:val="18"/>
            </w:rPr>
            <w:br/>
          </w:r>
          <w:r>
            <w:rPr>
              <w:sz w:val="18"/>
              <w:szCs w:val="18"/>
            </w:rPr>
            <w:t>de la Oficina de Desarrollo de las Telecomunicaciones</w:t>
          </w:r>
        </w:p>
      </w:tc>
    </w:tr>
    <w:tr w:rsidR="00486895" w:rsidRPr="004D495C" w14:paraId="21F32FA1" w14:textId="77777777" w:rsidTr="004E3CF5">
      <w:tc>
        <w:tcPr>
          <w:tcW w:w="1134" w:type="dxa"/>
          <w:shd w:val="clear" w:color="auto" w:fill="auto"/>
        </w:tcPr>
        <w:p w14:paraId="60D65897" w14:textId="77777777" w:rsidR="00486895" w:rsidRPr="002B2ECB" w:rsidRDefault="00486895" w:rsidP="00486895">
          <w:pPr>
            <w:pStyle w:val="FirstFooter"/>
            <w:tabs>
              <w:tab w:val="left" w:pos="1559"/>
              <w:tab w:val="left" w:pos="3828"/>
            </w:tabs>
            <w:rPr>
              <w:sz w:val="20"/>
              <w:lang w:val="es-ES_tradnl"/>
            </w:rPr>
          </w:pPr>
        </w:p>
      </w:tc>
      <w:tc>
        <w:tcPr>
          <w:tcW w:w="2552" w:type="dxa"/>
          <w:shd w:val="clear" w:color="auto" w:fill="auto"/>
        </w:tcPr>
        <w:p w14:paraId="1A118534" w14:textId="77777777" w:rsidR="00486895" w:rsidRPr="004D495C" w:rsidRDefault="00486895" w:rsidP="00486895">
          <w:pPr>
            <w:pStyle w:val="FirstFooter"/>
            <w:tabs>
              <w:tab w:val="left" w:pos="2302"/>
            </w:tabs>
            <w:rPr>
              <w:sz w:val="18"/>
              <w:szCs w:val="18"/>
            </w:rPr>
          </w:pPr>
          <w:r>
            <w:rPr>
              <w:sz w:val="18"/>
              <w:szCs w:val="18"/>
            </w:rPr>
            <w:t>Teléfono:</w:t>
          </w:r>
        </w:p>
      </w:tc>
      <w:tc>
        <w:tcPr>
          <w:tcW w:w="6237" w:type="dxa"/>
          <w:shd w:val="clear" w:color="auto" w:fill="auto"/>
        </w:tcPr>
        <w:p w14:paraId="2D2FE865" w14:textId="77777777" w:rsidR="00486895" w:rsidRPr="00E41CCE" w:rsidRDefault="00486895" w:rsidP="00486895">
          <w:pPr>
            <w:pStyle w:val="FirstFooter"/>
            <w:tabs>
              <w:tab w:val="left" w:pos="2302"/>
            </w:tabs>
            <w:rPr>
              <w:sz w:val="18"/>
              <w:szCs w:val="18"/>
            </w:rPr>
          </w:pPr>
          <w:bookmarkStart w:id="20" w:name="PhoneNo"/>
          <w:bookmarkEnd w:id="20"/>
          <w:r>
            <w:rPr>
              <w:sz w:val="18"/>
              <w:szCs w:val="18"/>
            </w:rPr>
            <w:t>+41 22 730 5900</w:t>
          </w:r>
        </w:p>
      </w:tc>
    </w:tr>
    <w:tr w:rsidR="00486895" w:rsidRPr="00C91BDF" w14:paraId="143741C8" w14:textId="77777777" w:rsidTr="004E3CF5">
      <w:tc>
        <w:tcPr>
          <w:tcW w:w="1134" w:type="dxa"/>
          <w:shd w:val="clear" w:color="auto" w:fill="auto"/>
        </w:tcPr>
        <w:p w14:paraId="0976EB2A" w14:textId="77777777" w:rsidR="00486895" w:rsidRPr="006D07A7" w:rsidRDefault="00486895" w:rsidP="00486895">
          <w:pPr>
            <w:pStyle w:val="FirstFooter"/>
            <w:tabs>
              <w:tab w:val="left" w:pos="1559"/>
              <w:tab w:val="left" w:pos="3828"/>
            </w:tabs>
            <w:rPr>
              <w:sz w:val="20"/>
              <w:lang w:val="es-ES_tradnl"/>
            </w:rPr>
          </w:pPr>
        </w:p>
      </w:tc>
      <w:tc>
        <w:tcPr>
          <w:tcW w:w="2552" w:type="dxa"/>
          <w:shd w:val="clear" w:color="auto" w:fill="auto"/>
        </w:tcPr>
        <w:p w14:paraId="32285C29" w14:textId="77777777" w:rsidR="00486895" w:rsidRPr="004D495C" w:rsidRDefault="00486895" w:rsidP="00486895">
          <w:pPr>
            <w:pStyle w:val="FirstFooter"/>
            <w:tabs>
              <w:tab w:val="left" w:pos="2302"/>
            </w:tabs>
            <w:rPr>
              <w:sz w:val="18"/>
              <w:szCs w:val="18"/>
            </w:rPr>
          </w:pPr>
          <w:r>
            <w:rPr>
              <w:sz w:val="18"/>
              <w:szCs w:val="18"/>
            </w:rPr>
            <w:t>Correo-e:</w:t>
          </w:r>
        </w:p>
      </w:tc>
      <w:bookmarkStart w:id="21" w:name="Email"/>
      <w:bookmarkEnd w:id="21"/>
      <w:tc>
        <w:tcPr>
          <w:tcW w:w="6237" w:type="dxa"/>
          <w:shd w:val="clear" w:color="auto" w:fill="auto"/>
        </w:tcPr>
        <w:p w14:paraId="516469AF" w14:textId="77777777" w:rsidR="00486895" w:rsidRPr="00E41CCE" w:rsidRDefault="00486895" w:rsidP="00486895">
          <w:pPr>
            <w:pStyle w:val="FirstFooter"/>
            <w:tabs>
              <w:tab w:val="left" w:pos="2302"/>
            </w:tabs>
            <w:rPr>
              <w:sz w:val="18"/>
              <w:szCs w:val="18"/>
            </w:rPr>
          </w:pPr>
          <w:r>
            <w:fldChar w:fldCharType="begin"/>
          </w:r>
          <w:r w:rsidR="00BC3307">
            <w:instrText>HYPERLINK "C:\\Users\\marubio\\Desktop\\2019\\449228\\eun-ju.kim@itu.int"</w:instrText>
          </w:r>
          <w:r>
            <w:fldChar w:fldCharType="separate"/>
          </w:r>
          <w:r>
            <w:rPr>
              <w:rStyle w:val="Hyperlink"/>
              <w:sz w:val="18"/>
              <w:szCs w:val="18"/>
            </w:rPr>
            <w:t>eun-ju.kim@itu.int</w:t>
          </w:r>
          <w:r>
            <w:rPr>
              <w:rStyle w:val="Hyperlink"/>
              <w:sz w:val="18"/>
              <w:szCs w:val="18"/>
            </w:rPr>
            <w:fldChar w:fldCharType="end"/>
          </w:r>
        </w:p>
      </w:tc>
    </w:tr>
  </w:tbl>
  <w:p w14:paraId="26E35C04" w14:textId="77777777" w:rsidR="006E4AB3" w:rsidRPr="00EB5B93" w:rsidRDefault="00604EEE" w:rsidP="00EB5B93">
    <w:pPr>
      <w:tabs>
        <w:tab w:val="clear" w:pos="794"/>
        <w:tab w:val="clear" w:pos="1191"/>
        <w:tab w:val="clear" w:pos="1588"/>
        <w:tab w:val="clear" w:pos="1985"/>
        <w:tab w:val="left" w:pos="5954"/>
        <w:tab w:val="right" w:pos="9639"/>
      </w:tabs>
      <w:spacing w:after="120"/>
      <w:jc w:val="center"/>
      <w:rPr>
        <w:sz w:val="18"/>
        <w:szCs w:val="14"/>
        <w:lang w:val="en-GB"/>
      </w:rPr>
    </w:pPr>
    <w:hyperlink r:id="rId1" w:history="1">
      <w:r w:rsidR="00150E79" w:rsidRPr="002B2ECB">
        <w:rPr>
          <w:rFonts w:ascii="Calibri" w:hAnsi="Calibri"/>
          <w:color w:val="0000FF"/>
          <w:sz w:val="18"/>
          <w:szCs w:val="18"/>
          <w:u w:val="single"/>
          <w:lang w:val="en-GB"/>
        </w:rPr>
        <w:t>GADT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18044" w14:textId="77777777" w:rsidR="00AD76DB" w:rsidRDefault="00AD76DB" w:rsidP="0088106F">
      <w:r>
        <w:separator/>
      </w:r>
    </w:p>
  </w:footnote>
  <w:footnote w:type="continuationSeparator" w:id="0">
    <w:p w14:paraId="0DE27243" w14:textId="77777777" w:rsidR="00AD76DB" w:rsidRDefault="00AD76DB" w:rsidP="0088106F">
      <w:r>
        <w:continuationSeparator/>
      </w:r>
    </w:p>
  </w:footnote>
  <w:footnote w:id="1">
    <w:p w14:paraId="47E52C70" w14:textId="77777777" w:rsidR="00AD1F16" w:rsidRPr="00397FDD" w:rsidRDefault="00AD1F16" w:rsidP="001D51AE">
      <w:pPr>
        <w:pStyle w:val="FootnoteText"/>
        <w:spacing w:before="0"/>
        <w:rPr>
          <w:sz w:val="20"/>
        </w:rPr>
      </w:pPr>
      <w:r>
        <w:rPr>
          <w:rStyle w:val="FootnoteReference"/>
          <w:sz w:val="20"/>
        </w:rPr>
        <w:footnoteRef/>
      </w:r>
      <w:r>
        <w:rPr>
          <w:sz w:val="20"/>
        </w:rPr>
        <w:tab/>
      </w:r>
      <w:r w:rsidRPr="001D51AE">
        <w:t>Resolución 205 de la PP-18.</w:t>
      </w:r>
    </w:p>
  </w:footnote>
  <w:footnote w:id="2">
    <w:p w14:paraId="3DE69263" w14:textId="77777777" w:rsidR="00F02C26" w:rsidRPr="00397FDD" w:rsidRDefault="00F02C26" w:rsidP="001D51AE">
      <w:pPr>
        <w:pStyle w:val="FootnoteText"/>
        <w:spacing w:before="0"/>
      </w:pPr>
      <w:r>
        <w:rPr>
          <w:rStyle w:val="FootnoteReference"/>
          <w:sz w:val="20"/>
        </w:rPr>
        <w:footnoteRef/>
      </w:r>
      <w:r>
        <w:rPr>
          <w:sz w:val="20"/>
        </w:rPr>
        <w:tab/>
      </w:r>
      <w:r w:rsidRPr="001D51AE">
        <w:t>Meta estratégica 4 de la PP-18 de la UIT.</w:t>
      </w:r>
    </w:p>
  </w:footnote>
  <w:footnote w:id="3">
    <w:p w14:paraId="518AC7AA" w14:textId="25E98F85" w:rsidR="005B2D07" w:rsidRPr="005B2D07" w:rsidRDefault="005B2D07" w:rsidP="000923B3">
      <w:pPr>
        <w:pStyle w:val="FootnoteText"/>
        <w:spacing w:before="0"/>
        <w:rPr>
          <w:sz w:val="20"/>
        </w:rPr>
      </w:pPr>
      <w:r>
        <w:rPr>
          <w:rStyle w:val="FootnoteReference"/>
          <w:sz w:val="20"/>
        </w:rPr>
        <w:footnoteRef/>
      </w:r>
      <w:r>
        <w:rPr>
          <w:sz w:val="20"/>
        </w:rPr>
        <w:tab/>
      </w:r>
      <w:r w:rsidRPr="001D51AE">
        <w:t xml:space="preserve">Por ejemplo, proyectos de </w:t>
      </w:r>
      <w:r w:rsidRPr="00C92006">
        <w:t>financiación</w:t>
      </w:r>
      <w:r w:rsidRPr="001D51AE">
        <w:t xml:space="preserve"> de la República de Corea</w:t>
      </w:r>
      <w:r w:rsidR="001D51AE">
        <w:t>.</w:t>
      </w:r>
    </w:p>
  </w:footnote>
  <w:footnote w:id="4">
    <w:p w14:paraId="541AAD95" w14:textId="77777777" w:rsidR="005B2D07" w:rsidRPr="00A06B6B" w:rsidRDefault="005B2D07" w:rsidP="00A06B6B">
      <w:pPr>
        <w:pStyle w:val="FootnoteText"/>
        <w:spacing w:before="0"/>
        <w:rPr>
          <w:sz w:val="20"/>
        </w:rPr>
      </w:pPr>
      <w:r>
        <w:rPr>
          <w:rStyle w:val="FootnoteReference"/>
          <w:sz w:val="20"/>
        </w:rPr>
        <w:footnoteRef/>
      </w:r>
      <w:r>
        <w:rPr>
          <w:sz w:val="20"/>
        </w:rPr>
        <w:tab/>
      </w:r>
      <w:r w:rsidRPr="001D51AE">
        <w:t>Por ejemplo, Hungría, la ONUDI, la Cumbre Mundial de la Fabricación y la Industrialización.</w:t>
      </w:r>
    </w:p>
  </w:footnote>
  <w:footnote w:id="5">
    <w:p w14:paraId="1E820B64" w14:textId="77777777" w:rsidR="00987986" w:rsidRPr="002E00CF" w:rsidRDefault="00987986" w:rsidP="00C92006">
      <w:pPr>
        <w:pStyle w:val="FootnoteText"/>
        <w:spacing w:before="0"/>
        <w:ind w:left="0" w:firstLine="0"/>
        <w:rPr>
          <w:sz w:val="20"/>
        </w:rPr>
      </w:pPr>
      <w:r>
        <w:rPr>
          <w:rStyle w:val="FootnoteReference"/>
          <w:sz w:val="20"/>
        </w:rPr>
        <w:footnoteRef/>
      </w:r>
      <w:r>
        <w:rPr>
          <w:sz w:val="20"/>
        </w:rPr>
        <w:tab/>
      </w:r>
      <w:r w:rsidRPr="00C92006">
        <w:t>Por ejemplo, CMSI, Telecom, Foro de Jóvenes Líderes de las TIC, prácticas idóneas mundiales.</w:t>
      </w:r>
    </w:p>
  </w:footnote>
  <w:footnote w:id="6">
    <w:p w14:paraId="7DFBC222" w14:textId="77777777" w:rsidR="00987986" w:rsidRPr="002E00CF" w:rsidRDefault="00987986" w:rsidP="00C92006">
      <w:pPr>
        <w:pStyle w:val="FootnoteText"/>
        <w:tabs>
          <w:tab w:val="left" w:pos="426"/>
        </w:tabs>
        <w:spacing w:before="0"/>
        <w:ind w:left="266" w:hanging="284"/>
        <w:rPr>
          <w:sz w:val="20"/>
        </w:rPr>
      </w:pPr>
      <w:r>
        <w:rPr>
          <w:rStyle w:val="FootnoteReference"/>
          <w:sz w:val="20"/>
        </w:rPr>
        <w:footnoteRef/>
      </w:r>
      <w:r>
        <w:rPr>
          <w:sz w:val="20"/>
        </w:rPr>
        <w:tab/>
      </w:r>
      <w:r w:rsidRPr="00C92006">
        <w:t>Por ejemplo, Foro Regional de Innovación, creación de capacidades en el Foro de Jóvenes Líderes de las TIC.</w:t>
      </w:r>
    </w:p>
  </w:footnote>
  <w:footnote w:id="7">
    <w:p w14:paraId="3E538524" w14:textId="77777777" w:rsidR="00987986" w:rsidRPr="002E00CF" w:rsidRDefault="00987986" w:rsidP="00A06B6B">
      <w:pPr>
        <w:pStyle w:val="FootnoteText"/>
        <w:spacing w:before="0"/>
        <w:ind w:left="0" w:firstLine="0"/>
        <w:rPr>
          <w:sz w:val="20"/>
        </w:rPr>
      </w:pPr>
      <w:r>
        <w:rPr>
          <w:rStyle w:val="FootnoteReference"/>
          <w:sz w:val="20"/>
        </w:rPr>
        <w:footnoteRef/>
      </w:r>
      <w:r>
        <w:rPr>
          <w:sz w:val="20"/>
        </w:rPr>
        <w:tab/>
      </w:r>
      <w:r w:rsidRPr="00C92006">
        <w:t>Por ejemplo, perfiles de innovación digital, revisiones de país.</w:t>
      </w:r>
    </w:p>
  </w:footnote>
  <w:footnote w:id="8">
    <w:p w14:paraId="25279A69" w14:textId="77777777" w:rsidR="00987986" w:rsidRPr="002E00CF" w:rsidRDefault="00987986" w:rsidP="00A06B6B">
      <w:pPr>
        <w:pStyle w:val="FootnoteText"/>
        <w:spacing w:before="0"/>
        <w:ind w:left="0" w:firstLine="0"/>
        <w:rPr>
          <w:sz w:val="20"/>
        </w:rPr>
      </w:pPr>
      <w:r>
        <w:rPr>
          <w:rStyle w:val="FootnoteReference"/>
          <w:sz w:val="20"/>
        </w:rPr>
        <w:footnoteRef/>
      </w:r>
      <w:r>
        <w:rPr>
          <w:sz w:val="20"/>
        </w:rPr>
        <w:tab/>
      </w:r>
      <w:r w:rsidRPr="00C92006">
        <w:t>Por ejemplo, asesoría en proyectos de innovación.</w:t>
      </w:r>
    </w:p>
  </w:footnote>
  <w:footnote w:id="9">
    <w:p w14:paraId="7B5B69EF" w14:textId="77777777" w:rsidR="00D372B8" w:rsidRPr="00D372B8" w:rsidRDefault="00D372B8" w:rsidP="00DA4D96">
      <w:pPr>
        <w:pStyle w:val="FootnoteText"/>
        <w:spacing w:before="0"/>
        <w:ind w:left="0" w:firstLine="0"/>
        <w:rPr>
          <w:sz w:val="20"/>
        </w:rPr>
      </w:pPr>
      <w:r>
        <w:rPr>
          <w:rStyle w:val="FootnoteReference"/>
          <w:sz w:val="20"/>
        </w:rPr>
        <w:footnoteRef/>
      </w:r>
      <w:r>
        <w:rPr>
          <w:sz w:val="20"/>
        </w:rPr>
        <w:tab/>
      </w:r>
      <w:r w:rsidRPr="000923B3">
        <w:t>Organización de las Naciones Unidas para el Desarrollo Industrial.</w:t>
      </w:r>
    </w:p>
  </w:footnote>
  <w:footnote w:id="10">
    <w:p w14:paraId="5FD5AE88" w14:textId="32E655FC" w:rsidR="005F1CCE" w:rsidRDefault="005F1CCE">
      <w:pPr>
        <w:pStyle w:val="FootnoteText"/>
      </w:pPr>
      <w:r>
        <w:rPr>
          <w:rStyle w:val="FootnoteReference"/>
        </w:rPr>
        <w:footnoteRef/>
      </w:r>
      <w:r>
        <w:tab/>
      </w:r>
      <w:r w:rsidRPr="00617A33">
        <w:t>Cumbre Mundial de la Fabricación y la Industrialización</w:t>
      </w:r>
      <w:r>
        <w:t>.</w:t>
      </w:r>
    </w:p>
  </w:footnote>
  <w:footnote w:id="11">
    <w:p w14:paraId="7CFBF413" w14:textId="6A9A99A4" w:rsidR="00085EAD" w:rsidRPr="0024448B" w:rsidRDefault="00085EAD" w:rsidP="00011784">
      <w:pPr>
        <w:pStyle w:val="FootnoteText"/>
        <w:spacing w:before="0"/>
        <w:ind w:left="0" w:firstLine="0"/>
        <w:rPr>
          <w:sz w:val="20"/>
        </w:rPr>
      </w:pPr>
      <w:r>
        <w:rPr>
          <w:rStyle w:val="FootnoteReference"/>
          <w:sz w:val="20"/>
        </w:rPr>
        <w:footnoteRef/>
      </w:r>
      <w:r>
        <w:rPr>
          <w:sz w:val="20"/>
        </w:rPr>
        <w:tab/>
      </w:r>
      <w:r w:rsidRPr="000923B3">
        <w:t>MoU de la</w:t>
      </w:r>
      <w:r w:rsidR="000F2B82">
        <w:t xml:space="preserve"> PP-2014 entre la ciudad de Busá</w:t>
      </w:r>
      <w:r w:rsidRPr="000923B3">
        <w:t>n y la UIT.</w:t>
      </w:r>
    </w:p>
  </w:footnote>
  <w:footnote w:id="12">
    <w:p w14:paraId="68CF7FA6" w14:textId="77777777" w:rsidR="00BA7C3F" w:rsidRPr="000923B3" w:rsidRDefault="00BA7C3F" w:rsidP="00011784">
      <w:pPr>
        <w:pStyle w:val="FootnoteText"/>
        <w:spacing w:before="0"/>
        <w:ind w:left="0" w:firstLine="0"/>
      </w:pPr>
      <w:r>
        <w:rPr>
          <w:rStyle w:val="FootnoteReference"/>
          <w:sz w:val="20"/>
        </w:rPr>
        <w:footnoteRef/>
      </w:r>
      <w:r>
        <w:rPr>
          <w:sz w:val="20"/>
        </w:rPr>
        <w:tab/>
      </w:r>
      <w:r w:rsidRPr="000923B3">
        <w:t>La Universidad Metropolitana de Oslo es una Institución Académica de la UIT.</w:t>
      </w:r>
    </w:p>
  </w:footnote>
  <w:footnote w:id="13">
    <w:p w14:paraId="7B610228" w14:textId="77777777" w:rsidR="009A77ED" w:rsidRPr="0024448B" w:rsidRDefault="009A77ED" w:rsidP="000923B3">
      <w:pPr>
        <w:pStyle w:val="FootnoteText"/>
        <w:spacing w:before="0"/>
      </w:pPr>
      <w:r>
        <w:rPr>
          <w:rStyle w:val="FootnoteReference"/>
          <w:sz w:val="20"/>
        </w:rPr>
        <w:footnoteRef/>
      </w:r>
      <w:r>
        <w:tab/>
      </w:r>
      <w:r w:rsidRPr="000923B3">
        <w:t>Proyectos</w:t>
      </w:r>
      <w:r>
        <w:t xml:space="preserve"> de financiación de la República de Corea.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391A2" w14:textId="77777777" w:rsidR="009A6FC4" w:rsidRPr="009A6FC4" w:rsidRDefault="009A6FC4" w:rsidP="00B608F8">
    <w:pPr>
      <w:tabs>
        <w:tab w:val="clear" w:pos="794"/>
        <w:tab w:val="clear" w:pos="1191"/>
        <w:tab w:val="clear" w:pos="1588"/>
        <w:tab w:val="clear" w:pos="1985"/>
        <w:tab w:val="center" w:pos="4536"/>
        <w:tab w:val="right" w:pos="9639"/>
      </w:tabs>
      <w:ind w:right="1"/>
      <w:rPr>
        <w:smallCaps/>
        <w:spacing w:val="24"/>
        <w:sz w:val="22"/>
        <w:szCs w:val="22"/>
      </w:rPr>
    </w:pPr>
    <w:r>
      <w:rPr>
        <w:sz w:val="22"/>
        <w:szCs w:val="22"/>
      </w:rPr>
      <w:tab/>
    </w:r>
    <w:r w:rsidR="00EB5B93">
      <w:rPr>
        <w:sz w:val="22"/>
        <w:szCs w:val="22"/>
      </w:rPr>
      <w:t>ITU-D/</w:t>
    </w:r>
    <w:r>
      <w:rPr>
        <w:sz w:val="22"/>
        <w:szCs w:val="22"/>
      </w:rPr>
      <w:t>TDAG-19/22-S</w:t>
    </w:r>
    <w:r>
      <w:rPr>
        <w:sz w:val="22"/>
        <w:szCs w:val="22"/>
      </w:rPr>
      <w:tab/>
    </w:r>
    <w:r>
      <w:rPr>
        <w:rStyle w:val="PageNumber"/>
        <w:sz w:val="22"/>
        <w:szCs w:val="22"/>
      </w:rPr>
      <w:t>Página</w:t>
    </w:r>
    <w:r>
      <w:rPr>
        <w:sz w:val="22"/>
        <w:szCs w:val="22"/>
      </w:rPr>
      <w:t xml:space="preserve"> </w:t>
    </w:r>
    <w:r w:rsidRPr="00972BCD">
      <w:rPr>
        <w:sz w:val="22"/>
        <w:szCs w:val="22"/>
      </w:rPr>
      <w:fldChar w:fldCharType="begin"/>
    </w:r>
    <w:r w:rsidRPr="009A6FC4">
      <w:rPr>
        <w:sz w:val="22"/>
        <w:szCs w:val="22"/>
      </w:rPr>
      <w:instrText xml:space="preserve"> PAGE </w:instrText>
    </w:r>
    <w:r w:rsidRPr="00972BCD">
      <w:rPr>
        <w:sz w:val="22"/>
        <w:szCs w:val="22"/>
      </w:rPr>
      <w:fldChar w:fldCharType="separate"/>
    </w:r>
    <w:r w:rsidR="00604EEE">
      <w:rPr>
        <w:noProof/>
        <w:sz w:val="22"/>
        <w:szCs w:val="22"/>
      </w:rPr>
      <w:t>8</w:t>
    </w:r>
    <w:r w:rsidRPr="00972BCD">
      <w:rPr>
        <w:sz w:val="22"/>
        <w:szCs w:val="22"/>
      </w:rPr>
      <w:fldChar w:fldCharType="end"/>
    </w:r>
  </w:p>
  <w:p w14:paraId="4D76CE84" w14:textId="77777777" w:rsidR="009A6FC4" w:rsidRPr="009A6FC4" w:rsidRDefault="009A6FC4" w:rsidP="009A6FC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86A"/>
    <w:multiLevelType w:val="hybridMultilevel"/>
    <w:tmpl w:val="811EC538"/>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 w15:restartNumberingAfterBreak="0">
    <w:nsid w:val="417A245D"/>
    <w:multiLevelType w:val="multilevel"/>
    <w:tmpl w:val="9C24A5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D7"/>
    <w:rsid w:val="00011784"/>
    <w:rsid w:val="000135AE"/>
    <w:rsid w:val="00020CC6"/>
    <w:rsid w:val="00033D49"/>
    <w:rsid w:val="00060F0A"/>
    <w:rsid w:val="0007085A"/>
    <w:rsid w:val="000725A1"/>
    <w:rsid w:val="00074B93"/>
    <w:rsid w:val="0008546F"/>
    <w:rsid w:val="00085EAD"/>
    <w:rsid w:val="000923B3"/>
    <w:rsid w:val="00095D19"/>
    <w:rsid w:val="000B323A"/>
    <w:rsid w:val="000C0AA7"/>
    <w:rsid w:val="000C0DC3"/>
    <w:rsid w:val="000D4928"/>
    <w:rsid w:val="000E7A0A"/>
    <w:rsid w:val="000F2B82"/>
    <w:rsid w:val="0013075D"/>
    <w:rsid w:val="001357E0"/>
    <w:rsid w:val="00150E79"/>
    <w:rsid w:val="0015188F"/>
    <w:rsid w:val="00191401"/>
    <w:rsid w:val="00194CB2"/>
    <w:rsid w:val="001C7896"/>
    <w:rsid w:val="001D51AE"/>
    <w:rsid w:val="001E1A7D"/>
    <w:rsid w:val="001E27C8"/>
    <w:rsid w:val="001F1B1E"/>
    <w:rsid w:val="00201EB5"/>
    <w:rsid w:val="00213302"/>
    <w:rsid w:val="002148D7"/>
    <w:rsid w:val="00221C14"/>
    <w:rsid w:val="00225D2E"/>
    <w:rsid w:val="0023472A"/>
    <w:rsid w:val="00241CB9"/>
    <w:rsid w:val="002525DD"/>
    <w:rsid w:val="002A7FAB"/>
    <w:rsid w:val="002B2ECB"/>
    <w:rsid w:val="002D4BE6"/>
    <w:rsid w:val="002D6096"/>
    <w:rsid w:val="002D6772"/>
    <w:rsid w:val="00302736"/>
    <w:rsid w:val="0033649F"/>
    <w:rsid w:val="003440EF"/>
    <w:rsid w:val="003564C3"/>
    <w:rsid w:val="00360762"/>
    <w:rsid w:val="00386A7C"/>
    <w:rsid w:val="00390391"/>
    <w:rsid w:val="00397FDD"/>
    <w:rsid w:val="003A0E97"/>
    <w:rsid w:val="003D4CFB"/>
    <w:rsid w:val="003F792F"/>
    <w:rsid w:val="00416C74"/>
    <w:rsid w:val="004344D2"/>
    <w:rsid w:val="00471294"/>
    <w:rsid w:val="00476761"/>
    <w:rsid w:val="00482632"/>
    <w:rsid w:val="004839F3"/>
    <w:rsid w:val="00486895"/>
    <w:rsid w:val="004972A2"/>
    <w:rsid w:val="004B7893"/>
    <w:rsid w:val="004E3099"/>
    <w:rsid w:val="004E7861"/>
    <w:rsid w:val="004E7F77"/>
    <w:rsid w:val="004E7FE0"/>
    <w:rsid w:val="004F49CB"/>
    <w:rsid w:val="0052066F"/>
    <w:rsid w:val="00535541"/>
    <w:rsid w:val="00535C50"/>
    <w:rsid w:val="005557A3"/>
    <w:rsid w:val="005637B9"/>
    <w:rsid w:val="005643DC"/>
    <w:rsid w:val="00572FD2"/>
    <w:rsid w:val="00574126"/>
    <w:rsid w:val="00591337"/>
    <w:rsid w:val="005A150B"/>
    <w:rsid w:val="005B2D07"/>
    <w:rsid w:val="005C7912"/>
    <w:rsid w:val="005F1CCE"/>
    <w:rsid w:val="00602B27"/>
    <w:rsid w:val="00604EEE"/>
    <w:rsid w:val="0061489D"/>
    <w:rsid w:val="00617A33"/>
    <w:rsid w:val="006339E7"/>
    <w:rsid w:val="00635A62"/>
    <w:rsid w:val="00641CB0"/>
    <w:rsid w:val="00653891"/>
    <w:rsid w:val="006A5B4C"/>
    <w:rsid w:val="006D07A7"/>
    <w:rsid w:val="006E4AB3"/>
    <w:rsid w:val="006F39EB"/>
    <w:rsid w:val="0074223F"/>
    <w:rsid w:val="00744B3E"/>
    <w:rsid w:val="0075667B"/>
    <w:rsid w:val="00761A94"/>
    <w:rsid w:val="0078011F"/>
    <w:rsid w:val="00780CE8"/>
    <w:rsid w:val="0079204D"/>
    <w:rsid w:val="007A7072"/>
    <w:rsid w:val="007B0134"/>
    <w:rsid w:val="007B2376"/>
    <w:rsid w:val="007B4502"/>
    <w:rsid w:val="007C3061"/>
    <w:rsid w:val="007C4FA2"/>
    <w:rsid w:val="007E471D"/>
    <w:rsid w:val="00803E67"/>
    <w:rsid w:val="00835A77"/>
    <w:rsid w:val="0088106F"/>
    <w:rsid w:val="00893595"/>
    <w:rsid w:val="008B250F"/>
    <w:rsid w:val="008C1852"/>
    <w:rsid w:val="008D1C15"/>
    <w:rsid w:val="008D789A"/>
    <w:rsid w:val="008F15E1"/>
    <w:rsid w:val="00917B12"/>
    <w:rsid w:val="00917E2B"/>
    <w:rsid w:val="00927B87"/>
    <w:rsid w:val="0094440D"/>
    <w:rsid w:val="00951E7D"/>
    <w:rsid w:val="009535A4"/>
    <w:rsid w:val="009752D2"/>
    <w:rsid w:val="0097751A"/>
    <w:rsid w:val="00987986"/>
    <w:rsid w:val="00991B13"/>
    <w:rsid w:val="009952F6"/>
    <w:rsid w:val="00995720"/>
    <w:rsid w:val="009A0F11"/>
    <w:rsid w:val="009A6E9F"/>
    <w:rsid w:val="009A6FC4"/>
    <w:rsid w:val="009A77ED"/>
    <w:rsid w:val="009B53B4"/>
    <w:rsid w:val="009D1BD4"/>
    <w:rsid w:val="00A02184"/>
    <w:rsid w:val="00A06B6B"/>
    <w:rsid w:val="00A135E8"/>
    <w:rsid w:val="00A13CB0"/>
    <w:rsid w:val="00A330AB"/>
    <w:rsid w:val="00A33516"/>
    <w:rsid w:val="00A665F7"/>
    <w:rsid w:val="00A8273A"/>
    <w:rsid w:val="00A87DD9"/>
    <w:rsid w:val="00AA3D29"/>
    <w:rsid w:val="00AD1F16"/>
    <w:rsid w:val="00AD5493"/>
    <w:rsid w:val="00AD76DB"/>
    <w:rsid w:val="00AE1BA7"/>
    <w:rsid w:val="00AF563E"/>
    <w:rsid w:val="00B234CC"/>
    <w:rsid w:val="00B35C87"/>
    <w:rsid w:val="00B3688A"/>
    <w:rsid w:val="00B608F8"/>
    <w:rsid w:val="00BA7C3F"/>
    <w:rsid w:val="00BB65D7"/>
    <w:rsid w:val="00BC0559"/>
    <w:rsid w:val="00BC3307"/>
    <w:rsid w:val="00BC7208"/>
    <w:rsid w:val="00BF2844"/>
    <w:rsid w:val="00C249A1"/>
    <w:rsid w:val="00C52978"/>
    <w:rsid w:val="00C623B3"/>
    <w:rsid w:val="00C83923"/>
    <w:rsid w:val="00C91BDF"/>
    <w:rsid w:val="00C92006"/>
    <w:rsid w:val="00CF4F4E"/>
    <w:rsid w:val="00D16175"/>
    <w:rsid w:val="00D337BD"/>
    <w:rsid w:val="00D337D8"/>
    <w:rsid w:val="00D372A5"/>
    <w:rsid w:val="00D372B8"/>
    <w:rsid w:val="00D4432E"/>
    <w:rsid w:val="00D5212E"/>
    <w:rsid w:val="00D721AE"/>
    <w:rsid w:val="00D93B77"/>
    <w:rsid w:val="00DA4D96"/>
    <w:rsid w:val="00DB69D8"/>
    <w:rsid w:val="00DE10B9"/>
    <w:rsid w:val="00E17138"/>
    <w:rsid w:val="00E204A0"/>
    <w:rsid w:val="00E215A6"/>
    <w:rsid w:val="00E345B8"/>
    <w:rsid w:val="00E3519F"/>
    <w:rsid w:val="00E51C72"/>
    <w:rsid w:val="00E72D8C"/>
    <w:rsid w:val="00E76DB8"/>
    <w:rsid w:val="00E7708F"/>
    <w:rsid w:val="00E827C2"/>
    <w:rsid w:val="00E914CD"/>
    <w:rsid w:val="00EB5B93"/>
    <w:rsid w:val="00EB6D19"/>
    <w:rsid w:val="00ED2681"/>
    <w:rsid w:val="00EE6102"/>
    <w:rsid w:val="00EF76FE"/>
    <w:rsid w:val="00F01E28"/>
    <w:rsid w:val="00F02C26"/>
    <w:rsid w:val="00F12690"/>
    <w:rsid w:val="00F22941"/>
    <w:rsid w:val="00F4283F"/>
    <w:rsid w:val="00F45272"/>
    <w:rsid w:val="00F67F67"/>
    <w:rsid w:val="00F9202F"/>
    <w:rsid w:val="00F95124"/>
    <w:rsid w:val="00F9719F"/>
    <w:rsid w:val="00FA0938"/>
    <w:rsid w:val="00FA67A2"/>
    <w:rsid w:val="00FB6979"/>
    <w:rsid w:val="00FD3A29"/>
    <w:rsid w:val="00FF1711"/>
    <w:rsid w:val="00FF3E71"/>
    <w:rsid w:val="00FF526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6A1783"/>
  <w15:docId w15:val="{45C147AA-8E71-4060-AEA2-68E28759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rPr>
  </w:style>
  <w:style w:type="paragraph" w:customStyle="1" w:styleId="Tabletitle">
    <w:name w:val="Table_title"/>
    <w:basedOn w:val="Normal"/>
    <w:next w:val="Normal"/>
    <w:rsid w:val="006F39EB"/>
    <w:pPr>
      <w:keepNext/>
      <w:keepLines/>
      <w:spacing w:before="0" w:after="120"/>
      <w:jc w:val="center"/>
    </w:pPr>
    <w:rPr>
      <w: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
    <w:basedOn w:val="DefaultParagraphFont"/>
    <w:uiPriority w:val="99"/>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rPr>
  </w:style>
  <w:style w:type="paragraph" w:customStyle="1" w:styleId="Tableref">
    <w:name w:val="Table_ref"/>
    <w:basedOn w:val="Normal"/>
    <w:next w:val="Tabletitle"/>
    <w:rsid w:val="006F39EB"/>
    <w:pPr>
      <w:keepNext/>
      <w:spacing w:before="0" w:after="120"/>
      <w:jc w:val="center"/>
    </w:p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styleId="PlainText">
    <w:name w:val="Plain Text"/>
    <w:basedOn w:val="Normal"/>
    <w:link w:val="PlainTextChar"/>
    <w:uiPriority w:val="99"/>
    <w:unhideWhenUsed/>
    <w:rsid w:val="00987986"/>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987986"/>
    <w:rPr>
      <w:rFonts w:ascii="Calibri" w:hAnsi="Calibri"/>
      <w:szCs w:val="21"/>
      <w:lang w:val="es-ES"/>
    </w:rPr>
  </w:style>
  <w:style w:type="paragraph" w:styleId="ListParagraph">
    <w:name w:val="List Paragraph"/>
    <w:aliases w:val="List Paragraph1,Recommendation,List Paragraph11"/>
    <w:basedOn w:val="Normal"/>
    <w:link w:val="ListParagraphChar"/>
    <w:uiPriority w:val="34"/>
    <w:qFormat/>
    <w:rsid w:val="00095D19"/>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
    <w:basedOn w:val="DefaultParagraphFont"/>
    <w:link w:val="ListParagraph"/>
    <w:uiPriority w:val="34"/>
    <w:locked/>
    <w:rsid w:val="00095D19"/>
    <w:rPr>
      <w:rFonts w:eastAsia="Times New Roman" w:cs="Times New Roman"/>
      <w:sz w:val="24"/>
      <w:szCs w:val="20"/>
      <w:lang w:val="es-ES" w:eastAsia="en-US"/>
    </w:rPr>
  </w:style>
  <w:style w:type="character" w:styleId="Strong">
    <w:name w:val="Strong"/>
    <w:basedOn w:val="DefaultParagraphFont"/>
    <w:uiPriority w:val="22"/>
    <w:qFormat/>
    <w:rsid w:val="00095D19"/>
    <w:rPr>
      <w:b/>
      <w:bCs/>
    </w:rPr>
  </w:style>
  <w:style w:type="character" w:styleId="FollowedHyperlink">
    <w:name w:val="FollowedHyperlink"/>
    <w:basedOn w:val="DefaultParagraphFont"/>
    <w:uiPriority w:val="99"/>
    <w:semiHidden/>
    <w:unhideWhenUsed/>
    <w:rsid w:val="001E27C8"/>
    <w:rPr>
      <w:color w:val="800080" w:themeColor="followedHyperlink"/>
      <w:u w:val="single"/>
    </w:rPr>
  </w:style>
  <w:style w:type="paragraph" w:styleId="EndnoteText">
    <w:name w:val="endnote text"/>
    <w:basedOn w:val="Normal"/>
    <w:link w:val="EndnoteTextChar"/>
    <w:uiPriority w:val="99"/>
    <w:semiHidden/>
    <w:unhideWhenUsed/>
    <w:rsid w:val="00020CC6"/>
    <w:pPr>
      <w:spacing w:before="0"/>
    </w:pPr>
    <w:rPr>
      <w:sz w:val="20"/>
    </w:rPr>
  </w:style>
  <w:style w:type="character" w:customStyle="1" w:styleId="EndnoteTextChar">
    <w:name w:val="Endnote Text Char"/>
    <w:basedOn w:val="DefaultParagraphFont"/>
    <w:link w:val="EndnoteText"/>
    <w:uiPriority w:val="99"/>
    <w:semiHidden/>
    <w:rsid w:val="00020CC6"/>
    <w:rPr>
      <w:rFonts w:eastAsia="Times New Roman" w:cs="Times New Roman"/>
      <w:sz w:val="20"/>
      <w:szCs w:val="20"/>
      <w:lang w:eastAsia="en-US"/>
    </w:rPr>
  </w:style>
  <w:style w:type="character" w:styleId="CommentReference">
    <w:name w:val="annotation reference"/>
    <w:basedOn w:val="DefaultParagraphFont"/>
    <w:uiPriority w:val="99"/>
    <w:semiHidden/>
    <w:unhideWhenUsed/>
    <w:rsid w:val="00E345B8"/>
    <w:rPr>
      <w:sz w:val="16"/>
      <w:szCs w:val="16"/>
    </w:rPr>
  </w:style>
  <w:style w:type="paragraph" w:styleId="CommentText">
    <w:name w:val="annotation text"/>
    <w:basedOn w:val="Normal"/>
    <w:link w:val="CommentTextChar"/>
    <w:uiPriority w:val="99"/>
    <w:semiHidden/>
    <w:unhideWhenUsed/>
    <w:rsid w:val="00E345B8"/>
    <w:rPr>
      <w:sz w:val="20"/>
    </w:rPr>
  </w:style>
  <w:style w:type="character" w:customStyle="1" w:styleId="CommentTextChar">
    <w:name w:val="Comment Text Char"/>
    <w:basedOn w:val="DefaultParagraphFont"/>
    <w:link w:val="CommentText"/>
    <w:uiPriority w:val="99"/>
    <w:semiHidden/>
    <w:rsid w:val="00E345B8"/>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345B8"/>
    <w:rPr>
      <w:b/>
      <w:bCs/>
    </w:rPr>
  </w:style>
  <w:style w:type="character" w:customStyle="1" w:styleId="CommentSubjectChar">
    <w:name w:val="Comment Subject Char"/>
    <w:basedOn w:val="CommentTextChar"/>
    <w:link w:val="CommentSubject"/>
    <w:uiPriority w:val="99"/>
    <w:semiHidden/>
    <w:rsid w:val="00E345B8"/>
    <w:rPr>
      <w:rFonts w:eastAsia="Times New Roman" w:cs="Times New Roman"/>
      <w:b/>
      <w:bCs/>
      <w:sz w:val="20"/>
      <w:szCs w:val="20"/>
      <w:lang w:eastAsia="en-US"/>
    </w:rPr>
  </w:style>
  <w:style w:type="paragraph" w:styleId="Revision">
    <w:name w:val="Revision"/>
    <w:hidden/>
    <w:uiPriority w:val="99"/>
    <w:semiHidden/>
    <w:rsid w:val="00E345B8"/>
    <w:pPr>
      <w:spacing w:after="0" w:line="240" w:lineRule="auto"/>
    </w:pPr>
    <w:rPr>
      <w:rFonts w:eastAsia="Times New Roman" w:cs="Times New Roman"/>
      <w:sz w:val="24"/>
      <w:szCs w:val="20"/>
      <w:lang w:eastAsia="en-US"/>
    </w:rPr>
  </w:style>
  <w:style w:type="paragraph" w:styleId="BalloonText">
    <w:name w:val="Balloon Text"/>
    <w:basedOn w:val="Normal"/>
    <w:link w:val="BalloonTextChar"/>
    <w:uiPriority w:val="99"/>
    <w:semiHidden/>
    <w:unhideWhenUsed/>
    <w:rsid w:val="00E345B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B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72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net4/Telecom/webs/TelecomWorld/session" TargetMode="External"/><Relationship Id="rId18" Type="http://schemas.openxmlformats.org/officeDocument/2006/relationships/hyperlink" Target="https://www.itu.int/en/ITU-D/Innovation/Documents/Publications/eBAT_Brochure%E2%80%93DIP%20BosniaH_431106_.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en/ITU-D/Innovation/Documents/Publications/Brochure%E2%80%93DIP%20South%20Africa.pdf" TargetMode="External"/><Relationship Id="rId7" Type="http://schemas.openxmlformats.org/officeDocument/2006/relationships/endnotes" Target="endnotes.xml"/><Relationship Id="rId12" Type="http://schemas.openxmlformats.org/officeDocument/2006/relationships/hyperlink" Target="https://telecomworld.itu.int/2018-daily-highlights-day-3/digital-innovation-ecosystems-the-key-to-industry-4-0/" TargetMode="External"/><Relationship Id="rId17" Type="http://schemas.openxmlformats.org/officeDocument/2006/relationships/hyperlink" Target="https://www.itu.int/es/ITU-D/Innovation/Pages/Platform/diprofile.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D/Regional-Presence/Europe/Pages/Events/2018/IF/InnovationForum.aspx" TargetMode="External"/><Relationship Id="rId20" Type="http://schemas.openxmlformats.org/officeDocument/2006/relationships/hyperlink" Target="https://www.itu.int/net4/ITU-T/registration/Resolver/Index?handle_id=11.1002/pub/810fd87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Regional-Presence/Europe/Pages/Events/2018/WSI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D/Innovation/Pages/Events/2018/YILF2018.aspx" TargetMode="External"/><Relationship Id="rId23" Type="http://schemas.openxmlformats.org/officeDocument/2006/relationships/hyperlink" Target="https://www.itu.int/md/D18-TDAG24-C-0021" TargetMode="External"/><Relationship Id="rId28" Type="http://schemas.openxmlformats.org/officeDocument/2006/relationships/theme" Target="theme/theme1.xml"/><Relationship Id="rId10" Type="http://schemas.openxmlformats.org/officeDocument/2006/relationships/hyperlink" Target="https://www.itu.int/en/ITU-D/Innovation/Documents/Publications/Policy_Toolkit-Innovation_D012A0000D13301PDFE.pdf" TargetMode="External"/><Relationship Id="rId19" Type="http://schemas.openxmlformats.org/officeDocument/2006/relationships/hyperlink" Target="https://www.itu.int/en/ITU-D/Innovation/Documents/Publications/eBAT_Brochure%E2%80%93DIP%20Serbia_432746_.pdf" TargetMode="External"/><Relationship Id="rId4" Type="http://schemas.openxmlformats.org/officeDocument/2006/relationships/settings" Target="settings.xml"/><Relationship Id="rId9" Type="http://schemas.openxmlformats.org/officeDocument/2006/relationships/hyperlink" Target="https://www.itu.int/en/ITU-D/Regional-Presence/Europe/Documents/Events/2018/WSIS/Accelerating%20Digital%20Transformation.pdf" TargetMode="External"/><Relationship Id="rId14" Type="http://schemas.openxmlformats.org/officeDocument/2006/relationships/hyperlink" Target="https://www.itu.int/en/ITU-D/Innovation/Pages/Events/2018/BDID_Workshop_Thailand.aspx" TargetMode="External"/><Relationship Id="rId22" Type="http://schemas.openxmlformats.org/officeDocument/2006/relationships/image" Target="media/image2.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o\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425F-A3E9-4429-81AE-7DF2097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125</TotalTime>
  <Pages>8</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Ayala Martinez, Beatriz</cp:lastModifiedBy>
  <cp:revision>14</cp:revision>
  <dcterms:created xsi:type="dcterms:W3CDTF">2019-03-18T14:07:00Z</dcterms:created>
  <dcterms:modified xsi:type="dcterms:W3CDTF">2019-03-21T12:55:00Z</dcterms:modified>
</cp:coreProperties>
</file>