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17044FAD" w14:textId="77777777" w:rsidTr="004C0AA5">
        <w:trPr>
          <w:cantSplit/>
          <w:trHeight w:val="1134"/>
        </w:trPr>
        <w:tc>
          <w:tcPr>
            <w:tcW w:w="6663" w:type="dxa"/>
          </w:tcPr>
          <w:p w14:paraId="6F6B158A" w14:textId="77777777"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A2649B6" w14:textId="77777777"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14:paraId="29E6D19D" w14:textId="77777777" w:rsidR="00CE6A95" w:rsidRPr="00683C32" w:rsidRDefault="00CE6A95" w:rsidP="004C0AA5">
            <w:pPr>
              <w:spacing w:before="0"/>
              <w:ind w:right="142"/>
              <w:jc w:val="right"/>
            </w:pPr>
            <w:r w:rsidRPr="008E52B1">
              <w:rPr>
                <w:noProof/>
                <w:color w:val="3399FF"/>
                <w:lang w:eastAsia="zh-CN"/>
              </w:rPr>
              <w:drawing>
                <wp:inline distT="0" distB="0" distL="0" distR="0" wp14:anchorId="05EE0CE1" wp14:editId="1870D168">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24E145D8" w14:textId="77777777" w:rsidTr="004C0AA5">
        <w:trPr>
          <w:cantSplit/>
        </w:trPr>
        <w:tc>
          <w:tcPr>
            <w:tcW w:w="6663" w:type="dxa"/>
            <w:tcBorders>
              <w:top w:val="single" w:sz="12" w:space="0" w:color="auto"/>
            </w:tcBorders>
          </w:tcPr>
          <w:p w14:paraId="1B7158F2" w14:textId="77777777" w:rsidR="00CE6A95" w:rsidRPr="00997358" w:rsidRDefault="00CE6A95" w:rsidP="004C0AA5">
            <w:pPr>
              <w:spacing w:before="0"/>
              <w:rPr>
                <w:rFonts w:cs="Arial"/>
                <w:b/>
                <w:bCs/>
                <w:sz w:val="20"/>
              </w:rPr>
            </w:pPr>
          </w:p>
        </w:tc>
        <w:tc>
          <w:tcPr>
            <w:tcW w:w="3225" w:type="dxa"/>
            <w:tcBorders>
              <w:top w:val="single" w:sz="12" w:space="0" w:color="auto"/>
            </w:tcBorders>
          </w:tcPr>
          <w:p w14:paraId="666DFF1F" w14:textId="77777777" w:rsidR="00CE6A95" w:rsidRPr="00997358" w:rsidRDefault="00CE6A95" w:rsidP="004C0AA5">
            <w:pPr>
              <w:spacing w:before="0"/>
              <w:rPr>
                <w:b/>
                <w:bCs/>
                <w:sz w:val="20"/>
              </w:rPr>
            </w:pPr>
          </w:p>
        </w:tc>
      </w:tr>
      <w:tr w:rsidR="00CE6A95" w:rsidRPr="00002716" w14:paraId="69D6A6FA" w14:textId="77777777" w:rsidTr="004C0AA5">
        <w:trPr>
          <w:cantSplit/>
        </w:trPr>
        <w:tc>
          <w:tcPr>
            <w:tcW w:w="6663" w:type="dxa"/>
          </w:tcPr>
          <w:p w14:paraId="7141336D" w14:textId="77777777" w:rsidR="00CE6A95" w:rsidRPr="007F1CC7" w:rsidRDefault="00CE6A95" w:rsidP="004C0AA5">
            <w:pPr>
              <w:pStyle w:val="Committee"/>
              <w:framePr w:hSpace="0" w:wrap="auto" w:hAnchor="text" w:yAlign="inline"/>
              <w:rPr>
                <w:b w:val="0"/>
              </w:rPr>
            </w:pPr>
          </w:p>
        </w:tc>
        <w:tc>
          <w:tcPr>
            <w:tcW w:w="3225" w:type="dxa"/>
          </w:tcPr>
          <w:p w14:paraId="6D5ED322" w14:textId="77777777" w:rsidR="00CE6A95" w:rsidRPr="007F1CC7" w:rsidRDefault="00CE6A95" w:rsidP="00D92221">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D92221">
              <w:rPr>
                <w:b/>
                <w:bCs/>
                <w:lang w:val="en-US"/>
              </w:rPr>
              <w:t>26</w:t>
            </w:r>
            <w:r>
              <w:rPr>
                <w:b/>
                <w:bCs/>
                <w:lang w:val="en-US"/>
              </w:rPr>
              <w:t>-E</w:t>
            </w:r>
          </w:p>
        </w:tc>
      </w:tr>
      <w:tr w:rsidR="00CE6A95" w14:paraId="6B8F90E8" w14:textId="77777777" w:rsidTr="004C0AA5">
        <w:trPr>
          <w:cantSplit/>
        </w:trPr>
        <w:tc>
          <w:tcPr>
            <w:tcW w:w="6663" w:type="dxa"/>
          </w:tcPr>
          <w:p w14:paraId="6AD0A6C0" w14:textId="77777777" w:rsidR="00CE6A95" w:rsidRPr="007F1CC7" w:rsidRDefault="00CE6A95" w:rsidP="004C0AA5">
            <w:pPr>
              <w:spacing w:before="0"/>
              <w:rPr>
                <w:b/>
                <w:bCs/>
                <w:smallCaps/>
                <w:szCs w:val="24"/>
                <w:lang w:val="en-US"/>
              </w:rPr>
            </w:pPr>
          </w:p>
        </w:tc>
        <w:tc>
          <w:tcPr>
            <w:tcW w:w="3225" w:type="dxa"/>
          </w:tcPr>
          <w:p w14:paraId="6199FD19" w14:textId="7B19755C" w:rsidR="00CE6A95" w:rsidRPr="007F1CC7" w:rsidRDefault="00954E0F" w:rsidP="00F86042">
            <w:pPr>
              <w:spacing w:before="0"/>
              <w:rPr>
                <w:b/>
                <w:szCs w:val="24"/>
              </w:rPr>
            </w:pPr>
            <w:bookmarkStart w:id="2" w:name="CreationDate"/>
            <w:bookmarkEnd w:id="2"/>
            <w:r>
              <w:rPr>
                <w:b/>
                <w:bCs/>
                <w:szCs w:val="28"/>
              </w:rPr>
              <w:t>25</w:t>
            </w:r>
            <w:r>
              <w:rPr>
                <w:b/>
                <w:bCs/>
                <w:szCs w:val="28"/>
              </w:rPr>
              <w:t xml:space="preserve"> </w:t>
            </w:r>
            <w:r w:rsidR="00CE6A95">
              <w:rPr>
                <w:b/>
                <w:bCs/>
                <w:szCs w:val="28"/>
              </w:rPr>
              <w:t xml:space="preserve">January </w:t>
            </w:r>
            <w:r w:rsidR="00CE6A95" w:rsidRPr="008F5D48">
              <w:rPr>
                <w:b/>
                <w:bCs/>
                <w:szCs w:val="28"/>
              </w:rPr>
              <w:t>201</w:t>
            </w:r>
            <w:r w:rsidR="00CE6A95">
              <w:rPr>
                <w:b/>
                <w:bCs/>
                <w:szCs w:val="28"/>
              </w:rPr>
              <w:t>9</w:t>
            </w:r>
          </w:p>
        </w:tc>
      </w:tr>
      <w:tr w:rsidR="00CE6A95" w14:paraId="46A38D94" w14:textId="77777777" w:rsidTr="004C0AA5">
        <w:trPr>
          <w:cantSplit/>
        </w:trPr>
        <w:tc>
          <w:tcPr>
            <w:tcW w:w="6663" w:type="dxa"/>
          </w:tcPr>
          <w:p w14:paraId="7DB6F28A" w14:textId="77777777" w:rsidR="00CE6A95" w:rsidRPr="007F1CC7" w:rsidRDefault="00CE6A95" w:rsidP="004C0AA5">
            <w:pPr>
              <w:spacing w:before="0"/>
              <w:rPr>
                <w:b/>
                <w:bCs/>
                <w:smallCaps/>
                <w:szCs w:val="24"/>
              </w:rPr>
            </w:pPr>
          </w:p>
        </w:tc>
        <w:tc>
          <w:tcPr>
            <w:tcW w:w="3225" w:type="dxa"/>
          </w:tcPr>
          <w:p w14:paraId="6E838573" w14:textId="77777777"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14:paraId="13CEBBF2" w14:textId="77777777" w:rsidTr="004C0AA5">
        <w:trPr>
          <w:cantSplit/>
          <w:trHeight w:val="852"/>
        </w:trPr>
        <w:tc>
          <w:tcPr>
            <w:tcW w:w="9888" w:type="dxa"/>
            <w:gridSpan w:val="2"/>
          </w:tcPr>
          <w:p w14:paraId="0B7B49E6" w14:textId="77777777" w:rsidR="00CE6A95" w:rsidRPr="00B62876" w:rsidRDefault="003B307E" w:rsidP="00CE6A95">
            <w:pPr>
              <w:pStyle w:val="Source"/>
              <w:spacing w:before="240" w:after="240"/>
            </w:pPr>
            <w:bookmarkStart w:id="3" w:name="Source"/>
            <w:bookmarkEnd w:id="3"/>
            <w:r w:rsidRPr="003B307E">
              <w:t>Director, Telecommunication Development Bureau</w:t>
            </w:r>
          </w:p>
        </w:tc>
      </w:tr>
      <w:tr w:rsidR="00CE6A95" w:rsidRPr="002E6963" w14:paraId="76C66FC4" w14:textId="77777777" w:rsidTr="0016673F">
        <w:trPr>
          <w:cantSplit/>
        </w:trPr>
        <w:tc>
          <w:tcPr>
            <w:tcW w:w="9888" w:type="dxa"/>
            <w:gridSpan w:val="2"/>
            <w:vAlign w:val="center"/>
          </w:tcPr>
          <w:p w14:paraId="7D0D0003" w14:textId="77777777" w:rsidR="00CE6A95" w:rsidRPr="00B62876" w:rsidRDefault="00D72429" w:rsidP="00645019">
            <w:pPr>
              <w:pStyle w:val="Title1"/>
              <w:spacing w:after="120"/>
            </w:pPr>
            <w:bookmarkStart w:id="4" w:name="Title"/>
            <w:bookmarkEnd w:id="4"/>
            <w:r w:rsidRPr="00D72429">
              <w:rPr>
                <w:szCs w:val="28"/>
              </w:rPr>
              <w:t xml:space="preserve">Emergency Telecommunications, </w:t>
            </w:r>
            <w:r w:rsidR="002179D1">
              <w:rPr>
                <w:szCs w:val="28"/>
              </w:rPr>
              <w:br/>
            </w:r>
            <w:r w:rsidRPr="00D72429">
              <w:rPr>
                <w:szCs w:val="28"/>
              </w:rPr>
              <w:t>Climate Change, E-waste, LDCs, LLDCs, and SIDS</w:t>
            </w:r>
          </w:p>
        </w:tc>
      </w:tr>
      <w:tr w:rsidR="00CE6A95" w:rsidRPr="002E6963" w14:paraId="57CB00F9" w14:textId="77777777" w:rsidTr="004C0AA5">
        <w:trPr>
          <w:cantSplit/>
        </w:trPr>
        <w:tc>
          <w:tcPr>
            <w:tcW w:w="9888" w:type="dxa"/>
            <w:gridSpan w:val="2"/>
            <w:tcBorders>
              <w:bottom w:val="single" w:sz="4" w:space="0" w:color="auto"/>
            </w:tcBorders>
          </w:tcPr>
          <w:p w14:paraId="35BABBFF" w14:textId="77777777" w:rsidR="00CE6A95" w:rsidRPr="00A721F4" w:rsidRDefault="00CE6A95" w:rsidP="004C0AA5"/>
        </w:tc>
      </w:tr>
      <w:tr w:rsidR="00CE6A95" w:rsidRPr="002E6963" w14:paraId="56A74AF3" w14:textId="77777777"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14:paraId="21F13A68" w14:textId="77777777" w:rsidR="00CE6A95" w:rsidRPr="00D9621A" w:rsidRDefault="00CE6A95" w:rsidP="004C0AA5">
            <w:pPr>
              <w:spacing w:before="240"/>
              <w:rPr>
                <w:b/>
                <w:bCs/>
                <w:szCs w:val="24"/>
              </w:rPr>
            </w:pPr>
            <w:r w:rsidRPr="00D9621A">
              <w:rPr>
                <w:b/>
                <w:bCs/>
                <w:szCs w:val="24"/>
              </w:rPr>
              <w:t>Summary:</w:t>
            </w:r>
          </w:p>
          <w:p w14:paraId="3E5A7B7A" w14:textId="77777777" w:rsidR="008B66BB" w:rsidRPr="00C9590A" w:rsidRDefault="008B66BB" w:rsidP="008B66BB">
            <w:r>
              <w:t>This document provides a summary of work carried out by the Telecommunication Development Bureau since the last TDAG meeting was held.</w:t>
            </w:r>
            <w:r w:rsidR="00BA18CD">
              <w:t xml:space="preserve"> </w:t>
            </w:r>
            <w:r w:rsidRPr="002A611C">
              <w:rPr>
                <w:lang w:val="en-US"/>
              </w:rPr>
              <w:t xml:space="preserve">The </w:t>
            </w:r>
            <w:r>
              <w:rPr>
                <w:lang w:val="en-US"/>
              </w:rPr>
              <w:t xml:space="preserve">document covers work on </w:t>
            </w:r>
            <w:r>
              <w:t>Emergency Telecommunications, Climate Change, E-waste, and concentrated assistance to the least developed countries (LDCs) landlocked developing countries (LLDCs), and small island developing states (SIDS).</w:t>
            </w:r>
          </w:p>
          <w:p w14:paraId="303FCD0A" w14:textId="77777777" w:rsidR="008B66BB" w:rsidRPr="00D9621A" w:rsidRDefault="008B66BB" w:rsidP="008B66BB">
            <w:pPr>
              <w:rPr>
                <w:b/>
                <w:bCs/>
                <w:szCs w:val="24"/>
              </w:rPr>
            </w:pPr>
            <w:r w:rsidRPr="005E090D">
              <w:rPr>
                <w:b/>
                <w:bCs/>
              </w:rPr>
              <w:t>Action required:</w:t>
            </w:r>
          </w:p>
          <w:p w14:paraId="1AA9CAAF" w14:textId="77777777" w:rsidR="008B66BB" w:rsidRPr="00D9621A" w:rsidRDefault="00543262" w:rsidP="002A13F1">
            <w:pPr>
              <w:rPr>
                <w:szCs w:val="24"/>
              </w:rPr>
            </w:pPr>
            <w:r>
              <w:rPr>
                <w:lang w:val="en-US"/>
              </w:rPr>
              <w:t>TDAG is invited to note this document and provide guidance as deemed appropriate.</w:t>
            </w:r>
          </w:p>
          <w:p w14:paraId="7ED14B13" w14:textId="77777777" w:rsidR="008B66BB" w:rsidRPr="00D9621A" w:rsidRDefault="008B66BB" w:rsidP="008B66BB">
            <w:pPr>
              <w:rPr>
                <w:b/>
                <w:bCs/>
                <w:szCs w:val="24"/>
              </w:rPr>
            </w:pPr>
            <w:r w:rsidRPr="00D9621A">
              <w:rPr>
                <w:b/>
                <w:bCs/>
                <w:szCs w:val="24"/>
              </w:rPr>
              <w:t>References:</w:t>
            </w:r>
          </w:p>
          <w:p w14:paraId="3E3A1E40" w14:textId="77777777" w:rsidR="00CE6A95" w:rsidRPr="00D9621A" w:rsidRDefault="008B66BB" w:rsidP="003B2476">
            <w:pPr>
              <w:spacing w:after="120"/>
            </w:pPr>
            <w:r w:rsidRPr="00761868">
              <w:t>PP</w:t>
            </w:r>
            <w:r>
              <w:t xml:space="preserve"> Resolution</w:t>
            </w:r>
            <w:r w:rsidRPr="00761868">
              <w:t xml:space="preserve"> 30</w:t>
            </w:r>
            <w:r>
              <w:t xml:space="preserve"> (Rev. Busan, 2014), Resolution 34 (Rev. Busan, 2014), Resolution</w:t>
            </w:r>
            <w:r w:rsidR="00F86042">
              <w:t> </w:t>
            </w:r>
            <w:r w:rsidRPr="00A31DC3">
              <w:t>136 (Rev. Dubai, 2018)</w:t>
            </w:r>
            <w:r>
              <w:t>, Resolution</w:t>
            </w:r>
            <w:r w:rsidR="00F86042">
              <w:t> </w:t>
            </w:r>
            <w:r>
              <w:t>139 (Rev. Dubai, 2018), Resolution</w:t>
            </w:r>
            <w:r w:rsidRPr="00A31DC3">
              <w:t xml:space="preserve"> 175 (Rev. Dubai, 2018)</w:t>
            </w:r>
            <w:r>
              <w:t xml:space="preserve">, Resolution </w:t>
            </w:r>
            <w:r w:rsidRPr="000305B4">
              <w:t xml:space="preserve">182 (Rev. Dubai, 2018) </w:t>
            </w:r>
            <w:r>
              <w:t>WTDC Resolution</w:t>
            </w:r>
            <w:r w:rsidR="00F86042">
              <w:t> </w:t>
            </w:r>
            <w:r>
              <w:t xml:space="preserve">5 (Rev. Buenos Aires, 2017), </w:t>
            </w:r>
            <w:r w:rsidR="00F86042">
              <w:t>Resolution </w:t>
            </w:r>
            <w:r>
              <w:t>16 (Rev. Buenos Aires, 2017), Resolution 25 (Rev. Buenos Aires, 2017), Resolution</w:t>
            </w:r>
            <w:r w:rsidR="00F86042">
              <w:t> </w:t>
            </w:r>
            <w:r w:rsidRPr="000305B4">
              <w:t>34 (Rev. Buenos Aires, 2017)</w:t>
            </w:r>
            <w:r>
              <w:t>, Resolution</w:t>
            </w:r>
            <w:r w:rsidR="00F86042">
              <w:t> </w:t>
            </w:r>
            <w:r>
              <w:t>37 (Rev. Buenos Aires, 2017),</w:t>
            </w:r>
            <w:r w:rsidR="00BA18CD">
              <w:t xml:space="preserve"> </w:t>
            </w:r>
            <w:r>
              <w:t>Resolution</w:t>
            </w:r>
            <w:r w:rsidR="00F86042">
              <w:t> </w:t>
            </w:r>
            <w:r w:rsidRPr="000305B4">
              <w:t>66 (Rev. Buenos Aires, 2017</w:t>
            </w:r>
            <w:r>
              <w:t>)</w:t>
            </w:r>
          </w:p>
        </w:tc>
      </w:tr>
    </w:tbl>
    <w:p w14:paraId="6AF333FA" w14:textId="77777777" w:rsidR="001E252D" w:rsidRPr="00B62876" w:rsidRDefault="001E252D" w:rsidP="001E252D">
      <w:pPr>
        <w:overflowPunct/>
        <w:autoSpaceDE/>
        <w:autoSpaceDN/>
        <w:adjustRightInd/>
        <w:textAlignment w:val="auto"/>
      </w:pPr>
    </w:p>
    <w:p w14:paraId="0F1DE6A6" w14:textId="77777777" w:rsidR="001E252D" w:rsidRPr="00B62876" w:rsidRDefault="001E252D">
      <w:pPr>
        <w:tabs>
          <w:tab w:val="clear" w:pos="1134"/>
          <w:tab w:val="clear" w:pos="1871"/>
          <w:tab w:val="clear" w:pos="2268"/>
        </w:tabs>
        <w:overflowPunct/>
        <w:autoSpaceDE/>
        <w:autoSpaceDN/>
        <w:adjustRightInd/>
        <w:spacing w:before="0"/>
        <w:textAlignment w:val="auto"/>
        <w:rPr>
          <w:szCs w:val="24"/>
        </w:rPr>
      </w:pPr>
    </w:p>
    <w:p w14:paraId="09262648" w14:textId="77777777"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14:paraId="17973F92" w14:textId="77777777" w:rsidR="009720DA" w:rsidRPr="009720DA" w:rsidRDefault="009720DA" w:rsidP="00BA18CD">
      <w:pPr>
        <w:pStyle w:val="ListParagraph"/>
        <w:numPr>
          <w:ilvl w:val="0"/>
          <w:numId w:val="45"/>
        </w:numPr>
        <w:rPr>
          <w:b/>
          <w:szCs w:val="24"/>
          <w:lang w:val="en-US"/>
        </w:rPr>
      </w:pPr>
      <w:r w:rsidRPr="009720DA">
        <w:rPr>
          <w:b/>
          <w:szCs w:val="24"/>
          <w:lang w:val="en-US"/>
        </w:rPr>
        <w:lastRenderedPageBreak/>
        <w:t>Introduction</w:t>
      </w:r>
    </w:p>
    <w:p w14:paraId="206E8C59" w14:textId="77777777" w:rsidR="009720DA" w:rsidRPr="009720DA" w:rsidRDefault="009720DA">
      <w:pPr>
        <w:rPr>
          <w:rFonts w:eastAsia="Calibri" w:cs="Calibri"/>
          <w:szCs w:val="24"/>
        </w:rPr>
      </w:pPr>
      <w:r w:rsidRPr="009720DA">
        <w:rPr>
          <w:szCs w:val="24"/>
          <w:lang w:val="en-US"/>
        </w:rPr>
        <w:t xml:space="preserve">This document presents a summary of </w:t>
      </w:r>
      <w:r w:rsidR="00635EE8">
        <w:rPr>
          <w:szCs w:val="24"/>
          <w:lang w:val="en-US"/>
        </w:rPr>
        <w:t xml:space="preserve">the </w:t>
      </w:r>
      <w:r w:rsidRPr="009720DA">
        <w:rPr>
          <w:szCs w:val="24"/>
          <w:lang w:val="en-US"/>
        </w:rPr>
        <w:t>work undertaken in the form of concentrated assistance to</w:t>
      </w:r>
      <w:r w:rsidR="00BA18CD">
        <w:rPr>
          <w:szCs w:val="24"/>
          <w:lang w:val="en-US"/>
        </w:rPr>
        <w:t xml:space="preserve"> </w:t>
      </w:r>
      <w:r w:rsidRPr="009720DA">
        <w:rPr>
          <w:rFonts w:eastAsia="Calibri" w:cs="Calibri"/>
          <w:szCs w:val="24"/>
        </w:rPr>
        <w:t xml:space="preserve">LDCs, LLDCs, and SIDS. It also reports on the assistance and support provided to ITU Member States in the use of telecommunications/ICTs for disaster risk reduction and disaster management, climate change adaptation and mitigation, and e-waste management. </w:t>
      </w:r>
    </w:p>
    <w:p w14:paraId="4C0AF0AC" w14:textId="77777777" w:rsidR="009720DA" w:rsidRPr="009720DA" w:rsidRDefault="009720DA" w:rsidP="00BA18CD">
      <w:pPr>
        <w:pStyle w:val="ListParagraph"/>
        <w:numPr>
          <w:ilvl w:val="0"/>
          <w:numId w:val="45"/>
        </w:numPr>
        <w:rPr>
          <w:b/>
          <w:szCs w:val="24"/>
          <w:lang w:val="en-US"/>
        </w:rPr>
      </w:pPr>
      <w:r w:rsidRPr="009720DA">
        <w:rPr>
          <w:b/>
          <w:szCs w:val="24"/>
          <w:lang w:val="en-US"/>
        </w:rPr>
        <w:t>Concentrated Assistance for LDCs, LLDCs and SIDS</w:t>
      </w:r>
    </w:p>
    <w:p w14:paraId="5ABFD51E" w14:textId="77777777" w:rsidR="009720DA" w:rsidRPr="009720DA" w:rsidRDefault="009720DA">
      <w:pPr>
        <w:overflowPunct/>
        <w:autoSpaceDE/>
        <w:autoSpaceDN/>
        <w:adjustRightInd/>
        <w:textAlignment w:val="auto"/>
        <w:rPr>
          <w:rFonts w:eastAsia="Batang"/>
          <w:szCs w:val="24"/>
        </w:rPr>
      </w:pPr>
      <w:r w:rsidRPr="009720DA">
        <w:rPr>
          <w:rFonts w:eastAsia="Calibri" w:cs="Calibri"/>
          <w:color w:val="000000" w:themeColor="text1"/>
          <w:szCs w:val="24"/>
        </w:rPr>
        <w:t>In 2018 activities were implemented aimed at improving</w:t>
      </w:r>
      <w:r w:rsidR="00BA18CD">
        <w:rPr>
          <w:rFonts w:eastAsia="Calibri" w:cs="Calibri"/>
          <w:color w:val="000000" w:themeColor="text1"/>
          <w:szCs w:val="24"/>
        </w:rPr>
        <w:t xml:space="preserve"> </w:t>
      </w:r>
      <w:r w:rsidRPr="009720DA">
        <w:rPr>
          <w:rFonts w:eastAsia="Calibri" w:cs="Calibri"/>
          <w:color w:val="000000" w:themeColor="text1"/>
          <w:szCs w:val="24"/>
        </w:rPr>
        <w:t>capacities in LDCs, LLDCs, and SIDS.These included both face-to-face and online training, sharing of guidelines and good practices on ICT access and use as part of</w:t>
      </w:r>
      <w:r w:rsidR="00BA18CD">
        <w:rPr>
          <w:rFonts w:eastAsia="Calibri" w:cs="Calibri"/>
          <w:color w:val="000000" w:themeColor="text1"/>
          <w:szCs w:val="24"/>
        </w:rPr>
        <w:t xml:space="preserve"> </w:t>
      </w:r>
      <w:r w:rsidRPr="009720DA">
        <w:rPr>
          <w:rFonts w:eastAsia="Calibri" w:cs="Calibri"/>
          <w:color w:val="000000" w:themeColor="text1"/>
          <w:szCs w:val="24"/>
        </w:rPr>
        <w:t xml:space="preserve">policy guidance. In terms of information sharing, </w:t>
      </w:r>
      <w:r w:rsidRPr="009720DA">
        <w:rPr>
          <w:color w:val="000000" w:themeColor="text1"/>
          <w:szCs w:val="24"/>
        </w:rPr>
        <w:t xml:space="preserve">a special </w:t>
      </w:r>
      <w:r w:rsidRPr="009720DA">
        <w:rPr>
          <w:rFonts w:eastAsia="Batang"/>
          <w:color w:val="000000" w:themeColor="text1"/>
          <w:szCs w:val="24"/>
        </w:rPr>
        <w:t xml:space="preserve">report on </w:t>
      </w:r>
      <w:hyperlink r:id="rId13" w:history="1">
        <w:r w:rsidRPr="009720DA">
          <w:rPr>
            <w:rStyle w:val="Hyperlink"/>
            <w:rFonts w:eastAsia="Batang"/>
            <w:i/>
            <w:iCs/>
            <w:szCs w:val="24"/>
          </w:rPr>
          <w:t>ICTs, LDCs, and the SDGs – Achieving Universal and Affordable Internet in the LDCs</w:t>
        </w:r>
      </w:hyperlink>
      <w:r w:rsidRPr="009720DA">
        <w:rPr>
          <w:rFonts w:eastAsia="Batang"/>
          <w:i/>
          <w:iCs/>
          <w:color w:val="000000" w:themeColor="text1"/>
          <w:szCs w:val="24"/>
        </w:rPr>
        <w:t xml:space="preserve"> </w:t>
      </w:r>
      <w:r w:rsidRPr="009720DA">
        <w:rPr>
          <w:rFonts w:eastAsia="Batang"/>
          <w:color w:val="000000" w:themeColor="text1"/>
          <w:szCs w:val="24"/>
        </w:rPr>
        <w:t xml:space="preserve">was published. The report, which was produced jointly with the UN Office of the High Representative for Least Developed Countries, Landlocked Developing Countries and Small Island Developing States (UN-OHRLLs), focuses on ICT infrastructure and affordability developments. It contributes to the implementation of Sustainable Development Goal 9 (SDG 9, Target 9c). The report highlights that while access to the Internet has increased substantially, </w:t>
      </w:r>
      <w:r w:rsidRPr="009720DA">
        <w:rPr>
          <w:rFonts w:cs="Segoe UI"/>
          <w:color w:val="000000" w:themeColor="text1"/>
          <w:szCs w:val="24"/>
        </w:rPr>
        <w:t>800 million people in the LDCs remain offline and in 2020, less than 1 out of 4 people in the LDCs will be using the Internet. Many people lack the necessary skills and governments need to make the link between strategic ICT sector plans and educational policies</w:t>
      </w:r>
      <w:r w:rsidRPr="009720DA">
        <w:rPr>
          <w:rFonts w:eastAsia="Batang"/>
          <w:color w:val="000000" w:themeColor="text1"/>
          <w:szCs w:val="24"/>
        </w:rPr>
        <w:t>. The report also</w:t>
      </w:r>
      <w:r w:rsidR="007E0E81">
        <w:rPr>
          <w:rFonts w:eastAsia="Batang"/>
          <w:szCs w:val="24"/>
        </w:rPr>
        <w:t xml:space="preserve"> offers a new, </w:t>
      </w:r>
      <w:r w:rsidRPr="009720DA">
        <w:rPr>
          <w:rFonts w:eastAsia="Batang"/>
          <w:szCs w:val="24"/>
        </w:rPr>
        <w:t>three-dimensional framework which classifies LDCs into three categories based on their overall performance across the areas of access, affordability and skills. This framework is meant to</w:t>
      </w:r>
      <w:r w:rsidR="00BA18CD">
        <w:rPr>
          <w:rFonts w:eastAsia="Batang"/>
          <w:szCs w:val="24"/>
        </w:rPr>
        <w:t xml:space="preserve"> </w:t>
      </w:r>
      <w:r w:rsidRPr="009720DA">
        <w:rPr>
          <w:rFonts w:eastAsia="Batang"/>
          <w:szCs w:val="24"/>
        </w:rPr>
        <w:t xml:space="preserve">help countries identify areas that mostly require policy intervention and priority allocation of scarce financial and human resources. </w:t>
      </w:r>
    </w:p>
    <w:p w14:paraId="0C5FC98D" w14:textId="77777777" w:rsidR="009720DA" w:rsidRPr="009720DA" w:rsidRDefault="009720DA" w:rsidP="00BA18CD">
      <w:pPr>
        <w:overflowPunct/>
        <w:autoSpaceDE/>
        <w:autoSpaceDN/>
        <w:adjustRightInd/>
        <w:textAlignment w:val="auto"/>
        <w:rPr>
          <w:rFonts w:eastAsia="Batang"/>
          <w:color w:val="000000" w:themeColor="text1"/>
          <w:szCs w:val="24"/>
        </w:rPr>
      </w:pPr>
      <w:r w:rsidRPr="009720DA">
        <w:rPr>
          <w:rFonts w:eastAsia="Batang"/>
          <w:szCs w:val="24"/>
        </w:rPr>
        <w:t xml:space="preserve">BDT also produced ICT </w:t>
      </w:r>
      <w:hyperlink r:id="rId14" w:history="1">
        <w:r w:rsidRPr="002E6174">
          <w:rPr>
            <w:rStyle w:val="Hyperlink"/>
            <w:rFonts w:eastAsia="Batang"/>
            <w:szCs w:val="24"/>
          </w:rPr>
          <w:t>country case studies</w:t>
        </w:r>
      </w:hyperlink>
      <w:r w:rsidRPr="009720DA">
        <w:rPr>
          <w:rFonts w:eastAsia="Batang"/>
          <w:szCs w:val="24"/>
        </w:rPr>
        <w:t xml:space="preserve"> analysing connectivity challenges and opportunities in LLDCs, the most recent being on Bolivia and Paraguay. </w:t>
      </w:r>
      <w:r w:rsidRPr="009720DA">
        <w:rPr>
          <w:szCs w:val="24"/>
        </w:rPr>
        <w:t xml:space="preserve">In addition, direct assistance was provided in many other ICT related areas such as spectrum regulation, cyber security, national ICT policies, tariff regulation and infrastructure development. </w:t>
      </w:r>
    </w:p>
    <w:p w14:paraId="51C3DE0B" w14:textId="77777777" w:rsidR="009720DA" w:rsidRPr="009720DA" w:rsidRDefault="009720DA" w:rsidP="00BA18CD">
      <w:pPr>
        <w:pStyle w:val="ListParagraph"/>
        <w:numPr>
          <w:ilvl w:val="0"/>
          <w:numId w:val="45"/>
        </w:numPr>
        <w:rPr>
          <w:b/>
          <w:szCs w:val="24"/>
          <w:lang w:val="en-US"/>
        </w:rPr>
      </w:pPr>
      <w:r w:rsidRPr="009720DA">
        <w:rPr>
          <w:b/>
          <w:szCs w:val="24"/>
          <w:lang w:val="en-US"/>
        </w:rPr>
        <w:t>Emergency telecommunications</w:t>
      </w:r>
    </w:p>
    <w:p w14:paraId="622A3232" w14:textId="77777777" w:rsidR="009720DA" w:rsidRPr="009720DA" w:rsidRDefault="009720DA">
      <w:pPr>
        <w:overflowPunct/>
        <w:autoSpaceDE/>
        <w:autoSpaceDN/>
        <w:adjustRightInd/>
        <w:textAlignment w:val="auto"/>
        <w:rPr>
          <w:szCs w:val="24"/>
        </w:rPr>
      </w:pPr>
      <w:r w:rsidRPr="009720DA">
        <w:rPr>
          <w:szCs w:val="24"/>
        </w:rPr>
        <w:t xml:space="preserve">BDT continued to provide support to ITU Member States at all phases of disaster management </w:t>
      </w:r>
      <w:r w:rsidR="00635EE8">
        <w:rPr>
          <w:szCs w:val="24"/>
        </w:rPr>
        <w:t>a</w:t>
      </w:r>
      <w:r w:rsidR="00635EE8" w:rsidRPr="009720DA">
        <w:rPr>
          <w:szCs w:val="24"/>
        </w:rPr>
        <w:t xml:space="preserve">imed </w:t>
      </w:r>
      <w:r w:rsidRPr="009720DA">
        <w:rPr>
          <w:szCs w:val="24"/>
        </w:rPr>
        <w:t xml:space="preserve">at strengthening the ability of countries to coordinate disaster relief efforts and cope with the immediate effects of disasters. </w:t>
      </w:r>
      <w:r w:rsidRPr="009720DA">
        <w:rPr>
          <w:szCs w:val="24"/>
        </w:rPr>
        <w:lastRenderedPageBreak/>
        <w:t>In terms of</w:t>
      </w:r>
      <w:r w:rsidR="00BA18CD">
        <w:rPr>
          <w:szCs w:val="24"/>
        </w:rPr>
        <w:t xml:space="preserve"> </w:t>
      </w:r>
      <w:r w:rsidRPr="009720DA">
        <w:rPr>
          <w:szCs w:val="24"/>
        </w:rPr>
        <w:t>emergency telecommunications equipment deployment to countries, two countries (</w:t>
      </w:r>
      <w:hyperlink r:id="rId15" w:history="1">
        <w:r w:rsidRPr="002E6174">
          <w:rPr>
            <w:rStyle w:val="Hyperlink"/>
            <w:szCs w:val="24"/>
          </w:rPr>
          <w:t>Tonga and Papua New Guinea</w:t>
        </w:r>
      </w:hyperlink>
      <w:r w:rsidRPr="009720DA">
        <w:rPr>
          <w:szCs w:val="24"/>
        </w:rPr>
        <w:t xml:space="preserve">) benefited from ITU’s intervention. </w:t>
      </w:r>
    </w:p>
    <w:p w14:paraId="07D49F14" w14:textId="1AB849BA" w:rsidR="009720DA" w:rsidRPr="009720DA" w:rsidRDefault="009720DA">
      <w:pPr>
        <w:overflowPunct/>
        <w:autoSpaceDE/>
        <w:autoSpaceDN/>
        <w:adjustRightInd/>
        <w:textAlignment w:val="auto"/>
        <w:rPr>
          <w:szCs w:val="24"/>
        </w:rPr>
      </w:pPr>
      <w:r w:rsidRPr="009720DA">
        <w:rPr>
          <w:szCs w:val="24"/>
        </w:rPr>
        <w:t>In terms of disaster risk reduction, BDT implemented an</w:t>
      </w:r>
      <w:r w:rsidR="00BA18CD">
        <w:rPr>
          <w:szCs w:val="24"/>
        </w:rPr>
        <w:t xml:space="preserve"> </w:t>
      </w:r>
      <w:r w:rsidRPr="009720DA">
        <w:rPr>
          <w:szCs w:val="24"/>
        </w:rPr>
        <w:t xml:space="preserve">early warning system (EWS) at two sites in Zambia. A needs assessment on emergency telecommunication systems in the Caribbean region was carried out. </w:t>
      </w:r>
      <w:r w:rsidR="004D3116">
        <w:rPr>
          <w:szCs w:val="24"/>
        </w:rPr>
        <w:t xml:space="preserve">On the </w:t>
      </w:r>
      <w:r w:rsidRPr="009720DA">
        <w:rPr>
          <w:szCs w:val="24"/>
        </w:rPr>
        <w:t>capacity building</w:t>
      </w:r>
      <w:r w:rsidR="004D3116">
        <w:rPr>
          <w:szCs w:val="24"/>
        </w:rPr>
        <w:t xml:space="preserve"> side</w:t>
      </w:r>
      <w:r w:rsidRPr="009720DA">
        <w:rPr>
          <w:szCs w:val="24"/>
        </w:rPr>
        <w:t>, BDT organized a number of multi-stakeholder workshops and training across the globe and also participated in a number of regional and global events on emergency telecommunications. These workshops proved effective in providing</w:t>
      </w:r>
      <w:r w:rsidR="00BA18CD">
        <w:rPr>
          <w:szCs w:val="24"/>
        </w:rPr>
        <w:t xml:space="preserve"> </w:t>
      </w:r>
      <w:r w:rsidRPr="009720DA">
        <w:rPr>
          <w:szCs w:val="24"/>
        </w:rPr>
        <w:t xml:space="preserve">a platform for exchanging experiences and good practices in the use of modern technologies for disaster monitoring, early warning, and response. </w:t>
      </w:r>
    </w:p>
    <w:p w14:paraId="02E77FDC" w14:textId="01B52DB0" w:rsidR="009720DA" w:rsidRPr="007814B3" w:rsidRDefault="009720DA">
      <w:pPr>
        <w:overflowPunct/>
        <w:autoSpaceDE/>
        <w:autoSpaceDN/>
        <w:adjustRightInd/>
        <w:textAlignment w:val="auto"/>
        <w:rPr>
          <w:szCs w:val="24"/>
        </w:rPr>
      </w:pPr>
      <w:r w:rsidRPr="009720DA">
        <w:rPr>
          <w:szCs w:val="24"/>
        </w:rPr>
        <w:t xml:space="preserve">BDT </w:t>
      </w:r>
      <w:r w:rsidR="004D3116">
        <w:rPr>
          <w:szCs w:val="24"/>
        </w:rPr>
        <w:t xml:space="preserve">has </w:t>
      </w:r>
      <w:r w:rsidRPr="009720DA">
        <w:rPr>
          <w:szCs w:val="24"/>
        </w:rPr>
        <w:t xml:space="preserve">worked closely with </w:t>
      </w:r>
      <w:r w:rsidR="004D3116">
        <w:rPr>
          <w:szCs w:val="24"/>
        </w:rPr>
        <w:t xml:space="preserve">other international organizations, including </w:t>
      </w:r>
      <w:r w:rsidRPr="009720DA">
        <w:rPr>
          <w:szCs w:val="24"/>
        </w:rPr>
        <w:t>the World Meteorological Organization (WMO) to increase awareness and help countries in the implementation of the common altering protocol (CAP), a platform to deliver altering message. It</w:t>
      </w:r>
      <w:r w:rsidR="00635EE8">
        <w:rPr>
          <w:szCs w:val="24"/>
        </w:rPr>
        <w:t> </w:t>
      </w:r>
      <w:r w:rsidRPr="009720DA">
        <w:rPr>
          <w:szCs w:val="24"/>
        </w:rPr>
        <w:t xml:space="preserve">also worked with regional and international partners, including the Emergency Telecommunication Cluster (ETC), United Nations International Strategy for Disaster Reduction (UNISDR), United Nations High Commissioner for Refugees (UNHCR) and the World </w:t>
      </w:r>
      <w:r w:rsidRPr="007814B3">
        <w:rPr>
          <w:szCs w:val="24"/>
        </w:rPr>
        <w:t xml:space="preserve">Health Organization (WHO). </w:t>
      </w:r>
    </w:p>
    <w:p w14:paraId="0620DA3D" w14:textId="7D322E96" w:rsidR="009720DA" w:rsidRPr="00A66E90" w:rsidRDefault="009720DA" w:rsidP="00A66E90">
      <w:pPr>
        <w:overflowPunct/>
        <w:autoSpaceDE/>
        <w:autoSpaceDN/>
        <w:adjustRightInd/>
        <w:textAlignment w:val="auto"/>
        <w:rPr>
          <w:szCs w:val="24"/>
        </w:rPr>
      </w:pPr>
      <w:r w:rsidRPr="00A66E90">
        <w:rPr>
          <w:szCs w:val="24"/>
        </w:rPr>
        <w:t xml:space="preserve">Finally, BDT focused on the preparations for the 3rd Global Forum on Emergency Telecommunications (GET-19): Saving Lives, which </w:t>
      </w:r>
      <w:r w:rsidR="004B64BD" w:rsidRPr="007814B3">
        <w:rPr>
          <w:szCs w:val="24"/>
        </w:rPr>
        <w:t xml:space="preserve">will be </w:t>
      </w:r>
      <w:r w:rsidRPr="00A66E90">
        <w:rPr>
          <w:szCs w:val="24"/>
        </w:rPr>
        <w:t>held from 6 to 8 March 2019</w:t>
      </w:r>
      <w:r w:rsidR="00635EE8" w:rsidRPr="00A66E90">
        <w:rPr>
          <w:szCs w:val="24"/>
        </w:rPr>
        <w:t>,</w:t>
      </w:r>
      <w:r w:rsidRPr="00A66E90">
        <w:rPr>
          <w:szCs w:val="24"/>
        </w:rPr>
        <w:t xml:space="preserve"> in Balaclava, Mauritius. </w:t>
      </w:r>
      <w:r w:rsidR="004B64BD" w:rsidRPr="007814B3">
        <w:rPr>
          <w:szCs w:val="24"/>
        </w:rPr>
        <w:t xml:space="preserve">Have been invited to </w:t>
      </w:r>
      <w:r w:rsidRPr="00A66E90">
        <w:rPr>
          <w:szCs w:val="24"/>
        </w:rPr>
        <w:t xml:space="preserve">attend </w:t>
      </w:r>
      <w:r w:rsidR="004B64BD" w:rsidRPr="007814B3">
        <w:rPr>
          <w:szCs w:val="24"/>
        </w:rPr>
        <w:t>the event</w:t>
      </w:r>
      <w:r w:rsidR="004B64BD" w:rsidRPr="00A66E90">
        <w:rPr>
          <w:szCs w:val="24"/>
        </w:rPr>
        <w:t xml:space="preserve"> </w:t>
      </w:r>
      <w:r w:rsidRPr="00A66E90">
        <w:rPr>
          <w:szCs w:val="24"/>
        </w:rPr>
        <w:t xml:space="preserve">multi-stakeholders from Governments, private sector, international organizations, non-governmental organizations, and non-governmental organizations. </w:t>
      </w:r>
    </w:p>
    <w:p w14:paraId="35611C4C" w14:textId="6A90A363" w:rsidR="009720DA" w:rsidRPr="00A66E90" w:rsidRDefault="009720DA" w:rsidP="000257C8">
      <w:pPr>
        <w:pStyle w:val="ListParagraph"/>
        <w:numPr>
          <w:ilvl w:val="0"/>
          <w:numId w:val="45"/>
        </w:numPr>
        <w:rPr>
          <w:b/>
          <w:szCs w:val="24"/>
          <w:lang w:val="en-US"/>
        </w:rPr>
      </w:pPr>
      <w:r w:rsidRPr="00A66E90">
        <w:rPr>
          <w:b/>
          <w:szCs w:val="24"/>
          <w:lang w:val="en-US"/>
        </w:rPr>
        <w:t>Climate change and e-waste</w:t>
      </w:r>
    </w:p>
    <w:p w14:paraId="69875AAD" w14:textId="77777777" w:rsidR="009720DA" w:rsidRPr="007814B3" w:rsidRDefault="009720DA" w:rsidP="00BA18CD">
      <w:pPr>
        <w:overflowPunct/>
        <w:autoSpaceDE/>
        <w:autoSpaceDN/>
        <w:adjustRightInd/>
        <w:textAlignment w:val="auto"/>
        <w:rPr>
          <w:szCs w:val="24"/>
        </w:rPr>
      </w:pPr>
      <w:r w:rsidRPr="007814B3">
        <w:rPr>
          <w:szCs w:val="24"/>
        </w:rPr>
        <w:t xml:space="preserve">BDT provided capacity building to countries in climate change and e-waste statistics through the organization of workshops and training events. </w:t>
      </w:r>
    </w:p>
    <w:p w14:paraId="08AE8FF5" w14:textId="77777777" w:rsidR="009720DA" w:rsidRPr="000257C8" w:rsidRDefault="009720DA">
      <w:pPr>
        <w:overflowPunct/>
        <w:autoSpaceDE/>
        <w:autoSpaceDN/>
        <w:adjustRightInd/>
        <w:textAlignment w:val="auto"/>
        <w:rPr>
          <w:szCs w:val="24"/>
        </w:rPr>
      </w:pPr>
      <w:r w:rsidRPr="007814B3">
        <w:rPr>
          <w:szCs w:val="24"/>
        </w:rPr>
        <w:t>ITU continued to strengthen its work with the Global E-waste Statistics Partnership, which includes the United</w:t>
      </w:r>
      <w:r w:rsidRPr="009720DA">
        <w:rPr>
          <w:szCs w:val="24"/>
        </w:rPr>
        <w:t xml:space="preserve"> National University (UNU) and the International Solid Waste Association (ISWA).</w:t>
      </w:r>
      <w:r w:rsidR="00BA18CD">
        <w:rPr>
          <w:szCs w:val="24"/>
        </w:rPr>
        <w:t xml:space="preserve"> </w:t>
      </w:r>
      <w:r w:rsidRPr="009720DA">
        <w:rPr>
          <w:szCs w:val="24"/>
        </w:rPr>
        <w:t xml:space="preserve">This Partnership published the Global E-waste Monitor, which quantifies e-waste challenges and </w:t>
      </w:r>
      <w:r w:rsidRPr="000257C8">
        <w:rPr>
          <w:szCs w:val="24"/>
        </w:rPr>
        <w:t xml:space="preserve">produces national and regional figures on e-waste. The report indicates that </w:t>
      </w:r>
      <w:r w:rsidRPr="000257C8">
        <w:rPr>
          <w:rFonts w:eastAsia="SimSun"/>
          <w:bCs/>
          <w:kern w:val="32"/>
          <w:szCs w:val="24"/>
        </w:rPr>
        <w:t>close to 45 million tonnes of e-waste are being generated every year. Data from the report a</w:t>
      </w:r>
      <w:r w:rsidRPr="000257C8">
        <w:rPr>
          <w:szCs w:val="24"/>
        </w:rPr>
        <w:t xml:space="preserve">lso </w:t>
      </w:r>
      <w:r w:rsidRPr="000257C8">
        <w:rPr>
          <w:szCs w:val="24"/>
        </w:rPr>
        <w:lastRenderedPageBreak/>
        <w:t>show that although an increasing number of countries and people are covered by e-waste legislation, o</w:t>
      </w:r>
      <w:r w:rsidRPr="000257C8">
        <w:rPr>
          <w:rFonts w:eastAsia="SimSun"/>
          <w:bCs/>
          <w:kern w:val="32"/>
          <w:szCs w:val="24"/>
        </w:rPr>
        <w:t>nly 20% of e-waste is formally documented and recycled.</w:t>
      </w:r>
    </w:p>
    <w:p w14:paraId="2BD5516B" w14:textId="77777777" w:rsidR="009720DA" w:rsidRPr="00A66E90" w:rsidRDefault="009720DA" w:rsidP="000257C8">
      <w:pPr>
        <w:overflowPunct/>
        <w:autoSpaceDE/>
        <w:autoSpaceDN/>
        <w:adjustRightInd/>
        <w:textAlignment w:val="auto"/>
        <w:rPr>
          <w:szCs w:val="24"/>
        </w:rPr>
      </w:pPr>
      <w:r w:rsidRPr="000257C8">
        <w:rPr>
          <w:szCs w:val="24"/>
        </w:rPr>
        <w:t xml:space="preserve">BDT also worked within the Environment Management Group (EMG) and was instrumental in the establishment of what is now known as the </w:t>
      </w:r>
      <w:r w:rsidRPr="000257C8">
        <w:rPr>
          <w:i/>
          <w:iCs/>
          <w:szCs w:val="24"/>
        </w:rPr>
        <w:t>E-waste Coalition</w:t>
      </w:r>
      <w:r w:rsidRPr="000257C8">
        <w:rPr>
          <w:szCs w:val="24"/>
        </w:rPr>
        <w:t xml:space="preserve">, which was launched at a high-level dialogue session on “Building the E-waste Coalition” during the WSIS Forum 2018. The launch of the E-Waste Coalition </w:t>
      </w:r>
      <w:r w:rsidRPr="00A66E90">
        <w:rPr>
          <w:szCs w:val="24"/>
        </w:rPr>
        <w:t>brought together seven heads of UN agencies with a role in the area of e-waste. The E-waste Coalition is developing a new vision towards the circular economy</w:t>
      </w:r>
      <w:r w:rsidRPr="00A66E90">
        <w:rPr>
          <w:rStyle w:val="FootnoteReference"/>
          <w:sz w:val="24"/>
          <w:szCs w:val="24"/>
        </w:rPr>
        <w:footnoteReference w:id="1"/>
      </w:r>
      <w:r w:rsidRPr="00A66E90">
        <w:rPr>
          <w:szCs w:val="24"/>
        </w:rPr>
        <w:t xml:space="preserve">, with a focus on e-waste. This initiative increases awareness on the need to address the e-waste challenge and provides policy guidance to governments, the public and private sector. It is supported by the World Business Council for Sustainable Development (WBCSD), and the World Economic Forum (WEF). </w:t>
      </w:r>
    </w:p>
    <w:p w14:paraId="11DB290E" w14:textId="4F4E5DFD" w:rsidR="0014318B" w:rsidRPr="000257C8" w:rsidRDefault="0014318B" w:rsidP="000257C8">
      <w:pPr>
        <w:pStyle w:val="Heading1"/>
        <w:shd w:val="clear" w:color="auto" w:fill="FFFFFF"/>
        <w:tabs>
          <w:tab w:val="clear" w:pos="1871"/>
          <w:tab w:val="clear" w:pos="2268"/>
        </w:tabs>
        <w:spacing w:before="120"/>
        <w:ind w:left="0" w:firstLine="0"/>
        <w:rPr>
          <w:sz w:val="24"/>
          <w:szCs w:val="24"/>
          <w:lang w:val="en-US" w:eastAsia="zh-CN"/>
        </w:rPr>
      </w:pPr>
      <w:r w:rsidRPr="00A66E90">
        <w:rPr>
          <w:b w:val="0"/>
          <w:sz w:val="24"/>
          <w:szCs w:val="24"/>
        </w:rPr>
        <w:t xml:space="preserve">During the World Economic Forum’s annual meeting in Davos the E-waste Coalition launch the report </w:t>
      </w:r>
      <w:r w:rsidRPr="00A66E90">
        <w:rPr>
          <w:sz w:val="24"/>
          <w:szCs w:val="24"/>
        </w:rPr>
        <w:t xml:space="preserve"> </w:t>
      </w:r>
      <w:hyperlink r:id="rId16" w:history="1">
        <w:r w:rsidRPr="00A66E90">
          <w:rPr>
            <w:rStyle w:val="Hyperlink"/>
            <w:sz w:val="24"/>
            <w:szCs w:val="24"/>
          </w:rPr>
          <w:t>A New Circular Vision for Electronics - Time for a Global Reboot</w:t>
        </w:r>
      </w:hyperlink>
      <w:r w:rsidRPr="00A66E90">
        <w:rPr>
          <w:b w:val="0"/>
          <w:sz w:val="24"/>
          <w:szCs w:val="24"/>
        </w:rPr>
        <w:t xml:space="preserve">. In this report, ITU, together with six other UN entities have come together, </w:t>
      </w:r>
      <w:r w:rsidRPr="000257C8">
        <w:rPr>
          <w:rFonts w:cs="Arial"/>
          <w:sz w:val="24"/>
          <w:szCs w:val="24"/>
          <w:bdr w:val="none" w:sz="0" w:space="0" w:color="auto" w:frame="1"/>
          <w:shd w:val="clear" w:color="auto" w:fill="FFFFFF"/>
          <w:lang w:val="en-US" w:eastAsia="zh-CN"/>
        </w:rPr>
        <w:t>supported by the World Economic Forum, and the World Business Council for Sustainable Development (WBCSD) to call for an overhaul of the current electronics system, with the aim of supporting international efforts to address e-waste challenges. </w:t>
      </w:r>
    </w:p>
    <w:p w14:paraId="1FC2B65C" w14:textId="77777777" w:rsidR="0014318B" w:rsidRPr="00A66E90" w:rsidRDefault="0014318B" w:rsidP="00A66E90">
      <w:pPr>
        <w:shd w:val="clear" w:color="auto" w:fill="FFFFFF"/>
        <w:tabs>
          <w:tab w:val="clear" w:pos="1134"/>
          <w:tab w:val="clear" w:pos="1871"/>
          <w:tab w:val="clear" w:pos="2268"/>
        </w:tabs>
        <w:overflowPunct/>
        <w:autoSpaceDE/>
        <w:autoSpaceDN/>
        <w:adjustRightInd/>
        <w:rPr>
          <w:rFonts w:cs="Arial"/>
          <w:szCs w:val="24"/>
          <w:lang w:val="en-US" w:eastAsia="zh-CN"/>
        </w:rPr>
      </w:pPr>
      <w:r w:rsidRPr="000257C8">
        <w:rPr>
          <w:rFonts w:cs="Arial"/>
          <w:szCs w:val="24"/>
          <w:lang w:val="en-US" w:eastAsia="zh-CN"/>
        </w:rPr>
        <w:t>The report calls for a systematic collaboration with major brands, small and medium-sized enterprises (SMEs), academia, trade unions, civil society and associations in a deliberative process to reorient the system and reduce the waste of resources each year with a value greater than the GDP of most countries.</w:t>
      </w:r>
    </w:p>
    <w:p w14:paraId="0BDAAAB6" w14:textId="7152C869" w:rsidR="009720DA" w:rsidRPr="009720DA" w:rsidRDefault="009720DA" w:rsidP="000257C8">
      <w:pPr>
        <w:overflowPunct/>
        <w:autoSpaceDE/>
        <w:autoSpaceDN/>
        <w:adjustRightInd/>
        <w:textAlignment w:val="auto"/>
        <w:rPr>
          <w:szCs w:val="24"/>
        </w:rPr>
      </w:pPr>
      <w:r w:rsidRPr="00A66E90">
        <w:rPr>
          <w:szCs w:val="24"/>
        </w:rPr>
        <w:t xml:space="preserve">BDT also published the </w:t>
      </w:r>
      <w:hyperlink r:id="rId17" w:history="1">
        <w:r w:rsidRPr="00A66E90">
          <w:rPr>
            <w:rStyle w:val="Hyperlink"/>
            <w:szCs w:val="24"/>
          </w:rPr>
          <w:t>Handbook for the development of a policy framework on ICT/e-waste</w:t>
        </w:r>
      </w:hyperlink>
      <w:r w:rsidRPr="00A66E90">
        <w:rPr>
          <w:szCs w:val="24"/>
        </w:rPr>
        <w:t xml:space="preserve"> to help build capacity and guide countries in developing e-waste policies. This handbook provides guidance on the key aspects to be</w:t>
      </w:r>
      <w:r w:rsidRPr="000257C8">
        <w:rPr>
          <w:szCs w:val="24"/>
        </w:rPr>
        <w:t xml:space="preserve"> taken into account when designing, implementing and improving</w:t>
      </w:r>
      <w:r w:rsidRPr="009720DA">
        <w:rPr>
          <w:szCs w:val="24"/>
        </w:rPr>
        <w:t xml:space="preserve"> a legal, regulatory and policy framework on ICT/e-waste. The proposed framework facilitates the management of ICT/e-waste based on the concepts of sustainable development, green ICT and the circular economy. An E-waste Nat</w:t>
      </w:r>
      <w:bookmarkStart w:id="5" w:name="_GoBack"/>
      <w:bookmarkEnd w:id="5"/>
      <w:r w:rsidRPr="009720DA">
        <w:rPr>
          <w:szCs w:val="24"/>
        </w:rPr>
        <w:t xml:space="preserve">ional Policy and Regulatory Framework for Malawi was developed based on this Handbook. </w:t>
      </w:r>
    </w:p>
    <w:p w14:paraId="5ED3BFF0" w14:textId="77777777" w:rsidR="009720DA" w:rsidRPr="009720DA" w:rsidRDefault="009720DA" w:rsidP="00635EE8">
      <w:pPr>
        <w:keepNext/>
        <w:overflowPunct/>
        <w:autoSpaceDE/>
        <w:autoSpaceDN/>
        <w:adjustRightInd/>
        <w:textAlignment w:val="auto"/>
        <w:rPr>
          <w:szCs w:val="24"/>
        </w:rPr>
      </w:pPr>
      <w:r w:rsidRPr="009720DA">
        <w:rPr>
          <w:szCs w:val="24"/>
        </w:rPr>
        <w:lastRenderedPageBreak/>
        <w:t xml:space="preserve">BDT commissioned the e-waste Pilot Plant Project that was jointly developed and implemented with the University of La Plata in Argentina. The Plant provides concrete responses to the E-Waste problems in cities in line with the Sustainable Development Goals (SDGs). The project included the development of a report on </w:t>
      </w:r>
      <w:hyperlink r:id="rId18" w:history="1">
        <w:r w:rsidRPr="009720DA">
          <w:rPr>
            <w:rStyle w:val="Hyperlink"/>
            <w:szCs w:val="24"/>
          </w:rPr>
          <w:t>Successful Electronic Waste Management Initiatives</w:t>
        </w:r>
      </w:hyperlink>
      <w:r w:rsidRPr="009720DA">
        <w:rPr>
          <w:szCs w:val="24"/>
        </w:rPr>
        <w:t>, which provides information of different e-waste management initiatives in 6 different countries around the world.</w:t>
      </w:r>
    </w:p>
    <w:p w14:paraId="7C774063" w14:textId="77777777" w:rsidR="00D83BF5" w:rsidRPr="00B62876" w:rsidRDefault="00FE0BFA" w:rsidP="005F334F">
      <w:pPr>
        <w:tabs>
          <w:tab w:val="clear" w:pos="1134"/>
          <w:tab w:val="clear" w:pos="1871"/>
          <w:tab w:val="clear" w:pos="2268"/>
        </w:tabs>
        <w:jc w:val="center"/>
        <w:rPr>
          <w:szCs w:val="24"/>
        </w:rPr>
      </w:pPr>
      <w:r w:rsidRPr="00B62876">
        <w:t>________________</w:t>
      </w:r>
    </w:p>
    <w:sectPr w:rsidR="00D83BF5" w:rsidRPr="00B62876" w:rsidSect="009B7D33">
      <w:headerReference w:type="default" r:id="rId19"/>
      <w:footerReference w:type="even" r:id="rId20"/>
      <w:headerReference w:type="first" r:id="rId21"/>
      <w:footerReference w:type="first" r:id="rId22"/>
      <w:pgSz w:w="11907" w:h="16840" w:code="9"/>
      <w:pgMar w:top="1418" w:right="1134" w:bottom="1418" w:left="1134" w:header="720" w:footer="720" w:gutter="0"/>
      <w:paperSrc w:first="15" w:other="15"/>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6FF23" w16cid:durableId="1FF4AFAF"/>
  <w16cid:commentId w16cid:paraId="4E568F7F" w16cid:durableId="1FF4AFC9"/>
  <w16cid:commentId w16cid:paraId="69CBD44D" w16cid:durableId="1FF4B0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E7A27" w14:textId="77777777" w:rsidR="009E7721" w:rsidRDefault="009E7721">
      <w:r>
        <w:separator/>
      </w:r>
    </w:p>
  </w:endnote>
  <w:endnote w:type="continuationSeparator" w:id="0">
    <w:p w14:paraId="055FD8FB" w14:textId="77777777" w:rsidR="009E7721" w:rsidRDefault="009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2D50" w14:textId="77777777" w:rsidR="00F104EF" w:rsidRDefault="00F104EF">
    <w:pPr>
      <w:framePr w:wrap="around" w:vAnchor="text" w:hAnchor="margin" w:xAlign="right" w:y="1"/>
    </w:pPr>
    <w:r>
      <w:fldChar w:fldCharType="begin"/>
    </w:r>
    <w:r>
      <w:instrText xml:space="preserve">PAGE  </w:instrText>
    </w:r>
    <w:r>
      <w:fldChar w:fldCharType="end"/>
    </w:r>
  </w:p>
  <w:p w14:paraId="6315512B" w14:textId="22063643"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900A23">
      <w:rPr>
        <w:noProof/>
      </w:rPr>
      <w:t>25.01.19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3C5007" w:rsidRPr="005241FB" w14:paraId="213A0E85" w14:textId="77777777" w:rsidTr="003C5007">
      <w:tc>
        <w:tcPr>
          <w:tcW w:w="1418" w:type="dxa"/>
          <w:tcBorders>
            <w:top w:val="single" w:sz="4" w:space="0" w:color="000000"/>
          </w:tcBorders>
          <w:shd w:val="clear" w:color="auto" w:fill="auto"/>
        </w:tcPr>
        <w:p w14:paraId="25883354" w14:textId="77777777" w:rsidR="003C5007" w:rsidRPr="005241FB" w:rsidRDefault="003C5007" w:rsidP="003C5007">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14:paraId="7525D3B0" w14:textId="77777777" w:rsidR="003C5007" w:rsidRPr="005241FB" w:rsidRDefault="003C5007" w:rsidP="003C5007">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14:paraId="4736ED4A" w14:textId="77777777" w:rsidR="003C5007" w:rsidRPr="008673C5" w:rsidRDefault="003C5007" w:rsidP="003C5007">
          <w:pPr>
            <w:pStyle w:val="FirstFooter"/>
            <w:rPr>
              <w:sz w:val="18"/>
              <w:szCs w:val="18"/>
              <w:lang w:val="en-US"/>
            </w:rPr>
          </w:pPr>
          <w:r w:rsidRPr="006F6E5C">
            <w:rPr>
              <w:sz w:val="18"/>
              <w:szCs w:val="18"/>
              <w:lang w:val="en-US"/>
            </w:rPr>
            <w:t>Mr Cosmas Zavazava, Chief of Projects and Knowledge Management Department (PKM), Telecommunication Development Bureau</w:t>
          </w:r>
        </w:p>
      </w:tc>
    </w:tr>
    <w:tr w:rsidR="003C5007" w:rsidRPr="005241FB" w14:paraId="2E75855A" w14:textId="77777777" w:rsidTr="003C5007">
      <w:tc>
        <w:tcPr>
          <w:tcW w:w="1418" w:type="dxa"/>
          <w:shd w:val="clear" w:color="auto" w:fill="auto"/>
        </w:tcPr>
        <w:p w14:paraId="4B4BC79A" w14:textId="77777777" w:rsidR="003C5007" w:rsidRPr="005241FB" w:rsidRDefault="003C5007" w:rsidP="003C5007">
          <w:pPr>
            <w:pStyle w:val="FirstFooter"/>
            <w:tabs>
              <w:tab w:val="left" w:pos="1559"/>
              <w:tab w:val="left" w:pos="3828"/>
            </w:tabs>
            <w:rPr>
              <w:sz w:val="20"/>
              <w:lang w:val="en-US"/>
            </w:rPr>
          </w:pPr>
        </w:p>
      </w:tc>
      <w:tc>
        <w:tcPr>
          <w:tcW w:w="2518" w:type="dxa"/>
          <w:shd w:val="clear" w:color="auto" w:fill="auto"/>
        </w:tcPr>
        <w:p w14:paraId="35353D22" w14:textId="77777777" w:rsidR="003C5007" w:rsidRPr="005241FB" w:rsidRDefault="003C5007" w:rsidP="003C5007">
          <w:pPr>
            <w:pStyle w:val="FirstFooter"/>
            <w:tabs>
              <w:tab w:val="left" w:pos="2302"/>
            </w:tabs>
            <w:ind w:left="2302" w:hanging="2302"/>
            <w:rPr>
              <w:sz w:val="20"/>
              <w:lang w:val="en-US"/>
            </w:rPr>
          </w:pPr>
          <w:r w:rsidRPr="005241FB">
            <w:rPr>
              <w:sz w:val="20"/>
              <w:lang w:val="en-US"/>
            </w:rPr>
            <w:t>Tel:</w:t>
          </w:r>
        </w:p>
      </w:tc>
      <w:tc>
        <w:tcPr>
          <w:tcW w:w="5987" w:type="dxa"/>
        </w:tcPr>
        <w:p w14:paraId="56770130" w14:textId="77777777" w:rsidR="003C5007" w:rsidRPr="004D495C" w:rsidRDefault="003C5007" w:rsidP="003C5007">
          <w:pPr>
            <w:pStyle w:val="FirstFooter"/>
            <w:tabs>
              <w:tab w:val="left" w:pos="2302"/>
            </w:tabs>
            <w:rPr>
              <w:sz w:val="18"/>
              <w:szCs w:val="18"/>
              <w:highlight w:val="yellow"/>
              <w:lang w:val="en-US"/>
            </w:rPr>
          </w:pPr>
          <w:r w:rsidRPr="006F6E5C">
            <w:rPr>
              <w:sz w:val="18"/>
              <w:szCs w:val="18"/>
              <w:lang w:val="en-US"/>
            </w:rPr>
            <w:t>+41 22 7305447</w:t>
          </w:r>
        </w:p>
      </w:tc>
    </w:tr>
    <w:tr w:rsidR="003C5007" w:rsidRPr="005241FB" w14:paraId="2B4C4CB5" w14:textId="77777777" w:rsidTr="003C5007">
      <w:tc>
        <w:tcPr>
          <w:tcW w:w="1418" w:type="dxa"/>
          <w:tcBorders>
            <w:bottom w:val="single" w:sz="4" w:space="0" w:color="auto"/>
          </w:tcBorders>
          <w:shd w:val="clear" w:color="auto" w:fill="auto"/>
        </w:tcPr>
        <w:p w14:paraId="6D898B49" w14:textId="77777777" w:rsidR="003C5007" w:rsidRPr="005241FB" w:rsidRDefault="003C5007" w:rsidP="003C5007">
          <w:pPr>
            <w:pStyle w:val="FirstFooter"/>
            <w:tabs>
              <w:tab w:val="left" w:pos="1559"/>
              <w:tab w:val="left" w:pos="3828"/>
            </w:tabs>
            <w:rPr>
              <w:sz w:val="20"/>
              <w:lang w:val="fr-CH"/>
            </w:rPr>
          </w:pPr>
        </w:p>
      </w:tc>
      <w:tc>
        <w:tcPr>
          <w:tcW w:w="2518" w:type="dxa"/>
          <w:tcBorders>
            <w:bottom w:val="single" w:sz="4" w:space="0" w:color="auto"/>
          </w:tcBorders>
          <w:shd w:val="clear" w:color="auto" w:fill="auto"/>
        </w:tcPr>
        <w:p w14:paraId="50B15532" w14:textId="77777777" w:rsidR="003C5007" w:rsidRPr="005241FB" w:rsidRDefault="003C5007" w:rsidP="003C5007">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14:paraId="3E1E4BBC" w14:textId="77777777" w:rsidR="003C5007" w:rsidRPr="004D495C" w:rsidRDefault="00A66E90" w:rsidP="003C5007">
          <w:pPr>
            <w:pStyle w:val="FirstFooter"/>
            <w:tabs>
              <w:tab w:val="left" w:pos="2302"/>
            </w:tabs>
            <w:rPr>
              <w:sz w:val="18"/>
              <w:szCs w:val="18"/>
              <w:highlight w:val="yellow"/>
              <w:lang w:val="en-US"/>
            </w:rPr>
          </w:pPr>
          <w:hyperlink r:id="rId1" w:history="1">
            <w:r w:rsidR="003C5007" w:rsidRPr="00C77B30">
              <w:rPr>
                <w:rStyle w:val="Hyperlink"/>
                <w:sz w:val="18"/>
                <w:szCs w:val="18"/>
                <w:lang w:val="en-US"/>
              </w:rPr>
              <w:t>cosmas.zavazava@itu.int</w:t>
            </w:r>
          </w:hyperlink>
        </w:p>
      </w:tc>
    </w:tr>
  </w:tbl>
  <w:p w14:paraId="29277454" w14:textId="77777777" w:rsidR="00F104EF" w:rsidRPr="00546225" w:rsidRDefault="00A66E90"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C9873" w14:textId="77777777" w:rsidR="009E7721" w:rsidRDefault="009E7721">
      <w:r>
        <w:rPr>
          <w:b/>
        </w:rPr>
        <w:t>_______________</w:t>
      </w:r>
    </w:p>
  </w:footnote>
  <w:footnote w:type="continuationSeparator" w:id="0">
    <w:p w14:paraId="5FF49A36" w14:textId="77777777" w:rsidR="009E7721" w:rsidRDefault="009E7721">
      <w:r>
        <w:continuationSeparator/>
      </w:r>
    </w:p>
  </w:footnote>
  <w:footnote w:id="1">
    <w:p w14:paraId="44BECD8A" w14:textId="77777777" w:rsidR="009720DA" w:rsidRPr="000E0914" w:rsidRDefault="009720DA" w:rsidP="009720DA">
      <w:pPr>
        <w:pStyle w:val="FootnoteText"/>
        <w:rPr>
          <w:sz w:val="18"/>
          <w:szCs w:val="18"/>
          <w:lang w:val="en-US"/>
        </w:rPr>
      </w:pPr>
      <w:r w:rsidRPr="000E0914">
        <w:rPr>
          <w:rStyle w:val="FootnoteReference"/>
          <w:szCs w:val="18"/>
        </w:rPr>
        <w:footnoteRef/>
      </w:r>
      <w:r w:rsidRPr="000E0914">
        <w:rPr>
          <w:sz w:val="18"/>
          <w:szCs w:val="18"/>
        </w:rPr>
        <w:t xml:space="preserve"> </w:t>
      </w:r>
      <w:r w:rsidRPr="000E0914">
        <w:rPr>
          <w:sz w:val="18"/>
          <w:szCs w:val="18"/>
          <w:lang w:val="en-US"/>
        </w:rPr>
        <w:t>According to the World Economic Forum, a circular economy is an industrial system that is restorative or regenerative by intention and desing. It replaces the end-of-life concept with restoration, shifts towards the use of renewable energy, eliminates the use of toxic chemicals, which impair reuse and return to the biosphere, and aims for the elimination of waste through the superior design of materials, products, systems and business models (</w:t>
      </w:r>
      <w:r w:rsidRPr="000E0914">
        <w:rPr>
          <w:i/>
          <w:iCs/>
          <w:sz w:val="18"/>
          <w:szCs w:val="18"/>
          <w:lang w:val="en-US"/>
        </w:rPr>
        <w:t>More detailed summaries of the concept and principles can be found in the two reports Towards the Circular Economy 1 and 2, 2012 and 2013, Ellen MacArthur Foundation</w:t>
      </w:r>
      <w:r w:rsidRPr="000E0914">
        <w:rPr>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F9AC" w14:textId="77777777" w:rsidR="00F104EF" w:rsidRPr="00795BED" w:rsidRDefault="00795BED" w:rsidP="00D92221">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D92221">
      <w:rPr>
        <w:sz w:val="22"/>
        <w:szCs w:val="22"/>
        <w:lang w:val="es-ES_tradnl"/>
      </w:rPr>
      <w:t>26</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A66E90">
      <w:rPr>
        <w:noProof/>
        <w:sz w:val="22"/>
        <w:szCs w:val="22"/>
        <w:lang w:val="es-ES_tradnl"/>
      </w:rPr>
      <w:t>4</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03B92" w14:textId="77777777"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08317CD2"/>
    <w:multiLevelType w:val="hybridMultilevel"/>
    <w:tmpl w:val="5420E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B0463"/>
    <w:multiLevelType w:val="hybridMultilevel"/>
    <w:tmpl w:val="CAA4A8A0"/>
    <w:lvl w:ilvl="0" w:tplc="11228408">
      <w:start w:val="2"/>
      <w:numFmt w:val="bullet"/>
      <w:lvlText w:val=""/>
      <w:lvlJc w:val="left"/>
      <w:pPr>
        <w:ind w:left="927" w:hanging="360"/>
      </w:pPr>
      <w:rPr>
        <w:rFonts w:ascii="Symbol" w:eastAsia="SimSun" w:hAnsi="Symbol"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E90696B"/>
    <w:multiLevelType w:val="hybridMultilevel"/>
    <w:tmpl w:val="72300D74"/>
    <w:lvl w:ilvl="0" w:tplc="0222243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EA6ACB"/>
    <w:multiLevelType w:val="hybridMultilevel"/>
    <w:tmpl w:val="79AC2AC0"/>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429"/>
    <w:multiLevelType w:val="multilevel"/>
    <w:tmpl w:val="2696BC96"/>
    <w:lvl w:ilvl="0">
      <w:start w:val="1"/>
      <w:numFmt w:val="decimal"/>
      <w:lvlText w:val="%1.0"/>
      <w:lvlJc w:val="left"/>
      <w:pPr>
        <w:ind w:left="1140"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4740" w:hanging="11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E9E4B04"/>
    <w:multiLevelType w:val="hybridMultilevel"/>
    <w:tmpl w:val="FDEE1DE2"/>
    <w:lvl w:ilvl="0" w:tplc="C6D8E2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D029A"/>
    <w:multiLevelType w:val="hybridMultilevel"/>
    <w:tmpl w:val="E6D2BBD4"/>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8" w15:restartNumberingAfterBreak="0">
    <w:nsid w:val="2A67661A"/>
    <w:multiLevelType w:val="hybridMultilevel"/>
    <w:tmpl w:val="3B6E5BEC"/>
    <w:lvl w:ilvl="0" w:tplc="3AA654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4C217F"/>
    <w:multiLevelType w:val="multilevel"/>
    <w:tmpl w:val="6AEC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E5F7D"/>
    <w:multiLevelType w:val="hybridMultilevel"/>
    <w:tmpl w:val="0B365534"/>
    <w:lvl w:ilvl="0" w:tplc="9CDC48FC">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B47967"/>
    <w:multiLevelType w:val="hybridMultilevel"/>
    <w:tmpl w:val="73261528"/>
    <w:lvl w:ilvl="0" w:tplc="9CDC48FC">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D47E5"/>
    <w:multiLevelType w:val="hybridMultilevel"/>
    <w:tmpl w:val="A5F082A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CB4BEF"/>
    <w:multiLevelType w:val="hybridMultilevel"/>
    <w:tmpl w:val="C040F2DC"/>
    <w:lvl w:ilvl="0" w:tplc="503676D2">
      <w:start w:val="1"/>
      <w:numFmt w:val="decimal"/>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858A9"/>
    <w:multiLevelType w:val="hybridMultilevel"/>
    <w:tmpl w:val="08364C04"/>
    <w:lvl w:ilvl="0" w:tplc="04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40972E3E"/>
    <w:multiLevelType w:val="hybridMultilevel"/>
    <w:tmpl w:val="8200D9D6"/>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D65A81"/>
    <w:multiLevelType w:val="hybridMultilevel"/>
    <w:tmpl w:val="7CEA8AEE"/>
    <w:lvl w:ilvl="0" w:tplc="3CD075D8">
      <w:start w:val="1"/>
      <w:numFmt w:val="bullet"/>
      <w:lvlText w:val=" "/>
      <w:lvlJc w:val="left"/>
      <w:pPr>
        <w:tabs>
          <w:tab w:val="num" w:pos="720"/>
        </w:tabs>
        <w:ind w:left="720" w:hanging="360"/>
      </w:pPr>
      <w:rPr>
        <w:rFonts w:ascii="Calibri" w:hAnsi="Calibri" w:hint="default"/>
      </w:rPr>
    </w:lvl>
    <w:lvl w:ilvl="1" w:tplc="5FD4D23E" w:tentative="1">
      <w:start w:val="1"/>
      <w:numFmt w:val="bullet"/>
      <w:lvlText w:val=" "/>
      <w:lvlJc w:val="left"/>
      <w:pPr>
        <w:tabs>
          <w:tab w:val="num" w:pos="1440"/>
        </w:tabs>
        <w:ind w:left="1440" w:hanging="360"/>
      </w:pPr>
      <w:rPr>
        <w:rFonts w:ascii="Calibri" w:hAnsi="Calibri" w:hint="default"/>
      </w:rPr>
    </w:lvl>
    <w:lvl w:ilvl="2" w:tplc="0E820FB0" w:tentative="1">
      <w:start w:val="1"/>
      <w:numFmt w:val="bullet"/>
      <w:lvlText w:val=" "/>
      <w:lvlJc w:val="left"/>
      <w:pPr>
        <w:tabs>
          <w:tab w:val="num" w:pos="2160"/>
        </w:tabs>
        <w:ind w:left="2160" w:hanging="360"/>
      </w:pPr>
      <w:rPr>
        <w:rFonts w:ascii="Calibri" w:hAnsi="Calibri" w:hint="default"/>
      </w:rPr>
    </w:lvl>
    <w:lvl w:ilvl="3" w:tplc="20F4B5DA" w:tentative="1">
      <w:start w:val="1"/>
      <w:numFmt w:val="bullet"/>
      <w:lvlText w:val=" "/>
      <w:lvlJc w:val="left"/>
      <w:pPr>
        <w:tabs>
          <w:tab w:val="num" w:pos="2880"/>
        </w:tabs>
        <w:ind w:left="2880" w:hanging="360"/>
      </w:pPr>
      <w:rPr>
        <w:rFonts w:ascii="Calibri" w:hAnsi="Calibri" w:hint="default"/>
      </w:rPr>
    </w:lvl>
    <w:lvl w:ilvl="4" w:tplc="E08C1038" w:tentative="1">
      <w:start w:val="1"/>
      <w:numFmt w:val="bullet"/>
      <w:lvlText w:val=" "/>
      <w:lvlJc w:val="left"/>
      <w:pPr>
        <w:tabs>
          <w:tab w:val="num" w:pos="3600"/>
        </w:tabs>
        <w:ind w:left="3600" w:hanging="360"/>
      </w:pPr>
      <w:rPr>
        <w:rFonts w:ascii="Calibri" w:hAnsi="Calibri" w:hint="default"/>
      </w:rPr>
    </w:lvl>
    <w:lvl w:ilvl="5" w:tplc="B8A6274A" w:tentative="1">
      <w:start w:val="1"/>
      <w:numFmt w:val="bullet"/>
      <w:lvlText w:val=" "/>
      <w:lvlJc w:val="left"/>
      <w:pPr>
        <w:tabs>
          <w:tab w:val="num" w:pos="4320"/>
        </w:tabs>
        <w:ind w:left="4320" w:hanging="360"/>
      </w:pPr>
      <w:rPr>
        <w:rFonts w:ascii="Calibri" w:hAnsi="Calibri" w:hint="default"/>
      </w:rPr>
    </w:lvl>
    <w:lvl w:ilvl="6" w:tplc="A78E5E10" w:tentative="1">
      <w:start w:val="1"/>
      <w:numFmt w:val="bullet"/>
      <w:lvlText w:val=" "/>
      <w:lvlJc w:val="left"/>
      <w:pPr>
        <w:tabs>
          <w:tab w:val="num" w:pos="5040"/>
        </w:tabs>
        <w:ind w:left="5040" w:hanging="360"/>
      </w:pPr>
      <w:rPr>
        <w:rFonts w:ascii="Calibri" w:hAnsi="Calibri" w:hint="default"/>
      </w:rPr>
    </w:lvl>
    <w:lvl w:ilvl="7" w:tplc="148225A6" w:tentative="1">
      <w:start w:val="1"/>
      <w:numFmt w:val="bullet"/>
      <w:lvlText w:val=" "/>
      <w:lvlJc w:val="left"/>
      <w:pPr>
        <w:tabs>
          <w:tab w:val="num" w:pos="5760"/>
        </w:tabs>
        <w:ind w:left="5760" w:hanging="360"/>
      </w:pPr>
      <w:rPr>
        <w:rFonts w:ascii="Calibri" w:hAnsi="Calibri" w:hint="default"/>
      </w:rPr>
    </w:lvl>
    <w:lvl w:ilvl="8" w:tplc="9EACD08C" w:tentative="1">
      <w:start w:val="1"/>
      <w:numFmt w:val="bullet"/>
      <w:lvlText w:val=" "/>
      <w:lvlJc w:val="left"/>
      <w:pPr>
        <w:tabs>
          <w:tab w:val="num" w:pos="6480"/>
        </w:tabs>
        <w:ind w:left="6480" w:hanging="360"/>
      </w:pPr>
      <w:rPr>
        <w:rFonts w:ascii="Calibri" w:hAnsi="Calibri" w:hint="default"/>
      </w:rPr>
    </w:lvl>
  </w:abstractNum>
  <w:abstractNum w:abstractNumId="18" w15:restartNumberingAfterBreak="0">
    <w:nsid w:val="43AA211E"/>
    <w:multiLevelType w:val="multilevel"/>
    <w:tmpl w:val="8C343018"/>
    <w:lvl w:ilvl="0">
      <w:start w:val="3"/>
      <w:numFmt w:val="decimal"/>
      <w:lvlText w:val="%1"/>
      <w:lvlJc w:val="left"/>
      <w:pPr>
        <w:ind w:left="360" w:hanging="360"/>
      </w:pPr>
      <w:rPr>
        <w:rFonts w:hint="default"/>
      </w:rPr>
    </w:lvl>
    <w:lvl w:ilvl="1">
      <w:start w:val="3"/>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BF2A4B"/>
    <w:multiLevelType w:val="hybridMultilevel"/>
    <w:tmpl w:val="862E2004"/>
    <w:lvl w:ilvl="0" w:tplc="70608D16">
      <w:start w:val="1"/>
      <w:numFmt w:val="bullet"/>
      <w:lvlText w:val=""/>
      <w:lvlJc w:val="left"/>
      <w:pPr>
        <w:ind w:left="360" w:hanging="360"/>
      </w:pPr>
      <w:rPr>
        <w:rFonts w:ascii="Symbol" w:hAnsi="Symbol"/>
      </w:rPr>
    </w:lvl>
    <w:lvl w:ilvl="1" w:tplc="04090001">
      <w:start w:val="1"/>
      <w:numFmt w:val="bullet"/>
      <w:lvlText w:val=""/>
      <w:lvlJc w:val="left"/>
      <w:pPr>
        <w:ind w:left="1080" w:hanging="360"/>
      </w:pPr>
      <w:rPr>
        <w:rFonts w:ascii="Symbol" w:hAnsi="Symbol" w:hint="default"/>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0" w15:restartNumberingAfterBreak="0">
    <w:nsid w:val="489B3494"/>
    <w:multiLevelType w:val="hybridMultilevel"/>
    <w:tmpl w:val="B96E36B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21"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027157"/>
    <w:multiLevelType w:val="hybridMultilevel"/>
    <w:tmpl w:val="C23AE4B2"/>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66EFE"/>
    <w:multiLevelType w:val="hybridMultilevel"/>
    <w:tmpl w:val="B738645A"/>
    <w:lvl w:ilvl="0" w:tplc="086EE522">
      <w:start w:val="1"/>
      <w:numFmt w:val="bullet"/>
      <w:lvlText w:val=""/>
      <w:lvlJc w:val="left"/>
      <w:pPr>
        <w:ind w:left="360" w:hanging="360"/>
      </w:pPr>
      <w:rPr>
        <w:rFonts w:ascii="Symbol" w:hAnsi="Symbol" w:hint="default"/>
        <w:color w:val="auto"/>
      </w:rPr>
    </w:lvl>
    <w:lvl w:ilvl="1" w:tplc="84845B4A">
      <w:start w:val="1"/>
      <w:numFmt w:val="bullet"/>
      <w:lvlText w:val=""/>
      <w:lvlJc w:val="left"/>
      <w:pPr>
        <w:ind w:left="1440" w:hanging="873"/>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63C0C"/>
    <w:multiLevelType w:val="hybridMultilevel"/>
    <w:tmpl w:val="9D0C6E30"/>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1A74232"/>
    <w:multiLevelType w:val="hybridMultilevel"/>
    <w:tmpl w:val="97CE5EBC"/>
    <w:lvl w:ilvl="0" w:tplc="299A52A8">
      <w:start w:val="10"/>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E73962"/>
    <w:multiLevelType w:val="multilevel"/>
    <w:tmpl w:val="49F2177C"/>
    <w:lvl w:ilvl="0">
      <w:start w:val="1"/>
      <w:numFmt w:val="decimal"/>
      <w:lvlText w:val="%1.0"/>
      <w:lvlJc w:val="left"/>
      <w:pPr>
        <w:ind w:left="1140" w:hanging="1140"/>
      </w:pPr>
      <w:rPr>
        <w:rFonts w:hint="default"/>
      </w:rPr>
    </w:lvl>
    <w:lvl w:ilvl="1">
      <w:start w:val="1"/>
      <w:numFmt w:val="decimal"/>
      <w:lvlText w:val="%1.%2"/>
      <w:lvlJc w:val="left"/>
      <w:pPr>
        <w:ind w:left="1860" w:hanging="1140"/>
      </w:pPr>
      <w:rPr>
        <w:rFonts w:hint="default"/>
      </w:rPr>
    </w:lvl>
    <w:lvl w:ilvl="2">
      <w:start w:val="1"/>
      <w:numFmt w:val="decimal"/>
      <w:lvlText w:val="%1.%2.%3"/>
      <w:lvlJc w:val="left"/>
      <w:pPr>
        <w:ind w:left="2580" w:hanging="1140"/>
      </w:pPr>
      <w:rPr>
        <w:rFonts w:hint="default"/>
      </w:rPr>
    </w:lvl>
    <w:lvl w:ilvl="3">
      <w:start w:val="1"/>
      <w:numFmt w:val="decimal"/>
      <w:lvlText w:val="%1.%2.%3.%4"/>
      <w:lvlJc w:val="left"/>
      <w:pPr>
        <w:ind w:left="3300" w:hanging="1140"/>
      </w:pPr>
      <w:rPr>
        <w:rFonts w:hint="default"/>
      </w:rPr>
    </w:lvl>
    <w:lvl w:ilvl="4">
      <w:start w:val="1"/>
      <w:numFmt w:val="decimal"/>
      <w:lvlText w:val="%1.%2.%3.%4.%5"/>
      <w:lvlJc w:val="left"/>
      <w:pPr>
        <w:ind w:left="4020" w:hanging="1140"/>
      </w:pPr>
      <w:rPr>
        <w:rFonts w:hint="default"/>
      </w:rPr>
    </w:lvl>
    <w:lvl w:ilvl="5">
      <w:start w:val="1"/>
      <w:numFmt w:val="decimal"/>
      <w:lvlText w:val="%1.%2.%3.%4.%5.%6"/>
      <w:lvlJc w:val="left"/>
      <w:pPr>
        <w:ind w:left="4740" w:hanging="11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49F1824"/>
    <w:multiLevelType w:val="hybridMultilevel"/>
    <w:tmpl w:val="97D2C382"/>
    <w:lvl w:ilvl="0" w:tplc="54F6D100">
      <w:start w:val="3"/>
      <w:numFmt w:val="bullet"/>
      <w:lvlText w:val="-"/>
      <w:lvlJc w:val="left"/>
      <w:pPr>
        <w:ind w:left="720" w:hanging="360"/>
      </w:pPr>
      <w:rPr>
        <w:rFonts w:ascii="Calibri" w:eastAsia="Times New Roman" w:hAnsi="Calibr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A6459"/>
    <w:multiLevelType w:val="hybridMultilevel"/>
    <w:tmpl w:val="3872BCDA"/>
    <w:lvl w:ilvl="0" w:tplc="CD246AA2">
      <w:start w:val="1"/>
      <w:numFmt w:val="bullet"/>
      <w:lvlText w:val="•"/>
      <w:lvlJc w:val="left"/>
      <w:pPr>
        <w:ind w:left="795" w:hanging="795"/>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B35B6B"/>
    <w:multiLevelType w:val="hybridMultilevel"/>
    <w:tmpl w:val="A9FE0AB2"/>
    <w:lvl w:ilvl="0" w:tplc="299A52A8">
      <w:start w:val="1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81690"/>
    <w:multiLevelType w:val="hybridMultilevel"/>
    <w:tmpl w:val="B69E8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8B628A"/>
    <w:multiLevelType w:val="hybridMultilevel"/>
    <w:tmpl w:val="10E2EF70"/>
    <w:lvl w:ilvl="0" w:tplc="65FA870A">
      <w:start w:val="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7D08AA"/>
    <w:multiLevelType w:val="hybridMultilevel"/>
    <w:tmpl w:val="E94E06C0"/>
    <w:lvl w:ilvl="0" w:tplc="594292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C4165"/>
    <w:multiLevelType w:val="hybridMultilevel"/>
    <w:tmpl w:val="4D82089E"/>
    <w:lvl w:ilvl="0" w:tplc="70608D16">
      <w:start w:val="1"/>
      <w:numFmt w:val="bullet"/>
      <w:lvlText w:val=""/>
      <w:lvlJc w:val="left"/>
      <w:pPr>
        <w:ind w:left="360" w:hanging="360"/>
      </w:pPr>
      <w:rPr>
        <w:rFonts w:ascii="Symbol" w:hAnsi="Symbol"/>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35" w15:restartNumberingAfterBreak="0">
    <w:nsid w:val="5E053D9E"/>
    <w:multiLevelType w:val="hybridMultilevel"/>
    <w:tmpl w:val="4DECDB8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F2F4CA2"/>
    <w:multiLevelType w:val="hybridMultilevel"/>
    <w:tmpl w:val="95E4E4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54711C3"/>
    <w:multiLevelType w:val="hybridMultilevel"/>
    <w:tmpl w:val="B726CF70"/>
    <w:lvl w:ilvl="0" w:tplc="94BEB51E">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6B32C37"/>
    <w:multiLevelType w:val="hybridMultilevel"/>
    <w:tmpl w:val="D99CB6CA"/>
    <w:lvl w:ilvl="0" w:tplc="04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367ADB"/>
    <w:multiLevelType w:val="multilevel"/>
    <w:tmpl w:val="E0CA2F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2002BCD"/>
    <w:multiLevelType w:val="hybridMultilevel"/>
    <w:tmpl w:val="0DF2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166D9C"/>
    <w:multiLevelType w:val="hybridMultilevel"/>
    <w:tmpl w:val="7AF691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45"/>
  </w:num>
  <w:num w:numId="3">
    <w:abstractNumId w:val="36"/>
  </w:num>
  <w:num w:numId="4">
    <w:abstractNumId w:val="42"/>
  </w:num>
  <w:num w:numId="5">
    <w:abstractNumId w:val="9"/>
  </w:num>
  <w:num w:numId="6">
    <w:abstractNumId w:val="16"/>
  </w:num>
  <w:num w:numId="7">
    <w:abstractNumId w:val="30"/>
  </w:num>
  <w:num w:numId="8">
    <w:abstractNumId w:val="2"/>
  </w:num>
  <w:num w:numId="9">
    <w:abstractNumId w:val="15"/>
  </w:num>
  <w:num w:numId="10">
    <w:abstractNumId w:val="12"/>
  </w:num>
  <w:num w:numId="11">
    <w:abstractNumId w:val="40"/>
  </w:num>
  <w:num w:numId="12">
    <w:abstractNumId w:val="43"/>
  </w:num>
  <w:num w:numId="13">
    <w:abstractNumId w:val="28"/>
  </w:num>
  <w:num w:numId="14">
    <w:abstractNumId w:val="22"/>
  </w:num>
  <w:num w:numId="15">
    <w:abstractNumId w:val="17"/>
  </w:num>
  <w:num w:numId="16">
    <w:abstractNumId w:val="13"/>
  </w:num>
  <w:num w:numId="17">
    <w:abstractNumId w:val="3"/>
  </w:num>
  <w:num w:numId="18">
    <w:abstractNumId w:val="8"/>
  </w:num>
  <w:num w:numId="19">
    <w:abstractNumId w:val="31"/>
  </w:num>
  <w:num w:numId="20">
    <w:abstractNumId w:val="6"/>
  </w:num>
  <w:num w:numId="21">
    <w:abstractNumId w:val="38"/>
  </w:num>
  <w:num w:numId="22">
    <w:abstractNumId w:val="25"/>
  </w:num>
  <w:num w:numId="23">
    <w:abstractNumId w:val="29"/>
  </w:num>
  <w:num w:numId="24">
    <w:abstractNumId w:val="44"/>
  </w:num>
  <w:num w:numId="25">
    <w:abstractNumId w:val="4"/>
  </w:num>
  <w:num w:numId="26">
    <w:abstractNumId w:val="21"/>
  </w:num>
  <w:num w:numId="27">
    <w:abstractNumId w:val="34"/>
  </w:num>
  <w:num w:numId="28">
    <w:abstractNumId w:val="23"/>
  </w:num>
  <w:num w:numId="29">
    <w:abstractNumId w:val="18"/>
  </w:num>
  <w:num w:numId="30">
    <w:abstractNumId w:val="27"/>
  </w:num>
  <w:num w:numId="31">
    <w:abstractNumId w:val="10"/>
  </w:num>
  <w:num w:numId="32">
    <w:abstractNumId w:val="11"/>
  </w:num>
  <w:num w:numId="33">
    <w:abstractNumId w:val="0"/>
  </w:num>
  <w:num w:numId="34">
    <w:abstractNumId w:val="20"/>
  </w:num>
  <w:num w:numId="35">
    <w:abstractNumId w:val="19"/>
  </w:num>
  <w:num w:numId="36">
    <w:abstractNumId w:val="33"/>
  </w:num>
  <w:num w:numId="37">
    <w:abstractNumId w:val="24"/>
  </w:num>
  <w:num w:numId="38">
    <w:abstractNumId w:val="7"/>
  </w:num>
  <w:num w:numId="39">
    <w:abstractNumId w:val="1"/>
  </w:num>
  <w:num w:numId="40">
    <w:abstractNumId w:val="41"/>
  </w:num>
  <w:num w:numId="41">
    <w:abstractNumId w:val="39"/>
  </w:num>
  <w:num w:numId="42">
    <w:abstractNumId w:val="32"/>
  </w:num>
  <w:num w:numId="43">
    <w:abstractNumId w:val="14"/>
  </w:num>
  <w:num w:numId="44">
    <w:abstractNumId w:val="26"/>
  </w:num>
  <w:num w:numId="45">
    <w:abstractNumId w:val="35"/>
  </w:num>
  <w:num w:numId="4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207DF"/>
    <w:rsid w:val="00022A29"/>
    <w:rsid w:val="000257C8"/>
    <w:rsid w:val="00031642"/>
    <w:rsid w:val="000355FD"/>
    <w:rsid w:val="0004156E"/>
    <w:rsid w:val="00051E39"/>
    <w:rsid w:val="00075C63"/>
    <w:rsid w:val="00077239"/>
    <w:rsid w:val="00080905"/>
    <w:rsid w:val="000822BE"/>
    <w:rsid w:val="00086491"/>
    <w:rsid w:val="00091346"/>
    <w:rsid w:val="00097627"/>
    <w:rsid w:val="000A5776"/>
    <w:rsid w:val="000B3DB7"/>
    <w:rsid w:val="000D4875"/>
    <w:rsid w:val="000F73FF"/>
    <w:rsid w:val="001073AE"/>
    <w:rsid w:val="00114CF7"/>
    <w:rsid w:val="00123B68"/>
    <w:rsid w:val="00126F2E"/>
    <w:rsid w:val="0014318B"/>
    <w:rsid w:val="00145C85"/>
    <w:rsid w:val="00146F6F"/>
    <w:rsid w:val="00147DA1"/>
    <w:rsid w:val="00152957"/>
    <w:rsid w:val="0018673E"/>
    <w:rsid w:val="00187BD9"/>
    <w:rsid w:val="00190B55"/>
    <w:rsid w:val="00194CFB"/>
    <w:rsid w:val="001B2ED3"/>
    <w:rsid w:val="001B55DE"/>
    <w:rsid w:val="001B7EA3"/>
    <w:rsid w:val="001C3B5F"/>
    <w:rsid w:val="001D058F"/>
    <w:rsid w:val="001D16F0"/>
    <w:rsid w:val="001D385E"/>
    <w:rsid w:val="001D4149"/>
    <w:rsid w:val="001E252D"/>
    <w:rsid w:val="001F6050"/>
    <w:rsid w:val="002009EA"/>
    <w:rsid w:val="00202CA0"/>
    <w:rsid w:val="00203BA1"/>
    <w:rsid w:val="002154A6"/>
    <w:rsid w:val="002162CD"/>
    <w:rsid w:val="00216853"/>
    <w:rsid w:val="002179D1"/>
    <w:rsid w:val="002255B3"/>
    <w:rsid w:val="002309D0"/>
    <w:rsid w:val="00236E8A"/>
    <w:rsid w:val="00237A4D"/>
    <w:rsid w:val="00271316"/>
    <w:rsid w:val="002928BD"/>
    <w:rsid w:val="00296313"/>
    <w:rsid w:val="002A13F1"/>
    <w:rsid w:val="002A32B1"/>
    <w:rsid w:val="002B3C84"/>
    <w:rsid w:val="002D0297"/>
    <w:rsid w:val="002D58BE"/>
    <w:rsid w:val="002E6174"/>
    <w:rsid w:val="002F07E3"/>
    <w:rsid w:val="003013EE"/>
    <w:rsid w:val="00317161"/>
    <w:rsid w:val="00330DCC"/>
    <w:rsid w:val="00331BD9"/>
    <w:rsid w:val="003343FD"/>
    <w:rsid w:val="00335BE6"/>
    <w:rsid w:val="00351729"/>
    <w:rsid w:val="00377BD3"/>
    <w:rsid w:val="00382E92"/>
    <w:rsid w:val="00384088"/>
    <w:rsid w:val="0038489B"/>
    <w:rsid w:val="00384E7B"/>
    <w:rsid w:val="0039169B"/>
    <w:rsid w:val="003931CE"/>
    <w:rsid w:val="00393FCD"/>
    <w:rsid w:val="003A7F8C"/>
    <w:rsid w:val="003B08BF"/>
    <w:rsid w:val="003B2476"/>
    <w:rsid w:val="003B307E"/>
    <w:rsid w:val="003B3981"/>
    <w:rsid w:val="003B532E"/>
    <w:rsid w:val="003B6F14"/>
    <w:rsid w:val="003C5007"/>
    <w:rsid w:val="003D0F8B"/>
    <w:rsid w:val="003F4BE7"/>
    <w:rsid w:val="00403E2D"/>
    <w:rsid w:val="004131D4"/>
    <w:rsid w:val="0041348E"/>
    <w:rsid w:val="00417C1E"/>
    <w:rsid w:val="004216C5"/>
    <w:rsid w:val="00447308"/>
    <w:rsid w:val="004730A6"/>
    <w:rsid w:val="00475D0C"/>
    <w:rsid w:val="004765FF"/>
    <w:rsid w:val="00492075"/>
    <w:rsid w:val="004969AD"/>
    <w:rsid w:val="004B13CB"/>
    <w:rsid w:val="004B4FDF"/>
    <w:rsid w:val="004B64BD"/>
    <w:rsid w:val="004B7B43"/>
    <w:rsid w:val="004D26CE"/>
    <w:rsid w:val="004D3116"/>
    <w:rsid w:val="004D5D5C"/>
    <w:rsid w:val="0050139F"/>
    <w:rsid w:val="005034F3"/>
    <w:rsid w:val="00521223"/>
    <w:rsid w:val="00522EB1"/>
    <w:rsid w:val="00524DF1"/>
    <w:rsid w:val="00527523"/>
    <w:rsid w:val="00543262"/>
    <w:rsid w:val="00546225"/>
    <w:rsid w:val="0055140B"/>
    <w:rsid w:val="00554C4F"/>
    <w:rsid w:val="00561D72"/>
    <w:rsid w:val="00563AAD"/>
    <w:rsid w:val="005801B7"/>
    <w:rsid w:val="005964AB"/>
    <w:rsid w:val="005B44F5"/>
    <w:rsid w:val="005C099A"/>
    <w:rsid w:val="005C31A5"/>
    <w:rsid w:val="005C32E6"/>
    <w:rsid w:val="005E10C9"/>
    <w:rsid w:val="005E61DD"/>
    <w:rsid w:val="005E6321"/>
    <w:rsid w:val="005F012D"/>
    <w:rsid w:val="005F334F"/>
    <w:rsid w:val="005F3D9F"/>
    <w:rsid w:val="00600B35"/>
    <w:rsid w:val="006023DF"/>
    <w:rsid w:val="006057A7"/>
    <w:rsid w:val="00635EE8"/>
    <w:rsid w:val="0064322F"/>
    <w:rsid w:val="00645019"/>
    <w:rsid w:val="00657DE0"/>
    <w:rsid w:val="0067199F"/>
    <w:rsid w:val="00677048"/>
    <w:rsid w:val="00685313"/>
    <w:rsid w:val="006907AB"/>
    <w:rsid w:val="0069202C"/>
    <w:rsid w:val="006A58D5"/>
    <w:rsid w:val="006A6E9B"/>
    <w:rsid w:val="006B4C2E"/>
    <w:rsid w:val="006B7C2A"/>
    <w:rsid w:val="006C23DA"/>
    <w:rsid w:val="006D0345"/>
    <w:rsid w:val="006E3D45"/>
    <w:rsid w:val="006F6D0F"/>
    <w:rsid w:val="007149F9"/>
    <w:rsid w:val="00727B93"/>
    <w:rsid w:val="00733A30"/>
    <w:rsid w:val="00743ABF"/>
    <w:rsid w:val="00745AEE"/>
    <w:rsid w:val="007479EA"/>
    <w:rsid w:val="00750F10"/>
    <w:rsid w:val="007742CA"/>
    <w:rsid w:val="007814B3"/>
    <w:rsid w:val="00791EA2"/>
    <w:rsid w:val="00795BED"/>
    <w:rsid w:val="007D06F0"/>
    <w:rsid w:val="007D45E3"/>
    <w:rsid w:val="007D5320"/>
    <w:rsid w:val="007E0E81"/>
    <w:rsid w:val="007F26D4"/>
    <w:rsid w:val="007F4B47"/>
    <w:rsid w:val="007F735C"/>
    <w:rsid w:val="00800972"/>
    <w:rsid w:val="00804475"/>
    <w:rsid w:val="00811633"/>
    <w:rsid w:val="00821CEF"/>
    <w:rsid w:val="00827836"/>
    <w:rsid w:val="00832828"/>
    <w:rsid w:val="0083645A"/>
    <w:rsid w:val="00837762"/>
    <w:rsid w:val="00840B0F"/>
    <w:rsid w:val="008711AE"/>
    <w:rsid w:val="00872FC8"/>
    <w:rsid w:val="0087404B"/>
    <w:rsid w:val="008801D3"/>
    <w:rsid w:val="008845D0"/>
    <w:rsid w:val="008A51DA"/>
    <w:rsid w:val="008B43F2"/>
    <w:rsid w:val="008B61EA"/>
    <w:rsid w:val="008B66BB"/>
    <w:rsid w:val="008B6CFF"/>
    <w:rsid w:val="008C0FBE"/>
    <w:rsid w:val="008C2D57"/>
    <w:rsid w:val="008C4710"/>
    <w:rsid w:val="008E7341"/>
    <w:rsid w:val="00900A23"/>
    <w:rsid w:val="00910B26"/>
    <w:rsid w:val="009274B4"/>
    <w:rsid w:val="00934EA2"/>
    <w:rsid w:val="00944A5C"/>
    <w:rsid w:val="009475FB"/>
    <w:rsid w:val="00950960"/>
    <w:rsid w:val="00952A66"/>
    <w:rsid w:val="00954E0F"/>
    <w:rsid w:val="00963C1B"/>
    <w:rsid w:val="009720DA"/>
    <w:rsid w:val="009B7D33"/>
    <w:rsid w:val="009C2757"/>
    <w:rsid w:val="009C56E5"/>
    <w:rsid w:val="009E5FC8"/>
    <w:rsid w:val="009E687A"/>
    <w:rsid w:val="009E7721"/>
    <w:rsid w:val="009F7C10"/>
    <w:rsid w:val="00A03C5C"/>
    <w:rsid w:val="00A066F1"/>
    <w:rsid w:val="00A141AF"/>
    <w:rsid w:val="00A16D29"/>
    <w:rsid w:val="00A20E5E"/>
    <w:rsid w:val="00A30305"/>
    <w:rsid w:val="00A31D2D"/>
    <w:rsid w:val="00A4600A"/>
    <w:rsid w:val="00A5022F"/>
    <w:rsid w:val="00A538A6"/>
    <w:rsid w:val="00A54C25"/>
    <w:rsid w:val="00A62C60"/>
    <w:rsid w:val="00A66E90"/>
    <w:rsid w:val="00A710E7"/>
    <w:rsid w:val="00A7372E"/>
    <w:rsid w:val="00A90292"/>
    <w:rsid w:val="00A93B85"/>
    <w:rsid w:val="00AA0B18"/>
    <w:rsid w:val="00AA666F"/>
    <w:rsid w:val="00AB4927"/>
    <w:rsid w:val="00AC034F"/>
    <w:rsid w:val="00AE0A51"/>
    <w:rsid w:val="00B004E5"/>
    <w:rsid w:val="00B15F9D"/>
    <w:rsid w:val="00B243AF"/>
    <w:rsid w:val="00B43B6E"/>
    <w:rsid w:val="00B53DC1"/>
    <w:rsid w:val="00B62876"/>
    <w:rsid w:val="00B639E9"/>
    <w:rsid w:val="00B7112E"/>
    <w:rsid w:val="00B74DC6"/>
    <w:rsid w:val="00B817CD"/>
    <w:rsid w:val="00B911B2"/>
    <w:rsid w:val="00B951D0"/>
    <w:rsid w:val="00B95362"/>
    <w:rsid w:val="00B95DA2"/>
    <w:rsid w:val="00BA18CD"/>
    <w:rsid w:val="00BB29C8"/>
    <w:rsid w:val="00BB3A95"/>
    <w:rsid w:val="00BC0382"/>
    <w:rsid w:val="00BD0476"/>
    <w:rsid w:val="00BD62C6"/>
    <w:rsid w:val="00BF05F3"/>
    <w:rsid w:val="00C0018F"/>
    <w:rsid w:val="00C20466"/>
    <w:rsid w:val="00C214ED"/>
    <w:rsid w:val="00C234E6"/>
    <w:rsid w:val="00C324A8"/>
    <w:rsid w:val="00C4520A"/>
    <w:rsid w:val="00C47C8F"/>
    <w:rsid w:val="00C54517"/>
    <w:rsid w:val="00C64CD8"/>
    <w:rsid w:val="00C97C68"/>
    <w:rsid w:val="00CA1A47"/>
    <w:rsid w:val="00CB1214"/>
    <w:rsid w:val="00CC247A"/>
    <w:rsid w:val="00CE5E47"/>
    <w:rsid w:val="00CE6A95"/>
    <w:rsid w:val="00CF020F"/>
    <w:rsid w:val="00CF2B5B"/>
    <w:rsid w:val="00D14CE0"/>
    <w:rsid w:val="00D36333"/>
    <w:rsid w:val="00D52AB1"/>
    <w:rsid w:val="00D5651D"/>
    <w:rsid w:val="00D57344"/>
    <w:rsid w:val="00D60983"/>
    <w:rsid w:val="00D72429"/>
    <w:rsid w:val="00D74898"/>
    <w:rsid w:val="00D801ED"/>
    <w:rsid w:val="00D83BF5"/>
    <w:rsid w:val="00D92221"/>
    <w:rsid w:val="00D925C2"/>
    <w:rsid w:val="00D936BC"/>
    <w:rsid w:val="00D95FD2"/>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86021"/>
    <w:rsid w:val="00E976C1"/>
    <w:rsid w:val="00EA12E5"/>
    <w:rsid w:val="00EE18A3"/>
    <w:rsid w:val="00EF2C99"/>
    <w:rsid w:val="00EF6353"/>
    <w:rsid w:val="00F02766"/>
    <w:rsid w:val="00F04067"/>
    <w:rsid w:val="00F05BD4"/>
    <w:rsid w:val="00F104EF"/>
    <w:rsid w:val="00F11A98"/>
    <w:rsid w:val="00F21A1D"/>
    <w:rsid w:val="00F21F2B"/>
    <w:rsid w:val="00F64F19"/>
    <w:rsid w:val="00F65C19"/>
    <w:rsid w:val="00F86042"/>
    <w:rsid w:val="00F91E4B"/>
    <w:rsid w:val="00FB625D"/>
    <w:rsid w:val="00FD2546"/>
    <w:rsid w:val="00FD772E"/>
    <w:rsid w:val="00FE0BFA"/>
    <w:rsid w:val="00FE3926"/>
    <w:rsid w:val="00FE448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36DF83"/>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2"/>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3216">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25843172">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LDCs/Pages/ICTs-for-SDGs-in-LDCs-Report.aspx" TargetMode="External"/><Relationship Id="rId18" Type="http://schemas.openxmlformats.org/officeDocument/2006/relationships/hyperlink" Target="https://www.itu.int/en/ITU-D/Climate-Change/Documents/2018/Successful-electronic-waste-management-initiatives.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Climate-Change/Documents/2018/Handbook-Policy-framework-on-ICT-Ewaste.pdf" TargetMode="External"/><Relationship Id="rId2" Type="http://schemas.openxmlformats.org/officeDocument/2006/relationships/customXml" Target="../customXml/item2.xml"/><Relationship Id="rId16" Type="http://schemas.openxmlformats.org/officeDocument/2006/relationships/hyperlink" Target="https://www.itu.int/en/ITU-D/Climate-Change/Pages/ewaste/A-New-Circular-Vision-for-Electronics-Time-for-a-Global-Reboo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en/ITU-D/Emergency-Telecommunications/Pages/Response.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LDCs/Pages/Publications.aspx" TargetMode="External"/><Relationship Id="rId22" Type="http://schemas.openxmlformats.org/officeDocument/2006/relationships/footer" Target="footer2.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FE2C16CA-4D30-4E1A-BB97-FEED0213C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1279</Words>
  <Characters>8199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9460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BDT-mcb</cp:lastModifiedBy>
  <cp:revision>6</cp:revision>
  <cp:lastPrinted>2011-08-24T07:41:00Z</cp:lastPrinted>
  <dcterms:created xsi:type="dcterms:W3CDTF">2019-01-25T09:03:00Z</dcterms:created>
  <dcterms:modified xsi:type="dcterms:W3CDTF">2019-01-25T09:06:00Z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