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7E30F5" w:rsidTr="00B905E6">
        <w:trPr>
          <w:trHeight w:val="1134"/>
        </w:trPr>
        <w:tc>
          <w:tcPr>
            <w:tcW w:w="6662" w:type="dxa"/>
          </w:tcPr>
          <w:p w:rsidR="004713B8" w:rsidRPr="007E30F5" w:rsidRDefault="004713B8"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7E30F5">
              <w:rPr>
                <w:rFonts w:cstheme="minorHAnsi"/>
                <w:b/>
                <w:bCs/>
                <w:sz w:val="32"/>
                <w:szCs w:val="32"/>
                <w:lang w:eastAsia="zh-CN"/>
              </w:rPr>
              <w:t>Консультативная группа по развитию электросвязи (КГРЭ)</w:t>
            </w:r>
          </w:p>
          <w:p w:rsidR="004713B8" w:rsidRPr="007E30F5" w:rsidRDefault="004713B8" w:rsidP="00702247">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7E30F5">
              <w:rPr>
                <w:rFonts w:cstheme="minorHAnsi"/>
                <w:b/>
                <w:bCs/>
                <w:sz w:val="24"/>
                <w:szCs w:val="24"/>
                <w:lang w:eastAsia="zh-CN"/>
              </w:rPr>
              <w:t>2</w:t>
            </w:r>
            <w:r w:rsidR="00702247" w:rsidRPr="007E30F5">
              <w:rPr>
                <w:rFonts w:cstheme="minorHAnsi"/>
                <w:b/>
                <w:bCs/>
                <w:sz w:val="24"/>
                <w:szCs w:val="24"/>
                <w:lang w:eastAsia="zh-CN"/>
              </w:rPr>
              <w:t>4</w:t>
            </w:r>
            <w:r w:rsidRPr="007E30F5">
              <w:rPr>
                <w:rFonts w:cstheme="minorHAnsi"/>
                <w:b/>
                <w:bCs/>
                <w:sz w:val="24"/>
                <w:szCs w:val="24"/>
                <w:lang w:eastAsia="zh-CN"/>
              </w:rPr>
              <w:t xml:space="preserve">-е собрание, </w:t>
            </w:r>
            <w:r w:rsidRPr="007E30F5">
              <w:rPr>
                <w:b/>
                <w:bCs/>
                <w:sz w:val="24"/>
                <w:szCs w:val="24"/>
              </w:rPr>
              <w:t xml:space="preserve">Женева, </w:t>
            </w:r>
            <w:r w:rsidR="00702247" w:rsidRPr="007E30F5">
              <w:rPr>
                <w:b/>
                <w:bCs/>
                <w:sz w:val="24"/>
                <w:szCs w:val="24"/>
              </w:rPr>
              <w:t>3–5</w:t>
            </w:r>
            <w:r w:rsidRPr="007E30F5">
              <w:rPr>
                <w:b/>
                <w:bCs/>
                <w:sz w:val="24"/>
                <w:szCs w:val="24"/>
              </w:rPr>
              <w:t xml:space="preserve"> апреля 201</w:t>
            </w:r>
            <w:r w:rsidR="00702247" w:rsidRPr="007E30F5">
              <w:rPr>
                <w:b/>
                <w:bCs/>
                <w:sz w:val="24"/>
                <w:szCs w:val="24"/>
              </w:rPr>
              <w:t>9</w:t>
            </w:r>
            <w:r w:rsidRPr="007E30F5">
              <w:rPr>
                <w:b/>
                <w:bCs/>
                <w:sz w:val="24"/>
                <w:szCs w:val="24"/>
              </w:rPr>
              <w:t xml:space="preserve"> года</w:t>
            </w:r>
          </w:p>
        </w:tc>
        <w:tc>
          <w:tcPr>
            <w:tcW w:w="3261" w:type="dxa"/>
            <w:vAlign w:val="center"/>
          </w:tcPr>
          <w:p w:rsidR="004713B8" w:rsidRPr="007E30F5" w:rsidRDefault="004713B8" w:rsidP="00CD34AE">
            <w:pPr>
              <w:widowControl w:val="0"/>
              <w:spacing w:before="40"/>
            </w:pPr>
            <w:r w:rsidRPr="007E30F5">
              <w:rPr>
                <w:noProof/>
                <w:color w:val="3399FF"/>
                <w:lang w:val="en-GB" w:eastAsia="zh-CN"/>
              </w:rPr>
              <w:drawing>
                <wp:anchor distT="0" distB="0" distL="114300" distR="114300" simplePos="0" relativeHeight="251661312" behindDoc="0" locked="0" layoutInCell="1" allowOverlap="1" wp14:anchorId="329CFD45" wp14:editId="4BAD212C">
                  <wp:simplePos x="0" y="0"/>
                  <wp:positionH relativeFrom="column">
                    <wp:posOffset>1118870</wp:posOffset>
                  </wp:positionH>
                  <wp:positionV relativeFrom="paragraph">
                    <wp:posOffset>-71120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D34AE" w:rsidRPr="007E30F5" w:rsidTr="00CD34AE">
        <w:tc>
          <w:tcPr>
            <w:tcW w:w="6662" w:type="dxa"/>
            <w:tcBorders>
              <w:top w:val="single" w:sz="12" w:space="0" w:color="auto"/>
            </w:tcBorders>
          </w:tcPr>
          <w:p w:rsidR="00CD34AE" w:rsidRPr="007E30F5"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7E30F5" w:rsidRDefault="00CD34AE" w:rsidP="00CD34AE">
            <w:pPr>
              <w:widowControl w:val="0"/>
              <w:spacing w:before="0"/>
              <w:rPr>
                <w:rFonts w:ascii="Verdana" w:hAnsi="Verdana"/>
                <w:sz w:val="18"/>
                <w:szCs w:val="18"/>
              </w:rPr>
            </w:pPr>
          </w:p>
        </w:tc>
      </w:tr>
      <w:tr w:rsidR="00CD34AE" w:rsidRPr="007E30F5" w:rsidTr="00CD34AE">
        <w:trPr>
          <w:trHeight w:val="300"/>
        </w:trPr>
        <w:tc>
          <w:tcPr>
            <w:tcW w:w="6662" w:type="dxa"/>
          </w:tcPr>
          <w:p w:rsidR="00CD34AE" w:rsidRPr="007E30F5" w:rsidRDefault="00CD34AE" w:rsidP="00CD34AE">
            <w:pPr>
              <w:widowControl w:val="0"/>
              <w:spacing w:before="0"/>
              <w:rPr>
                <w:rFonts w:ascii="Verdana" w:hAnsi="Verdana"/>
                <w:b/>
                <w:bCs/>
                <w:smallCaps/>
                <w:sz w:val="18"/>
                <w:szCs w:val="18"/>
              </w:rPr>
            </w:pPr>
          </w:p>
        </w:tc>
        <w:tc>
          <w:tcPr>
            <w:tcW w:w="3261" w:type="dxa"/>
          </w:tcPr>
          <w:p w:rsidR="00CD34AE" w:rsidRPr="007E30F5" w:rsidRDefault="003E6E87" w:rsidP="00702247">
            <w:pPr>
              <w:widowControl w:val="0"/>
              <w:spacing w:before="0"/>
              <w:rPr>
                <w:rFonts w:ascii="Verdana" w:hAnsi="Verdana"/>
                <w:b/>
                <w:bCs/>
              </w:rPr>
            </w:pPr>
            <w:r w:rsidRPr="007E30F5">
              <w:rPr>
                <w:rFonts w:cstheme="minorHAnsi"/>
                <w:b/>
                <w:bCs/>
              </w:rPr>
              <w:t xml:space="preserve">Документ </w:t>
            </w:r>
            <w:bookmarkStart w:id="0" w:name="DocRef1"/>
            <w:bookmarkEnd w:id="0"/>
            <w:r w:rsidRPr="007E30F5">
              <w:rPr>
                <w:rFonts w:cstheme="minorHAnsi"/>
                <w:b/>
                <w:bCs/>
              </w:rPr>
              <w:t>TDAG</w:t>
            </w:r>
            <w:r w:rsidR="0040328D" w:rsidRPr="007E30F5">
              <w:rPr>
                <w:rFonts w:cstheme="minorHAnsi"/>
                <w:b/>
                <w:bCs/>
              </w:rPr>
              <w:t>-</w:t>
            </w:r>
            <w:r w:rsidRPr="007E30F5">
              <w:rPr>
                <w:rFonts w:cstheme="minorHAnsi"/>
                <w:b/>
                <w:bCs/>
              </w:rPr>
              <w:t>1</w:t>
            </w:r>
            <w:r w:rsidR="00702247" w:rsidRPr="007E30F5">
              <w:rPr>
                <w:rFonts w:cstheme="minorHAnsi"/>
                <w:b/>
                <w:bCs/>
              </w:rPr>
              <w:t>9</w:t>
            </w:r>
            <w:r w:rsidRPr="007E30F5">
              <w:rPr>
                <w:rFonts w:cstheme="minorHAnsi"/>
                <w:b/>
                <w:bCs/>
              </w:rPr>
              <w:t>/</w:t>
            </w:r>
            <w:bookmarkStart w:id="1" w:name="DocNo1"/>
            <w:bookmarkEnd w:id="1"/>
            <w:r w:rsidR="00702247" w:rsidRPr="007E30F5">
              <w:rPr>
                <w:rFonts w:cstheme="minorHAnsi"/>
                <w:b/>
                <w:bCs/>
              </w:rPr>
              <w:t>2</w:t>
            </w:r>
            <w:r w:rsidR="00A45896" w:rsidRPr="007E30F5">
              <w:rPr>
                <w:rFonts w:cstheme="minorHAnsi"/>
                <w:b/>
                <w:bCs/>
              </w:rPr>
              <w:t>6</w:t>
            </w:r>
            <w:r w:rsidRPr="007E30F5">
              <w:rPr>
                <w:rFonts w:cstheme="minorHAnsi"/>
                <w:b/>
                <w:bCs/>
              </w:rPr>
              <w:t>-R</w:t>
            </w:r>
          </w:p>
        </w:tc>
      </w:tr>
      <w:tr w:rsidR="00CD34AE" w:rsidRPr="007E30F5" w:rsidTr="00CD34AE">
        <w:trPr>
          <w:trHeight w:val="300"/>
        </w:trPr>
        <w:tc>
          <w:tcPr>
            <w:tcW w:w="6662" w:type="dxa"/>
          </w:tcPr>
          <w:p w:rsidR="00CD34AE" w:rsidRPr="007E30F5" w:rsidRDefault="00CD34AE" w:rsidP="00CD34AE">
            <w:pPr>
              <w:spacing w:before="0"/>
              <w:rPr>
                <w:b/>
                <w:bCs/>
                <w:smallCaps/>
                <w:szCs w:val="24"/>
              </w:rPr>
            </w:pPr>
          </w:p>
        </w:tc>
        <w:tc>
          <w:tcPr>
            <w:tcW w:w="3261" w:type="dxa"/>
          </w:tcPr>
          <w:p w:rsidR="00CD34AE" w:rsidRPr="007E30F5" w:rsidRDefault="00702247" w:rsidP="00A45896">
            <w:pPr>
              <w:widowControl w:val="0"/>
              <w:spacing w:before="0"/>
              <w:rPr>
                <w:rFonts w:ascii="Verdana" w:hAnsi="Verdana"/>
                <w:b/>
                <w:bCs/>
              </w:rPr>
            </w:pPr>
            <w:bookmarkStart w:id="2" w:name="CreationDate"/>
            <w:bookmarkEnd w:id="2"/>
            <w:r w:rsidRPr="007E30F5">
              <w:rPr>
                <w:b/>
                <w:bCs/>
              </w:rPr>
              <w:t>25 января 2019</w:t>
            </w:r>
            <w:r w:rsidR="00A73D91" w:rsidRPr="007E30F5">
              <w:rPr>
                <w:b/>
                <w:bCs/>
              </w:rPr>
              <w:t xml:space="preserve"> года</w:t>
            </w:r>
          </w:p>
        </w:tc>
      </w:tr>
      <w:tr w:rsidR="00CD34AE" w:rsidRPr="007E30F5" w:rsidTr="00CD34AE">
        <w:trPr>
          <w:trHeight w:val="300"/>
        </w:trPr>
        <w:tc>
          <w:tcPr>
            <w:tcW w:w="6662" w:type="dxa"/>
          </w:tcPr>
          <w:p w:rsidR="00CD34AE" w:rsidRPr="007E30F5" w:rsidRDefault="00CD34AE" w:rsidP="00CD34AE">
            <w:pPr>
              <w:widowControl w:val="0"/>
              <w:spacing w:before="0"/>
              <w:rPr>
                <w:rFonts w:ascii="Verdana" w:hAnsi="Verdana"/>
                <w:b/>
                <w:bCs/>
                <w:smallCaps/>
                <w:sz w:val="18"/>
                <w:szCs w:val="18"/>
              </w:rPr>
            </w:pPr>
          </w:p>
        </w:tc>
        <w:tc>
          <w:tcPr>
            <w:tcW w:w="3261" w:type="dxa"/>
          </w:tcPr>
          <w:p w:rsidR="00CD34AE" w:rsidRPr="007E30F5" w:rsidRDefault="003E6E87" w:rsidP="00CD34AE">
            <w:pPr>
              <w:widowControl w:val="0"/>
              <w:spacing w:before="0"/>
              <w:rPr>
                <w:rFonts w:ascii="Verdana" w:hAnsi="Verdana"/>
                <w:b/>
                <w:bCs/>
              </w:rPr>
            </w:pPr>
            <w:r w:rsidRPr="007E30F5">
              <w:rPr>
                <w:rFonts w:cstheme="minorHAnsi"/>
                <w:b/>
                <w:bCs/>
              </w:rPr>
              <w:t>Оригинал:</w:t>
            </w:r>
            <w:bookmarkStart w:id="3" w:name="Original"/>
            <w:bookmarkEnd w:id="3"/>
            <w:r w:rsidR="00A73D91" w:rsidRPr="007E30F5">
              <w:rPr>
                <w:rFonts w:cstheme="minorHAnsi"/>
                <w:b/>
                <w:bCs/>
              </w:rPr>
              <w:t xml:space="preserve"> </w:t>
            </w:r>
            <w:r w:rsidR="00A45896" w:rsidRPr="007E30F5">
              <w:rPr>
                <w:rFonts w:cstheme="minorHAnsi"/>
                <w:b/>
                <w:bCs/>
              </w:rPr>
              <w:t>английский</w:t>
            </w:r>
          </w:p>
        </w:tc>
      </w:tr>
      <w:tr w:rsidR="00CD34AE" w:rsidRPr="007E30F5" w:rsidTr="00CD34AE">
        <w:trPr>
          <w:trHeight w:val="850"/>
        </w:trPr>
        <w:tc>
          <w:tcPr>
            <w:tcW w:w="9923" w:type="dxa"/>
            <w:gridSpan w:val="2"/>
          </w:tcPr>
          <w:p w:rsidR="00CD34AE" w:rsidRPr="007E30F5" w:rsidRDefault="00A45896" w:rsidP="00761661">
            <w:pPr>
              <w:pStyle w:val="Source"/>
              <w:framePr w:hSpace="0" w:wrap="auto" w:vAnchor="margin" w:hAnchor="text" w:yAlign="inline"/>
            </w:pPr>
            <w:bookmarkStart w:id="4" w:name="Source"/>
            <w:bookmarkEnd w:id="4"/>
            <w:r w:rsidRPr="007E30F5">
              <w:t>Директор Бюро развития электросвязи</w:t>
            </w:r>
          </w:p>
        </w:tc>
      </w:tr>
      <w:tr w:rsidR="00CD34AE" w:rsidRPr="007E30F5" w:rsidTr="00270876">
        <w:tc>
          <w:tcPr>
            <w:tcW w:w="9923" w:type="dxa"/>
            <w:gridSpan w:val="2"/>
          </w:tcPr>
          <w:p w:rsidR="00CD34AE" w:rsidRPr="007E30F5" w:rsidRDefault="00702247" w:rsidP="00761661">
            <w:pPr>
              <w:pStyle w:val="Title1"/>
              <w:spacing w:before="360" w:after="0"/>
            </w:pPr>
            <w:bookmarkStart w:id="5" w:name="Title"/>
            <w:bookmarkEnd w:id="5"/>
            <w:r w:rsidRPr="007E30F5">
              <w:t xml:space="preserve">электросвязь в чрезвычайных ситуациях, изменение климата, </w:t>
            </w:r>
            <w:r w:rsidR="003C1563" w:rsidRPr="007E30F5">
              <w:br/>
            </w:r>
            <w:r w:rsidRPr="007E30F5">
              <w:t>электронные отходы, нрс, ллдс и сидс</w:t>
            </w:r>
          </w:p>
        </w:tc>
      </w:tr>
      <w:tr w:rsidR="00CD34AE" w:rsidRPr="007E30F5" w:rsidTr="00CD34AE">
        <w:tc>
          <w:tcPr>
            <w:tcW w:w="9923" w:type="dxa"/>
            <w:gridSpan w:val="2"/>
            <w:tcBorders>
              <w:bottom w:val="single" w:sz="4" w:space="0" w:color="auto"/>
            </w:tcBorders>
          </w:tcPr>
          <w:p w:rsidR="00CD34AE" w:rsidRPr="007E30F5" w:rsidRDefault="00CD34AE" w:rsidP="00761661">
            <w:pPr>
              <w:spacing w:before="240"/>
            </w:pPr>
          </w:p>
        </w:tc>
      </w:tr>
      <w:tr w:rsidR="00CD34AE" w:rsidRPr="007E30F5" w:rsidTr="00CD34AE">
        <w:trPr>
          <w:trHeight w:val="703"/>
        </w:trPr>
        <w:tc>
          <w:tcPr>
            <w:tcW w:w="9923" w:type="dxa"/>
            <w:gridSpan w:val="2"/>
            <w:tcBorders>
              <w:top w:val="single" w:sz="4" w:space="0" w:color="auto"/>
              <w:left w:val="single" w:sz="4" w:space="0" w:color="auto"/>
              <w:bottom w:val="single" w:sz="4" w:space="0" w:color="auto"/>
              <w:right w:val="single" w:sz="4" w:space="0" w:color="auto"/>
            </w:tcBorders>
          </w:tcPr>
          <w:p w:rsidR="00A45896" w:rsidRPr="007E30F5" w:rsidRDefault="00A45896" w:rsidP="00761661">
            <w:pPr>
              <w:pStyle w:val="Headingb"/>
            </w:pPr>
            <w:r w:rsidRPr="007E30F5">
              <w:t>Резюме</w:t>
            </w:r>
          </w:p>
          <w:p w:rsidR="00A45896" w:rsidRPr="007E30F5" w:rsidRDefault="003C1563" w:rsidP="003C1563">
            <w:pPr>
              <w:spacing w:after="120"/>
              <w:ind w:right="48"/>
              <w:rPr>
                <w:rFonts w:cs="Calibri"/>
                <w:szCs w:val="28"/>
              </w:rPr>
            </w:pPr>
            <w:r w:rsidRPr="007E30F5">
              <w:t>В настоящем документе содержится краткое изложение работы, проделанной Бюро развития электросвязи в период после последнего собрания КГРЭ</w:t>
            </w:r>
            <w:r w:rsidR="00637852" w:rsidRPr="007E30F5">
              <w:t xml:space="preserve">. </w:t>
            </w:r>
            <w:r w:rsidRPr="007E30F5">
              <w:t>Документ охватывает работу по</w:t>
            </w:r>
            <w:r w:rsidR="00761661" w:rsidRPr="007E30F5">
              <w:t xml:space="preserve"> </w:t>
            </w:r>
            <w:r w:rsidRPr="007E30F5">
              <w:rPr>
                <w:szCs w:val="26"/>
              </w:rPr>
              <w:t>электросвязи в чрезвычайных ситуациях, изменению климата, электронным отходам, а также концентрированной помощи наименее развитым странам (НРС), развивающимся странам, не имеющим выхода к морю (ЛЛДС), и малым островным развивающимся государствам</w:t>
            </w:r>
            <w:r w:rsidR="00637852" w:rsidRPr="007E30F5">
              <w:t xml:space="preserve"> (</w:t>
            </w:r>
            <w:r w:rsidRPr="007E30F5">
              <w:t>СИДС</w:t>
            </w:r>
            <w:r w:rsidR="00637852" w:rsidRPr="007E30F5">
              <w:t>).</w:t>
            </w:r>
          </w:p>
          <w:p w:rsidR="00A45896" w:rsidRPr="007E30F5" w:rsidRDefault="00A45896" w:rsidP="00761661">
            <w:pPr>
              <w:pStyle w:val="Headingb"/>
            </w:pPr>
            <w:r w:rsidRPr="007E30F5">
              <w:t>Необходимые действия</w:t>
            </w:r>
          </w:p>
          <w:p w:rsidR="00A45896" w:rsidRPr="007E30F5" w:rsidRDefault="00A45896" w:rsidP="00761661">
            <w:pPr>
              <w:rPr>
                <w:b/>
                <w:bCs/>
              </w:rPr>
            </w:pPr>
            <w:r w:rsidRPr="007E30F5">
              <w:t xml:space="preserve">КГРЭ предлагается </w:t>
            </w:r>
            <w:r w:rsidR="00637852" w:rsidRPr="007E30F5">
              <w:t xml:space="preserve">принять </w:t>
            </w:r>
            <w:r w:rsidRPr="007E30F5">
              <w:t xml:space="preserve">настоящий </w:t>
            </w:r>
            <w:r w:rsidR="00637852" w:rsidRPr="007E30F5">
              <w:t xml:space="preserve">документ к сведению </w:t>
            </w:r>
            <w:r w:rsidRPr="007E30F5">
              <w:t xml:space="preserve">и </w:t>
            </w:r>
            <w:r w:rsidR="00637852" w:rsidRPr="007E30F5">
              <w:rPr>
                <w:color w:val="000000"/>
              </w:rPr>
              <w:t>представить руководящие</w:t>
            </w:r>
            <w:r w:rsidRPr="007E30F5">
              <w:t xml:space="preserve"> указания, которые она сочтет необходимыми.</w:t>
            </w:r>
          </w:p>
          <w:p w:rsidR="00A45896" w:rsidRPr="007E30F5" w:rsidRDefault="00A45896" w:rsidP="00761661">
            <w:pPr>
              <w:pStyle w:val="Headingb"/>
            </w:pPr>
            <w:r w:rsidRPr="007E30F5">
              <w:t>Справочные материалы</w:t>
            </w:r>
          </w:p>
          <w:p w:rsidR="00CD34AE" w:rsidRPr="007E30F5" w:rsidRDefault="00637852" w:rsidP="00637852">
            <w:pPr>
              <w:spacing w:after="120"/>
              <w:rPr>
                <w:b/>
                <w:bCs/>
              </w:rPr>
            </w:pPr>
            <w:r w:rsidRPr="007E30F5">
              <w:t>Резолюция 30 (Пересм. Пусан, 2014 г.) ПК, Резолюция 34 (Пересм. Пусан, 2014 г.) ПК, Резолюция 136 (Пересм. Дубай, 2018 г.) ПК, Резолюция 139 (Пересм. Дубай, 2018 г.) ПК, Резолюция 175 (Пересм. Дубай, 2018 г.) ПК, Резолюция 182 (Пересм. Дубай, 2018 г.) ПК, Резолюция 5 (Пересм. Буэнос-Айрес, 2017 г.) ВКРЭ, Резолюция 16 (Пересм. Буэнос-Айрес, 2017 г.) ВКРЭ, Резолюция 25 (Пересм. Буэнос-Айрес, 2017 г.) ВКРЭ, Резолюция 34 (Пересм. Буэнос-Айрес, 2017 г.) ВКРЭ, Резолюция 37 (Пересм. Буэнос-Айрес, 2017 г.) ВКРЭ, Резолюция 66 (Пересм. Буэнос-Айрес, 2017 г.) ВКРЭ</w:t>
            </w:r>
          </w:p>
        </w:tc>
      </w:tr>
    </w:tbl>
    <w:p w:rsidR="007E30F5" w:rsidRPr="007E30F5" w:rsidRDefault="007E30F5">
      <w:pPr>
        <w:tabs>
          <w:tab w:val="clear" w:pos="794"/>
          <w:tab w:val="clear" w:pos="1191"/>
          <w:tab w:val="clear" w:pos="1588"/>
          <w:tab w:val="clear" w:pos="1985"/>
        </w:tabs>
        <w:overflowPunct/>
        <w:autoSpaceDE/>
        <w:autoSpaceDN/>
        <w:adjustRightInd/>
        <w:spacing w:before="0" w:after="200" w:line="276" w:lineRule="auto"/>
        <w:textAlignment w:val="auto"/>
        <w:rPr>
          <w:b/>
        </w:rPr>
      </w:pPr>
      <w:r w:rsidRPr="007E30F5">
        <w:rPr>
          <w:b/>
        </w:rPr>
        <w:br w:type="page"/>
      </w:r>
    </w:p>
    <w:p w:rsidR="00B905E6" w:rsidRPr="007E30F5" w:rsidRDefault="00B905E6" w:rsidP="00B905E6">
      <w:pPr>
        <w:pStyle w:val="Heading1"/>
      </w:pPr>
      <w:r w:rsidRPr="007E30F5">
        <w:lastRenderedPageBreak/>
        <w:t>1</w:t>
      </w:r>
      <w:r w:rsidRPr="007E30F5">
        <w:tab/>
        <w:t>Введение</w:t>
      </w:r>
    </w:p>
    <w:p w:rsidR="00637852" w:rsidRPr="007E30F5" w:rsidRDefault="008B5817" w:rsidP="007E30F5">
      <w:pPr>
        <w:rPr>
          <w:rFonts w:eastAsia="Calibri" w:cs="Calibri"/>
          <w:szCs w:val="24"/>
        </w:rPr>
      </w:pPr>
      <w:r w:rsidRPr="007E30F5">
        <w:rPr>
          <w:szCs w:val="24"/>
        </w:rPr>
        <w:t>В настоящем документе представлен краткий обзор работы, проделанной в виде концентрированной помощи НРС, Л</w:t>
      </w:r>
      <w:r w:rsidR="00344AAF" w:rsidRPr="007E30F5">
        <w:rPr>
          <w:szCs w:val="24"/>
        </w:rPr>
        <w:t>Л</w:t>
      </w:r>
      <w:r w:rsidRPr="007E30F5">
        <w:rPr>
          <w:szCs w:val="24"/>
        </w:rPr>
        <w:t>ДС</w:t>
      </w:r>
      <w:r w:rsidR="00344AAF" w:rsidRPr="007E30F5">
        <w:rPr>
          <w:szCs w:val="24"/>
        </w:rPr>
        <w:t xml:space="preserve"> и СИДС</w:t>
      </w:r>
      <w:r w:rsidR="00637852" w:rsidRPr="007E30F5">
        <w:rPr>
          <w:rFonts w:eastAsia="Calibri" w:cs="Calibri"/>
          <w:szCs w:val="24"/>
        </w:rPr>
        <w:t xml:space="preserve">. </w:t>
      </w:r>
      <w:r w:rsidR="00344AAF" w:rsidRPr="007E30F5">
        <w:rPr>
          <w:rFonts w:eastAsia="Calibri" w:cs="Calibri"/>
          <w:szCs w:val="24"/>
        </w:rPr>
        <w:t xml:space="preserve">В нем также содержатся сведения о помощи и поддержке, предоставленным Государствам – Членам МСЭ в использовании электросвязи/ИКТ для </w:t>
      </w:r>
      <w:r w:rsidR="007E30F5">
        <w:rPr>
          <w:rFonts w:eastAsia="Calibri" w:cs="Calibri"/>
          <w:szCs w:val="24"/>
        </w:rPr>
        <w:t>уменьшения</w:t>
      </w:r>
      <w:r w:rsidR="00344AAF" w:rsidRPr="007E30F5">
        <w:rPr>
          <w:rFonts w:eastAsia="Calibri" w:cs="Calibri"/>
          <w:szCs w:val="24"/>
        </w:rPr>
        <w:t xml:space="preserve"> риска бедствий и управления операциями</w:t>
      </w:r>
      <w:r w:rsidR="00BB7A54" w:rsidRPr="007E30F5">
        <w:rPr>
          <w:rFonts w:eastAsia="Calibri" w:cs="Calibri"/>
          <w:szCs w:val="24"/>
        </w:rPr>
        <w:t xml:space="preserve"> при бедствиях, адаптации к изменению климата и смягчени</w:t>
      </w:r>
      <w:r w:rsidR="003C1563" w:rsidRPr="007E30F5">
        <w:rPr>
          <w:rFonts w:eastAsia="Calibri" w:cs="Calibri"/>
          <w:szCs w:val="24"/>
        </w:rPr>
        <w:t>я</w:t>
      </w:r>
      <w:r w:rsidR="00BB7A54" w:rsidRPr="007E30F5">
        <w:rPr>
          <w:rFonts w:eastAsia="Calibri" w:cs="Calibri"/>
          <w:szCs w:val="24"/>
        </w:rPr>
        <w:t xml:space="preserve"> его последствий, а также управлени</w:t>
      </w:r>
      <w:r w:rsidR="003C1563" w:rsidRPr="007E30F5">
        <w:rPr>
          <w:rFonts w:eastAsia="Calibri" w:cs="Calibri"/>
          <w:szCs w:val="24"/>
        </w:rPr>
        <w:t>я</w:t>
      </w:r>
      <w:r w:rsidR="00BB7A54" w:rsidRPr="007E30F5">
        <w:rPr>
          <w:rFonts w:eastAsia="Calibri" w:cs="Calibri"/>
          <w:szCs w:val="24"/>
        </w:rPr>
        <w:t xml:space="preserve"> электронными отходами</w:t>
      </w:r>
      <w:r w:rsidR="00637852" w:rsidRPr="007E30F5">
        <w:rPr>
          <w:rFonts w:eastAsia="Calibri" w:cs="Calibri"/>
          <w:szCs w:val="24"/>
        </w:rPr>
        <w:t xml:space="preserve">. </w:t>
      </w:r>
    </w:p>
    <w:p w:rsidR="00637852" w:rsidRPr="007E30F5" w:rsidRDefault="00BB7A54" w:rsidP="007E30F5">
      <w:pPr>
        <w:pStyle w:val="Heading1"/>
      </w:pPr>
      <w:r w:rsidRPr="007E30F5">
        <w:t>2</w:t>
      </w:r>
      <w:r w:rsidRPr="007E30F5">
        <w:tab/>
        <w:t xml:space="preserve">Концентрированная помощь </w:t>
      </w:r>
      <w:r w:rsidRPr="007E30F5">
        <w:rPr>
          <w:bCs/>
        </w:rPr>
        <w:t>НРС, ЛЛДС и СИДС</w:t>
      </w:r>
    </w:p>
    <w:p w:rsidR="00637852" w:rsidRPr="007E30F5" w:rsidRDefault="00BB7A54" w:rsidP="003C1563">
      <w:pPr>
        <w:overflowPunct/>
        <w:autoSpaceDE/>
        <w:autoSpaceDN/>
        <w:adjustRightInd/>
        <w:textAlignment w:val="auto"/>
        <w:rPr>
          <w:rFonts w:eastAsia="Batang"/>
          <w:szCs w:val="24"/>
        </w:rPr>
      </w:pPr>
      <w:r w:rsidRPr="007E30F5">
        <w:rPr>
          <w:rFonts w:eastAsia="Calibri" w:cs="Calibri"/>
          <w:color w:val="000000" w:themeColor="text1"/>
          <w:szCs w:val="24"/>
        </w:rPr>
        <w:t>В</w:t>
      </w:r>
      <w:r w:rsidR="00637852" w:rsidRPr="007E30F5">
        <w:rPr>
          <w:rFonts w:eastAsia="Calibri" w:cs="Calibri"/>
          <w:color w:val="000000" w:themeColor="text1"/>
          <w:szCs w:val="24"/>
        </w:rPr>
        <w:t xml:space="preserve"> 2018 </w:t>
      </w:r>
      <w:r w:rsidRPr="007E30F5">
        <w:rPr>
          <w:rFonts w:eastAsia="Calibri" w:cs="Calibri"/>
          <w:color w:val="000000" w:themeColor="text1"/>
          <w:szCs w:val="24"/>
        </w:rPr>
        <w:t xml:space="preserve">году проводились виды деятельности, направленные на укрепление потенциала </w:t>
      </w:r>
      <w:r w:rsidRPr="007E30F5">
        <w:rPr>
          <w:szCs w:val="24"/>
        </w:rPr>
        <w:t>НРС, ЛЛДС и СИДС</w:t>
      </w:r>
      <w:r w:rsidR="00637852" w:rsidRPr="007E30F5">
        <w:rPr>
          <w:rFonts w:eastAsia="Calibri" w:cs="Calibri"/>
          <w:color w:val="000000" w:themeColor="text1"/>
          <w:szCs w:val="24"/>
        </w:rPr>
        <w:t>.</w:t>
      </w:r>
      <w:r w:rsidRPr="007E30F5">
        <w:rPr>
          <w:rFonts w:eastAsia="Calibri" w:cs="Calibri"/>
          <w:color w:val="000000" w:themeColor="text1"/>
          <w:szCs w:val="24"/>
        </w:rPr>
        <w:t xml:space="preserve"> В их число входили </w:t>
      </w:r>
      <w:r w:rsidR="00C80017" w:rsidRPr="007E30F5">
        <w:rPr>
          <w:rFonts w:eastAsia="Calibri" w:cs="Calibri"/>
          <w:color w:val="000000" w:themeColor="text1"/>
          <w:szCs w:val="24"/>
        </w:rPr>
        <w:t xml:space="preserve">очная и онлайновая профессиональная подготовка, совместное использование руководящих указаний и передового опыта </w:t>
      </w:r>
      <w:r w:rsidR="001C7645" w:rsidRPr="007E30F5">
        <w:rPr>
          <w:rFonts w:eastAsia="Calibri" w:cs="Calibri"/>
          <w:color w:val="000000" w:themeColor="text1"/>
          <w:szCs w:val="24"/>
        </w:rPr>
        <w:t xml:space="preserve">в области доступа к ИКТ и их </w:t>
      </w:r>
      <w:r w:rsidR="003C1563" w:rsidRPr="007E30F5">
        <w:rPr>
          <w:rFonts w:eastAsia="Calibri" w:cs="Calibri"/>
          <w:color w:val="000000" w:themeColor="text1"/>
          <w:szCs w:val="24"/>
        </w:rPr>
        <w:t>примене</w:t>
      </w:r>
      <w:r w:rsidR="001C7645" w:rsidRPr="007E30F5">
        <w:rPr>
          <w:rFonts w:eastAsia="Calibri" w:cs="Calibri"/>
          <w:color w:val="000000" w:themeColor="text1"/>
          <w:szCs w:val="24"/>
        </w:rPr>
        <w:t>ния в рамках политического руководства</w:t>
      </w:r>
      <w:r w:rsidR="00637852" w:rsidRPr="007E30F5">
        <w:rPr>
          <w:rFonts w:eastAsia="Calibri" w:cs="Calibri"/>
          <w:color w:val="000000" w:themeColor="text1"/>
          <w:szCs w:val="24"/>
        </w:rPr>
        <w:t xml:space="preserve">. </w:t>
      </w:r>
      <w:r w:rsidR="001C7645" w:rsidRPr="007E30F5">
        <w:rPr>
          <w:rFonts w:eastAsia="Calibri" w:cs="Calibri"/>
          <w:color w:val="000000" w:themeColor="text1"/>
          <w:szCs w:val="24"/>
        </w:rPr>
        <w:t xml:space="preserve">Что касается совместного использования информации, был опубликован специальный отчет </w:t>
      </w:r>
      <w:r w:rsidR="001C7645" w:rsidRPr="007E30F5">
        <w:rPr>
          <w:color w:val="000000"/>
        </w:rPr>
        <w:t>"</w:t>
      </w:r>
      <w:hyperlink r:id="rId9" w:history="1">
        <w:r w:rsidR="001C7645" w:rsidRPr="007E30F5">
          <w:rPr>
            <w:rStyle w:val="Hyperlink"/>
          </w:rPr>
          <w:t>ИКТ, НРС и ЦУР – Внедрение универсального и приемлемого в ценовом отношении интернета в наименее развитых странах</w:t>
        </w:r>
      </w:hyperlink>
      <w:r w:rsidR="001C7645" w:rsidRPr="007E30F5">
        <w:rPr>
          <w:color w:val="000000"/>
        </w:rPr>
        <w:t>"</w:t>
      </w:r>
      <w:r w:rsidR="00637852" w:rsidRPr="007E30F5">
        <w:rPr>
          <w:rFonts w:eastAsia="Batang"/>
          <w:color w:val="000000" w:themeColor="text1"/>
          <w:szCs w:val="24"/>
        </w:rPr>
        <w:t xml:space="preserve">. </w:t>
      </w:r>
      <w:r w:rsidR="001C7645" w:rsidRPr="007E30F5">
        <w:rPr>
          <w:rFonts w:eastAsia="Batang"/>
          <w:color w:val="000000" w:themeColor="text1"/>
          <w:szCs w:val="24"/>
        </w:rPr>
        <w:t xml:space="preserve">В отчете, который был подготовлен совместно с </w:t>
      </w:r>
      <w:r w:rsidR="001C7645" w:rsidRPr="007E30F5">
        <w:rPr>
          <w:rStyle w:val="preferred"/>
          <w:rFonts w:asciiTheme="minorHAnsi" w:hAnsiTheme="minorHAnsi" w:cs="Helvetica"/>
          <w:color w:val="333333"/>
        </w:rPr>
        <w:t>Канцелярией Высокого представителя ООН по наименее развитым странам, развивающимся странам, не имеющим выхода к морю, и малым островным развивающимся государствам</w:t>
      </w:r>
      <w:r w:rsidR="001C7645" w:rsidRPr="007E30F5">
        <w:rPr>
          <w:rFonts w:eastAsia="Batang"/>
          <w:color w:val="000000" w:themeColor="text1"/>
          <w:sz w:val="24"/>
          <w:szCs w:val="28"/>
        </w:rPr>
        <w:t xml:space="preserve"> </w:t>
      </w:r>
      <w:r w:rsidR="00637852" w:rsidRPr="007E30F5">
        <w:rPr>
          <w:rFonts w:eastAsia="Batang"/>
          <w:color w:val="000000" w:themeColor="text1"/>
          <w:szCs w:val="24"/>
        </w:rPr>
        <w:t>(</w:t>
      </w:r>
      <w:r w:rsidR="001C7645" w:rsidRPr="007E30F5">
        <w:rPr>
          <w:rStyle w:val="acronym"/>
          <w:rFonts w:ascii="Helvetica" w:hAnsi="Helvetica" w:cs="Helvetica"/>
          <w:color w:val="333333"/>
          <w:sz w:val="21"/>
          <w:szCs w:val="21"/>
        </w:rPr>
        <w:t>КВПНРМ</w:t>
      </w:r>
      <w:r w:rsidR="00637852" w:rsidRPr="007E30F5">
        <w:rPr>
          <w:rFonts w:eastAsia="Batang"/>
          <w:color w:val="000000" w:themeColor="text1"/>
          <w:szCs w:val="24"/>
        </w:rPr>
        <w:t xml:space="preserve">), </w:t>
      </w:r>
      <w:r w:rsidR="001C7645" w:rsidRPr="007E30F5">
        <w:rPr>
          <w:rFonts w:eastAsia="Batang"/>
          <w:color w:val="000000" w:themeColor="text1"/>
          <w:szCs w:val="24"/>
        </w:rPr>
        <w:t>основное внимание уделяется инфраструктуре ИКТ и динамике приемлемости в ценовом отношении</w:t>
      </w:r>
      <w:r w:rsidR="00637852" w:rsidRPr="007E30F5">
        <w:rPr>
          <w:rFonts w:eastAsia="Batang"/>
          <w:color w:val="000000" w:themeColor="text1"/>
          <w:szCs w:val="24"/>
        </w:rPr>
        <w:t xml:space="preserve">. </w:t>
      </w:r>
      <w:r w:rsidR="001C7645" w:rsidRPr="007E30F5">
        <w:rPr>
          <w:rFonts w:eastAsia="Batang"/>
          <w:color w:val="000000" w:themeColor="text1"/>
          <w:szCs w:val="24"/>
        </w:rPr>
        <w:t>Он является вкладом в достижении Цели 9 в области устойчивого развития</w:t>
      </w:r>
      <w:r w:rsidR="00637852" w:rsidRPr="007E30F5">
        <w:rPr>
          <w:rFonts w:eastAsia="Batang"/>
          <w:color w:val="000000" w:themeColor="text1"/>
          <w:szCs w:val="24"/>
        </w:rPr>
        <w:t xml:space="preserve"> (</w:t>
      </w:r>
      <w:r w:rsidR="001C7645" w:rsidRPr="007E30F5">
        <w:rPr>
          <w:rFonts w:eastAsia="Batang"/>
          <w:color w:val="000000" w:themeColor="text1"/>
          <w:szCs w:val="24"/>
        </w:rPr>
        <w:t>ЦУР</w:t>
      </w:r>
      <w:r w:rsidR="00637852" w:rsidRPr="007E30F5">
        <w:rPr>
          <w:rFonts w:eastAsia="Batang"/>
          <w:color w:val="000000" w:themeColor="text1"/>
          <w:szCs w:val="24"/>
        </w:rPr>
        <w:t xml:space="preserve"> 9, </w:t>
      </w:r>
      <w:r w:rsidR="001C7645" w:rsidRPr="007E30F5">
        <w:rPr>
          <w:rFonts w:eastAsia="Batang"/>
          <w:color w:val="000000" w:themeColor="text1"/>
          <w:szCs w:val="24"/>
        </w:rPr>
        <w:t>задача </w:t>
      </w:r>
      <w:r w:rsidR="00637852" w:rsidRPr="007E30F5">
        <w:rPr>
          <w:rFonts w:eastAsia="Batang"/>
          <w:color w:val="000000" w:themeColor="text1"/>
          <w:szCs w:val="24"/>
        </w:rPr>
        <w:t xml:space="preserve">9c). </w:t>
      </w:r>
      <w:r w:rsidR="001C7645" w:rsidRPr="007E30F5">
        <w:rPr>
          <w:rFonts w:eastAsia="Batang"/>
          <w:color w:val="000000" w:themeColor="text1"/>
          <w:szCs w:val="24"/>
        </w:rPr>
        <w:t>В отчете подчеркивается, что, хотя масштабы доступа к интернету существенно возросли</w:t>
      </w:r>
      <w:r w:rsidR="00637852" w:rsidRPr="007E30F5">
        <w:rPr>
          <w:rFonts w:eastAsia="Batang"/>
          <w:color w:val="000000" w:themeColor="text1"/>
          <w:szCs w:val="24"/>
        </w:rPr>
        <w:t xml:space="preserve">, </w:t>
      </w:r>
      <w:r w:rsidR="00637852" w:rsidRPr="007E30F5">
        <w:rPr>
          <w:rFonts w:cs="Segoe UI"/>
          <w:color w:val="000000" w:themeColor="text1"/>
          <w:szCs w:val="24"/>
        </w:rPr>
        <w:t>800</w:t>
      </w:r>
      <w:r w:rsidR="00697F52" w:rsidRPr="007E30F5">
        <w:rPr>
          <w:rFonts w:cs="Segoe UI"/>
          <w:color w:val="000000" w:themeColor="text1"/>
          <w:szCs w:val="24"/>
        </w:rPr>
        <w:t xml:space="preserve"> млн. </w:t>
      </w:r>
      <w:r w:rsidR="003C1563" w:rsidRPr="007E30F5">
        <w:rPr>
          <w:rFonts w:cs="Segoe UI"/>
          <w:color w:val="000000" w:themeColor="text1"/>
          <w:szCs w:val="24"/>
        </w:rPr>
        <w:t>ч</w:t>
      </w:r>
      <w:r w:rsidR="00697F52" w:rsidRPr="007E30F5">
        <w:rPr>
          <w:rFonts w:cs="Segoe UI"/>
          <w:color w:val="000000" w:themeColor="text1"/>
          <w:szCs w:val="24"/>
        </w:rPr>
        <w:t>еловек в НРС остаются неподключенными, а в 2020 году менее</w:t>
      </w:r>
      <w:r w:rsidR="007E30F5">
        <w:rPr>
          <w:rFonts w:cs="Segoe UI"/>
          <w:color w:val="000000" w:themeColor="text1"/>
          <w:szCs w:val="24"/>
        </w:rPr>
        <w:t xml:space="preserve"> одного</w:t>
      </w:r>
      <w:r w:rsidR="00697F52" w:rsidRPr="007E30F5">
        <w:rPr>
          <w:rFonts w:cs="Segoe UI"/>
          <w:color w:val="000000" w:themeColor="text1"/>
          <w:szCs w:val="24"/>
        </w:rPr>
        <w:t xml:space="preserve"> из каждых четырех человек в НРС будут использовать интернет</w:t>
      </w:r>
      <w:r w:rsidR="00637852" w:rsidRPr="007E30F5">
        <w:rPr>
          <w:rFonts w:cs="Segoe UI"/>
          <w:color w:val="000000" w:themeColor="text1"/>
          <w:szCs w:val="24"/>
        </w:rPr>
        <w:t xml:space="preserve">. </w:t>
      </w:r>
      <w:r w:rsidR="00697F52" w:rsidRPr="007E30F5">
        <w:rPr>
          <w:rFonts w:cs="Segoe UI"/>
          <w:color w:val="000000" w:themeColor="text1"/>
          <w:szCs w:val="24"/>
        </w:rPr>
        <w:t>Многим людям не хватает необходимых навыков, и правительства должны увязывать стратегические планы по сектору ИКТ и политику в области образования</w:t>
      </w:r>
      <w:r w:rsidR="00637852" w:rsidRPr="007E30F5">
        <w:rPr>
          <w:rFonts w:eastAsia="Batang"/>
          <w:color w:val="000000" w:themeColor="text1"/>
          <w:szCs w:val="24"/>
        </w:rPr>
        <w:t xml:space="preserve">. </w:t>
      </w:r>
      <w:r w:rsidR="00697F52" w:rsidRPr="007E30F5">
        <w:rPr>
          <w:rFonts w:eastAsia="Batang"/>
          <w:color w:val="000000" w:themeColor="text1"/>
          <w:szCs w:val="24"/>
        </w:rPr>
        <w:t xml:space="preserve">В отчете также предлагается новая </w:t>
      </w:r>
      <w:r w:rsidR="00697F52" w:rsidRPr="007E30F5">
        <w:rPr>
          <w:color w:val="000000"/>
        </w:rPr>
        <w:t>трехмерная основа, в которой НРС классифицируются по трем категориям на основании их общих показателей в областях доступа, приемлемости в ценовом отношении и навыков</w:t>
      </w:r>
      <w:r w:rsidR="00637852" w:rsidRPr="007E30F5">
        <w:rPr>
          <w:rFonts w:eastAsia="Batang"/>
          <w:szCs w:val="24"/>
        </w:rPr>
        <w:t xml:space="preserve">. </w:t>
      </w:r>
      <w:r w:rsidR="00227A69" w:rsidRPr="007E30F5">
        <w:rPr>
          <w:rFonts w:eastAsia="Batang"/>
          <w:szCs w:val="24"/>
        </w:rPr>
        <w:t xml:space="preserve">Эта основа рассчитана на то, чтобы помочь странам определить области, которые больше других нуждаются </w:t>
      </w:r>
      <w:r w:rsidR="00691CE6" w:rsidRPr="007E30F5">
        <w:rPr>
          <w:rFonts w:eastAsia="Batang"/>
          <w:szCs w:val="24"/>
        </w:rPr>
        <w:t>в мерах политики и приоритетном выделении ограниченных финансовых и людских ресурсов</w:t>
      </w:r>
      <w:r w:rsidR="00F23A87">
        <w:rPr>
          <w:rFonts w:eastAsia="Batang"/>
          <w:szCs w:val="24"/>
        </w:rPr>
        <w:t>.</w:t>
      </w:r>
    </w:p>
    <w:p w:rsidR="00637852" w:rsidRPr="007E30F5" w:rsidRDefault="00691CE6" w:rsidP="00705B02">
      <w:pPr>
        <w:overflowPunct/>
        <w:autoSpaceDE/>
        <w:autoSpaceDN/>
        <w:adjustRightInd/>
        <w:textAlignment w:val="auto"/>
        <w:rPr>
          <w:rFonts w:eastAsia="Batang"/>
          <w:color w:val="000000" w:themeColor="text1"/>
          <w:szCs w:val="24"/>
        </w:rPr>
      </w:pPr>
      <w:r w:rsidRPr="007E30F5">
        <w:rPr>
          <w:rFonts w:eastAsia="Batang"/>
          <w:szCs w:val="24"/>
        </w:rPr>
        <w:t xml:space="preserve">БРЭ также проводило </w:t>
      </w:r>
      <w:hyperlink r:id="rId10" w:history="1">
        <w:r w:rsidRPr="007E30F5">
          <w:rPr>
            <w:rStyle w:val="Hyperlink"/>
            <w:rFonts w:eastAsia="Batang"/>
            <w:szCs w:val="24"/>
          </w:rPr>
          <w:t>страновые исследования конкретных ситуаций</w:t>
        </w:r>
      </w:hyperlink>
      <w:r w:rsidRPr="007E30F5">
        <w:rPr>
          <w:rFonts w:eastAsia="Batang"/>
          <w:szCs w:val="24"/>
        </w:rPr>
        <w:t xml:space="preserve"> в области ИКТ, в которых анализируются связанные с возможностью установления соединений проблемы и перспективы в ЛЛДС; последние исследования были проведены в Боливии и Парагвае</w:t>
      </w:r>
      <w:r w:rsidR="00637852" w:rsidRPr="007E30F5">
        <w:rPr>
          <w:rFonts w:eastAsia="Batang"/>
          <w:szCs w:val="24"/>
        </w:rPr>
        <w:t xml:space="preserve">. </w:t>
      </w:r>
      <w:r w:rsidR="00705B02" w:rsidRPr="007E30F5">
        <w:rPr>
          <w:rFonts w:eastAsia="Batang"/>
          <w:szCs w:val="24"/>
        </w:rPr>
        <w:t>Наряду с этим оказывалась прямая помощь во многих других связанных с ИКТ областях, таких как регулирование использования спектра, кибербезопасность, национальная политика в области ИКТ, регулирование тарифов и развитие инфраструктуры</w:t>
      </w:r>
      <w:r w:rsidR="00637852" w:rsidRPr="007E30F5">
        <w:rPr>
          <w:szCs w:val="24"/>
        </w:rPr>
        <w:t xml:space="preserve">. </w:t>
      </w:r>
    </w:p>
    <w:p w:rsidR="00637852" w:rsidRPr="007E30F5" w:rsidRDefault="00877F75" w:rsidP="007E30F5">
      <w:pPr>
        <w:pStyle w:val="Heading1"/>
      </w:pPr>
      <w:r w:rsidRPr="007E30F5">
        <w:t>3</w:t>
      </w:r>
      <w:r w:rsidRPr="007E30F5">
        <w:tab/>
        <w:t>Электросвязь в чрезвычайных ситуациях</w:t>
      </w:r>
    </w:p>
    <w:p w:rsidR="00637852" w:rsidRPr="007E30F5" w:rsidRDefault="00877F75" w:rsidP="007557EB">
      <w:pPr>
        <w:overflowPunct/>
        <w:autoSpaceDE/>
        <w:autoSpaceDN/>
        <w:adjustRightInd/>
        <w:textAlignment w:val="auto"/>
        <w:rPr>
          <w:szCs w:val="24"/>
        </w:rPr>
      </w:pPr>
      <w:r w:rsidRPr="007E30F5">
        <w:rPr>
          <w:szCs w:val="24"/>
        </w:rPr>
        <w:t xml:space="preserve">БРЭ продолжало оказывать поддержку Государствам – Членам МСЭ на всех этапах управления операциями при бедствиях с целью укрепления способности стран координировать </w:t>
      </w:r>
      <w:r w:rsidR="007557EB" w:rsidRPr="007E30F5">
        <w:rPr>
          <w:szCs w:val="24"/>
        </w:rPr>
        <w:t>усилия</w:t>
      </w:r>
      <w:r w:rsidRPr="007E30F5">
        <w:rPr>
          <w:szCs w:val="24"/>
        </w:rPr>
        <w:t xml:space="preserve"> по оказанию помощи при бедствиях</w:t>
      </w:r>
      <w:r w:rsidR="007557EB" w:rsidRPr="007E30F5">
        <w:rPr>
          <w:szCs w:val="24"/>
        </w:rPr>
        <w:t xml:space="preserve"> и ликвидировать непосредственные последствия бедствий</w:t>
      </w:r>
      <w:r w:rsidR="00637852" w:rsidRPr="007E30F5">
        <w:rPr>
          <w:szCs w:val="24"/>
        </w:rPr>
        <w:t xml:space="preserve">. </w:t>
      </w:r>
      <w:r w:rsidR="00F23A87">
        <w:rPr>
          <w:szCs w:val="24"/>
        </w:rPr>
        <w:t>Что</w:t>
      </w:r>
      <w:r w:rsidR="00F23A87">
        <w:rPr>
          <w:szCs w:val="24"/>
          <w:lang w:val="fr-CH"/>
        </w:rPr>
        <w:t> </w:t>
      </w:r>
      <w:r w:rsidR="007557EB" w:rsidRPr="007E30F5">
        <w:rPr>
          <w:szCs w:val="24"/>
        </w:rPr>
        <w:t>касается развертывания в странах оборудования для электросвязи в чрезвычайных ситуациях, помощь МСЭ получили две страны</w:t>
      </w:r>
      <w:r w:rsidR="00637852" w:rsidRPr="007E30F5">
        <w:rPr>
          <w:szCs w:val="24"/>
        </w:rPr>
        <w:t xml:space="preserve"> (</w:t>
      </w:r>
      <w:hyperlink r:id="rId11" w:history="1">
        <w:r w:rsidR="007557EB" w:rsidRPr="007E30F5">
          <w:rPr>
            <w:rStyle w:val="Hyperlink"/>
            <w:szCs w:val="24"/>
          </w:rPr>
          <w:t>Тонга и Папуа-Новая Гвинея</w:t>
        </w:r>
      </w:hyperlink>
      <w:r w:rsidR="00637852" w:rsidRPr="007E30F5">
        <w:rPr>
          <w:szCs w:val="24"/>
        </w:rPr>
        <w:t xml:space="preserve">). </w:t>
      </w:r>
    </w:p>
    <w:p w:rsidR="00637852" w:rsidRPr="007E30F5" w:rsidRDefault="007557EB" w:rsidP="00A730DB">
      <w:pPr>
        <w:overflowPunct/>
        <w:autoSpaceDE/>
        <w:autoSpaceDN/>
        <w:adjustRightInd/>
        <w:textAlignment w:val="auto"/>
        <w:rPr>
          <w:szCs w:val="24"/>
        </w:rPr>
      </w:pPr>
      <w:r w:rsidRPr="007E30F5">
        <w:rPr>
          <w:szCs w:val="24"/>
        </w:rPr>
        <w:t xml:space="preserve">В отношении уменьшения риска бедствий БРЭ развернуло систему раннего предупреждения </w:t>
      </w:r>
      <w:r w:rsidR="00637852" w:rsidRPr="007E30F5">
        <w:rPr>
          <w:szCs w:val="24"/>
        </w:rPr>
        <w:t xml:space="preserve">(EWS) </w:t>
      </w:r>
      <w:r w:rsidRPr="007E30F5">
        <w:rPr>
          <w:szCs w:val="24"/>
        </w:rPr>
        <w:t>на двух площадках в Замбии</w:t>
      </w:r>
      <w:r w:rsidR="00637852" w:rsidRPr="007E30F5">
        <w:rPr>
          <w:szCs w:val="24"/>
        </w:rPr>
        <w:t xml:space="preserve">. </w:t>
      </w:r>
      <w:r w:rsidRPr="007E30F5">
        <w:rPr>
          <w:szCs w:val="24"/>
        </w:rPr>
        <w:t>Была проведена оценка потребностей в системах электросвязи в чрезвычайных ситуациях в Карибском регионе</w:t>
      </w:r>
      <w:r w:rsidR="00637852" w:rsidRPr="007E30F5">
        <w:rPr>
          <w:szCs w:val="24"/>
        </w:rPr>
        <w:t xml:space="preserve">. </w:t>
      </w:r>
      <w:r w:rsidR="00A730DB" w:rsidRPr="007E30F5">
        <w:rPr>
          <w:szCs w:val="24"/>
        </w:rPr>
        <w:t>В отношении создания потенциала БРЭ провело ряд семинаров-практикумов и курсов профессиональной подготовки с участием многих заинтересованных сторон в различных странах мира, а также приняло участие в ряде региональных и глобальных мероприятий в области электросвязи в чрезвычайных ситуациях</w:t>
      </w:r>
      <w:r w:rsidR="00637852" w:rsidRPr="007E30F5">
        <w:rPr>
          <w:szCs w:val="24"/>
        </w:rPr>
        <w:t xml:space="preserve">. </w:t>
      </w:r>
      <w:r w:rsidR="00A730DB" w:rsidRPr="007E30F5">
        <w:rPr>
          <w:szCs w:val="24"/>
        </w:rPr>
        <w:t>Эти семинары-практикумы показали свою эффективность в предоставлении платформы</w:t>
      </w:r>
      <w:r w:rsidR="00637852" w:rsidRPr="007E30F5">
        <w:rPr>
          <w:szCs w:val="24"/>
        </w:rPr>
        <w:t xml:space="preserve"> </w:t>
      </w:r>
      <w:r w:rsidR="00A730DB" w:rsidRPr="007E30F5">
        <w:rPr>
          <w:szCs w:val="24"/>
        </w:rPr>
        <w:t xml:space="preserve">для обмена опытом и </w:t>
      </w:r>
      <w:r w:rsidR="00A730DB" w:rsidRPr="007E30F5">
        <w:rPr>
          <w:szCs w:val="24"/>
        </w:rPr>
        <w:lastRenderedPageBreak/>
        <w:t>передовой практикой использования современных технологий для мониторинга бедствий, раннего предупреждения и реагирования на бедствия</w:t>
      </w:r>
      <w:r w:rsidR="00637852" w:rsidRPr="007E30F5">
        <w:rPr>
          <w:szCs w:val="24"/>
        </w:rPr>
        <w:t xml:space="preserve">. </w:t>
      </w:r>
    </w:p>
    <w:p w:rsidR="00637852" w:rsidRPr="007E30F5" w:rsidRDefault="00275E40" w:rsidP="003C1563">
      <w:pPr>
        <w:overflowPunct/>
        <w:autoSpaceDE/>
        <w:autoSpaceDN/>
        <w:adjustRightInd/>
        <w:textAlignment w:val="auto"/>
        <w:rPr>
          <w:szCs w:val="24"/>
        </w:rPr>
      </w:pPr>
      <w:r w:rsidRPr="007E30F5">
        <w:rPr>
          <w:szCs w:val="24"/>
        </w:rPr>
        <w:t>БРЭ тесно сотрудничает с другими международными организациями, в том числе с Всемирной метеорологической организацией (ВМО)</w:t>
      </w:r>
      <w:r w:rsidR="003C1563" w:rsidRPr="007E30F5">
        <w:rPr>
          <w:szCs w:val="24"/>
        </w:rPr>
        <w:t>,</w:t>
      </w:r>
      <w:r w:rsidR="007E30F5">
        <w:rPr>
          <w:szCs w:val="24"/>
        </w:rPr>
        <w:t xml:space="preserve"> для повышения информированности</w:t>
      </w:r>
      <w:r w:rsidRPr="007E30F5">
        <w:rPr>
          <w:szCs w:val="24"/>
        </w:rPr>
        <w:t xml:space="preserve"> и оказания странам помощи во внедрении </w:t>
      </w:r>
      <w:r w:rsidRPr="007E30F5">
        <w:rPr>
          <w:color w:val="000000"/>
        </w:rPr>
        <w:t>Протокола общего оповещения</w:t>
      </w:r>
      <w:r w:rsidRPr="007E30F5">
        <w:rPr>
          <w:szCs w:val="24"/>
        </w:rPr>
        <w:t xml:space="preserve"> </w:t>
      </w:r>
      <w:r w:rsidR="00637852" w:rsidRPr="007E30F5">
        <w:rPr>
          <w:szCs w:val="24"/>
        </w:rPr>
        <w:t>(CAP)</w:t>
      </w:r>
      <w:r w:rsidR="003C1563" w:rsidRPr="007E30F5">
        <w:rPr>
          <w:szCs w:val="24"/>
        </w:rPr>
        <w:t xml:space="preserve"> –</w:t>
      </w:r>
      <w:r w:rsidR="00637852" w:rsidRPr="007E30F5">
        <w:rPr>
          <w:szCs w:val="24"/>
        </w:rPr>
        <w:t xml:space="preserve"> </w:t>
      </w:r>
      <w:r w:rsidRPr="007E30F5">
        <w:rPr>
          <w:szCs w:val="24"/>
        </w:rPr>
        <w:t>пла</w:t>
      </w:r>
      <w:r w:rsidR="007E30F5">
        <w:rPr>
          <w:szCs w:val="24"/>
        </w:rPr>
        <w:t>тформы для передачи сообщений о </w:t>
      </w:r>
      <w:r w:rsidRPr="007E30F5">
        <w:rPr>
          <w:szCs w:val="24"/>
        </w:rPr>
        <w:t>предупреждении</w:t>
      </w:r>
      <w:r w:rsidR="00637852" w:rsidRPr="007E30F5">
        <w:rPr>
          <w:szCs w:val="24"/>
        </w:rPr>
        <w:t xml:space="preserve">. </w:t>
      </w:r>
      <w:r w:rsidRPr="007E30F5">
        <w:rPr>
          <w:szCs w:val="24"/>
        </w:rPr>
        <w:t xml:space="preserve">Оно также работало с региональными и международными партнерами, в том числе с </w:t>
      </w:r>
      <w:r w:rsidRPr="007E30F5">
        <w:rPr>
          <w:color w:val="000000"/>
        </w:rPr>
        <w:t xml:space="preserve">Тематическим блоком "Телекоммуникации в чрезвычайных ситуациях" </w:t>
      </w:r>
      <w:r w:rsidR="00637852" w:rsidRPr="007E30F5">
        <w:rPr>
          <w:szCs w:val="24"/>
        </w:rPr>
        <w:t xml:space="preserve">(ETC), </w:t>
      </w:r>
      <w:r w:rsidRPr="007E30F5">
        <w:rPr>
          <w:color w:val="000000"/>
        </w:rPr>
        <w:t>Международной стратегией уменьшения опасности бедствий Организации Объединенных Наций (МСУОБ ООН</w:t>
      </w:r>
      <w:r w:rsidR="00637852" w:rsidRPr="007E30F5">
        <w:rPr>
          <w:szCs w:val="24"/>
        </w:rPr>
        <w:t xml:space="preserve">), </w:t>
      </w:r>
      <w:r w:rsidRPr="007E30F5">
        <w:rPr>
          <w:color w:val="000000"/>
        </w:rPr>
        <w:t xml:space="preserve">Верховным комиссаром Организации Объединенных Наций по делам беженцев </w:t>
      </w:r>
      <w:r w:rsidR="00637852" w:rsidRPr="007E30F5">
        <w:rPr>
          <w:szCs w:val="24"/>
        </w:rPr>
        <w:t>(</w:t>
      </w:r>
      <w:r w:rsidR="007E30F5">
        <w:rPr>
          <w:szCs w:val="24"/>
        </w:rPr>
        <w:t>УВКБ </w:t>
      </w:r>
      <w:r w:rsidRPr="007E30F5">
        <w:rPr>
          <w:szCs w:val="24"/>
        </w:rPr>
        <w:t>ООН</w:t>
      </w:r>
      <w:r w:rsidR="00637852" w:rsidRPr="007E30F5">
        <w:rPr>
          <w:szCs w:val="24"/>
        </w:rPr>
        <w:t xml:space="preserve">) </w:t>
      </w:r>
      <w:r w:rsidRPr="007E30F5">
        <w:rPr>
          <w:szCs w:val="24"/>
        </w:rPr>
        <w:t>и Всемирной организацией здравоохранения (ВОЗ)</w:t>
      </w:r>
      <w:r w:rsidR="00637852" w:rsidRPr="007E30F5">
        <w:rPr>
          <w:szCs w:val="24"/>
        </w:rPr>
        <w:t xml:space="preserve">. </w:t>
      </w:r>
    </w:p>
    <w:p w:rsidR="00637852" w:rsidRPr="007E30F5" w:rsidRDefault="00D90711" w:rsidP="00E17910">
      <w:pPr>
        <w:overflowPunct/>
        <w:autoSpaceDE/>
        <w:autoSpaceDN/>
        <w:adjustRightInd/>
        <w:textAlignment w:val="auto"/>
        <w:rPr>
          <w:szCs w:val="24"/>
        </w:rPr>
      </w:pPr>
      <w:r w:rsidRPr="007E30F5">
        <w:rPr>
          <w:szCs w:val="24"/>
        </w:rPr>
        <w:t>Наконец, БРЭ вело подготовку к 3</w:t>
      </w:r>
      <w:r w:rsidRPr="007E30F5">
        <w:rPr>
          <w:szCs w:val="24"/>
        </w:rPr>
        <w:noBreakHyphen/>
        <w:t xml:space="preserve">му </w:t>
      </w:r>
      <w:r w:rsidRPr="007E30F5">
        <w:rPr>
          <w:color w:val="000000"/>
        </w:rPr>
        <w:t xml:space="preserve">Глобальному форуму по электросвязи в чрезвычайных ситуациях </w:t>
      </w:r>
      <w:r w:rsidR="00637852" w:rsidRPr="007E30F5">
        <w:rPr>
          <w:szCs w:val="24"/>
        </w:rPr>
        <w:t xml:space="preserve">(GET-19): </w:t>
      </w:r>
      <w:r w:rsidR="00E17910" w:rsidRPr="007E30F5">
        <w:rPr>
          <w:szCs w:val="24"/>
        </w:rPr>
        <w:t>Спасание жизней</w:t>
      </w:r>
      <w:r w:rsidR="00637852" w:rsidRPr="007E30F5">
        <w:rPr>
          <w:szCs w:val="24"/>
        </w:rPr>
        <w:t xml:space="preserve">, </w:t>
      </w:r>
      <w:r w:rsidR="00E17910" w:rsidRPr="007E30F5">
        <w:rPr>
          <w:szCs w:val="24"/>
        </w:rPr>
        <w:t>который пройдет</w:t>
      </w:r>
      <w:r w:rsidR="00637852" w:rsidRPr="007E30F5">
        <w:rPr>
          <w:szCs w:val="24"/>
        </w:rPr>
        <w:t xml:space="preserve"> 6</w:t>
      </w:r>
      <w:r w:rsidR="00E17910" w:rsidRPr="007E30F5">
        <w:rPr>
          <w:szCs w:val="24"/>
        </w:rPr>
        <w:t>–</w:t>
      </w:r>
      <w:r w:rsidR="00637852" w:rsidRPr="007E30F5">
        <w:rPr>
          <w:szCs w:val="24"/>
        </w:rPr>
        <w:t>8</w:t>
      </w:r>
      <w:r w:rsidR="00E17910" w:rsidRPr="007E30F5">
        <w:rPr>
          <w:szCs w:val="24"/>
        </w:rPr>
        <w:t> марта</w:t>
      </w:r>
      <w:r w:rsidR="00637852" w:rsidRPr="007E30F5">
        <w:rPr>
          <w:szCs w:val="24"/>
        </w:rPr>
        <w:t xml:space="preserve"> 2019</w:t>
      </w:r>
      <w:r w:rsidR="00E17910" w:rsidRPr="007E30F5">
        <w:rPr>
          <w:szCs w:val="24"/>
        </w:rPr>
        <w:t> года в Балаклаве, Маврикий</w:t>
      </w:r>
      <w:r w:rsidR="00637852" w:rsidRPr="007E30F5">
        <w:rPr>
          <w:szCs w:val="24"/>
        </w:rPr>
        <w:t xml:space="preserve">. </w:t>
      </w:r>
      <w:r w:rsidR="00E17910" w:rsidRPr="007E30F5">
        <w:rPr>
          <w:szCs w:val="24"/>
        </w:rPr>
        <w:t>Принять участие в этом мероприятии приглашены многочисленные заинтересованные стороны из правительств, частного сектора, международных организаций и неправительственных организаций</w:t>
      </w:r>
      <w:r w:rsidR="00637852" w:rsidRPr="007E30F5">
        <w:rPr>
          <w:szCs w:val="24"/>
        </w:rPr>
        <w:t xml:space="preserve">. </w:t>
      </w:r>
    </w:p>
    <w:p w:rsidR="00637852" w:rsidRPr="007E30F5" w:rsidRDefault="00877F75" w:rsidP="007E30F5">
      <w:pPr>
        <w:pStyle w:val="Heading1"/>
      </w:pPr>
      <w:r w:rsidRPr="007E30F5">
        <w:t>4</w:t>
      </w:r>
      <w:r w:rsidRPr="007E30F5">
        <w:tab/>
      </w:r>
      <w:r w:rsidR="00E17910" w:rsidRPr="007E30F5">
        <w:t>Изменение климата и электронные отходы</w:t>
      </w:r>
    </w:p>
    <w:p w:rsidR="00637852" w:rsidRPr="007E30F5" w:rsidRDefault="00E17910" w:rsidP="003134A0">
      <w:pPr>
        <w:overflowPunct/>
        <w:autoSpaceDE/>
        <w:autoSpaceDN/>
        <w:adjustRightInd/>
        <w:textAlignment w:val="auto"/>
        <w:rPr>
          <w:szCs w:val="24"/>
        </w:rPr>
      </w:pPr>
      <w:r w:rsidRPr="007E30F5">
        <w:rPr>
          <w:szCs w:val="24"/>
        </w:rPr>
        <w:t xml:space="preserve">БРЭ обеспечило создание в странах </w:t>
      </w:r>
      <w:r w:rsidR="003134A0" w:rsidRPr="007E30F5">
        <w:rPr>
          <w:szCs w:val="24"/>
        </w:rPr>
        <w:t xml:space="preserve">потенциала </w:t>
      </w:r>
      <w:r w:rsidRPr="007E30F5">
        <w:rPr>
          <w:szCs w:val="24"/>
        </w:rPr>
        <w:t>по статистическим данным по изменению климата и электронным отходам, проводя семинары-практикумы и профессиональную подготовку</w:t>
      </w:r>
      <w:r w:rsidR="00637852" w:rsidRPr="007E30F5">
        <w:rPr>
          <w:szCs w:val="24"/>
        </w:rPr>
        <w:t xml:space="preserve">. </w:t>
      </w:r>
    </w:p>
    <w:p w:rsidR="00637852" w:rsidRPr="007E30F5" w:rsidRDefault="00E17910" w:rsidP="000C2408">
      <w:pPr>
        <w:overflowPunct/>
        <w:autoSpaceDE/>
        <w:autoSpaceDN/>
        <w:adjustRightInd/>
        <w:textAlignment w:val="auto"/>
        <w:rPr>
          <w:szCs w:val="24"/>
        </w:rPr>
      </w:pPr>
      <w:r w:rsidRPr="007E30F5">
        <w:rPr>
          <w:szCs w:val="24"/>
        </w:rPr>
        <w:t xml:space="preserve">МСЭ продолжал укреплять сотрудничество с </w:t>
      </w:r>
      <w:r w:rsidRPr="007E30F5">
        <w:rPr>
          <w:color w:val="000000"/>
        </w:rPr>
        <w:t>Глобальным партнерством по статистическим данным об электронных отходах, куда входят Университет Организации Объединенных Наций (УООН) и Международная ассоциация по твердым отходам</w:t>
      </w:r>
      <w:r w:rsidRPr="007E30F5">
        <w:rPr>
          <w:szCs w:val="24"/>
        </w:rPr>
        <w:t xml:space="preserve"> </w:t>
      </w:r>
      <w:r w:rsidR="00637852" w:rsidRPr="007E30F5">
        <w:rPr>
          <w:szCs w:val="24"/>
        </w:rPr>
        <w:t>(</w:t>
      </w:r>
      <w:r w:rsidRPr="007E30F5">
        <w:rPr>
          <w:szCs w:val="24"/>
        </w:rPr>
        <w:t>МАТО</w:t>
      </w:r>
      <w:r w:rsidR="00637852" w:rsidRPr="007E30F5">
        <w:rPr>
          <w:szCs w:val="24"/>
        </w:rPr>
        <w:t xml:space="preserve">). </w:t>
      </w:r>
      <w:r w:rsidRPr="007E30F5">
        <w:rPr>
          <w:szCs w:val="24"/>
        </w:rPr>
        <w:t xml:space="preserve">Это Партнерство опубликовало </w:t>
      </w:r>
      <w:r w:rsidRPr="007E30F5">
        <w:rPr>
          <w:color w:val="000000"/>
        </w:rPr>
        <w:t>"Глобальный мониторинг электронных отходов"</w:t>
      </w:r>
      <w:r w:rsidR="00637852" w:rsidRPr="007E30F5">
        <w:rPr>
          <w:szCs w:val="24"/>
        </w:rPr>
        <w:t xml:space="preserve">, </w:t>
      </w:r>
      <w:r w:rsidRPr="007E30F5">
        <w:rPr>
          <w:szCs w:val="24"/>
        </w:rPr>
        <w:t>где дается количественная оценка проблем электронных отходов и представляются национальные и региональные показатели по электронным отходам</w:t>
      </w:r>
      <w:r w:rsidR="00637852" w:rsidRPr="007E30F5">
        <w:rPr>
          <w:szCs w:val="24"/>
        </w:rPr>
        <w:t>.</w:t>
      </w:r>
      <w:r w:rsidRPr="007E30F5">
        <w:rPr>
          <w:szCs w:val="24"/>
        </w:rPr>
        <w:t xml:space="preserve"> В отчете отмечается, что ежегодно производятся почти 45 млн. тонн электронных отходов</w:t>
      </w:r>
      <w:r w:rsidR="00637852" w:rsidRPr="007E30F5">
        <w:rPr>
          <w:rFonts w:eastAsia="SimSun"/>
          <w:bCs/>
          <w:kern w:val="32"/>
          <w:szCs w:val="24"/>
        </w:rPr>
        <w:t xml:space="preserve">. </w:t>
      </w:r>
      <w:r w:rsidR="000C2408" w:rsidRPr="007E30F5">
        <w:rPr>
          <w:rFonts w:eastAsia="SimSun"/>
          <w:bCs/>
          <w:kern w:val="32"/>
          <w:szCs w:val="24"/>
        </w:rPr>
        <w:t>Данные отчета также показывают, что, хотя все больше стран и людей охвачены законодательством по электронным отходам</w:t>
      </w:r>
      <w:r w:rsidR="00637852" w:rsidRPr="007E30F5">
        <w:rPr>
          <w:szCs w:val="24"/>
        </w:rPr>
        <w:t xml:space="preserve">, </w:t>
      </w:r>
      <w:r w:rsidR="000C2408" w:rsidRPr="007E30F5">
        <w:rPr>
          <w:szCs w:val="24"/>
        </w:rPr>
        <w:t>только</w:t>
      </w:r>
      <w:r w:rsidR="00637852" w:rsidRPr="007E30F5">
        <w:rPr>
          <w:rFonts w:eastAsia="SimSun"/>
          <w:bCs/>
          <w:kern w:val="32"/>
          <w:szCs w:val="24"/>
        </w:rPr>
        <w:t xml:space="preserve"> 20% </w:t>
      </w:r>
      <w:r w:rsidR="000C2408" w:rsidRPr="007E30F5">
        <w:rPr>
          <w:rFonts w:eastAsia="SimSun"/>
          <w:bCs/>
          <w:kern w:val="32"/>
          <w:szCs w:val="24"/>
        </w:rPr>
        <w:t>электронных отходов официально документируются и утилизируются</w:t>
      </w:r>
      <w:r w:rsidR="00637852" w:rsidRPr="007E30F5">
        <w:rPr>
          <w:rFonts w:eastAsia="SimSun"/>
          <w:bCs/>
          <w:kern w:val="32"/>
          <w:szCs w:val="24"/>
        </w:rPr>
        <w:t>.</w:t>
      </w:r>
    </w:p>
    <w:p w:rsidR="00637852" w:rsidRPr="007E30F5" w:rsidRDefault="000C2408" w:rsidP="003134A0">
      <w:pPr>
        <w:overflowPunct/>
        <w:autoSpaceDE/>
        <w:autoSpaceDN/>
        <w:adjustRightInd/>
        <w:textAlignment w:val="auto"/>
        <w:rPr>
          <w:szCs w:val="24"/>
        </w:rPr>
      </w:pPr>
      <w:r w:rsidRPr="007E30F5">
        <w:rPr>
          <w:szCs w:val="24"/>
        </w:rPr>
        <w:t xml:space="preserve">БРЭ также работало с </w:t>
      </w:r>
      <w:r w:rsidRPr="007E30F5">
        <w:rPr>
          <w:color w:val="000000"/>
        </w:rPr>
        <w:t>Группой по рациональному природопользованию</w:t>
      </w:r>
      <w:r w:rsidRPr="007E30F5">
        <w:rPr>
          <w:szCs w:val="24"/>
        </w:rPr>
        <w:t xml:space="preserve"> </w:t>
      </w:r>
      <w:r w:rsidR="00637852" w:rsidRPr="007E30F5">
        <w:rPr>
          <w:szCs w:val="24"/>
        </w:rPr>
        <w:t>(</w:t>
      </w:r>
      <w:r w:rsidRPr="007E30F5">
        <w:rPr>
          <w:szCs w:val="24"/>
        </w:rPr>
        <w:t>ГРП</w:t>
      </w:r>
      <w:r w:rsidR="00637852" w:rsidRPr="007E30F5">
        <w:rPr>
          <w:szCs w:val="24"/>
        </w:rPr>
        <w:t xml:space="preserve">) </w:t>
      </w:r>
      <w:r w:rsidRPr="007E30F5">
        <w:rPr>
          <w:szCs w:val="24"/>
        </w:rPr>
        <w:t>и принимало участие в создании того, что теперь известно</w:t>
      </w:r>
      <w:r w:rsidR="007E30F5">
        <w:rPr>
          <w:szCs w:val="24"/>
        </w:rPr>
        <w:t>,</w:t>
      </w:r>
      <w:r w:rsidRPr="007E30F5">
        <w:rPr>
          <w:szCs w:val="24"/>
        </w:rPr>
        <w:t xml:space="preserve"> как </w:t>
      </w:r>
      <w:r w:rsidRPr="007E30F5">
        <w:rPr>
          <w:i/>
          <w:iCs/>
          <w:szCs w:val="24"/>
        </w:rPr>
        <w:t>Коалиция по электронным отходам</w:t>
      </w:r>
      <w:r w:rsidR="00637852" w:rsidRPr="007E30F5">
        <w:rPr>
          <w:szCs w:val="24"/>
        </w:rPr>
        <w:t xml:space="preserve">, </w:t>
      </w:r>
      <w:r w:rsidRPr="007E30F5">
        <w:rPr>
          <w:szCs w:val="24"/>
        </w:rPr>
        <w:t>которая была учреждена на сессии диалога высокого уровня по "Созданию Коалиции по электронным отходам" на Форуме ВВУИО</w:t>
      </w:r>
      <w:r w:rsidR="00637852" w:rsidRPr="007E30F5">
        <w:rPr>
          <w:szCs w:val="24"/>
        </w:rPr>
        <w:t xml:space="preserve"> 2018</w:t>
      </w:r>
      <w:r w:rsidRPr="007E30F5">
        <w:rPr>
          <w:szCs w:val="24"/>
        </w:rPr>
        <w:t> года</w:t>
      </w:r>
      <w:r w:rsidR="00637852" w:rsidRPr="007E30F5">
        <w:rPr>
          <w:szCs w:val="24"/>
        </w:rPr>
        <w:t xml:space="preserve">. </w:t>
      </w:r>
      <w:r w:rsidR="000E34DA" w:rsidRPr="007E30F5">
        <w:rPr>
          <w:szCs w:val="24"/>
        </w:rPr>
        <w:t>В создании Коалиции по электронны</w:t>
      </w:r>
      <w:r w:rsidR="003134A0" w:rsidRPr="007E30F5">
        <w:rPr>
          <w:szCs w:val="24"/>
        </w:rPr>
        <w:t xml:space="preserve">м </w:t>
      </w:r>
      <w:r w:rsidR="000E34DA" w:rsidRPr="007E30F5">
        <w:rPr>
          <w:szCs w:val="24"/>
        </w:rPr>
        <w:t>отходам приняли участие несколько руководителей учреждений системы ООН, работающих в области электронных отходов</w:t>
      </w:r>
      <w:r w:rsidR="00637852" w:rsidRPr="007E30F5">
        <w:rPr>
          <w:szCs w:val="24"/>
        </w:rPr>
        <w:t xml:space="preserve">. </w:t>
      </w:r>
      <w:r w:rsidR="000E34DA" w:rsidRPr="007E30F5">
        <w:rPr>
          <w:szCs w:val="24"/>
        </w:rPr>
        <w:t>Коалиция по электронным отходам разрабатывает новую концепцию для циркуляционной экономики</w:t>
      </w:r>
      <w:r w:rsidR="00637852" w:rsidRPr="007E30F5">
        <w:rPr>
          <w:rStyle w:val="FootnoteReference"/>
          <w:position w:val="0"/>
          <w:sz w:val="24"/>
          <w:szCs w:val="24"/>
          <w:vertAlign w:val="superscript"/>
        </w:rPr>
        <w:footnoteReference w:id="1"/>
      </w:r>
      <w:r w:rsidR="00637852" w:rsidRPr="007E30F5">
        <w:rPr>
          <w:szCs w:val="24"/>
        </w:rPr>
        <w:t xml:space="preserve">, </w:t>
      </w:r>
      <w:r w:rsidR="000E34DA" w:rsidRPr="007E30F5">
        <w:rPr>
          <w:szCs w:val="24"/>
        </w:rPr>
        <w:t>в которой основное внимание уделяется электронным отходам</w:t>
      </w:r>
      <w:r w:rsidR="00637852" w:rsidRPr="007E30F5">
        <w:rPr>
          <w:szCs w:val="24"/>
        </w:rPr>
        <w:t xml:space="preserve">. </w:t>
      </w:r>
      <w:r w:rsidR="000E34DA" w:rsidRPr="007E30F5">
        <w:rPr>
          <w:szCs w:val="24"/>
        </w:rPr>
        <w:t>Эта инициатива повышает осведомленность о необходимости решения проблемы электронных отходов и служит политическим руководством для правительств, государственного и частного секторов</w:t>
      </w:r>
      <w:r w:rsidR="00637852" w:rsidRPr="007E30F5">
        <w:rPr>
          <w:szCs w:val="24"/>
        </w:rPr>
        <w:t xml:space="preserve">. </w:t>
      </w:r>
      <w:r w:rsidR="000E34DA" w:rsidRPr="007E30F5">
        <w:rPr>
          <w:szCs w:val="24"/>
        </w:rPr>
        <w:t xml:space="preserve">Ее поддерживают </w:t>
      </w:r>
      <w:r w:rsidR="000E34DA" w:rsidRPr="007E30F5">
        <w:rPr>
          <w:color w:val="000000"/>
        </w:rPr>
        <w:t xml:space="preserve">Всемирный совет деловых кругов по вопросам устойчивого развития </w:t>
      </w:r>
      <w:r w:rsidR="00637852" w:rsidRPr="007E30F5">
        <w:rPr>
          <w:szCs w:val="24"/>
        </w:rPr>
        <w:t>(WBCSD)</w:t>
      </w:r>
      <w:r w:rsidR="00C119FC" w:rsidRPr="007E30F5">
        <w:rPr>
          <w:szCs w:val="24"/>
        </w:rPr>
        <w:t xml:space="preserve"> и Всемирный экономический форум (ВЭФ)</w:t>
      </w:r>
      <w:r w:rsidR="00637852" w:rsidRPr="007E30F5">
        <w:rPr>
          <w:szCs w:val="24"/>
        </w:rPr>
        <w:t xml:space="preserve">. </w:t>
      </w:r>
    </w:p>
    <w:p w:rsidR="001F4FD0" w:rsidRDefault="001F4FD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637852" w:rsidRPr="007E30F5" w:rsidRDefault="003A02FD" w:rsidP="007E30F5">
      <w:pPr>
        <w:rPr>
          <w:lang w:eastAsia="zh-CN"/>
        </w:rPr>
      </w:pPr>
      <w:r w:rsidRPr="007E30F5">
        <w:lastRenderedPageBreak/>
        <w:t xml:space="preserve">Во время ежегодного совещания Всемирного экономического форума в Давосе Коалиция по электронным отходам представила доклад </w:t>
      </w:r>
      <w:hyperlink r:id="rId12" w:history="1">
        <w:r w:rsidRPr="001F4FD0">
          <w:rPr>
            <w:rStyle w:val="Hyperlink"/>
            <w:rFonts w:cs="Calibri"/>
            <w:b/>
            <w:bCs/>
          </w:rPr>
          <w:t>Новая циркуляционная концепция для электроники – Время глобальной перезагрузки</w:t>
        </w:r>
      </w:hyperlink>
      <w:r w:rsidR="00637852" w:rsidRPr="007E30F5">
        <w:t xml:space="preserve">. </w:t>
      </w:r>
      <w:r w:rsidR="004B48FC" w:rsidRPr="007E30F5">
        <w:t xml:space="preserve">В этом докладе МСЭ, вместе с еще шестью организациями системы ООН, </w:t>
      </w:r>
      <w:r w:rsidR="004B48FC" w:rsidRPr="001F4FD0">
        <w:rPr>
          <w:b/>
        </w:rPr>
        <w:t xml:space="preserve">при поддержке Всемирного экономического форума и </w:t>
      </w:r>
      <w:r w:rsidR="004B48FC" w:rsidRPr="001F4FD0">
        <w:rPr>
          <w:b/>
          <w:color w:val="000000"/>
        </w:rPr>
        <w:t>Всемирного совета деловых кругов по вопросам устойчивого развития</w:t>
      </w:r>
      <w:r w:rsidR="004B48FC" w:rsidRPr="001F4FD0">
        <w:rPr>
          <w:b/>
        </w:rPr>
        <w:t xml:space="preserve"> </w:t>
      </w:r>
      <w:r w:rsidR="00637852" w:rsidRPr="001F4FD0">
        <w:rPr>
          <w:rFonts w:cs="Arial"/>
          <w:b/>
          <w:bdr w:val="none" w:sz="0" w:space="0" w:color="auto" w:frame="1"/>
          <w:shd w:val="clear" w:color="auto" w:fill="FFFFFF"/>
          <w:lang w:eastAsia="zh-CN"/>
        </w:rPr>
        <w:t>(WBCSD)</w:t>
      </w:r>
      <w:r w:rsidR="004B48FC" w:rsidRPr="001F4FD0">
        <w:rPr>
          <w:rFonts w:cs="Arial"/>
          <w:b/>
          <w:bdr w:val="none" w:sz="0" w:space="0" w:color="auto" w:frame="1"/>
          <w:shd w:val="clear" w:color="auto" w:fill="FFFFFF"/>
          <w:lang w:eastAsia="zh-CN"/>
        </w:rPr>
        <w:t>, призывают коренным образом изменить существующую систему электроники с целью поддержки международных усилий по решени</w:t>
      </w:r>
      <w:r w:rsidR="003134A0" w:rsidRPr="001F4FD0">
        <w:rPr>
          <w:rFonts w:cs="Arial"/>
          <w:b/>
          <w:bdr w:val="none" w:sz="0" w:space="0" w:color="auto" w:frame="1"/>
          <w:shd w:val="clear" w:color="auto" w:fill="FFFFFF"/>
          <w:lang w:eastAsia="zh-CN"/>
        </w:rPr>
        <w:t>ю</w:t>
      </w:r>
      <w:r w:rsidR="004B48FC" w:rsidRPr="001F4FD0">
        <w:rPr>
          <w:rFonts w:cs="Arial"/>
          <w:b/>
          <w:bdr w:val="none" w:sz="0" w:space="0" w:color="auto" w:frame="1"/>
          <w:shd w:val="clear" w:color="auto" w:fill="FFFFFF"/>
          <w:lang w:eastAsia="zh-CN"/>
        </w:rPr>
        <w:t xml:space="preserve"> проблем электронных отходов</w:t>
      </w:r>
      <w:r w:rsidR="00637852" w:rsidRPr="007E30F5">
        <w:rPr>
          <w:rFonts w:cs="Arial"/>
          <w:bdr w:val="none" w:sz="0" w:space="0" w:color="auto" w:frame="1"/>
          <w:shd w:val="clear" w:color="auto" w:fill="FFFFFF"/>
          <w:lang w:eastAsia="zh-CN"/>
        </w:rPr>
        <w:t>.</w:t>
      </w:r>
    </w:p>
    <w:p w:rsidR="00637852" w:rsidRPr="007E30F5" w:rsidRDefault="004B48FC" w:rsidP="007E30F5">
      <w:pPr>
        <w:rPr>
          <w:rFonts w:cs="Arial"/>
          <w:szCs w:val="24"/>
          <w:lang w:eastAsia="zh-CN"/>
        </w:rPr>
      </w:pPr>
      <w:r w:rsidRPr="007E30F5">
        <w:t xml:space="preserve">В докладе содержится призыв к систематическому сотрудничеству с основными </w:t>
      </w:r>
      <w:r w:rsidR="007E30F5">
        <w:t>производителями</w:t>
      </w:r>
      <w:r w:rsidRPr="007E30F5">
        <w:t xml:space="preserve">, малыми и средними предприятиями (МСП), академическими организациями, профессиональными союзами, гражданским обществом и ассоциациями, </w:t>
      </w:r>
      <w:r w:rsidR="003134A0" w:rsidRPr="007E30F5">
        <w:t>с тем чтобы</w:t>
      </w:r>
      <w:r w:rsidRPr="007E30F5">
        <w:t xml:space="preserve"> общими силами изменить ориентацию системы и сократить объем отходов ресурсов, который ежегодно превышает ВВП большинства стран</w:t>
      </w:r>
      <w:r w:rsidR="00637852" w:rsidRPr="007E30F5">
        <w:rPr>
          <w:rFonts w:cs="Arial"/>
          <w:szCs w:val="24"/>
          <w:lang w:eastAsia="zh-CN"/>
        </w:rPr>
        <w:t>.</w:t>
      </w:r>
    </w:p>
    <w:p w:rsidR="00637852" w:rsidRPr="007E30F5" w:rsidRDefault="004B48FC" w:rsidP="007E30F5">
      <w:pPr>
        <w:rPr>
          <w:szCs w:val="24"/>
        </w:rPr>
      </w:pPr>
      <w:r w:rsidRPr="007E30F5">
        <w:rPr>
          <w:szCs w:val="24"/>
        </w:rPr>
        <w:t xml:space="preserve">БРЭ также опубликовало </w:t>
      </w:r>
      <w:hyperlink r:id="rId13" w:history="1">
        <w:r w:rsidRPr="007E30F5">
          <w:rPr>
            <w:rStyle w:val="Hyperlink"/>
          </w:rPr>
          <w:t>Справочник по разработке нормативно-правовой базы в области электронных отходов и отходов ИКТ</w:t>
        </w:r>
      </w:hyperlink>
      <w:r w:rsidR="00637852" w:rsidRPr="007E30F5">
        <w:rPr>
          <w:szCs w:val="24"/>
        </w:rPr>
        <w:t xml:space="preserve"> </w:t>
      </w:r>
      <w:r w:rsidRPr="007E30F5">
        <w:rPr>
          <w:szCs w:val="24"/>
        </w:rPr>
        <w:t xml:space="preserve">для содействия </w:t>
      </w:r>
      <w:r w:rsidR="003134A0" w:rsidRPr="007E30F5">
        <w:rPr>
          <w:szCs w:val="24"/>
        </w:rPr>
        <w:t>создан</w:t>
      </w:r>
      <w:r w:rsidRPr="007E30F5">
        <w:rPr>
          <w:szCs w:val="24"/>
        </w:rPr>
        <w:t>и</w:t>
      </w:r>
      <w:r w:rsidR="003134A0" w:rsidRPr="007E30F5">
        <w:rPr>
          <w:szCs w:val="24"/>
        </w:rPr>
        <w:t>ю</w:t>
      </w:r>
      <w:r w:rsidRPr="007E30F5">
        <w:rPr>
          <w:szCs w:val="24"/>
        </w:rPr>
        <w:t xml:space="preserve"> потенциала и ориентации стран в разработке политики по электронным отходам</w:t>
      </w:r>
      <w:r w:rsidR="00637852" w:rsidRPr="007E30F5">
        <w:rPr>
          <w:szCs w:val="24"/>
        </w:rPr>
        <w:t xml:space="preserve">. </w:t>
      </w:r>
      <w:r w:rsidR="006E6AC3" w:rsidRPr="007E30F5">
        <w:rPr>
          <w:szCs w:val="24"/>
        </w:rPr>
        <w:t>В этом справочнике содержатся руководящие указания по основным аспектам, которые следует учитывать при разработке, внедрении и совершенствовании правовой, регуляторной и политической системы в области электронных отходов</w:t>
      </w:r>
      <w:r w:rsidR="003134A0" w:rsidRPr="007E30F5">
        <w:rPr>
          <w:szCs w:val="24"/>
        </w:rPr>
        <w:t>/отходов ИКТ</w:t>
      </w:r>
      <w:r w:rsidR="00637852" w:rsidRPr="007E30F5">
        <w:rPr>
          <w:szCs w:val="24"/>
        </w:rPr>
        <w:t xml:space="preserve">. </w:t>
      </w:r>
      <w:r w:rsidR="006E6AC3" w:rsidRPr="007E30F5">
        <w:rPr>
          <w:szCs w:val="24"/>
        </w:rPr>
        <w:t>Предлагаемая система способствует управлению электронными отходами/отходами ИКТ на основании концепций устойчивого развития, "зеленых" ИКТ и циркуляционной экономики</w:t>
      </w:r>
      <w:r w:rsidR="00637852" w:rsidRPr="007E30F5">
        <w:rPr>
          <w:szCs w:val="24"/>
        </w:rPr>
        <w:t xml:space="preserve">. </w:t>
      </w:r>
      <w:r w:rsidR="006E6AC3" w:rsidRPr="007E30F5">
        <w:rPr>
          <w:szCs w:val="24"/>
        </w:rPr>
        <w:t xml:space="preserve">На основании этого справочника </w:t>
      </w:r>
      <w:r w:rsidR="007262DE" w:rsidRPr="007E30F5">
        <w:rPr>
          <w:szCs w:val="24"/>
        </w:rPr>
        <w:t>была разработана национальная политическая и регуляторная система в области электронных отходов для Малави</w:t>
      </w:r>
      <w:r w:rsidR="00637852" w:rsidRPr="007E30F5">
        <w:rPr>
          <w:szCs w:val="24"/>
        </w:rPr>
        <w:t xml:space="preserve">. </w:t>
      </w:r>
    </w:p>
    <w:p w:rsidR="00637852" w:rsidRDefault="007262DE" w:rsidP="007E30F5">
      <w:pPr>
        <w:rPr>
          <w:szCs w:val="24"/>
        </w:rPr>
      </w:pPr>
      <w:r w:rsidRPr="007E30F5">
        <w:rPr>
          <w:szCs w:val="24"/>
        </w:rPr>
        <w:t xml:space="preserve">БРЭ организовало </w:t>
      </w:r>
      <w:r w:rsidRPr="007E30F5">
        <w:rPr>
          <w:color w:val="000000"/>
        </w:rPr>
        <w:t>реализацию пилотного проекта по созданию предприятия по переработке электронных отходов, который был разработан и осуществлял</w:t>
      </w:r>
      <w:r w:rsidR="007E30F5">
        <w:rPr>
          <w:color w:val="000000"/>
        </w:rPr>
        <w:t>ся совместно с Университетом Ла</w:t>
      </w:r>
      <w:r w:rsidR="007E30F5">
        <w:rPr>
          <w:color w:val="000000"/>
        </w:rPr>
        <w:noBreakHyphen/>
      </w:r>
      <w:r w:rsidRPr="007E30F5">
        <w:rPr>
          <w:color w:val="000000"/>
        </w:rPr>
        <w:t>Плата в Аргентине</w:t>
      </w:r>
      <w:r w:rsidR="00637852" w:rsidRPr="007E30F5">
        <w:rPr>
          <w:szCs w:val="24"/>
        </w:rPr>
        <w:t xml:space="preserve">. </w:t>
      </w:r>
      <w:r w:rsidRPr="007E30F5">
        <w:rPr>
          <w:szCs w:val="24"/>
        </w:rPr>
        <w:t xml:space="preserve">Предприятие позволяет получить конкретные ответы на связанные с электронными отходами </w:t>
      </w:r>
      <w:r w:rsidR="003134A0" w:rsidRPr="007E30F5">
        <w:rPr>
          <w:szCs w:val="24"/>
        </w:rPr>
        <w:t xml:space="preserve">проблемы </w:t>
      </w:r>
      <w:r w:rsidRPr="007E30F5">
        <w:rPr>
          <w:szCs w:val="24"/>
        </w:rPr>
        <w:t>в городах в соответствии с Целями в области устойчивого развития (ЦУР)</w:t>
      </w:r>
      <w:r w:rsidR="00637852" w:rsidRPr="007E30F5">
        <w:rPr>
          <w:szCs w:val="24"/>
        </w:rPr>
        <w:t xml:space="preserve">. </w:t>
      </w:r>
      <w:r w:rsidRPr="007E30F5">
        <w:rPr>
          <w:szCs w:val="24"/>
        </w:rPr>
        <w:t>В</w:t>
      </w:r>
      <w:r w:rsidR="003134A0" w:rsidRPr="007E30F5">
        <w:rPr>
          <w:szCs w:val="24"/>
        </w:rPr>
        <w:t> </w:t>
      </w:r>
      <w:r w:rsidRPr="007E30F5">
        <w:rPr>
          <w:szCs w:val="24"/>
        </w:rPr>
        <w:t>рамках проекта был разработан отчет</w:t>
      </w:r>
      <w:r w:rsidR="00637852" w:rsidRPr="007E30F5">
        <w:rPr>
          <w:szCs w:val="24"/>
        </w:rPr>
        <w:t xml:space="preserve"> </w:t>
      </w:r>
      <w:hyperlink r:id="rId14" w:history="1">
        <w:r w:rsidRPr="007E30F5">
          <w:rPr>
            <w:rStyle w:val="Hyperlink"/>
            <w:szCs w:val="24"/>
          </w:rPr>
          <w:t>Успешные инициативы по управлению электронными отходами</w:t>
        </w:r>
      </w:hyperlink>
      <w:r w:rsidR="00637852" w:rsidRPr="007E30F5">
        <w:rPr>
          <w:szCs w:val="24"/>
        </w:rPr>
        <w:t xml:space="preserve">, </w:t>
      </w:r>
      <w:r w:rsidRPr="007E30F5">
        <w:rPr>
          <w:szCs w:val="24"/>
        </w:rPr>
        <w:t>в котором содержится информация о различных инициативах по управлению электронными отходами в шести различных странах мира</w:t>
      </w:r>
      <w:r w:rsidR="00637852" w:rsidRPr="007E30F5">
        <w:rPr>
          <w:szCs w:val="24"/>
        </w:rPr>
        <w:t>.</w:t>
      </w:r>
    </w:p>
    <w:p w:rsidR="007E30F5" w:rsidRDefault="007E30F5" w:rsidP="007E30F5">
      <w:pPr>
        <w:spacing w:before="720"/>
        <w:jc w:val="center"/>
      </w:pPr>
      <w:r>
        <w:t>______________</w:t>
      </w:r>
    </w:p>
    <w:sectPr w:rsidR="007E30F5" w:rsidSect="007E30F5">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247" w:rsidRDefault="00702247" w:rsidP="00E54FD2">
      <w:pPr>
        <w:spacing w:before="0"/>
      </w:pPr>
      <w:r>
        <w:separator/>
      </w:r>
    </w:p>
  </w:endnote>
  <w:endnote w:type="continuationSeparator" w:id="0">
    <w:p w:rsidR="00702247" w:rsidRDefault="00702247"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21" w:rsidRDefault="00CF7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247" w:rsidRPr="007E30F5" w:rsidRDefault="00223C44" w:rsidP="00CF7B21">
    <w:pPr>
      <w:pStyle w:val="Footer"/>
      <w:tabs>
        <w:tab w:val="clear" w:pos="794"/>
        <w:tab w:val="clear" w:pos="1191"/>
        <w:tab w:val="clear" w:pos="1588"/>
        <w:tab w:val="clear" w:pos="1985"/>
      </w:tabs>
    </w:pPr>
    <w:r>
      <w:fldChar w:fldCharType="begin"/>
    </w:r>
    <w:r>
      <w:instrText xml:space="preserve"> FILENAME \p  \* MERGEFORMAT </w:instrText>
    </w:r>
    <w:r>
      <w:fldChar w:fldCharType="separate"/>
    </w:r>
    <w:r w:rsidR="007E30F5">
      <w:t>P:\RUS\ITU-D\CONF-D\TDAG19\000\026R.docx</w:t>
    </w:r>
    <w:r>
      <w:fldChar w:fldCharType="end"/>
    </w:r>
    <w:r w:rsidR="007E30F5">
      <w:t xml:space="preserve"> (</w:t>
    </w:r>
    <w:r w:rsidR="007E30F5">
      <w:rPr>
        <w:lang w:val="en-US"/>
      </w:rPr>
      <w:t>449233</w:t>
    </w:r>
    <w:r w:rsidR="007E30F5">
      <w:t>)</w:t>
    </w:r>
    <w:r w:rsidR="007E30F5">
      <w:tab/>
    </w:r>
    <w:r>
      <w:tab/>
    </w:r>
    <w:bookmarkStart w:id="6" w:name="_GoBack"/>
    <w:bookmarkEnd w:id="6"/>
    <w:r w:rsidR="007E30F5">
      <w:fldChar w:fldCharType="begin"/>
    </w:r>
    <w:r w:rsidR="007E30F5">
      <w:instrText xml:space="preserve"> SAVEDATE \@ DD.MM.YY </w:instrText>
    </w:r>
    <w:r w:rsidR="007E30F5">
      <w:fldChar w:fldCharType="separate"/>
    </w:r>
    <w:r w:rsidR="00CF7B21">
      <w:t>07.02.19</w:t>
    </w:r>
    <w:r w:rsidR="007E30F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1418"/>
      <w:gridCol w:w="3260"/>
      <w:gridCol w:w="4961"/>
    </w:tblGrid>
    <w:tr w:rsidR="007E30F5" w:rsidRPr="004D495C" w:rsidTr="003B3780">
      <w:tc>
        <w:tcPr>
          <w:tcW w:w="1418" w:type="dxa"/>
          <w:tcBorders>
            <w:top w:val="single" w:sz="4" w:space="0" w:color="000000"/>
          </w:tcBorders>
          <w:shd w:val="clear" w:color="auto" w:fill="auto"/>
        </w:tcPr>
        <w:p w:rsidR="007E30F5" w:rsidRPr="004D495C" w:rsidRDefault="007E30F5" w:rsidP="007E30F5">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rsidR="007E30F5" w:rsidRPr="00421856" w:rsidRDefault="007E30F5" w:rsidP="007E30F5">
          <w:pPr>
            <w:pStyle w:val="FirstFooter"/>
            <w:spacing w:before="40"/>
            <w:rPr>
              <w:sz w:val="18"/>
              <w:szCs w:val="18"/>
              <w:lang w:val="en-US"/>
            </w:rPr>
          </w:pPr>
          <w:r w:rsidRPr="00421856">
            <w:rPr>
              <w:sz w:val="18"/>
              <w:szCs w:val="18"/>
            </w:rPr>
            <w:t>Фамилия/организация/объединение:</w:t>
          </w:r>
        </w:p>
      </w:tc>
      <w:tc>
        <w:tcPr>
          <w:tcW w:w="4961" w:type="dxa"/>
          <w:tcBorders>
            <w:top w:val="single" w:sz="4" w:space="0" w:color="000000"/>
          </w:tcBorders>
        </w:tcPr>
        <w:p w:rsidR="007E30F5" w:rsidRPr="00421856" w:rsidRDefault="007E30F5" w:rsidP="007E30F5">
          <w:pPr>
            <w:pStyle w:val="FirstFooter"/>
            <w:spacing w:before="40"/>
            <w:rPr>
              <w:sz w:val="18"/>
              <w:szCs w:val="18"/>
              <w:highlight w:val="yellow"/>
            </w:rPr>
          </w:pPr>
          <w:r w:rsidRPr="00421856">
            <w:rPr>
              <w:sz w:val="18"/>
              <w:szCs w:val="18"/>
            </w:rPr>
            <w:t>г-н Космас Завазава (Mr Cosmas Zavazava), руководитель Департамента поддержки проектов и управления знаниями (PKM) Бюро развития электросвязи</w:t>
          </w:r>
        </w:p>
      </w:tc>
    </w:tr>
    <w:tr w:rsidR="007E30F5" w:rsidRPr="004D495C" w:rsidTr="003B3780">
      <w:tc>
        <w:tcPr>
          <w:tcW w:w="1418" w:type="dxa"/>
          <w:shd w:val="clear" w:color="auto" w:fill="auto"/>
        </w:tcPr>
        <w:p w:rsidR="007E30F5" w:rsidRPr="00421856" w:rsidRDefault="007E30F5" w:rsidP="007E30F5">
          <w:pPr>
            <w:pStyle w:val="FirstFooter"/>
            <w:tabs>
              <w:tab w:val="left" w:pos="1559"/>
              <w:tab w:val="left" w:pos="3828"/>
            </w:tabs>
            <w:spacing w:before="40"/>
            <w:rPr>
              <w:sz w:val="20"/>
            </w:rPr>
          </w:pPr>
        </w:p>
      </w:tc>
      <w:tc>
        <w:tcPr>
          <w:tcW w:w="3260" w:type="dxa"/>
        </w:tcPr>
        <w:p w:rsidR="007E30F5" w:rsidRPr="00421856" w:rsidRDefault="007E30F5" w:rsidP="007E30F5">
          <w:pPr>
            <w:pStyle w:val="FirstFooter"/>
            <w:spacing w:before="40"/>
            <w:rPr>
              <w:sz w:val="18"/>
              <w:szCs w:val="18"/>
            </w:rPr>
          </w:pPr>
          <w:r w:rsidRPr="00421856">
            <w:rPr>
              <w:sz w:val="18"/>
              <w:szCs w:val="18"/>
            </w:rPr>
            <w:t>Тел.:</w:t>
          </w:r>
        </w:p>
      </w:tc>
      <w:tc>
        <w:tcPr>
          <w:tcW w:w="4961" w:type="dxa"/>
        </w:tcPr>
        <w:p w:rsidR="007E30F5" w:rsidRPr="00421856" w:rsidRDefault="007E30F5" w:rsidP="007E30F5">
          <w:pPr>
            <w:pStyle w:val="FirstFooter"/>
            <w:tabs>
              <w:tab w:val="left" w:pos="2302"/>
            </w:tabs>
            <w:spacing w:before="40"/>
            <w:rPr>
              <w:sz w:val="18"/>
              <w:szCs w:val="18"/>
              <w:highlight w:val="yellow"/>
            </w:rPr>
          </w:pPr>
          <w:r w:rsidRPr="00421856">
            <w:rPr>
              <w:sz w:val="18"/>
              <w:szCs w:val="18"/>
            </w:rPr>
            <w:t>+41 22 730 5447</w:t>
          </w:r>
        </w:p>
      </w:tc>
    </w:tr>
    <w:tr w:rsidR="007E30F5" w:rsidRPr="004D495C" w:rsidTr="003B3780">
      <w:tc>
        <w:tcPr>
          <w:tcW w:w="1418" w:type="dxa"/>
          <w:shd w:val="clear" w:color="auto" w:fill="auto"/>
        </w:tcPr>
        <w:p w:rsidR="007E30F5" w:rsidRPr="004D495C" w:rsidRDefault="007E30F5" w:rsidP="007E30F5">
          <w:pPr>
            <w:pStyle w:val="FirstFooter"/>
            <w:tabs>
              <w:tab w:val="left" w:pos="1559"/>
              <w:tab w:val="left" w:pos="3828"/>
            </w:tabs>
            <w:spacing w:before="40"/>
            <w:rPr>
              <w:sz w:val="20"/>
              <w:lang w:val="en-US"/>
            </w:rPr>
          </w:pPr>
        </w:p>
      </w:tc>
      <w:tc>
        <w:tcPr>
          <w:tcW w:w="3260" w:type="dxa"/>
        </w:tcPr>
        <w:p w:rsidR="007E30F5" w:rsidRPr="00421856" w:rsidRDefault="007E30F5" w:rsidP="007E30F5">
          <w:pPr>
            <w:pStyle w:val="FirstFooter"/>
            <w:tabs>
              <w:tab w:val="left" w:pos="2302"/>
            </w:tabs>
            <w:spacing w:before="40"/>
            <w:rPr>
              <w:sz w:val="18"/>
              <w:szCs w:val="18"/>
              <w:lang w:val="en-US"/>
            </w:rPr>
          </w:pPr>
          <w:r w:rsidRPr="00421856">
            <w:rPr>
              <w:sz w:val="18"/>
              <w:szCs w:val="18"/>
            </w:rPr>
            <w:t>Эл. почта</w:t>
          </w:r>
          <w:r w:rsidRPr="00421856">
            <w:rPr>
              <w:sz w:val="18"/>
              <w:szCs w:val="18"/>
              <w:lang w:val="en-US"/>
            </w:rPr>
            <w:t>:</w:t>
          </w:r>
        </w:p>
      </w:tc>
      <w:tc>
        <w:tcPr>
          <w:tcW w:w="4961" w:type="dxa"/>
        </w:tcPr>
        <w:p w:rsidR="007E30F5" w:rsidRPr="00421856" w:rsidRDefault="00223C44" w:rsidP="007E30F5">
          <w:pPr>
            <w:pStyle w:val="FirstFooter"/>
            <w:tabs>
              <w:tab w:val="left" w:pos="2302"/>
            </w:tabs>
            <w:spacing w:before="40"/>
            <w:rPr>
              <w:sz w:val="18"/>
              <w:szCs w:val="18"/>
            </w:rPr>
          </w:pPr>
          <w:hyperlink r:id="rId1" w:history="1">
            <w:r w:rsidR="007E30F5" w:rsidRPr="00421856">
              <w:rPr>
                <w:rStyle w:val="Hyperlink"/>
                <w:sz w:val="18"/>
                <w:szCs w:val="18"/>
                <w:lang w:val="en-US"/>
              </w:rPr>
              <w:t>cosmas.zavazava@itu.int</w:t>
            </w:r>
          </w:hyperlink>
        </w:p>
      </w:tc>
    </w:tr>
  </w:tbl>
  <w:p w:rsidR="00702247" w:rsidRPr="007E30F5" w:rsidRDefault="00223C44" w:rsidP="007E30F5">
    <w:pPr>
      <w:tabs>
        <w:tab w:val="clear" w:pos="794"/>
        <w:tab w:val="clear" w:pos="1191"/>
        <w:tab w:val="clear" w:pos="1588"/>
        <w:tab w:val="clear" w:pos="1985"/>
        <w:tab w:val="left" w:pos="5954"/>
        <w:tab w:val="right" w:pos="9639"/>
      </w:tabs>
      <w:jc w:val="center"/>
      <w:rPr>
        <w:caps/>
        <w:noProof/>
        <w:sz w:val="16"/>
      </w:rPr>
    </w:pPr>
    <w:hyperlink r:id="rId2" w:history="1">
      <w:r w:rsidR="007E30F5">
        <w:rPr>
          <w:color w:val="0000FF"/>
          <w:sz w:val="18"/>
          <w:szCs w:val="18"/>
          <w:u w:val="single"/>
        </w:rPr>
        <w:t>КГРЭ</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247" w:rsidRDefault="00702247" w:rsidP="00E54FD2">
      <w:pPr>
        <w:spacing w:before="0"/>
      </w:pPr>
      <w:r>
        <w:separator/>
      </w:r>
    </w:p>
  </w:footnote>
  <w:footnote w:type="continuationSeparator" w:id="0">
    <w:p w:rsidR="00702247" w:rsidRDefault="00702247" w:rsidP="00E54FD2">
      <w:pPr>
        <w:spacing w:before="0"/>
      </w:pPr>
      <w:r>
        <w:continuationSeparator/>
      </w:r>
    </w:p>
  </w:footnote>
  <w:footnote w:id="1">
    <w:p w:rsidR="00637852" w:rsidRPr="003A02FD" w:rsidRDefault="00637852" w:rsidP="001F4FD0">
      <w:pPr>
        <w:pStyle w:val="FootnoteText"/>
      </w:pPr>
      <w:r w:rsidRPr="000E0914">
        <w:rPr>
          <w:rStyle w:val="FootnoteReference"/>
          <w:szCs w:val="18"/>
        </w:rPr>
        <w:footnoteRef/>
      </w:r>
      <w:r w:rsidR="007E30F5">
        <w:tab/>
      </w:r>
      <w:r w:rsidR="00C119FC">
        <w:t>Согласно</w:t>
      </w:r>
      <w:r w:rsidR="00C119FC" w:rsidRPr="003A02FD">
        <w:t xml:space="preserve"> </w:t>
      </w:r>
      <w:r w:rsidR="00C119FC">
        <w:t>Всемирному</w:t>
      </w:r>
      <w:r w:rsidR="00C119FC" w:rsidRPr="003A02FD">
        <w:t xml:space="preserve"> </w:t>
      </w:r>
      <w:r w:rsidR="00C119FC">
        <w:t>экономическому</w:t>
      </w:r>
      <w:r w:rsidR="00C119FC" w:rsidRPr="003A02FD">
        <w:t xml:space="preserve"> </w:t>
      </w:r>
      <w:r w:rsidR="00C119FC">
        <w:t>форуму</w:t>
      </w:r>
      <w:r w:rsidRPr="003A02FD">
        <w:t xml:space="preserve">, </w:t>
      </w:r>
      <w:r w:rsidR="00C119FC">
        <w:t>циркуляционная</w:t>
      </w:r>
      <w:r w:rsidR="00C119FC" w:rsidRPr="003A02FD">
        <w:t xml:space="preserve"> </w:t>
      </w:r>
      <w:r w:rsidR="00C119FC">
        <w:t>экономика</w:t>
      </w:r>
      <w:r w:rsidR="00C119FC" w:rsidRPr="003A02FD">
        <w:t xml:space="preserve"> – </w:t>
      </w:r>
      <w:r w:rsidR="00C119FC">
        <w:t>это</w:t>
      </w:r>
      <w:r w:rsidR="00C119FC" w:rsidRPr="003A02FD">
        <w:t xml:space="preserve"> </w:t>
      </w:r>
      <w:r w:rsidR="00C119FC">
        <w:t>промышленная</w:t>
      </w:r>
      <w:r w:rsidR="00C119FC" w:rsidRPr="003A02FD">
        <w:t xml:space="preserve"> </w:t>
      </w:r>
      <w:r w:rsidR="00C119FC">
        <w:t>система</w:t>
      </w:r>
      <w:r w:rsidR="00C119FC" w:rsidRPr="003A02FD">
        <w:t xml:space="preserve">, </w:t>
      </w:r>
      <w:r w:rsidR="00C119FC">
        <w:t>которая</w:t>
      </w:r>
      <w:r w:rsidR="00C119FC" w:rsidRPr="003A02FD">
        <w:t xml:space="preserve"> </w:t>
      </w:r>
      <w:r w:rsidR="00C119FC">
        <w:t>по</w:t>
      </w:r>
      <w:r w:rsidR="00C119FC" w:rsidRPr="003A02FD">
        <w:t xml:space="preserve"> </w:t>
      </w:r>
      <w:r w:rsidR="00C119FC">
        <w:t>своим</w:t>
      </w:r>
      <w:r w:rsidR="00C119FC" w:rsidRPr="003A02FD">
        <w:t xml:space="preserve"> </w:t>
      </w:r>
      <w:r w:rsidR="00C119FC">
        <w:t>целям</w:t>
      </w:r>
      <w:r w:rsidR="00C119FC" w:rsidRPr="003A02FD">
        <w:t xml:space="preserve"> </w:t>
      </w:r>
      <w:r w:rsidR="00C119FC">
        <w:t>и</w:t>
      </w:r>
      <w:r w:rsidR="00C119FC" w:rsidRPr="003A02FD">
        <w:t xml:space="preserve"> </w:t>
      </w:r>
      <w:r w:rsidR="00C119FC">
        <w:t>структуре</w:t>
      </w:r>
      <w:r w:rsidR="00C119FC" w:rsidRPr="003A02FD">
        <w:t xml:space="preserve"> </w:t>
      </w:r>
      <w:r w:rsidR="00C119FC">
        <w:t>является</w:t>
      </w:r>
      <w:r w:rsidR="00C119FC" w:rsidRPr="003A02FD">
        <w:t xml:space="preserve"> </w:t>
      </w:r>
      <w:r w:rsidR="00C119FC">
        <w:t>восстанавливающей</w:t>
      </w:r>
      <w:r w:rsidR="00C119FC" w:rsidRPr="003A02FD">
        <w:t xml:space="preserve"> </w:t>
      </w:r>
      <w:r w:rsidR="00C119FC">
        <w:t>или</w:t>
      </w:r>
      <w:r w:rsidR="00C119FC" w:rsidRPr="003A02FD">
        <w:t xml:space="preserve"> </w:t>
      </w:r>
      <w:r w:rsidR="00C119FC">
        <w:t>регенерирующей</w:t>
      </w:r>
      <w:r w:rsidRPr="003A02FD">
        <w:t xml:space="preserve">. </w:t>
      </w:r>
      <w:r w:rsidR="00C119FC">
        <w:t xml:space="preserve">В ней понятие окончания срока службы заменяется восстановлением, </w:t>
      </w:r>
      <w:r w:rsidR="00C119FC" w:rsidRPr="001F4FD0">
        <w:t>осуществляется</w:t>
      </w:r>
      <w:r w:rsidR="00C119FC">
        <w:t xml:space="preserve"> переход к использованию возобновляемой энергии, ликвидируется использование токсичных химических веществ</w:t>
      </w:r>
      <w:r w:rsidRPr="003A02FD">
        <w:t xml:space="preserve">, </w:t>
      </w:r>
      <w:r w:rsidR="00C119FC">
        <w:t>которые отрицательно сказываются на повторном использовании и возвращении в биосферу, а также ставится цель ликвидации отходов благодаря совершенствованию дизайна материалов, продуктов, систем и бизнес-моделей</w:t>
      </w:r>
      <w:r w:rsidRPr="003A02FD">
        <w:t xml:space="preserve"> (</w:t>
      </w:r>
      <w:r w:rsidR="00F35BB4" w:rsidRPr="00F35BB4">
        <w:rPr>
          <w:i/>
          <w:iCs/>
        </w:rPr>
        <w:t>Более подробное изложение концепции и принципов</w:t>
      </w:r>
      <w:r w:rsidR="00F35BB4">
        <w:t xml:space="preserve"> </w:t>
      </w:r>
      <w:r w:rsidR="00F35BB4">
        <w:rPr>
          <w:i/>
          <w:iCs/>
        </w:rPr>
        <w:t>содержится в двух отчетах:</w:t>
      </w:r>
      <w:r w:rsidRPr="003A02FD">
        <w:rPr>
          <w:i/>
          <w:iCs/>
        </w:rPr>
        <w:t xml:space="preserve"> </w:t>
      </w:r>
      <w:r w:rsidR="001F4FD0">
        <w:rPr>
          <w:i/>
          <w:iCs/>
        </w:rPr>
        <w:t>По</w:t>
      </w:r>
      <w:r w:rsidR="001F4FD0">
        <w:rPr>
          <w:i/>
          <w:iCs/>
          <w:lang w:val="en-GB"/>
        </w:rPr>
        <w:t> </w:t>
      </w:r>
      <w:r w:rsidR="00F35BB4">
        <w:rPr>
          <w:i/>
          <w:iCs/>
        </w:rPr>
        <w:t>направлению к циркуляционной экономике 1 и 2</w:t>
      </w:r>
      <w:r w:rsidRPr="003A02FD">
        <w:rPr>
          <w:i/>
          <w:iCs/>
        </w:rPr>
        <w:t>, 2012</w:t>
      </w:r>
      <w:r w:rsidR="00F35BB4">
        <w:rPr>
          <w:i/>
          <w:iCs/>
        </w:rPr>
        <w:t> г. и</w:t>
      </w:r>
      <w:r w:rsidRPr="003A02FD">
        <w:rPr>
          <w:i/>
          <w:iCs/>
        </w:rPr>
        <w:t xml:space="preserve"> 2013</w:t>
      </w:r>
      <w:r w:rsidR="00F35BB4">
        <w:rPr>
          <w:i/>
          <w:iCs/>
        </w:rPr>
        <w:t> г.</w:t>
      </w:r>
      <w:r w:rsidRPr="003A02FD">
        <w:rPr>
          <w:i/>
          <w:iCs/>
        </w:rPr>
        <w:t xml:space="preserve">, </w:t>
      </w:r>
      <w:r w:rsidR="00F35BB4">
        <w:rPr>
          <w:i/>
          <w:iCs/>
        </w:rPr>
        <w:t>Фонд Эллен Макартур</w:t>
      </w:r>
      <w:r w:rsidRPr="003A02F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21" w:rsidRDefault="00CF7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247" w:rsidRPr="007E30F5" w:rsidRDefault="007E30F5" w:rsidP="001F4FD0">
    <w:pPr>
      <w:tabs>
        <w:tab w:val="clear" w:pos="794"/>
        <w:tab w:val="clear" w:pos="1191"/>
        <w:tab w:val="clear" w:pos="1588"/>
        <w:tab w:val="clear" w:pos="1985"/>
        <w:tab w:val="center" w:pos="4820"/>
        <w:tab w:val="right" w:pos="9639"/>
      </w:tabs>
      <w:spacing w:before="0"/>
      <w:rPr>
        <w:smallCaps/>
        <w:spacing w:val="24"/>
      </w:rPr>
    </w:pPr>
    <w:r w:rsidRPr="00972BCD">
      <w:tab/>
    </w:r>
    <w:r w:rsidRPr="00D923CD">
      <w:t>ITU</w:t>
    </w:r>
    <w:r w:rsidRPr="00701E31">
      <w:t>-</w:t>
    </w:r>
    <w:r w:rsidRPr="00D923CD">
      <w:t>D</w:t>
    </w:r>
    <w:r w:rsidRPr="00701E31">
      <w:t>/</w:t>
    </w:r>
    <w:r w:rsidRPr="002236F8">
      <w:t>TDAG</w:t>
    </w:r>
    <w:r w:rsidRPr="0040328D">
      <w:t>-</w:t>
    </w:r>
    <w:r w:rsidRPr="00701E31">
      <w:t>1</w:t>
    </w:r>
    <w:r w:rsidRPr="00B24169">
      <w:t>9</w:t>
    </w:r>
    <w:r w:rsidRPr="00701E31">
      <w:t>/</w:t>
    </w:r>
    <w:r>
      <w:rPr>
        <w:lang w:val="en-US"/>
      </w:rPr>
      <w:t>26</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223C44">
      <w:rPr>
        <w:rStyle w:val="PageNumber"/>
        <w:noProof/>
      </w:rPr>
      <w:t>2</w:t>
    </w:r>
    <w:r w:rsidRPr="00DE3BA6">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21" w:rsidRDefault="00CF7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053D9E"/>
    <w:multiLevelType w:val="hybridMultilevel"/>
    <w:tmpl w:val="4DECDB8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C2408"/>
    <w:rsid w:val="000E34DA"/>
    <w:rsid w:val="00107E03"/>
    <w:rsid w:val="00111662"/>
    <w:rsid w:val="00134D3C"/>
    <w:rsid w:val="001530FB"/>
    <w:rsid w:val="00191479"/>
    <w:rsid w:val="001C7645"/>
    <w:rsid w:val="001E3E78"/>
    <w:rsid w:val="001F4FD0"/>
    <w:rsid w:val="00202D0A"/>
    <w:rsid w:val="002236F8"/>
    <w:rsid w:val="00223C44"/>
    <w:rsid w:val="00227A69"/>
    <w:rsid w:val="00257C2C"/>
    <w:rsid w:val="00270876"/>
    <w:rsid w:val="002717CC"/>
    <w:rsid w:val="00275E40"/>
    <w:rsid w:val="003134A0"/>
    <w:rsid w:val="00316454"/>
    <w:rsid w:val="00344AAF"/>
    <w:rsid w:val="00366978"/>
    <w:rsid w:val="003970ED"/>
    <w:rsid w:val="003A02FD"/>
    <w:rsid w:val="003A294B"/>
    <w:rsid w:val="003C1563"/>
    <w:rsid w:val="003C6E83"/>
    <w:rsid w:val="003E6E87"/>
    <w:rsid w:val="0040328D"/>
    <w:rsid w:val="004143D5"/>
    <w:rsid w:val="00422053"/>
    <w:rsid w:val="004713B8"/>
    <w:rsid w:val="00492670"/>
    <w:rsid w:val="004B48FC"/>
    <w:rsid w:val="004E4490"/>
    <w:rsid w:val="00637852"/>
    <w:rsid w:val="00655923"/>
    <w:rsid w:val="00691CE6"/>
    <w:rsid w:val="00694764"/>
    <w:rsid w:val="00697F52"/>
    <w:rsid w:val="006E6AC3"/>
    <w:rsid w:val="00701E31"/>
    <w:rsid w:val="00702247"/>
    <w:rsid w:val="00705B02"/>
    <w:rsid w:val="007262DE"/>
    <w:rsid w:val="007557EB"/>
    <w:rsid w:val="00761661"/>
    <w:rsid w:val="007E30F5"/>
    <w:rsid w:val="007F3D74"/>
    <w:rsid w:val="008112E9"/>
    <w:rsid w:val="00875722"/>
    <w:rsid w:val="00877F75"/>
    <w:rsid w:val="008B5817"/>
    <w:rsid w:val="008C576E"/>
    <w:rsid w:val="008E2A2E"/>
    <w:rsid w:val="00916B10"/>
    <w:rsid w:val="009C5B8E"/>
    <w:rsid w:val="00A30897"/>
    <w:rsid w:val="00A44602"/>
    <w:rsid w:val="00A45896"/>
    <w:rsid w:val="00A64F9D"/>
    <w:rsid w:val="00A730DB"/>
    <w:rsid w:val="00A73D91"/>
    <w:rsid w:val="00AA42F8"/>
    <w:rsid w:val="00AC2E0E"/>
    <w:rsid w:val="00AC6023"/>
    <w:rsid w:val="00AE0BB7"/>
    <w:rsid w:val="00AE1BA7"/>
    <w:rsid w:val="00B02C8B"/>
    <w:rsid w:val="00B222FE"/>
    <w:rsid w:val="00B52E6E"/>
    <w:rsid w:val="00B726C0"/>
    <w:rsid w:val="00B75868"/>
    <w:rsid w:val="00B905E6"/>
    <w:rsid w:val="00BB7A54"/>
    <w:rsid w:val="00BD2C91"/>
    <w:rsid w:val="00BD7A1A"/>
    <w:rsid w:val="00C119FC"/>
    <w:rsid w:val="00C62E82"/>
    <w:rsid w:val="00C71A6F"/>
    <w:rsid w:val="00C80017"/>
    <w:rsid w:val="00C84CCD"/>
    <w:rsid w:val="00CD34AE"/>
    <w:rsid w:val="00CE37A1"/>
    <w:rsid w:val="00CE5E7B"/>
    <w:rsid w:val="00CF7B21"/>
    <w:rsid w:val="00D16175"/>
    <w:rsid w:val="00D712FE"/>
    <w:rsid w:val="00D90711"/>
    <w:rsid w:val="00D923CD"/>
    <w:rsid w:val="00D93FCC"/>
    <w:rsid w:val="00DA4610"/>
    <w:rsid w:val="00DD19E1"/>
    <w:rsid w:val="00DD5D8C"/>
    <w:rsid w:val="00E06A7D"/>
    <w:rsid w:val="00E17910"/>
    <w:rsid w:val="00E30170"/>
    <w:rsid w:val="00E54FD2"/>
    <w:rsid w:val="00E76B65"/>
    <w:rsid w:val="00E82D31"/>
    <w:rsid w:val="00EE153D"/>
    <w:rsid w:val="00F15DC2"/>
    <w:rsid w:val="00F23A87"/>
    <w:rsid w:val="00F35BB4"/>
    <w:rsid w:val="00F72A94"/>
    <w:rsid w:val="00F746B3"/>
    <w:rsid w:val="00F910E3"/>
    <w:rsid w:val="00F961B7"/>
    <w:rsid w:val="00FA2BC3"/>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66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qFormat/>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qFormat/>
    <w:rsid w:val="00CE37A1"/>
    <w:rPr>
      <w:rFonts w:asciiTheme="minorHAnsi" w:hAnsiTheme="minorHAnsi"/>
      <w:position w:val="6"/>
      <w:sz w:val="16"/>
    </w:rPr>
  </w:style>
  <w:style w:type="paragraph" w:styleId="FootnoteText">
    <w:name w:val="footnote text"/>
    <w:basedOn w:val="Normal"/>
    <w:link w:val="FootnoteTextChar"/>
    <w:qFormat/>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qFormat/>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超级链接,Style 58,超????,하이퍼링크2"/>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761661"/>
    <w:pPr>
      <w:framePr w:hSpace="180" w:wrap="around" w:vAnchor="page" w:hAnchor="margin" w:y="790"/>
      <w:spacing w:before="48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styleId="Index7">
    <w:name w:val="index 7"/>
    <w:basedOn w:val="Normal"/>
    <w:next w:val="Normal"/>
    <w:rsid w:val="00B905E6"/>
    <w:pPr>
      <w:ind w:left="1698"/>
    </w:pPr>
    <w:rPr>
      <w:szCs w:val="20"/>
      <w:lang w:val="en-GB"/>
    </w:rPr>
  </w:style>
  <w:style w:type="paragraph" w:styleId="Index6">
    <w:name w:val="index 6"/>
    <w:basedOn w:val="Normal"/>
    <w:next w:val="Normal"/>
    <w:rsid w:val="00B905E6"/>
    <w:pPr>
      <w:ind w:left="1415"/>
    </w:pPr>
    <w:rPr>
      <w:szCs w:val="20"/>
      <w:lang w:val="en-GB"/>
    </w:rPr>
  </w:style>
  <w:style w:type="paragraph" w:styleId="Index5">
    <w:name w:val="index 5"/>
    <w:basedOn w:val="Normal"/>
    <w:next w:val="Normal"/>
    <w:rsid w:val="00B905E6"/>
    <w:pPr>
      <w:ind w:left="1132"/>
    </w:pPr>
    <w:rPr>
      <w:szCs w:val="20"/>
      <w:lang w:val="en-GB"/>
    </w:rPr>
  </w:style>
  <w:style w:type="paragraph" w:styleId="Index4">
    <w:name w:val="index 4"/>
    <w:basedOn w:val="Normal"/>
    <w:next w:val="Normal"/>
    <w:rsid w:val="00B905E6"/>
    <w:pPr>
      <w:ind w:left="849"/>
    </w:pPr>
    <w:rPr>
      <w:szCs w:val="20"/>
      <w:lang w:val="en-GB"/>
    </w:rPr>
  </w:style>
  <w:style w:type="paragraph" w:styleId="Index3">
    <w:name w:val="index 3"/>
    <w:basedOn w:val="Normal"/>
    <w:next w:val="Normal"/>
    <w:rsid w:val="00B905E6"/>
    <w:pPr>
      <w:ind w:left="566"/>
    </w:pPr>
    <w:rPr>
      <w:szCs w:val="20"/>
      <w:lang w:val="en-GB"/>
    </w:rPr>
  </w:style>
  <w:style w:type="paragraph" w:styleId="Index2">
    <w:name w:val="index 2"/>
    <w:basedOn w:val="Normal"/>
    <w:next w:val="Normal"/>
    <w:rsid w:val="00B905E6"/>
    <w:pPr>
      <w:ind w:left="283"/>
    </w:pPr>
    <w:rPr>
      <w:szCs w:val="20"/>
      <w:lang w:val="en-GB"/>
    </w:rPr>
  </w:style>
  <w:style w:type="paragraph" w:styleId="Index1">
    <w:name w:val="index 1"/>
    <w:basedOn w:val="Normal"/>
    <w:next w:val="Normal"/>
    <w:rsid w:val="00B905E6"/>
    <w:rPr>
      <w:szCs w:val="20"/>
      <w:lang w:val="en-GB"/>
    </w:rPr>
  </w:style>
  <w:style w:type="character" w:styleId="LineNumber">
    <w:name w:val="line number"/>
    <w:basedOn w:val="DefaultParagraphFont"/>
    <w:rsid w:val="00B905E6"/>
  </w:style>
  <w:style w:type="paragraph" w:styleId="IndexHeading">
    <w:name w:val="index heading"/>
    <w:basedOn w:val="Normal"/>
    <w:next w:val="Index1"/>
    <w:rsid w:val="00B905E6"/>
    <w:rPr>
      <w:szCs w:val="20"/>
      <w:lang w:val="en-GB"/>
    </w:rPr>
  </w:style>
  <w:style w:type="paragraph" w:customStyle="1" w:styleId="Equation">
    <w:name w:val="Equation"/>
    <w:basedOn w:val="Normal"/>
    <w:rsid w:val="00B905E6"/>
    <w:pPr>
      <w:tabs>
        <w:tab w:val="clear" w:pos="1191"/>
        <w:tab w:val="clear" w:pos="1588"/>
        <w:tab w:val="clear" w:pos="1985"/>
        <w:tab w:val="center" w:pos="4820"/>
        <w:tab w:val="right" w:pos="9639"/>
      </w:tabs>
    </w:pPr>
    <w:rPr>
      <w:szCs w:val="20"/>
      <w:lang w:val="en-GB"/>
    </w:rPr>
  </w:style>
  <w:style w:type="paragraph" w:customStyle="1" w:styleId="Head">
    <w:name w:val="Head"/>
    <w:basedOn w:val="Normal"/>
    <w:rsid w:val="00B905E6"/>
    <w:pPr>
      <w:tabs>
        <w:tab w:val="left" w:pos="6663"/>
      </w:tabs>
      <w:overflowPunct/>
      <w:autoSpaceDE/>
      <w:autoSpaceDN/>
      <w:adjustRightInd/>
      <w:spacing w:before="0"/>
      <w:textAlignment w:val="auto"/>
    </w:pPr>
    <w:rPr>
      <w:szCs w:val="20"/>
      <w:lang w:val="en-GB"/>
    </w:rPr>
  </w:style>
  <w:style w:type="paragraph" w:styleId="List">
    <w:name w:val="List"/>
    <w:basedOn w:val="Normal"/>
    <w:rsid w:val="00B905E6"/>
    <w:pPr>
      <w:tabs>
        <w:tab w:val="clear" w:pos="794"/>
        <w:tab w:val="clear" w:pos="1191"/>
        <w:tab w:val="clear" w:pos="1588"/>
        <w:tab w:val="clear" w:pos="1985"/>
        <w:tab w:val="left" w:pos="1701"/>
        <w:tab w:val="left" w:pos="2127"/>
      </w:tabs>
      <w:ind w:left="2127" w:hanging="2127"/>
    </w:pPr>
    <w:rPr>
      <w:szCs w:val="20"/>
      <w:lang w:val="en-GB"/>
    </w:rPr>
  </w:style>
  <w:style w:type="paragraph" w:customStyle="1" w:styleId="docnoted">
    <w:name w:val="docnoted"/>
    <w:basedOn w:val="Normal"/>
    <w:next w:val="Head"/>
    <w:rsid w:val="00B905E6"/>
    <w:pPr>
      <w:pBdr>
        <w:top w:val="single" w:sz="6" w:space="0" w:color="auto"/>
        <w:left w:val="single" w:sz="6" w:space="0" w:color="auto"/>
        <w:bottom w:val="single" w:sz="6" w:space="0" w:color="auto"/>
        <w:right w:val="single" w:sz="6" w:space="0" w:color="auto"/>
      </w:pBdr>
      <w:shd w:val="pct10" w:color="auto" w:fill="auto"/>
      <w:ind w:right="91"/>
    </w:pPr>
    <w:rPr>
      <w:sz w:val="20"/>
      <w:szCs w:val="20"/>
      <w:lang w:val="en-GB"/>
    </w:rPr>
  </w:style>
  <w:style w:type="paragraph" w:customStyle="1" w:styleId="meeting">
    <w:name w:val="meeting"/>
    <w:basedOn w:val="Head"/>
    <w:next w:val="Head"/>
    <w:rsid w:val="00B905E6"/>
    <w:pPr>
      <w:tabs>
        <w:tab w:val="left" w:pos="7371"/>
      </w:tabs>
      <w:spacing w:after="567"/>
    </w:pPr>
  </w:style>
  <w:style w:type="paragraph" w:customStyle="1" w:styleId="Subject">
    <w:name w:val="Subject"/>
    <w:basedOn w:val="Normal"/>
    <w:next w:val="Source"/>
    <w:rsid w:val="00B905E6"/>
    <w:pPr>
      <w:tabs>
        <w:tab w:val="clear" w:pos="794"/>
        <w:tab w:val="clear" w:pos="1191"/>
        <w:tab w:val="clear" w:pos="1588"/>
        <w:tab w:val="clear" w:pos="1985"/>
        <w:tab w:val="left" w:pos="1134"/>
      </w:tabs>
      <w:spacing w:before="0"/>
      <w:ind w:left="1134" w:hanging="1134"/>
    </w:pPr>
    <w:rPr>
      <w:szCs w:val="20"/>
      <w:lang w:val="en-GB"/>
    </w:rPr>
  </w:style>
  <w:style w:type="paragraph" w:customStyle="1" w:styleId="Object">
    <w:name w:val="Object"/>
    <w:basedOn w:val="Subject"/>
    <w:next w:val="Subject"/>
    <w:rsid w:val="00B905E6"/>
  </w:style>
  <w:style w:type="paragraph" w:customStyle="1" w:styleId="Data">
    <w:name w:val="Data"/>
    <w:basedOn w:val="Subject"/>
    <w:next w:val="Subject"/>
    <w:rsid w:val="00B905E6"/>
  </w:style>
  <w:style w:type="paragraph" w:styleId="TOC9">
    <w:name w:val="toc 9"/>
    <w:basedOn w:val="TOC4"/>
    <w:rsid w:val="00B905E6"/>
    <w:pPr>
      <w:keepLines/>
      <w:tabs>
        <w:tab w:val="clear" w:pos="794"/>
        <w:tab w:val="clear" w:pos="964"/>
        <w:tab w:val="clear" w:pos="1191"/>
        <w:tab w:val="clear" w:pos="1588"/>
        <w:tab w:val="clear" w:pos="1985"/>
        <w:tab w:val="clear" w:pos="9639"/>
        <w:tab w:val="left" w:leader="dot" w:pos="7938"/>
        <w:tab w:val="center" w:pos="8789"/>
      </w:tabs>
      <w:spacing w:before="80"/>
      <w:ind w:left="567" w:hanging="567"/>
    </w:pPr>
    <w:rPr>
      <w:szCs w:val="20"/>
      <w:lang w:val="en-GB"/>
    </w:rPr>
  </w:style>
  <w:style w:type="paragraph" w:customStyle="1" w:styleId="Title4">
    <w:name w:val="Title 4"/>
    <w:basedOn w:val="Title3"/>
    <w:next w:val="Heading1"/>
    <w:rsid w:val="00B905E6"/>
    <w:pPr>
      <w:tabs>
        <w:tab w:val="clear" w:pos="794"/>
        <w:tab w:val="clear" w:pos="1191"/>
        <w:tab w:val="clear" w:pos="1588"/>
        <w:tab w:val="clear" w:pos="1985"/>
      </w:tabs>
      <w:overflowPunct/>
      <w:autoSpaceDE/>
      <w:autoSpaceDN/>
      <w:adjustRightInd/>
      <w:textAlignment w:val="auto"/>
    </w:pPr>
    <w:rPr>
      <w:b/>
      <w:szCs w:val="20"/>
      <w:lang w:val="en-GB" w:eastAsia="en-US"/>
    </w:rPr>
  </w:style>
  <w:style w:type="paragraph" w:customStyle="1" w:styleId="dnum">
    <w:name w:val="dnum"/>
    <w:basedOn w:val="Normal"/>
    <w:rsid w:val="00B905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szCs w:val="20"/>
      <w:lang w:val="en-GB"/>
    </w:rPr>
  </w:style>
  <w:style w:type="paragraph" w:customStyle="1" w:styleId="ddate">
    <w:name w:val="ddate"/>
    <w:basedOn w:val="Normal"/>
    <w:rsid w:val="00B905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Cs w:val="20"/>
      <w:lang w:val="en-GB"/>
    </w:rPr>
  </w:style>
  <w:style w:type="paragraph" w:customStyle="1" w:styleId="dorlang">
    <w:name w:val="dorlang"/>
    <w:basedOn w:val="Normal"/>
    <w:rsid w:val="00B905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Cs w:val="20"/>
      <w:lang w:val="en-GB"/>
    </w:rPr>
  </w:style>
  <w:style w:type="character" w:styleId="EndnoteReference">
    <w:name w:val="endnote reference"/>
    <w:basedOn w:val="DefaultParagraphFont"/>
    <w:rsid w:val="00B905E6"/>
    <w:rPr>
      <w:vertAlign w:val="superscript"/>
    </w:rPr>
  </w:style>
  <w:style w:type="paragraph" w:customStyle="1" w:styleId="Equationlegend">
    <w:name w:val="Equation_legend"/>
    <w:basedOn w:val="Normal"/>
    <w:rsid w:val="00B905E6"/>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szCs w:val="20"/>
      <w:lang w:val="en-GB"/>
    </w:rPr>
  </w:style>
  <w:style w:type="paragraph" w:customStyle="1" w:styleId="Figure">
    <w:name w:val="Figure"/>
    <w:basedOn w:val="Normal"/>
    <w:next w:val="Figuretitle"/>
    <w:rsid w:val="00B905E6"/>
    <w:pPr>
      <w:keepNext/>
      <w:keepLines/>
      <w:spacing w:after="120"/>
      <w:jc w:val="center"/>
    </w:pPr>
    <w:rPr>
      <w:szCs w:val="20"/>
      <w:lang w:val="en-GB"/>
    </w:rPr>
  </w:style>
  <w:style w:type="paragraph" w:customStyle="1" w:styleId="Figuretitle">
    <w:name w:val="Figure_title"/>
    <w:basedOn w:val="Tabletitle"/>
    <w:next w:val="Normalaftertitle"/>
    <w:rsid w:val="00B905E6"/>
    <w:pPr>
      <w:tabs>
        <w:tab w:val="clear" w:pos="2948"/>
        <w:tab w:val="clear" w:pos="4082"/>
      </w:tabs>
      <w:spacing w:before="240" w:after="480"/>
    </w:pPr>
    <w:rPr>
      <w:szCs w:val="20"/>
      <w:lang w:val="en-GB"/>
    </w:rPr>
  </w:style>
  <w:style w:type="paragraph" w:customStyle="1" w:styleId="Figurelegend">
    <w:name w:val="Figure_legend"/>
    <w:basedOn w:val="Normal"/>
    <w:rsid w:val="00B905E6"/>
    <w:pPr>
      <w:keepNext/>
      <w:keepLines/>
      <w:tabs>
        <w:tab w:val="clear" w:pos="794"/>
        <w:tab w:val="clear" w:pos="1191"/>
        <w:tab w:val="clear" w:pos="1588"/>
        <w:tab w:val="clear" w:pos="1985"/>
      </w:tabs>
      <w:spacing w:before="20" w:after="20"/>
    </w:pPr>
    <w:rPr>
      <w:sz w:val="18"/>
      <w:szCs w:val="20"/>
      <w:lang w:val="en-GB"/>
    </w:rPr>
  </w:style>
  <w:style w:type="paragraph" w:customStyle="1" w:styleId="FigureNo">
    <w:name w:val="Figure_No"/>
    <w:basedOn w:val="Normal"/>
    <w:next w:val="Figuretitle"/>
    <w:rsid w:val="00B905E6"/>
    <w:pPr>
      <w:keepNext/>
      <w:keepLines/>
      <w:spacing w:before="240" w:after="120"/>
      <w:jc w:val="center"/>
    </w:pPr>
    <w:rPr>
      <w:caps/>
      <w:szCs w:val="20"/>
      <w:lang w:val="en-GB"/>
    </w:rPr>
  </w:style>
  <w:style w:type="paragraph" w:customStyle="1" w:styleId="Figurewithouttitle">
    <w:name w:val="Figure_without_title"/>
    <w:basedOn w:val="Figure"/>
    <w:next w:val="Normalaftertitle"/>
    <w:rsid w:val="00B905E6"/>
    <w:pPr>
      <w:keepNext w:val="0"/>
      <w:spacing w:after="240"/>
    </w:pPr>
  </w:style>
  <w:style w:type="paragraph" w:customStyle="1" w:styleId="PartNo">
    <w:name w:val="Part_No"/>
    <w:basedOn w:val="AnnexNo"/>
    <w:next w:val="Parttitle"/>
    <w:rsid w:val="00B905E6"/>
    <w:pPr>
      <w:keepNext/>
      <w:keepLines/>
      <w:spacing w:before="480" w:after="80"/>
    </w:pPr>
    <w:rPr>
      <w:szCs w:val="20"/>
      <w:lang w:val="en-GB"/>
    </w:rPr>
  </w:style>
  <w:style w:type="paragraph" w:customStyle="1" w:styleId="Parttitle">
    <w:name w:val="Part_title"/>
    <w:basedOn w:val="Annextitle"/>
    <w:next w:val="Partref"/>
    <w:rsid w:val="00B905E6"/>
    <w:pPr>
      <w:keepNext/>
      <w:keepLines/>
      <w:spacing w:after="280"/>
    </w:pPr>
    <w:rPr>
      <w:szCs w:val="20"/>
      <w:lang w:val="en-GB"/>
    </w:rPr>
  </w:style>
  <w:style w:type="paragraph" w:customStyle="1" w:styleId="Partref">
    <w:name w:val="Part_ref"/>
    <w:basedOn w:val="Annexref"/>
    <w:next w:val="Normalaftertitle"/>
    <w:rsid w:val="00B905E6"/>
    <w:pPr>
      <w:keepNext/>
      <w:keepLines/>
      <w:spacing w:after="280"/>
    </w:pPr>
    <w:rPr>
      <w:sz w:val="22"/>
      <w:szCs w:val="20"/>
      <w:lang w:val="en-GB"/>
    </w:rPr>
  </w:style>
  <w:style w:type="paragraph" w:customStyle="1" w:styleId="Recref">
    <w:name w:val="Rec_ref"/>
    <w:basedOn w:val="Rectitle"/>
    <w:next w:val="Recdate"/>
    <w:rsid w:val="00B905E6"/>
    <w:pPr>
      <w:keepNext/>
      <w:keepLines/>
      <w:tabs>
        <w:tab w:val="clear" w:pos="794"/>
        <w:tab w:val="clear" w:pos="1191"/>
        <w:tab w:val="clear" w:pos="1588"/>
        <w:tab w:val="clear" w:pos="1985"/>
      </w:tabs>
      <w:spacing w:before="120"/>
    </w:pPr>
    <w:rPr>
      <w:rFonts w:ascii="Times New Roman" w:hAnsi="Times New Roman"/>
      <w:b w:val="0"/>
      <w:sz w:val="24"/>
      <w:szCs w:val="20"/>
      <w:lang w:val="en-GB"/>
    </w:rPr>
  </w:style>
  <w:style w:type="paragraph" w:customStyle="1" w:styleId="Recdate">
    <w:name w:val="Rec_date"/>
    <w:basedOn w:val="Recref"/>
    <w:next w:val="Normalaftertitle"/>
    <w:rsid w:val="00B905E6"/>
    <w:pPr>
      <w:jc w:val="right"/>
    </w:pPr>
    <w:rPr>
      <w:sz w:val="22"/>
    </w:rPr>
  </w:style>
  <w:style w:type="paragraph" w:customStyle="1" w:styleId="Questiondate">
    <w:name w:val="Question_date"/>
    <w:basedOn w:val="Recdate"/>
    <w:next w:val="Normalaftertitle"/>
    <w:rsid w:val="00B905E6"/>
  </w:style>
  <w:style w:type="paragraph" w:customStyle="1" w:styleId="QuestionNo">
    <w:name w:val="Question_No"/>
    <w:basedOn w:val="RecNo"/>
    <w:next w:val="Questiontitle"/>
    <w:rsid w:val="00B905E6"/>
    <w:pPr>
      <w:keepNext/>
      <w:keepLines/>
      <w:spacing w:before="480"/>
    </w:pPr>
    <w:rPr>
      <w:szCs w:val="20"/>
      <w:lang w:val="en-GB"/>
    </w:rPr>
  </w:style>
  <w:style w:type="paragraph" w:customStyle="1" w:styleId="Questionref">
    <w:name w:val="Question_ref"/>
    <w:basedOn w:val="Recref"/>
    <w:next w:val="Questiondate"/>
    <w:rsid w:val="00B905E6"/>
  </w:style>
  <w:style w:type="paragraph" w:customStyle="1" w:styleId="Questiontitle">
    <w:name w:val="Question_title"/>
    <w:basedOn w:val="Rectitle"/>
    <w:next w:val="Questionref"/>
    <w:rsid w:val="00B905E6"/>
    <w:pPr>
      <w:keepNext/>
      <w:keepLines/>
    </w:pPr>
    <w:rPr>
      <w:szCs w:val="20"/>
      <w:lang w:val="en-GB"/>
    </w:rPr>
  </w:style>
  <w:style w:type="paragraph" w:customStyle="1" w:styleId="Repdate">
    <w:name w:val="Rep_date"/>
    <w:basedOn w:val="Recdate"/>
    <w:next w:val="Normalaftertitle"/>
    <w:rsid w:val="00B905E6"/>
  </w:style>
  <w:style w:type="paragraph" w:customStyle="1" w:styleId="RepNo">
    <w:name w:val="Rep_No"/>
    <w:basedOn w:val="RecNo"/>
    <w:next w:val="Reptitle"/>
    <w:rsid w:val="00B905E6"/>
    <w:pPr>
      <w:keepNext/>
      <w:keepLines/>
      <w:spacing w:before="480"/>
    </w:pPr>
    <w:rPr>
      <w:szCs w:val="20"/>
      <w:lang w:val="en-GB"/>
    </w:rPr>
  </w:style>
  <w:style w:type="paragraph" w:customStyle="1" w:styleId="Reptitle">
    <w:name w:val="Rep_title"/>
    <w:basedOn w:val="Rectitle"/>
    <w:next w:val="Repref"/>
    <w:rsid w:val="00B905E6"/>
    <w:pPr>
      <w:keepNext/>
      <w:keepLines/>
    </w:pPr>
    <w:rPr>
      <w:szCs w:val="20"/>
      <w:lang w:val="en-GB"/>
    </w:rPr>
  </w:style>
  <w:style w:type="paragraph" w:customStyle="1" w:styleId="Repref">
    <w:name w:val="Rep_ref"/>
    <w:basedOn w:val="Recref"/>
    <w:next w:val="Repdate"/>
    <w:rsid w:val="00B905E6"/>
  </w:style>
  <w:style w:type="paragraph" w:customStyle="1" w:styleId="Resdate">
    <w:name w:val="Res_date"/>
    <w:basedOn w:val="Recdate"/>
    <w:next w:val="Normalaftertitle"/>
    <w:rsid w:val="00B905E6"/>
  </w:style>
  <w:style w:type="paragraph" w:customStyle="1" w:styleId="Resref">
    <w:name w:val="Res_ref"/>
    <w:basedOn w:val="Recref"/>
    <w:next w:val="Resdate"/>
    <w:rsid w:val="00B905E6"/>
  </w:style>
  <w:style w:type="paragraph" w:customStyle="1" w:styleId="SectionNo">
    <w:name w:val="Section_No"/>
    <w:basedOn w:val="AnnexNo"/>
    <w:next w:val="Sectiontitle"/>
    <w:rsid w:val="00B905E6"/>
    <w:pPr>
      <w:keepNext/>
      <w:keepLines/>
      <w:spacing w:before="480" w:after="80"/>
    </w:pPr>
    <w:rPr>
      <w:szCs w:val="20"/>
      <w:lang w:val="en-GB"/>
    </w:rPr>
  </w:style>
  <w:style w:type="paragraph" w:customStyle="1" w:styleId="Sectiontitle">
    <w:name w:val="Section_title"/>
    <w:basedOn w:val="Normal"/>
    <w:next w:val="Normalaftertitle"/>
    <w:rsid w:val="00B905E6"/>
    <w:rPr>
      <w:sz w:val="26"/>
      <w:szCs w:val="20"/>
      <w:lang w:val="en-GB"/>
    </w:rPr>
  </w:style>
  <w:style w:type="paragraph" w:customStyle="1" w:styleId="SpecialFooter">
    <w:name w:val="Special Footer"/>
    <w:basedOn w:val="Footer"/>
    <w:rsid w:val="00B905E6"/>
    <w:pPr>
      <w:tabs>
        <w:tab w:val="clear" w:pos="794"/>
        <w:tab w:val="clear" w:pos="1191"/>
        <w:tab w:val="clear" w:pos="1588"/>
        <w:tab w:val="clear" w:pos="1985"/>
        <w:tab w:val="left" w:pos="567"/>
        <w:tab w:val="left" w:pos="1134"/>
        <w:tab w:val="left" w:pos="1701"/>
        <w:tab w:val="left" w:pos="2268"/>
        <w:tab w:val="left" w:pos="2835"/>
      </w:tabs>
      <w:jc w:val="both"/>
    </w:pPr>
    <w:rPr>
      <w:caps w:val="0"/>
      <w:noProof w:val="0"/>
      <w:szCs w:val="20"/>
      <w:lang w:val="fr-FR"/>
    </w:rPr>
  </w:style>
  <w:style w:type="paragraph" w:customStyle="1" w:styleId="Tableref">
    <w:name w:val="Table_ref"/>
    <w:basedOn w:val="Normal"/>
    <w:next w:val="Tabletitle"/>
    <w:rsid w:val="00B905E6"/>
    <w:pPr>
      <w:keepNext/>
      <w:spacing w:before="567"/>
      <w:jc w:val="center"/>
    </w:pPr>
    <w:rPr>
      <w:szCs w:val="20"/>
      <w:lang w:val="en-GB"/>
    </w:rPr>
  </w:style>
  <w:style w:type="table" w:customStyle="1" w:styleId="GridTable4-Accent111">
    <w:name w:val="Grid Table 4 - Accent 111"/>
    <w:basedOn w:val="TableNormal"/>
    <w:uiPriority w:val="49"/>
    <w:rsid w:val="00B905E6"/>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numlev1Char">
    <w:name w:val="enumlev1 Char"/>
    <w:basedOn w:val="DefaultParagraphFont"/>
    <w:link w:val="enumlev1"/>
    <w:locked/>
    <w:rsid w:val="00B905E6"/>
    <w:rPr>
      <w:rFonts w:ascii="Calibri" w:eastAsia="Times New Roman" w:hAnsi="Calibri" w:cs="Times New Roman"/>
      <w:lang w:val="ru-RU" w:eastAsia="en-US"/>
    </w:rPr>
  </w:style>
  <w:style w:type="table" w:customStyle="1" w:styleId="GridTable4-Accent11">
    <w:name w:val="Grid Table 4 - Accent 11"/>
    <w:basedOn w:val="TableNormal"/>
    <w:uiPriority w:val="49"/>
    <w:rsid w:val="00B905E6"/>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nnextitleChar">
    <w:name w:val="Annex_title Char"/>
    <w:basedOn w:val="DefaultParagraphFont"/>
    <w:link w:val="Annextitle"/>
    <w:locked/>
    <w:rsid w:val="00B905E6"/>
    <w:rPr>
      <w:rFonts w:ascii="Calibri" w:eastAsia="Times New Roman" w:hAnsi="Calibri" w:cs="Times New Roman"/>
      <w:b/>
      <w:sz w:val="26"/>
      <w:lang w:val="ru-RU" w:eastAsia="en-US"/>
    </w:rPr>
  </w:style>
  <w:style w:type="character" w:customStyle="1" w:styleId="FootnoteTextChar1">
    <w:name w:val="Footnote Text Char1"/>
    <w:locked/>
    <w:rsid w:val="00B905E6"/>
    <w:rPr>
      <w:rFonts w:ascii="Calibri" w:hAnsi="Calibri"/>
      <w:lang w:val="en-GB" w:eastAsia="en-US"/>
    </w:rPr>
  </w:style>
  <w:style w:type="paragraph" w:styleId="ListParagraph">
    <w:name w:val="List Paragraph"/>
    <w:aliases w:val="List Paragraph1,Recommendation,List Paragraph11"/>
    <w:basedOn w:val="Normal"/>
    <w:link w:val="ListParagraphChar"/>
    <w:uiPriority w:val="34"/>
    <w:qFormat/>
    <w:rsid w:val="00637852"/>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637852"/>
    <w:rPr>
      <w:rFonts w:eastAsia="Times New Roman" w:cs="Times New Roman"/>
      <w:sz w:val="24"/>
      <w:szCs w:val="20"/>
      <w:lang w:val="en-GB" w:eastAsia="en-US"/>
    </w:rPr>
  </w:style>
  <w:style w:type="character" w:customStyle="1" w:styleId="preferred">
    <w:name w:val="preferred"/>
    <w:basedOn w:val="DefaultParagraphFont"/>
    <w:rsid w:val="001C7645"/>
  </w:style>
  <w:style w:type="character" w:customStyle="1" w:styleId="acronym">
    <w:name w:val="acronym"/>
    <w:basedOn w:val="DefaultParagraphFont"/>
    <w:rsid w:val="001C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Climate-Change/Documents/2018/Handbook-Policy-framework-on-ICT-Ewast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D/Climate-Change/Pages/ewaste/A-New-Circular-Vision-for-Electronics-Time-for-a-Global-Reboo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Emergency-Telecommunications/Pages/Respons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D/LDCs/Pages/Publication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ITU-D/LDCs/Pages/ICTs-for-SDGs-in-LDCs-Report.aspx" TargetMode="External"/><Relationship Id="rId14" Type="http://schemas.openxmlformats.org/officeDocument/2006/relationships/hyperlink" Target="https://www.itu.int/en/ITU-D/Climate-Change/Documents/2018/Successful-electronic-waste-management-initiativ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C321-48C1-4609-ACFB-BB6E5B5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Antipina, Nadezda</dc:creator>
  <cp:keywords/>
  <dc:description/>
  <cp:lastModifiedBy>BDT</cp:lastModifiedBy>
  <cp:revision>7</cp:revision>
  <cp:lastPrinted>2015-03-02T13:42:00Z</cp:lastPrinted>
  <dcterms:created xsi:type="dcterms:W3CDTF">2019-01-29T09:20:00Z</dcterms:created>
  <dcterms:modified xsi:type="dcterms:W3CDTF">2019-02-07T15:30:00Z</dcterms:modified>
</cp:coreProperties>
</file>