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Tr="005A39AD">
        <w:trPr>
          <w:cantSplit/>
          <w:trHeight w:val="1134"/>
        </w:trPr>
        <w:tc>
          <w:tcPr>
            <w:tcW w:w="6804" w:type="dxa"/>
          </w:tcPr>
          <w:p w:rsidR="00175C4C" w:rsidRPr="001E252D" w:rsidRDefault="00175C4C" w:rsidP="0079326E">
            <w:pPr>
              <w:spacing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75C4C" w:rsidRPr="00A67CAE" w:rsidRDefault="00175C4C" w:rsidP="005A39AD">
            <w:pPr>
              <w:spacing w:after="48" w:line="240" w:lineRule="atLeast"/>
              <w:ind w:left="34"/>
              <w:rPr>
                <w:b/>
                <w:bCs/>
                <w:szCs w:val="24"/>
                <w:lang w:eastAsia="zh-CN"/>
              </w:rPr>
            </w:pPr>
            <w:r w:rsidRPr="00A67CAE">
              <w:rPr>
                <w:b/>
                <w:bCs/>
                <w:szCs w:val="24"/>
                <w:lang w:val="fr-CH" w:eastAsia="zh-CN"/>
              </w:rPr>
              <w:t>第</w:t>
            </w:r>
            <w:r w:rsidRPr="00A67CAE">
              <w:rPr>
                <w:b/>
                <w:bCs/>
                <w:szCs w:val="24"/>
                <w:lang w:val="fr-CH" w:eastAsia="zh-CN"/>
              </w:rPr>
              <w:t>2</w:t>
            </w:r>
            <w:r>
              <w:rPr>
                <w:b/>
                <w:bCs/>
                <w:szCs w:val="24"/>
                <w:lang w:val="fr-CH" w:eastAsia="zh-CN"/>
              </w:rPr>
              <w:t>4</w:t>
            </w:r>
            <w:r w:rsidRPr="00A67CAE">
              <w:rPr>
                <w:b/>
                <w:bCs/>
                <w:szCs w:val="24"/>
                <w:lang w:val="fr-CH" w:eastAsia="zh-CN"/>
              </w:rPr>
              <w:t>次会议，</w:t>
            </w:r>
            <w:r w:rsidRPr="00A67CAE">
              <w:rPr>
                <w:b/>
                <w:bCs/>
                <w:szCs w:val="24"/>
                <w:lang w:val="fr-CH" w:eastAsia="zh-CN"/>
              </w:rPr>
              <w:t>201</w:t>
            </w:r>
            <w:r>
              <w:rPr>
                <w:b/>
                <w:bCs/>
                <w:szCs w:val="24"/>
                <w:lang w:val="fr-CH" w:eastAsia="zh-CN"/>
              </w:rPr>
              <w:t>9</w:t>
            </w:r>
            <w:r w:rsidRPr="00A67CAE">
              <w:rPr>
                <w:b/>
                <w:bCs/>
                <w:szCs w:val="24"/>
                <w:lang w:val="fr-CH" w:eastAsia="zh-CN"/>
              </w:rPr>
              <w:t>年</w:t>
            </w:r>
            <w:r w:rsidRPr="00A67CAE">
              <w:rPr>
                <w:b/>
                <w:bCs/>
                <w:szCs w:val="24"/>
                <w:lang w:val="fr-CH" w:eastAsia="zh-CN"/>
              </w:rPr>
              <w:t>4</w:t>
            </w:r>
            <w:r w:rsidRPr="00A67CAE">
              <w:rPr>
                <w:b/>
                <w:bCs/>
                <w:szCs w:val="24"/>
                <w:lang w:val="fr-CH" w:eastAsia="zh-CN"/>
              </w:rPr>
              <w:t>月</w:t>
            </w:r>
            <w:r>
              <w:rPr>
                <w:b/>
                <w:bCs/>
                <w:szCs w:val="24"/>
                <w:lang w:eastAsia="zh-CN"/>
              </w:rPr>
              <w:t>3</w:t>
            </w:r>
            <w:r w:rsidRPr="00A67CAE">
              <w:rPr>
                <w:b/>
                <w:bCs/>
                <w:szCs w:val="24"/>
                <w:lang w:eastAsia="zh-CN"/>
              </w:rPr>
              <w:t>-</w:t>
            </w:r>
            <w:r>
              <w:rPr>
                <w:b/>
                <w:bCs/>
                <w:szCs w:val="24"/>
                <w:lang w:eastAsia="zh-CN"/>
              </w:rPr>
              <w:t>5</w:t>
            </w:r>
            <w:r w:rsidRPr="00A67CAE">
              <w:rPr>
                <w:b/>
                <w:bCs/>
                <w:szCs w:val="24"/>
                <w:lang w:eastAsia="zh-CN"/>
              </w:rPr>
              <w:t>日，日内瓦</w:t>
            </w:r>
          </w:p>
        </w:tc>
        <w:tc>
          <w:tcPr>
            <w:tcW w:w="3227" w:type="dxa"/>
          </w:tcPr>
          <w:p w:rsidR="00175C4C" w:rsidRPr="00D96B4B" w:rsidRDefault="00175C4C" w:rsidP="005A39AD">
            <w:pPr>
              <w:spacing w:before="0" w:line="240" w:lineRule="atLeast"/>
              <w:jc w:val="right"/>
              <w:rPr>
                <w:rFonts w:cstheme="minorHAnsi"/>
              </w:rPr>
            </w:pPr>
            <w:bookmarkStart w:id="0" w:name="ditulogo"/>
            <w:bookmarkEnd w:id="0"/>
            <w:r w:rsidRPr="008E52B1">
              <w:rPr>
                <w:noProof/>
                <w:color w:val="3399FF"/>
                <w:lang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rsidTr="005A39AD">
        <w:trPr>
          <w:cantSplit/>
        </w:trPr>
        <w:tc>
          <w:tcPr>
            <w:tcW w:w="6804" w:type="dxa"/>
            <w:tcBorders>
              <w:top w:val="single" w:sz="12" w:space="0" w:color="auto"/>
            </w:tcBorders>
          </w:tcPr>
          <w:p w:rsidR="00175C4C" w:rsidRPr="00D96B4B" w:rsidRDefault="00175C4C" w:rsidP="005A39AD">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D96B4B" w:rsidRDefault="00175C4C" w:rsidP="005A39AD">
            <w:pPr>
              <w:spacing w:before="0" w:line="240" w:lineRule="atLeast"/>
              <w:rPr>
                <w:rFonts w:cstheme="minorHAnsi"/>
                <w:sz w:val="20"/>
              </w:rPr>
            </w:pPr>
          </w:p>
        </w:tc>
      </w:tr>
      <w:tr w:rsidR="00175C4C" w:rsidRPr="0038489B" w:rsidTr="005A39AD">
        <w:trPr>
          <w:cantSplit/>
          <w:trHeight w:val="23"/>
        </w:trPr>
        <w:tc>
          <w:tcPr>
            <w:tcW w:w="6804" w:type="dxa"/>
            <w:shd w:val="clear" w:color="auto" w:fill="auto"/>
          </w:tcPr>
          <w:p w:rsidR="00175C4C" w:rsidRPr="00D96B4B" w:rsidRDefault="00175C4C" w:rsidP="0079326E">
            <w:pPr>
              <w:pStyle w:val="Committee"/>
              <w:spacing w:before="0"/>
            </w:pPr>
            <w:bookmarkStart w:id="2" w:name="dnum" w:colFirst="1" w:colLast="1"/>
            <w:bookmarkStart w:id="3" w:name="dmeeting" w:colFirst="0" w:colLast="0"/>
            <w:bookmarkEnd w:id="1"/>
          </w:p>
        </w:tc>
        <w:tc>
          <w:tcPr>
            <w:tcW w:w="3227" w:type="dxa"/>
          </w:tcPr>
          <w:p w:rsidR="00175C4C" w:rsidRPr="00E07105" w:rsidRDefault="00175C4C" w:rsidP="0079326E">
            <w:pPr>
              <w:tabs>
                <w:tab w:val="left" w:pos="851"/>
              </w:tabs>
              <w:spacing w:before="0" w:line="240" w:lineRule="atLeast"/>
              <w:rPr>
                <w:rFonts w:cstheme="minorHAnsi"/>
                <w:szCs w:val="24"/>
                <w:lang w:val="es-ES_tradnl"/>
              </w:rPr>
            </w:pPr>
            <w:r>
              <w:rPr>
                <w:rFonts w:hint="eastAsia"/>
                <w:b/>
                <w:bCs/>
                <w:szCs w:val="24"/>
                <w:lang w:val="es-ES_tradnl" w:eastAsia="zh-CN"/>
              </w:rPr>
              <w:t>文件</w:t>
            </w:r>
            <w:bookmarkStart w:id="4" w:name="DocRef1"/>
            <w:bookmarkEnd w:id="4"/>
            <w:r w:rsidR="0079326E">
              <w:rPr>
                <w:b/>
                <w:bCs/>
                <w:szCs w:val="24"/>
                <w:lang w:val="es-ES_tradnl"/>
              </w:rPr>
              <w:t>：</w:t>
            </w:r>
            <w:r w:rsidR="0079326E">
              <w:rPr>
                <w:b/>
                <w:bCs/>
                <w:szCs w:val="24"/>
                <w:lang w:val="es-ES_tradnl"/>
              </w:rPr>
              <w:t>T</w:t>
            </w:r>
            <w:r>
              <w:rPr>
                <w:b/>
                <w:bCs/>
                <w:szCs w:val="24"/>
                <w:lang w:val="es-ES_tradnl"/>
              </w:rPr>
              <w:t>DAG-19</w:t>
            </w:r>
            <w:r w:rsidRPr="00147DA1">
              <w:rPr>
                <w:b/>
                <w:bCs/>
                <w:szCs w:val="24"/>
                <w:lang w:val="es-ES_tradnl"/>
              </w:rPr>
              <w:t>/</w:t>
            </w:r>
            <w:r w:rsidR="008104BA">
              <w:rPr>
                <w:b/>
                <w:bCs/>
                <w:szCs w:val="24"/>
                <w:lang w:val="es-ES_tradnl"/>
              </w:rPr>
              <w:t>30</w:t>
            </w:r>
            <w:r w:rsidRPr="00147DA1">
              <w:rPr>
                <w:b/>
                <w:bCs/>
                <w:szCs w:val="24"/>
                <w:lang w:val="es-ES_tradnl"/>
              </w:rPr>
              <w:t>-</w:t>
            </w:r>
            <w:r>
              <w:rPr>
                <w:b/>
                <w:bCs/>
                <w:szCs w:val="24"/>
                <w:lang w:val="es-ES_tradnl"/>
              </w:rPr>
              <w:t>C</w:t>
            </w:r>
          </w:p>
        </w:tc>
      </w:tr>
      <w:tr w:rsidR="00175C4C" w:rsidRPr="00C324A8" w:rsidTr="005A39AD">
        <w:trPr>
          <w:cantSplit/>
          <w:trHeight w:val="23"/>
        </w:trPr>
        <w:tc>
          <w:tcPr>
            <w:tcW w:w="6804" w:type="dxa"/>
            <w:shd w:val="clear" w:color="auto" w:fill="auto"/>
          </w:tcPr>
          <w:p w:rsidR="00175C4C" w:rsidRPr="00E07105" w:rsidRDefault="00175C4C" w:rsidP="005A39AD">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D96B4B" w:rsidRDefault="00175C4C" w:rsidP="00B3083D">
            <w:pPr>
              <w:spacing w:before="0" w:line="240" w:lineRule="atLeast"/>
              <w:rPr>
                <w:rFonts w:cstheme="minorHAnsi"/>
                <w:szCs w:val="24"/>
                <w:lang w:eastAsia="zh-CN"/>
              </w:rPr>
            </w:pPr>
            <w:r>
              <w:rPr>
                <w:b/>
                <w:bCs/>
                <w:szCs w:val="24"/>
                <w:lang w:val="fr-FR"/>
              </w:rPr>
              <w:t>2019</w:t>
            </w:r>
            <w:r>
              <w:rPr>
                <w:rFonts w:hint="eastAsia"/>
                <w:b/>
                <w:bCs/>
                <w:szCs w:val="24"/>
                <w:lang w:val="fr-FR" w:eastAsia="zh-CN"/>
              </w:rPr>
              <w:t>年</w:t>
            </w:r>
            <w:r w:rsidR="00B3083D">
              <w:rPr>
                <w:b/>
                <w:bCs/>
                <w:szCs w:val="24"/>
                <w:lang w:val="fr-FR" w:eastAsia="zh-CN"/>
              </w:rPr>
              <w:t>1</w:t>
            </w:r>
            <w:r>
              <w:rPr>
                <w:b/>
                <w:bCs/>
                <w:szCs w:val="24"/>
                <w:lang w:val="fr-FR" w:eastAsia="zh-CN"/>
              </w:rPr>
              <w:t>月</w:t>
            </w:r>
            <w:r w:rsidR="00B3083D">
              <w:rPr>
                <w:b/>
                <w:bCs/>
                <w:szCs w:val="24"/>
                <w:lang w:val="fr-FR" w:eastAsia="zh-CN"/>
              </w:rPr>
              <w:t>25</w:t>
            </w:r>
            <w:r>
              <w:rPr>
                <w:b/>
                <w:bCs/>
                <w:szCs w:val="24"/>
                <w:lang w:val="fr-FR" w:eastAsia="zh-CN"/>
              </w:rPr>
              <w:t>日</w:t>
            </w:r>
          </w:p>
        </w:tc>
      </w:tr>
      <w:tr w:rsidR="00175C4C" w:rsidRPr="00C324A8" w:rsidTr="005A39AD">
        <w:trPr>
          <w:cantSplit/>
          <w:trHeight w:val="23"/>
        </w:trPr>
        <w:tc>
          <w:tcPr>
            <w:tcW w:w="6804" w:type="dxa"/>
            <w:shd w:val="clear" w:color="auto" w:fill="auto"/>
          </w:tcPr>
          <w:p w:rsidR="00175C4C" w:rsidRPr="00D96B4B" w:rsidRDefault="00175C4C" w:rsidP="005A39AD">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D96B4B" w:rsidRDefault="00175C4C" w:rsidP="005A39AD">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rsidTr="005A39AD">
        <w:trPr>
          <w:cantSplit/>
          <w:trHeight w:val="23"/>
        </w:trPr>
        <w:tc>
          <w:tcPr>
            <w:tcW w:w="10031" w:type="dxa"/>
            <w:gridSpan w:val="2"/>
            <w:shd w:val="clear" w:color="auto" w:fill="auto"/>
          </w:tcPr>
          <w:p w:rsidR="00175C4C" w:rsidRPr="0079326E" w:rsidRDefault="00AB5673" w:rsidP="00AB5673">
            <w:pPr>
              <w:pStyle w:val="Source"/>
              <w:spacing w:before="240" w:after="240"/>
              <w:jc w:val="center"/>
              <w:rPr>
                <w:rFonts w:asciiTheme="majorEastAsia" w:eastAsiaTheme="majorEastAsia" w:hAnsiTheme="majorEastAsia"/>
                <w:sz w:val="28"/>
                <w:szCs w:val="28"/>
                <w:lang w:val="en-US" w:eastAsia="zh-CN"/>
              </w:rPr>
            </w:pPr>
            <w:r w:rsidRPr="0079326E">
              <w:rPr>
                <w:rFonts w:hint="eastAsia"/>
                <w:sz w:val="28"/>
                <w:szCs w:val="28"/>
                <w:lang w:eastAsia="zh-CN"/>
              </w:rPr>
              <w:t>电信发展局</w:t>
            </w:r>
            <w:r w:rsidRPr="0079326E">
              <w:rPr>
                <w:sz w:val="28"/>
                <w:szCs w:val="28"/>
                <w:lang w:eastAsia="zh-CN"/>
              </w:rPr>
              <w:t>主任</w:t>
            </w:r>
          </w:p>
        </w:tc>
      </w:tr>
      <w:tr w:rsidR="00175C4C" w:rsidRPr="00C324A8" w:rsidTr="005A39AD">
        <w:trPr>
          <w:cantSplit/>
          <w:trHeight w:val="23"/>
        </w:trPr>
        <w:tc>
          <w:tcPr>
            <w:tcW w:w="10031" w:type="dxa"/>
            <w:gridSpan w:val="2"/>
            <w:shd w:val="clear" w:color="auto" w:fill="auto"/>
          </w:tcPr>
          <w:p w:rsidR="00175C4C" w:rsidRPr="0079326E" w:rsidRDefault="00AB5673" w:rsidP="00175C4C">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rFonts w:asciiTheme="majorEastAsia" w:eastAsiaTheme="majorEastAsia" w:hAnsiTheme="majorEastAsia" w:cs="Times New Roman"/>
                <w:b w:val="0"/>
                <w:bCs/>
                <w:caps/>
                <w:sz w:val="28"/>
                <w:szCs w:val="28"/>
                <w:lang w:val="en-US" w:eastAsia="zh-CN"/>
              </w:rPr>
            </w:pPr>
            <w:r w:rsidRPr="0079326E">
              <w:rPr>
                <w:rFonts w:hint="eastAsia"/>
                <w:b w:val="0"/>
                <w:bCs/>
                <w:sz w:val="28"/>
                <w:szCs w:val="28"/>
                <w:lang w:eastAsia="zh-CN"/>
              </w:rPr>
              <w:t>网络</w:t>
            </w:r>
            <w:r w:rsidRPr="0079326E">
              <w:rPr>
                <w:b w:val="0"/>
                <w:bCs/>
                <w:sz w:val="28"/>
                <w:szCs w:val="28"/>
                <w:lang w:eastAsia="zh-CN"/>
              </w:rPr>
              <w:t>安全与信息通信技术（</w:t>
            </w:r>
            <w:r w:rsidRPr="0079326E">
              <w:rPr>
                <w:b w:val="0"/>
                <w:bCs/>
                <w:sz w:val="28"/>
                <w:szCs w:val="28"/>
                <w:lang w:eastAsia="zh-CN"/>
              </w:rPr>
              <w:t>ICT</w:t>
            </w:r>
            <w:r w:rsidRPr="0079326E">
              <w:rPr>
                <w:b w:val="0"/>
                <w:bCs/>
                <w:sz w:val="28"/>
                <w:szCs w:val="28"/>
                <w:lang w:eastAsia="zh-CN"/>
              </w:rPr>
              <w:t>）应用活动</w:t>
            </w:r>
          </w:p>
        </w:tc>
      </w:tr>
      <w:tr w:rsidR="00175C4C" w:rsidRPr="00C324A8" w:rsidTr="005A39AD">
        <w:trPr>
          <w:cantSplit/>
          <w:trHeight w:val="23"/>
        </w:trPr>
        <w:tc>
          <w:tcPr>
            <w:tcW w:w="10031" w:type="dxa"/>
            <w:gridSpan w:val="2"/>
            <w:tcBorders>
              <w:bottom w:val="single" w:sz="4" w:space="0" w:color="auto"/>
            </w:tcBorders>
            <w:shd w:val="clear" w:color="auto" w:fill="auto"/>
          </w:tcPr>
          <w:p w:rsidR="00175C4C" w:rsidRPr="00B911B2" w:rsidRDefault="00175C4C" w:rsidP="00175C4C">
            <w:pPr>
              <w:pStyle w:val="Title1"/>
              <w:spacing w:before="120" w:after="120"/>
              <w:rPr>
                <w:caps/>
                <w:szCs w:val="28"/>
                <w:lang w:eastAsia="zh-CN"/>
              </w:rPr>
            </w:pPr>
          </w:p>
        </w:tc>
      </w:tr>
      <w:tr w:rsidR="00175C4C" w:rsidRPr="00C324A8" w:rsidTr="005A39AD">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75C4C" w:rsidRPr="00054016" w:rsidRDefault="00175C4C" w:rsidP="00175C4C">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B3083D" w:rsidRPr="00A82E19" w:rsidRDefault="0008649F" w:rsidP="0008649F">
            <w:pPr>
              <w:ind w:firstLineChars="200" w:firstLine="480"/>
              <w:rPr>
                <w:szCs w:val="24"/>
                <w:lang w:eastAsia="zh-CN"/>
              </w:rPr>
            </w:pPr>
            <w:r>
              <w:rPr>
                <w:rFonts w:hint="eastAsia"/>
                <w:szCs w:val="24"/>
                <w:lang w:eastAsia="zh-CN"/>
              </w:rPr>
              <w:t>本报告</w:t>
            </w:r>
            <w:r>
              <w:rPr>
                <w:szCs w:val="24"/>
                <w:lang w:eastAsia="zh-CN"/>
              </w:rPr>
              <w:t>总结</w:t>
            </w:r>
            <w:r>
              <w:rPr>
                <w:rFonts w:hint="eastAsia"/>
                <w:szCs w:val="24"/>
                <w:lang w:eastAsia="zh-CN"/>
              </w:rPr>
              <w:t>2017</w:t>
            </w:r>
            <w:r>
              <w:rPr>
                <w:rFonts w:hint="eastAsia"/>
                <w:szCs w:val="24"/>
                <w:lang w:eastAsia="zh-CN"/>
              </w:rPr>
              <w:t>年</w:t>
            </w:r>
            <w:r>
              <w:rPr>
                <w:szCs w:val="24"/>
                <w:lang w:eastAsia="zh-CN"/>
              </w:rPr>
              <w:t>世界</w:t>
            </w:r>
            <w:r>
              <w:rPr>
                <w:rFonts w:hint="eastAsia"/>
                <w:szCs w:val="24"/>
                <w:lang w:eastAsia="zh-CN"/>
              </w:rPr>
              <w:t>电信</w:t>
            </w:r>
            <w:r>
              <w:rPr>
                <w:szCs w:val="24"/>
                <w:lang w:eastAsia="zh-CN"/>
              </w:rPr>
              <w:t>发展大会（</w:t>
            </w:r>
            <w:r>
              <w:rPr>
                <w:szCs w:val="24"/>
                <w:lang w:eastAsia="zh-CN"/>
              </w:rPr>
              <w:t>WTDC-17</w:t>
            </w:r>
            <w:r>
              <w:rPr>
                <w:rFonts w:hint="eastAsia"/>
                <w:szCs w:val="24"/>
                <w:lang w:eastAsia="zh-CN"/>
              </w:rPr>
              <w:t>）</w:t>
            </w:r>
            <w:r>
              <w:rPr>
                <w:szCs w:val="24"/>
                <w:lang w:eastAsia="zh-CN"/>
              </w:rPr>
              <w:t>通过并由</w:t>
            </w:r>
            <w:r>
              <w:rPr>
                <w:rFonts w:hint="eastAsia"/>
                <w:szCs w:val="24"/>
                <w:lang w:eastAsia="zh-CN"/>
              </w:rPr>
              <w:t>2018</w:t>
            </w:r>
            <w:r>
              <w:rPr>
                <w:rFonts w:hint="eastAsia"/>
                <w:szCs w:val="24"/>
                <w:lang w:eastAsia="zh-CN"/>
              </w:rPr>
              <w:t>年</w:t>
            </w:r>
            <w:r>
              <w:rPr>
                <w:szCs w:val="24"/>
                <w:lang w:eastAsia="zh-CN"/>
              </w:rPr>
              <w:t>全权</w:t>
            </w:r>
            <w:r>
              <w:rPr>
                <w:rFonts w:hint="eastAsia"/>
                <w:szCs w:val="24"/>
                <w:lang w:eastAsia="zh-CN"/>
              </w:rPr>
              <w:t>代表</w:t>
            </w:r>
            <w:r>
              <w:rPr>
                <w:szCs w:val="24"/>
                <w:lang w:eastAsia="zh-CN"/>
              </w:rPr>
              <w:t>大会（</w:t>
            </w:r>
            <w:r>
              <w:rPr>
                <w:szCs w:val="24"/>
                <w:lang w:eastAsia="zh-CN"/>
              </w:rPr>
              <w:t>PP-18</w:t>
            </w:r>
            <w:r>
              <w:rPr>
                <w:szCs w:val="24"/>
                <w:lang w:eastAsia="zh-CN"/>
              </w:rPr>
              <w:t>）确认的、作为两项输出成果和整体目标的、网络安全与信息</w:t>
            </w:r>
            <w:r>
              <w:rPr>
                <w:rFonts w:hint="eastAsia"/>
                <w:szCs w:val="24"/>
                <w:lang w:eastAsia="zh-CN"/>
              </w:rPr>
              <w:t>通信</w:t>
            </w:r>
            <w:r>
              <w:rPr>
                <w:szCs w:val="24"/>
                <w:lang w:eastAsia="zh-CN"/>
              </w:rPr>
              <w:t>技术（</w:t>
            </w:r>
            <w:r>
              <w:rPr>
                <w:szCs w:val="24"/>
                <w:lang w:eastAsia="zh-CN"/>
              </w:rPr>
              <w:t>ICT</w:t>
            </w:r>
            <w:r>
              <w:rPr>
                <w:szCs w:val="24"/>
                <w:lang w:eastAsia="zh-CN"/>
              </w:rPr>
              <w:t>）应用活动。</w:t>
            </w:r>
          </w:p>
          <w:p w:rsidR="00175C4C" w:rsidRPr="00054016" w:rsidRDefault="0008649F" w:rsidP="00BF65EC">
            <w:pPr>
              <w:ind w:firstLineChars="200" w:firstLine="480"/>
              <w:rPr>
                <w:b/>
                <w:bCs/>
                <w:lang w:eastAsia="zh-CN"/>
              </w:rPr>
            </w:pPr>
            <w:r>
              <w:rPr>
                <w:rFonts w:hint="eastAsia"/>
                <w:szCs w:val="24"/>
                <w:lang w:eastAsia="zh-CN"/>
              </w:rPr>
              <w:t>在</w:t>
            </w:r>
            <w:r>
              <w:rPr>
                <w:szCs w:val="24"/>
                <w:lang w:eastAsia="zh-CN"/>
              </w:rPr>
              <w:t>基于结果的管理和行动</w:t>
            </w:r>
            <w:r w:rsidR="00BF65EC" w:rsidRPr="00BF65EC">
              <w:rPr>
                <w:rFonts w:hint="eastAsia"/>
                <w:color w:val="0D0D0D" w:themeColor="text1" w:themeTint="F2"/>
                <w:szCs w:val="24"/>
                <w:lang w:eastAsia="zh-CN"/>
              </w:rPr>
              <w:t>基础上</w:t>
            </w:r>
            <w:r>
              <w:rPr>
                <w:rFonts w:hint="eastAsia"/>
                <w:szCs w:val="24"/>
                <w:lang w:eastAsia="zh-CN"/>
              </w:rPr>
              <w:t>，本报告</w:t>
            </w:r>
            <w:r>
              <w:rPr>
                <w:szCs w:val="24"/>
                <w:lang w:eastAsia="zh-CN"/>
              </w:rPr>
              <w:t>提供有关网络</w:t>
            </w:r>
            <w:r>
              <w:rPr>
                <w:rFonts w:hint="eastAsia"/>
                <w:szCs w:val="24"/>
                <w:lang w:eastAsia="zh-CN"/>
              </w:rPr>
              <w:t>安全</w:t>
            </w:r>
            <w:r>
              <w:rPr>
                <w:szCs w:val="24"/>
                <w:lang w:eastAsia="zh-CN"/>
              </w:rPr>
              <w:t>与</w:t>
            </w:r>
            <w:r>
              <w:rPr>
                <w:szCs w:val="24"/>
                <w:lang w:eastAsia="zh-CN"/>
              </w:rPr>
              <w:t>ICT</w:t>
            </w:r>
            <w:r>
              <w:rPr>
                <w:szCs w:val="24"/>
                <w:lang w:eastAsia="zh-CN"/>
              </w:rPr>
              <w:t>应用目标和</w:t>
            </w:r>
            <w:r>
              <w:rPr>
                <w:rFonts w:hint="eastAsia"/>
                <w:szCs w:val="24"/>
                <w:lang w:eastAsia="zh-CN"/>
              </w:rPr>
              <w:t>落实</w:t>
            </w:r>
            <w:r>
              <w:rPr>
                <w:szCs w:val="24"/>
                <w:lang w:eastAsia="zh-CN"/>
              </w:rPr>
              <w:t>战略的</w:t>
            </w:r>
            <w:r>
              <w:rPr>
                <w:rFonts w:hint="eastAsia"/>
                <w:szCs w:val="24"/>
                <w:lang w:eastAsia="zh-CN"/>
              </w:rPr>
              <w:t>最新</w:t>
            </w:r>
            <w:r>
              <w:rPr>
                <w:szCs w:val="24"/>
                <w:lang w:eastAsia="zh-CN"/>
              </w:rPr>
              <w:t>情况以及</w:t>
            </w:r>
            <w:r>
              <w:rPr>
                <w:rFonts w:hint="eastAsia"/>
                <w:szCs w:val="24"/>
                <w:lang w:eastAsia="zh-CN"/>
              </w:rPr>
              <w:t>已开展</w:t>
            </w:r>
            <w:r>
              <w:rPr>
                <w:szCs w:val="24"/>
                <w:lang w:eastAsia="zh-CN"/>
              </w:rPr>
              <w:t>和计划开展</w:t>
            </w:r>
            <w:r>
              <w:rPr>
                <w:rFonts w:hint="eastAsia"/>
                <w:szCs w:val="24"/>
                <w:lang w:eastAsia="zh-CN"/>
              </w:rPr>
              <w:t>的</w:t>
            </w:r>
            <w:r>
              <w:rPr>
                <w:szCs w:val="24"/>
                <w:lang w:eastAsia="zh-CN"/>
              </w:rPr>
              <w:t>主要活动，同时报告提出落实网络</w:t>
            </w:r>
            <w:r>
              <w:rPr>
                <w:rFonts w:hint="eastAsia"/>
                <w:szCs w:val="24"/>
                <w:lang w:eastAsia="zh-CN"/>
              </w:rPr>
              <w:t>安全</w:t>
            </w:r>
            <w:r>
              <w:rPr>
                <w:szCs w:val="24"/>
                <w:lang w:eastAsia="zh-CN"/>
              </w:rPr>
              <w:t>相关目标的前行方法。</w:t>
            </w:r>
          </w:p>
          <w:p w:rsidR="00175C4C" w:rsidRPr="00054016" w:rsidRDefault="00175C4C" w:rsidP="00175C4C">
            <w:pPr>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p>
          <w:p w:rsidR="00175C4C" w:rsidRPr="00054016" w:rsidRDefault="00B3083D" w:rsidP="00B3083D">
            <w:pPr>
              <w:ind w:firstLineChars="200" w:firstLine="480"/>
              <w:rPr>
                <w:b/>
                <w:bCs/>
                <w:lang w:eastAsia="zh-CN"/>
              </w:rPr>
            </w:pPr>
            <w:r w:rsidRPr="00DF78B7">
              <w:rPr>
                <w:rFonts w:cstheme="minorHAnsi"/>
                <w:szCs w:val="24"/>
                <w:lang w:eastAsia="zh-CN"/>
              </w:rPr>
              <w:t>请电信发展顾问组（</w:t>
            </w:r>
            <w:r w:rsidRPr="00DF78B7">
              <w:rPr>
                <w:rFonts w:cstheme="minorHAnsi"/>
                <w:szCs w:val="24"/>
                <w:lang w:eastAsia="zh-CN"/>
              </w:rPr>
              <w:t>TDAG</w:t>
            </w:r>
            <w:r w:rsidRPr="00DF78B7">
              <w:rPr>
                <w:rFonts w:cstheme="minorHAnsi"/>
                <w:szCs w:val="24"/>
                <w:lang w:eastAsia="zh-CN"/>
              </w:rPr>
              <w:t>）</w:t>
            </w:r>
            <w:r w:rsidR="003F49CB">
              <w:rPr>
                <w:rFonts w:cstheme="minorHAnsi" w:hint="eastAsia"/>
                <w:szCs w:val="24"/>
                <w:lang w:eastAsia="zh-CN"/>
              </w:rPr>
              <w:t>酌情</w:t>
            </w:r>
            <w:r w:rsidRPr="00DF78B7">
              <w:rPr>
                <w:rFonts w:cstheme="minorHAnsi"/>
                <w:szCs w:val="24"/>
                <w:lang w:eastAsia="zh-CN"/>
              </w:rPr>
              <w:t>将此</w:t>
            </w:r>
            <w:r w:rsidR="00B66DB2">
              <w:rPr>
                <w:rFonts w:cstheme="minorHAnsi" w:hint="eastAsia"/>
                <w:szCs w:val="24"/>
                <w:lang w:eastAsia="zh-CN"/>
              </w:rPr>
              <w:t>文件</w:t>
            </w:r>
            <w:r w:rsidRPr="00DF78B7">
              <w:rPr>
                <w:rFonts w:cstheme="minorHAnsi"/>
                <w:szCs w:val="24"/>
                <w:lang w:eastAsia="zh-CN"/>
              </w:rPr>
              <w:t>记录在案并酌情提供必要的指导。</w:t>
            </w:r>
          </w:p>
          <w:p w:rsidR="00175C4C" w:rsidRDefault="00175C4C" w:rsidP="00175C4C">
            <w:pPr>
              <w:spacing w:after="120"/>
              <w:rPr>
                <w:b/>
                <w:bCs/>
                <w:lang w:eastAsia="zh-CN"/>
              </w:rPr>
            </w:pPr>
            <w:r w:rsidRPr="00054016">
              <w:rPr>
                <w:rFonts w:hint="eastAsia"/>
                <w:b/>
                <w:bCs/>
                <w:lang w:eastAsia="zh-CN"/>
              </w:rPr>
              <w:t>参考文件</w:t>
            </w:r>
            <w:r w:rsidRPr="00054016">
              <w:rPr>
                <w:b/>
                <w:bCs/>
                <w:lang w:eastAsia="zh-CN"/>
              </w:rPr>
              <w:t>：</w:t>
            </w:r>
          </w:p>
          <w:p w:rsidR="00B3083D" w:rsidRPr="003F49CB" w:rsidRDefault="003F49CB" w:rsidP="00FB4D36">
            <w:pPr>
              <w:spacing w:after="120"/>
              <w:rPr>
                <w:szCs w:val="24"/>
                <w:lang w:val="en-US" w:eastAsia="zh-CN"/>
              </w:rPr>
            </w:pPr>
            <w:r w:rsidRPr="00A82E19">
              <w:rPr>
                <w:szCs w:val="24"/>
                <w:lang w:val="en-US" w:eastAsia="zh-CN"/>
              </w:rPr>
              <w:t>WTDC-17</w:t>
            </w:r>
            <w:r>
              <w:rPr>
                <w:rFonts w:hint="eastAsia"/>
                <w:szCs w:val="24"/>
                <w:lang w:val="en-US" w:eastAsia="zh-CN"/>
              </w:rPr>
              <w:t>《</w:t>
            </w:r>
            <w:r>
              <w:rPr>
                <w:szCs w:val="24"/>
                <w:lang w:val="en-US" w:eastAsia="zh-CN"/>
              </w:rPr>
              <w:t>布宜诺斯艾利斯</w:t>
            </w:r>
            <w:r>
              <w:rPr>
                <w:rFonts w:hint="eastAsia"/>
                <w:szCs w:val="24"/>
                <w:lang w:val="en-US" w:eastAsia="zh-CN"/>
              </w:rPr>
              <w:t>宣言</w:t>
            </w:r>
            <w:r>
              <w:rPr>
                <w:szCs w:val="24"/>
                <w:lang w:val="en-US" w:eastAsia="zh-CN"/>
              </w:rPr>
              <w:t>》</w:t>
            </w:r>
            <w:r>
              <w:rPr>
                <w:rFonts w:hint="eastAsia"/>
                <w:szCs w:val="24"/>
                <w:lang w:val="en-US" w:eastAsia="zh-CN"/>
              </w:rPr>
              <w:t>；</w:t>
            </w:r>
            <w:r>
              <w:rPr>
                <w:szCs w:val="24"/>
                <w:lang w:val="en-US" w:eastAsia="zh-CN"/>
              </w:rPr>
              <w:t>WTDC</w:t>
            </w:r>
            <w:r>
              <w:rPr>
                <w:szCs w:val="24"/>
                <w:lang w:val="en-US" w:eastAsia="zh-CN"/>
              </w:rPr>
              <w:t>第</w:t>
            </w:r>
            <w:r>
              <w:rPr>
                <w:rFonts w:hint="eastAsia"/>
                <w:szCs w:val="24"/>
                <w:lang w:val="en-US" w:eastAsia="zh-CN"/>
              </w:rPr>
              <w:t>30</w:t>
            </w:r>
            <w:r>
              <w:rPr>
                <w:rFonts w:hint="eastAsia"/>
                <w:szCs w:val="24"/>
                <w:lang w:val="en-US" w:eastAsia="zh-CN"/>
              </w:rPr>
              <w:t>号</w:t>
            </w:r>
            <w:r>
              <w:rPr>
                <w:szCs w:val="24"/>
                <w:lang w:val="en-US" w:eastAsia="zh-CN"/>
              </w:rPr>
              <w:t>决议（</w:t>
            </w:r>
            <w:r>
              <w:rPr>
                <w:rFonts w:hint="eastAsia"/>
                <w:szCs w:val="24"/>
                <w:lang w:val="en-US" w:eastAsia="zh-CN"/>
              </w:rPr>
              <w:t>2017</w:t>
            </w:r>
            <w:r>
              <w:rPr>
                <w:rFonts w:hint="eastAsia"/>
                <w:szCs w:val="24"/>
                <w:lang w:val="en-US" w:eastAsia="zh-CN"/>
              </w:rPr>
              <w:t>年</w:t>
            </w:r>
            <w:r>
              <w:rPr>
                <w:szCs w:val="24"/>
                <w:lang w:val="en-US" w:eastAsia="zh-CN"/>
              </w:rPr>
              <w:t>，布宜诺斯艾利斯，修订版）、第</w:t>
            </w:r>
            <w:r>
              <w:rPr>
                <w:rFonts w:hint="eastAsia"/>
                <w:szCs w:val="24"/>
                <w:lang w:val="en-US" w:eastAsia="zh-CN"/>
              </w:rPr>
              <w:t>37</w:t>
            </w:r>
            <w:r>
              <w:rPr>
                <w:rFonts w:hint="eastAsia"/>
                <w:szCs w:val="24"/>
                <w:lang w:val="en-US" w:eastAsia="zh-CN"/>
              </w:rPr>
              <w:t>号</w:t>
            </w:r>
            <w:r>
              <w:rPr>
                <w:szCs w:val="24"/>
                <w:lang w:val="en-US" w:eastAsia="zh-CN"/>
              </w:rPr>
              <w:t>决议（</w:t>
            </w:r>
            <w:r>
              <w:rPr>
                <w:rFonts w:hint="eastAsia"/>
                <w:szCs w:val="24"/>
                <w:lang w:val="en-US" w:eastAsia="zh-CN"/>
              </w:rPr>
              <w:t>2017</w:t>
            </w:r>
            <w:r>
              <w:rPr>
                <w:rFonts w:hint="eastAsia"/>
                <w:szCs w:val="24"/>
                <w:lang w:val="en-US" w:eastAsia="zh-CN"/>
              </w:rPr>
              <w:t>年</w:t>
            </w:r>
            <w:r>
              <w:rPr>
                <w:szCs w:val="24"/>
                <w:lang w:val="en-US" w:eastAsia="zh-CN"/>
              </w:rPr>
              <w:t>，</w:t>
            </w:r>
            <w:r>
              <w:rPr>
                <w:rFonts w:hint="eastAsia"/>
                <w:szCs w:val="24"/>
                <w:lang w:val="en-US" w:eastAsia="zh-CN"/>
              </w:rPr>
              <w:t>布宜诺斯艾利斯，</w:t>
            </w:r>
            <w:r>
              <w:rPr>
                <w:szCs w:val="24"/>
                <w:lang w:val="en-US" w:eastAsia="zh-CN"/>
              </w:rPr>
              <w:t>修订版）、第</w:t>
            </w:r>
            <w:r>
              <w:rPr>
                <w:rFonts w:hint="eastAsia"/>
                <w:szCs w:val="24"/>
                <w:lang w:val="en-US" w:eastAsia="zh-CN"/>
              </w:rPr>
              <w:t>4</w:t>
            </w:r>
            <w:r>
              <w:rPr>
                <w:szCs w:val="24"/>
                <w:lang w:val="en-US" w:eastAsia="zh-CN"/>
              </w:rPr>
              <w:t>5</w:t>
            </w:r>
            <w:r>
              <w:rPr>
                <w:rFonts w:hint="eastAsia"/>
                <w:szCs w:val="24"/>
                <w:lang w:val="en-US" w:eastAsia="zh-CN"/>
              </w:rPr>
              <w:t>号</w:t>
            </w:r>
            <w:r>
              <w:rPr>
                <w:szCs w:val="24"/>
                <w:lang w:val="en-US" w:eastAsia="zh-CN"/>
              </w:rPr>
              <w:t>决议（</w:t>
            </w:r>
            <w:r>
              <w:rPr>
                <w:rFonts w:hint="eastAsia"/>
                <w:szCs w:val="24"/>
                <w:lang w:val="en-US" w:eastAsia="zh-CN"/>
              </w:rPr>
              <w:t>2017</w:t>
            </w:r>
            <w:r>
              <w:rPr>
                <w:rFonts w:hint="eastAsia"/>
                <w:szCs w:val="24"/>
                <w:lang w:val="en-US" w:eastAsia="zh-CN"/>
              </w:rPr>
              <w:t>年</w:t>
            </w:r>
            <w:r>
              <w:rPr>
                <w:szCs w:val="24"/>
                <w:lang w:val="en-US" w:eastAsia="zh-CN"/>
              </w:rPr>
              <w:t>，布宜诺斯艾利斯，修订版）、第</w:t>
            </w:r>
            <w:r>
              <w:rPr>
                <w:rFonts w:hint="eastAsia"/>
                <w:szCs w:val="24"/>
                <w:lang w:val="en-US" w:eastAsia="zh-CN"/>
              </w:rPr>
              <w:t>67</w:t>
            </w:r>
            <w:r>
              <w:rPr>
                <w:rFonts w:hint="eastAsia"/>
                <w:szCs w:val="24"/>
                <w:lang w:val="en-US" w:eastAsia="zh-CN"/>
              </w:rPr>
              <w:t>号</w:t>
            </w:r>
            <w:r>
              <w:rPr>
                <w:szCs w:val="24"/>
                <w:lang w:val="en-US" w:eastAsia="zh-CN"/>
              </w:rPr>
              <w:t>决议（</w:t>
            </w:r>
            <w:r>
              <w:rPr>
                <w:rFonts w:hint="eastAsia"/>
                <w:szCs w:val="24"/>
                <w:lang w:val="en-US" w:eastAsia="zh-CN"/>
              </w:rPr>
              <w:t>2017</w:t>
            </w:r>
            <w:r>
              <w:rPr>
                <w:rFonts w:hint="eastAsia"/>
                <w:szCs w:val="24"/>
                <w:lang w:val="en-US" w:eastAsia="zh-CN"/>
              </w:rPr>
              <w:t>年，</w:t>
            </w:r>
            <w:r>
              <w:rPr>
                <w:szCs w:val="24"/>
                <w:lang w:val="en-US" w:eastAsia="zh-CN"/>
              </w:rPr>
              <w:t>布宜诺斯艾利斯，修订版）、第</w:t>
            </w:r>
            <w:r>
              <w:rPr>
                <w:rFonts w:hint="eastAsia"/>
                <w:szCs w:val="24"/>
                <w:lang w:val="en-US" w:eastAsia="zh-CN"/>
              </w:rPr>
              <w:t>69</w:t>
            </w:r>
            <w:r>
              <w:rPr>
                <w:rFonts w:hint="eastAsia"/>
                <w:szCs w:val="24"/>
                <w:lang w:val="en-US" w:eastAsia="zh-CN"/>
              </w:rPr>
              <w:t>号</w:t>
            </w:r>
            <w:r>
              <w:rPr>
                <w:szCs w:val="24"/>
                <w:lang w:val="en-US" w:eastAsia="zh-CN"/>
              </w:rPr>
              <w:t>决议（</w:t>
            </w:r>
            <w:r>
              <w:rPr>
                <w:rFonts w:hint="eastAsia"/>
                <w:szCs w:val="24"/>
                <w:lang w:val="en-US" w:eastAsia="zh-CN"/>
              </w:rPr>
              <w:t>2017</w:t>
            </w:r>
            <w:r>
              <w:rPr>
                <w:rFonts w:hint="eastAsia"/>
                <w:szCs w:val="24"/>
                <w:lang w:val="en-US" w:eastAsia="zh-CN"/>
              </w:rPr>
              <w:t>年</w:t>
            </w:r>
            <w:r>
              <w:rPr>
                <w:szCs w:val="24"/>
                <w:lang w:val="en-US" w:eastAsia="zh-CN"/>
              </w:rPr>
              <w:t>，布宜诺斯艾利斯</w:t>
            </w:r>
            <w:r>
              <w:rPr>
                <w:rFonts w:hint="eastAsia"/>
                <w:szCs w:val="24"/>
                <w:lang w:val="en-US" w:eastAsia="zh-CN"/>
              </w:rPr>
              <w:t>，修订版</w:t>
            </w:r>
            <w:r>
              <w:rPr>
                <w:szCs w:val="24"/>
                <w:lang w:val="en-US" w:eastAsia="zh-CN"/>
              </w:rPr>
              <w:t>）、第</w:t>
            </w:r>
            <w:r>
              <w:rPr>
                <w:rFonts w:hint="eastAsia"/>
                <w:szCs w:val="24"/>
                <w:lang w:val="en-US" w:eastAsia="zh-CN"/>
              </w:rPr>
              <w:t>77</w:t>
            </w:r>
            <w:r>
              <w:rPr>
                <w:rFonts w:hint="eastAsia"/>
                <w:szCs w:val="24"/>
                <w:lang w:val="en-US" w:eastAsia="zh-CN"/>
              </w:rPr>
              <w:t>号决议</w:t>
            </w:r>
            <w:r>
              <w:rPr>
                <w:szCs w:val="24"/>
                <w:lang w:val="en-US" w:eastAsia="zh-CN"/>
              </w:rPr>
              <w:t>（</w:t>
            </w:r>
            <w:r>
              <w:rPr>
                <w:rFonts w:hint="eastAsia"/>
                <w:szCs w:val="24"/>
                <w:lang w:val="en-US" w:eastAsia="zh-CN"/>
              </w:rPr>
              <w:t>2017</w:t>
            </w:r>
            <w:r>
              <w:rPr>
                <w:rFonts w:hint="eastAsia"/>
                <w:szCs w:val="24"/>
                <w:lang w:val="en-US" w:eastAsia="zh-CN"/>
              </w:rPr>
              <w:t>年</w:t>
            </w:r>
            <w:r>
              <w:rPr>
                <w:szCs w:val="24"/>
                <w:lang w:val="en-US" w:eastAsia="zh-CN"/>
              </w:rPr>
              <w:t>，布宜诺斯艾利斯，修订版）、第</w:t>
            </w:r>
            <w:r>
              <w:rPr>
                <w:rFonts w:hint="eastAsia"/>
                <w:szCs w:val="24"/>
                <w:lang w:val="en-US" w:eastAsia="zh-CN"/>
              </w:rPr>
              <w:t>80</w:t>
            </w:r>
            <w:r>
              <w:rPr>
                <w:rFonts w:hint="eastAsia"/>
                <w:szCs w:val="24"/>
                <w:lang w:val="en-US" w:eastAsia="zh-CN"/>
              </w:rPr>
              <w:t>号</w:t>
            </w:r>
            <w:r>
              <w:rPr>
                <w:szCs w:val="24"/>
                <w:lang w:val="en-US" w:eastAsia="zh-CN"/>
              </w:rPr>
              <w:t>决议（</w:t>
            </w:r>
            <w:r>
              <w:rPr>
                <w:rFonts w:hint="eastAsia"/>
                <w:szCs w:val="24"/>
                <w:lang w:val="en-US" w:eastAsia="zh-CN"/>
              </w:rPr>
              <w:t>2017</w:t>
            </w:r>
            <w:r>
              <w:rPr>
                <w:rFonts w:hint="eastAsia"/>
                <w:szCs w:val="24"/>
                <w:lang w:val="en-US" w:eastAsia="zh-CN"/>
              </w:rPr>
              <w:t>年</w:t>
            </w:r>
            <w:r>
              <w:rPr>
                <w:szCs w:val="24"/>
                <w:lang w:val="en-US" w:eastAsia="zh-CN"/>
              </w:rPr>
              <w:t>，布宜诺斯艾利斯，修订版）；</w:t>
            </w:r>
            <w:r>
              <w:rPr>
                <w:rFonts w:hint="eastAsia"/>
                <w:szCs w:val="24"/>
                <w:lang w:val="en-US" w:eastAsia="zh-CN"/>
              </w:rPr>
              <w:t>全权</w:t>
            </w:r>
            <w:r>
              <w:rPr>
                <w:szCs w:val="24"/>
                <w:lang w:val="en-US" w:eastAsia="zh-CN"/>
              </w:rPr>
              <w:t>代表大会第</w:t>
            </w:r>
            <w:r>
              <w:rPr>
                <w:rFonts w:hint="eastAsia"/>
                <w:szCs w:val="24"/>
                <w:lang w:val="en-US" w:eastAsia="zh-CN"/>
              </w:rPr>
              <w:t>130</w:t>
            </w:r>
            <w:r>
              <w:rPr>
                <w:rFonts w:hint="eastAsia"/>
                <w:szCs w:val="24"/>
                <w:lang w:val="en-US" w:eastAsia="zh-CN"/>
              </w:rPr>
              <w:t>决议</w:t>
            </w:r>
            <w:r>
              <w:rPr>
                <w:szCs w:val="24"/>
                <w:lang w:val="en-US" w:eastAsia="zh-CN"/>
              </w:rPr>
              <w:t>（</w:t>
            </w:r>
            <w:r>
              <w:rPr>
                <w:rFonts w:hint="eastAsia"/>
                <w:szCs w:val="24"/>
                <w:lang w:val="en-US" w:eastAsia="zh-CN"/>
              </w:rPr>
              <w:t>2018</w:t>
            </w:r>
            <w:r>
              <w:rPr>
                <w:rFonts w:hint="eastAsia"/>
                <w:szCs w:val="24"/>
                <w:lang w:val="en-US" w:eastAsia="zh-CN"/>
              </w:rPr>
              <w:t>年</w:t>
            </w:r>
            <w:r>
              <w:rPr>
                <w:szCs w:val="24"/>
                <w:lang w:val="en-US" w:eastAsia="zh-CN"/>
              </w:rPr>
              <w:t>，迪拜，修订版）、第</w:t>
            </w:r>
            <w:r>
              <w:rPr>
                <w:rFonts w:hint="eastAsia"/>
                <w:szCs w:val="24"/>
                <w:lang w:val="en-US" w:eastAsia="zh-CN"/>
              </w:rPr>
              <w:t>139</w:t>
            </w:r>
            <w:r>
              <w:rPr>
                <w:rFonts w:hint="eastAsia"/>
                <w:szCs w:val="24"/>
                <w:lang w:val="en-US" w:eastAsia="zh-CN"/>
              </w:rPr>
              <w:t>号</w:t>
            </w:r>
            <w:r>
              <w:rPr>
                <w:szCs w:val="24"/>
                <w:lang w:val="en-US" w:eastAsia="zh-CN"/>
              </w:rPr>
              <w:t>决议（</w:t>
            </w:r>
            <w:r>
              <w:rPr>
                <w:rFonts w:hint="eastAsia"/>
                <w:szCs w:val="24"/>
                <w:lang w:val="en-US" w:eastAsia="zh-CN"/>
              </w:rPr>
              <w:t>2018</w:t>
            </w:r>
            <w:r>
              <w:rPr>
                <w:rFonts w:hint="eastAsia"/>
                <w:szCs w:val="24"/>
                <w:lang w:val="en-US" w:eastAsia="zh-CN"/>
              </w:rPr>
              <w:t>年</w:t>
            </w:r>
            <w:r>
              <w:rPr>
                <w:szCs w:val="24"/>
                <w:lang w:val="en-US" w:eastAsia="zh-CN"/>
              </w:rPr>
              <w:t>，迪拜，修订版）、第</w:t>
            </w:r>
            <w:r>
              <w:rPr>
                <w:rFonts w:hint="eastAsia"/>
                <w:szCs w:val="24"/>
                <w:lang w:val="en-US" w:eastAsia="zh-CN"/>
              </w:rPr>
              <w:t>149</w:t>
            </w:r>
            <w:r>
              <w:rPr>
                <w:rFonts w:hint="eastAsia"/>
                <w:szCs w:val="24"/>
                <w:lang w:val="en-US" w:eastAsia="zh-CN"/>
              </w:rPr>
              <w:t>号</w:t>
            </w:r>
            <w:r>
              <w:rPr>
                <w:szCs w:val="24"/>
                <w:lang w:val="en-US" w:eastAsia="zh-CN"/>
              </w:rPr>
              <w:t>决议（</w:t>
            </w:r>
            <w:r>
              <w:rPr>
                <w:rFonts w:hint="eastAsia"/>
                <w:szCs w:val="24"/>
                <w:lang w:val="en-US" w:eastAsia="zh-CN"/>
              </w:rPr>
              <w:t>2018</w:t>
            </w:r>
            <w:r>
              <w:rPr>
                <w:rFonts w:hint="eastAsia"/>
                <w:szCs w:val="24"/>
                <w:lang w:val="en-US" w:eastAsia="zh-CN"/>
              </w:rPr>
              <w:t>年</w:t>
            </w:r>
            <w:r>
              <w:rPr>
                <w:szCs w:val="24"/>
                <w:lang w:val="en-US" w:eastAsia="zh-CN"/>
              </w:rPr>
              <w:t>，迪拜，修订版）、第</w:t>
            </w:r>
            <w:r>
              <w:rPr>
                <w:rFonts w:hint="eastAsia"/>
                <w:szCs w:val="24"/>
                <w:lang w:val="en-US" w:eastAsia="zh-CN"/>
              </w:rPr>
              <w:t>197</w:t>
            </w:r>
            <w:r>
              <w:rPr>
                <w:rFonts w:hint="eastAsia"/>
                <w:szCs w:val="24"/>
                <w:lang w:val="en-US" w:eastAsia="zh-CN"/>
              </w:rPr>
              <w:t>号</w:t>
            </w:r>
            <w:r>
              <w:rPr>
                <w:szCs w:val="24"/>
                <w:lang w:val="en-US" w:eastAsia="zh-CN"/>
              </w:rPr>
              <w:t>决议（</w:t>
            </w:r>
            <w:r>
              <w:rPr>
                <w:rFonts w:hint="eastAsia"/>
                <w:szCs w:val="24"/>
                <w:lang w:val="en-US" w:eastAsia="zh-CN"/>
              </w:rPr>
              <w:t>2018</w:t>
            </w:r>
            <w:r>
              <w:rPr>
                <w:rFonts w:hint="eastAsia"/>
                <w:szCs w:val="24"/>
                <w:lang w:val="en-US" w:eastAsia="zh-CN"/>
              </w:rPr>
              <w:t>年</w:t>
            </w:r>
            <w:r>
              <w:rPr>
                <w:szCs w:val="24"/>
                <w:lang w:val="en-US" w:eastAsia="zh-CN"/>
              </w:rPr>
              <w:t>，迪拜，修订版）和第</w:t>
            </w:r>
            <w:r>
              <w:rPr>
                <w:rFonts w:hint="eastAsia"/>
                <w:szCs w:val="24"/>
                <w:lang w:val="en-US" w:eastAsia="zh-CN"/>
              </w:rPr>
              <w:t>201</w:t>
            </w:r>
            <w:r>
              <w:rPr>
                <w:rFonts w:hint="eastAsia"/>
                <w:szCs w:val="24"/>
                <w:lang w:val="en-US" w:eastAsia="zh-CN"/>
              </w:rPr>
              <w:t>号</w:t>
            </w:r>
            <w:r>
              <w:rPr>
                <w:szCs w:val="24"/>
                <w:lang w:val="en-US" w:eastAsia="zh-CN"/>
              </w:rPr>
              <w:t>决议（</w:t>
            </w:r>
            <w:r>
              <w:rPr>
                <w:rFonts w:hint="eastAsia"/>
                <w:szCs w:val="24"/>
                <w:lang w:val="en-US" w:eastAsia="zh-CN"/>
              </w:rPr>
              <w:t>2018</w:t>
            </w:r>
            <w:r>
              <w:rPr>
                <w:rFonts w:hint="eastAsia"/>
                <w:szCs w:val="24"/>
                <w:lang w:val="en-US" w:eastAsia="zh-CN"/>
              </w:rPr>
              <w:t>年</w:t>
            </w:r>
            <w:r>
              <w:rPr>
                <w:szCs w:val="24"/>
                <w:lang w:val="en-US" w:eastAsia="zh-CN"/>
              </w:rPr>
              <w:t>，迪拜，修订版）。</w:t>
            </w:r>
          </w:p>
        </w:tc>
      </w:tr>
      <w:bookmarkEnd w:id="7"/>
      <w:bookmarkEnd w:id="8"/>
    </w:tbl>
    <w:p w:rsidR="00B3083D" w:rsidRDefault="00B3083D">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B3083D" w:rsidRPr="00FB4D36" w:rsidRDefault="00FB4D36" w:rsidP="00C248A2">
      <w:pPr>
        <w:pStyle w:val="Heading1"/>
      </w:pPr>
      <w:r>
        <w:rPr>
          <w:rFonts w:hint="eastAsia"/>
          <w:lang w:eastAsia="zh-CN"/>
        </w:rPr>
        <w:lastRenderedPageBreak/>
        <w:t>1</w:t>
      </w:r>
      <w:r>
        <w:rPr>
          <w:lang w:eastAsia="zh-CN"/>
        </w:rPr>
        <w:tab/>
      </w:r>
      <w:r w:rsidR="00A76578" w:rsidRPr="00FB4D36">
        <w:rPr>
          <w:rFonts w:hint="eastAsia"/>
          <w:lang w:eastAsia="zh-CN"/>
        </w:rPr>
        <w:t>网络</w:t>
      </w:r>
      <w:r w:rsidR="00A76578" w:rsidRPr="00FB4D36">
        <w:rPr>
          <w:lang w:eastAsia="zh-CN"/>
        </w:rPr>
        <w:t>安全</w:t>
      </w:r>
    </w:p>
    <w:p w:rsidR="00B3083D" w:rsidRPr="00FB4D36" w:rsidRDefault="00FB4D36" w:rsidP="00C248A2">
      <w:pPr>
        <w:pStyle w:val="Heading2"/>
      </w:pPr>
      <w:r>
        <w:rPr>
          <w:rFonts w:hint="eastAsia"/>
          <w:lang w:eastAsia="zh-CN"/>
        </w:rPr>
        <w:t>1.1</w:t>
      </w:r>
      <w:r>
        <w:rPr>
          <w:lang w:eastAsia="zh-CN"/>
        </w:rPr>
        <w:tab/>
      </w:r>
      <w:r w:rsidR="00A76578" w:rsidRPr="00FB4D36">
        <w:rPr>
          <w:rFonts w:hint="eastAsia"/>
          <w:lang w:eastAsia="zh-CN"/>
        </w:rPr>
        <w:t>背景</w:t>
      </w:r>
    </w:p>
    <w:p w:rsidR="00B3083D" w:rsidRPr="000F41EE" w:rsidRDefault="00A76578" w:rsidP="00A76578">
      <w:pPr>
        <w:spacing w:after="120"/>
        <w:ind w:firstLineChars="200" w:firstLine="480"/>
        <w:rPr>
          <w:szCs w:val="24"/>
          <w:lang w:eastAsia="zh-CN"/>
        </w:rPr>
      </w:pPr>
      <w:r>
        <w:rPr>
          <w:rFonts w:ascii="SimSun" w:eastAsia="SimSun" w:hAnsi="SimSun" w:hint="eastAsia"/>
          <w:szCs w:val="24"/>
          <w:lang w:val="en-US" w:eastAsia="zh-CN"/>
        </w:rPr>
        <w:t>多年来</w:t>
      </w:r>
      <w:r>
        <w:rPr>
          <w:rFonts w:ascii="SimSun" w:eastAsia="SimSun" w:hAnsi="SimSun"/>
          <w:szCs w:val="24"/>
          <w:lang w:val="en-US" w:eastAsia="zh-CN"/>
        </w:rPr>
        <w:t>，在世界电信发展大会和全权代表大会上，网络安全都被确立为国际电联成员的</w:t>
      </w:r>
      <w:r w:rsidR="008373F4">
        <w:rPr>
          <w:rFonts w:ascii="SimSun" w:eastAsia="SimSun" w:hAnsi="SimSun" w:hint="eastAsia"/>
          <w:szCs w:val="24"/>
          <w:lang w:val="en-US" w:eastAsia="zh-CN"/>
        </w:rPr>
        <w:t>重要</w:t>
      </w:r>
      <w:r>
        <w:rPr>
          <w:rFonts w:ascii="SimSun" w:eastAsia="SimSun" w:hAnsi="SimSun"/>
          <w:szCs w:val="24"/>
          <w:lang w:val="en-US" w:eastAsia="zh-CN"/>
        </w:rPr>
        <w:t>目标之一</w:t>
      </w:r>
      <w:r>
        <w:rPr>
          <w:rFonts w:ascii="SimSun" w:eastAsia="SimSun" w:hAnsi="SimSun" w:hint="eastAsia"/>
          <w:szCs w:val="24"/>
          <w:lang w:val="en-US" w:eastAsia="zh-CN"/>
        </w:rPr>
        <w:t>。</w:t>
      </w:r>
    </w:p>
    <w:p w:rsidR="00B3083D" w:rsidRPr="00226A82" w:rsidRDefault="00A76578" w:rsidP="008373F4">
      <w:pPr>
        <w:spacing w:after="120"/>
        <w:ind w:firstLineChars="200" w:firstLine="480"/>
        <w:rPr>
          <w:szCs w:val="24"/>
          <w:lang w:eastAsia="zh-CN"/>
        </w:rPr>
      </w:pPr>
      <w:r>
        <w:rPr>
          <w:rFonts w:hint="eastAsia"/>
          <w:szCs w:val="24"/>
          <w:lang w:eastAsia="zh-CN"/>
        </w:rPr>
        <w:t>根据</w:t>
      </w:r>
      <w:r>
        <w:rPr>
          <w:szCs w:val="24"/>
          <w:lang w:eastAsia="zh-CN"/>
        </w:rPr>
        <w:t>WTDC-17</w:t>
      </w:r>
      <w:r>
        <w:rPr>
          <w:rFonts w:hint="eastAsia"/>
          <w:szCs w:val="24"/>
          <w:lang w:eastAsia="zh-CN"/>
        </w:rPr>
        <w:t>的</w:t>
      </w:r>
      <w:r>
        <w:rPr>
          <w:szCs w:val="24"/>
          <w:lang w:eastAsia="zh-CN"/>
        </w:rPr>
        <w:t>决定，</w:t>
      </w:r>
      <w:r>
        <w:rPr>
          <w:szCs w:val="24"/>
          <w:lang w:eastAsia="zh-CN"/>
        </w:rPr>
        <w:t>ITU-D</w:t>
      </w:r>
      <w:r>
        <w:rPr>
          <w:szCs w:val="24"/>
          <w:lang w:eastAsia="zh-CN"/>
        </w:rPr>
        <w:t>在网络安全职责</w:t>
      </w:r>
      <w:r>
        <w:rPr>
          <w:rFonts w:hint="eastAsia"/>
          <w:szCs w:val="24"/>
          <w:lang w:eastAsia="zh-CN"/>
        </w:rPr>
        <w:t>方面</w:t>
      </w:r>
      <w:r w:rsidR="008373F4">
        <w:rPr>
          <w:szCs w:val="24"/>
          <w:lang w:eastAsia="zh-CN"/>
        </w:rPr>
        <w:t>的主要目标是提供有助</w:t>
      </w:r>
      <w:r>
        <w:rPr>
          <w:szCs w:val="24"/>
          <w:lang w:eastAsia="zh-CN"/>
        </w:rPr>
        <w:t>人们</w:t>
      </w:r>
      <w:r w:rsidR="008373F4">
        <w:rPr>
          <w:rFonts w:hint="eastAsia"/>
          <w:szCs w:val="24"/>
          <w:lang w:eastAsia="zh-CN"/>
        </w:rPr>
        <w:t>树立</w:t>
      </w:r>
      <w:r>
        <w:rPr>
          <w:szCs w:val="24"/>
          <w:lang w:eastAsia="zh-CN"/>
        </w:rPr>
        <w:t>使用电信及</w:t>
      </w:r>
      <w:r>
        <w:rPr>
          <w:szCs w:val="24"/>
          <w:lang w:eastAsia="zh-CN"/>
        </w:rPr>
        <w:t>ICT</w:t>
      </w:r>
      <w:r>
        <w:rPr>
          <w:szCs w:val="24"/>
          <w:lang w:eastAsia="zh-CN"/>
        </w:rPr>
        <w:t>的信息并提高安全性的产品和服务，如报告和出版物，并为落实国家和区域相关举措</w:t>
      </w:r>
      <w:r>
        <w:rPr>
          <w:rFonts w:hint="eastAsia"/>
          <w:szCs w:val="24"/>
          <w:lang w:eastAsia="zh-CN"/>
        </w:rPr>
        <w:t>献计献策</w:t>
      </w:r>
      <w:r>
        <w:rPr>
          <w:szCs w:val="24"/>
          <w:lang w:eastAsia="zh-CN"/>
        </w:rPr>
        <w:t>。</w:t>
      </w:r>
    </w:p>
    <w:p w:rsidR="00B3083D" w:rsidRPr="00F07943" w:rsidRDefault="00FB41CC" w:rsidP="00A76578">
      <w:pPr>
        <w:spacing w:after="120"/>
        <w:ind w:firstLineChars="200" w:firstLine="480"/>
        <w:rPr>
          <w:szCs w:val="24"/>
          <w:highlight w:val="cyan"/>
          <w:lang w:eastAsia="ko-KR"/>
        </w:rPr>
      </w:pPr>
      <w:r>
        <w:rPr>
          <w:rFonts w:hint="eastAsia"/>
          <w:szCs w:val="24"/>
          <w:lang w:eastAsia="zh-CN"/>
        </w:rPr>
        <w:t>《布宜诺斯艾利斯</w:t>
      </w:r>
      <w:r>
        <w:rPr>
          <w:szCs w:val="24"/>
          <w:lang w:eastAsia="zh-CN"/>
        </w:rPr>
        <w:t>行动计划</w:t>
      </w:r>
      <w:r>
        <w:rPr>
          <w:rFonts w:hint="eastAsia"/>
          <w:szCs w:val="24"/>
          <w:lang w:eastAsia="zh-CN"/>
        </w:rPr>
        <w:t>》（</w:t>
      </w:r>
      <w:r>
        <w:rPr>
          <w:rFonts w:hint="eastAsia"/>
          <w:szCs w:val="24"/>
          <w:lang w:eastAsia="zh-CN"/>
        </w:rPr>
        <w:t>BaAP</w:t>
      </w:r>
      <w:r>
        <w:rPr>
          <w:rFonts w:hint="eastAsia"/>
          <w:szCs w:val="24"/>
          <w:lang w:eastAsia="zh-CN"/>
        </w:rPr>
        <w:t>）输出成果</w:t>
      </w:r>
      <w:r w:rsidR="00A76578">
        <w:rPr>
          <w:szCs w:val="24"/>
          <w:lang w:eastAsia="zh-CN"/>
        </w:rPr>
        <w:t>2.2</w:t>
      </w:r>
      <w:r>
        <w:rPr>
          <w:rFonts w:hint="eastAsia"/>
          <w:szCs w:val="24"/>
          <w:lang w:eastAsia="zh-CN"/>
        </w:rPr>
        <w:t>阐述</w:t>
      </w:r>
      <w:r>
        <w:rPr>
          <w:szCs w:val="24"/>
          <w:lang w:eastAsia="zh-CN"/>
        </w:rPr>
        <w:t>了</w:t>
      </w:r>
      <w:r>
        <w:rPr>
          <w:rFonts w:hint="eastAsia"/>
          <w:szCs w:val="24"/>
          <w:lang w:eastAsia="zh-CN"/>
        </w:rPr>
        <w:t>对</w:t>
      </w:r>
      <w:r>
        <w:rPr>
          <w:szCs w:val="24"/>
          <w:lang w:eastAsia="zh-CN"/>
        </w:rPr>
        <w:t>如何</w:t>
      </w:r>
      <w:r>
        <w:rPr>
          <w:rFonts w:hint="eastAsia"/>
          <w:szCs w:val="24"/>
          <w:lang w:eastAsia="zh-CN"/>
        </w:rPr>
        <w:t>实现</w:t>
      </w:r>
      <w:r>
        <w:rPr>
          <w:szCs w:val="24"/>
          <w:lang w:eastAsia="zh-CN"/>
        </w:rPr>
        <w:t>WTDC-17</w:t>
      </w:r>
      <w:r w:rsidR="00A76578">
        <w:rPr>
          <w:szCs w:val="24"/>
          <w:lang w:eastAsia="zh-CN"/>
        </w:rPr>
        <w:t>网络安全相关</w:t>
      </w:r>
      <w:r>
        <w:rPr>
          <w:szCs w:val="24"/>
          <w:lang w:eastAsia="zh-CN"/>
        </w:rPr>
        <w:t>目标的一些期待，其中包括</w:t>
      </w:r>
      <w:r w:rsidR="00A76578">
        <w:rPr>
          <w:rFonts w:hint="eastAsia"/>
          <w:szCs w:val="24"/>
          <w:lang w:eastAsia="zh-CN"/>
        </w:rPr>
        <w:t>采用</w:t>
      </w:r>
      <w:r w:rsidR="00A76578">
        <w:rPr>
          <w:szCs w:val="24"/>
          <w:lang w:eastAsia="zh-CN"/>
        </w:rPr>
        <w:t>下列手段</w:t>
      </w:r>
      <w:r>
        <w:rPr>
          <w:szCs w:val="24"/>
          <w:lang w:eastAsia="zh-CN"/>
        </w:rPr>
        <w:t>：</w:t>
      </w:r>
    </w:p>
    <w:p w:rsidR="00B3083D" w:rsidRPr="00B13BA2" w:rsidRDefault="00FB4D36" w:rsidP="00FB4D36">
      <w:pPr>
        <w:pStyle w:val="enumlev1"/>
        <w:rPr>
          <w:rFonts w:cs="Simplified Arabic"/>
          <w:bCs/>
          <w:highlight w:val="cyan"/>
          <w:lang w:val="en-US" w:eastAsia="zh-CN"/>
        </w:rPr>
      </w:pPr>
      <w:r w:rsidRPr="00FB4D36">
        <w:rPr>
          <w:rFonts w:cs="Simplified Arabic"/>
          <w:bCs/>
          <w:lang w:val="en-US" w:eastAsia="zh-CN"/>
        </w:rPr>
        <w:t>–</w:t>
      </w:r>
      <w:r>
        <w:rPr>
          <w:rFonts w:cs="Simplified Arabic"/>
          <w:bCs/>
          <w:lang w:val="en-US" w:eastAsia="zh-CN"/>
        </w:rPr>
        <w:tab/>
      </w:r>
      <w:r w:rsidR="00A76578" w:rsidRPr="00B13BA2">
        <w:rPr>
          <w:rFonts w:cs="Simplified Arabic" w:hint="eastAsia"/>
          <w:bCs/>
          <w:lang w:val="en-US" w:eastAsia="zh-CN"/>
        </w:rPr>
        <w:t>加强</w:t>
      </w:r>
      <w:r w:rsidR="005E6365" w:rsidRPr="00B13BA2">
        <w:rPr>
          <w:lang w:eastAsia="zh-CN"/>
        </w:rPr>
        <w:t>成员国</w:t>
      </w:r>
      <w:r w:rsidR="005E6365" w:rsidRPr="00B13BA2">
        <w:rPr>
          <w:rFonts w:hint="eastAsia"/>
          <w:lang w:eastAsia="zh-CN"/>
        </w:rPr>
        <w:t>有效共享信息、寻找解决方案并应对网络安全威胁</w:t>
      </w:r>
      <w:r w:rsidR="00A76578" w:rsidRPr="00B13BA2">
        <w:rPr>
          <w:rFonts w:hint="eastAsia"/>
          <w:lang w:eastAsia="zh-CN"/>
        </w:rPr>
        <w:t>的</w:t>
      </w:r>
      <w:r w:rsidR="00A76578" w:rsidRPr="00B13BA2">
        <w:rPr>
          <w:lang w:eastAsia="zh-CN"/>
        </w:rPr>
        <w:t>能力</w:t>
      </w:r>
      <w:r w:rsidR="005E6365" w:rsidRPr="00B13BA2">
        <w:rPr>
          <w:rFonts w:hint="eastAsia"/>
          <w:lang w:eastAsia="zh-CN"/>
        </w:rPr>
        <w:t>；</w:t>
      </w:r>
    </w:p>
    <w:p w:rsidR="00B3083D" w:rsidRPr="00B13BA2" w:rsidRDefault="00FB4D36" w:rsidP="00FB4D36">
      <w:pPr>
        <w:pStyle w:val="enumlev1"/>
        <w:rPr>
          <w:rFonts w:cs="Simplified Arabic"/>
          <w:bCs/>
          <w:highlight w:val="cyan"/>
          <w:lang w:val="en-US" w:eastAsia="zh-CN"/>
        </w:rPr>
      </w:pPr>
      <w:r w:rsidRPr="00FB4D36">
        <w:rPr>
          <w:rFonts w:cs="Simplified Arabic"/>
          <w:bCs/>
          <w:lang w:val="en-US" w:eastAsia="zh-CN"/>
        </w:rPr>
        <w:t>–</w:t>
      </w:r>
      <w:r>
        <w:rPr>
          <w:rFonts w:cs="Simplified Arabic"/>
          <w:bCs/>
          <w:lang w:val="en-US" w:eastAsia="zh-CN"/>
        </w:rPr>
        <w:tab/>
      </w:r>
      <w:r w:rsidR="005E6365" w:rsidRPr="00B13BA2">
        <w:rPr>
          <w:rFonts w:hint="eastAsia"/>
          <w:lang w:eastAsia="zh-CN"/>
        </w:rPr>
        <w:t>制定和实施国家战略的能力；</w:t>
      </w:r>
    </w:p>
    <w:p w:rsidR="00B3083D" w:rsidRPr="00B13BA2" w:rsidRDefault="00FB4D36" w:rsidP="000F41EE">
      <w:pPr>
        <w:pStyle w:val="enumlev1"/>
        <w:rPr>
          <w:rFonts w:cs="Simplified Arabic"/>
          <w:bCs/>
          <w:lang w:val="en-US" w:eastAsia="zh-CN"/>
        </w:rPr>
      </w:pPr>
      <w:r w:rsidRPr="00FB4D36">
        <w:rPr>
          <w:rFonts w:cs="Simplified Arabic"/>
          <w:bCs/>
          <w:lang w:val="en-US" w:eastAsia="zh-CN"/>
        </w:rPr>
        <w:t>–</w:t>
      </w:r>
      <w:r>
        <w:rPr>
          <w:rFonts w:cs="Simplified Arabic"/>
          <w:bCs/>
          <w:lang w:val="en-US" w:eastAsia="zh-CN"/>
        </w:rPr>
        <w:tab/>
      </w:r>
      <w:r w:rsidR="005E6365" w:rsidRPr="00B13BA2">
        <w:rPr>
          <w:color w:val="000000"/>
          <w:lang w:eastAsia="zh-CN"/>
        </w:rPr>
        <w:t>人员和机构能力建</w:t>
      </w:r>
      <w:r w:rsidR="005E6365" w:rsidRPr="00B13BA2">
        <w:rPr>
          <w:rFonts w:cs="SimSun" w:hint="eastAsia"/>
          <w:color w:val="000000"/>
          <w:lang w:eastAsia="zh-CN"/>
        </w:rPr>
        <w:t>设</w:t>
      </w:r>
      <w:r w:rsidR="000F41EE">
        <w:rPr>
          <w:rFonts w:cs="Simplified Arabic"/>
          <w:bCs/>
          <w:lang w:val="en-US" w:eastAsia="zh-CN"/>
        </w:rPr>
        <w:t>；</w:t>
      </w:r>
    </w:p>
    <w:p w:rsidR="00B3083D" w:rsidRPr="00B13BA2" w:rsidRDefault="00FB4D36" w:rsidP="00FB4D36">
      <w:pPr>
        <w:pStyle w:val="enumlev1"/>
        <w:rPr>
          <w:rFonts w:cs="Simplified Arabic"/>
          <w:bCs/>
          <w:lang w:val="en-US" w:eastAsia="zh-CN"/>
        </w:rPr>
      </w:pPr>
      <w:r w:rsidRPr="00FB4D36">
        <w:rPr>
          <w:rFonts w:cs="Simplified Arabic"/>
          <w:bCs/>
          <w:lang w:val="en-US" w:eastAsia="zh-CN"/>
        </w:rPr>
        <w:t>–</w:t>
      </w:r>
      <w:r>
        <w:rPr>
          <w:rFonts w:cs="Simplified Arabic"/>
          <w:bCs/>
          <w:lang w:val="en-US" w:eastAsia="zh-CN"/>
        </w:rPr>
        <w:tab/>
      </w:r>
      <w:r w:rsidR="005E6365" w:rsidRPr="00B13BA2">
        <w:rPr>
          <w:rFonts w:hint="eastAsia"/>
          <w:lang w:eastAsia="zh-CN"/>
        </w:rPr>
        <w:t>为使成员国和相关</w:t>
      </w:r>
      <w:r w:rsidR="00B13BA2" w:rsidRPr="00B13BA2">
        <w:rPr>
          <w:rFonts w:hint="eastAsia"/>
          <w:lang w:eastAsia="zh-CN"/>
        </w:rPr>
        <w:t>利益攸关方</w:t>
      </w:r>
      <w:r w:rsidR="00B13BA2" w:rsidRPr="00B13BA2">
        <w:rPr>
          <w:lang w:eastAsia="zh-CN"/>
        </w:rPr>
        <w:t>更多</w:t>
      </w:r>
      <w:r w:rsidR="00B13BA2" w:rsidRPr="00B13BA2">
        <w:rPr>
          <w:rFonts w:hint="eastAsia"/>
          <w:lang w:eastAsia="zh-CN"/>
        </w:rPr>
        <w:t>地</w:t>
      </w:r>
      <w:r w:rsidR="005E6365" w:rsidRPr="00B13BA2">
        <w:rPr>
          <w:rFonts w:hint="eastAsia"/>
          <w:lang w:eastAsia="zh-CN"/>
        </w:rPr>
        <w:t>参与</w:t>
      </w:r>
      <w:r w:rsidR="00B13BA2" w:rsidRPr="00B13BA2">
        <w:rPr>
          <w:rFonts w:hint="eastAsia"/>
          <w:lang w:eastAsia="zh-CN"/>
        </w:rPr>
        <w:t>，</w:t>
      </w:r>
      <w:r w:rsidR="005E6365" w:rsidRPr="00B13BA2">
        <w:rPr>
          <w:rFonts w:hint="eastAsia"/>
          <w:lang w:eastAsia="zh-CN"/>
        </w:rPr>
        <w:t>鼓励在国家、区域和国际层面开展合作</w:t>
      </w:r>
      <w:r w:rsidR="00483CDA" w:rsidRPr="00B13BA2">
        <w:rPr>
          <w:rFonts w:cs="Simplified Arabic"/>
          <w:bCs/>
          <w:lang w:val="en-US" w:eastAsia="zh-CN"/>
        </w:rPr>
        <w:t>；</w:t>
      </w:r>
    </w:p>
    <w:p w:rsidR="00B3083D" w:rsidRPr="00B13BA2" w:rsidRDefault="00FB4D36" w:rsidP="00FB4D36">
      <w:pPr>
        <w:pStyle w:val="enumlev1"/>
        <w:rPr>
          <w:rFonts w:cs="Simplified Arabic"/>
          <w:bCs/>
          <w:lang w:val="en-US" w:eastAsia="zh-CN"/>
        </w:rPr>
      </w:pPr>
      <w:r w:rsidRPr="00FB4D36">
        <w:rPr>
          <w:rFonts w:cs="Simplified Arabic"/>
          <w:bCs/>
          <w:lang w:val="en-US" w:eastAsia="zh-CN"/>
        </w:rPr>
        <w:t>–</w:t>
      </w:r>
      <w:r>
        <w:rPr>
          <w:rFonts w:cs="Simplified Arabic"/>
          <w:bCs/>
          <w:lang w:val="en-US" w:eastAsia="zh-CN"/>
        </w:rPr>
        <w:tab/>
      </w:r>
      <w:r w:rsidR="00B13BA2" w:rsidRPr="00B13BA2">
        <w:rPr>
          <w:rFonts w:cs="Simplified Arabic" w:hint="eastAsia"/>
          <w:bCs/>
          <w:lang w:val="en-US" w:eastAsia="zh-CN"/>
        </w:rPr>
        <w:t>结成</w:t>
      </w:r>
      <w:r w:rsidR="00B13BA2" w:rsidRPr="00B13BA2">
        <w:rPr>
          <w:rFonts w:cs="Simplified Arabic"/>
          <w:bCs/>
          <w:lang w:val="en-US" w:eastAsia="zh-CN"/>
        </w:rPr>
        <w:t>新的伙伴关系；</w:t>
      </w:r>
    </w:p>
    <w:p w:rsidR="00B3083D" w:rsidRPr="00226A82" w:rsidRDefault="00FB4D36" w:rsidP="00FB4D36">
      <w:pPr>
        <w:pStyle w:val="enumlev1"/>
        <w:rPr>
          <w:rFonts w:eastAsia="SimHei" w:cs="Simplified Arabic"/>
          <w:bCs/>
          <w:lang w:val="en-US" w:eastAsia="zh-CN"/>
        </w:rPr>
      </w:pPr>
      <w:r w:rsidRPr="00FB4D36">
        <w:rPr>
          <w:rFonts w:cs="Simplified Arabic"/>
          <w:bCs/>
          <w:lang w:val="en-US" w:eastAsia="zh-CN"/>
        </w:rPr>
        <w:t>–</w:t>
      </w:r>
      <w:r>
        <w:rPr>
          <w:rFonts w:cs="Simplified Arabic"/>
          <w:bCs/>
          <w:lang w:val="en-US" w:eastAsia="zh-CN"/>
        </w:rPr>
        <w:tab/>
      </w:r>
      <w:r w:rsidR="00B13BA2" w:rsidRPr="00B13BA2">
        <w:rPr>
          <w:rFonts w:cs="Simplified Arabic" w:hint="eastAsia"/>
          <w:bCs/>
          <w:lang w:val="en-US" w:eastAsia="zh-CN"/>
        </w:rPr>
        <w:t>其他</w:t>
      </w:r>
      <w:r w:rsidR="008373F4">
        <w:rPr>
          <w:rFonts w:cs="Simplified Arabic" w:hint="eastAsia"/>
          <w:bCs/>
          <w:lang w:val="en-US" w:eastAsia="zh-CN"/>
        </w:rPr>
        <w:t>实现</w:t>
      </w:r>
      <w:r w:rsidR="00B13BA2" w:rsidRPr="00B13BA2">
        <w:rPr>
          <w:rFonts w:cs="Simplified Arabic"/>
          <w:bCs/>
          <w:lang w:val="en-US" w:eastAsia="zh-CN"/>
        </w:rPr>
        <w:t>网络安全相关目标所需的活动</w:t>
      </w:r>
      <w:r w:rsidR="00B13BA2" w:rsidRPr="00B13BA2">
        <w:rPr>
          <w:rFonts w:cs="Simplified Arabic" w:hint="eastAsia"/>
          <w:bCs/>
          <w:lang w:val="en-US" w:eastAsia="zh-CN"/>
        </w:rPr>
        <w:t>。</w:t>
      </w:r>
    </w:p>
    <w:p w:rsidR="00B3083D" w:rsidRPr="00C248A2" w:rsidRDefault="00FB4D36" w:rsidP="00C248A2">
      <w:pPr>
        <w:pStyle w:val="Heading2"/>
        <w:rPr>
          <w:lang w:eastAsia="zh-CN"/>
        </w:rPr>
      </w:pPr>
      <w:bookmarkStart w:id="9" w:name="Proposal"/>
      <w:bookmarkEnd w:id="9"/>
      <w:r w:rsidRPr="00C248A2">
        <w:rPr>
          <w:rFonts w:hint="eastAsia"/>
          <w:lang w:eastAsia="zh-CN"/>
        </w:rPr>
        <w:t>1.2</w:t>
      </w:r>
      <w:r w:rsidRPr="00C248A2">
        <w:rPr>
          <w:lang w:eastAsia="zh-CN"/>
        </w:rPr>
        <w:tab/>
      </w:r>
      <w:r w:rsidRPr="00C248A2">
        <w:rPr>
          <w:rFonts w:hint="eastAsia"/>
          <w:lang w:eastAsia="zh-CN"/>
        </w:rPr>
        <w:t>主</w:t>
      </w:r>
      <w:r w:rsidR="00B13BA2" w:rsidRPr="00C248A2">
        <w:rPr>
          <w:rFonts w:hint="eastAsia"/>
          <w:lang w:eastAsia="zh-CN"/>
        </w:rPr>
        <w:t>要</w:t>
      </w:r>
      <w:r w:rsidR="00B13BA2" w:rsidRPr="00C248A2">
        <w:rPr>
          <w:lang w:eastAsia="zh-CN"/>
        </w:rPr>
        <w:t>活动和结果</w:t>
      </w:r>
    </w:p>
    <w:p w:rsidR="00B3083D" w:rsidRPr="00226A82" w:rsidRDefault="00B13BA2" w:rsidP="00B13BA2">
      <w:pPr>
        <w:spacing w:after="120"/>
        <w:ind w:firstLineChars="200" w:firstLine="480"/>
        <w:rPr>
          <w:szCs w:val="24"/>
          <w:lang w:eastAsia="zh-CN"/>
        </w:rPr>
      </w:pPr>
      <w:r>
        <w:rPr>
          <w:szCs w:val="24"/>
          <w:lang w:eastAsia="zh-CN"/>
        </w:rPr>
        <w:t>ITU-D</w:t>
      </w:r>
      <w:r>
        <w:rPr>
          <w:rFonts w:hint="eastAsia"/>
          <w:szCs w:val="24"/>
          <w:lang w:eastAsia="zh-CN"/>
        </w:rPr>
        <w:t>通过</w:t>
      </w:r>
      <w:r>
        <w:rPr>
          <w:szCs w:val="24"/>
          <w:lang w:eastAsia="zh-CN"/>
        </w:rPr>
        <w:t>网络安全</w:t>
      </w:r>
      <w:r>
        <w:rPr>
          <w:rFonts w:hint="eastAsia"/>
          <w:szCs w:val="24"/>
          <w:lang w:eastAsia="zh-CN"/>
        </w:rPr>
        <w:t>项目</w:t>
      </w:r>
      <w:r>
        <w:rPr>
          <w:szCs w:val="24"/>
          <w:lang w:eastAsia="zh-CN"/>
        </w:rPr>
        <w:t>开展的活动包括，制定出版物、举办国家和区域</w:t>
      </w:r>
      <w:r w:rsidR="00634C7B">
        <w:rPr>
          <w:szCs w:val="24"/>
          <w:lang w:eastAsia="zh-CN"/>
        </w:rPr>
        <w:t>层面能力建设讲习班，并与伙伴合作，提供高质量的产品和服务。</w:t>
      </w:r>
      <w:r w:rsidR="00634C7B">
        <w:rPr>
          <w:rFonts w:hint="eastAsia"/>
          <w:szCs w:val="24"/>
          <w:lang w:eastAsia="zh-CN"/>
        </w:rPr>
        <w:t>自</w:t>
      </w:r>
      <w:r w:rsidR="000F41EE">
        <w:rPr>
          <w:szCs w:val="24"/>
          <w:lang w:eastAsia="zh-CN"/>
        </w:rPr>
        <w:t>TDAG</w:t>
      </w:r>
      <w:r>
        <w:rPr>
          <w:szCs w:val="24"/>
          <w:lang w:eastAsia="zh-CN"/>
        </w:rPr>
        <w:t>的上一次会议以来</w:t>
      </w:r>
      <w:r>
        <w:rPr>
          <w:rFonts w:hint="eastAsia"/>
          <w:szCs w:val="24"/>
          <w:lang w:eastAsia="zh-CN"/>
        </w:rPr>
        <w:t>，</w:t>
      </w:r>
      <w:r>
        <w:rPr>
          <w:szCs w:val="24"/>
          <w:lang w:eastAsia="zh-CN"/>
        </w:rPr>
        <w:t>电信发展局已结成了</w:t>
      </w:r>
      <w:r w:rsidR="00EA4E41">
        <w:rPr>
          <w:rFonts w:hint="eastAsia"/>
          <w:szCs w:val="24"/>
          <w:lang w:eastAsia="zh-CN"/>
        </w:rPr>
        <w:t>若干</w:t>
      </w:r>
      <w:r>
        <w:rPr>
          <w:szCs w:val="24"/>
          <w:lang w:eastAsia="zh-CN"/>
        </w:rPr>
        <w:t>新的伙伴关系，以帮助开发、促进和实施项目，并在与成员和相关主要利益攸关方协商基础上，分享有关相关主题的知识和信息。电信</w:t>
      </w:r>
      <w:r>
        <w:rPr>
          <w:rFonts w:hint="eastAsia"/>
          <w:szCs w:val="24"/>
          <w:lang w:eastAsia="zh-CN"/>
        </w:rPr>
        <w:t>发展局</w:t>
      </w:r>
      <w:r w:rsidR="00EA4E41">
        <w:rPr>
          <w:rFonts w:hint="eastAsia"/>
          <w:szCs w:val="24"/>
          <w:lang w:eastAsia="zh-CN"/>
        </w:rPr>
        <w:t>亦</w:t>
      </w:r>
      <w:r w:rsidR="00EA4E41">
        <w:rPr>
          <w:szCs w:val="24"/>
          <w:lang w:eastAsia="zh-CN"/>
        </w:rPr>
        <w:t>协调与国际电联其他部门及合作伙伴的活动，</w:t>
      </w:r>
      <w:r w:rsidR="00EA4E41">
        <w:rPr>
          <w:rFonts w:hint="eastAsia"/>
          <w:szCs w:val="24"/>
          <w:lang w:eastAsia="zh-CN"/>
        </w:rPr>
        <w:t>以</w:t>
      </w:r>
      <w:r>
        <w:rPr>
          <w:szCs w:val="24"/>
          <w:lang w:eastAsia="zh-CN"/>
        </w:rPr>
        <w:t>加速落实相关行动，并与涉及网络安全的利益攸关方一道</w:t>
      </w:r>
      <w:r>
        <w:rPr>
          <w:rFonts w:hint="eastAsia"/>
          <w:szCs w:val="24"/>
          <w:lang w:eastAsia="zh-CN"/>
        </w:rPr>
        <w:t>推出重点</w:t>
      </w:r>
      <w:r>
        <w:rPr>
          <w:szCs w:val="24"/>
          <w:lang w:eastAsia="zh-CN"/>
        </w:rPr>
        <w:t>关注具体关键性挑战的举措。</w:t>
      </w:r>
    </w:p>
    <w:p w:rsidR="00B3083D" w:rsidRPr="00FB4D36" w:rsidRDefault="00FB4D36" w:rsidP="00C248A2">
      <w:pPr>
        <w:pStyle w:val="Heading3"/>
        <w:rPr>
          <w:lang w:eastAsia="zh-CN"/>
        </w:rPr>
      </w:pPr>
      <w:r>
        <w:rPr>
          <w:rFonts w:hint="eastAsia"/>
          <w:lang w:eastAsia="zh-CN"/>
        </w:rPr>
        <w:t>1</w:t>
      </w:r>
      <w:r>
        <w:rPr>
          <w:lang w:eastAsia="zh-CN"/>
        </w:rPr>
        <w:t>.2.1</w:t>
      </w:r>
      <w:r>
        <w:rPr>
          <w:lang w:eastAsia="zh-CN"/>
        </w:rPr>
        <w:tab/>
      </w:r>
      <w:r w:rsidR="00D55761" w:rsidRPr="00FB4D36">
        <w:rPr>
          <w:rFonts w:hint="eastAsia"/>
          <w:lang w:eastAsia="zh-CN"/>
        </w:rPr>
        <w:t>网络</w:t>
      </w:r>
      <w:r w:rsidR="00D55761" w:rsidRPr="00FB4D36">
        <w:rPr>
          <w:lang w:eastAsia="zh-CN"/>
        </w:rPr>
        <w:t>安全战略制定和审议</w:t>
      </w:r>
    </w:p>
    <w:p w:rsidR="00B3083D" w:rsidRPr="00226A82" w:rsidRDefault="00D55761" w:rsidP="00A40479">
      <w:pPr>
        <w:overflowPunct/>
        <w:autoSpaceDE/>
        <w:autoSpaceDN/>
        <w:adjustRightInd/>
        <w:spacing w:after="120"/>
        <w:ind w:firstLineChars="200" w:firstLine="480"/>
        <w:textAlignment w:val="auto"/>
        <w:rPr>
          <w:szCs w:val="24"/>
          <w:lang w:val="en-MY" w:eastAsia="zh-CN"/>
        </w:rPr>
      </w:pPr>
      <w:r w:rsidRPr="00D55761">
        <w:rPr>
          <w:rStyle w:val="Hyperlink"/>
          <w:rFonts w:cstheme="minorBidi" w:hint="eastAsia"/>
          <w:noProof/>
          <w:color w:val="auto"/>
          <w:szCs w:val="24"/>
          <w:u w:val="none"/>
          <w:lang w:eastAsia="zh-CN"/>
        </w:rPr>
        <w:t>在</w:t>
      </w:r>
      <w:r w:rsidRPr="00D55761">
        <w:rPr>
          <w:rStyle w:val="Hyperlink"/>
          <w:rFonts w:cstheme="minorBidi" w:hint="eastAsia"/>
          <w:noProof/>
          <w:color w:val="auto"/>
          <w:szCs w:val="24"/>
          <w:u w:val="none"/>
          <w:lang w:val="en-MY" w:eastAsia="zh-CN"/>
        </w:rPr>
        <w:t>国际电联</w:t>
      </w:r>
      <w:r w:rsidRPr="00D55761">
        <w:rPr>
          <w:rStyle w:val="Hyperlink"/>
          <w:rFonts w:cstheme="minorBidi" w:hint="eastAsia"/>
          <w:noProof/>
          <w:color w:val="auto"/>
          <w:szCs w:val="24"/>
          <w:u w:val="none"/>
          <w:lang w:val="en-MY" w:eastAsia="zh-CN"/>
        </w:rPr>
        <w:t>2018</w:t>
      </w:r>
      <w:r w:rsidRPr="0008741D">
        <w:rPr>
          <w:rStyle w:val="Hyperlink"/>
          <w:rFonts w:asciiTheme="minorEastAsia" w:hAnsiTheme="minorEastAsia" w:cstheme="minorBidi" w:hint="eastAsia"/>
          <w:noProof/>
          <w:color w:val="auto"/>
          <w:szCs w:val="24"/>
          <w:u w:val="none"/>
          <w:lang w:val="en-MY" w:eastAsia="zh-CN"/>
        </w:rPr>
        <w:t>年</w:t>
      </w:r>
      <w:r w:rsidRPr="0008741D">
        <w:rPr>
          <w:rStyle w:val="Hyperlink"/>
          <w:rFonts w:asciiTheme="minorEastAsia" w:hAnsiTheme="minorEastAsia" w:cstheme="minorBidi"/>
          <w:noProof/>
          <w:color w:val="auto"/>
          <w:szCs w:val="24"/>
          <w:u w:val="none"/>
          <w:lang w:val="en-MY" w:eastAsia="zh-CN"/>
        </w:rPr>
        <w:t>世界电信展上正式发布的</w:t>
      </w:r>
      <w:hyperlink r:id="rId9" w:history="1">
        <w:r w:rsidR="00A40479">
          <w:rPr>
            <w:rStyle w:val="Hyperlink"/>
            <w:rFonts w:cstheme="minorBidi" w:hint="eastAsia"/>
            <w:szCs w:val="24"/>
            <w:lang w:eastAsia="zh-CN"/>
          </w:rPr>
          <w:t>国家网络安全战略指南</w:t>
        </w:r>
      </w:hyperlink>
      <w:r w:rsidR="00177DEC">
        <w:rPr>
          <w:rStyle w:val="Hyperlink"/>
          <w:rFonts w:asciiTheme="minorEastAsia" w:hAnsiTheme="minorEastAsia" w:cstheme="minorBidi" w:hint="eastAsia"/>
          <w:noProof/>
          <w:color w:val="auto"/>
          <w:szCs w:val="24"/>
          <w:u w:val="none"/>
          <w:lang w:val="en-MY" w:eastAsia="zh-CN"/>
        </w:rPr>
        <w:t>是</w:t>
      </w:r>
      <w:r w:rsidRPr="0008741D">
        <w:rPr>
          <w:rStyle w:val="Hyperlink"/>
          <w:rFonts w:asciiTheme="minorEastAsia" w:hAnsiTheme="minorEastAsia" w:cstheme="minorBidi" w:hint="eastAsia"/>
          <w:noProof/>
          <w:color w:val="auto"/>
          <w:szCs w:val="24"/>
          <w:u w:val="none"/>
          <w:lang w:val="en-MY" w:eastAsia="zh-CN"/>
        </w:rPr>
        <w:t>由</w:t>
      </w:r>
      <w:r w:rsidRPr="0008741D">
        <w:rPr>
          <w:rStyle w:val="Hyperlink"/>
          <w:rFonts w:asciiTheme="minorEastAsia" w:hAnsiTheme="minorEastAsia" w:cstheme="minorBidi"/>
          <w:noProof/>
          <w:color w:val="auto"/>
          <w:szCs w:val="24"/>
          <w:u w:val="none"/>
          <w:lang w:val="en-MY" w:eastAsia="zh-CN"/>
        </w:rPr>
        <w:t>国际电联推进</w:t>
      </w:r>
      <w:r w:rsidRPr="000F41EE">
        <w:rPr>
          <w:rStyle w:val="Hyperlink"/>
          <w:rFonts w:cstheme="minorHAnsi"/>
          <w:noProof/>
          <w:color w:val="auto"/>
          <w:szCs w:val="24"/>
          <w:u w:val="none"/>
          <w:lang w:val="en-MY" w:eastAsia="zh-CN"/>
        </w:rPr>
        <w:t>并与</w:t>
      </w:r>
      <w:r w:rsidRPr="000F41EE">
        <w:rPr>
          <w:rStyle w:val="Hyperlink"/>
          <w:rFonts w:cstheme="minorHAnsi"/>
          <w:noProof/>
          <w:color w:val="auto"/>
          <w:szCs w:val="24"/>
          <w:u w:val="none"/>
          <w:lang w:val="en-MY" w:eastAsia="zh-CN"/>
        </w:rPr>
        <w:t>11</w:t>
      </w:r>
      <w:r w:rsidRPr="000F41EE">
        <w:rPr>
          <w:rStyle w:val="Hyperlink"/>
          <w:rFonts w:cstheme="minorHAnsi"/>
          <w:noProof/>
          <w:color w:val="auto"/>
          <w:szCs w:val="24"/>
          <w:u w:val="none"/>
          <w:lang w:val="en-MY" w:eastAsia="zh-CN"/>
        </w:rPr>
        <w:t>个实体</w:t>
      </w:r>
      <w:r w:rsidR="000F41EE">
        <w:rPr>
          <w:rStyle w:val="Hyperlink"/>
          <w:rFonts w:cstheme="minorHAnsi" w:hint="eastAsia"/>
          <w:noProof/>
          <w:color w:val="auto"/>
          <w:szCs w:val="24"/>
          <w:u w:val="none"/>
          <w:lang w:val="en-MY" w:eastAsia="zh-CN"/>
        </w:rPr>
        <w:t xml:space="preserve"> </w:t>
      </w:r>
      <w:r w:rsidR="000F41EE" w:rsidRPr="000F41EE">
        <w:rPr>
          <w:rStyle w:val="Hyperlink"/>
          <w:rFonts w:cstheme="minorHAnsi"/>
          <w:noProof/>
          <w:color w:val="auto"/>
          <w:szCs w:val="24"/>
          <w:u w:val="none"/>
          <w:lang w:val="en-MY" w:eastAsia="zh-CN"/>
        </w:rPr>
        <w:t>–</w:t>
      </w:r>
      <w:r w:rsidR="000F41EE">
        <w:rPr>
          <w:rStyle w:val="Hyperlink"/>
          <w:rFonts w:cstheme="minorHAnsi"/>
          <w:noProof/>
          <w:color w:val="auto"/>
          <w:szCs w:val="24"/>
          <w:u w:val="none"/>
          <w:lang w:val="en-MY" w:eastAsia="zh-CN"/>
        </w:rPr>
        <w:t xml:space="preserve"> </w:t>
      </w:r>
      <w:r w:rsidRPr="000F41EE">
        <w:rPr>
          <w:rStyle w:val="Hyperlink"/>
          <w:rFonts w:cstheme="minorHAnsi"/>
          <w:noProof/>
          <w:color w:val="auto"/>
          <w:szCs w:val="24"/>
          <w:u w:val="none"/>
          <w:lang w:val="en-MY" w:eastAsia="zh-CN"/>
        </w:rPr>
        <w:t>它们或是政府间和国际组织</w:t>
      </w:r>
      <w:r w:rsidR="0008741D" w:rsidRPr="000F41EE">
        <w:rPr>
          <w:rStyle w:val="Hyperlink"/>
          <w:rFonts w:cstheme="minorHAnsi"/>
          <w:noProof/>
          <w:color w:val="auto"/>
          <w:szCs w:val="24"/>
          <w:u w:val="none"/>
          <w:lang w:val="en-MY" w:eastAsia="zh-CN"/>
        </w:rPr>
        <w:t>、私营部门、学术机构、或是民间团体</w:t>
      </w:r>
      <w:r w:rsidR="0008741D" w:rsidRPr="000F41EE">
        <w:rPr>
          <w:rStyle w:val="Hyperlink"/>
          <w:rFonts w:cstheme="minorHAnsi"/>
          <w:noProof/>
          <w:color w:val="auto"/>
          <w:szCs w:val="24"/>
          <w:u w:val="none"/>
          <w:lang w:val="en-MY" w:eastAsia="zh-CN"/>
        </w:rPr>
        <w:t xml:space="preserve"> – </w:t>
      </w:r>
      <w:r w:rsidR="0008741D" w:rsidRPr="000F41EE">
        <w:rPr>
          <w:rStyle w:val="Hyperlink"/>
          <w:rFonts w:cstheme="minorHAnsi"/>
          <w:noProof/>
          <w:color w:val="auto"/>
          <w:szCs w:val="24"/>
          <w:u w:val="none"/>
          <w:lang w:val="en-MY" w:eastAsia="zh-CN"/>
        </w:rPr>
        <w:t>合作</w:t>
      </w:r>
      <w:r w:rsidR="0008741D" w:rsidRPr="0008741D">
        <w:rPr>
          <w:rStyle w:val="Hyperlink"/>
          <w:rFonts w:asciiTheme="minorEastAsia" w:hAnsiTheme="minorEastAsia" w:cstheme="minorBidi"/>
          <w:noProof/>
          <w:color w:val="auto"/>
          <w:szCs w:val="24"/>
          <w:u w:val="none"/>
          <w:lang w:val="en-MY" w:eastAsia="zh-CN"/>
        </w:rPr>
        <w:t>开展的利益攸关多方</w:t>
      </w:r>
      <w:r w:rsidR="00177DEC">
        <w:rPr>
          <w:rStyle w:val="Hyperlink"/>
          <w:rFonts w:asciiTheme="minorEastAsia" w:hAnsiTheme="minorEastAsia" w:cstheme="minorBidi" w:hint="eastAsia"/>
          <w:noProof/>
          <w:color w:val="auto"/>
          <w:szCs w:val="24"/>
          <w:u w:val="none"/>
          <w:lang w:val="en-MY" w:eastAsia="zh-CN"/>
        </w:rPr>
        <w:t>的</w:t>
      </w:r>
      <w:r w:rsidR="0008741D" w:rsidRPr="0008741D">
        <w:rPr>
          <w:rStyle w:val="Hyperlink"/>
          <w:rFonts w:asciiTheme="minorEastAsia" w:hAnsiTheme="minorEastAsia" w:cstheme="minorBidi"/>
          <w:noProof/>
          <w:color w:val="auto"/>
          <w:szCs w:val="24"/>
          <w:u w:val="none"/>
          <w:lang w:val="en-MY" w:eastAsia="zh-CN"/>
        </w:rPr>
        <w:t>工作</w:t>
      </w:r>
      <w:r w:rsidR="00177DEC">
        <w:rPr>
          <w:rStyle w:val="Hyperlink"/>
          <w:rFonts w:asciiTheme="minorEastAsia" w:hAnsiTheme="minorEastAsia" w:cstheme="minorBidi" w:hint="eastAsia"/>
          <w:noProof/>
          <w:color w:val="auto"/>
          <w:szCs w:val="24"/>
          <w:u w:val="none"/>
          <w:lang w:val="en-MY" w:eastAsia="zh-CN"/>
        </w:rPr>
        <w:t>成果</w:t>
      </w:r>
      <w:r w:rsidR="0008741D" w:rsidRPr="0008741D">
        <w:rPr>
          <w:rStyle w:val="Hyperlink"/>
          <w:rFonts w:asciiTheme="minorEastAsia" w:hAnsiTheme="minorEastAsia" w:cstheme="minorBidi"/>
          <w:noProof/>
          <w:color w:val="auto"/>
          <w:szCs w:val="24"/>
          <w:u w:val="none"/>
          <w:lang w:val="en-MY" w:eastAsia="zh-CN"/>
        </w:rPr>
        <w:t>。该指南</w:t>
      </w:r>
      <w:r w:rsidR="0008741D" w:rsidRPr="0008741D">
        <w:rPr>
          <w:rStyle w:val="Hyperlink"/>
          <w:rFonts w:asciiTheme="minorEastAsia" w:hAnsiTheme="minorEastAsia" w:cstheme="minorBidi" w:hint="eastAsia"/>
          <w:noProof/>
          <w:color w:val="auto"/>
          <w:szCs w:val="24"/>
          <w:u w:val="none"/>
          <w:lang w:val="en-MY" w:eastAsia="zh-CN"/>
        </w:rPr>
        <w:t>的</w:t>
      </w:r>
      <w:r w:rsidR="00177DEC">
        <w:rPr>
          <w:rStyle w:val="Hyperlink"/>
          <w:rFonts w:asciiTheme="minorEastAsia" w:hAnsiTheme="minorEastAsia" w:cstheme="minorBidi" w:hint="eastAsia"/>
          <w:noProof/>
          <w:color w:val="auto"/>
          <w:szCs w:val="24"/>
          <w:u w:val="none"/>
          <w:lang w:val="en-MY" w:eastAsia="zh-CN"/>
        </w:rPr>
        <w:t>一项</w:t>
      </w:r>
      <w:r w:rsidR="0008741D" w:rsidRPr="0008741D">
        <w:rPr>
          <w:rStyle w:val="Hyperlink"/>
          <w:rFonts w:asciiTheme="minorEastAsia" w:hAnsiTheme="minorEastAsia" w:cstheme="minorBidi"/>
          <w:noProof/>
          <w:color w:val="auto"/>
          <w:szCs w:val="24"/>
          <w:u w:val="none"/>
          <w:lang w:val="en-MY" w:eastAsia="zh-CN"/>
        </w:rPr>
        <w:t>主要目标是</w:t>
      </w:r>
      <w:r w:rsidR="002C6DCE" w:rsidRPr="0008741D">
        <w:rPr>
          <w:rFonts w:asciiTheme="minorEastAsia" w:hAnsiTheme="minorEastAsia" w:cstheme="minorHAnsi" w:hint="eastAsia"/>
          <w:lang w:eastAsia="zh-CN"/>
        </w:rPr>
        <w:t>帮助各国制定和实施国家网络安全战略，包括网络准备和复原力</w:t>
      </w:r>
      <w:r w:rsidR="0008741D" w:rsidRPr="0008741D">
        <w:rPr>
          <w:rFonts w:asciiTheme="minorEastAsia" w:hAnsiTheme="minorEastAsia" w:cstheme="minorHAnsi" w:hint="eastAsia"/>
          <w:lang w:eastAsia="zh-CN"/>
        </w:rPr>
        <w:t>。这是</w:t>
      </w:r>
      <w:r w:rsidR="0008741D" w:rsidRPr="0008741D">
        <w:rPr>
          <w:rFonts w:asciiTheme="minorEastAsia" w:hAnsiTheme="minorEastAsia" w:cstheme="minorHAnsi"/>
          <w:lang w:eastAsia="zh-CN"/>
        </w:rPr>
        <w:t>一份参考性指南，其中包含综合性一站式资源，有助于各国明确了解国家网络安全战略的目的和内容，同时这也是一份</w:t>
      </w:r>
      <w:r w:rsidR="0008741D" w:rsidRPr="0008741D">
        <w:rPr>
          <w:rFonts w:asciiTheme="minorEastAsia" w:hAnsiTheme="minorEastAsia" w:cstheme="minorHAnsi" w:hint="eastAsia"/>
          <w:lang w:eastAsia="zh-CN"/>
        </w:rPr>
        <w:t>有关</w:t>
      </w:r>
      <w:r w:rsidR="0008741D" w:rsidRPr="0008741D">
        <w:rPr>
          <w:rFonts w:asciiTheme="minorEastAsia" w:hAnsiTheme="minorEastAsia" w:cstheme="minorHAnsi"/>
          <w:lang w:eastAsia="zh-CN"/>
        </w:rPr>
        <w:t>如何制定其自身国家</w:t>
      </w:r>
      <w:r w:rsidR="0008741D" w:rsidRPr="0008741D">
        <w:rPr>
          <w:rFonts w:asciiTheme="minorEastAsia" w:hAnsiTheme="minorEastAsia" w:cstheme="minorHAnsi" w:hint="eastAsia"/>
          <w:lang w:eastAsia="zh-CN"/>
        </w:rPr>
        <w:t>战略</w:t>
      </w:r>
      <w:r w:rsidR="0008741D" w:rsidRPr="0008741D">
        <w:rPr>
          <w:rFonts w:asciiTheme="minorEastAsia" w:hAnsiTheme="minorEastAsia" w:cstheme="minorHAnsi"/>
          <w:lang w:eastAsia="zh-CN"/>
        </w:rPr>
        <w:t>的、非常实用的指南。</w:t>
      </w:r>
    </w:p>
    <w:p w:rsidR="00B3083D" w:rsidRPr="00FB4D36" w:rsidRDefault="00FB4D36" w:rsidP="00C248A2">
      <w:pPr>
        <w:pStyle w:val="Heading3"/>
        <w:rPr>
          <w:lang w:eastAsia="zh-CN"/>
        </w:rPr>
      </w:pPr>
      <w:r>
        <w:rPr>
          <w:rFonts w:hint="eastAsia"/>
          <w:lang w:eastAsia="zh-CN"/>
        </w:rPr>
        <w:t>1</w:t>
      </w:r>
      <w:r>
        <w:rPr>
          <w:lang w:eastAsia="zh-CN"/>
        </w:rPr>
        <w:t>.2.2</w:t>
      </w:r>
      <w:r>
        <w:rPr>
          <w:lang w:eastAsia="zh-CN"/>
        </w:rPr>
        <w:tab/>
      </w:r>
      <w:r w:rsidR="005A39AD" w:rsidRPr="00FB4D36">
        <w:rPr>
          <w:rFonts w:hint="eastAsia"/>
          <w:lang w:eastAsia="zh-CN"/>
        </w:rPr>
        <w:t>国家</w:t>
      </w:r>
      <w:r w:rsidR="005A39AD" w:rsidRPr="00FB4D36">
        <w:rPr>
          <w:lang w:eastAsia="zh-CN"/>
        </w:rPr>
        <w:t>计算机事件</w:t>
      </w:r>
      <w:r w:rsidR="005A39AD" w:rsidRPr="00FB4D36">
        <w:rPr>
          <w:rFonts w:hint="eastAsia"/>
          <w:lang w:eastAsia="zh-CN"/>
        </w:rPr>
        <w:t>响应</w:t>
      </w:r>
      <w:r w:rsidR="005A39AD" w:rsidRPr="00FB4D36">
        <w:rPr>
          <w:lang w:eastAsia="zh-CN"/>
        </w:rPr>
        <w:t>团队（</w:t>
      </w:r>
      <w:r w:rsidR="005A39AD" w:rsidRPr="00FB4D36">
        <w:rPr>
          <w:lang w:eastAsia="zh-CN"/>
        </w:rPr>
        <w:t>CIRT</w:t>
      </w:r>
      <w:r w:rsidR="005A39AD" w:rsidRPr="00FB4D36">
        <w:rPr>
          <w:lang w:eastAsia="zh-CN"/>
        </w:rPr>
        <w:t>）协助项目</w:t>
      </w:r>
    </w:p>
    <w:p w:rsidR="00B3083D" w:rsidRPr="00226A82" w:rsidRDefault="005A39AD" w:rsidP="005A39AD">
      <w:pPr>
        <w:keepNext/>
        <w:tabs>
          <w:tab w:val="left" w:pos="0"/>
        </w:tabs>
        <w:spacing w:after="120"/>
        <w:rPr>
          <w:szCs w:val="24"/>
          <w:lang w:eastAsia="zh-CN"/>
        </w:rPr>
      </w:pPr>
      <w:r>
        <w:rPr>
          <w:rFonts w:hint="eastAsia"/>
          <w:szCs w:val="24"/>
          <w:lang w:eastAsia="zh-CN"/>
        </w:rPr>
        <w:t>电信</w:t>
      </w:r>
      <w:r>
        <w:rPr>
          <w:szCs w:val="24"/>
          <w:lang w:eastAsia="zh-CN"/>
        </w:rPr>
        <w:t>发展局针对其</w:t>
      </w:r>
      <w:hyperlink r:id="rId10" w:history="1">
        <w:r w:rsidRPr="005A39AD">
          <w:rPr>
            <w:rStyle w:val="Hyperlink"/>
            <w:szCs w:val="24"/>
            <w:lang w:eastAsia="zh-CN"/>
          </w:rPr>
          <w:t>CIRT</w:t>
        </w:r>
        <w:r w:rsidRPr="005A39AD">
          <w:rPr>
            <w:rStyle w:val="Hyperlink"/>
            <w:szCs w:val="24"/>
            <w:lang w:eastAsia="zh-CN"/>
          </w:rPr>
          <w:t>项目</w:t>
        </w:r>
      </w:hyperlink>
      <w:r>
        <w:rPr>
          <w:rFonts w:hint="eastAsia"/>
          <w:szCs w:val="24"/>
          <w:lang w:eastAsia="zh-CN"/>
        </w:rPr>
        <w:t>落实</w:t>
      </w:r>
      <w:r>
        <w:rPr>
          <w:szCs w:val="24"/>
          <w:lang w:eastAsia="zh-CN"/>
        </w:rPr>
        <w:t>了若干</w:t>
      </w:r>
      <w:r>
        <w:rPr>
          <w:rFonts w:hint="eastAsia"/>
          <w:szCs w:val="24"/>
          <w:lang w:eastAsia="zh-CN"/>
        </w:rPr>
        <w:t>在不同</w:t>
      </w:r>
      <w:r>
        <w:rPr>
          <w:szCs w:val="24"/>
          <w:lang w:eastAsia="zh-CN"/>
        </w:rPr>
        <w:t>阶段提供具体结果的活动：</w:t>
      </w:r>
    </w:p>
    <w:p w:rsidR="00B3083D" w:rsidRPr="00226A82" w:rsidRDefault="005A39AD" w:rsidP="005A39AD">
      <w:pPr>
        <w:pStyle w:val="ListParagraph"/>
        <w:numPr>
          <w:ilvl w:val="0"/>
          <w:numId w:val="3"/>
        </w:numPr>
        <w:tabs>
          <w:tab w:val="left" w:pos="0"/>
        </w:tabs>
        <w:spacing w:after="40"/>
        <w:ind w:left="567" w:hanging="567"/>
        <w:contextualSpacing w:val="0"/>
        <w:rPr>
          <w:szCs w:val="24"/>
          <w:lang w:eastAsia="zh-CN"/>
        </w:rPr>
      </w:pPr>
      <w:r w:rsidRPr="00226A82">
        <w:rPr>
          <w:szCs w:val="24"/>
          <w:lang w:eastAsia="zh-CN"/>
        </w:rPr>
        <w:t>CIRT</w:t>
      </w:r>
      <w:r>
        <w:rPr>
          <w:rFonts w:eastAsiaTheme="minorEastAsia" w:hint="eastAsia"/>
          <w:szCs w:val="24"/>
          <w:lang w:eastAsia="zh-CN"/>
        </w:rPr>
        <w:t>就绪</w:t>
      </w:r>
      <w:r>
        <w:rPr>
          <w:rFonts w:eastAsiaTheme="minorEastAsia"/>
          <w:szCs w:val="24"/>
          <w:lang w:eastAsia="zh-CN"/>
        </w:rPr>
        <w:t>情况评估</w:t>
      </w:r>
      <w:r>
        <w:rPr>
          <w:rFonts w:eastAsiaTheme="minorEastAsia" w:hint="eastAsia"/>
          <w:szCs w:val="24"/>
          <w:lang w:eastAsia="zh-CN"/>
        </w:rPr>
        <w:t xml:space="preserve"> </w:t>
      </w:r>
      <w:r w:rsidRPr="005A39AD">
        <w:rPr>
          <w:rFonts w:eastAsiaTheme="minorEastAsia"/>
          <w:szCs w:val="24"/>
          <w:lang w:eastAsia="zh-CN"/>
        </w:rPr>
        <w:t>–</w:t>
      </w:r>
      <w:r>
        <w:rPr>
          <w:rFonts w:eastAsiaTheme="minorEastAsia"/>
          <w:szCs w:val="24"/>
          <w:lang w:eastAsia="zh-CN"/>
        </w:rPr>
        <w:t xml:space="preserve"> </w:t>
      </w:r>
      <w:r>
        <w:rPr>
          <w:rFonts w:eastAsiaTheme="minorEastAsia" w:hint="eastAsia"/>
          <w:szCs w:val="24"/>
          <w:lang w:eastAsia="zh-CN"/>
        </w:rPr>
        <w:t>该活动</w:t>
      </w:r>
      <w:r>
        <w:rPr>
          <w:rFonts w:eastAsiaTheme="minorEastAsia"/>
          <w:szCs w:val="24"/>
          <w:lang w:eastAsia="zh-CN"/>
        </w:rPr>
        <w:t>的目的是审查有兴趣落实</w:t>
      </w:r>
      <w:r w:rsidRPr="00226A82">
        <w:rPr>
          <w:szCs w:val="24"/>
          <w:lang w:eastAsia="zh-CN"/>
        </w:rPr>
        <w:t>CIRT</w:t>
      </w:r>
      <w:r>
        <w:rPr>
          <w:rFonts w:eastAsiaTheme="minorEastAsia" w:hint="eastAsia"/>
          <w:szCs w:val="24"/>
          <w:lang w:eastAsia="zh-CN"/>
        </w:rPr>
        <w:t>的</w:t>
      </w:r>
      <w:r>
        <w:rPr>
          <w:rFonts w:eastAsiaTheme="minorEastAsia"/>
          <w:szCs w:val="24"/>
          <w:lang w:eastAsia="zh-CN"/>
        </w:rPr>
        <w:t>国家的现有情况，并提供一份概要报告；</w:t>
      </w:r>
    </w:p>
    <w:p w:rsidR="00B3083D" w:rsidRPr="00226A82" w:rsidRDefault="005A39AD" w:rsidP="005A39AD">
      <w:pPr>
        <w:pStyle w:val="ListParagraph"/>
        <w:numPr>
          <w:ilvl w:val="0"/>
          <w:numId w:val="3"/>
        </w:numPr>
        <w:tabs>
          <w:tab w:val="left" w:pos="0"/>
        </w:tabs>
        <w:spacing w:before="40" w:after="40"/>
        <w:ind w:left="567" w:hanging="567"/>
        <w:contextualSpacing w:val="0"/>
        <w:rPr>
          <w:szCs w:val="24"/>
          <w:lang w:eastAsia="zh-CN"/>
        </w:rPr>
      </w:pPr>
      <w:r w:rsidRPr="00226A82">
        <w:rPr>
          <w:szCs w:val="24"/>
          <w:lang w:eastAsia="zh-CN"/>
        </w:rPr>
        <w:t>CIRT</w:t>
      </w:r>
      <w:r>
        <w:rPr>
          <w:rFonts w:eastAsiaTheme="minorEastAsia" w:hint="eastAsia"/>
          <w:szCs w:val="24"/>
          <w:lang w:eastAsia="zh-CN"/>
        </w:rPr>
        <w:t>设计</w:t>
      </w:r>
      <w:r>
        <w:rPr>
          <w:rFonts w:eastAsiaTheme="minorEastAsia" w:hint="eastAsia"/>
          <w:szCs w:val="24"/>
          <w:lang w:eastAsia="zh-CN"/>
        </w:rPr>
        <w:t xml:space="preserve"> </w:t>
      </w:r>
      <w:r w:rsidRPr="005A39AD">
        <w:rPr>
          <w:rFonts w:eastAsiaTheme="minorEastAsia"/>
          <w:szCs w:val="24"/>
          <w:lang w:eastAsia="zh-CN"/>
        </w:rPr>
        <w:t>–</w:t>
      </w:r>
      <w:r>
        <w:rPr>
          <w:rFonts w:eastAsiaTheme="minorEastAsia"/>
          <w:szCs w:val="24"/>
          <w:lang w:eastAsia="zh-CN"/>
        </w:rPr>
        <w:t xml:space="preserve"> </w:t>
      </w:r>
      <w:r>
        <w:rPr>
          <w:rFonts w:eastAsiaTheme="minorEastAsia" w:hint="eastAsia"/>
          <w:szCs w:val="24"/>
          <w:lang w:eastAsia="zh-CN"/>
        </w:rPr>
        <w:t>该活动</w:t>
      </w:r>
      <w:r>
        <w:rPr>
          <w:rFonts w:eastAsiaTheme="minorEastAsia"/>
          <w:szCs w:val="24"/>
          <w:lang w:eastAsia="zh-CN"/>
        </w:rPr>
        <w:t>的目的是提供</w:t>
      </w:r>
      <w:r>
        <w:rPr>
          <w:rFonts w:eastAsiaTheme="minorEastAsia"/>
          <w:szCs w:val="24"/>
          <w:lang w:eastAsia="zh-CN"/>
        </w:rPr>
        <w:t>CIRT</w:t>
      </w:r>
      <w:r>
        <w:rPr>
          <w:rFonts w:eastAsiaTheme="minorEastAsia"/>
          <w:szCs w:val="24"/>
          <w:lang w:eastAsia="zh-CN"/>
        </w:rPr>
        <w:t>设计文件；</w:t>
      </w:r>
    </w:p>
    <w:p w:rsidR="00B3083D" w:rsidRPr="00226A82" w:rsidRDefault="005A39AD" w:rsidP="005A39AD">
      <w:pPr>
        <w:pStyle w:val="ListParagraph"/>
        <w:numPr>
          <w:ilvl w:val="0"/>
          <w:numId w:val="3"/>
        </w:numPr>
        <w:tabs>
          <w:tab w:val="left" w:pos="0"/>
        </w:tabs>
        <w:spacing w:before="40" w:after="40"/>
        <w:ind w:left="567" w:hanging="567"/>
        <w:contextualSpacing w:val="0"/>
        <w:rPr>
          <w:szCs w:val="24"/>
          <w:lang w:eastAsia="zh-CN"/>
        </w:rPr>
      </w:pPr>
      <w:r w:rsidRPr="00226A82">
        <w:rPr>
          <w:szCs w:val="24"/>
          <w:lang w:eastAsia="zh-CN"/>
        </w:rPr>
        <w:t>CIRT</w:t>
      </w:r>
      <w:r>
        <w:rPr>
          <w:rFonts w:eastAsiaTheme="minorEastAsia" w:hint="eastAsia"/>
          <w:szCs w:val="24"/>
          <w:lang w:eastAsia="zh-CN"/>
        </w:rPr>
        <w:t>实施</w:t>
      </w:r>
      <w:r>
        <w:rPr>
          <w:rFonts w:eastAsiaTheme="minorEastAsia" w:hint="eastAsia"/>
          <w:szCs w:val="24"/>
          <w:lang w:eastAsia="zh-CN"/>
        </w:rPr>
        <w:t xml:space="preserve"> </w:t>
      </w:r>
      <w:r w:rsidRPr="005A39AD">
        <w:rPr>
          <w:rFonts w:eastAsiaTheme="minorEastAsia"/>
          <w:szCs w:val="24"/>
          <w:lang w:eastAsia="zh-CN"/>
        </w:rPr>
        <w:t>–</w:t>
      </w:r>
      <w:r>
        <w:rPr>
          <w:rFonts w:eastAsiaTheme="minorEastAsia"/>
          <w:szCs w:val="24"/>
          <w:lang w:eastAsia="zh-CN"/>
        </w:rPr>
        <w:t xml:space="preserve"> </w:t>
      </w:r>
      <w:r>
        <w:rPr>
          <w:rFonts w:eastAsiaTheme="minorEastAsia" w:hint="eastAsia"/>
          <w:szCs w:val="24"/>
          <w:lang w:eastAsia="zh-CN"/>
        </w:rPr>
        <w:t>基本</w:t>
      </w:r>
      <w:r>
        <w:rPr>
          <w:rFonts w:eastAsiaTheme="minorEastAsia"/>
          <w:szCs w:val="24"/>
          <w:lang w:eastAsia="zh-CN"/>
        </w:rPr>
        <w:t>和</w:t>
      </w:r>
      <w:r>
        <w:rPr>
          <w:rFonts w:eastAsiaTheme="minorEastAsia" w:hint="eastAsia"/>
          <w:szCs w:val="24"/>
          <w:lang w:eastAsia="zh-CN"/>
        </w:rPr>
        <w:t>增强</w:t>
      </w:r>
      <w:r>
        <w:rPr>
          <w:rFonts w:eastAsiaTheme="minorEastAsia"/>
          <w:szCs w:val="24"/>
          <w:lang w:eastAsia="zh-CN"/>
        </w:rPr>
        <w:t>服务</w:t>
      </w:r>
      <w:r>
        <w:rPr>
          <w:rFonts w:eastAsiaTheme="minorEastAsia" w:hint="eastAsia"/>
          <w:szCs w:val="24"/>
          <w:lang w:eastAsia="zh-CN"/>
        </w:rPr>
        <w:t>。</w:t>
      </w:r>
    </w:p>
    <w:p w:rsidR="00B3083D" w:rsidRPr="00226A82" w:rsidRDefault="005A39AD" w:rsidP="00E37CA0">
      <w:pPr>
        <w:tabs>
          <w:tab w:val="left" w:pos="0"/>
        </w:tabs>
        <w:spacing w:after="120"/>
        <w:ind w:firstLineChars="200" w:firstLine="480"/>
        <w:rPr>
          <w:szCs w:val="24"/>
          <w:lang w:eastAsia="zh-CN"/>
        </w:rPr>
      </w:pPr>
      <w:r>
        <w:rPr>
          <w:rFonts w:hint="eastAsia"/>
          <w:szCs w:val="24"/>
          <w:lang w:eastAsia="zh-CN"/>
        </w:rPr>
        <w:lastRenderedPageBreak/>
        <w:t>迄今为止</w:t>
      </w:r>
      <w:r>
        <w:rPr>
          <w:szCs w:val="24"/>
          <w:lang w:eastAsia="zh-CN"/>
        </w:rPr>
        <w:t>，国际电联已进行了</w:t>
      </w:r>
      <w:r>
        <w:rPr>
          <w:rFonts w:hint="eastAsia"/>
          <w:szCs w:val="24"/>
          <w:lang w:eastAsia="zh-CN"/>
        </w:rPr>
        <w:t>75</w:t>
      </w:r>
      <w:r>
        <w:rPr>
          <w:rFonts w:hint="eastAsia"/>
          <w:szCs w:val="24"/>
          <w:lang w:eastAsia="zh-CN"/>
        </w:rPr>
        <w:t>个</w:t>
      </w:r>
      <w:r w:rsidRPr="00226A82">
        <w:rPr>
          <w:szCs w:val="24"/>
          <w:lang w:eastAsia="zh-CN"/>
        </w:rPr>
        <w:t>CIRT</w:t>
      </w:r>
      <w:r>
        <w:rPr>
          <w:rFonts w:hint="eastAsia"/>
          <w:szCs w:val="24"/>
          <w:lang w:eastAsia="zh-CN"/>
        </w:rPr>
        <w:t>就绪</w:t>
      </w:r>
      <w:r>
        <w:rPr>
          <w:szCs w:val="24"/>
          <w:lang w:eastAsia="zh-CN"/>
        </w:rPr>
        <w:t>情况的评估工作，并成功落实了</w:t>
      </w:r>
      <w:r w:rsidR="00E37CA0">
        <w:rPr>
          <w:rFonts w:hint="eastAsia"/>
          <w:szCs w:val="24"/>
          <w:lang w:eastAsia="zh-CN"/>
        </w:rPr>
        <w:t>十三</w:t>
      </w:r>
      <w:r>
        <w:rPr>
          <w:rFonts w:hint="eastAsia"/>
          <w:szCs w:val="24"/>
          <w:lang w:eastAsia="zh-CN"/>
        </w:rPr>
        <w:t>项</w:t>
      </w:r>
      <w:r>
        <w:rPr>
          <w:szCs w:val="24"/>
          <w:lang w:eastAsia="zh-CN"/>
        </w:rPr>
        <w:t>（</w:t>
      </w:r>
      <w:r>
        <w:rPr>
          <w:rFonts w:hint="eastAsia"/>
          <w:szCs w:val="24"/>
          <w:lang w:eastAsia="zh-CN"/>
        </w:rPr>
        <w:t>13</w:t>
      </w:r>
      <w:r>
        <w:rPr>
          <w:rFonts w:hint="eastAsia"/>
          <w:szCs w:val="24"/>
          <w:lang w:eastAsia="zh-CN"/>
        </w:rPr>
        <w:t>）</w:t>
      </w:r>
      <w:r w:rsidRPr="00226A82">
        <w:rPr>
          <w:szCs w:val="24"/>
          <w:lang w:eastAsia="zh-CN"/>
        </w:rPr>
        <w:t>CIRT</w:t>
      </w:r>
      <w:r>
        <w:rPr>
          <w:rFonts w:hint="eastAsia"/>
          <w:szCs w:val="24"/>
          <w:lang w:eastAsia="zh-CN"/>
        </w:rPr>
        <w:t>项目</w:t>
      </w:r>
      <w:r>
        <w:rPr>
          <w:szCs w:val="24"/>
          <w:lang w:eastAsia="zh-CN"/>
        </w:rPr>
        <w:t>。</w:t>
      </w:r>
      <w:r>
        <w:rPr>
          <w:rFonts w:hint="eastAsia"/>
          <w:szCs w:val="24"/>
          <w:lang w:eastAsia="zh-CN"/>
        </w:rPr>
        <w:t>2</w:t>
      </w:r>
      <w:r>
        <w:rPr>
          <w:szCs w:val="24"/>
          <w:lang w:eastAsia="zh-CN"/>
        </w:rPr>
        <w:t>019</w:t>
      </w:r>
      <w:r>
        <w:rPr>
          <w:rFonts w:hint="eastAsia"/>
          <w:szCs w:val="24"/>
          <w:lang w:eastAsia="zh-CN"/>
        </w:rPr>
        <w:t>年，</w:t>
      </w:r>
      <w:r>
        <w:rPr>
          <w:szCs w:val="24"/>
          <w:lang w:eastAsia="zh-CN"/>
        </w:rPr>
        <w:t>计划落实</w:t>
      </w:r>
      <w:r w:rsidR="00E37CA0">
        <w:rPr>
          <w:rFonts w:hint="eastAsia"/>
          <w:szCs w:val="24"/>
          <w:lang w:eastAsia="zh-CN"/>
        </w:rPr>
        <w:t>五个</w:t>
      </w:r>
      <w:r>
        <w:rPr>
          <w:szCs w:val="24"/>
          <w:lang w:eastAsia="zh-CN"/>
        </w:rPr>
        <w:t>（</w:t>
      </w:r>
      <w:r>
        <w:rPr>
          <w:rFonts w:hint="eastAsia"/>
          <w:szCs w:val="24"/>
          <w:lang w:eastAsia="zh-CN"/>
        </w:rPr>
        <w:t>5</w:t>
      </w:r>
      <w:r>
        <w:rPr>
          <w:rFonts w:hint="eastAsia"/>
          <w:szCs w:val="24"/>
          <w:lang w:eastAsia="zh-CN"/>
        </w:rPr>
        <w:t>）</w:t>
      </w:r>
      <w:r>
        <w:rPr>
          <w:szCs w:val="24"/>
          <w:lang w:eastAsia="zh-CN"/>
        </w:rPr>
        <w:t>国家</w:t>
      </w:r>
      <w:r w:rsidRPr="00226A82">
        <w:rPr>
          <w:szCs w:val="24"/>
          <w:lang w:eastAsia="zh-CN"/>
        </w:rPr>
        <w:t>CIRT</w:t>
      </w:r>
      <w:r>
        <w:rPr>
          <w:rFonts w:hint="eastAsia"/>
          <w:szCs w:val="24"/>
          <w:lang w:eastAsia="zh-CN"/>
        </w:rPr>
        <w:t>。</w:t>
      </w:r>
    </w:p>
    <w:p w:rsidR="00B3083D" w:rsidRPr="00FB4D36" w:rsidRDefault="00FB4D36" w:rsidP="00C248A2">
      <w:pPr>
        <w:pStyle w:val="Heading3"/>
        <w:rPr>
          <w:lang w:eastAsia="zh-CN"/>
        </w:rPr>
      </w:pPr>
      <w:r>
        <w:rPr>
          <w:rFonts w:hint="eastAsia"/>
          <w:lang w:eastAsia="zh-CN"/>
        </w:rPr>
        <w:t>1</w:t>
      </w:r>
      <w:r>
        <w:rPr>
          <w:lang w:eastAsia="zh-CN"/>
        </w:rPr>
        <w:t>.2.3</w:t>
      </w:r>
      <w:r>
        <w:rPr>
          <w:lang w:eastAsia="zh-CN"/>
        </w:rPr>
        <w:tab/>
      </w:r>
      <w:r w:rsidR="005A39AD" w:rsidRPr="00FB4D36">
        <w:rPr>
          <w:rFonts w:hint="eastAsia"/>
          <w:lang w:eastAsia="zh-CN"/>
        </w:rPr>
        <w:t>衡量</w:t>
      </w:r>
      <w:r w:rsidR="005A39AD" w:rsidRPr="00FB4D36">
        <w:rPr>
          <w:lang w:eastAsia="zh-CN"/>
        </w:rPr>
        <w:t>网络安全方面的进步</w:t>
      </w:r>
      <w:r w:rsidR="005A39AD" w:rsidRPr="00FB4D36">
        <w:rPr>
          <w:rFonts w:hint="eastAsia"/>
          <w:lang w:eastAsia="zh-CN"/>
        </w:rPr>
        <w:t xml:space="preserve"> </w:t>
      </w:r>
      <w:r w:rsidR="005A39AD" w:rsidRPr="00FB4D36">
        <w:rPr>
          <w:lang w:eastAsia="zh-CN"/>
        </w:rPr>
        <w:t xml:space="preserve">– </w:t>
      </w:r>
      <w:r w:rsidR="005A39AD" w:rsidRPr="00FB4D36">
        <w:rPr>
          <w:rFonts w:hint="eastAsia"/>
          <w:lang w:eastAsia="zh-CN"/>
        </w:rPr>
        <w:t>全球</w:t>
      </w:r>
      <w:r w:rsidR="005A39AD" w:rsidRPr="00FB4D36">
        <w:rPr>
          <w:lang w:eastAsia="zh-CN"/>
        </w:rPr>
        <w:t>网络安全指数</w:t>
      </w:r>
    </w:p>
    <w:p w:rsidR="00B3083D" w:rsidRPr="00226A82" w:rsidRDefault="005A39AD" w:rsidP="00D27659">
      <w:pPr>
        <w:spacing w:after="120"/>
        <w:ind w:firstLineChars="200" w:firstLine="480"/>
        <w:rPr>
          <w:szCs w:val="24"/>
          <w:lang w:eastAsia="zh-CN"/>
        </w:rPr>
      </w:pPr>
      <w:r>
        <w:rPr>
          <w:szCs w:val="24"/>
          <w:lang w:eastAsia="zh-CN"/>
        </w:rPr>
        <w:t>2018</w:t>
      </w:r>
      <w:r>
        <w:rPr>
          <w:rFonts w:hint="eastAsia"/>
          <w:szCs w:val="24"/>
          <w:lang w:eastAsia="zh-CN"/>
        </w:rPr>
        <w:t>年</w:t>
      </w:r>
      <w:r>
        <w:rPr>
          <w:szCs w:val="24"/>
          <w:lang w:eastAsia="zh-CN"/>
        </w:rPr>
        <w:t>，已收集到</w:t>
      </w:r>
      <w:r>
        <w:rPr>
          <w:rFonts w:hint="eastAsia"/>
          <w:szCs w:val="24"/>
          <w:lang w:eastAsia="zh-CN"/>
        </w:rPr>
        <w:t>155</w:t>
      </w:r>
      <w:r>
        <w:rPr>
          <w:rFonts w:hint="eastAsia"/>
          <w:szCs w:val="24"/>
          <w:lang w:eastAsia="zh-CN"/>
        </w:rPr>
        <w:t>个</w:t>
      </w:r>
      <w:r>
        <w:rPr>
          <w:szCs w:val="24"/>
          <w:lang w:eastAsia="zh-CN"/>
        </w:rPr>
        <w:t>国家的数据，以便</w:t>
      </w:r>
      <w:r w:rsidR="00D27659">
        <w:rPr>
          <w:rFonts w:hint="eastAsia"/>
          <w:szCs w:val="24"/>
          <w:lang w:eastAsia="zh-CN"/>
        </w:rPr>
        <w:t>制定</w:t>
      </w:r>
      <w:r>
        <w:rPr>
          <w:szCs w:val="24"/>
          <w:lang w:eastAsia="zh-CN"/>
        </w:rPr>
        <w:t>第三版《网络安全指数》。网络</w:t>
      </w:r>
      <w:r>
        <w:rPr>
          <w:rFonts w:hint="eastAsia"/>
          <w:szCs w:val="24"/>
          <w:lang w:eastAsia="zh-CN"/>
        </w:rPr>
        <w:t>安全</w:t>
      </w:r>
      <w:r>
        <w:rPr>
          <w:szCs w:val="24"/>
          <w:lang w:eastAsia="zh-CN"/>
        </w:rPr>
        <w:t>指数（</w:t>
      </w:r>
      <w:r w:rsidRPr="00226A82">
        <w:rPr>
          <w:szCs w:val="24"/>
          <w:lang w:eastAsia="zh-CN"/>
        </w:rPr>
        <w:t>GCI</w:t>
      </w:r>
      <w:r>
        <w:rPr>
          <w:rFonts w:hint="eastAsia"/>
          <w:szCs w:val="24"/>
          <w:lang w:eastAsia="zh-CN"/>
        </w:rPr>
        <w:t>）衡量</w:t>
      </w:r>
      <w:r>
        <w:rPr>
          <w:szCs w:val="24"/>
          <w:lang w:eastAsia="zh-CN"/>
        </w:rPr>
        <w:t>各国在网络安全方面取得的进展，并帮助他们明确有待完善的领域。</w:t>
      </w:r>
      <w:r w:rsidRPr="00226A82">
        <w:rPr>
          <w:szCs w:val="24"/>
          <w:lang w:eastAsia="zh-CN"/>
        </w:rPr>
        <w:t>GCI</w:t>
      </w:r>
      <w:r>
        <w:rPr>
          <w:rFonts w:hint="eastAsia"/>
          <w:szCs w:val="24"/>
          <w:lang w:eastAsia="zh-CN"/>
        </w:rPr>
        <w:t>通过</w:t>
      </w:r>
      <w:r>
        <w:rPr>
          <w:szCs w:val="24"/>
          <w:lang w:eastAsia="zh-CN"/>
        </w:rPr>
        <w:t>收集信息，旨在具体说明目前使用的做法，从而使国际电联成员国能够明确差距，并在其尚有不足的地方做出改进。</w:t>
      </w:r>
    </w:p>
    <w:p w:rsidR="00B3083D" w:rsidRPr="00FB4D36" w:rsidRDefault="00FB4D36" w:rsidP="00C248A2">
      <w:pPr>
        <w:pStyle w:val="Heading3"/>
        <w:rPr>
          <w:szCs w:val="24"/>
          <w:lang w:eastAsia="zh-CN"/>
        </w:rPr>
      </w:pPr>
      <w:r>
        <w:rPr>
          <w:rFonts w:hint="eastAsia"/>
          <w:szCs w:val="24"/>
          <w:lang w:eastAsia="zh-CN"/>
        </w:rPr>
        <w:t>1</w:t>
      </w:r>
      <w:r>
        <w:rPr>
          <w:szCs w:val="24"/>
          <w:lang w:eastAsia="zh-CN"/>
        </w:rPr>
        <w:t>.2.4</w:t>
      </w:r>
      <w:r>
        <w:rPr>
          <w:szCs w:val="24"/>
          <w:lang w:eastAsia="zh-CN"/>
        </w:rPr>
        <w:tab/>
      </w:r>
      <w:r w:rsidR="00224381" w:rsidRPr="00FB4D36">
        <w:rPr>
          <w:rFonts w:hint="eastAsia"/>
          <w:szCs w:val="24"/>
          <w:lang w:eastAsia="zh-CN"/>
        </w:rPr>
        <w:t>网络演练</w:t>
      </w:r>
      <w:r w:rsidR="00224381" w:rsidRPr="00FB4D36">
        <w:rPr>
          <w:szCs w:val="24"/>
          <w:lang w:eastAsia="zh-CN"/>
        </w:rPr>
        <w:t>（</w:t>
      </w:r>
      <w:hyperlink r:id="rId11" w:history="1">
        <w:r w:rsidR="00224381" w:rsidRPr="00FB4D36">
          <w:rPr>
            <w:lang w:eastAsia="zh-CN"/>
          </w:rPr>
          <w:t>CyberDrills</w:t>
        </w:r>
      </w:hyperlink>
      <w:r w:rsidR="00224381" w:rsidRPr="00FB4D36">
        <w:rPr>
          <w:rFonts w:hint="eastAsia"/>
          <w:lang w:eastAsia="zh-CN"/>
        </w:rPr>
        <w:t>）</w:t>
      </w:r>
      <w:r w:rsidR="00224381" w:rsidRPr="00FB4D36">
        <w:rPr>
          <w:rFonts w:hint="eastAsia"/>
          <w:lang w:eastAsia="zh-CN"/>
        </w:rPr>
        <w:t xml:space="preserve"> </w:t>
      </w:r>
      <w:r w:rsidR="00224381" w:rsidRPr="00FB4D36">
        <w:rPr>
          <w:lang w:eastAsia="zh-CN"/>
        </w:rPr>
        <w:t xml:space="preserve">– </w:t>
      </w:r>
      <w:r w:rsidR="00224381" w:rsidRPr="00FB4D36">
        <w:rPr>
          <w:rFonts w:hint="eastAsia"/>
          <w:lang w:eastAsia="zh-CN"/>
        </w:rPr>
        <w:t>能力</w:t>
      </w:r>
      <w:r w:rsidR="00224381" w:rsidRPr="00FB4D36">
        <w:rPr>
          <w:lang w:eastAsia="zh-CN"/>
        </w:rPr>
        <w:t>开发</w:t>
      </w:r>
    </w:p>
    <w:p w:rsidR="00B3083D" w:rsidRPr="00226A82" w:rsidRDefault="00224381" w:rsidP="00224381">
      <w:pPr>
        <w:spacing w:after="120"/>
        <w:ind w:firstLineChars="200" w:firstLine="480"/>
        <w:rPr>
          <w:szCs w:val="24"/>
          <w:lang w:eastAsia="zh-CN"/>
        </w:rPr>
      </w:pPr>
      <w:r>
        <w:rPr>
          <w:rFonts w:hint="eastAsia"/>
          <w:szCs w:val="24"/>
          <w:lang w:eastAsia="zh-CN"/>
        </w:rPr>
        <w:t>国际电联</w:t>
      </w:r>
      <w:r>
        <w:rPr>
          <w:szCs w:val="24"/>
          <w:lang w:eastAsia="zh-CN"/>
        </w:rPr>
        <w:t>为国际电联成员国开展区域和</w:t>
      </w:r>
      <w:r w:rsidR="00CD5CA8">
        <w:rPr>
          <w:rFonts w:hint="eastAsia"/>
          <w:szCs w:val="24"/>
          <w:lang w:eastAsia="zh-CN"/>
        </w:rPr>
        <w:t>国家</w:t>
      </w:r>
      <w:r>
        <w:rPr>
          <w:szCs w:val="24"/>
          <w:lang w:eastAsia="zh-CN"/>
        </w:rPr>
        <w:t>层面的网络演练（</w:t>
      </w:r>
      <w:r w:rsidRPr="00226A82">
        <w:rPr>
          <w:szCs w:val="24"/>
          <w:lang w:eastAsia="zh-CN"/>
        </w:rPr>
        <w:t>CyberDrills</w:t>
      </w:r>
      <w:r>
        <w:rPr>
          <w:rFonts w:hint="eastAsia"/>
          <w:szCs w:val="24"/>
          <w:lang w:eastAsia="zh-CN"/>
        </w:rPr>
        <w:t>）</w:t>
      </w:r>
      <w:r>
        <w:rPr>
          <w:szCs w:val="24"/>
          <w:lang w:eastAsia="zh-CN"/>
        </w:rPr>
        <w:t>。</w:t>
      </w:r>
      <w:r w:rsidRPr="00226A82">
        <w:rPr>
          <w:szCs w:val="24"/>
          <w:lang w:eastAsia="zh-CN"/>
        </w:rPr>
        <w:t>CyberDrills</w:t>
      </w:r>
      <w:r>
        <w:rPr>
          <w:rFonts w:hint="eastAsia"/>
          <w:szCs w:val="24"/>
          <w:lang w:eastAsia="zh-CN"/>
        </w:rPr>
        <w:t>的目的是</w:t>
      </w:r>
      <w:r>
        <w:rPr>
          <w:szCs w:val="24"/>
          <w:lang w:eastAsia="zh-CN"/>
        </w:rPr>
        <w:t>改善参与团队之间的</w:t>
      </w:r>
      <w:r w:rsidR="00CD5CA8">
        <w:rPr>
          <w:rFonts w:hint="eastAsia"/>
          <w:szCs w:val="24"/>
          <w:lang w:eastAsia="zh-CN"/>
        </w:rPr>
        <w:t>沟通</w:t>
      </w:r>
      <w:r>
        <w:rPr>
          <w:szCs w:val="24"/>
          <w:lang w:eastAsia="zh-CN"/>
        </w:rPr>
        <w:t>并进一步加强其事件响应能力</w:t>
      </w:r>
      <w:r w:rsidR="00CD5CA8">
        <w:rPr>
          <w:szCs w:val="24"/>
          <w:lang w:eastAsia="zh-CN"/>
        </w:rPr>
        <w:t>，同时维护并强化国内和各国间的国际合作，以集体行动应对网络威胁。</w:t>
      </w:r>
      <w:r>
        <w:rPr>
          <w:szCs w:val="24"/>
          <w:lang w:eastAsia="zh-CN"/>
        </w:rPr>
        <w:t>国际电联已开展过参与国家超过一百多个的</w:t>
      </w:r>
      <w:r w:rsidR="00CD5CA8">
        <w:rPr>
          <w:rFonts w:hint="eastAsia"/>
          <w:szCs w:val="24"/>
          <w:lang w:eastAsia="zh-CN"/>
        </w:rPr>
        <w:t>二十五次</w:t>
      </w:r>
      <w:r>
        <w:rPr>
          <w:rFonts w:hint="eastAsia"/>
          <w:szCs w:val="24"/>
          <w:lang w:eastAsia="zh-CN"/>
        </w:rPr>
        <w:t>（</w:t>
      </w:r>
      <w:r>
        <w:rPr>
          <w:rFonts w:hint="eastAsia"/>
          <w:szCs w:val="24"/>
          <w:lang w:eastAsia="zh-CN"/>
        </w:rPr>
        <w:t>25</w:t>
      </w:r>
      <w:r>
        <w:rPr>
          <w:rFonts w:hint="eastAsia"/>
          <w:szCs w:val="24"/>
          <w:lang w:eastAsia="zh-CN"/>
        </w:rPr>
        <w:t>）</w:t>
      </w:r>
      <w:r w:rsidRPr="00226A82">
        <w:rPr>
          <w:szCs w:val="24"/>
          <w:lang w:eastAsia="zh-CN"/>
        </w:rPr>
        <w:t>CyberDrills</w:t>
      </w:r>
      <w:r>
        <w:rPr>
          <w:rFonts w:hint="eastAsia"/>
          <w:szCs w:val="24"/>
          <w:lang w:eastAsia="zh-CN"/>
        </w:rPr>
        <w:t>。</w:t>
      </w:r>
      <w:r>
        <w:rPr>
          <w:rFonts w:hint="eastAsia"/>
          <w:szCs w:val="24"/>
          <w:lang w:eastAsia="zh-CN"/>
        </w:rPr>
        <w:t>2</w:t>
      </w:r>
      <w:r>
        <w:rPr>
          <w:szCs w:val="24"/>
          <w:lang w:eastAsia="zh-CN"/>
        </w:rPr>
        <w:t>019</w:t>
      </w:r>
      <w:r>
        <w:rPr>
          <w:rFonts w:hint="eastAsia"/>
          <w:szCs w:val="24"/>
          <w:lang w:eastAsia="zh-CN"/>
        </w:rPr>
        <w:t>年</w:t>
      </w:r>
      <w:r>
        <w:rPr>
          <w:szCs w:val="24"/>
          <w:lang w:eastAsia="zh-CN"/>
        </w:rPr>
        <w:t>，计划在欧洲</w:t>
      </w:r>
      <w:r>
        <w:rPr>
          <w:rFonts w:hint="eastAsia"/>
          <w:szCs w:val="24"/>
          <w:lang w:eastAsia="zh-CN"/>
        </w:rPr>
        <w:t>（</w:t>
      </w:r>
      <w:r>
        <w:rPr>
          <w:szCs w:val="24"/>
          <w:lang w:eastAsia="zh-CN"/>
        </w:rPr>
        <w:t>罗马尼亚</w:t>
      </w:r>
      <w:r>
        <w:rPr>
          <w:rFonts w:hint="eastAsia"/>
          <w:szCs w:val="24"/>
          <w:lang w:eastAsia="zh-CN"/>
        </w:rPr>
        <w:t>）</w:t>
      </w:r>
      <w:r>
        <w:rPr>
          <w:szCs w:val="24"/>
          <w:lang w:eastAsia="zh-CN"/>
        </w:rPr>
        <w:t>和非洲（南非）开展演练。目前</w:t>
      </w:r>
      <w:r>
        <w:rPr>
          <w:rFonts w:hint="eastAsia"/>
          <w:szCs w:val="24"/>
          <w:lang w:eastAsia="zh-CN"/>
        </w:rPr>
        <w:t>还计划</w:t>
      </w:r>
      <w:r>
        <w:rPr>
          <w:szCs w:val="24"/>
          <w:lang w:eastAsia="zh-CN"/>
        </w:rPr>
        <w:t>在亚太、阿拉伯国家和独联体国家（</w:t>
      </w:r>
      <w:r>
        <w:rPr>
          <w:szCs w:val="24"/>
          <w:lang w:eastAsia="zh-CN"/>
        </w:rPr>
        <w:t>CIS</w:t>
      </w:r>
      <w:r>
        <w:rPr>
          <w:szCs w:val="24"/>
          <w:lang w:eastAsia="zh-CN"/>
        </w:rPr>
        <w:t>）开展演练。电信</w:t>
      </w:r>
      <w:r>
        <w:rPr>
          <w:rFonts w:hint="eastAsia"/>
          <w:szCs w:val="24"/>
          <w:lang w:eastAsia="zh-CN"/>
        </w:rPr>
        <w:t>发展局</w:t>
      </w:r>
      <w:r>
        <w:rPr>
          <w:szCs w:val="24"/>
          <w:lang w:eastAsia="zh-CN"/>
        </w:rPr>
        <w:t>正在探讨在两个区域间实现跨区</w:t>
      </w:r>
      <w:r>
        <w:rPr>
          <w:rFonts w:hint="eastAsia"/>
          <w:szCs w:val="24"/>
          <w:lang w:eastAsia="zh-CN"/>
        </w:rPr>
        <w:t>合作</w:t>
      </w:r>
      <w:r>
        <w:rPr>
          <w:szCs w:val="24"/>
          <w:lang w:eastAsia="zh-CN"/>
        </w:rPr>
        <w:t>的机会，从而进一步发展区域和</w:t>
      </w:r>
      <w:r>
        <w:rPr>
          <w:rFonts w:hint="eastAsia"/>
          <w:szCs w:val="24"/>
          <w:lang w:eastAsia="zh-CN"/>
        </w:rPr>
        <w:t>国际</w:t>
      </w:r>
      <w:r>
        <w:rPr>
          <w:szCs w:val="24"/>
          <w:lang w:eastAsia="zh-CN"/>
        </w:rPr>
        <w:t>合作。</w:t>
      </w:r>
      <w:r>
        <w:rPr>
          <w:rFonts w:hint="eastAsia"/>
          <w:szCs w:val="24"/>
          <w:lang w:eastAsia="zh-CN"/>
        </w:rPr>
        <w:t>根据</w:t>
      </w:r>
      <w:r>
        <w:rPr>
          <w:szCs w:val="24"/>
          <w:lang w:eastAsia="zh-CN"/>
        </w:rPr>
        <w:t>不同区域情况，演练与相关合作伙伴</w:t>
      </w:r>
      <w:r w:rsidR="00D237F7">
        <w:rPr>
          <w:rFonts w:hint="eastAsia"/>
          <w:szCs w:val="24"/>
          <w:lang w:eastAsia="zh-CN"/>
        </w:rPr>
        <w:t>联合</w:t>
      </w:r>
      <w:r>
        <w:rPr>
          <w:szCs w:val="24"/>
          <w:lang w:eastAsia="zh-CN"/>
        </w:rPr>
        <w:t>进行。</w:t>
      </w:r>
    </w:p>
    <w:p w:rsidR="00B3083D" w:rsidRPr="00FB4D36" w:rsidRDefault="00FB4D36" w:rsidP="00C248A2">
      <w:pPr>
        <w:pStyle w:val="Heading3"/>
        <w:rPr>
          <w:lang w:eastAsia="zh-CN"/>
        </w:rPr>
      </w:pPr>
      <w:r>
        <w:rPr>
          <w:rFonts w:hint="eastAsia"/>
          <w:lang w:eastAsia="zh-CN"/>
        </w:rPr>
        <w:t>1</w:t>
      </w:r>
      <w:r>
        <w:rPr>
          <w:lang w:eastAsia="zh-CN"/>
        </w:rPr>
        <w:t>.2.5</w:t>
      </w:r>
      <w:r>
        <w:rPr>
          <w:lang w:eastAsia="zh-CN"/>
        </w:rPr>
        <w:tab/>
      </w:r>
      <w:r w:rsidR="00D237F7" w:rsidRPr="00FB4D36">
        <w:rPr>
          <w:rFonts w:hint="eastAsia"/>
          <w:lang w:eastAsia="zh-CN"/>
        </w:rPr>
        <w:t>提高</w:t>
      </w:r>
      <w:r w:rsidR="00224381" w:rsidRPr="00FB4D36">
        <w:rPr>
          <w:lang w:eastAsia="zh-CN"/>
        </w:rPr>
        <w:t>意识</w:t>
      </w:r>
      <w:r w:rsidR="00D237F7" w:rsidRPr="00FB4D36">
        <w:rPr>
          <w:rFonts w:hint="eastAsia"/>
          <w:lang w:eastAsia="zh-CN"/>
        </w:rPr>
        <w:t>和</w:t>
      </w:r>
      <w:r w:rsidR="00224381" w:rsidRPr="00FB4D36">
        <w:rPr>
          <w:lang w:eastAsia="zh-CN"/>
        </w:rPr>
        <w:t>分享信息</w:t>
      </w:r>
    </w:p>
    <w:p w:rsidR="00B3083D" w:rsidRPr="00226A82" w:rsidRDefault="00224381" w:rsidP="00C248A2">
      <w:pPr>
        <w:spacing w:after="120"/>
        <w:ind w:firstLineChars="200" w:firstLine="480"/>
        <w:rPr>
          <w:szCs w:val="24"/>
          <w:lang w:eastAsia="zh-CN"/>
        </w:rPr>
      </w:pPr>
      <w:r>
        <w:rPr>
          <w:rFonts w:hint="eastAsia"/>
          <w:szCs w:val="24"/>
          <w:lang w:eastAsia="zh-CN"/>
        </w:rPr>
        <w:t>电信</w:t>
      </w:r>
      <w:r>
        <w:rPr>
          <w:szCs w:val="24"/>
          <w:lang w:eastAsia="zh-CN"/>
        </w:rPr>
        <w:t>发展局持续组织、共同组织和参与旨在提高意识和分享信息的活动。</w:t>
      </w:r>
      <w:r w:rsidRPr="00FB4D36">
        <w:rPr>
          <w:color w:val="000000" w:themeColor="text1"/>
          <w:szCs w:val="24"/>
          <w:lang w:eastAsia="zh-CN"/>
        </w:rPr>
        <w:t>电信发展局</w:t>
      </w:r>
      <w:r w:rsidRPr="00FB4D36">
        <w:rPr>
          <w:rFonts w:hint="eastAsia"/>
          <w:color w:val="000000" w:themeColor="text1"/>
          <w:szCs w:val="24"/>
          <w:lang w:eastAsia="zh-CN"/>
        </w:rPr>
        <w:t>和</w:t>
      </w:r>
      <w:r w:rsidRPr="00FB4D36">
        <w:rPr>
          <w:color w:val="000000" w:themeColor="text1"/>
          <w:szCs w:val="24"/>
          <w:lang w:eastAsia="zh-CN"/>
        </w:rPr>
        <w:t>合作伙伴通过多种不同平台和重大活动来提高人们的意识并分享信息</w:t>
      </w:r>
      <w:r w:rsidR="00BF19B8" w:rsidRPr="00FB4D36">
        <w:rPr>
          <w:rFonts w:hint="eastAsia"/>
          <w:color w:val="000000" w:themeColor="text1"/>
          <w:szCs w:val="24"/>
          <w:lang w:eastAsia="zh-CN"/>
        </w:rPr>
        <w:t xml:space="preserve"> </w:t>
      </w:r>
      <w:r w:rsidR="00BF19B8" w:rsidRPr="00FB4D36">
        <w:rPr>
          <w:color w:val="000000" w:themeColor="text1"/>
          <w:szCs w:val="24"/>
          <w:lang w:eastAsia="zh-CN"/>
        </w:rPr>
        <w:t xml:space="preserve">– </w:t>
      </w:r>
      <w:r w:rsidR="00BF19B8">
        <w:rPr>
          <w:rFonts w:hint="eastAsia"/>
          <w:szCs w:val="24"/>
          <w:lang w:eastAsia="zh-CN"/>
        </w:rPr>
        <w:t>其中包括信息</w:t>
      </w:r>
      <w:r w:rsidR="00BF19B8">
        <w:rPr>
          <w:szCs w:val="24"/>
          <w:lang w:eastAsia="zh-CN"/>
        </w:rPr>
        <w:t>社会世界峰会</w:t>
      </w:r>
      <w:r w:rsidR="00BF19B8">
        <w:rPr>
          <w:rFonts w:hint="eastAsia"/>
          <w:szCs w:val="24"/>
          <w:lang w:eastAsia="zh-CN"/>
        </w:rPr>
        <w:t>（</w:t>
      </w:r>
      <w:r w:rsidR="00BF19B8" w:rsidRPr="00226A82">
        <w:rPr>
          <w:szCs w:val="24"/>
          <w:lang w:eastAsia="zh-CN"/>
        </w:rPr>
        <w:t>WSIS</w:t>
      </w:r>
      <w:r w:rsidR="00BF19B8">
        <w:rPr>
          <w:rFonts w:hint="eastAsia"/>
          <w:szCs w:val="24"/>
          <w:lang w:eastAsia="zh-CN"/>
        </w:rPr>
        <w:t>）</w:t>
      </w:r>
      <w:r w:rsidR="009E1384">
        <w:rPr>
          <w:rFonts w:hint="eastAsia"/>
          <w:szCs w:val="24"/>
          <w:lang w:eastAsia="zh-CN"/>
        </w:rPr>
        <w:t>、</w:t>
      </w:r>
      <w:r w:rsidR="00BF19B8">
        <w:rPr>
          <w:rFonts w:hint="eastAsia"/>
          <w:szCs w:val="24"/>
          <w:lang w:eastAsia="zh-CN"/>
        </w:rPr>
        <w:t>研究组</w:t>
      </w:r>
      <w:r w:rsidR="00BF19B8">
        <w:rPr>
          <w:szCs w:val="24"/>
          <w:lang w:eastAsia="zh-CN"/>
        </w:rPr>
        <w:t>会议和其他讲习班、大会和会议</w:t>
      </w:r>
      <w:r w:rsidR="00494A3C" w:rsidRPr="00FB4D36">
        <w:rPr>
          <w:rFonts w:hint="eastAsia"/>
          <w:color w:val="000000" w:themeColor="text1"/>
          <w:szCs w:val="24"/>
          <w:lang w:eastAsia="zh-CN"/>
        </w:rPr>
        <w:t>。</w:t>
      </w:r>
      <w:r w:rsidR="00BF19B8">
        <w:rPr>
          <w:szCs w:val="24"/>
          <w:lang w:eastAsia="zh-CN"/>
        </w:rPr>
        <w:t>此处提供有关以往</w:t>
      </w:r>
      <w:r w:rsidR="00BF19B8">
        <w:rPr>
          <w:rFonts w:hint="eastAsia"/>
          <w:szCs w:val="24"/>
          <w:lang w:eastAsia="zh-CN"/>
        </w:rPr>
        <w:t>主要</w:t>
      </w:r>
      <w:r w:rsidR="00BF19B8">
        <w:rPr>
          <w:szCs w:val="24"/>
          <w:lang w:eastAsia="zh-CN"/>
        </w:rPr>
        <w:t>活动的更多信息：</w:t>
      </w:r>
      <w:hyperlink r:id="rId12" w:history="1">
        <w:r w:rsidR="00BF19B8" w:rsidRPr="00BF19B8">
          <w:rPr>
            <w:rStyle w:val="Hyperlink"/>
            <w:szCs w:val="24"/>
            <w:lang w:eastAsia="zh-CN"/>
          </w:rPr>
          <w:t>主要活动网页</w:t>
        </w:r>
      </w:hyperlink>
      <w:r w:rsidR="00BF19B8">
        <w:rPr>
          <w:szCs w:val="24"/>
          <w:lang w:eastAsia="zh-CN"/>
        </w:rPr>
        <w:t>。</w:t>
      </w:r>
    </w:p>
    <w:p w:rsidR="00B3083D" w:rsidRPr="00FB4D36" w:rsidRDefault="00FB4D36" w:rsidP="00C248A2">
      <w:pPr>
        <w:pStyle w:val="Heading3"/>
        <w:rPr>
          <w:lang w:eastAsia="zh-CN"/>
        </w:rPr>
      </w:pPr>
      <w:r>
        <w:rPr>
          <w:rFonts w:hint="eastAsia"/>
          <w:lang w:eastAsia="zh-CN"/>
        </w:rPr>
        <w:t>1</w:t>
      </w:r>
      <w:r>
        <w:rPr>
          <w:lang w:eastAsia="zh-CN"/>
        </w:rPr>
        <w:t>.2.6</w:t>
      </w:r>
      <w:r>
        <w:rPr>
          <w:lang w:eastAsia="zh-CN"/>
        </w:rPr>
        <w:tab/>
      </w:r>
      <w:r w:rsidR="00BF19B8" w:rsidRPr="00FB4D36">
        <w:rPr>
          <w:rFonts w:hint="eastAsia"/>
          <w:lang w:eastAsia="zh-CN"/>
        </w:rPr>
        <w:t>全球</w:t>
      </w:r>
      <w:r w:rsidR="00BF19B8" w:rsidRPr="00FB4D36">
        <w:rPr>
          <w:lang w:eastAsia="zh-CN"/>
        </w:rPr>
        <w:t>伙伴关系的开发和协作工作</w:t>
      </w:r>
    </w:p>
    <w:p w:rsidR="00B3083D" w:rsidRPr="00226A82" w:rsidRDefault="00BF19B8" w:rsidP="00C248A2">
      <w:pPr>
        <w:spacing w:after="120"/>
        <w:ind w:firstLineChars="200" w:firstLine="480"/>
        <w:rPr>
          <w:szCs w:val="24"/>
          <w:lang w:eastAsia="zh-CN"/>
        </w:rPr>
      </w:pPr>
      <w:r>
        <w:rPr>
          <w:rFonts w:hint="eastAsia"/>
          <w:szCs w:val="24"/>
          <w:lang w:eastAsia="zh-CN"/>
        </w:rPr>
        <w:t>国际电联</w:t>
      </w:r>
      <w:r>
        <w:rPr>
          <w:szCs w:val="24"/>
          <w:lang w:eastAsia="zh-CN"/>
        </w:rPr>
        <w:t>非常重视网络安全领域的全球合作</w:t>
      </w:r>
      <w:r>
        <w:rPr>
          <w:rFonts w:hint="eastAsia"/>
          <w:szCs w:val="24"/>
          <w:lang w:eastAsia="zh-CN"/>
        </w:rPr>
        <w:t>和</w:t>
      </w:r>
      <w:r>
        <w:rPr>
          <w:szCs w:val="24"/>
          <w:lang w:eastAsia="zh-CN"/>
        </w:rPr>
        <w:t>开发战略伙伴关系。国际电联</w:t>
      </w:r>
      <w:r>
        <w:rPr>
          <w:rFonts w:hint="eastAsia"/>
          <w:szCs w:val="24"/>
          <w:lang w:eastAsia="zh-CN"/>
        </w:rPr>
        <w:t>积极推进</w:t>
      </w:r>
      <w:r>
        <w:rPr>
          <w:szCs w:val="24"/>
          <w:lang w:eastAsia="zh-CN"/>
        </w:rPr>
        <w:t>形成有益于各方的</w:t>
      </w:r>
      <w:r w:rsidR="00056A34">
        <w:rPr>
          <w:rFonts w:hint="eastAsia"/>
          <w:szCs w:val="24"/>
          <w:lang w:eastAsia="zh-CN"/>
        </w:rPr>
        <w:t>合力</w:t>
      </w:r>
      <w:r>
        <w:rPr>
          <w:szCs w:val="24"/>
          <w:lang w:eastAsia="zh-CN"/>
        </w:rPr>
        <w:t>，并保持和</w:t>
      </w:r>
      <w:r>
        <w:rPr>
          <w:rFonts w:hint="eastAsia"/>
          <w:szCs w:val="24"/>
          <w:lang w:eastAsia="zh-CN"/>
        </w:rPr>
        <w:t>完善</w:t>
      </w:r>
      <w:r w:rsidR="00056A34">
        <w:rPr>
          <w:rFonts w:hint="eastAsia"/>
          <w:szCs w:val="24"/>
          <w:lang w:eastAsia="zh-CN"/>
        </w:rPr>
        <w:t>着</w:t>
      </w:r>
      <w:r>
        <w:rPr>
          <w:szCs w:val="24"/>
          <w:lang w:eastAsia="zh-CN"/>
        </w:rPr>
        <w:t>极为宝贵的全球伙伴关系，以强化网络安全，并推动为全人类创建安全数字化环境的工作。最近</w:t>
      </w:r>
      <w:r>
        <w:rPr>
          <w:rFonts w:hint="eastAsia"/>
          <w:szCs w:val="24"/>
          <w:lang w:eastAsia="zh-CN"/>
        </w:rPr>
        <w:t>，</w:t>
      </w:r>
      <w:r>
        <w:rPr>
          <w:szCs w:val="24"/>
          <w:lang w:eastAsia="zh-CN"/>
        </w:rPr>
        <w:t>国际电联与世界</w:t>
      </w:r>
      <w:r>
        <w:rPr>
          <w:rFonts w:hint="eastAsia"/>
          <w:szCs w:val="24"/>
          <w:lang w:eastAsia="zh-CN"/>
        </w:rPr>
        <w:t>经济</w:t>
      </w:r>
      <w:r>
        <w:rPr>
          <w:szCs w:val="24"/>
          <w:lang w:eastAsia="zh-CN"/>
        </w:rPr>
        <w:t>论坛（</w:t>
      </w:r>
      <w:r w:rsidRPr="00226A82">
        <w:rPr>
          <w:szCs w:val="24"/>
          <w:lang w:eastAsia="zh-CN"/>
        </w:rPr>
        <w:t>WEF</w:t>
      </w:r>
      <w:r>
        <w:rPr>
          <w:rFonts w:hint="eastAsia"/>
          <w:szCs w:val="24"/>
          <w:lang w:eastAsia="zh-CN"/>
        </w:rPr>
        <w:t>）</w:t>
      </w:r>
      <w:r>
        <w:rPr>
          <w:szCs w:val="24"/>
          <w:lang w:eastAsia="zh-CN"/>
        </w:rPr>
        <w:t>和国际刑警组织（</w:t>
      </w:r>
      <w:r w:rsidRPr="00226A82">
        <w:rPr>
          <w:szCs w:val="24"/>
          <w:lang w:eastAsia="zh-CN"/>
        </w:rPr>
        <w:t>Interpol</w:t>
      </w:r>
      <w:r>
        <w:rPr>
          <w:rFonts w:hint="eastAsia"/>
          <w:szCs w:val="24"/>
          <w:lang w:eastAsia="zh-CN"/>
        </w:rPr>
        <w:t>）</w:t>
      </w:r>
      <w:r>
        <w:rPr>
          <w:szCs w:val="24"/>
          <w:lang w:eastAsia="zh-CN"/>
        </w:rPr>
        <w:t>结成了伙伴关系。</w:t>
      </w:r>
    </w:p>
    <w:p w:rsidR="00B3083D" w:rsidRPr="00226A82" w:rsidRDefault="00BF19B8" w:rsidP="00C248A2">
      <w:pPr>
        <w:spacing w:after="120"/>
        <w:ind w:firstLineChars="200" w:firstLine="480"/>
        <w:rPr>
          <w:szCs w:val="24"/>
          <w:lang w:eastAsia="zh-CN"/>
        </w:rPr>
      </w:pPr>
      <w:r>
        <w:rPr>
          <w:rFonts w:hint="eastAsia"/>
          <w:szCs w:val="24"/>
          <w:lang w:eastAsia="zh-CN"/>
        </w:rPr>
        <w:t>国际电联</w:t>
      </w:r>
      <w:r>
        <w:rPr>
          <w:szCs w:val="24"/>
          <w:lang w:eastAsia="zh-CN"/>
        </w:rPr>
        <w:t>将网络安全伙伴</w:t>
      </w:r>
      <w:r w:rsidR="00056A34">
        <w:rPr>
          <w:rFonts w:hint="eastAsia"/>
          <w:szCs w:val="24"/>
          <w:lang w:eastAsia="zh-CN"/>
        </w:rPr>
        <w:t>的</w:t>
      </w:r>
      <w:r>
        <w:rPr>
          <w:szCs w:val="24"/>
          <w:lang w:eastAsia="zh-CN"/>
        </w:rPr>
        <w:t>开发分类为：</w:t>
      </w:r>
    </w:p>
    <w:p w:rsidR="00B3083D" w:rsidRPr="00FB4D36" w:rsidRDefault="00FB4D36" w:rsidP="00FB4D36">
      <w:pPr>
        <w:pStyle w:val="enumlev1"/>
        <w:rPr>
          <w:lang w:eastAsia="zh-CN"/>
        </w:rPr>
      </w:pPr>
      <w:r w:rsidRPr="00FB4D36">
        <w:rPr>
          <w:lang w:eastAsia="zh-CN"/>
        </w:rPr>
        <w:t>–</w:t>
      </w:r>
      <w:r>
        <w:rPr>
          <w:lang w:eastAsia="zh-CN"/>
        </w:rPr>
        <w:tab/>
      </w:r>
      <w:r w:rsidR="00BF19B8" w:rsidRPr="00FB4D36">
        <w:rPr>
          <w:rFonts w:hint="eastAsia"/>
          <w:lang w:eastAsia="zh-CN"/>
        </w:rPr>
        <w:t>政府间</w:t>
      </w:r>
      <w:r w:rsidR="00BF19B8" w:rsidRPr="00FB4D36">
        <w:rPr>
          <w:lang w:eastAsia="zh-CN"/>
        </w:rPr>
        <w:t>组织</w:t>
      </w:r>
      <w:r w:rsidR="00BF19B8" w:rsidRPr="00FB4D36">
        <w:rPr>
          <w:rFonts w:hint="eastAsia"/>
          <w:lang w:eastAsia="zh-CN"/>
        </w:rPr>
        <w:t xml:space="preserve"> </w:t>
      </w:r>
      <w:r w:rsidR="00BF19B8" w:rsidRPr="00FB4D36">
        <w:rPr>
          <w:lang w:eastAsia="zh-CN"/>
        </w:rPr>
        <w:t xml:space="preserve">– </w:t>
      </w:r>
      <w:r w:rsidR="00BF19B8" w:rsidRPr="00FB4D36">
        <w:rPr>
          <w:rFonts w:hint="eastAsia"/>
          <w:lang w:eastAsia="zh-CN"/>
        </w:rPr>
        <w:t>例如</w:t>
      </w:r>
      <w:r w:rsidR="00BF19B8" w:rsidRPr="00FB4D36">
        <w:rPr>
          <w:lang w:eastAsia="zh-CN"/>
        </w:rPr>
        <w:t>，联合国区域间犯罪和司法研究所（</w:t>
      </w:r>
      <w:r w:rsidR="00BF19B8" w:rsidRPr="00FB4D36">
        <w:rPr>
          <w:lang w:eastAsia="zh-CN"/>
        </w:rPr>
        <w:t>UNICRI</w:t>
      </w:r>
      <w:r w:rsidR="00BF19B8" w:rsidRPr="00FB4D36">
        <w:rPr>
          <w:rFonts w:hint="eastAsia"/>
          <w:lang w:eastAsia="zh-CN"/>
        </w:rPr>
        <w:t>）</w:t>
      </w:r>
      <w:r w:rsidR="00BF19B8" w:rsidRPr="00FB4D36">
        <w:rPr>
          <w:lang w:eastAsia="zh-CN"/>
        </w:rPr>
        <w:t>、联合国毒品和犯罪问题办公室（</w:t>
      </w:r>
      <w:r w:rsidR="00BF19B8" w:rsidRPr="00FB4D36">
        <w:rPr>
          <w:lang w:eastAsia="zh-CN"/>
        </w:rPr>
        <w:t>UNODC</w:t>
      </w:r>
      <w:r w:rsidR="00BF19B8" w:rsidRPr="00FB4D36">
        <w:rPr>
          <w:rFonts w:hint="eastAsia"/>
          <w:lang w:eastAsia="zh-CN"/>
        </w:rPr>
        <w:t>）</w:t>
      </w:r>
      <w:r w:rsidR="00BF19B8" w:rsidRPr="00FB4D36">
        <w:rPr>
          <w:lang w:eastAsia="zh-CN"/>
        </w:rPr>
        <w:t>、英联邦、英联邦电信组织（</w:t>
      </w:r>
      <w:r w:rsidR="00BF19B8" w:rsidRPr="00FB4D36">
        <w:rPr>
          <w:lang w:eastAsia="zh-CN"/>
        </w:rPr>
        <w:t>CTO</w:t>
      </w:r>
      <w:r w:rsidR="00BF19B8" w:rsidRPr="00FB4D36">
        <w:rPr>
          <w:rFonts w:hint="eastAsia"/>
          <w:lang w:eastAsia="zh-CN"/>
        </w:rPr>
        <w:t>）</w:t>
      </w:r>
      <w:r w:rsidR="0055000D" w:rsidRPr="00FB4D36">
        <w:rPr>
          <w:rFonts w:hint="eastAsia"/>
          <w:lang w:eastAsia="zh-CN"/>
        </w:rPr>
        <w:t>、</w:t>
      </w:r>
      <w:r w:rsidR="0055000D" w:rsidRPr="00FB4D36">
        <w:rPr>
          <w:lang w:eastAsia="zh-CN"/>
        </w:rPr>
        <w:t>欧盟委员会（</w:t>
      </w:r>
      <w:r w:rsidR="0055000D" w:rsidRPr="00FB4D36">
        <w:rPr>
          <w:lang w:eastAsia="zh-CN"/>
        </w:rPr>
        <w:t>EC</w:t>
      </w:r>
      <w:r w:rsidR="0055000D" w:rsidRPr="00FB4D36">
        <w:rPr>
          <w:lang w:eastAsia="zh-CN"/>
        </w:rPr>
        <w:t>）、欧洲网络与信息安全局（</w:t>
      </w:r>
      <w:r w:rsidR="0055000D" w:rsidRPr="00FB4D36">
        <w:rPr>
          <w:lang w:eastAsia="zh-CN"/>
        </w:rPr>
        <w:t>ENISA</w:t>
      </w:r>
      <w:r w:rsidR="0055000D" w:rsidRPr="00FB4D36">
        <w:rPr>
          <w:lang w:eastAsia="zh-CN"/>
        </w:rPr>
        <w:t>）等</w:t>
      </w:r>
      <w:r w:rsidR="00056A34" w:rsidRPr="00FB4D36">
        <w:rPr>
          <w:lang w:eastAsia="zh-CN"/>
        </w:rPr>
        <w:t>；</w:t>
      </w:r>
    </w:p>
    <w:p w:rsidR="00B3083D" w:rsidRPr="00FB4D36" w:rsidRDefault="00FB4D36" w:rsidP="00FB4D36">
      <w:pPr>
        <w:pStyle w:val="enumlev1"/>
        <w:rPr>
          <w:lang w:eastAsia="zh-CN"/>
        </w:rPr>
      </w:pPr>
      <w:r w:rsidRPr="00FB4D36">
        <w:rPr>
          <w:lang w:eastAsia="zh-CN"/>
        </w:rPr>
        <w:t>–</w:t>
      </w:r>
      <w:r>
        <w:rPr>
          <w:lang w:eastAsia="zh-CN"/>
        </w:rPr>
        <w:tab/>
      </w:r>
      <w:r w:rsidR="0055000D" w:rsidRPr="00FB4D36">
        <w:rPr>
          <w:rFonts w:hint="eastAsia"/>
          <w:lang w:eastAsia="zh-CN"/>
        </w:rPr>
        <w:t>国际组织</w:t>
      </w:r>
      <w:r w:rsidR="0055000D" w:rsidRPr="00FB4D36">
        <w:rPr>
          <w:rFonts w:hint="eastAsia"/>
          <w:lang w:eastAsia="zh-CN"/>
        </w:rPr>
        <w:t xml:space="preserve"> </w:t>
      </w:r>
      <w:r w:rsidR="0055000D" w:rsidRPr="00FB4D36">
        <w:rPr>
          <w:lang w:eastAsia="zh-CN"/>
        </w:rPr>
        <w:t>–FIRST</w:t>
      </w:r>
      <w:r w:rsidR="0055000D" w:rsidRPr="00FB4D36">
        <w:rPr>
          <w:lang w:eastAsia="zh-CN"/>
        </w:rPr>
        <w:t>、国际互联网学会（</w:t>
      </w:r>
      <w:r w:rsidR="0055000D" w:rsidRPr="00FB4D36">
        <w:rPr>
          <w:lang w:eastAsia="zh-CN"/>
        </w:rPr>
        <w:t>ISOC</w:t>
      </w:r>
      <w:r w:rsidR="0055000D" w:rsidRPr="00FB4D36">
        <w:rPr>
          <w:lang w:eastAsia="zh-CN"/>
        </w:rPr>
        <w:t>）、</w:t>
      </w:r>
      <w:r w:rsidR="0055000D" w:rsidRPr="00FB4D36">
        <w:rPr>
          <w:rFonts w:hint="eastAsia"/>
          <w:lang w:eastAsia="zh-CN"/>
        </w:rPr>
        <w:t>世界经济论坛（</w:t>
      </w:r>
      <w:r w:rsidR="0055000D" w:rsidRPr="00FB4D36">
        <w:rPr>
          <w:rFonts w:hint="eastAsia"/>
          <w:lang w:eastAsia="zh-CN"/>
        </w:rPr>
        <w:t>WEF</w:t>
      </w:r>
      <w:r w:rsidR="0055000D" w:rsidRPr="00FB4D36">
        <w:rPr>
          <w:rFonts w:hint="eastAsia"/>
          <w:lang w:eastAsia="zh-CN"/>
        </w:rPr>
        <w:t>）、</w:t>
      </w:r>
      <w:r w:rsidR="0055000D" w:rsidRPr="00FB4D36">
        <w:rPr>
          <w:lang w:eastAsia="zh-CN"/>
        </w:rPr>
        <w:t>全球网络专业技术论坛（</w:t>
      </w:r>
      <w:r w:rsidR="0055000D" w:rsidRPr="00FB4D36">
        <w:rPr>
          <w:lang w:eastAsia="zh-CN"/>
        </w:rPr>
        <w:t>GFCE</w:t>
      </w:r>
      <w:r w:rsidR="0055000D" w:rsidRPr="00FB4D36">
        <w:rPr>
          <w:rFonts w:hint="eastAsia"/>
          <w:lang w:eastAsia="zh-CN"/>
        </w:rPr>
        <w:t>）</w:t>
      </w:r>
      <w:r w:rsidR="0055000D" w:rsidRPr="00FB4D36">
        <w:rPr>
          <w:lang w:eastAsia="zh-CN"/>
        </w:rPr>
        <w:t>、</w:t>
      </w:r>
      <w:r w:rsidR="0055000D" w:rsidRPr="00FB4D36">
        <w:rPr>
          <w:lang w:eastAsia="zh-CN"/>
        </w:rPr>
        <w:t>MERIDIAN</w:t>
      </w:r>
      <w:r w:rsidR="0055000D" w:rsidRPr="00FB4D36">
        <w:rPr>
          <w:rFonts w:hint="eastAsia"/>
          <w:lang w:eastAsia="zh-CN"/>
        </w:rPr>
        <w:t>等</w:t>
      </w:r>
      <w:r w:rsidR="0055000D" w:rsidRPr="00FB4D36">
        <w:rPr>
          <w:lang w:eastAsia="zh-CN"/>
        </w:rPr>
        <w:t>；</w:t>
      </w:r>
    </w:p>
    <w:p w:rsidR="00B3083D" w:rsidRPr="00FB4D36" w:rsidRDefault="00FB4D36" w:rsidP="00FB4D36">
      <w:pPr>
        <w:pStyle w:val="enumlev1"/>
        <w:rPr>
          <w:lang w:eastAsia="zh-CN"/>
        </w:rPr>
      </w:pPr>
      <w:r w:rsidRPr="00FB4D36">
        <w:rPr>
          <w:lang w:eastAsia="zh-CN"/>
        </w:rPr>
        <w:t>–</w:t>
      </w:r>
      <w:r>
        <w:rPr>
          <w:lang w:eastAsia="zh-CN"/>
        </w:rPr>
        <w:tab/>
      </w:r>
      <w:r w:rsidR="0055000D" w:rsidRPr="00FB4D36">
        <w:rPr>
          <w:rFonts w:hint="eastAsia"/>
          <w:lang w:eastAsia="zh-CN"/>
        </w:rPr>
        <w:t>私营部门</w:t>
      </w:r>
      <w:r w:rsidR="0055000D" w:rsidRPr="00FB4D36">
        <w:rPr>
          <w:rFonts w:hint="eastAsia"/>
          <w:lang w:eastAsia="zh-CN"/>
        </w:rPr>
        <w:t xml:space="preserve"> </w:t>
      </w:r>
      <w:r w:rsidR="0055000D" w:rsidRPr="00FB4D36">
        <w:rPr>
          <w:lang w:eastAsia="zh-CN"/>
        </w:rPr>
        <w:t xml:space="preserve">– </w:t>
      </w:r>
      <w:r w:rsidR="0055000D" w:rsidRPr="00FB4D36">
        <w:rPr>
          <w:rFonts w:hint="eastAsia"/>
          <w:lang w:eastAsia="zh-CN"/>
        </w:rPr>
        <w:t>德勤</w:t>
      </w:r>
      <w:r w:rsidR="0055000D" w:rsidRPr="00FB4D36">
        <w:rPr>
          <w:lang w:eastAsia="zh-CN"/>
        </w:rPr>
        <w:t>、</w:t>
      </w:r>
      <w:r w:rsidR="0055000D" w:rsidRPr="00FB4D36">
        <w:rPr>
          <w:lang w:eastAsia="zh-CN"/>
        </w:rPr>
        <w:t>Guardtime</w:t>
      </w:r>
      <w:r w:rsidR="0055000D" w:rsidRPr="00FB4D36">
        <w:rPr>
          <w:rFonts w:hint="eastAsia"/>
          <w:lang w:eastAsia="zh-CN"/>
        </w:rPr>
        <w:t>（</w:t>
      </w:r>
      <w:r w:rsidR="0055000D" w:rsidRPr="00FB4D36">
        <w:rPr>
          <w:lang w:eastAsia="zh-CN"/>
        </w:rPr>
        <w:t>一家区块链公司）、微软、惠普、</w:t>
      </w:r>
      <w:r w:rsidR="0055000D" w:rsidRPr="00FB4D36">
        <w:rPr>
          <w:rStyle w:val="tlid-translation"/>
          <w:rFonts w:ascii="SimSun" w:eastAsia="SimSun" w:hAnsi="SimSun" w:cs="SimSun" w:hint="eastAsia"/>
          <w:lang w:val="en" w:eastAsia="zh-CN"/>
        </w:rPr>
        <w:t>赛门铁克</w:t>
      </w:r>
      <w:r w:rsidR="0055000D" w:rsidRPr="00FB4D36">
        <w:rPr>
          <w:rFonts w:hint="eastAsia"/>
          <w:lang w:eastAsia="zh-CN"/>
        </w:rPr>
        <w:t>（</w:t>
      </w:r>
      <w:r w:rsidR="0055000D" w:rsidRPr="00FB4D36">
        <w:rPr>
          <w:lang w:eastAsia="zh-CN"/>
        </w:rPr>
        <w:t>Symantec</w:t>
      </w:r>
      <w:r w:rsidR="0055000D" w:rsidRPr="00FB4D36">
        <w:rPr>
          <w:rFonts w:hint="eastAsia"/>
          <w:lang w:eastAsia="zh-CN"/>
        </w:rPr>
        <w:t>）</w:t>
      </w:r>
      <w:r w:rsidR="0055000D" w:rsidRPr="00FB4D36">
        <w:rPr>
          <w:lang w:eastAsia="zh-CN"/>
        </w:rPr>
        <w:t>、高科技桥、</w:t>
      </w:r>
      <w:r w:rsidR="0055000D" w:rsidRPr="00FB4D36">
        <w:rPr>
          <w:lang w:eastAsia="zh-CN"/>
        </w:rPr>
        <w:t>Kaspersky</w:t>
      </w:r>
      <w:r w:rsidR="0055000D" w:rsidRPr="00FB4D36">
        <w:rPr>
          <w:rFonts w:hint="eastAsia"/>
          <w:lang w:eastAsia="zh-CN"/>
        </w:rPr>
        <w:t>等</w:t>
      </w:r>
      <w:r w:rsidR="0055000D" w:rsidRPr="00FB4D36">
        <w:rPr>
          <w:lang w:eastAsia="zh-CN"/>
        </w:rPr>
        <w:t>；</w:t>
      </w:r>
    </w:p>
    <w:p w:rsidR="00B3083D" w:rsidRPr="00FB4D36" w:rsidRDefault="00FB4D36" w:rsidP="00FB4D36">
      <w:pPr>
        <w:pStyle w:val="enumlev1"/>
        <w:rPr>
          <w:lang w:eastAsia="zh-CN"/>
        </w:rPr>
      </w:pPr>
      <w:r w:rsidRPr="00FB4D36">
        <w:rPr>
          <w:lang w:eastAsia="zh-CN"/>
        </w:rPr>
        <w:t>–</w:t>
      </w:r>
      <w:r>
        <w:rPr>
          <w:lang w:eastAsia="zh-CN"/>
        </w:rPr>
        <w:tab/>
      </w:r>
      <w:r w:rsidR="0055000D" w:rsidRPr="00FB4D36">
        <w:rPr>
          <w:rFonts w:hint="eastAsia"/>
          <w:lang w:eastAsia="zh-CN"/>
        </w:rPr>
        <w:t>非政府</w:t>
      </w:r>
      <w:r w:rsidR="0055000D" w:rsidRPr="00FB4D36">
        <w:rPr>
          <w:lang w:eastAsia="zh-CN"/>
        </w:rPr>
        <w:t>组织（</w:t>
      </w:r>
      <w:r w:rsidR="00B3083D" w:rsidRPr="00FB4D36">
        <w:rPr>
          <w:lang w:eastAsia="zh-CN"/>
        </w:rPr>
        <w:t>NGO</w:t>
      </w:r>
      <w:r w:rsidR="0055000D" w:rsidRPr="00FB4D36">
        <w:rPr>
          <w:rFonts w:hint="eastAsia"/>
          <w:lang w:eastAsia="zh-CN"/>
        </w:rPr>
        <w:t>）</w:t>
      </w:r>
      <w:r w:rsidR="0055000D" w:rsidRPr="00FB4D36">
        <w:rPr>
          <w:lang w:eastAsia="zh-CN"/>
        </w:rPr>
        <w:t>、民间团体、学术界、慈善机构</w:t>
      </w:r>
      <w:r w:rsidR="0055000D" w:rsidRPr="00FB4D36">
        <w:rPr>
          <w:rFonts w:hint="eastAsia"/>
          <w:lang w:eastAsia="zh-CN"/>
        </w:rPr>
        <w:t xml:space="preserve"> </w:t>
      </w:r>
      <w:r w:rsidR="0055000D" w:rsidRPr="00FB4D36">
        <w:rPr>
          <w:lang w:eastAsia="zh-CN"/>
        </w:rPr>
        <w:t xml:space="preserve">– </w:t>
      </w:r>
      <w:r w:rsidR="0055000D" w:rsidRPr="00FB4D36">
        <w:rPr>
          <w:rFonts w:hint="eastAsia"/>
          <w:lang w:eastAsia="zh-CN"/>
        </w:rPr>
        <w:t>印第安纳</w:t>
      </w:r>
      <w:r w:rsidR="0055000D" w:rsidRPr="00FB4D36">
        <w:rPr>
          <w:lang w:eastAsia="zh-CN"/>
        </w:rPr>
        <w:t>大学、</w:t>
      </w:r>
      <w:r w:rsidR="0055000D" w:rsidRPr="00FB4D36">
        <w:rPr>
          <w:rStyle w:val="tlid-translation"/>
          <w:rFonts w:ascii="SimSun" w:eastAsia="SimSun" w:hAnsi="SimSun" w:cs="SimSun" w:hint="eastAsia"/>
          <w:lang w:val="en" w:eastAsia="zh-CN"/>
        </w:rPr>
        <w:t>波托马克政策</w:t>
      </w:r>
      <w:r w:rsidR="0055000D" w:rsidRPr="00FB4D36">
        <w:rPr>
          <w:rStyle w:val="tlid-translation"/>
          <w:rFonts w:ascii="SimSun" w:eastAsia="SimSun" w:hAnsi="SimSun" w:cs="SimSun"/>
          <w:lang w:val="en" w:eastAsia="zh-CN"/>
        </w:rPr>
        <w:t>研究所、澳大利亚战略政策研究所、日内瓦安全政策中心等</w:t>
      </w:r>
      <w:r w:rsidR="0055000D" w:rsidRPr="00FB4D36">
        <w:rPr>
          <w:rStyle w:val="tlid-translation"/>
          <w:rFonts w:ascii="SimSun" w:eastAsia="SimSun" w:hAnsi="SimSun" w:cs="SimSun" w:hint="eastAsia"/>
          <w:lang w:val="en" w:eastAsia="zh-CN"/>
        </w:rPr>
        <w:t>；</w:t>
      </w:r>
    </w:p>
    <w:p w:rsidR="00B3083D" w:rsidRDefault="00FB4D36" w:rsidP="00FB4D36">
      <w:pPr>
        <w:pStyle w:val="enumlev1"/>
        <w:rPr>
          <w:lang w:eastAsia="zh-CN"/>
        </w:rPr>
      </w:pPr>
      <w:r w:rsidRPr="00FB4D36">
        <w:rPr>
          <w:lang w:eastAsia="zh-CN"/>
        </w:rPr>
        <w:t>–</w:t>
      </w:r>
      <w:r>
        <w:rPr>
          <w:lang w:eastAsia="zh-CN"/>
        </w:rPr>
        <w:tab/>
      </w:r>
      <w:r w:rsidR="0055000D" w:rsidRPr="00FB4D36">
        <w:rPr>
          <w:rFonts w:hint="eastAsia"/>
          <w:lang w:eastAsia="zh-CN"/>
        </w:rPr>
        <w:t>政府</w:t>
      </w:r>
      <w:r w:rsidR="0055000D" w:rsidRPr="00FB4D36">
        <w:rPr>
          <w:lang w:eastAsia="zh-CN"/>
        </w:rPr>
        <w:t>或所属公共部门</w:t>
      </w:r>
      <w:r w:rsidR="0055000D" w:rsidRPr="00FB4D36">
        <w:rPr>
          <w:rFonts w:hint="eastAsia"/>
          <w:lang w:eastAsia="zh-CN"/>
        </w:rPr>
        <w:t xml:space="preserve"> </w:t>
      </w:r>
      <w:r w:rsidR="0055000D" w:rsidRPr="00FB4D36">
        <w:rPr>
          <w:lang w:eastAsia="zh-CN"/>
        </w:rPr>
        <w:t>– KISA</w:t>
      </w:r>
      <w:r w:rsidR="0055000D" w:rsidRPr="00FB4D36">
        <w:rPr>
          <w:lang w:eastAsia="zh-CN"/>
        </w:rPr>
        <w:t>（韩国互联网和安全管理局）、埃及国家电信管理局（</w:t>
      </w:r>
      <w:r w:rsidR="0055000D" w:rsidRPr="00FB4D36">
        <w:rPr>
          <w:lang w:eastAsia="zh-CN"/>
        </w:rPr>
        <w:t>NTRA</w:t>
      </w:r>
      <w:r w:rsidR="0055000D" w:rsidRPr="00FB4D36">
        <w:rPr>
          <w:rFonts w:hint="eastAsia"/>
          <w:lang w:eastAsia="zh-CN"/>
        </w:rPr>
        <w:t>）</w:t>
      </w:r>
      <w:r w:rsidR="0055000D" w:rsidRPr="00FB4D36">
        <w:rPr>
          <w:lang w:eastAsia="zh-CN"/>
        </w:rPr>
        <w:t>等。</w:t>
      </w:r>
    </w:p>
    <w:p w:rsidR="00FB4D36" w:rsidRPr="00C248A2" w:rsidRDefault="00FB4D36" w:rsidP="00C248A2">
      <w:pPr>
        <w:pStyle w:val="Heading2"/>
        <w:rPr>
          <w:lang w:eastAsia="zh-CN"/>
        </w:rPr>
      </w:pPr>
      <w:r w:rsidRPr="00C248A2">
        <w:rPr>
          <w:lang w:eastAsia="zh-CN"/>
        </w:rPr>
        <w:lastRenderedPageBreak/>
        <w:t>1.3</w:t>
      </w:r>
      <w:r w:rsidRPr="00C248A2">
        <w:rPr>
          <w:lang w:eastAsia="zh-CN"/>
        </w:rPr>
        <w:tab/>
      </w:r>
      <w:r w:rsidRPr="00C248A2">
        <w:rPr>
          <w:rFonts w:hint="eastAsia"/>
          <w:lang w:eastAsia="zh-CN"/>
        </w:rPr>
        <w:t>前行方式</w:t>
      </w:r>
    </w:p>
    <w:p w:rsidR="00FB4D36" w:rsidRPr="00226A82" w:rsidRDefault="00FB4D36" w:rsidP="00FB4D36">
      <w:pPr>
        <w:spacing w:after="120"/>
        <w:ind w:firstLineChars="200" w:firstLine="480"/>
        <w:rPr>
          <w:szCs w:val="24"/>
          <w:lang w:eastAsia="zh-CN"/>
        </w:rPr>
      </w:pPr>
      <w:r>
        <w:rPr>
          <w:rFonts w:hint="eastAsia"/>
          <w:szCs w:val="24"/>
          <w:lang w:eastAsia="zh-CN"/>
        </w:rPr>
        <w:t>电信发展局将通过进一步提供如下领域的实际成果，继续加强网络安全领域的活动：</w:t>
      </w:r>
    </w:p>
    <w:p w:rsidR="00FB4D36" w:rsidRPr="00226A82" w:rsidRDefault="00FB4D36" w:rsidP="00FB4D36">
      <w:pPr>
        <w:pStyle w:val="enumlev1"/>
        <w:rPr>
          <w:lang w:eastAsia="zh-CN"/>
        </w:rPr>
      </w:pPr>
      <w:r w:rsidRPr="00FB4D36">
        <w:rPr>
          <w:lang w:eastAsia="zh-CN"/>
        </w:rPr>
        <w:t>–</w:t>
      </w:r>
      <w:r>
        <w:rPr>
          <w:lang w:eastAsia="zh-CN"/>
        </w:rPr>
        <w:tab/>
      </w:r>
      <w:r>
        <w:rPr>
          <w:rFonts w:hint="eastAsia"/>
          <w:lang w:eastAsia="zh-CN"/>
        </w:rPr>
        <w:t>继续通过创新和新型的富有成效的伙伴关系为成员国提供技术帮助；</w:t>
      </w:r>
    </w:p>
    <w:p w:rsidR="00FB4D36" w:rsidRPr="00226A82" w:rsidRDefault="00FB4D36" w:rsidP="00FB4D36">
      <w:pPr>
        <w:pStyle w:val="enumlev1"/>
        <w:rPr>
          <w:lang w:eastAsia="zh-CN"/>
        </w:rPr>
      </w:pPr>
      <w:r w:rsidRPr="00FB4D36">
        <w:rPr>
          <w:lang w:eastAsia="zh-CN"/>
        </w:rPr>
        <w:t>–</w:t>
      </w:r>
      <w:r>
        <w:rPr>
          <w:lang w:eastAsia="zh-CN"/>
        </w:rPr>
        <w:tab/>
      </w:r>
      <w:r>
        <w:rPr>
          <w:rFonts w:hint="eastAsia"/>
          <w:lang w:eastAsia="zh-CN"/>
        </w:rPr>
        <w:t>更多提供与人员和机构能力建设有关的项目和活动；</w:t>
      </w:r>
    </w:p>
    <w:p w:rsidR="00FB4D36" w:rsidRPr="00226A82" w:rsidRDefault="00FB4D36" w:rsidP="00FB4D36">
      <w:pPr>
        <w:pStyle w:val="enumlev1"/>
        <w:rPr>
          <w:lang w:eastAsia="zh-CN"/>
        </w:rPr>
      </w:pPr>
      <w:r w:rsidRPr="00FB4D36">
        <w:rPr>
          <w:lang w:eastAsia="zh-CN"/>
        </w:rPr>
        <w:t>–</w:t>
      </w:r>
      <w:r>
        <w:rPr>
          <w:lang w:eastAsia="zh-CN"/>
        </w:rPr>
        <w:tab/>
      </w:r>
      <w:r>
        <w:rPr>
          <w:rFonts w:hint="eastAsia"/>
          <w:lang w:eastAsia="zh-CN"/>
        </w:rPr>
        <w:t>重点关注提供影响力大的项目和举措，如国家</w:t>
      </w:r>
      <w:r w:rsidRPr="00226A82">
        <w:rPr>
          <w:lang w:eastAsia="zh-CN"/>
        </w:rPr>
        <w:t>CIRT</w:t>
      </w:r>
      <w:r>
        <w:rPr>
          <w:rFonts w:hint="eastAsia"/>
          <w:lang w:eastAsia="zh-CN"/>
        </w:rPr>
        <w:t>项目活动、制定并审议国家网络安全政策等；</w:t>
      </w:r>
    </w:p>
    <w:p w:rsidR="00FB4D36" w:rsidRPr="00226A82" w:rsidRDefault="00FB4D36" w:rsidP="00FB4D36">
      <w:pPr>
        <w:pStyle w:val="enumlev1"/>
        <w:rPr>
          <w:lang w:eastAsia="zh-CN"/>
        </w:rPr>
      </w:pPr>
      <w:r w:rsidRPr="00FB4D36">
        <w:rPr>
          <w:lang w:eastAsia="zh-CN"/>
        </w:rPr>
        <w:t>–</w:t>
      </w:r>
      <w:r>
        <w:rPr>
          <w:lang w:eastAsia="zh-CN"/>
        </w:rPr>
        <w:tab/>
      </w:r>
      <w:r>
        <w:rPr>
          <w:rFonts w:hint="eastAsia"/>
          <w:lang w:eastAsia="zh-CN"/>
        </w:rPr>
        <w:t>继续通过全球网络安全指数衡量网络安全方面的进展，同时继续通过与成员国、业界、学术界和网络安全及数据分析领域的专家对话和协作工作，完善相关方法和评分机制；</w:t>
      </w:r>
    </w:p>
    <w:p w:rsidR="00FB4D36" w:rsidRPr="00226A82" w:rsidRDefault="00FB4D36" w:rsidP="00FB4D36">
      <w:pPr>
        <w:pStyle w:val="enumlev1"/>
        <w:rPr>
          <w:lang w:eastAsia="zh-CN"/>
        </w:rPr>
      </w:pPr>
      <w:r w:rsidRPr="00FB4D36">
        <w:rPr>
          <w:lang w:eastAsia="zh-CN"/>
        </w:rPr>
        <w:t>–</w:t>
      </w:r>
      <w:r>
        <w:rPr>
          <w:lang w:eastAsia="zh-CN"/>
        </w:rPr>
        <w:tab/>
      </w:r>
      <w:r>
        <w:rPr>
          <w:rFonts w:hint="eastAsia"/>
          <w:lang w:eastAsia="zh-CN"/>
        </w:rPr>
        <w:t>继续跟踪电信</w:t>
      </w:r>
      <w:r w:rsidRPr="00226A82">
        <w:rPr>
          <w:lang w:eastAsia="zh-CN"/>
        </w:rPr>
        <w:t>/ICT</w:t>
      </w:r>
      <w:r>
        <w:rPr>
          <w:rFonts w:hint="eastAsia"/>
          <w:lang w:eastAsia="zh-CN"/>
        </w:rPr>
        <w:t>领域的网络安全趋势和发展情况，如人工智能（</w:t>
      </w:r>
      <w:r w:rsidRPr="00226A82">
        <w:rPr>
          <w:lang w:eastAsia="zh-CN"/>
        </w:rPr>
        <w:t>AI</w:t>
      </w:r>
      <w:r>
        <w:rPr>
          <w:lang w:eastAsia="zh-CN"/>
        </w:rPr>
        <w:t>）</w:t>
      </w:r>
      <w:r w:rsidRPr="00226A82">
        <w:rPr>
          <w:lang w:eastAsia="zh-CN"/>
        </w:rPr>
        <w:t>/</w:t>
      </w:r>
      <w:r>
        <w:rPr>
          <w:rFonts w:hint="eastAsia"/>
          <w:lang w:eastAsia="zh-CN"/>
        </w:rPr>
        <w:t>机器学习（</w:t>
      </w:r>
      <w:r w:rsidRPr="00226A82">
        <w:rPr>
          <w:lang w:eastAsia="zh-CN"/>
        </w:rPr>
        <w:t>ML</w:t>
      </w:r>
      <w:r>
        <w:rPr>
          <w:lang w:eastAsia="zh-CN"/>
        </w:rPr>
        <w:t>）、</w:t>
      </w:r>
      <w:r>
        <w:rPr>
          <w:rFonts w:hint="eastAsia"/>
          <w:lang w:eastAsia="zh-CN"/>
        </w:rPr>
        <w:t>大数据、物联网（</w:t>
      </w:r>
      <w:r w:rsidRPr="00226A82">
        <w:rPr>
          <w:lang w:eastAsia="zh-CN"/>
        </w:rPr>
        <w:t>IoT</w:t>
      </w:r>
      <w:r>
        <w:rPr>
          <w:lang w:eastAsia="zh-CN"/>
        </w:rPr>
        <w:t>）、</w:t>
      </w:r>
      <w:r w:rsidRPr="00226A82">
        <w:rPr>
          <w:lang w:eastAsia="zh-CN"/>
        </w:rPr>
        <w:t>5G</w:t>
      </w:r>
      <w:r>
        <w:rPr>
          <w:lang w:eastAsia="zh-CN"/>
        </w:rPr>
        <w:t>、</w:t>
      </w:r>
      <w:r>
        <w:rPr>
          <w:lang w:eastAsia="zh-CN"/>
        </w:rPr>
        <w:t>eSIM</w:t>
      </w:r>
      <w:r>
        <w:rPr>
          <w:rFonts w:hint="eastAsia"/>
          <w:lang w:eastAsia="zh-CN"/>
        </w:rPr>
        <w:t>等。</w:t>
      </w:r>
    </w:p>
    <w:p w:rsidR="00FB4D36" w:rsidRPr="007B6CCB" w:rsidRDefault="00FB4D36" w:rsidP="00C248A2">
      <w:pPr>
        <w:pStyle w:val="Heading1"/>
        <w:rPr>
          <w:lang w:eastAsia="zh-CN"/>
        </w:rPr>
      </w:pPr>
      <w:r>
        <w:rPr>
          <w:lang w:eastAsia="zh-CN"/>
        </w:rPr>
        <w:t>2</w:t>
      </w:r>
      <w:r>
        <w:rPr>
          <w:lang w:eastAsia="zh-CN"/>
        </w:rPr>
        <w:tab/>
      </w:r>
      <w:r w:rsidRPr="007B6CCB">
        <w:rPr>
          <w:lang w:eastAsia="zh-CN"/>
        </w:rPr>
        <w:t>ICT</w:t>
      </w:r>
      <w:r w:rsidRPr="007B6CCB">
        <w:rPr>
          <w:rFonts w:hint="eastAsia"/>
          <w:lang w:eastAsia="zh-CN"/>
        </w:rPr>
        <w:t>应用</w:t>
      </w:r>
    </w:p>
    <w:p w:rsidR="00FB4D36" w:rsidRPr="00C248A2" w:rsidRDefault="00FB4D36" w:rsidP="00C248A2">
      <w:pPr>
        <w:pStyle w:val="Heading2"/>
        <w:rPr>
          <w:lang w:eastAsia="zh-CN"/>
        </w:rPr>
      </w:pPr>
      <w:r w:rsidRPr="00C248A2">
        <w:rPr>
          <w:lang w:eastAsia="zh-CN"/>
        </w:rPr>
        <w:t>2.1</w:t>
      </w:r>
      <w:r w:rsidRPr="00C248A2">
        <w:rPr>
          <w:lang w:eastAsia="zh-CN"/>
        </w:rPr>
        <w:tab/>
      </w:r>
      <w:r w:rsidRPr="00C248A2">
        <w:rPr>
          <w:rFonts w:hint="eastAsia"/>
          <w:lang w:eastAsia="zh-CN"/>
        </w:rPr>
        <w:t>背景</w:t>
      </w:r>
    </w:p>
    <w:p w:rsidR="00FB4D36" w:rsidRPr="00226A82" w:rsidRDefault="00FB4D36" w:rsidP="00FB4D36">
      <w:pPr>
        <w:spacing w:after="120"/>
        <w:ind w:firstLineChars="200" w:firstLine="480"/>
        <w:rPr>
          <w:szCs w:val="24"/>
          <w:lang w:eastAsia="zh-CN"/>
        </w:rPr>
      </w:pPr>
      <w:r>
        <w:rPr>
          <w:rFonts w:hint="eastAsia"/>
          <w:szCs w:val="24"/>
          <w:lang w:val="en-US" w:eastAsia="zh-CN"/>
        </w:rPr>
        <w:t>国际电联成员在世界电信发展大会（</w:t>
      </w:r>
      <w:r w:rsidRPr="00226A82">
        <w:rPr>
          <w:szCs w:val="24"/>
          <w:lang w:val="en-US" w:eastAsia="zh-CN"/>
        </w:rPr>
        <w:t>WTDC-14</w:t>
      </w:r>
      <w:r>
        <w:rPr>
          <w:rFonts w:hint="eastAsia"/>
          <w:szCs w:val="24"/>
          <w:lang w:val="en-US" w:eastAsia="zh-CN"/>
        </w:rPr>
        <w:t>和</w:t>
      </w:r>
      <w:r w:rsidRPr="00226A82">
        <w:rPr>
          <w:szCs w:val="24"/>
          <w:lang w:val="en-US" w:eastAsia="zh-CN"/>
        </w:rPr>
        <w:t>WTDC-17</w:t>
      </w:r>
      <w:r>
        <w:rPr>
          <w:szCs w:val="24"/>
          <w:lang w:val="en-US" w:eastAsia="zh-CN"/>
        </w:rPr>
        <w:t>）</w:t>
      </w:r>
      <w:r>
        <w:rPr>
          <w:rFonts w:hint="eastAsia"/>
          <w:szCs w:val="24"/>
          <w:lang w:val="en-US" w:eastAsia="zh-CN"/>
        </w:rPr>
        <w:t>及全权代表大会（</w:t>
      </w:r>
      <w:r w:rsidRPr="00226A82">
        <w:rPr>
          <w:szCs w:val="24"/>
          <w:lang w:val="en-US" w:eastAsia="zh-CN"/>
        </w:rPr>
        <w:t>PP-14</w:t>
      </w:r>
      <w:r>
        <w:rPr>
          <w:rFonts w:hint="eastAsia"/>
          <w:szCs w:val="24"/>
          <w:lang w:val="en-US" w:eastAsia="zh-CN"/>
        </w:rPr>
        <w:t>和</w:t>
      </w:r>
      <w:r w:rsidRPr="00226A82">
        <w:rPr>
          <w:szCs w:val="24"/>
          <w:lang w:val="en-US" w:eastAsia="zh-CN"/>
        </w:rPr>
        <w:t>PP-18</w:t>
      </w:r>
      <w:r>
        <w:rPr>
          <w:szCs w:val="24"/>
          <w:lang w:val="en-US" w:eastAsia="zh-CN"/>
        </w:rPr>
        <w:t>）</w:t>
      </w:r>
      <w:r>
        <w:rPr>
          <w:rFonts w:hint="eastAsia"/>
          <w:szCs w:val="24"/>
          <w:lang w:val="en-US" w:eastAsia="zh-CN"/>
        </w:rPr>
        <w:t>大会上都确认，电信</w:t>
      </w:r>
      <w:r>
        <w:rPr>
          <w:rFonts w:hint="eastAsia"/>
          <w:szCs w:val="24"/>
          <w:lang w:val="en-US" w:eastAsia="zh-CN"/>
        </w:rPr>
        <w:t>/ICT</w:t>
      </w:r>
      <w:r>
        <w:rPr>
          <w:rFonts w:hint="eastAsia"/>
          <w:szCs w:val="24"/>
          <w:lang w:val="en-US" w:eastAsia="zh-CN"/>
        </w:rPr>
        <w:t>，特别是移动技术是我们这个时代最具变革力量的技术。</w:t>
      </w:r>
      <w:r w:rsidRPr="000F3BC3">
        <w:rPr>
          <w:rFonts w:hint="eastAsia"/>
          <w:lang w:eastAsia="zh-CN"/>
        </w:rPr>
        <w:t>它能够将最孤立的社区与</w:t>
      </w:r>
      <w:r>
        <w:rPr>
          <w:rFonts w:hint="eastAsia"/>
          <w:lang w:eastAsia="zh-CN"/>
        </w:rPr>
        <w:t>可以</w:t>
      </w:r>
      <w:r>
        <w:rPr>
          <w:lang w:eastAsia="zh-CN"/>
        </w:rPr>
        <w:t>对生活与生活质量产生直接影响的</w:t>
      </w:r>
      <w:r w:rsidRPr="000F3BC3">
        <w:rPr>
          <w:rFonts w:hint="eastAsia"/>
          <w:lang w:eastAsia="zh-CN"/>
        </w:rPr>
        <w:t>信息和服务源</w:t>
      </w:r>
      <w:r>
        <w:rPr>
          <w:rFonts w:hint="eastAsia"/>
          <w:lang w:eastAsia="zh-CN"/>
        </w:rPr>
        <w:t>相</w:t>
      </w:r>
      <w:r>
        <w:rPr>
          <w:lang w:eastAsia="zh-CN"/>
        </w:rPr>
        <w:t>连接。</w:t>
      </w:r>
    </w:p>
    <w:p w:rsidR="00FB4D36" w:rsidRPr="000200CD" w:rsidRDefault="00FB4D36" w:rsidP="00FB4D36">
      <w:pPr>
        <w:spacing w:after="120"/>
        <w:ind w:firstLineChars="200" w:firstLine="480"/>
        <w:rPr>
          <w:szCs w:val="24"/>
          <w:lang w:eastAsia="zh-CN"/>
        </w:rPr>
      </w:pPr>
      <w:r w:rsidRPr="00543A2E">
        <w:rPr>
          <w:rFonts w:hint="eastAsia"/>
          <w:lang w:eastAsia="zh-CN"/>
        </w:rPr>
        <w:t>随着</w:t>
      </w:r>
      <w:r w:rsidRPr="00543A2E">
        <w:rPr>
          <w:rFonts w:hint="eastAsia"/>
          <w:lang w:eastAsia="zh-CN"/>
        </w:rPr>
        <w:t>WSIS</w:t>
      </w:r>
      <w:r w:rsidRPr="00543A2E">
        <w:rPr>
          <w:rFonts w:hint="eastAsia"/>
          <w:lang w:eastAsia="zh-CN"/>
        </w:rPr>
        <w:t>各行动方面相关</w:t>
      </w:r>
      <w:r>
        <w:rPr>
          <w:rFonts w:hint="eastAsia"/>
          <w:lang w:eastAsia="zh-CN"/>
        </w:rPr>
        <w:t>性的</w:t>
      </w:r>
      <w:r>
        <w:rPr>
          <w:lang w:eastAsia="zh-CN"/>
        </w:rPr>
        <w:t>持续显现</w:t>
      </w:r>
      <w:r w:rsidRPr="00543A2E">
        <w:rPr>
          <w:rFonts w:hint="eastAsia"/>
          <w:lang w:eastAsia="zh-CN"/>
        </w:rPr>
        <w:t>，</w:t>
      </w:r>
      <w:r>
        <w:rPr>
          <w:rFonts w:hint="eastAsia"/>
          <w:lang w:eastAsia="zh-CN"/>
        </w:rPr>
        <w:t>而且</w:t>
      </w:r>
      <w:r w:rsidRPr="000F3BC3">
        <w:rPr>
          <w:rFonts w:hint="eastAsia"/>
          <w:lang w:eastAsia="zh-CN"/>
        </w:rPr>
        <w:t>随着新的可持续发展目标</w:t>
      </w:r>
      <w:r>
        <w:rPr>
          <w:rFonts w:hint="eastAsia"/>
          <w:lang w:eastAsia="zh-CN"/>
        </w:rPr>
        <w:t>的通过</w:t>
      </w:r>
      <w:r w:rsidRPr="000F3BC3">
        <w:rPr>
          <w:rFonts w:hint="eastAsia"/>
          <w:lang w:eastAsia="zh-CN"/>
        </w:rPr>
        <w:t>，如果我们</w:t>
      </w:r>
      <w:r>
        <w:rPr>
          <w:rFonts w:hint="eastAsia"/>
          <w:lang w:eastAsia="zh-CN"/>
        </w:rPr>
        <w:t>欲</w:t>
      </w:r>
      <w:r w:rsidRPr="000F3BC3">
        <w:rPr>
          <w:rFonts w:hint="eastAsia"/>
          <w:lang w:eastAsia="zh-CN"/>
        </w:rPr>
        <w:t>在</w:t>
      </w:r>
      <w:r w:rsidRPr="000F3BC3">
        <w:rPr>
          <w:lang w:eastAsia="zh-CN"/>
        </w:rPr>
        <w:t>2030</w:t>
      </w:r>
      <w:r w:rsidRPr="000F3BC3">
        <w:rPr>
          <w:rFonts w:hint="eastAsia"/>
          <w:lang w:eastAsia="zh-CN"/>
        </w:rPr>
        <w:t>年</w:t>
      </w:r>
      <w:r>
        <w:rPr>
          <w:rFonts w:hint="eastAsia"/>
          <w:lang w:eastAsia="zh-CN"/>
        </w:rPr>
        <w:t>之前</w:t>
      </w:r>
      <w:r w:rsidRPr="000F3BC3">
        <w:rPr>
          <w:rFonts w:hint="eastAsia"/>
          <w:lang w:eastAsia="zh-CN"/>
        </w:rPr>
        <w:t>实现这些目标，</w:t>
      </w:r>
      <w:r>
        <w:rPr>
          <w:rFonts w:hint="eastAsia"/>
          <w:lang w:eastAsia="zh-CN"/>
        </w:rPr>
        <w:t>则</w:t>
      </w:r>
      <w:r w:rsidRPr="000F3BC3">
        <w:rPr>
          <w:rFonts w:hint="eastAsia"/>
          <w:lang w:eastAsia="zh-CN"/>
        </w:rPr>
        <w:t>数字创新</w:t>
      </w:r>
      <w:r>
        <w:rPr>
          <w:rFonts w:hint="eastAsia"/>
          <w:lang w:eastAsia="zh-CN"/>
        </w:rPr>
        <w:t>在各行各业</w:t>
      </w:r>
      <w:r>
        <w:rPr>
          <w:lang w:eastAsia="zh-CN"/>
        </w:rPr>
        <w:t>均</w:t>
      </w:r>
      <w:r w:rsidRPr="000F3BC3">
        <w:rPr>
          <w:rFonts w:hint="eastAsia"/>
          <w:lang w:eastAsia="zh-CN"/>
        </w:rPr>
        <w:t>不可避免地</w:t>
      </w:r>
      <w:r>
        <w:rPr>
          <w:rFonts w:hint="eastAsia"/>
          <w:lang w:eastAsia="zh-CN"/>
        </w:rPr>
        <w:t>需要被纳入主要工作</w:t>
      </w:r>
      <w:r w:rsidRPr="000200CD">
        <w:rPr>
          <w:rFonts w:hint="eastAsia"/>
          <w:szCs w:val="24"/>
          <w:lang w:eastAsia="zh-CN"/>
        </w:rPr>
        <w:t>。</w:t>
      </w:r>
    </w:p>
    <w:p w:rsidR="00FB4D36" w:rsidRPr="00F70069" w:rsidRDefault="00FB4D36" w:rsidP="00FB4D36">
      <w:pPr>
        <w:spacing w:after="120"/>
        <w:ind w:firstLineChars="200" w:firstLine="480"/>
        <w:rPr>
          <w:szCs w:val="24"/>
          <w:lang w:eastAsia="zh-CN"/>
        </w:rPr>
      </w:pPr>
      <w:r>
        <w:rPr>
          <w:szCs w:val="24"/>
          <w:lang w:eastAsia="zh-CN"/>
        </w:rPr>
        <w:t>WTDC-14</w:t>
      </w:r>
      <w:r>
        <w:rPr>
          <w:rFonts w:hint="eastAsia"/>
          <w:szCs w:val="24"/>
          <w:lang w:eastAsia="zh-CN"/>
        </w:rPr>
        <w:t>和</w:t>
      </w:r>
      <w:r>
        <w:rPr>
          <w:rFonts w:hint="eastAsia"/>
          <w:szCs w:val="24"/>
          <w:lang w:eastAsia="zh-CN"/>
        </w:rPr>
        <w:t>WTDC</w:t>
      </w:r>
      <w:r>
        <w:rPr>
          <w:szCs w:val="24"/>
          <w:lang w:eastAsia="zh-CN"/>
        </w:rPr>
        <w:t>-17</w:t>
      </w:r>
      <w:r>
        <w:rPr>
          <w:rFonts w:hint="eastAsia"/>
          <w:szCs w:val="24"/>
          <w:lang w:eastAsia="zh-CN"/>
        </w:rPr>
        <w:t>决定，</w:t>
      </w:r>
      <w:r>
        <w:rPr>
          <w:rFonts w:hint="eastAsia"/>
          <w:szCs w:val="24"/>
          <w:lang w:eastAsia="zh-CN"/>
        </w:rPr>
        <w:t>ITU-D</w:t>
      </w:r>
      <w:r>
        <w:rPr>
          <w:rFonts w:hint="eastAsia"/>
          <w:szCs w:val="24"/>
          <w:lang w:eastAsia="zh-CN"/>
        </w:rPr>
        <w:t>在</w:t>
      </w:r>
      <w:r>
        <w:rPr>
          <w:rFonts w:hint="eastAsia"/>
          <w:szCs w:val="24"/>
          <w:lang w:eastAsia="zh-CN"/>
        </w:rPr>
        <w:t>ICT</w:t>
      </w:r>
      <w:r>
        <w:rPr>
          <w:rFonts w:hint="eastAsia"/>
          <w:szCs w:val="24"/>
          <w:lang w:eastAsia="zh-CN"/>
        </w:rPr>
        <w:t>服务和应用项目方面的</w:t>
      </w:r>
      <w:r>
        <w:rPr>
          <w:rFonts w:hint="eastAsia"/>
          <w:lang w:eastAsia="zh-CN"/>
        </w:rPr>
        <w:t>主要目标是</w:t>
      </w:r>
      <w:r w:rsidRPr="000F3BC3">
        <w:rPr>
          <w:rFonts w:hint="eastAsia"/>
          <w:lang w:eastAsia="zh-CN"/>
        </w:rPr>
        <w:t>与联合国其组织和私营部门协作</w:t>
      </w:r>
      <w:r>
        <w:rPr>
          <w:rFonts w:hint="eastAsia"/>
          <w:lang w:eastAsia="zh-CN"/>
        </w:rPr>
        <w:t>和合作，支持国际电联成员</w:t>
      </w:r>
      <w:r w:rsidRPr="000F3BC3">
        <w:rPr>
          <w:rFonts w:hint="eastAsia"/>
          <w:lang w:eastAsia="zh-CN"/>
        </w:rPr>
        <w:t>，将电信</w:t>
      </w:r>
      <w:r w:rsidRPr="000F3BC3">
        <w:rPr>
          <w:lang w:eastAsia="zh-CN"/>
        </w:rPr>
        <w:t>/ICT</w:t>
      </w:r>
      <w:r w:rsidRPr="000F3BC3">
        <w:rPr>
          <w:rFonts w:hint="eastAsia"/>
          <w:lang w:eastAsia="zh-CN"/>
        </w:rPr>
        <w:t>用于信息社会发展的方</w:t>
      </w:r>
      <w:r>
        <w:rPr>
          <w:rFonts w:hint="eastAsia"/>
          <w:lang w:eastAsia="zh-CN"/>
        </w:rPr>
        <w:t>方面</w:t>
      </w:r>
      <w:r w:rsidRPr="000F3BC3">
        <w:rPr>
          <w:rFonts w:hint="eastAsia"/>
          <w:lang w:eastAsia="zh-CN"/>
        </w:rPr>
        <w:t>面，重点</w:t>
      </w:r>
      <w:r>
        <w:rPr>
          <w:rFonts w:hint="eastAsia"/>
          <w:lang w:eastAsia="zh-CN"/>
        </w:rPr>
        <w:t>放在</w:t>
      </w:r>
      <w:r w:rsidRPr="000F3BC3">
        <w:rPr>
          <w:rFonts w:hint="eastAsia"/>
          <w:lang w:eastAsia="zh-CN"/>
        </w:rPr>
        <w:t>服务不足地区和</w:t>
      </w:r>
      <w:r>
        <w:rPr>
          <w:rFonts w:hint="eastAsia"/>
          <w:lang w:eastAsia="zh-CN"/>
        </w:rPr>
        <w:t>农村</w:t>
      </w:r>
      <w:r w:rsidRPr="000F3BC3">
        <w:rPr>
          <w:rFonts w:hint="eastAsia"/>
          <w:lang w:eastAsia="zh-CN"/>
        </w:rPr>
        <w:t>地区，以便</w:t>
      </w:r>
      <w:r>
        <w:rPr>
          <w:rFonts w:hint="eastAsia"/>
          <w:lang w:eastAsia="zh-CN"/>
        </w:rPr>
        <w:t>推进</w:t>
      </w:r>
      <w:r w:rsidRPr="000F3BC3">
        <w:rPr>
          <w:rFonts w:hint="eastAsia"/>
          <w:lang w:eastAsia="zh-CN"/>
        </w:rPr>
        <w:t>可持续发展和</w:t>
      </w:r>
      <w:r>
        <w:rPr>
          <w:rFonts w:hint="eastAsia"/>
          <w:lang w:eastAsia="zh-CN"/>
        </w:rPr>
        <w:t>实现</w:t>
      </w:r>
      <w:r w:rsidRPr="000F3BC3">
        <w:rPr>
          <w:rFonts w:hint="eastAsia"/>
          <w:lang w:eastAsia="zh-CN"/>
        </w:rPr>
        <w:t>联合国可持续发展目标</w:t>
      </w:r>
      <w:r>
        <w:rPr>
          <w:rFonts w:hint="eastAsia"/>
          <w:lang w:eastAsia="zh-CN"/>
        </w:rPr>
        <w:t>（</w:t>
      </w:r>
      <w:r>
        <w:rPr>
          <w:rFonts w:hint="eastAsia"/>
          <w:lang w:eastAsia="zh-CN"/>
        </w:rPr>
        <w:t>SDG</w:t>
      </w:r>
      <w:r>
        <w:rPr>
          <w:rFonts w:hint="eastAsia"/>
          <w:lang w:eastAsia="zh-CN"/>
        </w:rPr>
        <w:t>）</w:t>
      </w:r>
      <w:r w:rsidRPr="000F3BC3">
        <w:rPr>
          <w:rFonts w:hint="eastAsia"/>
          <w:lang w:eastAsia="zh-CN"/>
        </w:rPr>
        <w:t>及</w:t>
      </w:r>
      <w:r>
        <w:rPr>
          <w:rFonts w:hint="eastAsia"/>
          <w:lang w:eastAsia="zh-CN"/>
        </w:rPr>
        <w:t>实施</w:t>
      </w:r>
      <w:r w:rsidRPr="000F3BC3">
        <w:rPr>
          <w:rFonts w:hint="eastAsia"/>
          <w:lang w:eastAsia="zh-CN"/>
        </w:rPr>
        <w:t>信息社会世界高峰会议（</w:t>
      </w:r>
      <w:r w:rsidRPr="000F3BC3">
        <w:rPr>
          <w:lang w:eastAsia="zh-CN"/>
        </w:rPr>
        <w:t>WSIS</w:t>
      </w:r>
      <w:r>
        <w:rPr>
          <w:rFonts w:hint="eastAsia"/>
          <w:lang w:eastAsia="zh-CN"/>
        </w:rPr>
        <w:t>）</w:t>
      </w:r>
      <w:r w:rsidRPr="000F3BC3">
        <w:rPr>
          <w:rFonts w:hint="eastAsia"/>
          <w:lang w:eastAsia="zh-CN"/>
        </w:rPr>
        <w:t>的</w:t>
      </w:r>
      <w:r>
        <w:rPr>
          <w:rFonts w:hint="eastAsia"/>
          <w:lang w:eastAsia="zh-CN"/>
        </w:rPr>
        <w:t>行动方面</w:t>
      </w:r>
      <w:r w:rsidRPr="00F70069">
        <w:rPr>
          <w:rFonts w:hint="eastAsia"/>
          <w:szCs w:val="24"/>
          <w:lang w:eastAsia="zh-CN"/>
        </w:rPr>
        <w:t>。</w:t>
      </w:r>
    </w:p>
    <w:p w:rsidR="00FB4D36" w:rsidRPr="00FE634F" w:rsidRDefault="00FB4D36" w:rsidP="00FB4D36">
      <w:pPr>
        <w:spacing w:after="120"/>
        <w:ind w:firstLineChars="200" w:firstLine="480"/>
        <w:rPr>
          <w:szCs w:val="24"/>
          <w:highlight w:val="green"/>
          <w:lang w:eastAsia="zh-CN"/>
        </w:rPr>
      </w:pPr>
      <w:r>
        <w:rPr>
          <w:rFonts w:hint="eastAsia"/>
          <w:lang w:eastAsia="zh-CN"/>
        </w:rPr>
        <w:t>该项目旨在提供</w:t>
      </w:r>
      <w:r w:rsidRPr="003111E8">
        <w:rPr>
          <w:rFonts w:hint="eastAsia"/>
          <w:lang w:eastAsia="zh-CN"/>
        </w:rPr>
        <w:t>有关支持数字经济发展的电信</w:t>
      </w:r>
      <w:r w:rsidRPr="003111E8">
        <w:rPr>
          <w:lang w:eastAsia="zh-CN"/>
        </w:rPr>
        <w:t>/ICT</w:t>
      </w:r>
      <w:r w:rsidRPr="003111E8">
        <w:rPr>
          <w:rFonts w:hint="eastAsia"/>
          <w:lang w:eastAsia="zh-CN"/>
        </w:rPr>
        <w:t>政策、</w:t>
      </w:r>
      <w:r w:rsidRPr="003111E8">
        <w:rPr>
          <w:lang w:eastAsia="zh-CN"/>
        </w:rPr>
        <w:t>ICT</w:t>
      </w:r>
      <w:r w:rsidRPr="003111E8">
        <w:rPr>
          <w:rFonts w:hint="eastAsia"/>
          <w:lang w:eastAsia="zh-CN"/>
        </w:rPr>
        <w:t>应用和新技术的产品及服务，例如信息共享和部署支持、评估研究和</w:t>
      </w:r>
      <w:r w:rsidRPr="003111E8">
        <w:rPr>
          <w:rFonts w:hint="eastAsia"/>
          <w:lang w:eastAsia="zh-CN"/>
        </w:rPr>
        <w:t>ICT</w:t>
      </w:r>
      <w:r w:rsidRPr="003111E8">
        <w:rPr>
          <w:rFonts w:hint="eastAsia"/>
          <w:lang w:eastAsia="zh-CN"/>
        </w:rPr>
        <w:t>应用工具包产品</w:t>
      </w:r>
      <w:r w:rsidRPr="003111E8">
        <w:rPr>
          <w:lang w:eastAsia="zh-CN"/>
        </w:rPr>
        <w:t>和服务</w:t>
      </w:r>
      <w:r w:rsidRPr="00472459">
        <w:rPr>
          <w:rFonts w:ascii="Calibri" w:hAnsi="Calibri" w:cs="Calibri"/>
          <w:bCs/>
          <w:color w:val="000000" w:themeColor="text1"/>
          <w:szCs w:val="24"/>
          <w:lang w:eastAsia="zh-CN"/>
        </w:rPr>
        <w:t>（</w:t>
      </w:r>
      <w:r w:rsidRPr="00472459">
        <w:rPr>
          <w:rFonts w:ascii="Calibri" w:hAnsi="Calibri" w:cs="Calibri" w:hint="eastAsia"/>
          <w:bCs/>
          <w:color w:val="000000" w:themeColor="text1"/>
          <w:szCs w:val="24"/>
          <w:lang w:eastAsia="zh-CN"/>
        </w:rPr>
        <w:t>输</w:t>
      </w:r>
      <w:r>
        <w:rPr>
          <w:rFonts w:ascii="Calibri" w:hAnsi="Calibri" w:cs="Calibri" w:hint="eastAsia"/>
          <w:bCs/>
          <w:color w:val="000000" w:themeColor="text1"/>
          <w:szCs w:val="24"/>
          <w:lang w:eastAsia="zh-CN"/>
        </w:rPr>
        <w:t>出</w:t>
      </w:r>
      <w:r w:rsidRPr="00472459">
        <w:rPr>
          <w:rFonts w:ascii="Calibri" w:hAnsi="Calibri" w:cs="Calibri" w:hint="eastAsia"/>
          <w:bCs/>
          <w:color w:val="000000" w:themeColor="text1"/>
          <w:szCs w:val="24"/>
          <w:lang w:eastAsia="zh-CN"/>
        </w:rPr>
        <w:t>成果</w:t>
      </w:r>
      <w:r w:rsidRPr="00472459">
        <w:rPr>
          <w:rFonts w:ascii="Calibri" w:hAnsi="Calibri" w:cs="Calibri" w:hint="eastAsia"/>
          <w:bCs/>
          <w:color w:val="000000" w:themeColor="text1"/>
          <w:szCs w:val="24"/>
          <w:lang w:eastAsia="zh-CN"/>
        </w:rPr>
        <w:t>4</w:t>
      </w:r>
      <w:r w:rsidRPr="00472459">
        <w:rPr>
          <w:rFonts w:ascii="Calibri" w:hAnsi="Calibri" w:cs="Calibri"/>
          <w:bCs/>
          <w:color w:val="000000" w:themeColor="text1"/>
          <w:szCs w:val="24"/>
          <w:lang w:eastAsia="zh-CN"/>
        </w:rPr>
        <w:t>.2</w:t>
      </w:r>
      <w:r w:rsidRPr="00472459">
        <w:rPr>
          <w:rFonts w:ascii="Calibri" w:hAnsi="Calibri" w:cs="Calibri" w:hint="eastAsia"/>
          <w:bCs/>
          <w:color w:val="000000" w:themeColor="text1"/>
          <w:szCs w:val="24"/>
          <w:lang w:eastAsia="zh-CN"/>
        </w:rPr>
        <w:t>）。</w:t>
      </w:r>
    </w:p>
    <w:p w:rsidR="00FB4D36" w:rsidRPr="00C248A2" w:rsidRDefault="00FB4D36" w:rsidP="00C248A2">
      <w:pPr>
        <w:pStyle w:val="Heading2"/>
        <w:rPr>
          <w:lang w:eastAsia="zh-CN"/>
        </w:rPr>
      </w:pPr>
      <w:r w:rsidRPr="00C248A2">
        <w:rPr>
          <w:lang w:eastAsia="zh-CN"/>
        </w:rPr>
        <w:t>2</w:t>
      </w:r>
      <w:r w:rsidRPr="00C248A2">
        <w:rPr>
          <w:rFonts w:hint="eastAsia"/>
          <w:lang w:eastAsia="zh-CN"/>
        </w:rPr>
        <w:t>.</w:t>
      </w:r>
      <w:r w:rsidRPr="00C248A2">
        <w:rPr>
          <w:lang w:eastAsia="zh-CN"/>
        </w:rPr>
        <w:t>2</w:t>
      </w:r>
      <w:r w:rsidRPr="00C248A2">
        <w:rPr>
          <w:lang w:eastAsia="zh-CN"/>
        </w:rPr>
        <w:tab/>
      </w:r>
      <w:r w:rsidRPr="00C248A2">
        <w:rPr>
          <w:lang w:eastAsia="zh-CN"/>
        </w:rPr>
        <w:t>主要行动和结果</w:t>
      </w:r>
    </w:p>
    <w:p w:rsidR="00FB4D36" w:rsidRPr="00314039" w:rsidRDefault="00FB4D36" w:rsidP="00FB4D36">
      <w:pPr>
        <w:spacing w:after="120"/>
        <w:ind w:firstLineChars="200" w:firstLine="480"/>
        <w:rPr>
          <w:szCs w:val="24"/>
          <w:lang w:val="en-US" w:eastAsia="zh-CN"/>
        </w:rPr>
      </w:pPr>
      <w:r w:rsidRPr="00226A82">
        <w:rPr>
          <w:szCs w:val="24"/>
          <w:lang w:eastAsia="zh-CN"/>
        </w:rPr>
        <w:t>2018</w:t>
      </w:r>
      <w:r>
        <w:rPr>
          <w:rFonts w:hint="eastAsia"/>
          <w:szCs w:val="24"/>
          <w:lang w:eastAsia="zh-CN"/>
        </w:rPr>
        <w:t>年，电信发展局采取了若干主要行动，即：</w:t>
      </w:r>
    </w:p>
    <w:p w:rsidR="00FB4D36" w:rsidRPr="00FD2E12" w:rsidRDefault="00FB4D36" w:rsidP="00A40479">
      <w:pPr>
        <w:pStyle w:val="Headingb"/>
        <w:rPr>
          <w:rFonts w:ascii="Calibri" w:hAnsi="Calibri" w:cs="Calibri"/>
          <w:bCs/>
          <w:color w:val="800000"/>
          <w:sz w:val="22"/>
          <w:szCs w:val="24"/>
          <w:lang w:eastAsia="zh-CN"/>
        </w:rPr>
      </w:pPr>
      <w:r>
        <w:rPr>
          <w:rFonts w:hint="eastAsia"/>
          <w:szCs w:val="24"/>
          <w:lang w:eastAsia="zh-CN"/>
        </w:rPr>
        <w:t>支持制定可促进数字</w:t>
      </w:r>
      <w:r>
        <w:rPr>
          <w:lang w:eastAsia="zh-CN"/>
        </w:rPr>
        <w:t>经济的</w:t>
      </w:r>
      <w:r w:rsidRPr="000F3BC3">
        <w:rPr>
          <w:rFonts w:hint="eastAsia"/>
          <w:lang w:eastAsia="zh-CN"/>
        </w:rPr>
        <w:t>国家战略规划框架</w:t>
      </w:r>
      <w:r>
        <w:rPr>
          <w:rFonts w:hint="eastAsia"/>
          <w:lang w:eastAsia="zh-CN"/>
        </w:rPr>
        <w:t>和相关工具包。</w:t>
      </w:r>
    </w:p>
    <w:p w:rsidR="00FB4D36" w:rsidRPr="00226A82" w:rsidRDefault="00FB4D36" w:rsidP="00FB4D36">
      <w:pPr>
        <w:spacing w:after="120"/>
        <w:ind w:firstLineChars="200" w:firstLine="480"/>
        <w:rPr>
          <w:szCs w:val="24"/>
          <w:lang w:eastAsia="zh-CN"/>
        </w:rPr>
      </w:pPr>
      <w:r w:rsidRPr="00226A82">
        <w:rPr>
          <w:szCs w:val="24"/>
          <w:lang w:eastAsia="zh-CN"/>
        </w:rPr>
        <w:t>ICT</w:t>
      </w:r>
      <w:r>
        <w:rPr>
          <w:rFonts w:hint="eastAsia"/>
          <w:szCs w:val="24"/>
          <w:lang w:eastAsia="zh-CN"/>
        </w:rPr>
        <w:t>应用项目的一项主要支柱是协助各国制定其国家的行业信息通信战略。这些国家信息通信战略为行业数字化变革提供根本性的蓝图和路线图。</w:t>
      </w:r>
    </w:p>
    <w:p w:rsidR="00FB4D36" w:rsidRPr="00226A82" w:rsidRDefault="00FB4D36" w:rsidP="00FB4D36">
      <w:pPr>
        <w:spacing w:after="120"/>
        <w:ind w:firstLineChars="200" w:firstLine="480"/>
        <w:rPr>
          <w:szCs w:val="24"/>
          <w:lang w:eastAsia="zh-CN"/>
        </w:rPr>
      </w:pPr>
      <w:r>
        <w:rPr>
          <w:rFonts w:hint="eastAsia"/>
          <w:szCs w:val="24"/>
          <w:lang w:eastAsia="zh-CN"/>
        </w:rPr>
        <w:t>在卫生行业，于</w:t>
      </w:r>
      <w:r>
        <w:rPr>
          <w:rFonts w:hint="eastAsia"/>
          <w:szCs w:val="24"/>
          <w:lang w:eastAsia="zh-CN"/>
        </w:rPr>
        <w:t>2012</w:t>
      </w:r>
      <w:r>
        <w:rPr>
          <w:rFonts w:hint="eastAsia"/>
          <w:szCs w:val="24"/>
          <w:lang w:eastAsia="zh-CN"/>
        </w:rPr>
        <w:t>年由国际电联</w:t>
      </w:r>
      <w:r>
        <w:rPr>
          <w:szCs w:val="24"/>
          <w:lang w:eastAsia="zh-CN"/>
        </w:rPr>
        <w:t xml:space="preserve"> </w:t>
      </w:r>
      <w:r w:rsidRPr="00F70069">
        <w:rPr>
          <w:szCs w:val="24"/>
          <w:lang w:eastAsia="zh-CN"/>
        </w:rPr>
        <w:t>–</w:t>
      </w:r>
      <w:r>
        <w:rPr>
          <w:szCs w:val="24"/>
          <w:lang w:eastAsia="zh-CN"/>
        </w:rPr>
        <w:t xml:space="preserve"> </w:t>
      </w:r>
      <w:r>
        <w:rPr>
          <w:rFonts w:hint="eastAsia"/>
          <w:szCs w:val="24"/>
          <w:lang w:eastAsia="zh-CN"/>
        </w:rPr>
        <w:t>世界卫生组织（</w:t>
      </w:r>
      <w:r w:rsidRPr="00226A82">
        <w:rPr>
          <w:szCs w:val="24"/>
          <w:lang w:eastAsia="zh-CN"/>
        </w:rPr>
        <w:t>WHO</w:t>
      </w:r>
      <w:r>
        <w:rPr>
          <w:szCs w:val="24"/>
          <w:lang w:eastAsia="zh-CN"/>
        </w:rPr>
        <w:t>）</w:t>
      </w:r>
      <w:r>
        <w:rPr>
          <w:rFonts w:hint="eastAsia"/>
          <w:szCs w:val="24"/>
          <w:lang w:eastAsia="zh-CN"/>
        </w:rPr>
        <w:t>联合发布的国家电子卫生战略指南已成为数字卫生战略制定工作的参考文件。世界许多国家和几乎所有区域都在使用这一战略。</w:t>
      </w:r>
      <w:r>
        <w:rPr>
          <w:rFonts w:hint="eastAsia"/>
          <w:szCs w:val="24"/>
          <w:lang w:eastAsia="zh-CN"/>
        </w:rPr>
        <w:t>2018</w:t>
      </w:r>
      <w:r>
        <w:rPr>
          <w:rFonts w:hint="eastAsia"/>
          <w:szCs w:val="24"/>
          <w:lang w:eastAsia="zh-CN"/>
        </w:rPr>
        <w:t>年，得到国际电联和</w:t>
      </w:r>
      <w:r>
        <w:rPr>
          <w:rFonts w:hint="eastAsia"/>
          <w:szCs w:val="24"/>
          <w:lang w:eastAsia="zh-CN"/>
        </w:rPr>
        <w:t>WHO</w:t>
      </w:r>
      <w:r>
        <w:rPr>
          <w:rFonts w:hint="eastAsia"/>
          <w:szCs w:val="24"/>
          <w:lang w:eastAsia="zh-CN"/>
        </w:rPr>
        <w:t>协助的国家包括塞内加尔、贝宁、马达加斯加、尼日尔和莱索托。</w:t>
      </w:r>
    </w:p>
    <w:p w:rsidR="00FB4D36" w:rsidRPr="00226A82" w:rsidRDefault="00FB4D36" w:rsidP="00FB4D36">
      <w:pPr>
        <w:spacing w:after="120"/>
        <w:ind w:firstLineChars="200" w:firstLine="480"/>
        <w:rPr>
          <w:szCs w:val="24"/>
          <w:lang w:eastAsia="zh-CN"/>
        </w:rPr>
      </w:pPr>
      <w:r>
        <w:rPr>
          <w:rFonts w:hint="eastAsia"/>
          <w:szCs w:val="24"/>
          <w:lang w:eastAsia="zh-CN"/>
        </w:rPr>
        <w:t>在农业领域，若干国家已在使用国际电联</w:t>
      </w:r>
      <w:r>
        <w:rPr>
          <w:rFonts w:hint="eastAsia"/>
          <w:szCs w:val="24"/>
          <w:lang w:eastAsia="zh-CN"/>
        </w:rPr>
        <w:t xml:space="preserve"> </w:t>
      </w:r>
      <w:r w:rsidRPr="00342F29">
        <w:rPr>
          <w:szCs w:val="24"/>
          <w:lang w:eastAsia="zh-CN"/>
        </w:rPr>
        <w:t>–</w:t>
      </w:r>
      <w:r>
        <w:rPr>
          <w:szCs w:val="24"/>
          <w:lang w:eastAsia="zh-CN"/>
        </w:rPr>
        <w:t xml:space="preserve"> </w:t>
      </w:r>
      <w:r>
        <w:rPr>
          <w:rFonts w:hint="eastAsia"/>
          <w:szCs w:val="24"/>
          <w:lang w:eastAsia="zh-CN"/>
        </w:rPr>
        <w:t>粮农组织（</w:t>
      </w:r>
      <w:r w:rsidRPr="00226A82">
        <w:rPr>
          <w:szCs w:val="24"/>
          <w:lang w:eastAsia="zh-CN"/>
        </w:rPr>
        <w:t>FAO</w:t>
      </w:r>
      <w:r>
        <w:rPr>
          <w:szCs w:val="24"/>
          <w:lang w:eastAsia="zh-CN"/>
        </w:rPr>
        <w:t>）</w:t>
      </w:r>
      <w:r>
        <w:rPr>
          <w:rFonts w:hint="eastAsia"/>
          <w:szCs w:val="24"/>
          <w:lang w:eastAsia="zh-CN"/>
        </w:rPr>
        <w:t>国家电子农业战略指南，其中包括菲律宾、斯里兰卡、不丹、斐济、巴布亚新几内亚。在使用这一战略指南方面得到国际电联和</w:t>
      </w:r>
      <w:r>
        <w:rPr>
          <w:szCs w:val="24"/>
          <w:lang w:eastAsia="zh-CN"/>
        </w:rPr>
        <w:t>FAO</w:t>
      </w:r>
      <w:r>
        <w:rPr>
          <w:rFonts w:hint="eastAsia"/>
          <w:szCs w:val="24"/>
          <w:lang w:eastAsia="zh-CN"/>
        </w:rPr>
        <w:t>协助的国家有贝宁、加勒比国家、巴基斯坦和阿富汗。</w:t>
      </w:r>
    </w:p>
    <w:p w:rsidR="00FB4D36" w:rsidRPr="00226A82" w:rsidRDefault="00FB4D36" w:rsidP="00FB4D36">
      <w:pPr>
        <w:spacing w:after="120"/>
        <w:ind w:firstLineChars="200" w:firstLine="480"/>
        <w:rPr>
          <w:szCs w:val="24"/>
          <w:lang w:eastAsia="zh-CN"/>
        </w:rPr>
      </w:pPr>
      <w:r>
        <w:rPr>
          <w:rFonts w:hint="eastAsia"/>
          <w:szCs w:val="24"/>
          <w:lang w:eastAsia="zh-CN"/>
        </w:rPr>
        <w:lastRenderedPageBreak/>
        <w:t>电信发展局与</w:t>
      </w:r>
      <w:r w:rsidRPr="00226A82">
        <w:rPr>
          <w:szCs w:val="24"/>
          <w:lang w:eastAsia="zh-CN"/>
        </w:rPr>
        <w:t>UNESCO</w:t>
      </w:r>
      <w:r>
        <w:rPr>
          <w:rFonts w:hint="eastAsia"/>
          <w:szCs w:val="24"/>
          <w:lang w:eastAsia="zh-CN"/>
        </w:rPr>
        <w:t>协作，正在为苏丹进行智慧教学政策审议工作。</w:t>
      </w:r>
    </w:p>
    <w:p w:rsidR="00FB4D36" w:rsidRPr="00226A82" w:rsidRDefault="00FB4D36" w:rsidP="00FB4D36">
      <w:pPr>
        <w:spacing w:after="120"/>
        <w:ind w:firstLineChars="200" w:firstLine="480"/>
        <w:rPr>
          <w:szCs w:val="24"/>
          <w:lang w:eastAsia="zh-CN"/>
        </w:rPr>
      </w:pPr>
      <w:r>
        <w:rPr>
          <w:rFonts w:hint="eastAsia"/>
          <w:szCs w:val="24"/>
          <w:lang w:eastAsia="zh-CN"/>
        </w:rPr>
        <w:t>原则上而言，这些战略为相关国家提供一系列全面的、利用数字工具启动和保持行业（或跨行业）变革进程所要求的活动。</w:t>
      </w:r>
    </w:p>
    <w:p w:rsidR="00FB4D36" w:rsidRPr="008569D2" w:rsidRDefault="00FB4D36" w:rsidP="00C248A2">
      <w:pPr>
        <w:spacing w:after="120"/>
        <w:ind w:firstLineChars="200" w:firstLine="480"/>
        <w:rPr>
          <w:b/>
          <w:bCs/>
          <w:szCs w:val="24"/>
          <w:lang w:eastAsia="zh-CN"/>
        </w:rPr>
      </w:pPr>
      <w:r w:rsidRPr="00226A82">
        <w:rPr>
          <w:szCs w:val="24"/>
          <w:lang w:eastAsia="zh-CN"/>
        </w:rPr>
        <w:t>2019</w:t>
      </w:r>
      <w:r>
        <w:rPr>
          <w:rFonts w:hint="eastAsia"/>
          <w:szCs w:val="24"/>
          <w:lang w:eastAsia="zh-CN"/>
        </w:rPr>
        <w:t>年，</w:t>
      </w:r>
      <w:r w:rsidRPr="00226A82">
        <w:rPr>
          <w:szCs w:val="24"/>
          <w:lang w:eastAsia="zh-CN"/>
        </w:rPr>
        <w:t>ICT</w:t>
      </w:r>
      <w:r>
        <w:rPr>
          <w:rFonts w:hint="eastAsia"/>
          <w:szCs w:val="24"/>
          <w:lang w:eastAsia="zh-CN"/>
        </w:rPr>
        <w:t>应用项目将与巴布亚</w:t>
      </w:r>
      <w:r w:rsidR="00C248A2">
        <w:rPr>
          <w:rFonts w:hint="eastAsia"/>
          <w:szCs w:val="24"/>
          <w:lang w:eastAsia="zh-CN"/>
        </w:rPr>
        <w:t>新几内亚合作，利用新开发的“数字投资框架促进实现可持续发展目标”</w:t>
      </w:r>
      <w:r>
        <w:rPr>
          <w:rFonts w:hint="eastAsia"/>
          <w:szCs w:val="24"/>
          <w:lang w:eastAsia="zh-CN"/>
        </w:rPr>
        <w:t xml:space="preserve"> </w:t>
      </w:r>
      <w:r w:rsidRPr="008569D2">
        <w:rPr>
          <w:szCs w:val="24"/>
          <w:lang w:eastAsia="zh-CN"/>
        </w:rPr>
        <w:t>–</w:t>
      </w:r>
      <w:r>
        <w:rPr>
          <w:szCs w:val="24"/>
          <w:lang w:eastAsia="zh-CN"/>
        </w:rPr>
        <w:t xml:space="preserve"> </w:t>
      </w:r>
      <w:r>
        <w:rPr>
          <w:rFonts w:hint="eastAsia"/>
          <w:szCs w:val="24"/>
          <w:lang w:eastAsia="zh-CN"/>
        </w:rPr>
        <w:t>与</w:t>
      </w:r>
      <w:r w:rsidR="00C248A2">
        <w:rPr>
          <w:rFonts w:hint="eastAsia"/>
          <w:szCs w:val="24"/>
          <w:lang w:eastAsia="zh-CN"/>
        </w:rPr>
        <w:t>“</w:t>
      </w:r>
      <w:r>
        <w:rPr>
          <w:rFonts w:hint="eastAsia"/>
          <w:szCs w:val="24"/>
          <w:lang w:eastAsia="zh-CN"/>
        </w:rPr>
        <w:t>数字影响联盟（</w:t>
      </w:r>
      <w:r>
        <w:rPr>
          <w:rFonts w:hint="eastAsia"/>
          <w:szCs w:val="24"/>
          <w:lang w:eastAsia="zh-CN"/>
        </w:rPr>
        <w:t>DIAL</w:t>
      </w:r>
      <w:r>
        <w:rPr>
          <w:rFonts w:hint="eastAsia"/>
          <w:szCs w:val="24"/>
          <w:lang w:eastAsia="zh-CN"/>
        </w:rPr>
        <w:t>）”联合开发</w:t>
      </w:r>
      <w:r>
        <w:rPr>
          <w:rFonts w:hint="eastAsia"/>
          <w:szCs w:val="24"/>
          <w:lang w:eastAsia="zh-CN"/>
        </w:rPr>
        <w:t xml:space="preserve"> </w:t>
      </w:r>
      <w:r w:rsidRPr="008569D2">
        <w:rPr>
          <w:szCs w:val="24"/>
          <w:lang w:eastAsia="zh-CN"/>
        </w:rPr>
        <w:t>–</w:t>
      </w:r>
      <w:r>
        <w:rPr>
          <w:szCs w:val="24"/>
          <w:lang w:eastAsia="zh-CN"/>
        </w:rPr>
        <w:t xml:space="preserve"> </w:t>
      </w:r>
      <w:r>
        <w:rPr>
          <w:rFonts w:hint="eastAsia"/>
          <w:szCs w:val="24"/>
          <w:lang w:eastAsia="zh-CN"/>
        </w:rPr>
        <w:t>制定一项有关电子政务的总计划。</w:t>
      </w:r>
    </w:p>
    <w:p w:rsidR="00FB4D36" w:rsidRPr="000C60FA" w:rsidRDefault="00FB4D36" w:rsidP="00A40479">
      <w:pPr>
        <w:pStyle w:val="Headingb"/>
        <w:rPr>
          <w:szCs w:val="24"/>
          <w:lang w:eastAsia="zh-CN"/>
        </w:rPr>
      </w:pPr>
      <w:r w:rsidRPr="000C60FA">
        <w:rPr>
          <w:rFonts w:hint="eastAsia"/>
          <w:lang w:eastAsia="zh-CN"/>
        </w:rPr>
        <w:t>支持通过</w:t>
      </w:r>
      <w:r w:rsidRPr="000C60FA">
        <w:rPr>
          <w:lang w:eastAsia="zh-CN"/>
        </w:rPr>
        <w:t>ICT/</w:t>
      </w:r>
      <w:r w:rsidRPr="000C60FA">
        <w:rPr>
          <w:rFonts w:hint="eastAsia"/>
          <w:lang w:eastAsia="zh-CN"/>
        </w:rPr>
        <w:t>移动应用的部署改进向诸如</w:t>
      </w:r>
      <w:r w:rsidRPr="000C60FA">
        <w:rPr>
          <w:lang w:eastAsia="zh-CN"/>
        </w:rPr>
        <w:t>电子卫生（</w:t>
      </w:r>
      <w:r w:rsidRPr="000C60FA">
        <w:rPr>
          <w:rFonts w:hint="eastAsia"/>
          <w:lang w:eastAsia="zh-CN"/>
        </w:rPr>
        <w:t>包括移动卫生</w:t>
      </w:r>
      <w:r w:rsidRPr="000C60FA">
        <w:rPr>
          <w:lang w:eastAsia="zh-CN"/>
        </w:rPr>
        <w:t>）、</w:t>
      </w:r>
      <w:r w:rsidRPr="000C60FA">
        <w:rPr>
          <w:rFonts w:hint="eastAsia"/>
          <w:lang w:eastAsia="zh-CN"/>
        </w:rPr>
        <w:t>教育、农业</w:t>
      </w:r>
      <w:r w:rsidRPr="000C60FA">
        <w:rPr>
          <w:lang w:eastAsia="zh-CN"/>
        </w:rPr>
        <w:t>之类的具有广泛潜在前景的领域</w:t>
      </w:r>
      <w:r w:rsidRPr="000C60FA">
        <w:rPr>
          <w:rFonts w:hint="eastAsia"/>
          <w:lang w:eastAsia="zh-CN"/>
        </w:rPr>
        <w:t>提供增值服务</w:t>
      </w:r>
    </w:p>
    <w:p w:rsidR="00FB4D36" w:rsidRPr="00226A82" w:rsidRDefault="00FB4D36" w:rsidP="00FB4D36">
      <w:pPr>
        <w:spacing w:after="120"/>
        <w:ind w:firstLineChars="200" w:firstLine="480"/>
        <w:rPr>
          <w:szCs w:val="24"/>
          <w:lang w:eastAsia="zh-CN"/>
        </w:rPr>
      </w:pPr>
      <w:r>
        <w:rPr>
          <w:rFonts w:hint="eastAsia"/>
          <w:szCs w:val="24"/>
          <w:lang w:eastAsia="zh-CN"/>
        </w:rPr>
        <w:t>此外，</w:t>
      </w:r>
      <w:r w:rsidRPr="00226A82">
        <w:rPr>
          <w:szCs w:val="24"/>
          <w:lang w:eastAsia="zh-CN"/>
        </w:rPr>
        <w:t>ICT</w:t>
      </w:r>
      <w:r>
        <w:rPr>
          <w:rFonts w:hint="eastAsia"/>
          <w:szCs w:val="24"/>
          <w:lang w:eastAsia="zh-CN"/>
        </w:rPr>
        <w:t>应用项目正在与相关国家合作，通过开发下列项目支持“落实”这些战略：在巴布亚新几内亚开发跟踪生猪的、基于区块链的应用；利用移动技术促进防止非传染病传播的国际电联</w:t>
      </w:r>
      <w:r>
        <w:rPr>
          <w:rFonts w:hint="eastAsia"/>
          <w:szCs w:val="24"/>
          <w:lang w:eastAsia="zh-CN"/>
        </w:rPr>
        <w:t xml:space="preserve"> </w:t>
      </w:r>
      <w:r w:rsidRPr="00FB46E0">
        <w:rPr>
          <w:szCs w:val="24"/>
          <w:lang w:eastAsia="zh-CN"/>
        </w:rPr>
        <w:t>–</w:t>
      </w:r>
      <w:r>
        <w:rPr>
          <w:szCs w:val="24"/>
          <w:lang w:eastAsia="zh-CN"/>
        </w:rPr>
        <w:t xml:space="preserve"> </w:t>
      </w:r>
      <w:r>
        <w:rPr>
          <w:rFonts w:hint="eastAsia"/>
          <w:szCs w:val="24"/>
          <w:lang w:eastAsia="zh-CN"/>
        </w:rPr>
        <w:t>世卫组织联合计划（</w:t>
      </w:r>
      <w:r w:rsidRPr="00226A82">
        <w:rPr>
          <w:szCs w:val="24"/>
          <w:lang w:eastAsia="zh-CN"/>
        </w:rPr>
        <w:t>Be Healthy</w:t>
      </w:r>
      <w:r>
        <w:rPr>
          <w:szCs w:val="24"/>
          <w:lang w:eastAsia="zh-CN"/>
        </w:rPr>
        <w:t>、</w:t>
      </w:r>
      <w:r w:rsidRPr="00226A82">
        <w:rPr>
          <w:szCs w:val="24"/>
          <w:lang w:eastAsia="zh-CN"/>
        </w:rPr>
        <w:t>Be Mobile</w:t>
      </w:r>
      <w:r>
        <w:rPr>
          <w:szCs w:val="24"/>
          <w:lang w:eastAsia="zh-CN"/>
        </w:rPr>
        <w:t>）</w:t>
      </w:r>
      <w:r>
        <w:rPr>
          <w:rFonts w:hint="eastAsia"/>
          <w:szCs w:val="24"/>
          <w:lang w:eastAsia="zh-CN"/>
        </w:rPr>
        <w:t>推出若干移动卫生项目；在尼日尔部署智慧乡村等。该项目还帮助相关国家确定有关技术实施的详细要求，例如，协助莱索托制定其基于国家电子卫生战略的国家电子卫生企业架构和互操作性框架。</w:t>
      </w:r>
    </w:p>
    <w:p w:rsidR="00FB4D36" w:rsidRPr="002676B9" w:rsidRDefault="00FB4D36" w:rsidP="00A40479">
      <w:pPr>
        <w:pStyle w:val="Headingb"/>
        <w:rPr>
          <w:rFonts w:ascii="Calibri" w:hAnsi="Calibri" w:cs="Calibri"/>
          <w:color w:val="800000"/>
          <w:sz w:val="22"/>
          <w:szCs w:val="24"/>
          <w:lang w:eastAsia="zh-CN"/>
        </w:rPr>
      </w:pPr>
      <w:r w:rsidRPr="002676B9">
        <w:rPr>
          <w:rFonts w:hint="eastAsia"/>
          <w:lang w:eastAsia="zh-CN"/>
        </w:rPr>
        <w:t>开展详细研究并推动知识和最佳做法的分享</w:t>
      </w:r>
    </w:p>
    <w:p w:rsidR="00FB4D36" w:rsidRPr="00226A82" w:rsidRDefault="00FB4D36" w:rsidP="00FB4D36">
      <w:pPr>
        <w:spacing w:after="120"/>
        <w:ind w:firstLineChars="200" w:firstLine="480"/>
        <w:rPr>
          <w:szCs w:val="24"/>
          <w:lang w:eastAsia="zh-CN"/>
        </w:rPr>
      </w:pPr>
      <w:r>
        <w:rPr>
          <w:rFonts w:hint="eastAsia"/>
          <w:szCs w:val="24"/>
          <w:lang w:eastAsia="zh-CN"/>
        </w:rPr>
        <w:t>除了帮助制定战略外，还开展了若干针对国家领导人的、有关数字卫生能力建设活动。例如，于</w:t>
      </w:r>
      <w:r>
        <w:rPr>
          <w:rFonts w:hint="eastAsia"/>
          <w:szCs w:val="24"/>
          <w:lang w:eastAsia="zh-CN"/>
        </w:rPr>
        <w:t>2018</w:t>
      </w:r>
      <w:r>
        <w:rPr>
          <w:rFonts w:hint="eastAsia"/>
          <w:szCs w:val="24"/>
          <w:lang w:eastAsia="zh-CN"/>
        </w:rPr>
        <w:t>年在莱索托为</w:t>
      </w:r>
      <w:r>
        <w:rPr>
          <w:rFonts w:hint="eastAsia"/>
          <w:szCs w:val="24"/>
          <w:lang w:eastAsia="zh-CN"/>
        </w:rPr>
        <w:t>12</w:t>
      </w:r>
      <w:r>
        <w:rPr>
          <w:rFonts w:hint="eastAsia"/>
          <w:szCs w:val="24"/>
          <w:lang w:eastAsia="zh-CN"/>
        </w:rPr>
        <w:t>个非洲国家举行了区域数字卫生能力建设讲习班。讲习班上介绍的所有材料和内容都得到记录，并将在一电子教学平台上在线提供。现计划于</w:t>
      </w:r>
      <w:r>
        <w:rPr>
          <w:rFonts w:hint="eastAsia"/>
          <w:szCs w:val="24"/>
          <w:lang w:eastAsia="zh-CN"/>
        </w:rPr>
        <w:t>2019</w:t>
      </w:r>
      <w:r>
        <w:rPr>
          <w:rFonts w:hint="eastAsia"/>
          <w:szCs w:val="24"/>
          <w:lang w:eastAsia="zh-CN"/>
        </w:rPr>
        <w:t>年举办另一次法语国家讲习班。</w:t>
      </w:r>
    </w:p>
    <w:p w:rsidR="00FB4D36" w:rsidRPr="00226A82" w:rsidRDefault="00FB4D36" w:rsidP="00FB4D36">
      <w:pPr>
        <w:spacing w:after="120"/>
        <w:ind w:firstLineChars="200" w:firstLine="480"/>
        <w:rPr>
          <w:szCs w:val="24"/>
          <w:lang w:eastAsia="zh-CN"/>
        </w:rPr>
      </w:pPr>
      <w:r>
        <w:rPr>
          <w:rFonts w:hint="eastAsia"/>
          <w:szCs w:val="24"/>
          <w:lang w:eastAsia="zh-CN"/>
        </w:rPr>
        <w:t>开展了若干分享知识的活动，如在人工智能促进卫生工作峰会框架范围内组织了卫生分会、在</w:t>
      </w:r>
      <w:r>
        <w:rPr>
          <w:rFonts w:hint="eastAsia"/>
          <w:szCs w:val="24"/>
          <w:lang w:eastAsia="zh-CN"/>
        </w:rPr>
        <w:t>WSIS</w:t>
      </w:r>
      <w:r>
        <w:rPr>
          <w:rFonts w:hint="eastAsia"/>
          <w:szCs w:val="24"/>
          <w:lang w:eastAsia="zh-CN"/>
        </w:rPr>
        <w:t>论坛期间与</w:t>
      </w:r>
      <w:r>
        <w:rPr>
          <w:rFonts w:hint="eastAsia"/>
          <w:szCs w:val="24"/>
          <w:lang w:eastAsia="zh-CN"/>
        </w:rPr>
        <w:t>FAO</w:t>
      </w:r>
      <w:r>
        <w:rPr>
          <w:rFonts w:hint="eastAsia"/>
          <w:szCs w:val="24"/>
          <w:lang w:eastAsia="zh-CN"/>
        </w:rPr>
        <w:t>一道组织了中止饥饿黑客马拉松（</w:t>
      </w:r>
      <w:r w:rsidRPr="00226A82">
        <w:rPr>
          <w:szCs w:val="24"/>
          <w:lang w:eastAsia="zh-CN"/>
        </w:rPr>
        <w:t>Hackathon</w:t>
      </w:r>
      <w:r>
        <w:rPr>
          <w:rFonts w:hint="eastAsia"/>
          <w:szCs w:val="24"/>
          <w:lang w:eastAsia="zh-CN"/>
        </w:rPr>
        <w:t>）</w:t>
      </w:r>
      <w:r>
        <w:rPr>
          <w:szCs w:val="24"/>
          <w:lang w:eastAsia="zh-CN"/>
        </w:rPr>
        <w:t>、</w:t>
      </w:r>
      <w:r>
        <w:rPr>
          <w:rFonts w:hint="eastAsia"/>
          <w:szCs w:val="24"/>
          <w:lang w:eastAsia="zh-CN"/>
        </w:rPr>
        <w:t>与</w:t>
      </w:r>
      <w:r>
        <w:rPr>
          <w:rFonts w:hint="eastAsia"/>
          <w:szCs w:val="24"/>
          <w:lang w:eastAsia="zh-CN"/>
        </w:rPr>
        <w:t>F</w:t>
      </w:r>
      <w:r>
        <w:rPr>
          <w:szCs w:val="24"/>
          <w:lang w:eastAsia="zh-CN"/>
        </w:rPr>
        <w:t>AO</w:t>
      </w:r>
      <w:r>
        <w:rPr>
          <w:rFonts w:hint="eastAsia"/>
          <w:szCs w:val="24"/>
          <w:lang w:eastAsia="zh-CN"/>
        </w:rPr>
        <w:t>一道在中国举办了电子农业解决方案论坛等。除与</w:t>
      </w:r>
      <w:r>
        <w:rPr>
          <w:rFonts w:hint="eastAsia"/>
          <w:szCs w:val="24"/>
          <w:lang w:eastAsia="zh-CN"/>
        </w:rPr>
        <w:t>WHO</w:t>
      </w:r>
      <w:r>
        <w:rPr>
          <w:rFonts w:hint="eastAsia"/>
          <w:szCs w:val="24"/>
          <w:lang w:eastAsia="zh-CN"/>
        </w:rPr>
        <w:t>一道发布了若干有关利用电子卫生防止衰老、进行戒烟、防止子宫颈癌、糖尿病和呼吸道疾病的手册外，还出版了有关利用无人机促进农业发展的一份报告。</w:t>
      </w:r>
    </w:p>
    <w:p w:rsidR="00FB4D36" w:rsidRPr="00C248A2" w:rsidRDefault="00FB4D36" w:rsidP="00C248A2">
      <w:pPr>
        <w:pStyle w:val="Heading2"/>
        <w:rPr>
          <w:lang w:eastAsia="zh-CN"/>
        </w:rPr>
      </w:pPr>
      <w:r w:rsidRPr="00C248A2">
        <w:rPr>
          <w:lang w:eastAsia="zh-CN"/>
        </w:rPr>
        <w:t>2.3</w:t>
      </w:r>
      <w:r w:rsidRPr="00C248A2">
        <w:rPr>
          <w:lang w:eastAsia="zh-CN"/>
        </w:rPr>
        <w:tab/>
      </w:r>
      <w:r w:rsidRPr="00C248A2">
        <w:rPr>
          <w:rFonts w:hint="eastAsia"/>
          <w:lang w:eastAsia="zh-CN"/>
        </w:rPr>
        <w:t>前行方法</w:t>
      </w:r>
    </w:p>
    <w:p w:rsidR="00FB4D36" w:rsidRPr="00226A82" w:rsidRDefault="00FB4D36" w:rsidP="00FB4D36">
      <w:pPr>
        <w:spacing w:after="120"/>
        <w:ind w:firstLineChars="200" w:firstLine="480"/>
        <w:rPr>
          <w:rStyle w:val="Strong"/>
          <w:b w:val="0"/>
          <w:bCs w:val="0"/>
          <w:szCs w:val="24"/>
          <w:lang w:eastAsia="zh-CN"/>
        </w:rPr>
      </w:pPr>
      <w:r w:rsidRPr="00226A82">
        <w:rPr>
          <w:szCs w:val="24"/>
          <w:lang w:eastAsia="zh-CN"/>
        </w:rPr>
        <w:t>ICT</w:t>
      </w:r>
      <w:r>
        <w:rPr>
          <w:rFonts w:hint="eastAsia"/>
          <w:szCs w:val="24"/>
          <w:lang w:eastAsia="zh-CN"/>
        </w:rPr>
        <w:t>应用将继续加强相关活动，其中包括：</w:t>
      </w:r>
    </w:p>
    <w:p w:rsidR="00FB4D36" w:rsidRPr="00E87027" w:rsidRDefault="00FB4D36" w:rsidP="00FB4D36">
      <w:pPr>
        <w:pStyle w:val="enumlev1"/>
        <w:rPr>
          <w:lang w:eastAsia="zh-CN"/>
        </w:rPr>
      </w:pPr>
      <w:r w:rsidRPr="00FB4D36">
        <w:rPr>
          <w:lang w:eastAsia="zh-CN"/>
        </w:rPr>
        <w:t>–</w:t>
      </w:r>
      <w:r>
        <w:rPr>
          <w:lang w:eastAsia="zh-CN"/>
        </w:rPr>
        <w:tab/>
      </w:r>
      <w:r>
        <w:rPr>
          <w:rFonts w:hint="eastAsia"/>
          <w:lang w:eastAsia="zh-CN"/>
        </w:rPr>
        <w:t>继续通过国家和区域层面的能力建设讲习班，开展数字战略制定和解决方案方面的能力建设工作；</w:t>
      </w:r>
    </w:p>
    <w:p w:rsidR="00FB4D36" w:rsidRPr="00E87027" w:rsidRDefault="00FB4D36" w:rsidP="00FB4D36">
      <w:pPr>
        <w:pStyle w:val="enumlev1"/>
        <w:rPr>
          <w:lang w:eastAsia="zh-CN"/>
        </w:rPr>
      </w:pPr>
      <w:r w:rsidRPr="00FB4D36">
        <w:rPr>
          <w:lang w:eastAsia="zh-CN"/>
        </w:rPr>
        <w:t>–</w:t>
      </w:r>
      <w:r>
        <w:rPr>
          <w:lang w:eastAsia="zh-CN"/>
        </w:rPr>
        <w:tab/>
      </w:r>
      <w:r>
        <w:rPr>
          <w:rFonts w:hint="eastAsia"/>
          <w:lang w:eastAsia="zh-CN"/>
        </w:rPr>
        <w:t>制定新的工具，指导各国政府开展数字化变革工作，如制定政府企业架构；</w:t>
      </w:r>
    </w:p>
    <w:p w:rsidR="00FB4D36" w:rsidRPr="00E87027" w:rsidRDefault="00FB4D36" w:rsidP="00FB4D36">
      <w:pPr>
        <w:pStyle w:val="enumlev1"/>
        <w:rPr>
          <w:lang w:eastAsia="zh-CN"/>
        </w:rPr>
      </w:pPr>
      <w:r w:rsidRPr="00FB4D36">
        <w:rPr>
          <w:lang w:eastAsia="zh-CN"/>
        </w:rPr>
        <w:t>–</w:t>
      </w:r>
      <w:r>
        <w:rPr>
          <w:lang w:eastAsia="zh-CN"/>
        </w:rPr>
        <w:tab/>
      </w:r>
      <w:r>
        <w:rPr>
          <w:rFonts w:hint="eastAsia"/>
          <w:lang w:eastAsia="zh-CN"/>
        </w:rPr>
        <w:t>支持制定实现行业和跨行业数字化变革的国家计划和开展技术研究；</w:t>
      </w:r>
    </w:p>
    <w:p w:rsidR="00FB4D36" w:rsidRDefault="00FB4D36" w:rsidP="00FB4D36">
      <w:pPr>
        <w:pStyle w:val="enumlev1"/>
        <w:rPr>
          <w:lang w:eastAsia="zh-CN"/>
        </w:rPr>
      </w:pPr>
      <w:r w:rsidRPr="00FB4D36">
        <w:rPr>
          <w:lang w:eastAsia="zh-CN"/>
        </w:rPr>
        <w:t>–</w:t>
      </w:r>
      <w:r>
        <w:rPr>
          <w:lang w:eastAsia="zh-CN"/>
        </w:rPr>
        <w:tab/>
      </w:r>
      <w:r>
        <w:rPr>
          <w:rFonts w:hint="eastAsia"/>
          <w:lang w:eastAsia="zh-CN"/>
        </w:rPr>
        <w:t>促进并倡导采用跨行业和全体政府部门方式，这是一种有效的大规模采用数字工具的方式。</w:t>
      </w:r>
    </w:p>
    <w:p w:rsidR="00FB4D36" w:rsidRPr="00E87027" w:rsidRDefault="00FB4D36" w:rsidP="00FB4D36">
      <w:pPr>
        <w:pStyle w:val="enumlev1"/>
        <w:rPr>
          <w:lang w:eastAsia="zh-CN"/>
        </w:rPr>
      </w:pPr>
    </w:p>
    <w:p w:rsidR="00FB4D36" w:rsidRDefault="00FB4D36" w:rsidP="00FB4D36">
      <w:pPr>
        <w:jc w:val="center"/>
      </w:pPr>
      <w:r>
        <w:t>______________</w:t>
      </w:r>
    </w:p>
    <w:p w:rsidR="00FB4D36" w:rsidRPr="00FB4D36" w:rsidRDefault="00FB4D36" w:rsidP="00FB4D36">
      <w:pPr>
        <w:pStyle w:val="enumlev1"/>
        <w:rPr>
          <w:lang w:eastAsia="zh-CN"/>
        </w:rPr>
      </w:pPr>
    </w:p>
    <w:sectPr w:rsidR="00FB4D36" w:rsidRPr="00FB4D36" w:rsidSect="00D55761">
      <w:headerReference w:type="even" r:id="rId13"/>
      <w:headerReference w:type="default" r:id="rId14"/>
      <w:footerReference w:type="even" r:id="rId15"/>
      <w:footerReference w:type="default" r:id="rId16"/>
      <w:headerReference w:type="first" r:id="rId17"/>
      <w:footerReference w:type="first" r:id="rId18"/>
      <w:pgSz w:w="11907" w:h="16834" w:code="9"/>
      <w:pgMar w:top="1417" w:right="1134" w:bottom="1417" w:left="1134" w:header="72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659" w:rsidRDefault="00DE7659">
      <w:r>
        <w:separator/>
      </w:r>
    </w:p>
  </w:endnote>
  <w:endnote w:type="continuationSeparator" w:id="0">
    <w:p w:rsidR="00DE7659" w:rsidRDefault="00D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altName w:val="Times New Roman"/>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42" w:rsidRDefault="005A00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9AD" w:rsidRPr="00777265" w:rsidRDefault="005A0042" w:rsidP="005A0042">
    <w:pPr>
      <w:pStyle w:val="Footer"/>
      <w:rPr>
        <w:lang w:val="en-GB"/>
      </w:rPr>
    </w:pPr>
    <w:r>
      <w:fldChar w:fldCharType="begin"/>
    </w:r>
    <w:r>
      <w:instrText xml:space="preserve"> FILENAME \p  \* MERGEFORMAT </w:instrText>
    </w:r>
    <w:r>
      <w:fldChar w:fldCharType="separate"/>
    </w:r>
    <w:r w:rsidR="0079326E">
      <w:t>P:\CHI\ITU-D\CONF-D\TDAG19\000\030C.docx</w:t>
    </w:r>
    <w:r>
      <w:fldChar w:fldCharType="end"/>
    </w:r>
    <w:r w:rsidR="005A39AD" w:rsidRPr="00483CDA">
      <w:t xml:space="preserve"> (</w:t>
    </w:r>
    <w:r w:rsidR="005A39AD">
      <w:t>449237</w:t>
    </w:r>
    <w:r w:rsidR="005A39AD" w:rsidRPr="00483CDA">
      <w:t>)</w:t>
    </w:r>
    <w:r w:rsidR="005A39AD">
      <w:rPr>
        <w:lang w:val="en-US"/>
      </w:rPr>
      <w:tab/>
    </w:r>
    <w:r w:rsidR="005A39AD" w:rsidRPr="003125C3">
      <w:rPr>
        <w:lang w:val="en-US"/>
      </w:rPr>
      <w:tab/>
    </w:r>
    <w:bookmarkStart w:id="10" w:name="_GoBack"/>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A39AD" w:rsidRPr="004D495C" w:rsidTr="005A39AD">
      <w:tc>
        <w:tcPr>
          <w:tcW w:w="1526" w:type="dxa"/>
          <w:tcBorders>
            <w:top w:val="single" w:sz="4" w:space="0" w:color="000000"/>
          </w:tcBorders>
          <w:shd w:val="clear" w:color="auto" w:fill="auto"/>
        </w:tcPr>
        <w:p w:rsidR="005A39AD" w:rsidRPr="004D495C" w:rsidRDefault="005A39AD" w:rsidP="00175C4C">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5A39AD" w:rsidRPr="004D495C" w:rsidRDefault="005A39AD" w:rsidP="00175C4C">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5A39AD" w:rsidRPr="005455CE" w:rsidRDefault="005A39AD" w:rsidP="00FB4D36">
          <w:pPr>
            <w:pStyle w:val="FirstFooter"/>
            <w:rPr>
              <w:sz w:val="18"/>
              <w:szCs w:val="18"/>
              <w:lang w:val="en-US" w:eastAsia="zh-CN"/>
            </w:rPr>
          </w:pPr>
          <w:bookmarkStart w:id="11" w:name="OrgName"/>
          <w:bookmarkEnd w:id="11"/>
          <w:r>
            <w:rPr>
              <w:rFonts w:hint="eastAsia"/>
              <w:sz w:val="20"/>
              <w:lang w:val="en-US" w:eastAsia="zh-CN"/>
            </w:rPr>
            <w:t>电信</w:t>
          </w:r>
          <w:r>
            <w:rPr>
              <w:sz w:val="20"/>
              <w:lang w:val="en-US" w:eastAsia="zh-CN"/>
            </w:rPr>
            <w:t>发展局</w:t>
          </w:r>
          <w:r>
            <w:rPr>
              <w:rFonts w:hint="eastAsia"/>
              <w:sz w:val="20"/>
              <w:lang w:val="en-US" w:eastAsia="zh-CN"/>
            </w:rPr>
            <w:t>基础设施</w:t>
          </w:r>
          <w:r>
            <w:rPr>
              <w:sz w:val="20"/>
              <w:lang w:val="en-US" w:eastAsia="zh-CN"/>
            </w:rPr>
            <w:t>、环境建设和</w:t>
          </w:r>
          <w:r w:rsidR="00B66DB2">
            <w:rPr>
              <w:rFonts w:hint="eastAsia"/>
              <w:sz w:val="20"/>
              <w:lang w:val="en-US" w:eastAsia="zh-CN"/>
            </w:rPr>
            <w:t>电子</w:t>
          </w:r>
          <w:r>
            <w:rPr>
              <w:sz w:val="20"/>
              <w:lang w:val="en-US" w:eastAsia="zh-CN"/>
            </w:rPr>
            <w:t>应用部</w:t>
          </w:r>
          <w:r>
            <w:rPr>
              <w:rFonts w:hint="eastAsia"/>
              <w:sz w:val="20"/>
              <w:lang w:val="en-US" w:eastAsia="zh-CN"/>
            </w:rPr>
            <w:t>（</w:t>
          </w:r>
          <w:r>
            <w:rPr>
              <w:sz w:val="20"/>
              <w:lang w:val="en-US" w:eastAsia="zh-CN"/>
            </w:rPr>
            <w:t>IEE</w:t>
          </w:r>
          <w:r>
            <w:rPr>
              <w:sz w:val="20"/>
              <w:lang w:val="en-US" w:eastAsia="zh-CN"/>
            </w:rPr>
            <w:t>）主任</w:t>
          </w:r>
          <w:r w:rsidRPr="009B7D33">
            <w:rPr>
              <w:sz w:val="20"/>
              <w:lang w:val="en-US" w:eastAsia="zh-CN"/>
            </w:rPr>
            <w:t>Kemal Huseinovic</w:t>
          </w:r>
          <w:r>
            <w:rPr>
              <w:rFonts w:hint="eastAsia"/>
              <w:sz w:val="20"/>
              <w:lang w:val="en-US" w:eastAsia="zh-CN"/>
            </w:rPr>
            <w:t>先生</w:t>
          </w:r>
        </w:p>
      </w:tc>
    </w:tr>
    <w:tr w:rsidR="005A39AD" w:rsidRPr="004D495C" w:rsidTr="005A39AD">
      <w:tc>
        <w:tcPr>
          <w:tcW w:w="1526" w:type="dxa"/>
          <w:shd w:val="clear" w:color="auto" w:fill="auto"/>
        </w:tcPr>
        <w:p w:rsidR="005A39AD" w:rsidRPr="004D495C" w:rsidRDefault="005A39AD" w:rsidP="00175C4C">
          <w:pPr>
            <w:pStyle w:val="FirstFooter"/>
            <w:tabs>
              <w:tab w:val="left" w:pos="1559"/>
              <w:tab w:val="left" w:pos="3828"/>
            </w:tabs>
            <w:rPr>
              <w:sz w:val="20"/>
              <w:lang w:val="en-US" w:eastAsia="zh-CN"/>
            </w:rPr>
          </w:pPr>
        </w:p>
      </w:tc>
      <w:tc>
        <w:tcPr>
          <w:tcW w:w="2410" w:type="dxa"/>
          <w:shd w:val="clear" w:color="auto" w:fill="auto"/>
        </w:tcPr>
        <w:p w:rsidR="005A39AD" w:rsidRPr="004D495C" w:rsidRDefault="005A39AD" w:rsidP="00175C4C">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rsidR="005A39AD" w:rsidRPr="005455CE" w:rsidRDefault="005A39AD" w:rsidP="00175C4C">
          <w:pPr>
            <w:pStyle w:val="FirstFooter"/>
            <w:tabs>
              <w:tab w:val="left" w:pos="2302"/>
            </w:tabs>
            <w:rPr>
              <w:sz w:val="18"/>
              <w:szCs w:val="18"/>
              <w:lang w:val="en-US"/>
            </w:rPr>
          </w:pPr>
          <w:bookmarkStart w:id="12" w:name="PhoneNo"/>
          <w:bookmarkEnd w:id="12"/>
          <w:r w:rsidRPr="009B7D33">
            <w:rPr>
              <w:sz w:val="20"/>
              <w:lang w:val="en-US"/>
            </w:rPr>
            <w:t>+41 22 730 5421</w:t>
          </w:r>
        </w:p>
      </w:tc>
    </w:tr>
    <w:tr w:rsidR="005A39AD" w:rsidRPr="004D495C" w:rsidTr="005A39AD">
      <w:tc>
        <w:tcPr>
          <w:tcW w:w="1526" w:type="dxa"/>
          <w:shd w:val="clear" w:color="auto" w:fill="auto"/>
        </w:tcPr>
        <w:p w:rsidR="005A39AD" w:rsidRPr="004D495C" w:rsidRDefault="005A39AD" w:rsidP="00175C4C">
          <w:pPr>
            <w:pStyle w:val="FirstFooter"/>
            <w:tabs>
              <w:tab w:val="left" w:pos="1559"/>
              <w:tab w:val="left" w:pos="3828"/>
            </w:tabs>
            <w:rPr>
              <w:sz w:val="20"/>
              <w:lang w:val="en-US"/>
            </w:rPr>
          </w:pPr>
        </w:p>
      </w:tc>
      <w:tc>
        <w:tcPr>
          <w:tcW w:w="2410" w:type="dxa"/>
          <w:shd w:val="clear" w:color="auto" w:fill="auto"/>
        </w:tcPr>
        <w:p w:rsidR="005A39AD" w:rsidRPr="004D495C" w:rsidRDefault="005A39AD" w:rsidP="00175C4C">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13" w:name="Email"/>
      <w:bookmarkEnd w:id="13"/>
      <w:tc>
        <w:tcPr>
          <w:tcW w:w="5987" w:type="dxa"/>
          <w:shd w:val="clear" w:color="auto" w:fill="auto"/>
        </w:tcPr>
        <w:p w:rsidR="005A39AD" w:rsidRPr="005455CE" w:rsidRDefault="005A39AD" w:rsidP="00175C4C">
          <w:pPr>
            <w:pStyle w:val="FirstFooter"/>
            <w:tabs>
              <w:tab w:val="left" w:pos="2302"/>
            </w:tabs>
            <w:rPr>
              <w:sz w:val="18"/>
              <w:szCs w:val="18"/>
              <w:lang w:val="en-US"/>
            </w:rPr>
          </w:pPr>
          <w:r>
            <w:rPr>
              <w:rStyle w:val="Hyperlink"/>
              <w:sz w:val="20"/>
              <w:lang w:val="en-US"/>
            </w:rPr>
            <w:fldChar w:fldCharType="begin"/>
          </w:r>
          <w:r>
            <w:rPr>
              <w:rStyle w:val="Hyperlink"/>
              <w:sz w:val="20"/>
              <w:lang w:val="en-US"/>
            </w:rPr>
            <w:instrText xml:space="preserve"> HYPERLINK "mailto:Kemal.huseinovic@itu.int" </w:instrText>
          </w:r>
          <w:r>
            <w:rPr>
              <w:rStyle w:val="Hyperlink"/>
              <w:sz w:val="20"/>
              <w:lang w:val="en-US"/>
            </w:rPr>
            <w:fldChar w:fldCharType="separate"/>
          </w:r>
          <w:r w:rsidRPr="009B7D33">
            <w:rPr>
              <w:rStyle w:val="Hyperlink"/>
              <w:sz w:val="20"/>
              <w:lang w:val="en-US"/>
            </w:rPr>
            <w:t>Kemal.huseinovic@itu.int</w:t>
          </w:r>
          <w:r>
            <w:rPr>
              <w:rStyle w:val="Hyperlink"/>
              <w:sz w:val="20"/>
              <w:lang w:val="en-US"/>
            </w:rPr>
            <w:fldChar w:fldCharType="end"/>
          </w:r>
        </w:p>
      </w:tc>
    </w:tr>
  </w:tbl>
  <w:p w:rsidR="005A39AD" w:rsidRPr="0059420B" w:rsidRDefault="005A0042" w:rsidP="0079326E">
    <w:pPr>
      <w:pStyle w:val="Footer"/>
      <w:spacing w:before="120"/>
      <w:jc w:val="center"/>
    </w:pPr>
    <w:hyperlink r:id="rId1" w:history="1">
      <w:r w:rsidR="005A39AD">
        <w:rPr>
          <w:rStyle w:val="Hyperlink"/>
          <w:caps w:val="0"/>
          <w:noProof w:val="0"/>
          <w:sz w:val="18"/>
          <w:szCs w:val="18"/>
          <w:lang w:val="en-US"/>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659" w:rsidRDefault="00DE7659">
      <w:r>
        <w:t>____________________</w:t>
      </w:r>
    </w:p>
  </w:footnote>
  <w:footnote w:type="continuationSeparator" w:id="0">
    <w:p w:rsidR="00DE7659" w:rsidRDefault="00DE7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42" w:rsidRDefault="005A0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9AD" w:rsidRPr="0079326E" w:rsidRDefault="005A39AD" w:rsidP="0079326E">
    <w:pPr>
      <w:tabs>
        <w:tab w:val="clear" w:pos="794"/>
        <w:tab w:val="clear" w:pos="1191"/>
        <w:tab w:val="clear" w:pos="1588"/>
        <w:tab w:val="clear" w:pos="1985"/>
        <w:tab w:val="center" w:pos="4820"/>
        <w:tab w:val="right" w:pos="10206"/>
      </w:tabs>
      <w:ind w:right="1"/>
      <w:rPr>
        <w:rFonts w:ascii="Calibri" w:eastAsia="SimSun" w:hAnsi="Calibri"/>
        <w:smallCaps/>
        <w:spacing w:val="24"/>
        <w:sz w:val="18"/>
        <w:szCs w:val="18"/>
        <w:lang w:val="fr-CH"/>
      </w:rPr>
    </w:pPr>
    <w:r w:rsidRPr="00175C4C">
      <w:rPr>
        <w:rFonts w:ascii="Calibri" w:eastAsia="SimSun" w:hAnsi="Calibri"/>
        <w:sz w:val="18"/>
        <w:szCs w:val="18"/>
      </w:rPr>
      <w:tab/>
    </w:r>
    <w:r w:rsidR="0079326E" w:rsidRPr="006D271A">
      <w:rPr>
        <w:sz w:val="22"/>
        <w:szCs w:val="22"/>
        <w:lang w:val="de-CH"/>
      </w:rPr>
      <w:t>ITU-D/</w:t>
    </w:r>
    <w:r w:rsidR="0079326E" w:rsidRPr="00A54E72">
      <w:rPr>
        <w:sz w:val="22"/>
        <w:szCs w:val="22"/>
        <w:lang w:val="de-CH"/>
      </w:rPr>
      <w:t>TDAG</w:t>
    </w:r>
    <w:r w:rsidR="0079326E">
      <w:rPr>
        <w:sz w:val="22"/>
        <w:szCs w:val="22"/>
        <w:lang w:val="de-CH"/>
      </w:rPr>
      <w:t>-</w:t>
    </w:r>
    <w:r w:rsidR="0079326E" w:rsidRPr="00A54E72">
      <w:rPr>
        <w:sz w:val="22"/>
        <w:szCs w:val="22"/>
        <w:lang w:val="de-CH"/>
      </w:rPr>
      <w:t>1</w:t>
    </w:r>
    <w:r w:rsidR="0079326E">
      <w:rPr>
        <w:sz w:val="22"/>
        <w:szCs w:val="22"/>
        <w:lang w:val="de-CH"/>
      </w:rPr>
      <w:t>9</w:t>
    </w:r>
    <w:r w:rsidR="0079326E" w:rsidRPr="00A54E72">
      <w:rPr>
        <w:sz w:val="22"/>
        <w:szCs w:val="22"/>
        <w:lang w:val="de-CH"/>
      </w:rPr>
      <w:t>/</w:t>
    </w:r>
    <w:r w:rsidR="0079326E">
      <w:rPr>
        <w:sz w:val="22"/>
        <w:szCs w:val="22"/>
        <w:lang w:val="de-CH"/>
      </w:rPr>
      <w:t>30</w:t>
    </w:r>
    <w:r w:rsidR="0079326E" w:rsidRPr="006D271A">
      <w:rPr>
        <w:sz w:val="22"/>
        <w:szCs w:val="22"/>
        <w:lang w:val="de-CH"/>
      </w:rPr>
      <w:t>-</w:t>
    </w:r>
    <w:r w:rsidR="0079326E">
      <w:rPr>
        <w:sz w:val="22"/>
        <w:szCs w:val="22"/>
        <w:lang w:val="de-CH"/>
      </w:rPr>
      <w:t>C</w:t>
    </w:r>
    <w:r w:rsidRPr="0079326E">
      <w:rPr>
        <w:rFonts w:ascii="Calibri" w:eastAsia="SimSun" w:hAnsi="Calibri"/>
        <w:sz w:val="18"/>
        <w:szCs w:val="18"/>
        <w:lang w:val="fr-CH"/>
      </w:rPr>
      <w:tab/>
    </w:r>
    <w:r w:rsidRPr="00175C4C">
      <w:rPr>
        <w:rFonts w:ascii="Calibri" w:eastAsia="SimSun" w:hAnsi="Calibri"/>
        <w:sz w:val="18"/>
        <w:szCs w:val="18"/>
      </w:rPr>
      <w:fldChar w:fldCharType="begin"/>
    </w:r>
    <w:r w:rsidRPr="0079326E">
      <w:rPr>
        <w:rFonts w:ascii="Calibri" w:eastAsia="SimSun" w:hAnsi="Calibri"/>
        <w:sz w:val="18"/>
        <w:szCs w:val="18"/>
        <w:lang w:val="fr-CH"/>
      </w:rPr>
      <w:instrText xml:space="preserve"> PAGE </w:instrText>
    </w:r>
    <w:r w:rsidRPr="00175C4C">
      <w:rPr>
        <w:rFonts w:ascii="Calibri" w:eastAsia="SimSun" w:hAnsi="Calibri"/>
        <w:sz w:val="18"/>
        <w:szCs w:val="18"/>
      </w:rPr>
      <w:fldChar w:fldCharType="separate"/>
    </w:r>
    <w:r w:rsidR="005A0042">
      <w:rPr>
        <w:rFonts w:ascii="Calibri" w:eastAsia="SimSun" w:hAnsi="Calibri"/>
        <w:noProof/>
        <w:sz w:val="18"/>
        <w:szCs w:val="18"/>
        <w:lang w:val="fr-CH"/>
      </w:rPr>
      <w:t>5</w:t>
    </w:r>
    <w:r w:rsidRPr="00175C4C">
      <w:rPr>
        <w:rFonts w:ascii="Calibri" w:eastAsia="SimSun" w:hAnsi="Calibri"/>
        <w:sz w:val="18"/>
        <w:szCs w:val="18"/>
      </w:rPr>
      <w:fldChar w:fldCharType="end"/>
    </w:r>
  </w:p>
  <w:p w:rsidR="005A39AD" w:rsidRPr="00175C4C" w:rsidRDefault="005A39AD" w:rsidP="00175C4C">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42" w:rsidRDefault="005A0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403F0"/>
    <w:multiLevelType w:val="hybridMultilevel"/>
    <w:tmpl w:val="94C263B6"/>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A44342"/>
    <w:multiLevelType w:val="hybridMultilevel"/>
    <w:tmpl w:val="FA425F08"/>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212311"/>
    <w:multiLevelType w:val="hybridMultilevel"/>
    <w:tmpl w:val="FB1CFE6E"/>
    <w:lvl w:ilvl="0" w:tplc="9CDC48FC">
      <w:start w:val="1"/>
      <w:numFmt w:val="bullet"/>
      <w:lvlText w:val=""/>
      <w:lvlJc w:val="left"/>
      <w:pPr>
        <w:ind w:left="360" w:hanging="360"/>
      </w:pPr>
      <w:rPr>
        <w:rFonts w:ascii="Symbol" w:hAnsi="Symbol" w:hint="default"/>
      </w:rPr>
    </w:lvl>
    <w:lvl w:ilvl="1" w:tplc="F26006DE">
      <w:start w:val="1"/>
      <w:numFmt w:val="bullet"/>
      <w:lvlText w:val="o"/>
      <w:lvlJc w:val="left"/>
      <w:pPr>
        <w:ind w:left="1080" w:hanging="360"/>
      </w:pPr>
      <w:rPr>
        <w:rFonts w:ascii="Courier New" w:hAnsi="Courier New"/>
      </w:rPr>
    </w:lvl>
    <w:lvl w:ilvl="2" w:tplc="C9D68F44">
      <w:start w:val="1"/>
      <w:numFmt w:val="bullet"/>
      <w:lvlText w:val=""/>
      <w:lvlJc w:val="left"/>
      <w:pPr>
        <w:ind w:left="1800" w:hanging="360"/>
      </w:pPr>
      <w:rPr>
        <w:rFonts w:ascii="Wingdings" w:hAnsi="Wingdings"/>
      </w:rPr>
    </w:lvl>
    <w:lvl w:ilvl="3" w:tplc="BBE01F8A">
      <w:start w:val="1"/>
      <w:numFmt w:val="bullet"/>
      <w:lvlText w:val=""/>
      <w:lvlJc w:val="left"/>
      <w:pPr>
        <w:ind w:left="2520" w:hanging="360"/>
      </w:pPr>
      <w:rPr>
        <w:rFonts w:ascii="Symbol" w:hAnsi="Symbol"/>
      </w:rPr>
    </w:lvl>
    <w:lvl w:ilvl="4" w:tplc="409055D4">
      <w:start w:val="1"/>
      <w:numFmt w:val="bullet"/>
      <w:lvlText w:val="o"/>
      <w:lvlJc w:val="left"/>
      <w:pPr>
        <w:ind w:left="3240" w:hanging="360"/>
      </w:pPr>
      <w:rPr>
        <w:rFonts w:ascii="Courier New" w:hAnsi="Courier New"/>
      </w:rPr>
    </w:lvl>
    <w:lvl w:ilvl="5" w:tplc="01AC8866">
      <w:start w:val="1"/>
      <w:numFmt w:val="bullet"/>
      <w:lvlText w:val=""/>
      <w:lvlJc w:val="left"/>
      <w:pPr>
        <w:ind w:left="3960" w:hanging="360"/>
      </w:pPr>
      <w:rPr>
        <w:rFonts w:ascii="Wingdings" w:hAnsi="Wingdings"/>
      </w:rPr>
    </w:lvl>
    <w:lvl w:ilvl="6" w:tplc="1CE035DE">
      <w:start w:val="1"/>
      <w:numFmt w:val="bullet"/>
      <w:lvlText w:val=""/>
      <w:lvlJc w:val="left"/>
      <w:pPr>
        <w:ind w:left="4680" w:hanging="360"/>
      </w:pPr>
      <w:rPr>
        <w:rFonts w:ascii="Symbol" w:hAnsi="Symbol"/>
      </w:rPr>
    </w:lvl>
    <w:lvl w:ilvl="7" w:tplc="0630C9B6">
      <w:start w:val="1"/>
      <w:numFmt w:val="bullet"/>
      <w:lvlText w:val="o"/>
      <w:lvlJc w:val="left"/>
      <w:pPr>
        <w:ind w:left="5400" w:hanging="360"/>
      </w:pPr>
      <w:rPr>
        <w:rFonts w:ascii="Courier New" w:hAnsi="Courier New"/>
      </w:rPr>
    </w:lvl>
    <w:lvl w:ilvl="8" w:tplc="D04A5A98">
      <w:start w:val="1"/>
      <w:numFmt w:val="bullet"/>
      <w:lvlText w:val=""/>
      <w:lvlJc w:val="left"/>
      <w:pPr>
        <w:ind w:left="6120" w:hanging="360"/>
      </w:pPr>
      <w:rPr>
        <w:rFonts w:ascii="Wingdings" w:hAnsi="Wingdings"/>
      </w:rPr>
    </w:lvl>
  </w:abstractNum>
  <w:abstractNum w:abstractNumId="3" w15:restartNumberingAfterBreak="0">
    <w:nsid w:val="604A3B7F"/>
    <w:multiLevelType w:val="hybridMultilevel"/>
    <w:tmpl w:val="6BB0D842"/>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8570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BA"/>
    <w:rsid w:val="00002716"/>
    <w:rsid w:val="00005791"/>
    <w:rsid w:val="00012CDF"/>
    <w:rsid w:val="0002520B"/>
    <w:rsid w:val="00037A9E"/>
    <w:rsid w:val="00037F91"/>
    <w:rsid w:val="000539F1"/>
    <w:rsid w:val="00055A2A"/>
    <w:rsid w:val="00056A34"/>
    <w:rsid w:val="000615C1"/>
    <w:rsid w:val="0008649F"/>
    <w:rsid w:val="0008741D"/>
    <w:rsid w:val="0009225C"/>
    <w:rsid w:val="000A17C4"/>
    <w:rsid w:val="000A346A"/>
    <w:rsid w:val="000B2352"/>
    <w:rsid w:val="000C7B84"/>
    <w:rsid w:val="000D261B"/>
    <w:rsid w:val="000D58A3"/>
    <w:rsid w:val="000E3ED4"/>
    <w:rsid w:val="000F41EE"/>
    <w:rsid w:val="000F6644"/>
    <w:rsid w:val="00100833"/>
    <w:rsid w:val="00113EE8"/>
    <w:rsid w:val="0011455A"/>
    <w:rsid w:val="00114A65"/>
    <w:rsid w:val="00141699"/>
    <w:rsid w:val="00147000"/>
    <w:rsid w:val="00163091"/>
    <w:rsid w:val="001645CB"/>
    <w:rsid w:val="00166305"/>
    <w:rsid w:val="001703C6"/>
    <w:rsid w:val="00173781"/>
    <w:rsid w:val="00175C4C"/>
    <w:rsid w:val="00175CAE"/>
    <w:rsid w:val="00177DEC"/>
    <w:rsid w:val="001828DB"/>
    <w:rsid w:val="001850FE"/>
    <w:rsid w:val="00185135"/>
    <w:rsid w:val="0019037C"/>
    <w:rsid w:val="001905A9"/>
    <w:rsid w:val="00191273"/>
    <w:rsid w:val="001942A7"/>
    <w:rsid w:val="0019587B"/>
    <w:rsid w:val="001A163D"/>
    <w:rsid w:val="001A441E"/>
    <w:rsid w:val="001B357F"/>
    <w:rsid w:val="001B39EC"/>
    <w:rsid w:val="001C3702"/>
    <w:rsid w:val="001C4656"/>
    <w:rsid w:val="001F1B3F"/>
    <w:rsid w:val="001F23E6"/>
    <w:rsid w:val="001F4238"/>
    <w:rsid w:val="00200A38"/>
    <w:rsid w:val="00200A46"/>
    <w:rsid w:val="00211B6F"/>
    <w:rsid w:val="00217CC3"/>
    <w:rsid w:val="00220AB6"/>
    <w:rsid w:val="0022120F"/>
    <w:rsid w:val="00224381"/>
    <w:rsid w:val="0022754A"/>
    <w:rsid w:val="00236560"/>
    <w:rsid w:val="0023662E"/>
    <w:rsid w:val="00245D0F"/>
    <w:rsid w:val="002548C3"/>
    <w:rsid w:val="00257ACD"/>
    <w:rsid w:val="00262908"/>
    <w:rsid w:val="002650F4"/>
    <w:rsid w:val="002715FD"/>
    <w:rsid w:val="00285B33"/>
    <w:rsid w:val="002C1EC7"/>
    <w:rsid w:val="002C6DCE"/>
    <w:rsid w:val="002C7EA3"/>
    <w:rsid w:val="002D20AE"/>
    <w:rsid w:val="002D6C61"/>
    <w:rsid w:val="002E2104"/>
    <w:rsid w:val="002E4DA2"/>
    <w:rsid w:val="002E6963"/>
    <w:rsid w:val="002F05D8"/>
    <w:rsid w:val="002F2DE0"/>
    <w:rsid w:val="002F5E25"/>
    <w:rsid w:val="003125C3"/>
    <w:rsid w:val="00312AE6"/>
    <w:rsid w:val="00317D1A"/>
    <w:rsid w:val="003211FF"/>
    <w:rsid w:val="00327247"/>
    <w:rsid w:val="00327A9D"/>
    <w:rsid w:val="0033130E"/>
    <w:rsid w:val="00360B73"/>
    <w:rsid w:val="0038365A"/>
    <w:rsid w:val="00386A89"/>
    <w:rsid w:val="0039648E"/>
    <w:rsid w:val="003A5AFE"/>
    <w:rsid w:val="003A5D5F"/>
    <w:rsid w:val="003A7FFE"/>
    <w:rsid w:val="003B0A63"/>
    <w:rsid w:val="003B50E1"/>
    <w:rsid w:val="003C1746"/>
    <w:rsid w:val="003C552E"/>
    <w:rsid w:val="003C58BF"/>
    <w:rsid w:val="003D451D"/>
    <w:rsid w:val="003F2DD8"/>
    <w:rsid w:val="003F49CB"/>
    <w:rsid w:val="003F50B2"/>
    <w:rsid w:val="00401BFF"/>
    <w:rsid w:val="004122C5"/>
    <w:rsid w:val="00413B78"/>
    <w:rsid w:val="00416DDE"/>
    <w:rsid w:val="0044411E"/>
    <w:rsid w:val="00453435"/>
    <w:rsid w:val="00466398"/>
    <w:rsid w:val="00483CDA"/>
    <w:rsid w:val="0049128B"/>
    <w:rsid w:val="00493B49"/>
    <w:rsid w:val="00494A3C"/>
    <w:rsid w:val="00495501"/>
    <w:rsid w:val="004A070A"/>
    <w:rsid w:val="004A320E"/>
    <w:rsid w:val="004A4E9C"/>
    <w:rsid w:val="004B1A3C"/>
    <w:rsid w:val="004C5C6B"/>
    <w:rsid w:val="004D2CC3"/>
    <w:rsid w:val="004D35CB"/>
    <w:rsid w:val="004E20E5"/>
    <w:rsid w:val="004E64EA"/>
    <w:rsid w:val="004E7828"/>
    <w:rsid w:val="004F46AA"/>
    <w:rsid w:val="004F6A70"/>
    <w:rsid w:val="00502ABF"/>
    <w:rsid w:val="00504DB0"/>
    <w:rsid w:val="00527D4A"/>
    <w:rsid w:val="0054420E"/>
    <w:rsid w:val="00544D1B"/>
    <w:rsid w:val="00545DC0"/>
    <w:rsid w:val="00545F6C"/>
    <w:rsid w:val="0055000D"/>
    <w:rsid w:val="00554989"/>
    <w:rsid w:val="0055720C"/>
    <w:rsid w:val="0056423B"/>
    <w:rsid w:val="00573424"/>
    <w:rsid w:val="0057402F"/>
    <w:rsid w:val="005849D6"/>
    <w:rsid w:val="00585367"/>
    <w:rsid w:val="00592518"/>
    <w:rsid w:val="00592686"/>
    <w:rsid w:val="00592E87"/>
    <w:rsid w:val="00594C4D"/>
    <w:rsid w:val="005A0042"/>
    <w:rsid w:val="005A33B0"/>
    <w:rsid w:val="005A39AD"/>
    <w:rsid w:val="005A3E62"/>
    <w:rsid w:val="005B725F"/>
    <w:rsid w:val="005C2DC2"/>
    <w:rsid w:val="005C304A"/>
    <w:rsid w:val="005D57C8"/>
    <w:rsid w:val="005D7761"/>
    <w:rsid w:val="005E0278"/>
    <w:rsid w:val="005E3CA0"/>
    <w:rsid w:val="005E44B1"/>
    <w:rsid w:val="005E6365"/>
    <w:rsid w:val="005E67B0"/>
    <w:rsid w:val="005E7047"/>
    <w:rsid w:val="005E777F"/>
    <w:rsid w:val="005F1CA7"/>
    <w:rsid w:val="005F43DD"/>
    <w:rsid w:val="005F51A9"/>
    <w:rsid w:val="005F7416"/>
    <w:rsid w:val="00600C11"/>
    <w:rsid w:val="00606B89"/>
    <w:rsid w:val="00625FB8"/>
    <w:rsid w:val="006261BD"/>
    <w:rsid w:val="00634C7B"/>
    <w:rsid w:val="00636284"/>
    <w:rsid w:val="0064734E"/>
    <w:rsid w:val="00650137"/>
    <w:rsid w:val="006509D7"/>
    <w:rsid w:val="0065521B"/>
    <w:rsid w:val="00671EF6"/>
    <w:rsid w:val="0067205B"/>
    <w:rsid w:val="006748F8"/>
    <w:rsid w:val="006778B4"/>
    <w:rsid w:val="00680489"/>
    <w:rsid w:val="006A7710"/>
    <w:rsid w:val="006A7A61"/>
    <w:rsid w:val="006B2FFB"/>
    <w:rsid w:val="006C10A2"/>
    <w:rsid w:val="006C1F18"/>
    <w:rsid w:val="006D40D5"/>
    <w:rsid w:val="006F009A"/>
    <w:rsid w:val="006F3D93"/>
    <w:rsid w:val="007019B1"/>
    <w:rsid w:val="00703E66"/>
    <w:rsid w:val="00717FED"/>
    <w:rsid w:val="00721657"/>
    <w:rsid w:val="00727B1A"/>
    <w:rsid w:val="00745F13"/>
    <w:rsid w:val="00752258"/>
    <w:rsid w:val="00762880"/>
    <w:rsid w:val="00772290"/>
    <w:rsid w:val="00777265"/>
    <w:rsid w:val="007805E7"/>
    <w:rsid w:val="0078222A"/>
    <w:rsid w:val="00787D48"/>
    <w:rsid w:val="0079326E"/>
    <w:rsid w:val="007A0A0B"/>
    <w:rsid w:val="007A4E50"/>
    <w:rsid w:val="007B18A7"/>
    <w:rsid w:val="007B250E"/>
    <w:rsid w:val="007C27FC"/>
    <w:rsid w:val="007C51FF"/>
    <w:rsid w:val="007D50E4"/>
    <w:rsid w:val="008028CE"/>
    <w:rsid w:val="0080332E"/>
    <w:rsid w:val="008104BA"/>
    <w:rsid w:val="008141E0"/>
    <w:rsid w:val="00816EE1"/>
    <w:rsid w:val="00816F88"/>
    <w:rsid w:val="00822323"/>
    <w:rsid w:val="00823118"/>
    <w:rsid w:val="00833024"/>
    <w:rsid w:val="008373F4"/>
    <w:rsid w:val="00844A56"/>
    <w:rsid w:val="00852081"/>
    <w:rsid w:val="00865D75"/>
    <w:rsid w:val="008717AC"/>
    <w:rsid w:val="00874DFD"/>
    <w:rsid w:val="00883086"/>
    <w:rsid w:val="008879FD"/>
    <w:rsid w:val="00894C37"/>
    <w:rsid w:val="008A00EA"/>
    <w:rsid w:val="008A3F93"/>
    <w:rsid w:val="008A6236"/>
    <w:rsid w:val="008A6E1C"/>
    <w:rsid w:val="008A72FD"/>
    <w:rsid w:val="008B2EDF"/>
    <w:rsid w:val="008B54CB"/>
    <w:rsid w:val="008B5A3D"/>
    <w:rsid w:val="008C2B02"/>
    <w:rsid w:val="008C4010"/>
    <w:rsid w:val="008C4FDF"/>
    <w:rsid w:val="008C6B1F"/>
    <w:rsid w:val="008D5E4F"/>
    <w:rsid w:val="008F14F5"/>
    <w:rsid w:val="008F71C1"/>
    <w:rsid w:val="00902D41"/>
    <w:rsid w:val="00914004"/>
    <w:rsid w:val="00915C8E"/>
    <w:rsid w:val="00922EC1"/>
    <w:rsid w:val="009301F1"/>
    <w:rsid w:val="009359B8"/>
    <w:rsid w:val="009431F8"/>
    <w:rsid w:val="00947A35"/>
    <w:rsid w:val="00966CB5"/>
    <w:rsid w:val="00975786"/>
    <w:rsid w:val="00981CB7"/>
    <w:rsid w:val="00983E1F"/>
    <w:rsid w:val="00993F46"/>
    <w:rsid w:val="00997358"/>
    <w:rsid w:val="009A452B"/>
    <w:rsid w:val="009B050C"/>
    <w:rsid w:val="009B087F"/>
    <w:rsid w:val="009C110B"/>
    <w:rsid w:val="009C5441"/>
    <w:rsid w:val="009D119F"/>
    <w:rsid w:val="009E1384"/>
    <w:rsid w:val="009F3940"/>
    <w:rsid w:val="009F3EB2"/>
    <w:rsid w:val="009F6EB1"/>
    <w:rsid w:val="00A0295C"/>
    <w:rsid w:val="00A20267"/>
    <w:rsid w:val="00A3158C"/>
    <w:rsid w:val="00A33E32"/>
    <w:rsid w:val="00A40479"/>
    <w:rsid w:val="00A53E7C"/>
    <w:rsid w:val="00A60087"/>
    <w:rsid w:val="00A67D34"/>
    <w:rsid w:val="00A705E8"/>
    <w:rsid w:val="00A76578"/>
    <w:rsid w:val="00A9392C"/>
    <w:rsid w:val="00A9462B"/>
    <w:rsid w:val="00A97D59"/>
    <w:rsid w:val="00AA193B"/>
    <w:rsid w:val="00AA3E09"/>
    <w:rsid w:val="00AA4BEF"/>
    <w:rsid w:val="00AB4962"/>
    <w:rsid w:val="00AB5673"/>
    <w:rsid w:val="00AB740F"/>
    <w:rsid w:val="00AC7221"/>
    <w:rsid w:val="00AD0A21"/>
    <w:rsid w:val="00AE5961"/>
    <w:rsid w:val="00AF4971"/>
    <w:rsid w:val="00B01046"/>
    <w:rsid w:val="00B13BA2"/>
    <w:rsid w:val="00B3083D"/>
    <w:rsid w:val="00B310F9"/>
    <w:rsid w:val="00B37866"/>
    <w:rsid w:val="00B412FB"/>
    <w:rsid w:val="00B4576B"/>
    <w:rsid w:val="00B46350"/>
    <w:rsid w:val="00B47D48"/>
    <w:rsid w:val="00B66DB2"/>
    <w:rsid w:val="00B81129"/>
    <w:rsid w:val="00B83D5E"/>
    <w:rsid w:val="00B8460A"/>
    <w:rsid w:val="00B8650D"/>
    <w:rsid w:val="00B879B4"/>
    <w:rsid w:val="00B90F07"/>
    <w:rsid w:val="00B97BB9"/>
    <w:rsid w:val="00BA0009"/>
    <w:rsid w:val="00BA4D75"/>
    <w:rsid w:val="00BB1863"/>
    <w:rsid w:val="00BB25EE"/>
    <w:rsid w:val="00BB363A"/>
    <w:rsid w:val="00BC10A0"/>
    <w:rsid w:val="00BC7BA2"/>
    <w:rsid w:val="00BD426B"/>
    <w:rsid w:val="00BD79F0"/>
    <w:rsid w:val="00BE2B4D"/>
    <w:rsid w:val="00BF19B8"/>
    <w:rsid w:val="00BF65EC"/>
    <w:rsid w:val="00C015F8"/>
    <w:rsid w:val="00C07E26"/>
    <w:rsid w:val="00C1011C"/>
    <w:rsid w:val="00C177C5"/>
    <w:rsid w:val="00C248A2"/>
    <w:rsid w:val="00C4038C"/>
    <w:rsid w:val="00C42BA2"/>
    <w:rsid w:val="00C44066"/>
    <w:rsid w:val="00C44E13"/>
    <w:rsid w:val="00C60A41"/>
    <w:rsid w:val="00C62DE8"/>
    <w:rsid w:val="00C62DFB"/>
    <w:rsid w:val="00C66F4D"/>
    <w:rsid w:val="00C86600"/>
    <w:rsid w:val="00C87BCA"/>
    <w:rsid w:val="00C94506"/>
    <w:rsid w:val="00C954BC"/>
    <w:rsid w:val="00CA1F0B"/>
    <w:rsid w:val="00CB110F"/>
    <w:rsid w:val="00CB2A2E"/>
    <w:rsid w:val="00CB338A"/>
    <w:rsid w:val="00CB79C5"/>
    <w:rsid w:val="00CC411F"/>
    <w:rsid w:val="00CC4B75"/>
    <w:rsid w:val="00CC732E"/>
    <w:rsid w:val="00CD5CA8"/>
    <w:rsid w:val="00CD7207"/>
    <w:rsid w:val="00CE0DBE"/>
    <w:rsid w:val="00CE5E4D"/>
    <w:rsid w:val="00CF02C4"/>
    <w:rsid w:val="00CF167F"/>
    <w:rsid w:val="00CF72E5"/>
    <w:rsid w:val="00D01F54"/>
    <w:rsid w:val="00D10FC7"/>
    <w:rsid w:val="00D20E99"/>
    <w:rsid w:val="00D21C83"/>
    <w:rsid w:val="00D237F7"/>
    <w:rsid w:val="00D27659"/>
    <w:rsid w:val="00D35BDD"/>
    <w:rsid w:val="00D55761"/>
    <w:rsid w:val="00D63006"/>
    <w:rsid w:val="00D72301"/>
    <w:rsid w:val="00D91B97"/>
    <w:rsid w:val="00D93ACC"/>
    <w:rsid w:val="00D93C08"/>
    <w:rsid w:val="00D95DAC"/>
    <w:rsid w:val="00DB1171"/>
    <w:rsid w:val="00DB1519"/>
    <w:rsid w:val="00DB2840"/>
    <w:rsid w:val="00DD66B4"/>
    <w:rsid w:val="00DE1972"/>
    <w:rsid w:val="00DE27AB"/>
    <w:rsid w:val="00DE7659"/>
    <w:rsid w:val="00DF2AB3"/>
    <w:rsid w:val="00DF7250"/>
    <w:rsid w:val="00DF7AE9"/>
    <w:rsid w:val="00E00CAA"/>
    <w:rsid w:val="00E03EBF"/>
    <w:rsid w:val="00E05209"/>
    <w:rsid w:val="00E2258E"/>
    <w:rsid w:val="00E260C2"/>
    <w:rsid w:val="00E32596"/>
    <w:rsid w:val="00E368F7"/>
    <w:rsid w:val="00E36EB8"/>
    <w:rsid w:val="00E37CA0"/>
    <w:rsid w:val="00E37FB8"/>
    <w:rsid w:val="00E40B07"/>
    <w:rsid w:val="00E42326"/>
    <w:rsid w:val="00E43544"/>
    <w:rsid w:val="00E44D89"/>
    <w:rsid w:val="00E477EA"/>
    <w:rsid w:val="00E63B14"/>
    <w:rsid w:val="00E83810"/>
    <w:rsid w:val="00E86933"/>
    <w:rsid w:val="00E97298"/>
    <w:rsid w:val="00E97753"/>
    <w:rsid w:val="00E97E58"/>
    <w:rsid w:val="00EA2BC2"/>
    <w:rsid w:val="00EA4E41"/>
    <w:rsid w:val="00EA7DE7"/>
    <w:rsid w:val="00EB7A8A"/>
    <w:rsid w:val="00ED6F3E"/>
    <w:rsid w:val="00EE3A64"/>
    <w:rsid w:val="00EF01CF"/>
    <w:rsid w:val="00F03590"/>
    <w:rsid w:val="00F03622"/>
    <w:rsid w:val="00F077FD"/>
    <w:rsid w:val="00F204F3"/>
    <w:rsid w:val="00F238B3"/>
    <w:rsid w:val="00F25586"/>
    <w:rsid w:val="00F2651D"/>
    <w:rsid w:val="00F31498"/>
    <w:rsid w:val="00F32FEF"/>
    <w:rsid w:val="00F42E13"/>
    <w:rsid w:val="00F42F1C"/>
    <w:rsid w:val="00F43B44"/>
    <w:rsid w:val="00F440E5"/>
    <w:rsid w:val="00F448F6"/>
    <w:rsid w:val="00F52741"/>
    <w:rsid w:val="00F53D8A"/>
    <w:rsid w:val="00F626F7"/>
    <w:rsid w:val="00F9211C"/>
    <w:rsid w:val="00F93D2E"/>
    <w:rsid w:val="00FA095D"/>
    <w:rsid w:val="00FA1136"/>
    <w:rsid w:val="00FA6C8B"/>
    <w:rsid w:val="00FB4139"/>
    <w:rsid w:val="00FB41CC"/>
    <w:rsid w:val="00FB476E"/>
    <w:rsid w:val="00FB4D36"/>
    <w:rsid w:val="00FC0D90"/>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5D49EC3-1D41-4F61-8AE7-7F615388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styleId="ListParagraph">
    <w:name w:val="List Paragraph"/>
    <w:aliases w:val="List Paragraph1,Recommendation,List Paragraph11"/>
    <w:basedOn w:val="Normal"/>
    <w:link w:val="ListParagraphChar"/>
    <w:uiPriority w:val="34"/>
    <w:qFormat/>
    <w:rsid w:val="00B3083D"/>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Recommendation Char,List Paragraph11 Char"/>
    <w:basedOn w:val="DefaultParagraphFont"/>
    <w:link w:val="ListParagraph"/>
    <w:uiPriority w:val="34"/>
    <w:rsid w:val="00B3083D"/>
    <w:rPr>
      <w:rFonts w:asciiTheme="minorHAnsi" w:eastAsia="Times New Roman" w:hAnsiTheme="minorHAnsi"/>
      <w:sz w:val="24"/>
      <w:lang w:val="en-GB" w:eastAsia="en-US"/>
    </w:rPr>
  </w:style>
  <w:style w:type="character" w:styleId="Strong">
    <w:name w:val="Strong"/>
    <w:basedOn w:val="DefaultParagraphFont"/>
    <w:uiPriority w:val="22"/>
    <w:qFormat/>
    <w:rsid w:val="00B3083D"/>
    <w:rPr>
      <w:b/>
      <w:bCs/>
    </w:rPr>
  </w:style>
  <w:style w:type="character" w:styleId="FollowedHyperlink">
    <w:name w:val="FollowedHyperlink"/>
    <w:basedOn w:val="DefaultParagraphFont"/>
    <w:semiHidden/>
    <w:unhideWhenUsed/>
    <w:rsid w:val="00FB41CC"/>
    <w:rPr>
      <w:color w:val="800080" w:themeColor="followedHyperlink"/>
      <w:u w:val="single"/>
    </w:rPr>
  </w:style>
  <w:style w:type="character" w:customStyle="1" w:styleId="tlid-translation">
    <w:name w:val="tlid-translation"/>
    <w:basedOn w:val="DefaultParagraphFont"/>
    <w:rsid w:val="00550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43625">
      <w:bodyDiv w:val="1"/>
      <w:marLeft w:val="0"/>
      <w:marRight w:val="0"/>
      <w:marTop w:val="0"/>
      <w:marBottom w:val="0"/>
      <w:divBdr>
        <w:top w:val="none" w:sz="0" w:space="0" w:color="auto"/>
        <w:left w:val="none" w:sz="0" w:space="0" w:color="auto"/>
        <w:bottom w:val="none" w:sz="0" w:space="0" w:color="auto"/>
        <w:right w:val="none" w:sz="0" w:space="0" w:color="auto"/>
      </w:divBdr>
      <w:divsChild>
        <w:div w:id="2038118981">
          <w:marLeft w:val="0"/>
          <w:marRight w:val="0"/>
          <w:marTop w:val="0"/>
          <w:marBottom w:val="0"/>
          <w:divBdr>
            <w:top w:val="none" w:sz="0" w:space="0" w:color="auto"/>
            <w:left w:val="none" w:sz="0" w:space="0" w:color="auto"/>
            <w:bottom w:val="none" w:sz="0" w:space="0" w:color="auto"/>
            <w:right w:val="none" w:sz="0" w:space="0" w:color="auto"/>
          </w:divBdr>
          <w:divsChild>
            <w:div w:id="249580936">
              <w:marLeft w:val="0"/>
              <w:marRight w:val="0"/>
              <w:marTop w:val="0"/>
              <w:marBottom w:val="0"/>
              <w:divBdr>
                <w:top w:val="none" w:sz="0" w:space="0" w:color="auto"/>
                <w:left w:val="none" w:sz="0" w:space="0" w:color="auto"/>
                <w:bottom w:val="none" w:sz="0" w:space="0" w:color="auto"/>
                <w:right w:val="none" w:sz="0" w:space="0" w:color="auto"/>
              </w:divBdr>
              <w:divsChild>
                <w:div w:id="2051878121">
                  <w:marLeft w:val="0"/>
                  <w:marRight w:val="0"/>
                  <w:marTop w:val="0"/>
                  <w:marBottom w:val="0"/>
                  <w:divBdr>
                    <w:top w:val="none" w:sz="0" w:space="0" w:color="auto"/>
                    <w:left w:val="none" w:sz="0" w:space="0" w:color="auto"/>
                    <w:bottom w:val="none" w:sz="0" w:space="0" w:color="auto"/>
                    <w:right w:val="none" w:sz="0" w:space="0" w:color="auto"/>
                  </w:divBdr>
                  <w:divsChild>
                    <w:div w:id="404686992">
                      <w:marLeft w:val="0"/>
                      <w:marRight w:val="0"/>
                      <w:marTop w:val="0"/>
                      <w:marBottom w:val="0"/>
                      <w:divBdr>
                        <w:top w:val="none" w:sz="0" w:space="0" w:color="auto"/>
                        <w:left w:val="none" w:sz="0" w:space="0" w:color="auto"/>
                        <w:bottom w:val="none" w:sz="0" w:space="0" w:color="auto"/>
                        <w:right w:val="none" w:sz="0" w:space="0" w:color="auto"/>
                      </w:divBdr>
                      <w:divsChild>
                        <w:div w:id="1271665125">
                          <w:marLeft w:val="0"/>
                          <w:marRight w:val="0"/>
                          <w:marTop w:val="0"/>
                          <w:marBottom w:val="0"/>
                          <w:divBdr>
                            <w:top w:val="none" w:sz="0" w:space="0" w:color="auto"/>
                            <w:left w:val="none" w:sz="0" w:space="0" w:color="auto"/>
                            <w:bottom w:val="none" w:sz="0" w:space="0" w:color="auto"/>
                            <w:right w:val="none" w:sz="0" w:space="0" w:color="auto"/>
                          </w:divBdr>
                          <w:divsChild>
                            <w:div w:id="54471094">
                              <w:marLeft w:val="0"/>
                              <w:marRight w:val="0"/>
                              <w:marTop w:val="0"/>
                              <w:marBottom w:val="0"/>
                              <w:divBdr>
                                <w:top w:val="none" w:sz="0" w:space="0" w:color="auto"/>
                                <w:left w:val="none" w:sz="0" w:space="0" w:color="auto"/>
                                <w:bottom w:val="none" w:sz="0" w:space="0" w:color="auto"/>
                                <w:right w:val="none" w:sz="0" w:space="0" w:color="auto"/>
                              </w:divBdr>
                              <w:divsChild>
                                <w:div w:id="1256399331">
                                  <w:marLeft w:val="0"/>
                                  <w:marRight w:val="0"/>
                                  <w:marTop w:val="0"/>
                                  <w:marBottom w:val="0"/>
                                  <w:divBdr>
                                    <w:top w:val="none" w:sz="0" w:space="0" w:color="auto"/>
                                    <w:left w:val="none" w:sz="0" w:space="0" w:color="auto"/>
                                    <w:bottom w:val="none" w:sz="0" w:space="0" w:color="auto"/>
                                    <w:right w:val="none" w:sz="0" w:space="0" w:color="auto"/>
                                  </w:divBdr>
                                  <w:divsChild>
                                    <w:div w:id="1070150191">
                                      <w:marLeft w:val="0"/>
                                      <w:marRight w:val="0"/>
                                      <w:marTop w:val="0"/>
                                      <w:marBottom w:val="0"/>
                                      <w:divBdr>
                                        <w:top w:val="none" w:sz="0" w:space="0" w:color="auto"/>
                                        <w:left w:val="none" w:sz="0" w:space="0" w:color="auto"/>
                                        <w:bottom w:val="none" w:sz="0" w:space="0" w:color="auto"/>
                                        <w:right w:val="none" w:sz="0" w:space="0" w:color="auto"/>
                                      </w:divBdr>
                                      <w:divsChild>
                                        <w:div w:id="1054082453">
                                          <w:marLeft w:val="0"/>
                                          <w:marRight w:val="0"/>
                                          <w:marTop w:val="0"/>
                                          <w:marBottom w:val="495"/>
                                          <w:divBdr>
                                            <w:top w:val="none" w:sz="0" w:space="0" w:color="auto"/>
                                            <w:left w:val="none" w:sz="0" w:space="0" w:color="auto"/>
                                            <w:bottom w:val="none" w:sz="0" w:space="0" w:color="auto"/>
                                            <w:right w:val="none" w:sz="0" w:space="0" w:color="auto"/>
                                          </w:divBdr>
                                          <w:divsChild>
                                            <w:div w:id="4439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039049">
      <w:bodyDiv w:val="1"/>
      <w:marLeft w:val="0"/>
      <w:marRight w:val="0"/>
      <w:marTop w:val="0"/>
      <w:marBottom w:val="0"/>
      <w:divBdr>
        <w:top w:val="none" w:sz="0" w:space="0" w:color="auto"/>
        <w:left w:val="none" w:sz="0" w:space="0" w:color="auto"/>
        <w:bottom w:val="none" w:sz="0" w:space="0" w:color="auto"/>
        <w:right w:val="none" w:sz="0" w:space="0" w:color="auto"/>
      </w:divBdr>
      <w:divsChild>
        <w:div w:id="33846498">
          <w:marLeft w:val="75"/>
          <w:marRight w:val="75"/>
          <w:marTop w:val="0"/>
          <w:marBottom w:val="75"/>
          <w:divBdr>
            <w:top w:val="none" w:sz="0" w:space="0" w:color="auto"/>
            <w:left w:val="none" w:sz="0" w:space="0" w:color="auto"/>
            <w:bottom w:val="none" w:sz="0" w:space="0" w:color="auto"/>
            <w:right w:val="none" w:sz="0" w:space="0" w:color="auto"/>
          </w:divBdr>
          <w:divsChild>
            <w:div w:id="1437406206">
              <w:marLeft w:val="0"/>
              <w:marRight w:val="0"/>
              <w:marTop w:val="0"/>
              <w:marBottom w:val="0"/>
              <w:divBdr>
                <w:top w:val="none" w:sz="0" w:space="0" w:color="auto"/>
                <w:left w:val="none" w:sz="0" w:space="0" w:color="auto"/>
                <w:bottom w:val="none" w:sz="0" w:space="0" w:color="auto"/>
                <w:right w:val="none" w:sz="0" w:space="0" w:color="auto"/>
              </w:divBdr>
              <w:divsChild>
                <w:div w:id="12248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5802">
      <w:bodyDiv w:val="1"/>
      <w:marLeft w:val="0"/>
      <w:marRight w:val="0"/>
      <w:marTop w:val="0"/>
      <w:marBottom w:val="0"/>
      <w:divBdr>
        <w:top w:val="none" w:sz="0" w:space="0" w:color="auto"/>
        <w:left w:val="none" w:sz="0" w:space="0" w:color="auto"/>
        <w:bottom w:val="none" w:sz="0" w:space="0" w:color="auto"/>
        <w:right w:val="none" w:sz="0" w:space="0" w:color="auto"/>
      </w:divBdr>
      <w:divsChild>
        <w:div w:id="168837069">
          <w:marLeft w:val="75"/>
          <w:marRight w:val="75"/>
          <w:marTop w:val="0"/>
          <w:marBottom w:val="75"/>
          <w:divBdr>
            <w:top w:val="none" w:sz="0" w:space="0" w:color="auto"/>
            <w:left w:val="none" w:sz="0" w:space="0" w:color="auto"/>
            <w:bottom w:val="none" w:sz="0" w:space="0" w:color="auto"/>
            <w:right w:val="none" w:sz="0" w:space="0" w:color="auto"/>
          </w:divBdr>
          <w:divsChild>
            <w:div w:id="924993761">
              <w:marLeft w:val="0"/>
              <w:marRight w:val="0"/>
              <w:marTop w:val="0"/>
              <w:marBottom w:val="0"/>
              <w:divBdr>
                <w:top w:val="none" w:sz="0" w:space="0" w:color="auto"/>
                <w:left w:val="none" w:sz="0" w:space="0" w:color="auto"/>
                <w:bottom w:val="none" w:sz="0" w:space="0" w:color="auto"/>
                <w:right w:val="none" w:sz="0" w:space="0" w:color="auto"/>
              </w:divBdr>
              <w:divsChild>
                <w:div w:id="19805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223245">
      <w:bodyDiv w:val="1"/>
      <w:marLeft w:val="0"/>
      <w:marRight w:val="0"/>
      <w:marTop w:val="0"/>
      <w:marBottom w:val="0"/>
      <w:divBdr>
        <w:top w:val="none" w:sz="0" w:space="0" w:color="auto"/>
        <w:left w:val="none" w:sz="0" w:space="0" w:color="auto"/>
        <w:bottom w:val="none" w:sz="0" w:space="0" w:color="auto"/>
        <w:right w:val="none" w:sz="0" w:space="0" w:color="auto"/>
      </w:divBdr>
      <w:divsChild>
        <w:div w:id="924144138">
          <w:marLeft w:val="0"/>
          <w:marRight w:val="0"/>
          <w:marTop w:val="0"/>
          <w:marBottom w:val="0"/>
          <w:divBdr>
            <w:top w:val="none" w:sz="0" w:space="0" w:color="auto"/>
            <w:left w:val="none" w:sz="0" w:space="0" w:color="auto"/>
            <w:bottom w:val="none" w:sz="0" w:space="0" w:color="auto"/>
            <w:right w:val="none" w:sz="0" w:space="0" w:color="auto"/>
          </w:divBdr>
          <w:divsChild>
            <w:div w:id="252015936">
              <w:marLeft w:val="0"/>
              <w:marRight w:val="0"/>
              <w:marTop w:val="0"/>
              <w:marBottom w:val="0"/>
              <w:divBdr>
                <w:top w:val="none" w:sz="0" w:space="0" w:color="auto"/>
                <w:left w:val="none" w:sz="0" w:space="0" w:color="auto"/>
                <w:bottom w:val="none" w:sz="0" w:space="0" w:color="auto"/>
                <w:right w:val="none" w:sz="0" w:space="0" w:color="auto"/>
              </w:divBdr>
              <w:divsChild>
                <w:div w:id="465200082">
                  <w:marLeft w:val="0"/>
                  <w:marRight w:val="0"/>
                  <w:marTop w:val="0"/>
                  <w:marBottom w:val="0"/>
                  <w:divBdr>
                    <w:top w:val="none" w:sz="0" w:space="0" w:color="auto"/>
                    <w:left w:val="none" w:sz="0" w:space="0" w:color="auto"/>
                    <w:bottom w:val="none" w:sz="0" w:space="0" w:color="auto"/>
                    <w:right w:val="none" w:sz="0" w:space="0" w:color="auto"/>
                  </w:divBdr>
                  <w:divsChild>
                    <w:div w:id="776490787">
                      <w:marLeft w:val="0"/>
                      <w:marRight w:val="0"/>
                      <w:marTop w:val="0"/>
                      <w:marBottom w:val="0"/>
                      <w:divBdr>
                        <w:top w:val="none" w:sz="0" w:space="0" w:color="auto"/>
                        <w:left w:val="none" w:sz="0" w:space="0" w:color="auto"/>
                        <w:bottom w:val="none" w:sz="0" w:space="0" w:color="auto"/>
                        <w:right w:val="none" w:sz="0" w:space="0" w:color="auto"/>
                      </w:divBdr>
                      <w:divsChild>
                        <w:div w:id="196742086">
                          <w:marLeft w:val="0"/>
                          <w:marRight w:val="0"/>
                          <w:marTop w:val="0"/>
                          <w:marBottom w:val="0"/>
                          <w:divBdr>
                            <w:top w:val="none" w:sz="0" w:space="0" w:color="auto"/>
                            <w:left w:val="none" w:sz="0" w:space="0" w:color="auto"/>
                            <w:bottom w:val="none" w:sz="0" w:space="0" w:color="auto"/>
                            <w:right w:val="none" w:sz="0" w:space="0" w:color="auto"/>
                          </w:divBdr>
                          <w:divsChild>
                            <w:div w:id="77866751">
                              <w:marLeft w:val="0"/>
                              <w:marRight w:val="0"/>
                              <w:marTop w:val="0"/>
                              <w:marBottom w:val="0"/>
                              <w:divBdr>
                                <w:top w:val="none" w:sz="0" w:space="0" w:color="auto"/>
                                <w:left w:val="none" w:sz="0" w:space="0" w:color="auto"/>
                                <w:bottom w:val="none" w:sz="0" w:space="0" w:color="auto"/>
                                <w:right w:val="none" w:sz="0" w:space="0" w:color="auto"/>
                              </w:divBdr>
                              <w:divsChild>
                                <w:div w:id="941646288">
                                  <w:marLeft w:val="0"/>
                                  <w:marRight w:val="0"/>
                                  <w:marTop w:val="0"/>
                                  <w:marBottom w:val="0"/>
                                  <w:divBdr>
                                    <w:top w:val="none" w:sz="0" w:space="0" w:color="auto"/>
                                    <w:left w:val="none" w:sz="0" w:space="0" w:color="auto"/>
                                    <w:bottom w:val="none" w:sz="0" w:space="0" w:color="auto"/>
                                    <w:right w:val="none" w:sz="0" w:space="0" w:color="auto"/>
                                  </w:divBdr>
                                  <w:divsChild>
                                    <w:div w:id="406807200">
                                      <w:marLeft w:val="0"/>
                                      <w:marRight w:val="0"/>
                                      <w:marTop w:val="0"/>
                                      <w:marBottom w:val="0"/>
                                      <w:divBdr>
                                        <w:top w:val="none" w:sz="0" w:space="0" w:color="auto"/>
                                        <w:left w:val="none" w:sz="0" w:space="0" w:color="auto"/>
                                        <w:bottom w:val="none" w:sz="0" w:space="0" w:color="auto"/>
                                        <w:right w:val="none" w:sz="0" w:space="0" w:color="auto"/>
                                      </w:divBdr>
                                      <w:divsChild>
                                        <w:div w:id="375393555">
                                          <w:marLeft w:val="0"/>
                                          <w:marRight w:val="0"/>
                                          <w:marTop w:val="0"/>
                                          <w:marBottom w:val="495"/>
                                          <w:divBdr>
                                            <w:top w:val="none" w:sz="0" w:space="0" w:color="auto"/>
                                            <w:left w:val="none" w:sz="0" w:space="0" w:color="auto"/>
                                            <w:bottom w:val="none" w:sz="0" w:space="0" w:color="auto"/>
                                            <w:right w:val="none" w:sz="0" w:space="0" w:color="auto"/>
                                          </w:divBdr>
                                          <w:divsChild>
                                            <w:div w:id="17551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D/Cybersecurity/Pages/cybersecurity-events.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ybersecurity/Pages/cyberdrill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D/Cybersecurity/Pages/national-CIR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dms_pub/itu-d/opb/str/D-STR-CYB_GUIDE.01-2018-PDF-F.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53300-B6D7-4EA6-B643-119B9672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81</TotalTime>
  <Pages>5</Pages>
  <Words>4279</Words>
  <Characters>1077</Characters>
  <Application>Microsoft Office Word</Application>
  <DocSecurity>0</DocSecurity>
  <Lines>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Hongli</dc:creator>
  <cp:lastModifiedBy>BDT</cp:lastModifiedBy>
  <cp:revision>7</cp:revision>
  <cp:lastPrinted>2014-06-10T13:01:00Z</cp:lastPrinted>
  <dcterms:created xsi:type="dcterms:W3CDTF">2019-02-06T08:24:00Z</dcterms:created>
  <dcterms:modified xsi:type="dcterms:W3CDTF">2019-02-07T07:03:00Z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