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0E3057" w:rsidTr="006D7E3A">
        <w:trPr>
          <w:cantSplit/>
          <w:trHeight w:val="1134"/>
        </w:trPr>
        <w:tc>
          <w:tcPr>
            <w:tcW w:w="7251" w:type="dxa"/>
          </w:tcPr>
          <w:p w:rsidR="0021438F" w:rsidRPr="000E3057" w:rsidRDefault="0021438F" w:rsidP="00E96F16">
            <w:pPr>
              <w:tabs>
                <w:tab w:val="left" w:pos="1871"/>
                <w:tab w:val="left" w:pos="2268"/>
              </w:tabs>
              <w:spacing w:before="20" w:after="48"/>
              <w:ind w:left="34"/>
              <w:rPr>
                <w:b/>
                <w:bCs/>
                <w:sz w:val="32"/>
                <w:szCs w:val="32"/>
              </w:rPr>
            </w:pPr>
            <w:r w:rsidRPr="000E3057">
              <w:rPr>
                <w:b/>
                <w:sz w:val="32"/>
                <w:szCs w:val="32"/>
              </w:rPr>
              <w:t>Groupe</w:t>
            </w:r>
            <w:r w:rsidRPr="000E3057">
              <w:rPr>
                <w:b/>
                <w:bCs/>
                <w:sz w:val="32"/>
                <w:szCs w:val="32"/>
              </w:rPr>
              <w:t xml:space="preserve"> consultatif pour le développement </w:t>
            </w:r>
            <w:r w:rsidRPr="000E3057">
              <w:rPr>
                <w:b/>
                <w:bCs/>
                <w:sz w:val="32"/>
                <w:szCs w:val="32"/>
              </w:rPr>
              <w:br/>
              <w:t>des télécommunications (GCDT)</w:t>
            </w:r>
          </w:p>
          <w:p w:rsidR="0021438F" w:rsidRPr="000E3057" w:rsidRDefault="00D87E6C" w:rsidP="00E96F16">
            <w:pPr>
              <w:tabs>
                <w:tab w:val="clear" w:pos="1191"/>
                <w:tab w:val="clear" w:pos="1588"/>
                <w:tab w:val="clear" w:pos="1985"/>
              </w:tabs>
              <w:spacing w:before="100" w:after="120"/>
              <w:ind w:left="34"/>
              <w:rPr>
                <w:rFonts w:ascii="Verdana" w:hAnsi="Verdana"/>
                <w:sz w:val="28"/>
                <w:szCs w:val="28"/>
              </w:rPr>
            </w:pPr>
            <w:r w:rsidRPr="000E3057">
              <w:rPr>
                <w:b/>
                <w:bCs/>
                <w:sz w:val="26"/>
                <w:szCs w:val="26"/>
              </w:rPr>
              <w:t>24ème réunion, Genève, 3-5 avril 2019</w:t>
            </w:r>
          </w:p>
        </w:tc>
        <w:tc>
          <w:tcPr>
            <w:tcW w:w="2996" w:type="dxa"/>
          </w:tcPr>
          <w:p w:rsidR="0021438F" w:rsidRPr="000E3057" w:rsidRDefault="00D87E6C" w:rsidP="00E96F16">
            <w:pPr>
              <w:spacing w:before="0"/>
              <w:ind w:right="142"/>
              <w:jc w:val="right"/>
            </w:pPr>
            <w:r w:rsidRPr="000E3057">
              <w:rPr>
                <w:noProof/>
                <w:color w:val="3399FF"/>
                <w:lang w:val="fr-CH"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0E3057" w:rsidTr="000C61E9">
        <w:trPr>
          <w:cantSplit/>
        </w:trPr>
        <w:tc>
          <w:tcPr>
            <w:tcW w:w="7251" w:type="dxa"/>
            <w:tcBorders>
              <w:top w:val="single" w:sz="12" w:space="0" w:color="auto"/>
            </w:tcBorders>
          </w:tcPr>
          <w:p w:rsidR="00683C32" w:rsidRPr="000E3057" w:rsidRDefault="00683C32" w:rsidP="00E96F16">
            <w:pPr>
              <w:spacing w:before="0"/>
              <w:rPr>
                <w:rFonts w:cs="Arial"/>
                <w:b/>
                <w:bCs/>
                <w:sz w:val="20"/>
              </w:rPr>
            </w:pPr>
          </w:p>
        </w:tc>
        <w:tc>
          <w:tcPr>
            <w:tcW w:w="2996" w:type="dxa"/>
            <w:tcBorders>
              <w:top w:val="single" w:sz="12" w:space="0" w:color="auto"/>
            </w:tcBorders>
          </w:tcPr>
          <w:p w:rsidR="00683C32" w:rsidRPr="000E3057" w:rsidRDefault="00683C32" w:rsidP="00E96F16">
            <w:pPr>
              <w:spacing w:before="0"/>
              <w:rPr>
                <w:b/>
                <w:bCs/>
                <w:sz w:val="20"/>
              </w:rPr>
            </w:pPr>
          </w:p>
        </w:tc>
      </w:tr>
      <w:tr w:rsidR="00683C32" w:rsidRPr="000E3057" w:rsidTr="000C61E9">
        <w:trPr>
          <w:cantSplit/>
        </w:trPr>
        <w:tc>
          <w:tcPr>
            <w:tcW w:w="7251" w:type="dxa"/>
          </w:tcPr>
          <w:p w:rsidR="00683C32" w:rsidRPr="000E3057" w:rsidRDefault="00683C32" w:rsidP="00E96F16">
            <w:pPr>
              <w:pStyle w:val="Committee"/>
              <w:spacing w:before="0"/>
              <w:rPr>
                <w:b w:val="0"/>
                <w:szCs w:val="24"/>
              </w:rPr>
            </w:pPr>
          </w:p>
        </w:tc>
        <w:tc>
          <w:tcPr>
            <w:tcW w:w="2996" w:type="dxa"/>
          </w:tcPr>
          <w:p w:rsidR="00683C32" w:rsidRPr="000E3057" w:rsidRDefault="00323587" w:rsidP="00E96F16">
            <w:pPr>
              <w:spacing w:before="0"/>
              <w:rPr>
                <w:bCs/>
                <w:szCs w:val="24"/>
              </w:rPr>
            </w:pPr>
            <w:r w:rsidRPr="000E3057">
              <w:rPr>
                <w:b/>
                <w:bCs/>
                <w:szCs w:val="28"/>
              </w:rPr>
              <w:t xml:space="preserve">Document </w:t>
            </w:r>
            <w:bookmarkStart w:id="0" w:name="DocRef1"/>
            <w:bookmarkEnd w:id="0"/>
            <w:r w:rsidRPr="000E3057">
              <w:rPr>
                <w:b/>
                <w:bCs/>
                <w:szCs w:val="28"/>
              </w:rPr>
              <w:t>TDAG</w:t>
            </w:r>
            <w:r w:rsidR="008F20EB" w:rsidRPr="000E3057">
              <w:rPr>
                <w:b/>
                <w:bCs/>
                <w:szCs w:val="28"/>
              </w:rPr>
              <w:t>-</w:t>
            </w:r>
            <w:r w:rsidRPr="000E3057">
              <w:rPr>
                <w:b/>
                <w:bCs/>
                <w:szCs w:val="28"/>
              </w:rPr>
              <w:t>1</w:t>
            </w:r>
            <w:r w:rsidR="00D87E6C" w:rsidRPr="000E3057">
              <w:rPr>
                <w:b/>
                <w:bCs/>
                <w:szCs w:val="28"/>
              </w:rPr>
              <w:t>9</w:t>
            </w:r>
            <w:r w:rsidRPr="000E3057">
              <w:rPr>
                <w:b/>
                <w:bCs/>
                <w:szCs w:val="28"/>
              </w:rPr>
              <w:t>/</w:t>
            </w:r>
            <w:bookmarkStart w:id="1" w:name="DocNo1"/>
            <w:bookmarkEnd w:id="1"/>
            <w:r w:rsidR="006604A7" w:rsidRPr="000E3057">
              <w:rPr>
                <w:b/>
                <w:bCs/>
                <w:szCs w:val="28"/>
              </w:rPr>
              <w:t>30</w:t>
            </w:r>
            <w:r w:rsidRPr="000E3057">
              <w:rPr>
                <w:b/>
                <w:bCs/>
                <w:szCs w:val="28"/>
              </w:rPr>
              <w:t>-F</w:t>
            </w:r>
          </w:p>
        </w:tc>
      </w:tr>
      <w:tr w:rsidR="00683C32" w:rsidRPr="000E3057" w:rsidTr="000C61E9">
        <w:trPr>
          <w:cantSplit/>
        </w:trPr>
        <w:tc>
          <w:tcPr>
            <w:tcW w:w="7251" w:type="dxa"/>
          </w:tcPr>
          <w:p w:rsidR="00683C32" w:rsidRPr="000E3057" w:rsidRDefault="00683C32" w:rsidP="00E96F16">
            <w:pPr>
              <w:spacing w:before="0"/>
              <w:rPr>
                <w:b/>
                <w:bCs/>
                <w:smallCaps/>
                <w:szCs w:val="24"/>
              </w:rPr>
            </w:pPr>
          </w:p>
        </w:tc>
        <w:tc>
          <w:tcPr>
            <w:tcW w:w="2996" w:type="dxa"/>
          </w:tcPr>
          <w:p w:rsidR="00683C32" w:rsidRPr="000E3057" w:rsidRDefault="006604A7" w:rsidP="00E96F16">
            <w:pPr>
              <w:spacing w:before="0"/>
              <w:rPr>
                <w:b/>
                <w:szCs w:val="24"/>
              </w:rPr>
            </w:pPr>
            <w:bookmarkStart w:id="2" w:name="CreationDate"/>
            <w:bookmarkEnd w:id="2"/>
            <w:r w:rsidRPr="000E3057">
              <w:rPr>
                <w:b/>
                <w:bCs/>
                <w:szCs w:val="28"/>
              </w:rPr>
              <w:t>25 janvier</w:t>
            </w:r>
            <w:r w:rsidR="00323587" w:rsidRPr="000E3057">
              <w:rPr>
                <w:b/>
                <w:bCs/>
                <w:szCs w:val="28"/>
              </w:rPr>
              <w:t xml:space="preserve"> 201</w:t>
            </w:r>
            <w:r w:rsidR="00D87E6C" w:rsidRPr="000E3057">
              <w:rPr>
                <w:b/>
                <w:bCs/>
                <w:szCs w:val="28"/>
              </w:rPr>
              <w:t>9</w:t>
            </w:r>
          </w:p>
        </w:tc>
      </w:tr>
      <w:tr w:rsidR="00683C32" w:rsidRPr="000E3057" w:rsidTr="000C61E9">
        <w:trPr>
          <w:cantSplit/>
        </w:trPr>
        <w:tc>
          <w:tcPr>
            <w:tcW w:w="7251" w:type="dxa"/>
          </w:tcPr>
          <w:p w:rsidR="00683C32" w:rsidRPr="000E3057" w:rsidRDefault="00683C32" w:rsidP="00E96F16">
            <w:pPr>
              <w:spacing w:before="0"/>
              <w:rPr>
                <w:b/>
                <w:bCs/>
                <w:smallCaps/>
                <w:szCs w:val="24"/>
              </w:rPr>
            </w:pPr>
          </w:p>
        </w:tc>
        <w:tc>
          <w:tcPr>
            <w:tcW w:w="2996" w:type="dxa"/>
          </w:tcPr>
          <w:p w:rsidR="00514D2F" w:rsidRPr="000E3057" w:rsidRDefault="00323587" w:rsidP="00E96F16">
            <w:pPr>
              <w:spacing w:before="0"/>
              <w:rPr>
                <w:szCs w:val="24"/>
              </w:rPr>
            </w:pPr>
            <w:r w:rsidRPr="000E3057">
              <w:rPr>
                <w:b/>
                <w:szCs w:val="28"/>
              </w:rPr>
              <w:t>Original:</w:t>
            </w:r>
            <w:bookmarkStart w:id="3" w:name="Original"/>
            <w:bookmarkEnd w:id="3"/>
            <w:r w:rsidR="00F20E22">
              <w:rPr>
                <w:b/>
                <w:szCs w:val="28"/>
              </w:rPr>
              <w:t xml:space="preserve"> anglais</w:t>
            </w:r>
          </w:p>
        </w:tc>
      </w:tr>
      <w:tr w:rsidR="00A13162" w:rsidRPr="000E3057" w:rsidTr="000C61E9">
        <w:trPr>
          <w:cantSplit/>
          <w:trHeight w:val="852"/>
        </w:trPr>
        <w:tc>
          <w:tcPr>
            <w:tcW w:w="10247" w:type="dxa"/>
            <w:gridSpan w:val="2"/>
          </w:tcPr>
          <w:p w:rsidR="00A13162" w:rsidRPr="000E3057" w:rsidRDefault="006604A7" w:rsidP="00E96F16">
            <w:pPr>
              <w:pStyle w:val="Source"/>
            </w:pPr>
            <w:bookmarkStart w:id="4" w:name="Source"/>
            <w:bookmarkEnd w:id="4"/>
            <w:r w:rsidRPr="000E3057">
              <w:t>Directrice du Bureau de développement des télécommunications</w:t>
            </w:r>
          </w:p>
        </w:tc>
      </w:tr>
      <w:tr w:rsidR="00AC6F14" w:rsidRPr="000E3057" w:rsidTr="000C61E9">
        <w:trPr>
          <w:cantSplit/>
        </w:trPr>
        <w:tc>
          <w:tcPr>
            <w:tcW w:w="10247" w:type="dxa"/>
            <w:gridSpan w:val="2"/>
          </w:tcPr>
          <w:p w:rsidR="00AC6F14" w:rsidRPr="000E3057" w:rsidRDefault="006604A7" w:rsidP="00E96F16">
            <w:pPr>
              <w:pStyle w:val="Title1"/>
            </w:pPr>
            <w:bookmarkStart w:id="5" w:name="Title"/>
            <w:bookmarkEnd w:id="5"/>
            <w:r w:rsidRPr="000E3057">
              <w:rPr>
                <w:szCs w:val="28"/>
              </w:rPr>
              <w:t>ACTIVITÉS EN MATIÈRE DE CYBERSÉCURITÉ ET D'APPLICATIONS TIC</w:t>
            </w:r>
          </w:p>
        </w:tc>
      </w:tr>
      <w:tr w:rsidR="00A721F4" w:rsidRPr="000E3057" w:rsidTr="000C61E9">
        <w:trPr>
          <w:cantSplit/>
        </w:trPr>
        <w:tc>
          <w:tcPr>
            <w:tcW w:w="10247" w:type="dxa"/>
            <w:gridSpan w:val="2"/>
            <w:tcBorders>
              <w:bottom w:val="single" w:sz="4" w:space="0" w:color="auto"/>
            </w:tcBorders>
          </w:tcPr>
          <w:p w:rsidR="00A721F4" w:rsidRPr="000E3057" w:rsidRDefault="00A721F4" w:rsidP="00E96F16"/>
        </w:tc>
      </w:tr>
      <w:tr w:rsidR="00A721F4" w:rsidRPr="000E305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0E3057" w:rsidRDefault="00156BF6" w:rsidP="00E96F16">
            <w:pPr>
              <w:rPr>
                <w:b/>
                <w:bCs/>
                <w:szCs w:val="24"/>
              </w:rPr>
            </w:pPr>
            <w:r w:rsidRPr="000E3057">
              <w:rPr>
                <w:b/>
                <w:bCs/>
                <w:szCs w:val="24"/>
              </w:rPr>
              <w:t>Résumé:</w:t>
            </w:r>
          </w:p>
          <w:p w:rsidR="006604A7" w:rsidRPr="000E3057" w:rsidRDefault="006604A7" w:rsidP="00E96F16">
            <w:pPr>
              <w:rPr>
                <w:szCs w:val="24"/>
              </w:rPr>
            </w:pPr>
            <w:r w:rsidRPr="000E3057">
              <w:rPr>
                <w:szCs w:val="24"/>
              </w:rPr>
              <w:t>Le présent document donne une vue d'ensemble des activités menées dans les domaines de la cybersécurité et des applications TIC, qui sont deux des produits et buts adoptés par la Conférence mondiale de développement des télécommunications en 2017 (CMDT-17) et confirmés par la Conférence de plénipotentiaires en 2018 (PP-18), respectivement.</w:t>
            </w:r>
          </w:p>
          <w:p w:rsidR="00A721F4" w:rsidRPr="000E3057" w:rsidRDefault="006604A7" w:rsidP="00E96F16">
            <w:pPr>
              <w:rPr>
                <w:szCs w:val="24"/>
              </w:rPr>
            </w:pPr>
            <w:r w:rsidRPr="000E3057">
              <w:rPr>
                <w:szCs w:val="24"/>
              </w:rPr>
              <w:t>Compte tenu de la gestion axée sur les résultats et des actions menées, le présent rapport fait le point sur les objectifs et les stratégies de mise en oeuvre en matière de cybersécurité et d'applications TIC, les principales activités qui ont déjà été déployées et celles qui sont prévues, et la marche à suivre pour mettre en oeuvre les objectifs en matière de cybersécurité.</w:t>
            </w:r>
          </w:p>
          <w:p w:rsidR="00A721F4" w:rsidRPr="000E3057" w:rsidRDefault="00156BF6" w:rsidP="00E96F16">
            <w:pPr>
              <w:rPr>
                <w:b/>
                <w:bCs/>
                <w:szCs w:val="24"/>
              </w:rPr>
            </w:pPr>
            <w:r w:rsidRPr="000E3057">
              <w:rPr>
                <w:b/>
                <w:bCs/>
                <w:szCs w:val="24"/>
              </w:rPr>
              <w:t>Suite à donner:</w:t>
            </w:r>
          </w:p>
          <w:p w:rsidR="006604A7" w:rsidRPr="000E3057" w:rsidRDefault="006604A7" w:rsidP="00E96F16">
            <w:pPr>
              <w:rPr>
                <w:szCs w:val="24"/>
              </w:rPr>
            </w:pPr>
            <w:r w:rsidRPr="000E3057">
              <w:rPr>
                <w:rFonts w:cs="Calibri"/>
                <w:szCs w:val="24"/>
              </w:rPr>
              <w:t>Le GCDT est invité à prendre note du présent document et à fournir les indications qu'il jugera utiles.</w:t>
            </w:r>
          </w:p>
          <w:p w:rsidR="006604A7" w:rsidRPr="000E3057" w:rsidRDefault="006604A7" w:rsidP="00E96F16">
            <w:pPr>
              <w:rPr>
                <w:b/>
                <w:bCs/>
                <w:szCs w:val="24"/>
              </w:rPr>
            </w:pPr>
            <w:r w:rsidRPr="000E3057">
              <w:rPr>
                <w:b/>
                <w:bCs/>
                <w:szCs w:val="24"/>
              </w:rPr>
              <w:t>Références:</w:t>
            </w:r>
          </w:p>
          <w:p w:rsidR="00A721F4" w:rsidRPr="000E3057" w:rsidRDefault="006604A7" w:rsidP="00F20E22">
            <w:pPr>
              <w:spacing w:after="120"/>
            </w:pPr>
            <w:r w:rsidRPr="000E3057">
              <w:rPr>
                <w:szCs w:val="24"/>
              </w:rPr>
              <w:t>Déclaration de Buenos Aires adoptée par la CMDT-17; Résolutions 3</w:t>
            </w:r>
            <w:r w:rsidR="00F20E22">
              <w:rPr>
                <w:szCs w:val="24"/>
              </w:rPr>
              <w:t>0 (Rév.Buenos Aires, 2017), 37 (Rév.Buenos Aires, 2017), 45 (Rév.</w:t>
            </w:r>
            <w:r w:rsidRPr="000E3057">
              <w:rPr>
                <w:szCs w:val="24"/>
              </w:rPr>
              <w:t>Buenos Aires, 2017), 67 (Rév</w:t>
            </w:r>
            <w:r w:rsidR="00F20E22">
              <w:rPr>
                <w:szCs w:val="24"/>
              </w:rPr>
              <w:t>.Buenos Aires, 2017), 69 (Rév.Buenos Aires, 2017), 77 (Rév.Buenos Aires, 2017), 80 (Rév.</w:t>
            </w:r>
            <w:r w:rsidRPr="000E3057">
              <w:rPr>
                <w:szCs w:val="24"/>
              </w:rPr>
              <w:t>Buenos Aires, 2017) de la CMDT; Résolutions 130 (Rév. Dubaï, 2018), 139 (Rév. Dubaï, 2018), 179 (Rév.</w:t>
            </w:r>
            <w:r w:rsidR="00F20E22">
              <w:rPr>
                <w:szCs w:val="24"/>
              </w:rPr>
              <w:t xml:space="preserve"> Dubaï, 2018), 197 (Rév. Dubaï, </w:t>
            </w:r>
            <w:r w:rsidRPr="000E3057">
              <w:rPr>
                <w:szCs w:val="24"/>
              </w:rPr>
              <w:t>2018) et 201 (Rév. Dubaï, 2018) de la PP.</w:t>
            </w:r>
          </w:p>
        </w:tc>
      </w:tr>
    </w:tbl>
    <w:p w:rsidR="006604A7" w:rsidRPr="000E3057" w:rsidRDefault="006604A7" w:rsidP="00722B78">
      <w:pPr>
        <w:pStyle w:val="Heading1"/>
        <w:keepNext w:val="0"/>
        <w:keepLines w:val="0"/>
      </w:pPr>
      <w:bookmarkStart w:id="6" w:name="Proposal"/>
      <w:bookmarkEnd w:id="6"/>
      <w:r w:rsidRPr="00577DD7">
        <w:rPr>
          <w:sz w:val="24"/>
        </w:rPr>
        <w:br w:type="page"/>
      </w:r>
      <w:r w:rsidRPr="000E3057">
        <w:lastRenderedPageBreak/>
        <w:t>1</w:t>
      </w:r>
      <w:r w:rsidRPr="000E3057">
        <w:tab/>
        <w:t>Cybersécurité</w:t>
      </w:r>
    </w:p>
    <w:p w:rsidR="006604A7" w:rsidRPr="000E3057" w:rsidRDefault="006604A7" w:rsidP="00722B78">
      <w:pPr>
        <w:pStyle w:val="Heading2"/>
        <w:keepNext w:val="0"/>
        <w:keepLines w:val="0"/>
      </w:pPr>
      <w:r w:rsidRPr="000E3057">
        <w:t>1.1</w:t>
      </w:r>
      <w:r w:rsidRPr="000E3057">
        <w:tab/>
      </w:r>
      <w:r w:rsidRPr="00577DD7">
        <w:t>Rappel</w:t>
      </w:r>
    </w:p>
    <w:p w:rsidR="006604A7" w:rsidRPr="000E3057" w:rsidRDefault="006604A7" w:rsidP="00F95D2F">
      <w:bookmarkStart w:id="7" w:name="lt_pId022"/>
      <w:r w:rsidRPr="000E3057">
        <w:t>La cybersécurité a été reconnue co</w:t>
      </w:r>
      <w:r w:rsidR="00652889" w:rsidRPr="000E3057">
        <w:t>mme l'un des principaux but</w:t>
      </w:r>
      <w:r w:rsidRPr="000E3057">
        <w:t>s des membres de l'UIT lors des Conférences mondiales de développement des télécommunications (CMDT) et des Conférences de plénipotentiaires</w:t>
      </w:r>
      <w:bookmarkEnd w:id="7"/>
      <w:r w:rsidRPr="000E3057">
        <w:t xml:space="preserve"> (PP) au cours des années.</w:t>
      </w:r>
    </w:p>
    <w:p w:rsidR="006604A7" w:rsidRPr="000E3057" w:rsidRDefault="006604A7" w:rsidP="00F95D2F">
      <w:pPr>
        <w:rPr>
          <w:b/>
          <w:bCs/>
        </w:rPr>
      </w:pPr>
      <w:r w:rsidRPr="000E3057">
        <w:rPr>
          <w:lang w:eastAsia="zh-CN"/>
        </w:rPr>
        <w:t>A l'issue de la CMDT-17</w:t>
      </w:r>
      <w:r w:rsidRPr="000E3057">
        <w:t>, les principaux objectifs de l'UIT-D dans le cadre de sa mission en matière de cybersécurité consistent à fournir des produits et des services destinés à établir la confiance et la sécurité dans l'utilisation des télécommunications/technologies de l'information et de la communication (TIC)</w:t>
      </w:r>
      <w:r w:rsidRPr="000E3057">
        <w:rPr>
          <w:lang w:eastAsia="ko-KR"/>
        </w:rPr>
        <w:t xml:space="preserve">, tels que des rapports et des publications, et à contribuer à la mise en oeuvre d'initiatives à l'échelle nationale et internationale. </w:t>
      </w:r>
    </w:p>
    <w:p w:rsidR="006604A7" w:rsidRPr="000E3057" w:rsidRDefault="006604A7" w:rsidP="00F95D2F">
      <w:pPr>
        <w:rPr>
          <w:lang w:eastAsia="ko-KR"/>
        </w:rPr>
      </w:pPr>
      <w:bookmarkStart w:id="8" w:name="lt_pId037"/>
      <w:r w:rsidRPr="000E3057">
        <w:rPr>
          <w:lang w:eastAsia="ko-KR"/>
        </w:rPr>
        <w:t>Le Produit D 2.2 du Plan d'action de Buenos Aires (PaBa) précise certains moyens de parvenir aux objectifs en matière de cybersécurité définis par la CMDT-17, qui consistent notamment à:</w:t>
      </w:r>
      <w:bookmarkEnd w:id="8"/>
    </w:p>
    <w:p w:rsidR="006604A7" w:rsidRPr="000E3057" w:rsidRDefault="006604A7" w:rsidP="00085E19">
      <w:pPr>
        <w:pStyle w:val="enumlev1"/>
        <w:rPr>
          <w:rFonts w:eastAsia="SimHei"/>
        </w:rPr>
      </w:pPr>
      <w:r w:rsidRPr="000E3057">
        <w:rPr>
          <w:rFonts w:eastAsia="SimHei"/>
          <w:lang w:eastAsia="zh-CN"/>
        </w:rPr>
        <w:t>–</w:t>
      </w:r>
      <w:r w:rsidRPr="000E3057">
        <w:rPr>
          <w:rFonts w:eastAsia="SimHei"/>
        </w:rPr>
        <w:tab/>
      </w:r>
      <w:r w:rsidRPr="00085E19">
        <w:rPr>
          <w:rFonts w:eastAsia="Calibri"/>
        </w:rPr>
        <w:t>renforcer</w:t>
      </w:r>
      <w:r w:rsidRPr="000E3057">
        <w:rPr>
          <w:rFonts w:eastAsia="Calibri"/>
        </w:rPr>
        <w:t xml:space="preserve"> les capacités</w:t>
      </w:r>
      <w:r w:rsidR="00652889" w:rsidRPr="000E3057">
        <w:rPr>
          <w:rFonts w:eastAsia="Calibri"/>
        </w:rPr>
        <w:t xml:space="preserve"> des Etats Membres pour </w:t>
      </w:r>
      <w:r w:rsidRPr="000E3057">
        <w:rPr>
          <w:rFonts w:eastAsia="Calibri"/>
        </w:rPr>
        <w:t xml:space="preserve">échanger </w:t>
      </w:r>
      <w:r w:rsidR="00652889" w:rsidRPr="000E3057">
        <w:rPr>
          <w:rFonts w:eastAsia="Calibri"/>
        </w:rPr>
        <w:t>des informations, trouver des solutions et</w:t>
      </w:r>
      <w:r w:rsidRPr="000E3057">
        <w:rPr>
          <w:rFonts w:eastAsia="Calibri"/>
        </w:rPr>
        <w:t xml:space="preserve"> lutter contre les menaces en matière de cybersécurité</w:t>
      </w:r>
      <w:r w:rsidRPr="000E3057">
        <w:rPr>
          <w:rFonts w:eastAsia="SimHei"/>
        </w:rPr>
        <w:t>;</w:t>
      </w:r>
    </w:p>
    <w:p w:rsidR="006604A7" w:rsidRPr="000E3057" w:rsidRDefault="006604A7" w:rsidP="00F95D2F">
      <w:pPr>
        <w:pStyle w:val="enumlev1"/>
        <w:ind w:left="0" w:firstLine="0"/>
        <w:rPr>
          <w:rFonts w:eastAsia="SimHei"/>
        </w:rPr>
      </w:pPr>
      <w:r w:rsidRPr="000E3057">
        <w:t>–</w:t>
      </w:r>
      <w:r w:rsidRPr="000E3057">
        <w:rPr>
          <w:rFonts w:eastAsia="SimHei"/>
        </w:rPr>
        <w:tab/>
      </w:r>
      <w:r w:rsidRPr="000E3057">
        <w:rPr>
          <w:rFonts w:eastAsia="Calibri"/>
        </w:rPr>
        <w:t>élaborer et mettre en oeuvre des stratégies et des capacités au niveau national</w:t>
      </w:r>
      <w:r w:rsidR="00F20E22">
        <w:rPr>
          <w:rFonts w:eastAsia="Calibri"/>
        </w:rPr>
        <w:t>;</w:t>
      </w:r>
    </w:p>
    <w:p w:rsidR="006604A7" w:rsidRPr="000E3057" w:rsidRDefault="006604A7" w:rsidP="00F95D2F">
      <w:pPr>
        <w:pStyle w:val="enumlev1"/>
        <w:ind w:left="0" w:firstLine="0"/>
      </w:pPr>
      <w:r w:rsidRPr="000E3057">
        <w:t>–</w:t>
      </w:r>
      <w:r w:rsidRPr="000E3057">
        <w:rPr>
          <w:rFonts w:eastAsia="SimHei"/>
        </w:rPr>
        <w:tab/>
      </w:r>
      <w:r w:rsidRPr="000E3057">
        <w:rPr>
          <w:rFonts w:eastAsia="Calibri"/>
        </w:rPr>
        <w:t>renforcer les capacités humaines et institutionnelles;</w:t>
      </w:r>
    </w:p>
    <w:p w:rsidR="006604A7" w:rsidRPr="000E3057" w:rsidRDefault="006604A7" w:rsidP="00577DD7">
      <w:pPr>
        <w:pStyle w:val="enumlev1"/>
        <w:rPr>
          <w:rFonts w:eastAsia="Calibri"/>
        </w:rPr>
      </w:pPr>
      <w:r w:rsidRPr="000E3057">
        <w:t>–</w:t>
      </w:r>
      <w:r w:rsidRPr="000E3057">
        <w:tab/>
        <w:t>encourager</w:t>
      </w:r>
      <w:r w:rsidRPr="000E3057">
        <w:rPr>
          <w:rFonts w:eastAsia="Calibri"/>
        </w:rPr>
        <w:t xml:space="preserve"> la coopération aux niveaux national, régional et international en vue d'une </w:t>
      </w:r>
      <w:r w:rsidRPr="00577DD7">
        <w:rPr>
          <w:rFonts w:eastAsia="Calibri"/>
        </w:rPr>
        <w:t>participation</w:t>
      </w:r>
      <w:r w:rsidRPr="000E3057">
        <w:rPr>
          <w:rFonts w:eastAsia="Calibri"/>
        </w:rPr>
        <w:t xml:space="preserve"> accrue entre les Etats Membres et les acteurs concernés;</w:t>
      </w:r>
    </w:p>
    <w:p w:rsidR="006604A7" w:rsidRPr="000E3057" w:rsidRDefault="006604A7" w:rsidP="00F95D2F">
      <w:pPr>
        <w:pStyle w:val="enumlev1"/>
        <w:ind w:left="0" w:firstLine="0"/>
        <w:rPr>
          <w:rFonts w:eastAsia="SimHei"/>
        </w:rPr>
      </w:pPr>
      <w:r w:rsidRPr="000E3057">
        <w:t>–</w:t>
      </w:r>
      <w:r w:rsidRPr="000E3057">
        <w:rPr>
          <w:rFonts w:eastAsia="SimHei"/>
        </w:rPr>
        <w:tab/>
        <w:t>établir de nouveaux partenariats; et</w:t>
      </w:r>
    </w:p>
    <w:p w:rsidR="006604A7" w:rsidRPr="000E3057" w:rsidRDefault="006604A7" w:rsidP="00577DD7">
      <w:pPr>
        <w:pStyle w:val="enumlev1"/>
        <w:rPr>
          <w:rFonts w:eastAsia="SimHei"/>
        </w:rPr>
      </w:pPr>
      <w:r w:rsidRPr="000E3057">
        <w:t>–</w:t>
      </w:r>
      <w:r w:rsidRPr="000E3057">
        <w:rPr>
          <w:rFonts w:eastAsia="SimHei"/>
        </w:rPr>
        <w:tab/>
        <w:t>mener d'autres activités nécessaires pour concrétiser les objectifs en matière de cybersécurité.</w:t>
      </w:r>
    </w:p>
    <w:p w:rsidR="006604A7" w:rsidRPr="000E3057" w:rsidRDefault="006604A7" w:rsidP="00722B78">
      <w:pPr>
        <w:pStyle w:val="Heading2"/>
        <w:keepNext w:val="0"/>
        <w:keepLines w:val="0"/>
        <w:rPr>
          <w:szCs w:val="24"/>
        </w:rPr>
      </w:pPr>
      <w:r w:rsidRPr="000E3057">
        <w:t>1.2</w:t>
      </w:r>
      <w:r w:rsidRPr="000E3057">
        <w:tab/>
        <w:t>Principales activités et principaux résultats</w:t>
      </w:r>
    </w:p>
    <w:p w:rsidR="006604A7" w:rsidRPr="000E3057" w:rsidRDefault="006604A7" w:rsidP="00F20E22">
      <w:r w:rsidRPr="000E3057">
        <w:t xml:space="preserve">Dans le cadre de son programme sur la cybersécurité, l'UIT-D met en oeuvre des activités qui consistent notamment à élaborer des publications et à organiser des ateliers nationaux et régionaux sur le renforcement des capacités, et collabore avec des partenaires en vue de fournir des produits et des services de qualité. Depuis la dernière réunion du GCDT, le BDT a établi plusieurs nouveaux partenariats afin d'aider à élaborer, à </w:t>
      </w:r>
      <w:r w:rsidR="00652889" w:rsidRPr="000E3057">
        <w:t>facilit</w:t>
      </w:r>
      <w:r w:rsidRPr="000E3057">
        <w:t xml:space="preserve">er et à </w:t>
      </w:r>
      <w:r w:rsidR="00652889" w:rsidRPr="000E3057">
        <w:t>mettre en oeuvre d</w:t>
      </w:r>
      <w:r w:rsidRPr="000E3057">
        <w:t>es projets et d'échanger des connaissances et des informations sur les sujets connexes, en consultation avec ses membres et les principaux acteurs concernés. Le BDT coordonne également des a</w:t>
      </w:r>
      <w:r w:rsidR="00652889" w:rsidRPr="000E3057">
        <w:t xml:space="preserve">ctivités avec les </w:t>
      </w:r>
      <w:r w:rsidRPr="000E3057">
        <w:t xml:space="preserve">autres Secteurs de l'UIT </w:t>
      </w:r>
      <w:r w:rsidR="00652889" w:rsidRPr="000E3057">
        <w:t xml:space="preserve">et des partenaires </w:t>
      </w:r>
      <w:r w:rsidRPr="000E3057">
        <w:t xml:space="preserve">en vue d'accélérer la mise en oeuvre </w:t>
      </w:r>
      <w:r w:rsidR="00652889" w:rsidRPr="000E3057">
        <w:t>d'</w:t>
      </w:r>
      <w:r w:rsidRPr="000E3057">
        <w:t>activités et le lancement d'initiatives axées sur les principaux défis à relever avec les acteurs concernés pour ce qui est des questions de cybersécurité.</w:t>
      </w:r>
    </w:p>
    <w:p w:rsidR="006604A7" w:rsidRPr="000E3057" w:rsidRDefault="006604A7" w:rsidP="00722B78">
      <w:pPr>
        <w:pStyle w:val="Heading3"/>
        <w:keepNext w:val="0"/>
        <w:keepLines w:val="0"/>
      </w:pPr>
      <w:r w:rsidRPr="000E3057">
        <w:t>1.2.1</w:t>
      </w:r>
      <w:r w:rsidRPr="000E3057">
        <w:tab/>
        <w:t>Elaboration et examen de stratégies de cybersécurité</w:t>
      </w:r>
    </w:p>
    <w:p w:rsidR="00F20E22" w:rsidRDefault="006604A7" w:rsidP="00F20E22">
      <w:r w:rsidRPr="000E3057">
        <w:t xml:space="preserve">Un </w:t>
      </w:r>
      <w:hyperlink r:id="rId9" w:history="1">
        <w:r w:rsidRPr="000E3057">
          <w:rPr>
            <w:rStyle w:val="Hyperlink"/>
            <w:rFonts w:cstheme="minorBidi"/>
            <w:szCs w:val="24"/>
          </w:rPr>
          <w:t>Guide pour l'élaboration d'une stratégie nationale de cybersécurité</w:t>
        </w:r>
      </w:hyperlink>
      <w:r w:rsidRPr="000E3057">
        <w:t xml:space="preserve">, présenté officiellement à l'occasion d'ITU Telecom World 2018, a été élaboré dans le cadre d'une action coordonnée par l'UIT qui a fait appel à de multiples parties prenantes et en partenariat avec 11 entités issues aussi bien d'organisations intergouvernementales et internationales, que du secteur privé, des établissements universitaires et de la </w:t>
      </w:r>
      <w:r w:rsidR="000E3057" w:rsidRPr="000E3057">
        <w:t>soci</w:t>
      </w:r>
      <w:r w:rsidR="000E3057">
        <w:t>é</w:t>
      </w:r>
      <w:r w:rsidR="000E3057" w:rsidRPr="000E3057">
        <w:t>té</w:t>
      </w:r>
      <w:r w:rsidRPr="000E3057">
        <w:t xml:space="preserve"> civile. Ce guide a pour objectif principal d'aider les pays à élaborer et à mettre en oeuvre des stratégies nationales en matière de cybersécurité, </w:t>
      </w:r>
      <w:r w:rsidR="00F20E22">
        <w:br w:type="page"/>
      </w:r>
    </w:p>
    <w:p w:rsidR="006604A7" w:rsidRPr="000E3057" w:rsidRDefault="006604A7" w:rsidP="00F20E22">
      <w:pPr>
        <w:rPr>
          <w:rFonts w:cstheme="minorBidi"/>
          <w:szCs w:val="24"/>
        </w:rPr>
      </w:pPr>
      <w:r w:rsidRPr="000E3057">
        <w:lastRenderedPageBreak/>
        <w:t>notamment en ce qui concerne la cyberpréparation et la résilience. Il</w:t>
      </w:r>
      <w:r w:rsidR="0077253F" w:rsidRPr="000E3057">
        <w:t xml:space="preserve"> sert de guide de référence et </w:t>
      </w:r>
      <w:r w:rsidRPr="000E3057">
        <w:rPr>
          <w:rFonts w:cstheme="minorBidi"/>
          <w:szCs w:val="24"/>
        </w:rPr>
        <w:t>constitue une ressource unique et complète qui permet aux pays de bien comprendre l'objet et le contenu d'une stratégie nationale de cybersécurité et leur donne des orientations concrètes pour qu'ils puissent développer leur propre stratégie.</w:t>
      </w:r>
    </w:p>
    <w:p w:rsidR="006604A7" w:rsidRPr="000E3057" w:rsidRDefault="006604A7" w:rsidP="00085E19">
      <w:pPr>
        <w:pStyle w:val="Heading3"/>
        <w:keepNext w:val="0"/>
        <w:keepLines w:val="0"/>
      </w:pPr>
      <w:r w:rsidRPr="000E3057">
        <w:t>1.2.2</w:t>
      </w:r>
      <w:r w:rsidRPr="000E3057">
        <w:tab/>
      </w:r>
      <w:r w:rsidRPr="00085E19">
        <w:t>Programme</w:t>
      </w:r>
      <w:r w:rsidRPr="000E3057">
        <w:t xml:space="preserve"> d'assistance des équipes CIRT </w:t>
      </w:r>
    </w:p>
    <w:p w:rsidR="006604A7" w:rsidRPr="000E3057" w:rsidRDefault="006604A7" w:rsidP="00F95D2F">
      <w:pPr>
        <w:tabs>
          <w:tab w:val="left" w:pos="0"/>
        </w:tabs>
        <w:rPr>
          <w:szCs w:val="24"/>
        </w:rPr>
      </w:pPr>
      <w:r w:rsidRPr="000E3057">
        <w:rPr>
          <w:szCs w:val="24"/>
        </w:rPr>
        <w:t xml:space="preserve">Dans le cadre de son </w:t>
      </w:r>
      <w:hyperlink r:id="rId10" w:history="1">
        <w:r w:rsidRPr="000E3057">
          <w:rPr>
            <w:rStyle w:val="Hyperlink"/>
            <w:szCs w:val="24"/>
          </w:rPr>
          <w:t>Programme sur les équipes d'intervention en cas d'incidents informatiques (CIRT)</w:t>
        </w:r>
      </w:hyperlink>
      <w:r w:rsidRPr="000E3057">
        <w:rPr>
          <w:szCs w:val="24"/>
        </w:rPr>
        <w:t>, le BDT mène plusieurs activités qui donnent des résultats précis à différentes étapes:</w:t>
      </w:r>
    </w:p>
    <w:p w:rsidR="006604A7" w:rsidRPr="000E3057" w:rsidRDefault="006604A7" w:rsidP="00577DD7">
      <w:pPr>
        <w:pStyle w:val="enumlev1"/>
      </w:pPr>
      <w:r w:rsidRPr="000E3057">
        <w:t>–</w:t>
      </w:r>
      <w:r w:rsidRPr="000E3057">
        <w:tab/>
      </w:r>
      <w:r w:rsidRPr="00577DD7">
        <w:t>Evaluation</w:t>
      </w:r>
      <w:r w:rsidRPr="000E3057">
        <w:t xml:space="preserve"> de l'état de préparation</w:t>
      </w:r>
      <w:r w:rsidR="00652889" w:rsidRPr="000E3057">
        <w:t xml:space="preserve"> en vue de la mise en place d'une équipe CIRT </w:t>
      </w:r>
      <w:r w:rsidRPr="000E3057">
        <w:t>– cette activité a pour objet d'examiner la situation actuelle dans les pays qui ont indiqué qu'ils souhaitaient mettre en place une équipe CIRT et de fournir un rapport qui donne une vue d'ensemble à ce sujet.</w:t>
      </w:r>
    </w:p>
    <w:p w:rsidR="006604A7" w:rsidRPr="000E3057" w:rsidRDefault="006604A7" w:rsidP="00577DD7">
      <w:pPr>
        <w:pStyle w:val="enumlev1"/>
      </w:pPr>
      <w:r w:rsidRPr="000E3057">
        <w:t>–</w:t>
      </w:r>
      <w:r w:rsidRPr="000E3057">
        <w:tab/>
      </w:r>
      <w:r w:rsidRPr="00577DD7">
        <w:t>Conception</w:t>
      </w:r>
      <w:r w:rsidRPr="000E3057">
        <w:t xml:space="preserve"> d'une équipe CIRT – cette activité a pour objet de fournir un document sur la conception d'une équipe CIRT.</w:t>
      </w:r>
    </w:p>
    <w:p w:rsidR="006604A7" w:rsidRPr="000E3057" w:rsidRDefault="006604A7" w:rsidP="00577DD7">
      <w:pPr>
        <w:pStyle w:val="enumlev1"/>
      </w:pPr>
      <w:r w:rsidRPr="000E3057">
        <w:t>–</w:t>
      </w:r>
      <w:r w:rsidRPr="000E3057">
        <w:tab/>
        <w:t>Mise en place d'une équipe CIRT – cette activité porte sur la fourniture de services de base et de services améliorés.</w:t>
      </w:r>
    </w:p>
    <w:p w:rsidR="006604A7" w:rsidRPr="000E3057" w:rsidRDefault="006604A7" w:rsidP="00F95D2F">
      <w:pPr>
        <w:tabs>
          <w:tab w:val="left" w:pos="0"/>
        </w:tabs>
        <w:rPr>
          <w:szCs w:val="24"/>
        </w:rPr>
      </w:pPr>
      <w:r w:rsidRPr="000E3057">
        <w:rPr>
          <w:szCs w:val="24"/>
        </w:rPr>
        <w:t xml:space="preserve">A ce jour, l'UIT a réalisé 75 évaluations de l'état de préparation </w:t>
      </w:r>
      <w:r w:rsidR="00652889" w:rsidRPr="000E3057">
        <w:t xml:space="preserve">en vue de la mise en place </w:t>
      </w:r>
      <w:r w:rsidRPr="000E3057">
        <w:rPr>
          <w:szCs w:val="24"/>
        </w:rPr>
        <w:t xml:space="preserve">d'équipes CIRT et a </w:t>
      </w:r>
      <w:r w:rsidR="00652889" w:rsidRPr="000E3057">
        <w:rPr>
          <w:szCs w:val="24"/>
        </w:rPr>
        <w:t xml:space="preserve">mené à bien </w:t>
      </w:r>
      <w:r w:rsidRPr="000E3057">
        <w:rPr>
          <w:szCs w:val="24"/>
        </w:rPr>
        <w:t>13 projets d'équipes CIRT. En 2019, il est prévu de mettre en place cinq (5) équipes CIRT nationales.</w:t>
      </w:r>
    </w:p>
    <w:p w:rsidR="006604A7" w:rsidRPr="000E3057" w:rsidRDefault="006604A7" w:rsidP="00577DD7">
      <w:pPr>
        <w:pStyle w:val="Heading3"/>
        <w:rPr>
          <w:szCs w:val="24"/>
        </w:rPr>
      </w:pPr>
      <w:r w:rsidRPr="000E3057">
        <w:rPr>
          <w:szCs w:val="24"/>
        </w:rPr>
        <w:t>1.2.3</w:t>
      </w:r>
      <w:r w:rsidRPr="000E3057">
        <w:rPr>
          <w:szCs w:val="24"/>
        </w:rPr>
        <w:tab/>
      </w:r>
      <w:r w:rsidRPr="00577DD7">
        <w:t>Mesurer</w:t>
      </w:r>
      <w:r w:rsidRPr="000E3057">
        <w:rPr>
          <w:szCs w:val="24"/>
        </w:rPr>
        <w:t xml:space="preserve"> les progrès réalisés en matière de cybersécurité – </w:t>
      </w:r>
      <w:hyperlink r:id="rId11" w:history="1">
        <w:r w:rsidRPr="000E3057">
          <w:t>L'Indice</w:t>
        </w:r>
      </w:hyperlink>
      <w:r w:rsidRPr="000E3057">
        <w:t xml:space="preserve"> mondial de cybersécurité</w:t>
      </w:r>
    </w:p>
    <w:p w:rsidR="006604A7" w:rsidRPr="000E3057" w:rsidRDefault="006604A7" w:rsidP="00F95D2F">
      <w:r w:rsidRPr="000E3057">
        <w:t xml:space="preserve">En 2018, des données ont été recueillies auprès de 155 pays en vue de préparer la troisième édition de l'Indice mondial de cybersécurité. Cet Indice permet de mesurer les progrès réalisés par les pays en matière de cybersécurité et les aide à identifier les domaines dans lesquels ils peuvent apporter des améliorations. Grâce aux informations recueillies, l'Indice a pour objet d'illustrer les pratiques en cours afin que les Etats Membres de l'UIT puissent déceler les lacunes et procéder à des améliorations le cas échéant. </w:t>
      </w:r>
    </w:p>
    <w:p w:rsidR="006604A7" w:rsidRPr="000E3057" w:rsidRDefault="006604A7" w:rsidP="00577DD7">
      <w:pPr>
        <w:pStyle w:val="Heading3"/>
      </w:pPr>
      <w:r w:rsidRPr="000E3057">
        <w:t>1.2.4</w:t>
      </w:r>
      <w:r w:rsidRPr="000E3057">
        <w:tab/>
        <w:t>Exercices dans le domaine de la cybersécurité (</w:t>
      </w:r>
      <w:hyperlink r:id="rId12" w:history="1">
        <w:r w:rsidRPr="000E3057">
          <w:t>Cyberexercices</w:t>
        </w:r>
      </w:hyperlink>
      <w:r w:rsidRPr="000E3057">
        <w:t xml:space="preserve">) </w:t>
      </w:r>
      <w:r w:rsidRPr="000E3057">
        <w:rPr>
          <w:szCs w:val="24"/>
        </w:rPr>
        <w:t>–</w:t>
      </w:r>
      <w:r w:rsidRPr="000E3057">
        <w:t xml:space="preserve"> Renforcement des moyens et des capacités</w:t>
      </w:r>
    </w:p>
    <w:p w:rsidR="006604A7" w:rsidRPr="000E3057" w:rsidRDefault="006604A7" w:rsidP="00E96F16">
      <w:pPr>
        <w:spacing w:after="120"/>
        <w:rPr>
          <w:szCs w:val="24"/>
        </w:rPr>
      </w:pPr>
      <w:r w:rsidRPr="000E3057">
        <w:rPr>
          <w:szCs w:val="24"/>
        </w:rPr>
        <w:t xml:space="preserve">L'UIT réalise des cyberexercices à l'échelle régionale et nationale pour ses </w:t>
      </w:r>
      <w:r w:rsidR="00652889" w:rsidRPr="000E3057">
        <w:rPr>
          <w:szCs w:val="24"/>
        </w:rPr>
        <w:t>Etats Membres</w:t>
      </w:r>
      <w:r w:rsidRPr="000E3057">
        <w:rPr>
          <w:szCs w:val="24"/>
        </w:rPr>
        <w:t xml:space="preserve">. Ces cyberexercices visent à améliorer la communication entre les équipes participantes et à renforcer leurs moyens d'intervention en cas d'incident, ainsi qu'à entretenir et à accroître la coopération au niveau national et international entre les pays pour garantir un effort collectif constant de lutte contre les cybermenaces. L'UIT a organisé 25 cyberexercices, auxquels plus de cent pays ont participé. En 2019, il est prévu d'organiser des exercices en Europe (Roumanie) et en Afrique (Afrique du Sud). Des exercices devraient également avoir lieu pour la région Asie-Pacifique, les Etats arabes et la Communauté des Etats indépendants (CEI). A l'heure actuelle, le BDT explore la possibilité d'établir une coopération interrégionale entre deux régions, afin de renforcer la coopération régionale et internationale. Les exercices sont réalisés conjointement avec différents partenaires, selon la région. </w:t>
      </w:r>
    </w:p>
    <w:p w:rsidR="006604A7" w:rsidRPr="000E3057" w:rsidRDefault="006604A7" w:rsidP="00577DD7">
      <w:pPr>
        <w:pStyle w:val="Heading3"/>
        <w:rPr>
          <w:bCs/>
          <w:szCs w:val="24"/>
        </w:rPr>
      </w:pPr>
      <w:r w:rsidRPr="000E3057">
        <w:rPr>
          <w:szCs w:val="24"/>
        </w:rPr>
        <w:lastRenderedPageBreak/>
        <w:t>1.2.5</w:t>
      </w:r>
      <w:r w:rsidRPr="000E3057">
        <w:rPr>
          <w:b w:val="0"/>
          <w:bCs/>
          <w:szCs w:val="24"/>
        </w:rPr>
        <w:tab/>
      </w:r>
      <w:r w:rsidRPr="00577DD7">
        <w:t>Sensibilisation</w:t>
      </w:r>
      <w:r w:rsidRPr="000E3057">
        <w:rPr>
          <w:bCs/>
          <w:szCs w:val="24"/>
        </w:rPr>
        <w:t xml:space="preserve"> et échange d'informations</w:t>
      </w:r>
    </w:p>
    <w:p w:rsidR="006604A7" w:rsidRPr="000E3057" w:rsidRDefault="006604A7" w:rsidP="00E96F16">
      <w:pPr>
        <w:keepNext/>
        <w:keepLines/>
        <w:tabs>
          <w:tab w:val="left" w:pos="709"/>
        </w:tabs>
        <w:rPr>
          <w:rStyle w:val="Hyperlink"/>
          <w:szCs w:val="24"/>
          <w:u w:val="none"/>
        </w:rPr>
      </w:pPr>
      <w:r w:rsidRPr="000E3057">
        <w:rPr>
          <w:szCs w:val="24"/>
        </w:rPr>
        <w:t xml:space="preserve">Le BDT organise et co-organise en permanence des activités qui encouragent les actions de sensibilisation et l'échange d'informations, et y participe. Par l'intermédiaire de diverses plates-formes et manifestations, telles que le Sommet mondial sur la société de l'information (SMSI), les réunions des commissions d'études et d'autres ateliers, conférences et réunions, le BDT et ses partenaires organisent des activités de sensibilisation et d'échange d'informations. De plus amples informations sur les manifestations passées sont disponibles </w:t>
      </w:r>
      <w:hyperlink r:id="rId13" w:history="1">
        <w:r w:rsidRPr="000E3057">
          <w:rPr>
            <w:rStyle w:val="Hyperlink"/>
            <w:szCs w:val="24"/>
          </w:rPr>
          <w:t>ici</w:t>
        </w:r>
      </w:hyperlink>
      <w:r w:rsidRPr="000E3057">
        <w:rPr>
          <w:szCs w:val="24"/>
        </w:rPr>
        <w:t>.</w:t>
      </w:r>
    </w:p>
    <w:p w:rsidR="006604A7" w:rsidRPr="000E3057" w:rsidRDefault="006604A7" w:rsidP="00085E19">
      <w:pPr>
        <w:pStyle w:val="Heading3"/>
        <w:keepNext w:val="0"/>
        <w:keepLines w:val="0"/>
        <w:rPr>
          <w:bCs/>
          <w:szCs w:val="24"/>
        </w:rPr>
      </w:pPr>
      <w:r w:rsidRPr="000E3057">
        <w:rPr>
          <w:szCs w:val="24"/>
        </w:rPr>
        <w:t>1.2.6</w:t>
      </w:r>
      <w:r w:rsidRPr="000E3057">
        <w:rPr>
          <w:szCs w:val="24"/>
        </w:rPr>
        <w:tab/>
      </w:r>
      <w:r w:rsidRPr="00577DD7">
        <w:t>Etablissement</w:t>
      </w:r>
      <w:r w:rsidRPr="000E3057">
        <w:rPr>
          <w:bCs/>
          <w:szCs w:val="24"/>
        </w:rPr>
        <w:t xml:space="preserve"> de partenariats et collaboration à l'échelle mondiale</w:t>
      </w:r>
    </w:p>
    <w:p w:rsidR="006604A7" w:rsidRPr="000E3057" w:rsidRDefault="006604A7" w:rsidP="00E96F16">
      <w:pPr>
        <w:spacing w:after="120"/>
        <w:rPr>
          <w:szCs w:val="24"/>
        </w:rPr>
      </w:pPr>
      <w:r w:rsidRPr="000E3057">
        <w:rPr>
          <w:szCs w:val="24"/>
        </w:rPr>
        <w:t>L'UIT accorde une attention toute particulière à la coopération mondiale et à l'établissement de partenariats stratégiques dans les domaines ayant trait à la cybersécurité. L'UIT favorise la création de synergies fructueuses et maintient des partenariats mondiaux intéressants afin de renforcer la cybersécurité et de promouvoir la nécessité d'instaurer un environnement numérique sécurisé pour tous. L'UIT a récemment conclu des partenariats avec le Forum économique mondial et Interpol, entre autres.</w:t>
      </w:r>
    </w:p>
    <w:p w:rsidR="006604A7" w:rsidRPr="000E3057" w:rsidRDefault="00652889" w:rsidP="00E96F16">
      <w:pPr>
        <w:spacing w:after="120"/>
        <w:rPr>
          <w:szCs w:val="24"/>
        </w:rPr>
      </w:pPr>
      <w:r w:rsidRPr="000E3057">
        <w:rPr>
          <w:szCs w:val="24"/>
        </w:rPr>
        <w:t>Les partenaires</w:t>
      </w:r>
      <w:r w:rsidR="006604A7" w:rsidRPr="000E3057">
        <w:rPr>
          <w:szCs w:val="24"/>
        </w:rPr>
        <w:t xml:space="preserve"> de l'UIT </w:t>
      </w:r>
      <w:r w:rsidRPr="000E3057">
        <w:rPr>
          <w:szCs w:val="24"/>
        </w:rPr>
        <w:t xml:space="preserve">en matière de renforcement de la </w:t>
      </w:r>
      <w:r w:rsidR="006604A7" w:rsidRPr="000E3057">
        <w:rPr>
          <w:szCs w:val="24"/>
        </w:rPr>
        <w:t>cybersécurité sont regroupés comme suit:</w:t>
      </w:r>
    </w:p>
    <w:p w:rsidR="006604A7" w:rsidRPr="000E3057" w:rsidRDefault="006604A7" w:rsidP="00E96F16">
      <w:pPr>
        <w:pStyle w:val="enumlev1"/>
      </w:pPr>
      <w:r w:rsidRPr="000E3057">
        <w:t>–</w:t>
      </w:r>
      <w:r w:rsidRPr="000E3057">
        <w:tab/>
        <w:t>Organisations intergouvernementales: Institut interrégional de recherche des Nations Unies sur la criminalité et la justice (UNICRI), Office des Nations Unies contre la drogue et le crime (ONUDC), Commonwealth, Organisation des télécommunications du Commonwealth (CTO), Commission européenne (CE), Agence européenne chargée de la sécurité des ré</w:t>
      </w:r>
      <w:r w:rsidR="00F20E22">
        <w:t>seaux et de l’information, etc.</w:t>
      </w:r>
    </w:p>
    <w:p w:rsidR="006604A7" w:rsidRPr="000E3057" w:rsidRDefault="006604A7" w:rsidP="00E96F16">
      <w:pPr>
        <w:pStyle w:val="enumlev1"/>
      </w:pPr>
      <w:r w:rsidRPr="000E3057">
        <w:t>–</w:t>
      </w:r>
      <w:r w:rsidRPr="000E3057">
        <w:tab/>
        <w:t>Organisations internationales: Forum des équipes de veille et de réponse aux incidents de sécurité informatique, Internet Society (ISOC), Forum économique mondial, Forum mondial sur la cyberexpertise (</w:t>
      </w:r>
      <w:r w:rsidR="00F20E22">
        <w:t>GFCE), Processus MERIDIAN, etc.</w:t>
      </w:r>
    </w:p>
    <w:p w:rsidR="006604A7" w:rsidRPr="000E3057" w:rsidRDefault="006604A7" w:rsidP="00E96F16">
      <w:pPr>
        <w:pStyle w:val="enumlev1"/>
      </w:pPr>
      <w:r w:rsidRPr="000E3057">
        <w:t>–</w:t>
      </w:r>
      <w:r w:rsidRPr="000E3057">
        <w:tab/>
        <w:t>Secteur privé: Deloitte, Guardtime, Microsoft, HP, Symantec, Hi</w:t>
      </w:r>
      <w:r w:rsidR="00F20E22">
        <w:t>gh-Tech Bridge, Kaspersky, etc.</w:t>
      </w:r>
    </w:p>
    <w:p w:rsidR="006604A7" w:rsidRPr="000E3057" w:rsidRDefault="006604A7" w:rsidP="00E96F16">
      <w:pPr>
        <w:pStyle w:val="enumlev1"/>
      </w:pPr>
      <w:r w:rsidRPr="000E3057">
        <w:t>–</w:t>
      </w:r>
      <w:r w:rsidRPr="000E3057">
        <w:tab/>
        <w:t>Organisations non gouvernementales (ONG), société civile, établissements universitaires, sociétés philanthropiques: Université de l'Indiana, Institut Potomac d'études politiques, Institut australien de stratégie politique, Centre de Genève pour la politique de sécurité (</w:t>
      </w:r>
      <w:r w:rsidR="00F20E22">
        <w:t>GCSP), etc.</w:t>
      </w:r>
    </w:p>
    <w:p w:rsidR="006604A7" w:rsidRPr="000E3057" w:rsidRDefault="006604A7" w:rsidP="00E96F16">
      <w:pPr>
        <w:pStyle w:val="enumlev1"/>
      </w:pPr>
      <w:r w:rsidRPr="000E3057">
        <w:t>–</w:t>
      </w:r>
      <w:r w:rsidRPr="000E3057">
        <w:tab/>
        <w:t xml:space="preserve">Gouvernements ou entités affiliées au secteur public: Agence coréenne de l'Internet et de la sécurité (KISA), Autorité nationale de régulation des télécommunications de l'Egypte, etc. </w:t>
      </w:r>
    </w:p>
    <w:p w:rsidR="006604A7" w:rsidRPr="000E3057" w:rsidRDefault="006604A7" w:rsidP="00085E19">
      <w:pPr>
        <w:pStyle w:val="Heading2"/>
        <w:keepNext w:val="0"/>
        <w:keepLines w:val="0"/>
      </w:pPr>
      <w:r w:rsidRPr="000E3057">
        <w:t>1.3</w:t>
      </w:r>
      <w:r w:rsidRPr="000E3057">
        <w:tab/>
        <w:t>Marche à suivre</w:t>
      </w:r>
    </w:p>
    <w:p w:rsidR="006604A7" w:rsidRPr="000E3057" w:rsidRDefault="006604A7" w:rsidP="00E96F16">
      <w:pPr>
        <w:spacing w:after="120"/>
        <w:rPr>
          <w:szCs w:val="24"/>
        </w:rPr>
      </w:pPr>
      <w:r w:rsidRPr="000E3057">
        <w:rPr>
          <w:szCs w:val="24"/>
        </w:rPr>
        <w:t>Le BDT continuera de renforcer ses activités dans le domaine de la cybersécurité en approfondissant les produits qui consistent à:</w:t>
      </w:r>
    </w:p>
    <w:p w:rsidR="006604A7" w:rsidRPr="000E3057" w:rsidRDefault="006604A7" w:rsidP="00E96F16">
      <w:pPr>
        <w:pStyle w:val="enumlev1"/>
      </w:pPr>
      <w:r w:rsidRPr="000E3057">
        <w:t>–</w:t>
      </w:r>
      <w:r w:rsidRPr="000E3057">
        <w:tab/>
        <w:t>continuer de fournir une assistance technique aux Etats Membres moyennant des innovations et l'établissement de nouveaux partenariats fructueux;</w:t>
      </w:r>
    </w:p>
    <w:p w:rsidR="006604A7" w:rsidRPr="000E3057" w:rsidRDefault="006604A7" w:rsidP="00E96F16">
      <w:pPr>
        <w:pStyle w:val="enumlev1"/>
      </w:pPr>
      <w:r w:rsidRPr="000E3057">
        <w:t>–</w:t>
      </w:r>
      <w:r w:rsidRPr="000E3057">
        <w:tab/>
        <w:t xml:space="preserve">renforcer </w:t>
      </w:r>
      <w:r w:rsidR="00652889" w:rsidRPr="000E3057">
        <w:t>la mise en place</w:t>
      </w:r>
      <w:r w:rsidRPr="000E3057">
        <w:t xml:space="preserve"> de projets et d'activités ayant trait au renforcement des capacités humaines et institutionnelles;</w:t>
      </w:r>
    </w:p>
    <w:p w:rsidR="006604A7" w:rsidRPr="000E3057" w:rsidRDefault="006604A7" w:rsidP="00E96F16">
      <w:pPr>
        <w:pStyle w:val="enumlev1"/>
      </w:pPr>
      <w:r w:rsidRPr="000E3057">
        <w:lastRenderedPageBreak/>
        <w:t>–</w:t>
      </w:r>
      <w:r w:rsidRPr="000E3057">
        <w:tab/>
        <w:t>viser à proposer des projets et des initiatives destinés à avoir des retombées à grande échelle, tels que les activités menées au titre du programme sur les équipes CIRT nationales, l'élaboration et l'examen de politiques nationales de cybersécurité, etc.;</w:t>
      </w:r>
    </w:p>
    <w:p w:rsidR="006604A7" w:rsidRPr="000E3057" w:rsidRDefault="006604A7" w:rsidP="00E96F16">
      <w:pPr>
        <w:pStyle w:val="enumlev1"/>
      </w:pPr>
      <w:r w:rsidRPr="000E3057">
        <w:t>–</w:t>
      </w:r>
      <w:r w:rsidRPr="000E3057">
        <w:tab/>
        <w:t>continuer de mesurer les progrès réalisés en matière de cybersécurité au moyen de l'Indice mondial de cybersécurité, tout en améliorant la méthodologie et le mécanisme de notation en menant un dialogue constant et en collaborant avec les Etats Membres, les entreprises, les établissements universitaires et les spécialistes dans les domaines de la cybersécurité et de l'analyse de données;</w:t>
      </w:r>
    </w:p>
    <w:p w:rsidR="006604A7" w:rsidRPr="000E3057" w:rsidRDefault="006604A7" w:rsidP="00085E19">
      <w:pPr>
        <w:pStyle w:val="enumlev1"/>
      </w:pPr>
      <w:r w:rsidRPr="000E3057">
        <w:t>–</w:t>
      </w:r>
      <w:r w:rsidRPr="000E3057">
        <w:tab/>
      </w:r>
      <w:r w:rsidRPr="00085E19">
        <w:t>continuer</w:t>
      </w:r>
      <w:r w:rsidRPr="000E3057">
        <w:t xml:space="preserve"> de suivre les tendances en matière de cybersécurité et les nouveautés dans le domaine des télécommunications/TIC, telles que l'intelligence artificielle et l'apprentissage automatique, les mégadonnées, l'Internet des objets (IoT), la 5G, les cartes SIM intégrées (eSIM), etc.</w:t>
      </w:r>
    </w:p>
    <w:p w:rsidR="006604A7" w:rsidRPr="000E3057" w:rsidRDefault="006604A7" w:rsidP="00722B78">
      <w:pPr>
        <w:pStyle w:val="Heading1"/>
        <w:keepNext w:val="0"/>
        <w:keepLines w:val="0"/>
      </w:pPr>
      <w:r w:rsidRPr="000E3057">
        <w:t>2</w:t>
      </w:r>
      <w:r w:rsidRPr="000E3057">
        <w:tab/>
      </w:r>
      <w:r w:rsidRPr="00085E19">
        <w:t>Applications</w:t>
      </w:r>
      <w:r w:rsidRPr="000E3057">
        <w:t xml:space="preserve"> TIC</w:t>
      </w:r>
    </w:p>
    <w:p w:rsidR="006604A7" w:rsidRPr="000E3057" w:rsidRDefault="006604A7" w:rsidP="00722B78">
      <w:pPr>
        <w:pStyle w:val="Heading2"/>
        <w:keepNext w:val="0"/>
        <w:keepLines w:val="0"/>
      </w:pPr>
      <w:r w:rsidRPr="000E3057">
        <w:t>2.1</w:t>
      </w:r>
      <w:r w:rsidRPr="000E3057">
        <w:tab/>
        <w:t>Rappel</w:t>
      </w:r>
    </w:p>
    <w:p w:rsidR="006604A7" w:rsidRPr="000E3057" w:rsidRDefault="0077253F" w:rsidP="00F95D2F">
      <w:pPr>
        <w:tabs>
          <w:tab w:val="left" w:pos="709"/>
        </w:tabs>
        <w:rPr>
          <w:color w:val="000000"/>
        </w:rPr>
      </w:pPr>
      <w:r w:rsidRPr="000E3057">
        <w:rPr>
          <w:szCs w:val="24"/>
          <w:lang w:eastAsia="zh-CN"/>
        </w:rPr>
        <w:t>Les</w:t>
      </w:r>
      <w:r w:rsidR="006604A7" w:rsidRPr="000E3057">
        <w:rPr>
          <w:szCs w:val="24"/>
          <w:lang w:eastAsia="zh-CN"/>
        </w:rPr>
        <w:t xml:space="preserve"> Membres de l'UIT ont reconnu, tant aux Conférences mondiales de développement des télécommunications (CMDT-14 et CMDT-17) qu'aux Conférences de plénipotentiaires (PP-14 et PP-18), que les télécommunications/TIC et, en particulier, les technologies mobiles ont le plus grand potentiel de transformation de notre temps.</w:t>
      </w:r>
      <w:r w:rsidR="006604A7" w:rsidRPr="000E3057">
        <w:rPr>
          <w:szCs w:val="24"/>
        </w:rPr>
        <w:t xml:space="preserve"> </w:t>
      </w:r>
      <w:r w:rsidR="006604A7" w:rsidRPr="000E3057">
        <w:rPr>
          <w:color w:val="000000"/>
        </w:rPr>
        <w:t xml:space="preserve">Elles permettent de connecter même les communautés les plus isolées aux sources d'information et aux services susceptibles d'avoir une incidence directe sur leurs moyens d'existence et leur qualité de vie. </w:t>
      </w:r>
    </w:p>
    <w:p w:rsidR="006604A7" w:rsidRPr="000E3057" w:rsidRDefault="006604A7" w:rsidP="00F95D2F">
      <w:pPr>
        <w:tabs>
          <w:tab w:val="left" w:pos="709"/>
        </w:tabs>
      </w:pPr>
      <w:r w:rsidRPr="000E3057">
        <w:t>Etant donné que les grandes orientations du SMSI sont toujours pertinentes et compte tenu de l'adoption des nouveaux objectifs de développement durable, il est inévitable d'intégrer les innovations numériques dans tous les secteurs si nous voulons atte</w:t>
      </w:r>
      <w:r w:rsidR="00652889" w:rsidRPr="000E3057">
        <w:t>indre ces but</w:t>
      </w:r>
      <w:r w:rsidRPr="000E3057">
        <w:t>s à l'horizon 2030.</w:t>
      </w:r>
    </w:p>
    <w:p w:rsidR="006604A7" w:rsidRPr="000E3057" w:rsidRDefault="006604A7" w:rsidP="00F95D2F">
      <w:pPr>
        <w:tabs>
          <w:tab w:val="left" w:pos="709"/>
        </w:tabs>
        <w:rPr>
          <w:lang w:eastAsia="zh-CN"/>
        </w:rPr>
      </w:pPr>
      <w:r w:rsidRPr="000E3057">
        <w:rPr>
          <w:lang w:eastAsia="zh-CN"/>
        </w:rPr>
        <w:t>Conformément à la CMDT-14 et à la CMDT-17, les principaux objectifs du programme de l'UIT-D sur les services et applications TIC consistent à fournir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d'atteindre les Objectifs de développement durable (ODD) fixés par les Nations Unies et de mettre en oeuvre les grandes orientations du SMSI.</w:t>
      </w:r>
    </w:p>
    <w:p w:rsidR="006604A7" w:rsidRPr="000E3057" w:rsidRDefault="006604A7" w:rsidP="00F95D2F">
      <w:pPr>
        <w:tabs>
          <w:tab w:val="left" w:pos="709"/>
        </w:tabs>
      </w:pPr>
      <w:r w:rsidRPr="000E3057">
        <w:t xml:space="preserve">Le programme vise à fournir des produits et des services relatifs aux politiques en matière de télécommunications/TIC à l'appui du développement de l'économie numérique, aux applications TIC et aux nouvelles technologies, par exemple </w:t>
      </w:r>
      <w:r w:rsidR="00652889" w:rsidRPr="000E3057">
        <w:t>l'</w:t>
      </w:r>
      <w:r w:rsidRPr="000E3057">
        <w:t>échange d'information</w:t>
      </w:r>
      <w:r w:rsidR="00F95D2F" w:rsidRPr="000E3057">
        <w:t>s</w:t>
      </w:r>
      <w:r w:rsidRPr="000E3057">
        <w:t xml:space="preserve"> et </w:t>
      </w:r>
      <w:r w:rsidR="00652889" w:rsidRPr="000E3057">
        <w:t>l'</w:t>
      </w:r>
      <w:r w:rsidRPr="000E3057">
        <w:t>appui à la mise en oeuvre, études d'évaluation et kits pratiques sur les produits et services relatifs aux applications TIC</w:t>
      </w:r>
      <w:r w:rsidR="00652889" w:rsidRPr="000E3057">
        <w:t xml:space="preserve"> (produit 4.2)</w:t>
      </w:r>
      <w:r w:rsidRPr="000E3057">
        <w:t>.</w:t>
      </w:r>
    </w:p>
    <w:p w:rsidR="00F20E22" w:rsidRDefault="00F20E22" w:rsidP="00722B78">
      <w:pPr>
        <w:pStyle w:val="Heading2"/>
        <w:keepNext w:val="0"/>
        <w:keepLines w:val="0"/>
      </w:pPr>
      <w:bookmarkStart w:id="9" w:name="lt_pId047"/>
      <w:r>
        <w:br w:type="page"/>
      </w:r>
    </w:p>
    <w:p w:rsidR="006604A7" w:rsidRPr="000E3057" w:rsidRDefault="006604A7" w:rsidP="00722B78">
      <w:pPr>
        <w:pStyle w:val="Heading2"/>
        <w:keepNext w:val="0"/>
        <w:keepLines w:val="0"/>
      </w:pPr>
      <w:r w:rsidRPr="000E3057">
        <w:lastRenderedPageBreak/>
        <w:t>2.2</w:t>
      </w:r>
      <w:r w:rsidRPr="000E3057">
        <w:tab/>
        <w:t>Principales activités et principaux résultats</w:t>
      </w:r>
      <w:bookmarkEnd w:id="9"/>
    </w:p>
    <w:p w:rsidR="006604A7" w:rsidRPr="000E3057" w:rsidRDefault="006604A7" w:rsidP="00F95D2F">
      <w:pPr>
        <w:rPr>
          <w:szCs w:val="24"/>
        </w:rPr>
      </w:pPr>
      <w:r w:rsidRPr="000E3057">
        <w:rPr>
          <w:szCs w:val="24"/>
        </w:rPr>
        <w:t>En 2018, le BDT a organisé plusieurs activités importantes visant à:</w:t>
      </w:r>
    </w:p>
    <w:p w:rsidR="006604A7" w:rsidRPr="000E3057" w:rsidRDefault="006604A7" w:rsidP="00F95D2F">
      <w:pPr>
        <w:pStyle w:val="Headingb"/>
        <w:keepNext w:val="0"/>
        <w:rPr>
          <w:lang w:eastAsia="zh-CN"/>
        </w:rPr>
      </w:pPr>
      <w:r w:rsidRPr="000E3057">
        <w:rPr>
          <w:lang w:eastAsia="zh-CN"/>
        </w:rPr>
        <w:t xml:space="preserve">Appuyer l'élaboration de cadres nationaux de planification stratégique en faveur du développement de l'économie numérique et de kits pratiques associés </w:t>
      </w:r>
    </w:p>
    <w:p w:rsidR="006604A7" w:rsidRPr="000E3057" w:rsidRDefault="00652889" w:rsidP="00E96F16">
      <w:pPr>
        <w:spacing w:after="120"/>
        <w:rPr>
          <w:szCs w:val="24"/>
        </w:rPr>
      </w:pPr>
      <w:r w:rsidRPr="000E3057">
        <w:rPr>
          <w:szCs w:val="24"/>
        </w:rPr>
        <w:t>L'un des principaux</w:t>
      </w:r>
      <w:r w:rsidR="006604A7" w:rsidRPr="000E3057">
        <w:rPr>
          <w:szCs w:val="24"/>
        </w:rPr>
        <w:t xml:space="preserve"> piliers du programme sur les applications TIC consiste à aider les pays à élaborer leurs cyberstratégies sectorielles à l'échelle nationale. Celles-ci servent essentiellement de guide et de feuille de route en vue d'une transformation numérique au niveau des secteurs. </w:t>
      </w:r>
    </w:p>
    <w:p w:rsidR="006604A7" w:rsidRPr="000E3057" w:rsidRDefault="006604A7" w:rsidP="00E96F16">
      <w:pPr>
        <w:spacing w:after="120"/>
        <w:rPr>
          <w:szCs w:val="24"/>
        </w:rPr>
      </w:pPr>
      <w:r w:rsidRPr="000E3057">
        <w:rPr>
          <w:szCs w:val="24"/>
        </w:rPr>
        <w:t xml:space="preserve">Dans le secteur de la santé, le guide sur les stratégies nationales en matière de cybersanté, publié conjointement par l'UIT et l'Organisation mondiale de la santé (OMS) en 2012, est devenu la principale référence s'agissant de l'élaboration d'une stratégie de santé numérique. Ce guide est utilisé par de nombreux pays du monde et dans la quasi-totalité des régions. En 2018, le Sénégal, le Bénin, Madagascar, le Niger et le Lesotho, entre autres, ont bénéficié de l'assistance de l'UIT et de l'OMS. </w:t>
      </w:r>
    </w:p>
    <w:p w:rsidR="006604A7" w:rsidRPr="000E3057" w:rsidRDefault="006604A7" w:rsidP="00E96F16">
      <w:pPr>
        <w:spacing w:after="120"/>
        <w:rPr>
          <w:szCs w:val="24"/>
        </w:rPr>
      </w:pPr>
      <w:r w:rsidRPr="000E3057">
        <w:rPr>
          <w:szCs w:val="24"/>
        </w:rPr>
        <w:t xml:space="preserve">Dans le secteur de l'agriculture, le guide sur les stratégies nationales en matière de cyberagriculture, élaboré par l'UIT et l'Organisation des Nations Unies pour l'alimentation et l'agriculture (FAO), a déjà été utilisé dans plusieurs pays dont les Philippines, </w:t>
      </w:r>
      <w:r w:rsidR="00652889" w:rsidRPr="000E3057">
        <w:rPr>
          <w:szCs w:val="24"/>
        </w:rPr>
        <w:t xml:space="preserve">le </w:t>
      </w:r>
      <w:r w:rsidRPr="000E3057">
        <w:rPr>
          <w:szCs w:val="24"/>
        </w:rPr>
        <w:t xml:space="preserve">Sri Lanka, le Bhoutan, les Fidji et la Papouasie-Nouvelle-Guinée. Le Bénin, les pays des Caraïbes, le Pakistan et l'Afghanistan sont sur le point d'en faire usage avec l'aide de l'UIT et de la FAO. </w:t>
      </w:r>
    </w:p>
    <w:p w:rsidR="006604A7" w:rsidRPr="000E3057" w:rsidRDefault="006604A7" w:rsidP="00E96F16">
      <w:pPr>
        <w:spacing w:after="120"/>
        <w:rPr>
          <w:szCs w:val="24"/>
        </w:rPr>
      </w:pPr>
      <w:r w:rsidRPr="000E3057">
        <w:rPr>
          <w:szCs w:val="24"/>
        </w:rPr>
        <w:t xml:space="preserve">En collaboration avec l'UNESCO, le BDT mène actuellement un examen de la politique d'apprentissage intelligent pour le Soudan. </w:t>
      </w:r>
    </w:p>
    <w:p w:rsidR="006604A7" w:rsidRPr="000E3057" w:rsidRDefault="006604A7" w:rsidP="00E96F16">
      <w:pPr>
        <w:spacing w:after="120"/>
        <w:rPr>
          <w:szCs w:val="24"/>
        </w:rPr>
      </w:pPr>
      <w:r w:rsidRPr="000E3057">
        <w:rPr>
          <w:szCs w:val="24"/>
        </w:rPr>
        <w:t xml:space="preserve">En principe, dans le cadre de ces stratégies, les pays se voient proposer une série </w:t>
      </w:r>
      <w:r w:rsidR="00652889" w:rsidRPr="000E3057">
        <w:rPr>
          <w:szCs w:val="24"/>
        </w:rPr>
        <w:t xml:space="preserve">complète </w:t>
      </w:r>
      <w:r w:rsidRPr="000E3057">
        <w:rPr>
          <w:szCs w:val="24"/>
        </w:rPr>
        <w:t xml:space="preserve">d'activités qui sont nécessaires pour entamer et maintenir le processus de transformation sectoriel (ou intersectoriel) au moyen d'outils numériques. </w:t>
      </w:r>
    </w:p>
    <w:p w:rsidR="006604A7" w:rsidRPr="000E3057" w:rsidRDefault="006604A7" w:rsidP="00E96F16">
      <w:pPr>
        <w:rPr>
          <w:szCs w:val="24"/>
        </w:rPr>
      </w:pPr>
      <w:r w:rsidRPr="000E3057">
        <w:rPr>
          <w:szCs w:val="24"/>
        </w:rPr>
        <w:t xml:space="preserve">En 2019, le programme sur les applications TIC sera mis en oeuvre en Papouasie-Nouvelle-Guinée en vue d'élaborer un Plan directeur en matière de cybergouvernance, au moyen du cadre d'investissement dans le numérique en faveur des ODD, qui a été récemment élaboré de manière conjointe avec l'Alliance DIAL (Digital Impact Alliance). </w:t>
      </w:r>
    </w:p>
    <w:p w:rsidR="006604A7" w:rsidRPr="000E3057" w:rsidRDefault="006604A7" w:rsidP="00E96F16">
      <w:pPr>
        <w:pStyle w:val="Headingb"/>
        <w:keepNext w:val="0"/>
        <w:rPr>
          <w:b w:val="0"/>
          <w:bCs/>
          <w:lang w:eastAsia="zh-CN"/>
        </w:rPr>
      </w:pPr>
      <w:r w:rsidRPr="000E3057">
        <w:rPr>
          <w:lang w:eastAsia="zh-CN"/>
        </w:rPr>
        <w:t>Appuyer le déploiement d'applications TIC/mobiles, dans le but d'améliorer la fourniture de services à valeur ajoutée dans des domaines à fort potentiel, tels que la cybersanté (y compris la santé sur mobile), l'éducation, l'agriculture</w:t>
      </w:r>
    </w:p>
    <w:p w:rsidR="006604A7" w:rsidRPr="000E3057" w:rsidRDefault="006604A7" w:rsidP="00E96F16">
      <w:pPr>
        <w:rPr>
          <w:szCs w:val="24"/>
        </w:rPr>
      </w:pPr>
      <w:r w:rsidRPr="000E3057">
        <w:rPr>
          <w:szCs w:val="24"/>
        </w:rPr>
        <w:t>En outre, le programme sur les applications TIC est actuellement déployé dans des pays pour appuyer la "mise en oeuvre" des stratégies en élaborant des projets tels que le développement d'applications fondées sur la chaîne de blocs pour le suivi des racleurs en Papouasie-Nouvelle-Guinée, le lancement de plusieurs projets de santé sur mobile dans le cadre du programme conjoint UIT-OMS "Be Healthy Be Mobile" (La santé c'est la mobilité) sur l'utilisation des technologies mobiles pour lutter contre les maladies non transmissibles, le déploiement de villages intelligentes au Niger, entre autres. Le programme aide aussi des pays à définir les exigences détaillées relatives à la mise en oeuvre technique, comme cela a été le cas au Lesotho, afin qu'ils élaborent leur</w:t>
      </w:r>
      <w:r w:rsidR="00652889" w:rsidRPr="000E3057">
        <w:rPr>
          <w:szCs w:val="24"/>
        </w:rPr>
        <w:t>s</w:t>
      </w:r>
      <w:r w:rsidRPr="000E3057">
        <w:rPr>
          <w:szCs w:val="24"/>
        </w:rPr>
        <w:t xml:space="preserve"> propre</w:t>
      </w:r>
      <w:r w:rsidR="00652889" w:rsidRPr="000E3057">
        <w:rPr>
          <w:szCs w:val="24"/>
        </w:rPr>
        <w:t>s</w:t>
      </w:r>
      <w:r w:rsidRPr="000E3057">
        <w:rPr>
          <w:szCs w:val="24"/>
        </w:rPr>
        <w:t xml:space="preserve"> architecture d'entreprise et cadre d'interopérabilité</w:t>
      </w:r>
      <w:r w:rsidR="00652889" w:rsidRPr="000E3057">
        <w:rPr>
          <w:szCs w:val="24"/>
        </w:rPr>
        <w:t xml:space="preserve"> en matière de santé numérique</w:t>
      </w:r>
      <w:r w:rsidRPr="000E3057">
        <w:rPr>
          <w:szCs w:val="24"/>
        </w:rPr>
        <w:t>, en se fondant sur leur stratégie nationale en matière de cybersanté.</w:t>
      </w:r>
    </w:p>
    <w:p w:rsidR="00F20E22" w:rsidRDefault="00F20E22" w:rsidP="00E96F16">
      <w:pPr>
        <w:pStyle w:val="Headingb"/>
        <w:keepNext w:val="0"/>
        <w:rPr>
          <w:lang w:eastAsia="zh-CN"/>
        </w:rPr>
      </w:pPr>
      <w:r>
        <w:rPr>
          <w:lang w:eastAsia="zh-CN"/>
        </w:rPr>
        <w:br w:type="page"/>
      </w:r>
    </w:p>
    <w:p w:rsidR="006604A7" w:rsidRPr="000E3057" w:rsidRDefault="006604A7" w:rsidP="00E96F16">
      <w:pPr>
        <w:pStyle w:val="Headingb"/>
        <w:keepNext w:val="0"/>
        <w:rPr>
          <w:lang w:eastAsia="zh-CN"/>
        </w:rPr>
      </w:pPr>
      <w:r w:rsidRPr="000E3057">
        <w:rPr>
          <w:lang w:eastAsia="zh-CN"/>
        </w:rPr>
        <w:lastRenderedPageBreak/>
        <w:t>Elaborer des études détaillées et faciliter le partage de connaissances et de bonnes pratiques</w:t>
      </w:r>
    </w:p>
    <w:p w:rsidR="006604A7" w:rsidRPr="000E3057" w:rsidRDefault="006604A7" w:rsidP="00E96F16">
      <w:pPr>
        <w:spacing w:after="120"/>
        <w:rPr>
          <w:szCs w:val="24"/>
        </w:rPr>
      </w:pPr>
      <w:r w:rsidRPr="000E3057">
        <w:rPr>
          <w:szCs w:val="24"/>
        </w:rPr>
        <w:t xml:space="preserve">Outre les activités d'appui à l'élaboration de stratégies, d'autres activités visent à renforcer les capacités en vue de former des responsables compétents pour traiter les questions relatives à la santé numérique, à l'instar de l'atelier régional sur le renforcement des capacités dans le domaine de la santé numérique, organisé au Lesotho en 2018 à l'intention de 12 pays africains. La totalité du matériel et des contenus présentés a été enregistrée et sera chargée sur une plate-forme de cyberapprentissage. Un autre atelier en français est prévu en 2019. </w:t>
      </w:r>
    </w:p>
    <w:p w:rsidR="006604A7" w:rsidRPr="000E3057" w:rsidRDefault="006604A7" w:rsidP="00E96F16">
      <w:pPr>
        <w:spacing w:after="120"/>
        <w:rPr>
          <w:szCs w:val="24"/>
        </w:rPr>
      </w:pPr>
      <w:r w:rsidRPr="000E3057">
        <w:rPr>
          <w:szCs w:val="24"/>
        </w:rPr>
        <w:t>Plusieurs manifestations relatives au partage de connaissances ont été organisées, comme la conférence "eHealth Track" d</w:t>
      </w:r>
      <w:r w:rsidR="00652889" w:rsidRPr="000E3057">
        <w:rPr>
          <w:szCs w:val="24"/>
        </w:rPr>
        <w:t>ans le cadre du Sommet s</w:t>
      </w:r>
      <w:r w:rsidRPr="000E3057">
        <w:rPr>
          <w:szCs w:val="24"/>
        </w:rPr>
        <w:t>ur</w:t>
      </w:r>
      <w:r w:rsidR="00652889" w:rsidRPr="000E3057">
        <w:rPr>
          <w:szCs w:val="24"/>
        </w:rPr>
        <w:t xml:space="preserve"> l'intelligence artificielle au service de </w:t>
      </w:r>
      <w:r w:rsidRPr="000E3057">
        <w:rPr>
          <w:szCs w:val="24"/>
        </w:rPr>
        <w:t>la santé, le hackathon axé sur la lutte contre la faim organisé avec la FAO lors du Forum du SMSI, le Forum sur les solutions en matière de cyberagriculture organisé avec la FAO en Chine, entre autres. Un rapport sur l'utilisation des drones au service de l'agriculture a également été publié, outre plusieurs manuels sur l'utilisation de la santé sur mobile dans les cas ci-après, en coopération avec l'OMS: vieillissement, arrêt du tabagisme, cancer du col de l'utérus, diabètes et maladies respiratoires.</w:t>
      </w:r>
    </w:p>
    <w:p w:rsidR="006604A7" w:rsidRPr="000E3057" w:rsidRDefault="006604A7" w:rsidP="00577DD7">
      <w:pPr>
        <w:pStyle w:val="Heading2"/>
        <w:keepNext w:val="0"/>
        <w:keepLines w:val="0"/>
      </w:pPr>
      <w:r w:rsidRPr="000E3057">
        <w:t>2.3</w:t>
      </w:r>
      <w:r w:rsidRPr="000E3057">
        <w:tab/>
        <w:t>Marche à suivre</w:t>
      </w:r>
    </w:p>
    <w:p w:rsidR="006604A7" w:rsidRPr="000E3057" w:rsidRDefault="006604A7" w:rsidP="00E96F16">
      <w:pPr>
        <w:pStyle w:val="enumlev1"/>
        <w:rPr>
          <w:rStyle w:val="Strong"/>
          <w:b w:val="0"/>
          <w:bCs w:val="0"/>
          <w:szCs w:val="24"/>
        </w:rPr>
      </w:pPr>
      <w:r w:rsidRPr="000E3057">
        <w:t>Dans le cadre des applications TIC, on continuera de renforcer les activités qui consistent à:</w:t>
      </w:r>
    </w:p>
    <w:p w:rsidR="006604A7" w:rsidRPr="000E3057" w:rsidRDefault="006604A7" w:rsidP="00E96F16">
      <w:pPr>
        <w:pStyle w:val="enumlev1"/>
      </w:pPr>
      <w:r w:rsidRPr="000E3057">
        <w:t>–</w:t>
      </w:r>
      <w:r w:rsidRPr="000E3057">
        <w:tab/>
        <w:t>continuer de renforcer les capacités en matière d'élaboration de stratégies numériques et de solutions en organisant des ateliers nationaux et régionaux à cet effet;</w:t>
      </w:r>
    </w:p>
    <w:p w:rsidR="006604A7" w:rsidRPr="000E3057" w:rsidRDefault="006604A7" w:rsidP="00E96F16">
      <w:pPr>
        <w:pStyle w:val="enumlev1"/>
      </w:pPr>
      <w:r w:rsidRPr="000E3057">
        <w:t>–</w:t>
      </w:r>
      <w:r w:rsidRPr="000E3057">
        <w:tab/>
        <w:t>élaborer de nouveaux outils afin d'orienter les gouvernements dans leur processus de transformation numérique, nota</w:t>
      </w:r>
      <w:bookmarkStart w:id="10" w:name="_GoBack"/>
      <w:bookmarkEnd w:id="10"/>
      <w:r w:rsidRPr="000E3057">
        <w:t>mment en développant une architecture d'entreprise à l'échelle du gouvernement;</w:t>
      </w:r>
    </w:p>
    <w:p w:rsidR="006604A7" w:rsidRPr="000E3057" w:rsidRDefault="006604A7" w:rsidP="00E96F16">
      <w:pPr>
        <w:pStyle w:val="enumlev1"/>
      </w:pPr>
      <w:r w:rsidRPr="000E3057">
        <w:t>–</w:t>
      </w:r>
      <w:r w:rsidRPr="000E3057">
        <w:tab/>
        <w:t xml:space="preserve">appuyer l'élaboration de plans nationaux et d'études techniques pour la transformation numérique sectorielle et intersectorielle; </w:t>
      </w:r>
    </w:p>
    <w:p w:rsidR="00836BDB" w:rsidRPr="000E3057" w:rsidRDefault="006604A7" w:rsidP="00E96F16">
      <w:pPr>
        <w:pStyle w:val="enumlev1"/>
      </w:pPr>
      <w:r w:rsidRPr="000E3057">
        <w:t>–</w:t>
      </w:r>
      <w:r w:rsidRPr="000E3057">
        <w:tab/>
        <w:t>promouvoir et défendre les approches intersectorielles et celles au niveau de l'ensemble des gouvernements, étant donné leur efficacité lorsqu'il s'agit de généraliser l'adoption des outils numériques.</w:t>
      </w:r>
    </w:p>
    <w:p w:rsidR="00097320" w:rsidRPr="000E3057" w:rsidRDefault="00097320" w:rsidP="00411C49">
      <w:pPr>
        <w:pStyle w:val="Reasons"/>
      </w:pPr>
    </w:p>
    <w:p w:rsidR="00097320" w:rsidRPr="000E3057" w:rsidRDefault="00097320" w:rsidP="00097320">
      <w:pPr>
        <w:jc w:val="center"/>
      </w:pPr>
      <w:r w:rsidRPr="000E3057">
        <w:t>______________</w:t>
      </w:r>
    </w:p>
    <w:sectPr w:rsidR="00097320" w:rsidRPr="000E3057"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6E" w:rsidRDefault="00BF2A6E">
      <w:r>
        <w:separator/>
      </w:r>
    </w:p>
  </w:endnote>
  <w:endnote w:type="continuationSeparator" w:id="0">
    <w:p w:rsidR="00BF2A6E" w:rsidRDefault="00BF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253F" w:rsidRDefault="0077253F" w:rsidP="0077253F">
    <w:pPr>
      <w:pStyle w:val="Footer"/>
      <w:rPr>
        <w:sz w:val="18"/>
        <w:lang w:val="es-ES_tradnl"/>
      </w:rPr>
    </w:pPr>
    <w:r w:rsidRPr="0077253F">
      <w:rPr>
        <w:szCs w:val="16"/>
      </w:rPr>
      <w:fldChar w:fldCharType="begin"/>
    </w:r>
    <w:r w:rsidRPr="0077253F">
      <w:rPr>
        <w:szCs w:val="16"/>
        <w:lang w:val="es-ES_tradnl"/>
      </w:rPr>
      <w:instrText xml:space="preserve"> FILENAME \p  \* MERGEFORMAT </w:instrText>
    </w:r>
    <w:r w:rsidRPr="0077253F">
      <w:rPr>
        <w:szCs w:val="16"/>
      </w:rPr>
      <w:fldChar w:fldCharType="separate"/>
    </w:r>
    <w:r w:rsidR="000E3057">
      <w:rPr>
        <w:szCs w:val="16"/>
        <w:lang w:val="es-ES_tradnl"/>
      </w:rPr>
      <w:t>P:\FRA\ITU-D\CONF-D\TDAG19\000\030F.docx</w:t>
    </w:r>
    <w:r w:rsidRPr="0077253F">
      <w:rPr>
        <w:szCs w:val="16"/>
      </w:rPr>
      <w:fldChar w:fldCharType="end"/>
    </w:r>
    <w:r w:rsidRPr="0077253F">
      <w:rPr>
        <w:szCs w:val="16"/>
        <w:lang w:val="es-ES_tradnl"/>
      </w:rPr>
      <w:t xml:space="preserve"> (449237)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4D495C"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454E1" w:rsidRPr="00E96F16" w:rsidRDefault="00E96F16" w:rsidP="00A454E1">
          <w:pPr>
            <w:pStyle w:val="FirstFooter"/>
            <w:tabs>
              <w:tab w:val="left" w:pos="2302"/>
            </w:tabs>
            <w:ind w:left="2302" w:hanging="2302"/>
            <w:rPr>
              <w:sz w:val="18"/>
              <w:szCs w:val="18"/>
              <w:lang w:val="fr-CH"/>
            </w:rPr>
          </w:pPr>
          <w:bookmarkStart w:id="11" w:name="OrgName"/>
          <w:bookmarkEnd w:id="11"/>
          <w:r w:rsidRPr="006E1D2F">
            <w:rPr>
              <w:sz w:val="20"/>
              <w:lang w:val="fr-CH"/>
            </w:rPr>
            <w:t>M. Kemal Huseinovic, Chef</w:t>
          </w:r>
          <w:r w:rsidR="000E3057">
            <w:rPr>
              <w:sz w:val="20"/>
              <w:lang w:val="fr-CH"/>
            </w:rPr>
            <w:t xml:space="preserve"> du </w:t>
          </w:r>
          <w:r w:rsidRPr="006E1D2F">
            <w:rPr>
              <w:sz w:val="20"/>
              <w:lang w:val="fr-CH"/>
            </w:rPr>
            <w:t>Département IEE, BDT</w:t>
          </w:r>
        </w:p>
      </w:tc>
    </w:tr>
    <w:tr w:rsidR="00A454E1" w:rsidRPr="004D495C" w:rsidTr="004E3CF5">
      <w:tc>
        <w:tcPr>
          <w:tcW w:w="1526" w:type="dxa"/>
          <w:shd w:val="clear" w:color="auto" w:fill="auto"/>
        </w:tcPr>
        <w:p w:rsidR="00A454E1" w:rsidRPr="00E96F16" w:rsidRDefault="00A454E1" w:rsidP="00A454E1">
          <w:pPr>
            <w:pStyle w:val="FirstFooter"/>
            <w:tabs>
              <w:tab w:val="left" w:pos="1559"/>
              <w:tab w:val="left" w:pos="3828"/>
            </w:tabs>
            <w:rPr>
              <w:sz w:val="20"/>
              <w:lang w:val="fr-CH"/>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A454E1" w:rsidRPr="00E5653A" w:rsidRDefault="00E96F16" w:rsidP="00A454E1">
          <w:pPr>
            <w:pStyle w:val="FirstFooter"/>
            <w:tabs>
              <w:tab w:val="left" w:pos="2302"/>
            </w:tabs>
            <w:rPr>
              <w:sz w:val="18"/>
              <w:szCs w:val="18"/>
              <w:lang w:val="en-US"/>
            </w:rPr>
          </w:pPr>
          <w:bookmarkStart w:id="12" w:name="PhoneNo"/>
          <w:bookmarkEnd w:id="12"/>
          <w:r w:rsidRPr="009B7D33">
            <w:rPr>
              <w:sz w:val="20"/>
              <w:lang w:val="en-US"/>
            </w:rPr>
            <w:t>+41 22 730 5421</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3" w:name="Email"/>
      <w:bookmarkEnd w:id="13"/>
      <w:tc>
        <w:tcPr>
          <w:tcW w:w="5987" w:type="dxa"/>
          <w:shd w:val="clear" w:color="auto" w:fill="auto"/>
        </w:tcPr>
        <w:p w:rsidR="00A454E1" w:rsidRPr="00E5653A" w:rsidRDefault="00E96F16" w:rsidP="00A454E1">
          <w:pPr>
            <w:pStyle w:val="FirstFooter"/>
            <w:tabs>
              <w:tab w:val="left" w:pos="2302"/>
            </w:tabs>
            <w:rPr>
              <w:sz w:val="18"/>
              <w:szCs w:val="18"/>
              <w:lang w:val="en-US"/>
            </w:rPr>
          </w:pPr>
          <w:r>
            <w:rPr>
              <w:rStyle w:val="Hyperlink"/>
              <w:sz w:val="20"/>
              <w:lang w:val="en-US"/>
            </w:rPr>
            <w:fldChar w:fldCharType="begin"/>
          </w:r>
          <w:r>
            <w:rPr>
              <w:rStyle w:val="Hyperlink"/>
              <w:sz w:val="20"/>
              <w:lang w:val="en-US"/>
            </w:rPr>
            <w:instrText xml:space="preserve"> HYPERLINK "mailto:Kemal.huseinovic@itu.int" </w:instrText>
          </w:r>
          <w:r>
            <w:rPr>
              <w:rStyle w:val="Hyperlink"/>
              <w:sz w:val="20"/>
              <w:lang w:val="en-US"/>
            </w:rPr>
            <w:fldChar w:fldCharType="separate"/>
          </w:r>
          <w:r w:rsidRPr="009B7D33">
            <w:rPr>
              <w:rStyle w:val="Hyperlink"/>
              <w:sz w:val="20"/>
              <w:lang w:val="en-US"/>
            </w:rPr>
            <w:t>Kemal.huseinovic@itu.int</w:t>
          </w:r>
          <w:r>
            <w:rPr>
              <w:rStyle w:val="Hyperlink"/>
              <w:sz w:val="20"/>
              <w:lang w:val="en-US"/>
            </w:rPr>
            <w:fldChar w:fldCharType="end"/>
          </w:r>
        </w:p>
      </w:tc>
    </w:tr>
  </w:tbl>
  <w:p w:rsidR="00721657" w:rsidRPr="008802F9" w:rsidRDefault="00DA4BC5" w:rsidP="004C3C1E">
    <w:pPr>
      <w:pStyle w:val="Footer"/>
      <w:spacing w:before="120"/>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6E" w:rsidRDefault="00BF2A6E">
      <w:r>
        <w:t>____________________</w:t>
      </w:r>
    </w:p>
  </w:footnote>
  <w:footnote w:type="continuationSeparator" w:id="0">
    <w:p w:rsidR="00BF2A6E" w:rsidRDefault="00BF2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77253F">
      <w:rPr>
        <w:sz w:val="22"/>
        <w:szCs w:val="22"/>
        <w:lang w:val="de-CH"/>
      </w:rPr>
      <w:t>30</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A4BC5">
      <w:rPr>
        <w:noProof/>
        <w:sz w:val="22"/>
        <w:szCs w:val="22"/>
        <w:lang w:val="de-CH"/>
      </w:rPr>
      <w:t>7</w:t>
    </w:r>
    <w:r w:rsidRPr="00972BCD">
      <w:rPr>
        <w:sz w:val="22"/>
        <w:szCs w:val="22"/>
      </w:rPr>
      <w:fldChar w:fldCharType="end"/>
    </w:r>
  </w:p>
  <w:p w:rsidR="00721657" w:rsidRPr="0077253F" w:rsidRDefault="00721657" w:rsidP="00A525CC">
    <w:pPr>
      <w:pStyle w:val="Header"/>
      <w:rPr>
        <w:rStyle w:val="PageNumbe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6E"/>
    <w:rsid w:val="00002716"/>
    <w:rsid w:val="00005791"/>
    <w:rsid w:val="00010827"/>
    <w:rsid w:val="00015089"/>
    <w:rsid w:val="0002520B"/>
    <w:rsid w:val="00037A9E"/>
    <w:rsid w:val="00037F91"/>
    <w:rsid w:val="000539F1"/>
    <w:rsid w:val="00054747"/>
    <w:rsid w:val="00055A2A"/>
    <w:rsid w:val="000615C1"/>
    <w:rsid w:val="00061675"/>
    <w:rsid w:val="000743AA"/>
    <w:rsid w:val="00085E19"/>
    <w:rsid w:val="0009225C"/>
    <w:rsid w:val="00097320"/>
    <w:rsid w:val="000A17C4"/>
    <w:rsid w:val="000A36A4"/>
    <w:rsid w:val="000B1EE1"/>
    <w:rsid w:val="000B2352"/>
    <w:rsid w:val="000C61E9"/>
    <w:rsid w:val="000C7B84"/>
    <w:rsid w:val="000D261B"/>
    <w:rsid w:val="000D58A3"/>
    <w:rsid w:val="000E3057"/>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C3C1E"/>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77DD7"/>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2889"/>
    <w:rsid w:val="0065521B"/>
    <w:rsid w:val="006604A7"/>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2B78"/>
    <w:rsid w:val="007279A8"/>
    <w:rsid w:val="00727B1A"/>
    <w:rsid w:val="00741337"/>
    <w:rsid w:val="00752258"/>
    <w:rsid w:val="007529E1"/>
    <w:rsid w:val="00762880"/>
    <w:rsid w:val="00762AD6"/>
    <w:rsid w:val="00762E02"/>
    <w:rsid w:val="00772290"/>
    <w:rsid w:val="0077253F"/>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171C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2A6E"/>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349E"/>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16398"/>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A4BC5"/>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6F16"/>
    <w:rsid w:val="00E97298"/>
    <w:rsid w:val="00E97753"/>
    <w:rsid w:val="00EA7DE7"/>
    <w:rsid w:val="00EB7196"/>
    <w:rsid w:val="00EB7A8A"/>
    <w:rsid w:val="00EE3A64"/>
    <w:rsid w:val="00EE50E5"/>
    <w:rsid w:val="00EF01CF"/>
    <w:rsid w:val="00F03590"/>
    <w:rsid w:val="00F03622"/>
    <w:rsid w:val="00F077FD"/>
    <w:rsid w:val="00F204F3"/>
    <w:rsid w:val="00F20E22"/>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5D2F"/>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4D2B4F-5AC1-4519-956A-833C74A2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Strong">
    <w:name w:val="Strong"/>
    <w:basedOn w:val="DefaultParagraphFont"/>
    <w:uiPriority w:val="22"/>
    <w:qFormat/>
    <w:rsid w:val="006604A7"/>
    <w:rPr>
      <w:b/>
      <w:bCs/>
    </w:rPr>
  </w:style>
  <w:style w:type="character" w:styleId="FollowedHyperlink">
    <w:name w:val="FollowedHyperlink"/>
    <w:basedOn w:val="DefaultParagraphFont"/>
    <w:semiHidden/>
    <w:unhideWhenUsed/>
    <w:rsid w:val="006528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ybersecurity/Pages/cybersecurity-event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ybersecurity/Pages/cyberdrill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ybersecurity/Pages/global-cybersecurity-index.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D/Cybersecurity/Pages/national-CIRT.aspx" TargetMode="External"/><Relationship Id="rId4" Type="http://schemas.openxmlformats.org/officeDocument/2006/relationships/settings" Target="settings.xml"/><Relationship Id="rId9" Type="http://schemas.openxmlformats.org/officeDocument/2006/relationships/hyperlink" Target="https://www.itu.int/dms_pub/itu-d/opb/str/D-STR-CYB_GUIDE.01-2018-PDF-F.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in\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1332-AFD2-4528-97DD-117B88E5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70</TotalTime>
  <Pages>7</Pages>
  <Words>2795</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Lugrin, Valerie</dc:creator>
  <cp:lastModifiedBy>Royer, Veronique</cp:lastModifiedBy>
  <cp:revision>12</cp:revision>
  <cp:lastPrinted>2019-02-04T11:48:00Z</cp:lastPrinted>
  <dcterms:created xsi:type="dcterms:W3CDTF">2019-02-04T11:14:00Z</dcterms:created>
  <dcterms:modified xsi:type="dcterms:W3CDTF">2019-02-05T06:15:00Z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