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3F0DA8" w:rsidTr="000D6A39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3F0DA8" w:rsidRDefault="00D372A5" w:rsidP="00314547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3F0DA8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3F0DA8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3F0DA8" w:rsidRDefault="004E7861" w:rsidP="00314547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3F0DA8">
              <w:rPr>
                <w:b/>
                <w:bCs/>
                <w:sz w:val="26"/>
                <w:szCs w:val="26"/>
                <w:lang w:val="es-ES_tradnl"/>
              </w:rPr>
              <w:t>24ª reunión, Ginebra, 3-5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3F0DA8" w:rsidRDefault="004E7861" w:rsidP="00314547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3F0DA8">
              <w:rPr>
                <w:color w:val="3399FF"/>
                <w:lang w:val="es-ES_tradnl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3F0DA8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3F0DA8" w:rsidRDefault="004B7893" w:rsidP="00314547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3F0DA8" w:rsidRDefault="004B7893" w:rsidP="00314547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3F0DA8" w:rsidTr="004B7893">
        <w:trPr>
          <w:cantSplit/>
        </w:trPr>
        <w:tc>
          <w:tcPr>
            <w:tcW w:w="6663" w:type="dxa"/>
          </w:tcPr>
          <w:p w:rsidR="004B7893" w:rsidRPr="003F0DA8" w:rsidRDefault="004B7893" w:rsidP="00314547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3F0DA8" w:rsidRDefault="005637B9" w:rsidP="00314547">
            <w:pPr>
              <w:spacing w:before="0"/>
              <w:rPr>
                <w:bCs/>
                <w:lang w:val="es-ES_tradnl"/>
              </w:rPr>
            </w:pPr>
            <w:r w:rsidRPr="003F0DA8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3F0DA8">
              <w:rPr>
                <w:b/>
                <w:bCs/>
                <w:lang w:val="es-ES_tradnl"/>
              </w:rPr>
              <w:t>TDAG</w:t>
            </w:r>
            <w:r w:rsidR="00602B27" w:rsidRPr="003F0DA8">
              <w:rPr>
                <w:b/>
                <w:bCs/>
                <w:lang w:val="es-ES_tradnl"/>
              </w:rPr>
              <w:t>-</w:t>
            </w:r>
            <w:r w:rsidRPr="003F0DA8">
              <w:rPr>
                <w:b/>
                <w:bCs/>
                <w:lang w:val="es-ES_tradnl"/>
              </w:rPr>
              <w:t>1</w:t>
            </w:r>
            <w:r w:rsidR="004E7861" w:rsidRPr="003F0DA8">
              <w:rPr>
                <w:b/>
                <w:bCs/>
                <w:lang w:val="es-ES_tradnl"/>
              </w:rPr>
              <w:t>9</w:t>
            </w:r>
            <w:r w:rsidRPr="003F0DA8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E604E2" w:rsidRPr="003F0DA8">
              <w:rPr>
                <w:b/>
                <w:bCs/>
                <w:lang w:val="es-ES_tradnl"/>
              </w:rPr>
              <w:t>30</w:t>
            </w:r>
            <w:r w:rsidRPr="003F0DA8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3F0DA8" w:rsidTr="004B7893">
        <w:trPr>
          <w:cantSplit/>
        </w:trPr>
        <w:tc>
          <w:tcPr>
            <w:tcW w:w="6663" w:type="dxa"/>
          </w:tcPr>
          <w:p w:rsidR="004B7893" w:rsidRPr="003F0DA8" w:rsidRDefault="004B7893" w:rsidP="00314547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F0DA8" w:rsidRDefault="00E604E2" w:rsidP="00314547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3F0DA8">
              <w:rPr>
                <w:b/>
                <w:bCs/>
                <w:szCs w:val="28"/>
                <w:lang w:val="es-ES_tradnl"/>
              </w:rPr>
              <w:t>25 de enero de</w:t>
            </w:r>
            <w:r w:rsidR="00BC7208" w:rsidRPr="003F0DA8">
              <w:rPr>
                <w:b/>
                <w:bCs/>
                <w:szCs w:val="28"/>
                <w:lang w:val="es-ES_tradnl"/>
              </w:rPr>
              <w:t xml:space="preserve"> 201</w:t>
            </w:r>
            <w:r w:rsidR="004E7861" w:rsidRPr="003F0DA8">
              <w:rPr>
                <w:b/>
                <w:bCs/>
                <w:szCs w:val="28"/>
                <w:lang w:val="es-ES_tradnl"/>
              </w:rPr>
              <w:t>9</w:t>
            </w:r>
          </w:p>
        </w:tc>
      </w:tr>
      <w:tr w:rsidR="004B7893" w:rsidRPr="003F0DA8" w:rsidTr="004B7893">
        <w:trPr>
          <w:cantSplit/>
        </w:trPr>
        <w:tc>
          <w:tcPr>
            <w:tcW w:w="6663" w:type="dxa"/>
          </w:tcPr>
          <w:p w:rsidR="004B7893" w:rsidRPr="003F0DA8" w:rsidRDefault="004B7893" w:rsidP="00314547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F0DA8" w:rsidRDefault="005637B9" w:rsidP="00314547">
            <w:pPr>
              <w:spacing w:before="0"/>
              <w:rPr>
                <w:szCs w:val="24"/>
                <w:lang w:val="es-ES_tradnl"/>
              </w:rPr>
            </w:pPr>
            <w:r w:rsidRPr="003F0DA8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3F0DA8">
              <w:rPr>
                <w:b/>
                <w:lang w:val="es-ES_tradnl"/>
              </w:rPr>
              <w:t xml:space="preserve"> </w:t>
            </w:r>
            <w:r w:rsidR="00E604E2" w:rsidRPr="003F0DA8">
              <w:rPr>
                <w:b/>
                <w:lang w:val="es-ES_tradnl"/>
              </w:rPr>
              <w:t>inglés</w:t>
            </w:r>
          </w:p>
        </w:tc>
      </w:tr>
      <w:tr w:rsidR="004B7893" w:rsidRPr="003F0DA8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3F0DA8" w:rsidRDefault="00E604E2" w:rsidP="00314547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3F0DA8">
              <w:rPr>
                <w:szCs w:val="28"/>
                <w:lang w:val="es-ES_tradnl"/>
              </w:rPr>
              <w:t>Director de la Oficina de Desarrollo de las Telecomunicaciones</w:t>
            </w:r>
          </w:p>
        </w:tc>
      </w:tr>
      <w:tr w:rsidR="004B7893" w:rsidRPr="003F0DA8" w:rsidTr="004B7893">
        <w:trPr>
          <w:cantSplit/>
        </w:trPr>
        <w:tc>
          <w:tcPr>
            <w:tcW w:w="9888" w:type="dxa"/>
            <w:gridSpan w:val="2"/>
          </w:tcPr>
          <w:p w:rsidR="004B7893" w:rsidRPr="003F0DA8" w:rsidRDefault="00B949CE" w:rsidP="00314547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3F0DA8">
              <w:rPr>
                <w:lang w:val="es-ES_tradnl"/>
              </w:rPr>
              <w:t xml:space="preserve">ACTIVIDADES DE </w:t>
            </w:r>
            <w:r w:rsidR="00E604E2" w:rsidRPr="003F0DA8">
              <w:rPr>
                <w:lang w:val="es-ES_tradnl"/>
              </w:rPr>
              <w:t>C</w:t>
            </w:r>
            <w:r w:rsidRPr="003F0DA8">
              <w:rPr>
                <w:lang w:val="es-ES_tradnl"/>
              </w:rPr>
              <w:t>IBERSEGURIDAD y aplicaciones de tic</w:t>
            </w:r>
          </w:p>
        </w:tc>
      </w:tr>
      <w:tr w:rsidR="004B7893" w:rsidRPr="003F0DA8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3F0DA8" w:rsidRDefault="004B7893" w:rsidP="00314547">
            <w:pPr>
              <w:rPr>
                <w:lang w:val="es-ES_tradnl"/>
              </w:rPr>
            </w:pPr>
          </w:p>
        </w:tc>
      </w:tr>
      <w:tr w:rsidR="004B7893" w:rsidRPr="003F0DA8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3F0DA8" w:rsidRDefault="004B7893" w:rsidP="00314547">
            <w:pPr>
              <w:spacing w:before="240"/>
              <w:rPr>
                <w:b/>
                <w:bCs/>
                <w:lang w:val="es-ES_tradnl"/>
              </w:rPr>
            </w:pPr>
            <w:r w:rsidRPr="003F0DA8">
              <w:rPr>
                <w:b/>
                <w:bCs/>
                <w:lang w:val="es-ES_tradnl"/>
              </w:rPr>
              <w:t>Resumen:</w:t>
            </w:r>
          </w:p>
          <w:p w:rsidR="00E604E2" w:rsidRPr="003F0DA8" w:rsidRDefault="007B5BF8" w:rsidP="00B0091C">
            <w:pPr>
              <w:rPr>
                <w:szCs w:val="24"/>
                <w:lang w:val="es-ES_tradnl"/>
              </w:rPr>
            </w:pPr>
            <w:r w:rsidRPr="003F0DA8">
              <w:rPr>
                <w:szCs w:val="24"/>
                <w:lang w:val="es-ES_tradnl"/>
              </w:rPr>
              <w:t xml:space="preserve">En este </w:t>
            </w:r>
            <w:r w:rsidR="00B0091C" w:rsidRPr="003F0DA8">
              <w:rPr>
                <w:szCs w:val="24"/>
                <w:lang w:val="es-ES_tradnl"/>
              </w:rPr>
              <w:t xml:space="preserve">informe </w:t>
            </w:r>
            <w:r w:rsidRPr="003F0DA8">
              <w:rPr>
                <w:szCs w:val="24"/>
                <w:lang w:val="es-ES_tradnl"/>
              </w:rPr>
              <w:t xml:space="preserve">se resumen las actividades de ciberseguridad y aplicaciones de TIC, </w:t>
            </w:r>
            <w:r w:rsidR="00C952D4" w:rsidRPr="003F0DA8">
              <w:rPr>
                <w:szCs w:val="24"/>
                <w:lang w:val="es-ES_tradnl"/>
              </w:rPr>
              <w:t xml:space="preserve">que son </w:t>
            </w:r>
            <w:r w:rsidRPr="003F0DA8">
              <w:rPr>
                <w:szCs w:val="24"/>
                <w:lang w:val="es-ES_tradnl"/>
              </w:rPr>
              <w:t xml:space="preserve">dos de los </w:t>
            </w:r>
            <w:r w:rsidR="00C952D4" w:rsidRPr="003F0DA8">
              <w:rPr>
                <w:szCs w:val="24"/>
                <w:lang w:val="es-ES_tradnl"/>
              </w:rPr>
              <w:t xml:space="preserve">resultados </w:t>
            </w:r>
            <w:r w:rsidRPr="003F0DA8">
              <w:rPr>
                <w:szCs w:val="24"/>
                <w:lang w:val="es-ES_tradnl"/>
              </w:rPr>
              <w:t>y objetivos adoptados</w:t>
            </w:r>
            <w:r w:rsidR="00C952D4" w:rsidRPr="003F0DA8">
              <w:rPr>
                <w:szCs w:val="24"/>
                <w:lang w:val="es-ES_tradnl"/>
              </w:rPr>
              <w:t xml:space="preserve"> por </w:t>
            </w:r>
            <w:r w:rsidRPr="003F0DA8">
              <w:rPr>
                <w:szCs w:val="24"/>
                <w:lang w:val="es-ES_tradnl"/>
              </w:rPr>
              <w:t xml:space="preserve">la </w:t>
            </w:r>
            <w:r w:rsidRPr="003F0DA8">
              <w:rPr>
                <w:color w:val="000000"/>
                <w:lang w:val="es-ES_tradnl"/>
              </w:rPr>
              <w:t xml:space="preserve">Conferencia Mundial de Desarrollo de las Telecomunicaciones de </w:t>
            </w:r>
            <w:r w:rsidR="00E604E2" w:rsidRPr="003F0DA8">
              <w:rPr>
                <w:szCs w:val="24"/>
                <w:lang w:val="es-ES_tradnl"/>
              </w:rPr>
              <w:t>2017 (</w:t>
            </w:r>
            <w:r w:rsidRPr="003F0DA8">
              <w:rPr>
                <w:szCs w:val="24"/>
                <w:lang w:val="es-ES_tradnl"/>
              </w:rPr>
              <w:t>CMD</w:t>
            </w:r>
            <w:r w:rsidR="00B0091C" w:rsidRPr="003F0DA8">
              <w:rPr>
                <w:szCs w:val="24"/>
                <w:lang w:val="es-ES_tradnl"/>
              </w:rPr>
              <w:t>T</w:t>
            </w:r>
            <w:r w:rsidR="00E604E2" w:rsidRPr="003F0DA8">
              <w:rPr>
                <w:szCs w:val="24"/>
                <w:lang w:val="es-ES_tradnl"/>
              </w:rPr>
              <w:t xml:space="preserve">-17) </w:t>
            </w:r>
            <w:r w:rsidRPr="003F0DA8">
              <w:rPr>
                <w:szCs w:val="24"/>
                <w:lang w:val="es-ES_tradnl"/>
              </w:rPr>
              <w:t xml:space="preserve">y confirmados </w:t>
            </w:r>
            <w:r w:rsidR="00C952D4" w:rsidRPr="003F0DA8">
              <w:rPr>
                <w:szCs w:val="24"/>
                <w:lang w:val="es-ES_tradnl"/>
              </w:rPr>
              <w:t xml:space="preserve">por </w:t>
            </w:r>
            <w:r w:rsidRPr="003F0DA8">
              <w:rPr>
                <w:szCs w:val="24"/>
                <w:lang w:val="es-ES_tradnl"/>
              </w:rPr>
              <w:t xml:space="preserve">la Conferencia de Plenipotenciarios de 2018 </w:t>
            </w:r>
            <w:r w:rsidR="00E604E2" w:rsidRPr="003F0DA8">
              <w:rPr>
                <w:szCs w:val="24"/>
                <w:lang w:val="es-ES_tradnl"/>
              </w:rPr>
              <w:t>(PP-18)</w:t>
            </w:r>
            <w:r w:rsidRPr="003F0DA8">
              <w:rPr>
                <w:szCs w:val="24"/>
                <w:lang w:val="es-ES_tradnl"/>
              </w:rPr>
              <w:t xml:space="preserve"> respectivamente</w:t>
            </w:r>
            <w:r w:rsidR="001B3264" w:rsidRPr="003F0DA8">
              <w:rPr>
                <w:szCs w:val="24"/>
                <w:lang w:val="es-ES_tradnl"/>
              </w:rPr>
              <w:t>.</w:t>
            </w:r>
          </w:p>
          <w:p w:rsidR="004B7893" w:rsidRPr="003F0DA8" w:rsidRDefault="00C952D4" w:rsidP="00314547">
            <w:pPr>
              <w:rPr>
                <w:b/>
                <w:bCs/>
                <w:lang w:val="es-ES_tradnl"/>
              </w:rPr>
            </w:pPr>
            <w:r w:rsidRPr="003F0DA8">
              <w:rPr>
                <w:color w:val="000000"/>
                <w:lang w:val="es-ES_tradnl"/>
              </w:rPr>
              <w:t>Habida cuenta de las actividades y la gestión basada en los resultados,</w:t>
            </w:r>
            <w:r w:rsidRPr="003F0DA8">
              <w:rPr>
                <w:szCs w:val="24"/>
                <w:lang w:val="es-ES_tradnl"/>
              </w:rPr>
              <w:t xml:space="preserve"> </w:t>
            </w:r>
            <w:r w:rsidR="00E97085" w:rsidRPr="003F0DA8">
              <w:rPr>
                <w:szCs w:val="24"/>
                <w:lang w:val="es-ES_tradnl"/>
              </w:rPr>
              <w:t>este informe proporciona información actualizada sobre los objetivos y las estrategias de ejecución en materia de ciberseguridad y aplicaciones de TIC, las principales actividades realizadas y previstas</w:t>
            </w:r>
            <w:r w:rsidR="00E604E2" w:rsidRPr="003F0DA8">
              <w:rPr>
                <w:szCs w:val="24"/>
                <w:lang w:val="es-ES_tradnl"/>
              </w:rPr>
              <w:t xml:space="preserve">, </w:t>
            </w:r>
            <w:r w:rsidR="00E97085" w:rsidRPr="003F0DA8">
              <w:rPr>
                <w:szCs w:val="24"/>
                <w:lang w:val="es-ES_tradnl"/>
              </w:rPr>
              <w:t xml:space="preserve">y las </w:t>
            </w:r>
            <w:r w:rsidR="005A66D8" w:rsidRPr="003F0DA8">
              <w:rPr>
                <w:szCs w:val="24"/>
                <w:lang w:val="es-ES_tradnl"/>
              </w:rPr>
              <w:t xml:space="preserve">acciones futuras para </w:t>
            </w:r>
            <w:r w:rsidR="00E97085" w:rsidRPr="003F0DA8">
              <w:rPr>
                <w:szCs w:val="24"/>
                <w:lang w:val="es-ES_tradnl"/>
              </w:rPr>
              <w:t>aplicar los objetivos relacionados con la seguridad</w:t>
            </w:r>
            <w:r w:rsidR="00E604E2" w:rsidRPr="003F0DA8">
              <w:rPr>
                <w:szCs w:val="24"/>
                <w:lang w:val="es-ES_tradnl"/>
              </w:rPr>
              <w:t>.</w:t>
            </w:r>
          </w:p>
          <w:p w:rsidR="004B7893" w:rsidRPr="003F0DA8" w:rsidRDefault="0049370D" w:rsidP="00314547">
            <w:pPr>
              <w:rPr>
                <w:b/>
                <w:bCs/>
                <w:lang w:val="es-ES_tradnl"/>
              </w:rPr>
            </w:pPr>
            <w:r w:rsidRPr="003F0DA8">
              <w:rPr>
                <w:b/>
                <w:bCs/>
                <w:lang w:val="es-ES_tradnl"/>
              </w:rPr>
              <w:t>Acción solicitada:</w:t>
            </w:r>
          </w:p>
          <w:p w:rsidR="004B7893" w:rsidRPr="003F0DA8" w:rsidRDefault="00E604E2" w:rsidP="00314547">
            <w:pPr>
              <w:rPr>
                <w:b/>
                <w:bCs/>
                <w:lang w:val="es-ES_tradnl"/>
              </w:rPr>
            </w:pPr>
            <w:r w:rsidRPr="003F0DA8">
              <w:rPr>
                <w:lang w:val="es-ES_tradnl"/>
              </w:rPr>
              <w:t>Se invita al GADT a tomar nota del presente informe y a proporcionar las orientaciones que estime oportunas.</w:t>
            </w:r>
          </w:p>
          <w:p w:rsidR="004B7893" w:rsidRPr="003F0DA8" w:rsidRDefault="004B7893" w:rsidP="00314547">
            <w:pPr>
              <w:rPr>
                <w:b/>
                <w:bCs/>
                <w:lang w:val="es-ES_tradnl"/>
              </w:rPr>
            </w:pPr>
            <w:r w:rsidRPr="003F0DA8">
              <w:rPr>
                <w:b/>
                <w:bCs/>
                <w:lang w:val="es-ES_tradnl"/>
              </w:rPr>
              <w:t>Referencias:</w:t>
            </w:r>
          </w:p>
          <w:p w:rsidR="004B7893" w:rsidRPr="003F0DA8" w:rsidRDefault="00A95EFA" w:rsidP="00852D20">
            <w:pPr>
              <w:spacing w:after="120"/>
              <w:rPr>
                <w:b/>
                <w:bCs/>
                <w:lang w:val="es-ES_tradnl"/>
              </w:rPr>
            </w:pPr>
            <w:r w:rsidRPr="003F0DA8">
              <w:rPr>
                <w:szCs w:val="24"/>
                <w:lang w:val="es-ES_tradnl"/>
              </w:rPr>
              <w:t>Declaración de Buenos Aires de la CMDT-17; Resoluciones 30 (Rev. Buenos Aires, 2017), 37 (Rev. Buenos Aires, 2017), 45 (Rev. Buenos Aires, 2017), 67 (Rev. Buenos Aires, 2017</w:t>
            </w:r>
            <w:r w:rsidR="00002B5C" w:rsidRPr="003F0DA8">
              <w:rPr>
                <w:szCs w:val="24"/>
                <w:lang w:val="es-ES_tradnl"/>
              </w:rPr>
              <w:t>), 69 (Rev. Buenos Aires, 2017),</w:t>
            </w:r>
            <w:r w:rsidRPr="003F0DA8">
              <w:rPr>
                <w:szCs w:val="24"/>
                <w:lang w:val="es-ES_tradnl"/>
              </w:rPr>
              <w:t xml:space="preserve"> 77 (Rev. Buenos Aires, 2017), </w:t>
            </w:r>
            <w:r w:rsidR="00002B5C" w:rsidRPr="003F0DA8">
              <w:rPr>
                <w:szCs w:val="24"/>
                <w:lang w:val="es-ES_tradnl"/>
              </w:rPr>
              <w:t>80 (Rev. Buenos Aires, 2017) de </w:t>
            </w:r>
            <w:r w:rsidRPr="003F0DA8">
              <w:rPr>
                <w:szCs w:val="24"/>
                <w:lang w:val="es-ES_tradnl"/>
              </w:rPr>
              <w:t>la CMDT</w:t>
            </w:r>
            <w:r w:rsidR="00C22A6C" w:rsidRPr="003F0DA8">
              <w:rPr>
                <w:szCs w:val="24"/>
                <w:lang w:val="es-ES_tradnl"/>
              </w:rPr>
              <w:t>;</w:t>
            </w:r>
            <w:r w:rsidRPr="003F0DA8">
              <w:rPr>
                <w:szCs w:val="24"/>
                <w:lang w:val="es-ES_tradnl"/>
              </w:rPr>
              <w:t xml:space="preserve"> Resoluciones 130 (Rev. Dubái, 2018), 139 (Rev. Dubái, 2018), 179 </w:t>
            </w:r>
            <w:r w:rsidR="00752F8F" w:rsidRPr="003F0DA8">
              <w:rPr>
                <w:szCs w:val="24"/>
                <w:lang w:val="es-ES_tradnl"/>
              </w:rPr>
              <w:t>(Rev. Dubái, 2018), 197 </w:t>
            </w:r>
            <w:r w:rsidRPr="003F0DA8">
              <w:rPr>
                <w:szCs w:val="24"/>
                <w:lang w:val="es-ES_tradnl"/>
              </w:rPr>
              <w:t>(Rev. Dubái, 2018) y 201 (Rev. Dubái, 2018) de la PP</w:t>
            </w:r>
            <w:bookmarkStart w:id="6" w:name="_GoBack"/>
            <w:bookmarkEnd w:id="6"/>
          </w:p>
        </w:tc>
      </w:tr>
    </w:tbl>
    <w:p w:rsidR="00E62E3D" w:rsidRPr="003F0DA8" w:rsidRDefault="00E62E3D" w:rsidP="00314547">
      <w:pPr>
        <w:rPr>
          <w:lang w:val="es-ES_tradnl"/>
        </w:rPr>
      </w:pPr>
      <w:r w:rsidRPr="003F0DA8">
        <w:rPr>
          <w:lang w:val="es-ES_tradnl"/>
        </w:rPr>
        <w:br w:type="page"/>
      </w:r>
    </w:p>
    <w:p w:rsidR="00F54C51" w:rsidRPr="003F0DA8" w:rsidRDefault="00E13EEC" w:rsidP="00314547">
      <w:pPr>
        <w:pStyle w:val="Heading1"/>
        <w:rPr>
          <w:lang w:val="es-ES_tradnl"/>
        </w:rPr>
      </w:pPr>
      <w:r w:rsidRPr="003F0DA8">
        <w:rPr>
          <w:lang w:val="es-ES_tradnl"/>
        </w:rPr>
        <w:lastRenderedPageBreak/>
        <w:t>1</w:t>
      </w:r>
      <w:r w:rsidRPr="003F0DA8">
        <w:rPr>
          <w:lang w:val="es-ES_tradnl"/>
        </w:rPr>
        <w:tab/>
        <w:t>Ciberseguridad</w:t>
      </w:r>
    </w:p>
    <w:p w:rsidR="00F54C51" w:rsidRPr="003F0DA8" w:rsidRDefault="00AB591C" w:rsidP="00314547">
      <w:pPr>
        <w:pStyle w:val="Heading2"/>
        <w:rPr>
          <w:lang w:val="es-ES_tradnl"/>
        </w:rPr>
      </w:pPr>
      <w:r w:rsidRPr="003F0DA8">
        <w:rPr>
          <w:lang w:val="es-ES_tradnl"/>
        </w:rPr>
        <w:t>1.1</w:t>
      </w:r>
      <w:r w:rsidRPr="003F0DA8">
        <w:rPr>
          <w:lang w:val="es-ES_tradnl"/>
        </w:rPr>
        <w:tab/>
        <w:t>Antecedentes</w:t>
      </w:r>
    </w:p>
    <w:p w:rsidR="00F54C51" w:rsidRPr="003F0DA8" w:rsidRDefault="00F520DA" w:rsidP="00314547">
      <w:pPr>
        <w:spacing w:after="120"/>
        <w:rPr>
          <w:szCs w:val="24"/>
          <w:lang w:val="es-ES_tradnl" w:eastAsia="zh-CN"/>
        </w:rPr>
      </w:pPr>
      <w:r w:rsidRPr="003F0DA8">
        <w:rPr>
          <w:szCs w:val="24"/>
          <w:lang w:val="es-ES_tradnl" w:eastAsia="zh-CN"/>
        </w:rPr>
        <w:t>A lo largo de los años, l</w:t>
      </w:r>
      <w:r w:rsidR="005520D3" w:rsidRPr="003F0DA8">
        <w:rPr>
          <w:szCs w:val="24"/>
          <w:lang w:val="es-ES_tradnl" w:eastAsia="zh-CN"/>
        </w:rPr>
        <w:t>a ciberseguridad</w:t>
      </w:r>
      <w:r w:rsidR="00F54C51" w:rsidRPr="003F0DA8">
        <w:rPr>
          <w:szCs w:val="24"/>
          <w:lang w:val="es-ES_tradnl" w:eastAsia="zh-CN"/>
        </w:rPr>
        <w:t xml:space="preserve"> </w:t>
      </w:r>
      <w:r w:rsidR="005520D3" w:rsidRPr="003F0DA8">
        <w:rPr>
          <w:szCs w:val="24"/>
          <w:lang w:val="es-ES_tradnl" w:eastAsia="zh-CN"/>
        </w:rPr>
        <w:t xml:space="preserve">se </w:t>
      </w:r>
      <w:r w:rsidRPr="003F0DA8">
        <w:rPr>
          <w:szCs w:val="24"/>
          <w:lang w:val="es-ES_tradnl" w:eastAsia="zh-CN"/>
        </w:rPr>
        <w:t>ha reconocido</w:t>
      </w:r>
      <w:r w:rsidR="005520D3" w:rsidRPr="003F0DA8">
        <w:rPr>
          <w:szCs w:val="24"/>
          <w:lang w:val="es-ES_tradnl" w:eastAsia="zh-CN"/>
        </w:rPr>
        <w:t xml:space="preserve"> como uno de los objetivos </w:t>
      </w:r>
      <w:r w:rsidRPr="003F0DA8">
        <w:rPr>
          <w:szCs w:val="24"/>
          <w:lang w:val="es-ES_tradnl" w:eastAsia="zh-CN"/>
        </w:rPr>
        <w:t xml:space="preserve">importantes </w:t>
      </w:r>
      <w:r w:rsidR="005520D3" w:rsidRPr="003F0DA8">
        <w:rPr>
          <w:szCs w:val="24"/>
          <w:lang w:val="es-ES_tradnl" w:eastAsia="zh-CN"/>
        </w:rPr>
        <w:t xml:space="preserve">de los </w:t>
      </w:r>
      <w:r w:rsidR="001D7507" w:rsidRPr="003F0DA8">
        <w:rPr>
          <w:szCs w:val="24"/>
          <w:lang w:val="es-ES_tradnl" w:eastAsia="zh-CN"/>
        </w:rPr>
        <w:t xml:space="preserve">miembros </w:t>
      </w:r>
      <w:r w:rsidR="005520D3" w:rsidRPr="003F0DA8">
        <w:rPr>
          <w:szCs w:val="24"/>
          <w:lang w:val="es-ES_tradnl" w:eastAsia="zh-CN"/>
        </w:rPr>
        <w:t>de la UIT en las Conferencias Mundiales de Desarrollo de las Telecomunicaciones</w:t>
      </w:r>
      <w:r w:rsidR="00F54C51" w:rsidRPr="003F0DA8">
        <w:rPr>
          <w:szCs w:val="24"/>
          <w:lang w:val="es-ES_tradnl" w:eastAsia="zh-CN"/>
        </w:rPr>
        <w:t xml:space="preserve"> </w:t>
      </w:r>
      <w:r w:rsidR="005520D3" w:rsidRPr="003F0DA8">
        <w:rPr>
          <w:szCs w:val="24"/>
          <w:lang w:val="es-ES_tradnl" w:eastAsia="zh-CN"/>
        </w:rPr>
        <w:t>y</w:t>
      </w:r>
      <w:r w:rsidR="00F54C51" w:rsidRPr="003F0DA8">
        <w:rPr>
          <w:szCs w:val="24"/>
          <w:lang w:val="es-ES_tradnl" w:eastAsia="zh-CN"/>
        </w:rPr>
        <w:t xml:space="preserve"> </w:t>
      </w:r>
      <w:r w:rsidR="005520D3" w:rsidRPr="003F0DA8">
        <w:rPr>
          <w:szCs w:val="24"/>
          <w:lang w:val="es-ES_tradnl" w:eastAsia="zh-CN"/>
        </w:rPr>
        <w:t>en la</w:t>
      </w:r>
      <w:r w:rsidRPr="003F0DA8">
        <w:rPr>
          <w:szCs w:val="24"/>
          <w:lang w:val="es-ES_tradnl" w:eastAsia="zh-CN"/>
        </w:rPr>
        <w:t>s</w:t>
      </w:r>
      <w:r w:rsidR="005520D3" w:rsidRPr="003F0DA8">
        <w:rPr>
          <w:szCs w:val="24"/>
          <w:lang w:val="es-ES_tradnl" w:eastAsia="zh-CN"/>
        </w:rPr>
        <w:t xml:space="preserve"> Conferencia</w:t>
      </w:r>
      <w:r w:rsidRPr="003F0DA8">
        <w:rPr>
          <w:szCs w:val="24"/>
          <w:lang w:val="es-ES_tradnl" w:eastAsia="zh-CN"/>
        </w:rPr>
        <w:t>s de Plenipotenciarios</w:t>
      </w:r>
      <w:r w:rsidR="00F54C51" w:rsidRPr="003F0DA8">
        <w:rPr>
          <w:szCs w:val="24"/>
          <w:lang w:val="es-ES_tradnl" w:eastAsia="zh-CN"/>
        </w:rPr>
        <w:t>.</w:t>
      </w:r>
    </w:p>
    <w:p w:rsidR="00F54C51" w:rsidRPr="003F0DA8" w:rsidRDefault="00EA5B40" w:rsidP="00314547">
      <w:pPr>
        <w:spacing w:after="120"/>
        <w:rPr>
          <w:szCs w:val="24"/>
          <w:lang w:val="es-ES_tradnl" w:eastAsia="zh-CN"/>
        </w:rPr>
      </w:pPr>
      <w:r w:rsidRPr="003F0DA8">
        <w:rPr>
          <w:szCs w:val="24"/>
          <w:lang w:val="es-ES_tradnl" w:eastAsia="zh-CN"/>
        </w:rPr>
        <w:t>Tras la CMDT</w:t>
      </w:r>
      <w:r w:rsidR="00F54C51" w:rsidRPr="003F0DA8">
        <w:rPr>
          <w:szCs w:val="24"/>
          <w:lang w:val="es-ES_tradnl"/>
        </w:rPr>
        <w:t xml:space="preserve">-17, </w:t>
      </w:r>
      <w:r w:rsidRPr="003F0DA8">
        <w:rPr>
          <w:szCs w:val="24"/>
          <w:lang w:val="es-ES_tradnl"/>
        </w:rPr>
        <w:t>l</w:t>
      </w:r>
      <w:r w:rsidR="005F52FE" w:rsidRPr="003F0DA8">
        <w:rPr>
          <w:szCs w:val="24"/>
          <w:lang w:val="es-ES_tradnl"/>
        </w:rPr>
        <w:t>os</w:t>
      </w:r>
      <w:r w:rsidRPr="003F0DA8">
        <w:rPr>
          <w:szCs w:val="24"/>
          <w:lang w:val="es-ES_tradnl"/>
        </w:rPr>
        <w:t xml:space="preserve"> objetivo</w:t>
      </w:r>
      <w:r w:rsidR="005F52FE" w:rsidRPr="003F0DA8">
        <w:rPr>
          <w:szCs w:val="24"/>
          <w:lang w:val="es-ES_tradnl"/>
        </w:rPr>
        <w:t>s</w:t>
      </w:r>
      <w:r w:rsidRPr="003F0DA8">
        <w:rPr>
          <w:szCs w:val="24"/>
          <w:lang w:val="es-ES_tradnl"/>
        </w:rPr>
        <w:t xml:space="preserve"> principal</w:t>
      </w:r>
      <w:r w:rsidR="005F52FE" w:rsidRPr="003F0DA8">
        <w:rPr>
          <w:szCs w:val="24"/>
          <w:lang w:val="es-ES_tradnl"/>
        </w:rPr>
        <w:t>es</w:t>
      </w:r>
      <w:r w:rsidRPr="003F0DA8">
        <w:rPr>
          <w:szCs w:val="24"/>
          <w:lang w:val="es-ES_tradnl"/>
        </w:rPr>
        <w:t xml:space="preserve"> del mandato sobre ciberseguridad del UIT</w:t>
      </w:r>
      <w:r w:rsidR="00F54C51" w:rsidRPr="003F0DA8">
        <w:rPr>
          <w:szCs w:val="24"/>
          <w:lang w:val="es-ES_tradnl" w:eastAsia="ko-KR"/>
        </w:rPr>
        <w:t xml:space="preserve">-D </w:t>
      </w:r>
      <w:r w:rsidR="005F52FE" w:rsidRPr="003F0DA8">
        <w:rPr>
          <w:szCs w:val="24"/>
          <w:lang w:val="es-ES_tradnl" w:eastAsia="ko-KR"/>
        </w:rPr>
        <w:t xml:space="preserve">son </w:t>
      </w:r>
      <w:r w:rsidRPr="003F0DA8">
        <w:rPr>
          <w:szCs w:val="24"/>
          <w:lang w:val="es-ES_tradnl" w:eastAsia="ko-KR"/>
        </w:rPr>
        <w:t xml:space="preserve">proporcionar productos y servicios orientados a crear confianza y seguridad en </w:t>
      </w:r>
      <w:r w:rsidR="00075A9F" w:rsidRPr="003F0DA8">
        <w:rPr>
          <w:szCs w:val="24"/>
          <w:lang w:val="es-ES_tradnl" w:eastAsia="ko-KR"/>
        </w:rPr>
        <w:t>la utilización</w:t>
      </w:r>
      <w:r w:rsidRPr="003F0DA8">
        <w:rPr>
          <w:szCs w:val="24"/>
          <w:lang w:val="es-ES_tradnl" w:eastAsia="ko-KR"/>
        </w:rPr>
        <w:t xml:space="preserve"> de las telecomunica</w:t>
      </w:r>
      <w:r w:rsidR="00A5535D" w:rsidRPr="003F0DA8">
        <w:rPr>
          <w:szCs w:val="24"/>
          <w:lang w:val="es-ES_tradnl" w:eastAsia="ko-KR"/>
        </w:rPr>
        <w:t>c</w:t>
      </w:r>
      <w:r w:rsidRPr="003F0DA8">
        <w:rPr>
          <w:szCs w:val="24"/>
          <w:lang w:val="es-ES_tradnl" w:eastAsia="ko-KR"/>
        </w:rPr>
        <w:t>iones/TIC, como informes y publicaciones, y a contribuir a la ejecución de iniciativas nacionales y mundiales</w:t>
      </w:r>
      <w:r w:rsidR="00FD1088" w:rsidRPr="003F0DA8">
        <w:rPr>
          <w:szCs w:val="24"/>
          <w:lang w:val="es-ES_tradnl" w:eastAsia="ko-KR"/>
        </w:rPr>
        <w:t>.</w:t>
      </w:r>
    </w:p>
    <w:p w:rsidR="00F54C51" w:rsidRPr="003F0DA8" w:rsidRDefault="00052DE7" w:rsidP="00314547">
      <w:pPr>
        <w:spacing w:after="120"/>
        <w:rPr>
          <w:szCs w:val="24"/>
          <w:lang w:val="es-ES_tradnl" w:eastAsia="ko-KR"/>
        </w:rPr>
      </w:pPr>
      <w:r w:rsidRPr="003F0DA8">
        <w:rPr>
          <w:szCs w:val="24"/>
          <w:lang w:val="es-ES_tradnl" w:eastAsia="ko-KR"/>
        </w:rPr>
        <w:t xml:space="preserve">El </w:t>
      </w:r>
      <w:r w:rsidR="004A63BD" w:rsidRPr="003F0DA8">
        <w:rPr>
          <w:szCs w:val="24"/>
          <w:lang w:val="es-ES_tradnl" w:eastAsia="ko-KR"/>
        </w:rPr>
        <w:t xml:space="preserve">Producto </w:t>
      </w:r>
      <w:r w:rsidR="00F54C51" w:rsidRPr="003F0DA8">
        <w:rPr>
          <w:szCs w:val="24"/>
          <w:lang w:val="es-ES_tradnl" w:eastAsia="ko-KR"/>
        </w:rPr>
        <w:t xml:space="preserve">D2.2 </w:t>
      </w:r>
      <w:r w:rsidRPr="003F0DA8">
        <w:rPr>
          <w:szCs w:val="24"/>
          <w:lang w:val="es-ES_tradnl" w:eastAsia="ko-KR"/>
        </w:rPr>
        <w:t>del Plan de Acción de Buenos Aires (</w:t>
      </w:r>
      <w:r w:rsidR="00075A9F" w:rsidRPr="003F0DA8">
        <w:rPr>
          <w:szCs w:val="24"/>
          <w:lang w:val="es-ES_tradnl" w:eastAsia="ko-KR"/>
        </w:rPr>
        <w:t>PA</w:t>
      </w:r>
      <w:r w:rsidRPr="003F0DA8">
        <w:rPr>
          <w:szCs w:val="24"/>
          <w:lang w:val="es-ES_tradnl" w:eastAsia="ko-KR"/>
        </w:rPr>
        <w:t>B</w:t>
      </w:r>
      <w:r w:rsidR="00075A9F" w:rsidRPr="003F0DA8">
        <w:rPr>
          <w:szCs w:val="24"/>
          <w:lang w:val="es-ES_tradnl" w:eastAsia="ko-KR"/>
        </w:rPr>
        <w:t>a</w:t>
      </w:r>
      <w:r w:rsidRPr="003F0DA8">
        <w:rPr>
          <w:szCs w:val="24"/>
          <w:lang w:val="es-ES_tradnl" w:eastAsia="ko-KR"/>
        </w:rPr>
        <w:t xml:space="preserve">) indica las expectativas sobre cómo cumplir </w:t>
      </w:r>
      <w:r w:rsidR="002756C1" w:rsidRPr="003F0DA8">
        <w:rPr>
          <w:szCs w:val="24"/>
          <w:lang w:val="es-ES_tradnl" w:eastAsia="ko-KR"/>
        </w:rPr>
        <w:t xml:space="preserve">los </w:t>
      </w:r>
      <w:r w:rsidRPr="003F0DA8">
        <w:rPr>
          <w:szCs w:val="24"/>
          <w:lang w:val="es-ES_tradnl" w:eastAsia="ko-KR"/>
        </w:rPr>
        <w:t>objetivo</w:t>
      </w:r>
      <w:r w:rsidR="002756C1" w:rsidRPr="003F0DA8">
        <w:rPr>
          <w:szCs w:val="24"/>
          <w:lang w:val="es-ES_tradnl" w:eastAsia="ko-KR"/>
        </w:rPr>
        <w:t>s</w:t>
      </w:r>
      <w:r w:rsidRPr="003F0DA8">
        <w:rPr>
          <w:szCs w:val="24"/>
          <w:lang w:val="es-ES_tradnl" w:eastAsia="ko-KR"/>
        </w:rPr>
        <w:t xml:space="preserve"> </w:t>
      </w:r>
      <w:r w:rsidR="003C637C" w:rsidRPr="003F0DA8">
        <w:rPr>
          <w:szCs w:val="24"/>
          <w:lang w:val="es-ES_tradnl" w:eastAsia="ko-KR"/>
        </w:rPr>
        <w:t>relacionados con la</w:t>
      </w:r>
      <w:r w:rsidRPr="003F0DA8">
        <w:rPr>
          <w:szCs w:val="24"/>
          <w:lang w:val="es-ES_tradnl" w:eastAsia="ko-KR"/>
        </w:rPr>
        <w:t xml:space="preserve"> </w:t>
      </w:r>
      <w:r w:rsidR="002756C1" w:rsidRPr="003F0DA8">
        <w:rPr>
          <w:szCs w:val="24"/>
          <w:lang w:val="es-ES_tradnl" w:eastAsia="ko-KR"/>
        </w:rPr>
        <w:t xml:space="preserve">ciberseguridad </w:t>
      </w:r>
      <w:r w:rsidRPr="003F0DA8">
        <w:rPr>
          <w:szCs w:val="24"/>
          <w:lang w:val="es-ES_tradnl" w:eastAsia="ko-KR"/>
        </w:rPr>
        <w:t>de la CMDT-17, a saber, mediante:</w:t>
      </w:r>
    </w:p>
    <w:p w:rsidR="00F54C51" w:rsidRPr="003F0DA8" w:rsidRDefault="00D752E5" w:rsidP="00314547">
      <w:pPr>
        <w:pStyle w:val="enumlev1"/>
        <w:rPr>
          <w:rFonts w:eastAsia="SimHei"/>
          <w:lang w:val="es-ES_tradnl" w:eastAsia="zh-CN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2756C1" w:rsidRPr="003F0DA8">
        <w:rPr>
          <w:rFonts w:eastAsia="SimHei"/>
          <w:lang w:val="es-ES_tradnl" w:eastAsia="zh-CN"/>
        </w:rPr>
        <w:t>el f</w:t>
      </w:r>
      <w:r w:rsidRPr="003F0DA8">
        <w:rPr>
          <w:rFonts w:eastAsia="SimHei"/>
          <w:lang w:val="es-ES_tradnl" w:eastAsia="zh-CN"/>
        </w:rPr>
        <w:t>ortalecimiento de la capacidad de los Estados Miembros para compartir información, encontrar soluciones y responder de mane</w:t>
      </w:r>
      <w:r w:rsidR="002756C1" w:rsidRPr="003F0DA8">
        <w:rPr>
          <w:rFonts w:eastAsia="SimHei"/>
          <w:lang w:val="es-ES_tradnl" w:eastAsia="zh-CN"/>
        </w:rPr>
        <w:t>ra efectiva a las ciberamenazas;</w:t>
      </w:r>
    </w:p>
    <w:p w:rsidR="00F54C51" w:rsidRPr="003F0DA8" w:rsidRDefault="004349BD" w:rsidP="00314547">
      <w:pPr>
        <w:pStyle w:val="enumlev1"/>
        <w:rPr>
          <w:rFonts w:eastAsia="SimHei"/>
          <w:lang w:val="es-ES_tradnl" w:eastAsia="zh-CN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2756C1" w:rsidRPr="003F0DA8">
        <w:rPr>
          <w:rFonts w:eastAsia="SimHei"/>
          <w:lang w:val="es-ES_tradnl" w:eastAsia="zh-CN"/>
        </w:rPr>
        <w:t>el d</w:t>
      </w:r>
      <w:r w:rsidR="00E47E04" w:rsidRPr="003F0DA8">
        <w:rPr>
          <w:rFonts w:eastAsia="SimHei"/>
          <w:lang w:val="es-ES_tradnl" w:eastAsia="zh-CN"/>
        </w:rPr>
        <w:t>esarrollo</w:t>
      </w:r>
      <w:r w:rsidRPr="003F0DA8">
        <w:rPr>
          <w:rFonts w:eastAsia="SimHei"/>
          <w:lang w:val="es-ES_tradnl" w:eastAsia="zh-CN"/>
        </w:rPr>
        <w:t xml:space="preserve"> y </w:t>
      </w:r>
      <w:r w:rsidR="002756C1" w:rsidRPr="003F0DA8">
        <w:rPr>
          <w:rFonts w:eastAsia="SimHei"/>
          <w:lang w:val="es-ES_tradnl" w:eastAsia="zh-CN"/>
        </w:rPr>
        <w:t xml:space="preserve">la </w:t>
      </w:r>
      <w:r w:rsidR="00E47E04" w:rsidRPr="003F0DA8">
        <w:rPr>
          <w:rFonts w:eastAsia="SimHei"/>
          <w:lang w:val="es-ES_tradnl" w:eastAsia="zh-CN"/>
        </w:rPr>
        <w:t>puesta</w:t>
      </w:r>
      <w:r w:rsidRPr="003F0DA8">
        <w:rPr>
          <w:rFonts w:eastAsia="SimHei"/>
          <w:lang w:val="es-ES_tradnl" w:eastAsia="zh-CN"/>
        </w:rPr>
        <w:t xml:space="preserve"> en práctica </w:t>
      </w:r>
      <w:r w:rsidR="00E47E04" w:rsidRPr="003F0DA8">
        <w:rPr>
          <w:rFonts w:eastAsia="SimHei"/>
          <w:lang w:val="es-ES_tradnl" w:eastAsia="zh-CN"/>
        </w:rPr>
        <w:t xml:space="preserve">de </w:t>
      </w:r>
      <w:r w:rsidRPr="003F0DA8">
        <w:rPr>
          <w:rFonts w:eastAsia="SimHei"/>
          <w:lang w:val="es-ES_tradnl" w:eastAsia="zh-CN"/>
        </w:rPr>
        <w:t>estra</w:t>
      </w:r>
      <w:r w:rsidR="002756C1" w:rsidRPr="003F0DA8">
        <w:rPr>
          <w:rFonts w:eastAsia="SimHei"/>
          <w:lang w:val="es-ES_tradnl" w:eastAsia="zh-CN"/>
        </w:rPr>
        <w:t>tegias y capacidades nacionales;</w:t>
      </w:r>
    </w:p>
    <w:p w:rsidR="00F54C51" w:rsidRPr="003F0DA8" w:rsidRDefault="00713DAA" w:rsidP="00314547">
      <w:pPr>
        <w:pStyle w:val="enumlev1"/>
        <w:rPr>
          <w:rFonts w:eastAsia="SimHei"/>
          <w:lang w:val="es-ES_tradnl" w:eastAsia="zh-CN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2756C1" w:rsidRPr="003F0DA8">
        <w:rPr>
          <w:rFonts w:eastAsia="SimHei"/>
          <w:lang w:val="es-ES_tradnl" w:eastAsia="zh-CN"/>
        </w:rPr>
        <w:t>la creación de capacidad humana e institucional;</w:t>
      </w:r>
    </w:p>
    <w:p w:rsidR="00F54C51" w:rsidRPr="003F0DA8" w:rsidRDefault="00713DAA" w:rsidP="00314547">
      <w:pPr>
        <w:pStyle w:val="enumlev1"/>
        <w:rPr>
          <w:rFonts w:eastAsia="SimHei"/>
          <w:lang w:val="es-ES_tradnl" w:eastAsia="zh-CN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2756C1" w:rsidRPr="003F0DA8">
        <w:rPr>
          <w:rFonts w:eastAsia="SimHei"/>
          <w:lang w:val="es-ES_tradnl" w:eastAsia="zh-CN"/>
        </w:rPr>
        <w:t xml:space="preserve">el </w:t>
      </w:r>
      <w:r w:rsidRPr="003F0DA8">
        <w:rPr>
          <w:rFonts w:eastAsia="SimHei"/>
          <w:lang w:val="es-ES_tradnl" w:eastAsia="zh-CN"/>
        </w:rPr>
        <w:t xml:space="preserve">fomento de la cooperación nacional, regional e internacional a fin de aumentar el compromiso de los Estados Miembros y </w:t>
      </w:r>
      <w:r w:rsidR="002756C1" w:rsidRPr="003F0DA8">
        <w:rPr>
          <w:rFonts w:eastAsia="SimHei"/>
          <w:lang w:val="es-ES_tradnl" w:eastAsia="zh-CN"/>
        </w:rPr>
        <w:t xml:space="preserve">las partes interesadas </w:t>
      </w:r>
      <w:r w:rsidRPr="003F0DA8">
        <w:rPr>
          <w:rFonts w:eastAsia="SimHei"/>
          <w:lang w:val="es-ES_tradnl" w:eastAsia="zh-CN"/>
        </w:rPr>
        <w:t>pertinentes</w:t>
      </w:r>
      <w:r w:rsidR="00F77B28" w:rsidRPr="003F0DA8">
        <w:rPr>
          <w:rFonts w:eastAsia="SimHei"/>
          <w:lang w:val="es-ES_tradnl" w:eastAsia="zh-CN"/>
        </w:rPr>
        <w:t>;</w:t>
      </w:r>
    </w:p>
    <w:p w:rsidR="00F54C51" w:rsidRPr="003F0DA8" w:rsidRDefault="00713DAA" w:rsidP="00314547">
      <w:pPr>
        <w:pStyle w:val="enumlev1"/>
        <w:rPr>
          <w:rFonts w:eastAsia="SimHei"/>
          <w:lang w:val="es-ES_tradnl" w:eastAsia="zh-CN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F77B28" w:rsidRPr="003F0DA8">
        <w:rPr>
          <w:rFonts w:eastAsia="SimHei"/>
          <w:lang w:val="es-ES_tradnl" w:eastAsia="zh-CN"/>
        </w:rPr>
        <w:t>el establecimiento de nuevas alianzas; y</w:t>
      </w:r>
    </w:p>
    <w:p w:rsidR="00F54C51" w:rsidRPr="003F0DA8" w:rsidRDefault="00713DAA" w:rsidP="00314547">
      <w:pPr>
        <w:pStyle w:val="enumlev1"/>
        <w:rPr>
          <w:rFonts w:eastAsia="SimHei"/>
          <w:lang w:val="es-ES_tradnl" w:eastAsia="zh-CN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F77B28" w:rsidRPr="003F0DA8">
        <w:rPr>
          <w:rFonts w:eastAsia="SimHei"/>
          <w:lang w:val="es-ES_tradnl" w:eastAsia="zh-CN"/>
        </w:rPr>
        <w:t xml:space="preserve">otras actividades necesarias para </w:t>
      </w:r>
      <w:r w:rsidR="00604F6A" w:rsidRPr="003F0DA8">
        <w:rPr>
          <w:rFonts w:eastAsia="SimHei"/>
          <w:lang w:val="es-ES_tradnl" w:eastAsia="zh-CN"/>
        </w:rPr>
        <w:t>lograr</w:t>
      </w:r>
      <w:r w:rsidR="00F77B28" w:rsidRPr="003F0DA8">
        <w:rPr>
          <w:rFonts w:eastAsia="SimHei"/>
          <w:lang w:val="es-ES_tradnl" w:eastAsia="zh-CN"/>
        </w:rPr>
        <w:t xml:space="preserve"> los objetivos </w:t>
      </w:r>
      <w:r w:rsidR="003C637C" w:rsidRPr="003F0DA8">
        <w:rPr>
          <w:rFonts w:eastAsia="SimHei"/>
          <w:lang w:val="es-ES_tradnl" w:eastAsia="zh-CN"/>
        </w:rPr>
        <w:t>relacionados</w:t>
      </w:r>
      <w:r w:rsidR="00D2187E" w:rsidRPr="003F0DA8">
        <w:rPr>
          <w:rFonts w:eastAsia="SimHei"/>
          <w:lang w:val="es-ES_tradnl" w:eastAsia="zh-CN"/>
        </w:rPr>
        <w:t xml:space="preserve"> con la</w:t>
      </w:r>
      <w:r w:rsidR="00F77B28" w:rsidRPr="003F0DA8">
        <w:rPr>
          <w:rFonts w:eastAsia="SimHei"/>
          <w:lang w:val="es-ES_tradnl" w:eastAsia="zh-CN"/>
        </w:rPr>
        <w:t xml:space="preserve"> ciberseguridad</w:t>
      </w:r>
      <w:r w:rsidR="00F54C51" w:rsidRPr="003F0DA8">
        <w:rPr>
          <w:rFonts w:eastAsia="SimHei"/>
          <w:lang w:val="es-ES_tradnl" w:eastAsia="zh-CN"/>
        </w:rPr>
        <w:t>.</w:t>
      </w:r>
    </w:p>
    <w:p w:rsidR="00F54C51" w:rsidRPr="003F0DA8" w:rsidRDefault="00744CB2" w:rsidP="00314547">
      <w:pPr>
        <w:pStyle w:val="Heading2"/>
        <w:rPr>
          <w:lang w:val="es-ES_tradnl"/>
        </w:rPr>
      </w:pPr>
      <w:bookmarkStart w:id="7" w:name="Proposal"/>
      <w:bookmarkEnd w:id="7"/>
      <w:r w:rsidRPr="003F0DA8">
        <w:rPr>
          <w:lang w:val="es-ES_tradnl"/>
        </w:rPr>
        <w:t>1.2</w:t>
      </w:r>
      <w:r w:rsidRPr="003F0DA8">
        <w:rPr>
          <w:lang w:val="es-ES_tradnl"/>
        </w:rPr>
        <w:tab/>
      </w:r>
      <w:r w:rsidR="00386FD6" w:rsidRPr="003F0DA8">
        <w:rPr>
          <w:lang w:val="es-ES_tradnl"/>
        </w:rPr>
        <w:t>Principales actividades y resultados</w:t>
      </w:r>
    </w:p>
    <w:p w:rsidR="00F54C51" w:rsidRPr="003F0DA8" w:rsidRDefault="005D7079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>El programa sobre ciberseguridad del UIT</w:t>
      </w:r>
      <w:r w:rsidR="00F54C51" w:rsidRPr="003F0DA8">
        <w:rPr>
          <w:szCs w:val="24"/>
          <w:lang w:val="es-ES_tradnl"/>
        </w:rPr>
        <w:t>-D</w:t>
      </w:r>
      <w:r w:rsidRPr="003F0DA8">
        <w:rPr>
          <w:szCs w:val="24"/>
          <w:lang w:val="es-ES_tradnl"/>
        </w:rPr>
        <w:t xml:space="preserve"> realiza </w:t>
      </w:r>
      <w:r w:rsidR="00AA7838" w:rsidRPr="003F0DA8">
        <w:rPr>
          <w:szCs w:val="24"/>
          <w:lang w:val="es-ES_tradnl"/>
        </w:rPr>
        <w:t>diferentes actividades</w:t>
      </w:r>
      <w:r w:rsidRPr="003F0DA8">
        <w:rPr>
          <w:szCs w:val="24"/>
          <w:lang w:val="es-ES_tradnl"/>
        </w:rPr>
        <w:t xml:space="preserve">, como elaboración de publicaciones y celebración de talleres nacionales y regionales de creación de capacidad, y colabora con sus socios para ofrecer productos y servicios de calidad. Desde la última reunión del GADT, la BDT ha establecido varias alianzas nuevas que contribuirán al desarrollo, la facilitación y la ejecución de los proyectos y </w:t>
      </w:r>
      <w:r w:rsidR="00A31712" w:rsidRPr="003F0DA8">
        <w:rPr>
          <w:szCs w:val="24"/>
          <w:lang w:val="es-ES_tradnl"/>
        </w:rPr>
        <w:t>al intercambio de</w:t>
      </w:r>
      <w:r w:rsidRPr="003F0DA8">
        <w:rPr>
          <w:szCs w:val="24"/>
          <w:lang w:val="es-ES_tradnl"/>
        </w:rPr>
        <w:t xml:space="preserve"> conocimientos e información sobre los temas relacionados</w:t>
      </w:r>
      <w:r w:rsidR="00075A9F" w:rsidRPr="003F0DA8">
        <w:rPr>
          <w:szCs w:val="24"/>
          <w:lang w:val="es-ES_tradnl"/>
        </w:rPr>
        <w:t>,</w:t>
      </w:r>
      <w:r w:rsidRPr="003F0DA8">
        <w:rPr>
          <w:szCs w:val="24"/>
          <w:lang w:val="es-ES_tradnl"/>
        </w:rPr>
        <w:t xml:space="preserve"> en consulta con los </w:t>
      </w:r>
      <w:r w:rsidR="00F3110E" w:rsidRPr="003F0DA8">
        <w:rPr>
          <w:szCs w:val="24"/>
          <w:lang w:val="es-ES_tradnl"/>
        </w:rPr>
        <w:t xml:space="preserve">miembros </w:t>
      </w:r>
      <w:r w:rsidRPr="003F0DA8">
        <w:rPr>
          <w:szCs w:val="24"/>
          <w:lang w:val="es-ES_tradnl"/>
        </w:rPr>
        <w:t>y las principales partes interesadas pertinentes</w:t>
      </w:r>
      <w:r w:rsidR="000B563A" w:rsidRPr="003F0DA8">
        <w:rPr>
          <w:szCs w:val="24"/>
          <w:lang w:val="es-ES_tradnl"/>
        </w:rPr>
        <w:t xml:space="preserve">. </w:t>
      </w:r>
      <w:r w:rsidRPr="003F0DA8">
        <w:rPr>
          <w:szCs w:val="24"/>
          <w:lang w:val="es-ES_tradnl"/>
        </w:rPr>
        <w:t xml:space="preserve">Además, la BDT coordina las actividades con </w:t>
      </w:r>
      <w:r w:rsidR="00AE50BD" w:rsidRPr="003F0DA8">
        <w:rPr>
          <w:szCs w:val="24"/>
          <w:lang w:val="es-ES_tradnl"/>
        </w:rPr>
        <w:t>otros</w:t>
      </w:r>
      <w:r w:rsidRPr="003F0DA8">
        <w:rPr>
          <w:szCs w:val="24"/>
          <w:lang w:val="es-ES_tradnl"/>
        </w:rPr>
        <w:t xml:space="preserve"> Sectores y socios de la UIT con miras a agilizar su realización y la puesta en marcha</w:t>
      </w:r>
      <w:r w:rsidR="00F00899" w:rsidRPr="003F0DA8">
        <w:rPr>
          <w:szCs w:val="24"/>
          <w:lang w:val="es-ES_tradnl"/>
        </w:rPr>
        <w:t>, con las partes interesadas correspondientes,</w:t>
      </w:r>
      <w:r w:rsidRPr="003F0DA8">
        <w:rPr>
          <w:szCs w:val="24"/>
          <w:lang w:val="es-ES_tradnl"/>
        </w:rPr>
        <w:t xml:space="preserve"> de las iniciativas </w:t>
      </w:r>
      <w:r w:rsidR="00AA7838" w:rsidRPr="003F0DA8">
        <w:rPr>
          <w:szCs w:val="24"/>
          <w:lang w:val="es-ES_tradnl"/>
        </w:rPr>
        <w:t xml:space="preserve">relativas a </w:t>
      </w:r>
      <w:r w:rsidR="00075A9F" w:rsidRPr="003F0DA8">
        <w:rPr>
          <w:szCs w:val="24"/>
          <w:lang w:val="es-ES_tradnl"/>
        </w:rPr>
        <w:t xml:space="preserve">los principales retos específicos en materia </w:t>
      </w:r>
      <w:r w:rsidR="00AA7838" w:rsidRPr="003F0DA8">
        <w:rPr>
          <w:szCs w:val="24"/>
          <w:lang w:val="es-ES_tradnl"/>
        </w:rPr>
        <w:t>de ciberseguridad</w:t>
      </w:r>
      <w:r w:rsidR="0030377B" w:rsidRPr="003F0DA8">
        <w:rPr>
          <w:szCs w:val="24"/>
          <w:lang w:val="es-ES_tradnl"/>
        </w:rPr>
        <w:t>.</w:t>
      </w:r>
    </w:p>
    <w:p w:rsidR="00F54C51" w:rsidRPr="003F0DA8" w:rsidRDefault="00BA55DA" w:rsidP="00314547">
      <w:pPr>
        <w:pStyle w:val="Heading3"/>
        <w:rPr>
          <w:lang w:val="es-ES_tradnl"/>
        </w:rPr>
      </w:pPr>
      <w:r w:rsidRPr="003F0DA8">
        <w:rPr>
          <w:lang w:val="es-ES_tradnl"/>
        </w:rPr>
        <w:t>1.2.1</w:t>
      </w:r>
      <w:r w:rsidRPr="003F0DA8">
        <w:rPr>
          <w:lang w:val="es-ES_tradnl"/>
        </w:rPr>
        <w:tab/>
      </w:r>
      <w:r w:rsidR="00DC0C9D" w:rsidRPr="003F0DA8">
        <w:rPr>
          <w:lang w:val="es-ES_tradnl"/>
        </w:rPr>
        <w:t>Elaboración y examen de la estrategia de ciberseguridad</w:t>
      </w:r>
    </w:p>
    <w:p w:rsidR="00F54C51" w:rsidRPr="003F0DA8" w:rsidRDefault="00E75108" w:rsidP="00C92263">
      <w:pPr>
        <w:overflowPunct/>
        <w:autoSpaceDE/>
        <w:autoSpaceDN/>
        <w:adjustRightInd/>
        <w:spacing w:after="120"/>
        <w:textAlignment w:val="auto"/>
        <w:rPr>
          <w:szCs w:val="24"/>
          <w:lang w:val="es-ES_tradnl"/>
        </w:rPr>
      </w:pPr>
      <w:r w:rsidRPr="003F0DA8">
        <w:rPr>
          <w:rFonts w:cstheme="minorBidi"/>
          <w:szCs w:val="24"/>
          <w:lang w:val="es-ES_tradnl"/>
        </w:rPr>
        <w:t>La</w:t>
      </w:r>
      <w:r w:rsidR="00FB03AD" w:rsidRPr="003F0DA8">
        <w:rPr>
          <w:rFonts w:cstheme="minorBidi"/>
          <w:szCs w:val="24"/>
          <w:lang w:val="es-ES_tradnl"/>
        </w:rPr>
        <w:t xml:space="preserve"> </w:t>
      </w:r>
      <w:hyperlink r:id="rId9" w:history="1">
        <w:r w:rsidR="00FB03AD" w:rsidRPr="003F0DA8">
          <w:rPr>
            <w:rStyle w:val="Hyperlink"/>
            <w:szCs w:val="24"/>
            <w:lang w:val="es-ES_tradnl"/>
          </w:rPr>
          <w:t>Guía para la elaboración de una estrategia nacional de ciberseguridad</w:t>
        </w:r>
      </w:hyperlink>
      <w:r w:rsidRPr="003F0DA8">
        <w:rPr>
          <w:rFonts w:cstheme="minorBidi"/>
          <w:szCs w:val="24"/>
          <w:lang w:val="es-ES_tradnl"/>
        </w:rPr>
        <w:t xml:space="preserve">, </w:t>
      </w:r>
      <w:r w:rsidR="00075A9F" w:rsidRPr="003F0DA8">
        <w:rPr>
          <w:rFonts w:cstheme="minorBidi"/>
          <w:szCs w:val="24"/>
          <w:lang w:val="es-ES_tradnl"/>
        </w:rPr>
        <w:t xml:space="preserve">presentada </w:t>
      </w:r>
      <w:r w:rsidRPr="003F0DA8">
        <w:rPr>
          <w:rFonts w:cstheme="minorBidi"/>
          <w:szCs w:val="24"/>
          <w:lang w:val="es-ES_tradnl"/>
        </w:rPr>
        <w:t xml:space="preserve">oficialmente en </w:t>
      </w:r>
      <w:r w:rsidR="00F54C51" w:rsidRPr="003F0DA8">
        <w:rPr>
          <w:rFonts w:cstheme="minorBidi"/>
          <w:szCs w:val="24"/>
          <w:lang w:val="es-ES_tradnl"/>
        </w:rPr>
        <w:t>ITU Telecom World 2018</w:t>
      </w:r>
      <w:r w:rsidRPr="003F0DA8">
        <w:rPr>
          <w:rFonts w:cstheme="minorBidi"/>
          <w:szCs w:val="24"/>
          <w:lang w:val="es-ES_tradnl"/>
        </w:rPr>
        <w:t xml:space="preserve">, </w:t>
      </w:r>
      <w:r w:rsidR="009A4FDC" w:rsidRPr="003F0DA8">
        <w:rPr>
          <w:rFonts w:cstheme="minorBidi"/>
          <w:szCs w:val="24"/>
          <w:lang w:val="es-ES_tradnl"/>
        </w:rPr>
        <w:t xml:space="preserve">es </w:t>
      </w:r>
      <w:r w:rsidR="005A562D" w:rsidRPr="003F0DA8">
        <w:rPr>
          <w:rFonts w:cstheme="minorBidi"/>
          <w:szCs w:val="24"/>
          <w:lang w:val="es-ES_tradnl"/>
        </w:rPr>
        <w:t>un</w:t>
      </w:r>
      <w:r w:rsidR="009A4FDC" w:rsidRPr="003F0DA8">
        <w:rPr>
          <w:rFonts w:cstheme="minorBidi"/>
          <w:szCs w:val="24"/>
          <w:lang w:val="es-ES_tradnl"/>
        </w:rPr>
        <w:t>a</w:t>
      </w:r>
      <w:r w:rsidR="005A562D" w:rsidRPr="003F0DA8">
        <w:rPr>
          <w:rFonts w:cstheme="minorBidi"/>
          <w:szCs w:val="24"/>
          <w:lang w:val="es-ES_tradnl"/>
        </w:rPr>
        <w:t xml:space="preserve"> </w:t>
      </w:r>
      <w:r w:rsidR="009A4FDC" w:rsidRPr="003F0DA8">
        <w:rPr>
          <w:rFonts w:cstheme="minorBidi"/>
          <w:szCs w:val="24"/>
          <w:lang w:val="es-ES_tradnl"/>
        </w:rPr>
        <w:t xml:space="preserve">iniciativa </w:t>
      </w:r>
      <w:r w:rsidR="005A562D" w:rsidRPr="003F0DA8">
        <w:rPr>
          <w:rFonts w:cstheme="minorBidi"/>
          <w:szCs w:val="24"/>
          <w:lang w:val="es-ES_tradnl"/>
        </w:rPr>
        <w:t>multipartit</w:t>
      </w:r>
      <w:r w:rsidR="009A4FDC" w:rsidRPr="003F0DA8">
        <w:rPr>
          <w:rFonts w:cstheme="minorBidi"/>
          <w:szCs w:val="24"/>
          <w:lang w:val="es-ES_tradnl"/>
        </w:rPr>
        <w:t>a</w:t>
      </w:r>
      <w:r w:rsidR="005A562D" w:rsidRPr="003F0DA8">
        <w:rPr>
          <w:rFonts w:cstheme="minorBidi"/>
          <w:szCs w:val="24"/>
          <w:lang w:val="es-ES_tradnl"/>
        </w:rPr>
        <w:t xml:space="preserve"> propiciada</w:t>
      </w:r>
      <w:r w:rsidRPr="003F0DA8">
        <w:rPr>
          <w:rFonts w:cstheme="minorBidi"/>
          <w:szCs w:val="24"/>
          <w:lang w:val="es-ES_tradnl"/>
        </w:rPr>
        <w:t xml:space="preserve"> por la UIT </w:t>
      </w:r>
      <w:r w:rsidR="004A1F73" w:rsidRPr="003F0DA8">
        <w:rPr>
          <w:rFonts w:cstheme="minorBidi"/>
          <w:szCs w:val="24"/>
          <w:lang w:val="es-ES_tradnl"/>
        </w:rPr>
        <w:t>en colaboración con</w:t>
      </w:r>
      <w:r w:rsidRPr="003F0DA8">
        <w:rPr>
          <w:rFonts w:cstheme="minorBidi"/>
          <w:szCs w:val="24"/>
          <w:lang w:val="es-ES_tradnl"/>
        </w:rPr>
        <w:t xml:space="preserve"> 11 asociados,</w:t>
      </w:r>
      <w:r w:rsidR="004A1F73" w:rsidRPr="003F0DA8">
        <w:rPr>
          <w:rFonts w:cstheme="minorBidi"/>
          <w:szCs w:val="24"/>
          <w:lang w:val="es-ES_tradnl"/>
        </w:rPr>
        <w:t xml:space="preserve"> </w:t>
      </w:r>
      <w:r w:rsidRPr="003F0DA8">
        <w:rPr>
          <w:rFonts w:cstheme="minorBidi"/>
          <w:szCs w:val="24"/>
          <w:lang w:val="es-ES_tradnl"/>
        </w:rPr>
        <w:t>que son organizaciones internacionales o intergubernamentales y entidades del sector privado, el mundo académico o la sociedad civil.</w:t>
      </w:r>
      <w:r w:rsidR="00F54C51" w:rsidRPr="003F0DA8">
        <w:rPr>
          <w:rFonts w:cstheme="minorBidi"/>
          <w:szCs w:val="24"/>
          <w:lang w:val="es-ES_tradnl"/>
        </w:rPr>
        <w:t xml:space="preserve"> </w:t>
      </w:r>
      <w:r w:rsidRPr="003F0DA8">
        <w:rPr>
          <w:rFonts w:cstheme="minorBidi"/>
          <w:szCs w:val="24"/>
          <w:lang w:val="es-ES_tradnl"/>
        </w:rPr>
        <w:t xml:space="preserve">El objetivo central de esta guía es </w:t>
      </w:r>
      <w:r w:rsidR="004F5AB8" w:rsidRPr="003F0DA8">
        <w:rPr>
          <w:rFonts w:cstheme="minorBidi"/>
          <w:szCs w:val="24"/>
          <w:lang w:val="es-ES_tradnl"/>
        </w:rPr>
        <w:t>ayudar a los países en la elaboración y aplicación de estrategias nacionales de ciberseguridad, incluidas la capacidad de respuesta y la resiliencia cibernéticas</w:t>
      </w:r>
      <w:r w:rsidR="00F54C51" w:rsidRPr="003F0DA8">
        <w:rPr>
          <w:rFonts w:cstheme="minorBidi"/>
          <w:szCs w:val="24"/>
          <w:lang w:val="es-ES_tradnl"/>
        </w:rPr>
        <w:t xml:space="preserve">. </w:t>
      </w:r>
      <w:r w:rsidR="00A22A6A" w:rsidRPr="003F0DA8">
        <w:rPr>
          <w:rFonts w:cstheme="minorBidi"/>
          <w:szCs w:val="24"/>
          <w:lang w:val="es-ES_tradnl"/>
        </w:rPr>
        <w:t xml:space="preserve">Esta </w:t>
      </w:r>
      <w:r w:rsidR="0086081E" w:rsidRPr="003F0DA8">
        <w:rPr>
          <w:rFonts w:cstheme="minorBidi"/>
          <w:szCs w:val="24"/>
          <w:lang w:val="es-ES_tradnl"/>
        </w:rPr>
        <w:t xml:space="preserve">guía de referencia </w:t>
      </w:r>
      <w:r w:rsidR="00A22A6A" w:rsidRPr="003F0DA8">
        <w:rPr>
          <w:rFonts w:cstheme="minorBidi"/>
          <w:szCs w:val="24"/>
          <w:lang w:val="es-ES_tradnl"/>
        </w:rPr>
        <w:t xml:space="preserve">constituye </w:t>
      </w:r>
      <w:r w:rsidR="0086081E" w:rsidRPr="003F0DA8">
        <w:rPr>
          <w:rFonts w:cstheme="minorBidi"/>
          <w:szCs w:val="24"/>
          <w:lang w:val="es-ES_tradnl"/>
        </w:rPr>
        <w:t xml:space="preserve">un único recurso integral </w:t>
      </w:r>
      <w:r w:rsidR="00A22A6A" w:rsidRPr="003F0DA8">
        <w:rPr>
          <w:rFonts w:cstheme="minorBidi"/>
          <w:szCs w:val="24"/>
          <w:lang w:val="es-ES_tradnl"/>
        </w:rPr>
        <w:t xml:space="preserve">que permite a </w:t>
      </w:r>
      <w:r w:rsidR="0086081E" w:rsidRPr="003F0DA8">
        <w:rPr>
          <w:rFonts w:cstheme="minorBidi"/>
          <w:szCs w:val="24"/>
          <w:lang w:val="es-ES_tradnl"/>
        </w:rPr>
        <w:t>los países comprender con claridad el propósito y el contenido de una estrategia nacional de ciberseguridad</w:t>
      </w:r>
      <w:r w:rsidR="00F54C51" w:rsidRPr="003F0DA8">
        <w:rPr>
          <w:rFonts w:cstheme="minorBidi"/>
          <w:szCs w:val="24"/>
          <w:lang w:val="es-ES_tradnl"/>
        </w:rPr>
        <w:t xml:space="preserve"> </w:t>
      </w:r>
      <w:r w:rsidR="003313E0" w:rsidRPr="003F0DA8">
        <w:rPr>
          <w:rFonts w:cstheme="minorBidi"/>
          <w:szCs w:val="24"/>
          <w:lang w:val="es-ES_tradnl"/>
        </w:rPr>
        <w:t xml:space="preserve">y que ofrece </w:t>
      </w:r>
      <w:r w:rsidR="0086081E" w:rsidRPr="003F0DA8">
        <w:rPr>
          <w:rFonts w:cstheme="minorBidi"/>
          <w:szCs w:val="24"/>
          <w:lang w:val="es-ES_tradnl"/>
        </w:rPr>
        <w:t>orientaciones útiles para elaborar una estrategia propia</w:t>
      </w:r>
      <w:r w:rsidR="00F54C51" w:rsidRPr="003F0DA8">
        <w:rPr>
          <w:rFonts w:cstheme="minorBidi"/>
          <w:szCs w:val="24"/>
          <w:lang w:val="es-ES_tradnl"/>
        </w:rPr>
        <w:t>.</w:t>
      </w:r>
    </w:p>
    <w:p w:rsidR="00F54C51" w:rsidRPr="003F0DA8" w:rsidRDefault="000F5561" w:rsidP="00314547">
      <w:pPr>
        <w:pStyle w:val="Heading3"/>
        <w:rPr>
          <w:lang w:val="es-ES_tradnl"/>
        </w:rPr>
      </w:pPr>
      <w:r w:rsidRPr="003F0DA8">
        <w:rPr>
          <w:lang w:val="es-ES_tradnl"/>
        </w:rPr>
        <w:lastRenderedPageBreak/>
        <w:t>1.2.2</w:t>
      </w:r>
      <w:r w:rsidRPr="003F0DA8">
        <w:rPr>
          <w:lang w:val="es-ES_tradnl"/>
        </w:rPr>
        <w:tab/>
      </w:r>
      <w:r w:rsidR="008D36EB" w:rsidRPr="003F0DA8">
        <w:rPr>
          <w:lang w:val="es-ES_tradnl"/>
        </w:rPr>
        <w:t>Programa de asistencia de EIII</w:t>
      </w:r>
    </w:p>
    <w:p w:rsidR="00F54C51" w:rsidRPr="003F0DA8" w:rsidRDefault="008D36EB" w:rsidP="00314547">
      <w:pPr>
        <w:keepNext/>
        <w:tabs>
          <w:tab w:val="left" w:pos="0"/>
        </w:tabs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 xml:space="preserve">En el marco de su </w:t>
      </w:r>
      <w:hyperlink r:id="rId10" w:history="1">
        <w:r w:rsidRPr="003F0DA8">
          <w:rPr>
            <w:rStyle w:val="Hyperlink"/>
            <w:szCs w:val="24"/>
            <w:lang w:val="es-ES_tradnl"/>
          </w:rPr>
          <w:t>Programa de EIII</w:t>
        </w:r>
      </w:hyperlink>
      <w:r w:rsidR="00F54C51" w:rsidRPr="003F0DA8">
        <w:rPr>
          <w:szCs w:val="24"/>
          <w:lang w:val="es-ES_tradnl"/>
        </w:rPr>
        <w:t xml:space="preserve">, </w:t>
      </w:r>
      <w:r w:rsidRPr="003F0DA8">
        <w:rPr>
          <w:szCs w:val="24"/>
          <w:lang w:val="es-ES_tradnl"/>
        </w:rPr>
        <w:t xml:space="preserve">la </w:t>
      </w:r>
      <w:r w:rsidR="00F54C51" w:rsidRPr="003F0DA8">
        <w:rPr>
          <w:szCs w:val="24"/>
          <w:lang w:val="es-ES_tradnl"/>
        </w:rPr>
        <w:t xml:space="preserve">BDT </w:t>
      </w:r>
      <w:r w:rsidRPr="003F0DA8">
        <w:rPr>
          <w:szCs w:val="24"/>
          <w:lang w:val="es-ES_tradnl"/>
        </w:rPr>
        <w:t>ejecuta varias actividades que generan resultados concretos en diferentes etapas</w:t>
      </w:r>
      <w:r w:rsidR="00C5574C" w:rsidRPr="003F0DA8">
        <w:rPr>
          <w:szCs w:val="24"/>
          <w:lang w:val="es-ES_tradnl"/>
        </w:rPr>
        <w:t>:</w:t>
      </w:r>
    </w:p>
    <w:p w:rsidR="00F54C51" w:rsidRPr="003F0DA8" w:rsidRDefault="00C5574C" w:rsidP="00314547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1B3AE1" w:rsidRPr="003F0DA8">
        <w:rPr>
          <w:rFonts w:eastAsia="SimHei"/>
          <w:lang w:val="es-ES_tradnl" w:eastAsia="zh-CN"/>
        </w:rPr>
        <w:t xml:space="preserve">Evaluación </w:t>
      </w:r>
      <w:r w:rsidR="00B23C76" w:rsidRPr="003F0DA8">
        <w:rPr>
          <w:rFonts w:eastAsia="SimHei"/>
          <w:lang w:val="es-ES_tradnl" w:eastAsia="zh-CN"/>
        </w:rPr>
        <w:t>de</w:t>
      </w:r>
      <w:r w:rsidR="00075A9F" w:rsidRPr="003F0DA8">
        <w:rPr>
          <w:rFonts w:eastAsia="SimHei"/>
          <w:lang w:val="es-ES_tradnl" w:eastAsia="zh-CN"/>
        </w:rPr>
        <w:t>l grado de</w:t>
      </w:r>
      <w:r w:rsidR="00B23C76" w:rsidRPr="003F0DA8">
        <w:rPr>
          <w:rFonts w:eastAsia="SimHei"/>
          <w:lang w:val="es-ES_tradnl" w:eastAsia="zh-CN"/>
        </w:rPr>
        <w:t xml:space="preserve"> preparaci</w:t>
      </w:r>
      <w:r w:rsidR="00104160" w:rsidRPr="003F0DA8">
        <w:rPr>
          <w:rFonts w:eastAsia="SimHei"/>
          <w:lang w:val="es-ES_tradnl" w:eastAsia="zh-CN"/>
        </w:rPr>
        <w:t xml:space="preserve">ón </w:t>
      </w:r>
      <w:r w:rsidR="00752547" w:rsidRPr="003F0DA8">
        <w:rPr>
          <w:rFonts w:eastAsia="SimHei"/>
          <w:lang w:val="es-ES_tradnl" w:eastAsia="zh-CN"/>
        </w:rPr>
        <w:t>d</w:t>
      </w:r>
      <w:r w:rsidR="00382F02" w:rsidRPr="003F0DA8">
        <w:rPr>
          <w:rFonts w:eastAsia="SimHei"/>
          <w:lang w:val="es-ES_tradnl" w:eastAsia="zh-CN"/>
        </w:rPr>
        <w:t>e</w:t>
      </w:r>
      <w:r w:rsidR="00075A9F" w:rsidRPr="003F0DA8">
        <w:rPr>
          <w:rFonts w:eastAsia="SimHei"/>
          <w:lang w:val="es-ES_tradnl" w:eastAsia="zh-CN"/>
        </w:rPr>
        <w:t xml:space="preserve">l </w:t>
      </w:r>
      <w:r w:rsidR="00B23C76" w:rsidRPr="003F0DA8">
        <w:rPr>
          <w:rFonts w:eastAsia="SimHei"/>
          <w:lang w:val="es-ES_tradnl" w:eastAsia="zh-CN"/>
        </w:rPr>
        <w:t>EIII</w:t>
      </w:r>
      <w:r w:rsidR="00B23C76" w:rsidRPr="003F0DA8">
        <w:rPr>
          <w:lang w:val="es-ES_tradnl"/>
        </w:rPr>
        <w:t xml:space="preserve">, cuyo objetivo es examinar la situación actual en los países que han expresado su interés por poner en marcha un EIII y facilitar un informe </w:t>
      </w:r>
      <w:r w:rsidR="00382F02" w:rsidRPr="003F0DA8">
        <w:rPr>
          <w:lang w:val="es-ES_tradnl"/>
        </w:rPr>
        <w:t>que presente las líneas generales</w:t>
      </w:r>
      <w:r w:rsidR="001B3AE1" w:rsidRPr="003F0DA8">
        <w:rPr>
          <w:lang w:val="es-ES_tradnl"/>
        </w:rPr>
        <w:t>.</w:t>
      </w:r>
    </w:p>
    <w:p w:rsidR="00F54C51" w:rsidRPr="003F0DA8" w:rsidRDefault="00C5574C" w:rsidP="00314547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1B3AE1" w:rsidRPr="003F0DA8">
        <w:rPr>
          <w:rFonts w:eastAsia="SimHei"/>
          <w:lang w:val="es-ES_tradnl" w:eastAsia="zh-CN"/>
        </w:rPr>
        <w:t xml:space="preserve">Diseño </w:t>
      </w:r>
      <w:r w:rsidR="00382F02" w:rsidRPr="003F0DA8">
        <w:rPr>
          <w:rFonts w:eastAsia="SimHei"/>
          <w:lang w:val="es-ES_tradnl" w:eastAsia="zh-CN"/>
        </w:rPr>
        <w:t xml:space="preserve">del EIII, cuyo objetivo es proporcionar un documento </w:t>
      </w:r>
      <w:r w:rsidR="00752547" w:rsidRPr="003F0DA8">
        <w:rPr>
          <w:rFonts w:eastAsia="SimHei"/>
          <w:lang w:val="es-ES_tradnl" w:eastAsia="zh-CN"/>
        </w:rPr>
        <w:t>del</w:t>
      </w:r>
      <w:r w:rsidR="00382F02" w:rsidRPr="003F0DA8">
        <w:rPr>
          <w:rFonts w:eastAsia="SimHei"/>
          <w:lang w:val="es-ES_tradnl" w:eastAsia="zh-CN"/>
        </w:rPr>
        <w:t xml:space="preserve"> diseño del EIII</w:t>
      </w:r>
      <w:r w:rsidR="001B3AE1" w:rsidRPr="003F0DA8">
        <w:rPr>
          <w:lang w:val="es-ES_tradnl"/>
        </w:rPr>
        <w:t>.</w:t>
      </w:r>
    </w:p>
    <w:p w:rsidR="00F54C51" w:rsidRPr="003F0DA8" w:rsidRDefault="00C5574C" w:rsidP="00314547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075A9F" w:rsidRPr="003F0DA8">
        <w:rPr>
          <w:rFonts w:eastAsia="SimHei"/>
          <w:lang w:val="es-ES_tradnl" w:eastAsia="zh-CN"/>
        </w:rPr>
        <w:t>Creación</w:t>
      </w:r>
      <w:r w:rsidR="00382F02" w:rsidRPr="003F0DA8">
        <w:rPr>
          <w:rFonts w:eastAsia="SimHei"/>
          <w:lang w:val="es-ES_tradnl" w:eastAsia="zh-CN"/>
        </w:rPr>
        <w:t xml:space="preserve"> del EII</w:t>
      </w:r>
      <w:r w:rsidR="00382F02" w:rsidRPr="003F0DA8">
        <w:rPr>
          <w:lang w:val="es-ES_tradnl"/>
        </w:rPr>
        <w:t xml:space="preserve"> </w:t>
      </w:r>
      <w:r w:rsidR="00F54C51" w:rsidRPr="003F0DA8">
        <w:rPr>
          <w:lang w:val="es-ES_tradnl"/>
        </w:rPr>
        <w:t xml:space="preserve">– </w:t>
      </w:r>
      <w:r w:rsidR="00382F02" w:rsidRPr="003F0DA8">
        <w:rPr>
          <w:lang w:val="es-ES_tradnl"/>
        </w:rPr>
        <w:t>servicios básicos y mejorado</w:t>
      </w:r>
      <w:r w:rsidR="004C7FAA" w:rsidRPr="003F0DA8">
        <w:rPr>
          <w:lang w:val="es-ES_tradnl"/>
        </w:rPr>
        <w:t>s</w:t>
      </w:r>
      <w:r w:rsidR="00F54C51" w:rsidRPr="003F0DA8">
        <w:rPr>
          <w:lang w:val="es-ES_tradnl"/>
        </w:rPr>
        <w:t>.</w:t>
      </w:r>
    </w:p>
    <w:p w:rsidR="00F54C51" w:rsidRPr="003F0DA8" w:rsidRDefault="00382F02" w:rsidP="00314547">
      <w:pPr>
        <w:tabs>
          <w:tab w:val="left" w:pos="0"/>
        </w:tabs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 xml:space="preserve">Hasta la fecha, la UIT ha realizado </w:t>
      </w:r>
      <w:r w:rsidR="00F54C51" w:rsidRPr="003F0DA8">
        <w:rPr>
          <w:szCs w:val="24"/>
          <w:lang w:val="es-ES_tradnl"/>
        </w:rPr>
        <w:t xml:space="preserve">75 </w:t>
      </w:r>
      <w:r w:rsidRPr="003F0DA8">
        <w:rPr>
          <w:szCs w:val="24"/>
          <w:lang w:val="es-ES_tradnl"/>
        </w:rPr>
        <w:t xml:space="preserve">evaluaciones </w:t>
      </w:r>
      <w:r w:rsidR="00075A9F" w:rsidRPr="003F0DA8">
        <w:rPr>
          <w:szCs w:val="24"/>
          <w:lang w:val="es-ES_tradnl"/>
        </w:rPr>
        <w:t xml:space="preserve">para determinar el grado de </w:t>
      </w:r>
      <w:r w:rsidRPr="003F0DA8">
        <w:rPr>
          <w:szCs w:val="24"/>
          <w:lang w:val="es-ES_tradnl"/>
        </w:rPr>
        <w:t xml:space="preserve">preparación </w:t>
      </w:r>
      <w:r w:rsidR="00752547" w:rsidRPr="003F0DA8">
        <w:rPr>
          <w:szCs w:val="24"/>
          <w:lang w:val="es-ES_tradnl"/>
        </w:rPr>
        <w:t>d</w:t>
      </w:r>
      <w:r w:rsidRPr="003F0DA8">
        <w:rPr>
          <w:szCs w:val="24"/>
          <w:lang w:val="es-ES_tradnl"/>
        </w:rPr>
        <w:t xml:space="preserve">el EIII y ha desplegado con éxito trece </w:t>
      </w:r>
      <w:r w:rsidR="00F54C51" w:rsidRPr="003F0DA8">
        <w:rPr>
          <w:szCs w:val="24"/>
          <w:lang w:val="es-ES_tradnl"/>
        </w:rPr>
        <w:t xml:space="preserve">(13) </w:t>
      </w:r>
      <w:r w:rsidRPr="003F0DA8">
        <w:rPr>
          <w:szCs w:val="24"/>
          <w:lang w:val="es-ES_tradnl"/>
        </w:rPr>
        <w:t>proyectos de EIII</w:t>
      </w:r>
      <w:r w:rsidR="000B563A" w:rsidRPr="003F0DA8">
        <w:rPr>
          <w:szCs w:val="24"/>
          <w:lang w:val="es-ES_tradnl"/>
        </w:rPr>
        <w:t xml:space="preserve">. </w:t>
      </w:r>
      <w:r w:rsidRPr="003F0DA8">
        <w:rPr>
          <w:szCs w:val="24"/>
          <w:lang w:val="es-ES_tradnl"/>
        </w:rPr>
        <w:t xml:space="preserve">Está previsto que se </w:t>
      </w:r>
      <w:r w:rsidR="00075A9F" w:rsidRPr="003F0DA8">
        <w:rPr>
          <w:szCs w:val="24"/>
          <w:lang w:val="es-ES_tradnl"/>
        </w:rPr>
        <w:t>pongan en marcha</w:t>
      </w:r>
      <w:r w:rsidRPr="003F0DA8">
        <w:rPr>
          <w:szCs w:val="24"/>
          <w:lang w:val="es-ES_tradnl"/>
        </w:rPr>
        <w:t xml:space="preserve"> cinco </w:t>
      </w:r>
      <w:r w:rsidR="00F54C51" w:rsidRPr="003F0DA8">
        <w:rPr>
          <w:szCs w:val="24"/>
          <w:lang w:val="es-ES_tradnl"/>
        </w:rPr>
        <w:t xml:space="preserve">(5) </w:t>
      </w:r>
      <w:r w:rsidRPr="003F0DA8">
        <w:rPr>
          <w:szCs w:val="24"/>
          <w:lang w:val="es-ES_tradnl"/>
        </w:rPr>
        <w:t>EIII nacionales en 2019</w:t>
      </w:r>
      <w:r w:rsidR="00F54C51" w:rsidRPr="003F0DA8">
        <w:rPr>
          <w:szCs w:val="24"/>
          <w:lang w:val="es-ES_tradnl"/>
        </w:rPr>
        <w:t>.</w:t>
      </w:r>
    </w:p>
    <w:p w:rsidR="00F54C51" w:rsidRPr="003F0DA8" w:rsidRDefault="00534BCE" w:rsidP="00314547">
      <w:pPr>
        <w:pStyle w:val="Heading3"/>
        <w:rPr>
          <w:lang w:val="es-ES_tradnl"/>
        </w:rPr>
      </w:pPr>
      <w:r w:rsidRPr="003F0DA8">
        <w:rPr>
          <w:lang w:val="es-ES_tradnl"/>
        </w:rPr>
        <w:t>1.2.3</w:t>
      </w:r>
      <w:r w:rsidRPr="003F0DA8">
        <w:rPr>
          <w:lang w:val="es-ES_tradnl"/>
        </w:rPr>
        <w:tab/>
      </w:r>
      <w:r w:rsidR="00752547" w:rsidRPr="003F0DA8">
        <w:rPr>
          <w:lang w:val="es-ES_tradnl"/>
        </w:rPr>
        <w:t>Medición del progreso en materia de ciberseguridad: el índice de ciberseguridad mundial</w:t>
      </w:r>
    </w:p>
    <w:p w:rsidR="00F54C51" w:rsidRPr="003F0DA8" w:rsidRDefault="00752547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 xml:space="preserve">En </w:t>
      </w:r>
      <w:r w:rsidR="00F54C51" w:rsidRPr="003F0DA8">
        <w:rPr>
          <w:szCs w:val="24"/>
          <w:lang w:val="es-ES_tradnl"/>
        </w:rPr>
        <w:t xml:space="preserve">2018, </w:t>
      </w:r>
      <w:r w:rsidRPr="003F0DA8">
        <w:rPr>
          <w:szCs w:val="24"/>
          <w:lang w:val="es-ES_tradnl"/>
        </w:rPr>
        <w:t xml:space="preserve">se recopilaron datos de </w:t>
      </w:r>
      <w:r w:rsidR="00F54C51" w:rsidRPr="003F0DA8">
        <w:rPr>
          <w:szCs w:val="24"/>
          <w:lang w:val="es-ES_tradnl"/>
        </w:rPr>
        <w:t xml:space="preserve">155 </w:t>
      </w:r>
      <w:r w:rsidRPr="003F0DA8">
        <w:rPr>
          <w:szCs w:val="24"/>
          <w:lang w:val="es-ES_tradnl"/>
        </w:rPr>
        <w:t xml:space="preserve">países para preparar la tercera edición del </w:t>
      </w:r>
      <w:r w:rsidR="009E44DC" w:rsidRPr="003F0DA8">
        <w:rPr>
          <w:szCs w:val="24"/>
          <w:lang w:val="es-ES_tradnl"/>
        </w:rPr>
        <w:t xml:space="preserve">Índice </w:t>
      </w:r>
      <w:r w:rsidRPr="003F0DA8">
        <w:rPr>
          <w:szCs w:val="24"/>
          <w:lang w:val="es-ES_tradnl"/>
        </w:rPr>
        <w:t>de ciberseguridad mundial</w:t>
      </w:r>
      <w:r w:rsidR="00BE1C9A" w:rsidRPr="003F0DA8">
        <w:rPr>
          <w:szCs w:val="24"/>
          <w:lang w:val="es-ES_tradnl"/>
        </w:rPr>
        <w:t xml:space="preserve"> (GCI)</w:t>
      </w:r>
      <w:r w:rsidR="000B563A" w:rsidRPr="003F0DA8">
        <w:rPr>
          <w:szCs w:val="24"/>
          <w:lang w:val="es-ES_tradnl"/>
        </w:rPr>
        <w:t xml:space="preserve">. </w:t>
      </w:r>
      <w:r w:rsidR="00BE1C9A" w:rsidRPr="003F0DA8">
        <w:rPr>
          <w:szCs w:val="24"/>
          <w:lang w:val="es-ES_tradnl"/>
        </w:rPr>
        <w:t xml:space="preserve">El </w:t>
      </w:r>
      <w:r w:rsidR="00F54C51" w:rsidRPr="003F0DA8">
        <w:rPr>
          <w:szCs w:val="24"/>
          <w:lang w:val="es-ES_tradnl"/>
        </w:rPr>
        <w:t xml:space="preserve">GCI </w:t>
      </w:r>
      <w:r w:rsidR="00BE1C9A" w:rsidRPr="003F0DA8">
        <w:rPr>
          <w:szCs w:val="24"/>
          <w:lang w:val="es-ES_tradnl"/>
        </w:rPr>
        <w:t xml:space="preserve">mide el progreso de los países en el campo de la ciberseguridad y les ayuda a determinar </w:t>
      </w:r>
      <w:r w:rsidR="007C62DC" w:rsidRPr="003F0DA8">
        <w:rPr>
          <w:szCs w:val="24"/>
          <w:lang w:val="es-ES_tradnl"/>
        </w:rPr>
        <w:t xml:space="preserve">los ámbitos </w:t>
      </w:r>
      <w:r w:rsidR="00BE1C9A" w:rsidRPr="003F0DA8">
        <w:rPr>
          <w:szCs w:val="24"/>
          <w:lang w:val="es-ES_tradnl"/>
        </w:rPr>
        <w:t>mejora</w:t>
      </w:r>
      <w:r w:rsidR="007C62DC" w:rsidRPr="003F0DA8">
        <w:rPr>
          <w:szCs w:val="24"/>
          <w:lang w:val="es-ES_tradnl"/>
        </w:rPr>
        <w:t>bles</w:t>
      </w:r>
      <w:r w:rsidR="00F54C51" w:rsidRPr="003F0DA8">
        <w:rPr>
          <w:szCs w:val="24"/>
          <w:lang w:val="es-ES_tradnl"/>
        </w:rPr>
        <w:t xml:space="preserve">. </w:t>
      </w:r>
      <w:r w:rsidR="00BE1C9A" w:rsidRPr="003F0DA8">
        <w:rPr>
          <w:szCs w:val="24"/>
          <w:lang w:val="es-ES_tradnl"/>
        </w:rPr>
        <w:t xml:space="preserve">Con la información recopilada, el </w:t>
      </w:r>
      <w:r w:rsidR="00F54C51" w:rsidRPr="003F0DA8">
        <w:rPr>
          <w:szCs w:val="24"/>
          <w:lang w:val="es-ES_tradnl"/>
        </w:rPr>
        <w:t xml:space="preserve">GCI </w:t>
      </w:r>
      <w:r w:rsidR="006F5F92" w:rsidRPr="003F0DA8">
        <w:rPr>
          <w:szCs w:val="24"/>
          <w:lang w:val="es-ES_tradnl"/>
        </w:rPr>
        <w:t xml:space="preserve">pretende </w:t>
      </w:r>
      <w:r w:rsidR="00BE1C9A" w:rsidRPr="003F0DA8">
        <w:rPr>
          <w:szCs w:val="24"/>
          <w:lang w:val="es-ES_tradnl"/>
        </w:rPr>
        <w:t>ilustrar las prácticas utilizadas para que los Estados Miembros de la UIT pued</w:t>
      </w:r>
      <w:r w:rsidR="007C62DC" w:rsidRPr="003F0DA8">
        <w:rPr>
          <w:szCs w:val="24"/>
          <w:lang w:val="es-ES_tradnl"/>
        </w:rPr>
        <w:t>a</w:t>
      </w:r>
      <w:r w:rsidR="00BE1C9A" w:rsidRPr="003F0DA8">
        <w:rPr>
          <w:szCs w:val="24"/>
          <w:lang w:val="es-ES_tradnl"/>
        </w:rPr>
        <w:t>n identificar las deficiencias y conseguir mejoras en esos ámbitos</w:t>
      </w:r>
      <w:r w:rsidR="00534BCE" w:rsidRPr="003F0DA8">
        <w:rPr>
          <w:szCs w:val="24"/>
          <w:lang w:val="es-ES_tradnl"/>
        </w:rPr>
        <w:t>.</w:t>
      </w:r>
    </w:p>
    <w:p w:rsidR="00F54C51" w:rsidRPr="003F0DA8" w:rsidRDefault="00534BCE" w:rsidP="00314547">
      <w:pPr>
        <w:pStyle w:val="Heading3"/>
        <w:rPr>
          <w:lang w:val="es-ES_tradnl"/>
        </w:rPr>
      </w:pPr>
      <w:r w:rsidRPr="003F0DA8">
        <w:rPr>
          <w:lang w:val="es-ES_tradnl"/>
        </w:rPr>
        <w:t>1.2.4</w:t>
      </w:r>
      <w:r w:rsidRPr="003F0DA8">
        <w:rPr>
          <w:lang w:val="es-ES_tradnl"/>
        </w:rPr>
        <w:tab/>
      </w:r>
      <w:r w:rsidR="00BE1C9A" w:rsidRPr="003F0DA8">
        <w:rPr>
          <w:lang w:val="es-ES_tradnl"/>
        </w:rPr>
        <w:t xml:space="preserve">Ejercicios de ciberseguridad </w:t>
      </w:r>
      <w:r w:rsidR="00F54C51" w:rsidRPr="003F0DA8">
        <w:rPr>
          <w:lang w:val="es-ES_tradnl"/>
        </w:rPr>
        <w:t>(</w:t>
      </w:r>
      <w:r w:rsidR="00BE1C9A" w:rsidRPr="003F0DA8">
        <w:rPr>
          <w:lang w:val="es-ES_tradnl"/>
        </w:rPr>
        <w:t>cibersimulacros</w:t>
      </w:r>
      <w:r w:rsidR="00F54C51" w:rsidRPr="003F0DA8">
        <w:rPr>
          <w:lang w:val="es-ES_tradnl"/>
        </w:rPr>
        <w:t>)</w:t>
      </w:r>
      <w:r w:rsidR="00BE1C9A" w:rsidRPr="003F0DA8">
        <w:rPr>
          <w:lang w:val="es-ES_tradnl"/>
        </w:rPr>
        <w:t>: desarrollo de la capacidad y las competencias</w:t>
      </w:r>
    </w:p>
    <w:p w:rsidR="00F54C51" w:rsidRPr="003F0DA8" w:rsidRDefault="00BE1C9A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>La UIT realiza cibersimulacros regional</w:t>
      </w:r>
      <w:r w:rsidR="00C266E1" w:rsidRPr="003F0DA8">
        <w:rPr>
          <w:szCs w:val="24"/>
          <w:lang w:val="es-ES_tradnl"/>
        </w:rPr>
        <w:t>e</w:t>
      </w:r>
      <w:r w:rsidRPr="003F0DA8">
        <w:rPr>
          <w:szCs w:val="24"/>
          <w:lang w:val="es-ES_tradnl"/>
        </w:rPr>
        <w:t xml:space="preserve">s y nacionales para sus Estados Miembros. </w:t>
      </w:r>
      <w:r w:rsidR="00FC3AD4" w:rsidRPr="003F0DA8">
        <w:rPr>
          <w:szCs w:val="24"/>
          <w:lang w:val="es-ES_tradnl"/>
        </w:rPr>
        <w:t xml:space="preserve">La finalidad de </w:t>
      </w:r>
      <w:r w:rsidRPr="003F0DA8">
        <w:rPr>
          <w:szCs w:val="24"/>
          <w:lang w:val="es-ES_tradnl"/>
        </w:rPr>
        <w:t xml:space="preserve">estos ejercicios es </w:t>
      </w:r>
      <w:r w:rsidR="00FC3AD4" w:rsidRPr="003F0DA8">
        <w:rPr>
          <w:szCs w:val="24"/>
          <w:lang w:val="es-ES_tradnl"/>
        </w:rPr>
        <w:t xml:space="preserve">mejorar la comunicación </w:t>
      </w:r>
      <w:r w:rsidRPr="003F0DA8">
        <w:rPr>
          <w:szCs w:val="24"/>
          <w:lang w:val="es-ES_tradnl"/>
        </w:rPr>
        <w:t xml:space="preserve">entre los equipos participantes y </w:t>
      </w:r>
      <w:r w:rsidR="006F5F92" w:rsidRPr="003F0DA8">
        <w:rPr>
          <w:szCs w:val="24"/>
          <w:lang w:val="es-ES_tradnl"/>
        </w:rPr>
        <w:t xml:space="preserve">la </w:t>
      </w:r>
      <w:r w:rsidR="00FC3AD4" w:rsidRPr="003F0DA8">
        <w:rPr>
          <w:szCs w:val="24"/>
          <w:lang w:val="es-ES_tradnl"/>
        </w:rPr>
        <w:t xml:space="preserve">capacidad de reacción en caso de incidente, así como </w:t>
      </w:r>
      <w:r w:rsidRPr="003F0DA8">
        <w:rPr>
          <w:szCs w:val="24"/>
          <w:lang w:val="es-ES_tradnl"/>
        </w:rPr>
        <w:t>mantener y aumentar</w:t>
      </w:r>
      <w:r w:rsidR="00FC3AD4" w:rsidRPr="003F0DA8">
        <w:rPr>
          <w:szCs w:val="24"/>
          <w:lang w:val="es-ES_tradnl"/>
        </w:rPr>
        <w:t xml:space="preserve"> la cooperación </w:t>
      </w:r>
      <w:r w:rsidRPr="003F0DA8">
        <w:rPr>
          <w:szCs w:val="24"/>
          <w:lang w:val="es-ES_tradnl"/>
        </w:rPr>
        <w:t xml:space="preserve">nacional e </w:t>
      </w:r>
      <w:r w:rsidR="00FC3AD4" w:rsidRPr="003F0DA8">
        <w:rPr>
          <w:szCs w:val="24"/>
          <w:lang w:val="es-ES_tradnl"/>
        </w:rPr>
        <w:t xml:space="preserve">internacional entre países con el fin de </w:t>
      </w:r>
      <w:r w:rsidRPr="003F0DA8">
        <w:rPr>
          <w:szCs w:val="24"/>
          <w:lang w:val="es-ES_tradnl"/>
        </w:rPr>
        <w:t xml:space="preserve">garantizar </w:t>
      </w:r>
      <w:r w:rsidR="00FC3AD4" w:rsidRPr="003F0DA8">
        <w:rPr>
          <w:szCs w:val="24"/>
          <w:lang w:val="es-ES_tradnl"/>
        </w:rPr>
        <w:t>esfuerzos colectivos constantes contra las ciberamenazas</w:t>
      </w:r>
      <w:r w:rsidR="00F54C51" w:rsidRPr="003F0DA8">
        <w:rPr>
          <w:szCs w:val="24"/>
          <w:lang w:val="es-ES_tradnl"/>
        </w:rPr>
        <w:t xml:space="preserve">. </w:t>
      </w:r>
      <w:r w:rsidRPr="003F0DA8">
        <w:rPr>
          <w:szCs w:val="24"/>
          <w:lang w:val="es-ES_tradnl"/>
        </w:rPr>
        <w:t xml:space="preserve">La UIT </w:t>
      </w:r>
      <w:r w:rsidR="00C266E1" w:rsidRPr="003F0DA8">
        <w:rPr>
          <w:szCs w:val="24"/>
          <w:lang w:val="es-ES_tradnl"/>
        </w:rPr>
        <w:t xml:space="preserve">ha ejecutado veinticinco </w:t>
      </w:r>
      <w:r w:rsidR="00F54C51" w:rsidRPr="003F0DA8">
        <w:rPr>
          <w:szCs w:val="24"/>
          <w:lang w:val="es-ES_tradnl"/>
        </w:rPr>
        <w:t xml:space="preserve">(25) </w:t>
      </w:r>
      <w:r w:rsidR="00C266E1" w:rsidRPr="003F0DA8">
        <w:rPr>
          <w:szCs w:val="24"/>
          <w:lang w:val="es-ES_tradnl"/>
        </w:rPr>
        <w:t xml:space="preserve">cibersimulacros </w:t>
      </w:r>
      <w:r w:rsidR="007C62DC" w:rsidRPr="003F0DA8">
        <w:rPr>
          <w:szCs w:val="24"/>
          <w:lang w:val="es-ES_tradnl"/>
        </w:rPr>
        <w:t>en</w:t>
      </w:r>
      <w:r w:rsidR="00C266E1" w:rsidRPr="003F0DA8">
        <w:rPr>
          <w:szCs w:val="24"/>
          <w:lang w:val="es-ES_tradnl"/>
        </w:rPr>
        <w:t xml:space="preserve"> más de </w:t>
      </w:r>
      <w:r w:rsidR="00F54C51" w:rsidRPr="003F0DA8">
        <w:rPr>
          <w:szCs w:val="24"/>
          <w:lang w:val="es-ES_tradnl"/>
        </w:rPr>
        <w:t xml:space="preserve">100 </w:t>
      </w:r>
      <w:r w:rsidR="00F66016" w:rsidRPr="003F0DA8">
        <w:rPr>
          <w:szCs w:val="24"/>
          <w:lang w:val="es-ES_tradnl"/>
        </w:rPr>
        <w:t>países. En </w:t>
      </w:r>
      <w:r w:rsidR="00F54C51" w:rsidRPr="003F0DA8">
        <w:rPr>
          <w:szCs w:val="24"/>
          <w:lang w:val="es-ES_tradnl"/>
        </w:rPr>
        <w:t xml:space="preserve">2019, </w:t>
      </w:r>
      <w:r w:rsidR="00C266E1" w:rsidRPr="003F0DA8">
        <w:rPr>
          <w:szCs w:val="24"/>
          <w:lang w:val="es-ES_tradnl"/>
        </w:rPr>
        <w:t xml:space="preserve">se han </w:t>
      </w:r>
      <w:r w:rsidR="008E427E" w:rsidRPr="003F0DA8">
        <w:rPr>
          <w:szCs w:val="24"/>
          <w:lang w:val="es-ES_tradnl"/>
        </w:rPr>
        <w:t>programado</w:t>
      </w:r>
      <w:r w:rsidR="00C266E1" w:rsidRPr="003F0DA8">
        <w:rPr>
          <w:szCs w:val="24"/>
          <w:lang w:val="es-ES_tradnl"/>
        </w:rPr>
        <w:t xml:space="preserve"> simulacros en Europa</w:t>
      </w:r>
      <w:r w:rsidR="00F54C51" w:rsidRPr="003F0DA8">
        <w:rPr>
          <w:szCs w:val="24"/>
          <w:lang w:val="es-ES_tradnl"/>
        </w:rPr>
        <w:t xml:space="preserve"> (R</w:t>
      </w:r>
      <w:r w:rsidR="00C266E1" w:rsidRPr="003F0DA8">
        <w:rPr>
          <w:szCs w:val="24"/>
          <w:lang w:val="es-ES_tradnl"/>
        </w:rPr>
        <w:t>umania) y Áf</w:t>
      </w:r>
      <w:r w:rsidR="00F54C51" w:rsidRPr="003F0DA8">
        <w:rPr>
          <w:szCs w:val="24"/>
          <w:lang w:val="es-ES_tradnl"/>
        </w:rPr>
        <w:t>rica (S</w:t>
      </w:r>
      <w:r w:rsidR="00C266E1" w:rsidRPr="003F0DA8">
        <w:rPr>
          <w:szCs w:val="24"/>
          <w:lang w:val="es-ES_tradnl"/>
        </w:rPr>
        <w:t>udá</w:t>
      </w:r>
      <w:r w:rsidR="00F54C51" w:rsidRPr="003F0DA8">
        <w:rPr>
          <w:szCs w:val="24"/>
          <w:lang w:val="es-ES_tradnl"/>
        </w:rPr>
        <w:t>frica)</w:t>
      </w:r>
      <w:r w:rsidR="00A727AC" w:rsidRPr="003F0DA8">
        <w:rPr>
          <w:szCs w:val="24"/>
          <w:lang w:val="es-ES_tradnl"/>
        </w:rPr>
        <w:t xml:space="preserve">. </w:t>
      </w:r>
      <w:r w:rsidR="00C266E1" w:rsidRPr="003F0DA8">
        <w:rPr>
          <w:szCs w:val="24"/>
          <w:lang w:val="es-ES_tradnl"/>
        </w:rPr>
        <w:t xml:space="preserve">También se han </w:t>
      </w:r>
      <w:r w:rsidR="008E427E" w:rsidRPr="003F0DA8">
        <w:rPr>
          <w:szCs w:val="24"/>
          <w:lang w:val="es-ES_tradnl"/>
        </w:rPr>
        <w:t xml:space="preserve">previsto </w:t>
      </w:r>
      <w:r w:rsidR="00C266E1" w:rsidRPr="003F0DA8">
        <w:rPr>
          <w:szCs w:val="24"/>
          <w:lang w:val="es-ES_tradnl"/>
        </w:rPr>
        <w:t>simulacros para Asia y el Pacífico</w:t>
      </w:r>
      <w:r w:rsidR="00F54C51" w:rsidRPr="003F0DA8">
        <w:rPr>
          <w:szCs w:val="24"/>
          <w:lang w:val="es-ES_tradnl"/>
        </w:rPr>
        <w:t xml:space="preserve">, </w:t>
      </w:r>
      <w:r w:rsidR="00C266E1" w:rsidRPr="003F0DA8">
        <w:rPr>
          <w:szCs w:val="24"/>
          <w:lang w:val="es-ES_tradnl"/>
        </w:rPr>
        <w:t>los Estados Árabes y la CEI</w:t>
      </w:r>
      <w:r w:rsidR="00F54C51" w:rsidRPr="003F0DA8">
        <w:rPr>
          <w:szCs w:val="24"/>
          <w:lang w:val="es-ES_tradnl"/>
        </w:rPr>
        <w:t xml:space="preserve">. </w:t>
      </w:r>
      <w:r w:rsidR="00C266E1" w:rsidRPr="003F0DA8">
        <w:rPr>
          <w:szCs w:val="24"/>
          <w:lang w:val="es-ES_tradnl"/>
        </w:rPr>
        <w:t xml:space="preserve">La </w:t>
      </w:r>
      <w:r w:rsidR="00F54C51" w:rsidRPr="003F0DA8">
        <w:rPr>
          <w:szCs w:val="24"/>
          <w:lang w:val="es-ES_tradnl"/>
        </w:rPr>
        <w:t xml:space="preserve">BDT </w:t>
      </w:r>
      <w:r w:rsidR="00C266E1" w:rsidRPr="003F0DA8">
        <w:rPr>
          <w:szCs w:val="24"/>
          <w:lang w:val="es-ES_tradnl"/>
        </w:rPr>
        <w:t xml:space="preserve">está </w:t>
      </w:r>
      <w:r w:rsidR="007D4CD8" w:rsidRPr="003F0DA8">
        <w:rPr>
          <w:szCs w:val="24"/>
          <w:lang w:val="es-ES_tradnl"/>
        </w:rPr>
        <w:t xml:space="preserve">estudiando la posibilidad </w:t>
      </w:r>
      <w:r w:rsidR="00C266E1" w:rsidRPr="003F0DA8">
        <w:rPr>
          <w:szCs w:val="24"/>
          <w:lang w:val="es-ES_tradnl"/>
        </w:rPr>
        <w:t xml:space="preserve">de establecer una cooperación </w:t>
      </w:r>
      <w:r w:rsidR="00452727" w:rsidRPr="003F0DA8">
        <w:rPr>
          <w:szCs w:val="24"/>
          <w:lang w:val="es-ES_tradnl"/>
        </w:rPr>
        <w:t>inter</w:t>
      </w:r>
      <w:r w:rsidR="00C266E1" w:rsidRPr="003F0DA8">
        <w:rPr>
          <w:szCs w:val="24"/>
          <w:lang w:val="es-ES_tradnl"/>
        </w:rPr>
        <w:t xml:space="preserve">regional entre dos regiones </w:t>
      </w:r>
      <w:r w:rsidR="003F5360" w:rsidRPr="003F0DA8">
        <w:rPr>
          <w:szCs w:val="24"/>
          <w:lang w:val="es-ES_tradnl"/>
        </w:rPr>
        <w:t xml:space="preserve">desarrollando una mayor </w:t>
      </w:r>
      <w:r w:rsidR="00C266E1" w:rsidRPr="003F0DA8">
        <w:rPr>
          <w:szCs w:val="24"/>
          <w:lang w:val="es-ES_tradnl"/>
        </w:rPr>
        <w:t>cooperación regional e internacional</w:t>
      </w:r>
      <w:r w:rsidR="00F54C51" w:rsidRPr="003F0DA8">
        <w:rPr>
          <w:szCs w:val="24"/>
          <w:lang w:val="es-ES_tradnl"/>
        </w:rPr>
        <w:t xml:space="preserve">. </w:t>
      </w:r>
      <w:r w:rsidR="00C266E1" w:rsidRPr="003F0DA8">
        <w:rPr>
          <w:szCs w:val="24"/>
          <w:lang w:val="es-ES_tradnl"/>
        </w:rPr>
        <w:t xml:space="preserve">Los ejercicios se </w:t>
      </w:r>
      <w:r w:rsidR="002F1B09" w:rsidRPr="003F0DA8">
        <w:rPr>
          <w:szCs w:val="24"/>
          <w:lang w:val="es-ES_tradnl"/>
        </w:rPr>
        <w:t>realizan</w:t>
      </w:r>
      <w:r w:rsidR="00C266E1" w:rsidRPr="003F0DA8">
        <w:rPr>
          <w:szCs w:val="24"/>
          <w:lang w:val="es-ES_tradnl"/>
        </w:rPr>
        <w:t xml:space="preserve"> en colaboración con difer</w:t>
      </w:r>
      <w:r w:rsidR="00452727" w:rsidRPr="003F0DA8">
        <w:rPr>
          <w:szCs w:val="24"/>
          <w:lang w:val="es-ES_tradnl"/>
        </w:rPr>
        <w:t>e</w:t>
      </w:r>
      <w:r w:rsidR="00C266E1" w:rsidRPr="003F0DA8">
        <w:rPr>
          <w:szCs w:val="24"/>
          <w:lang w:val="es-ES_tradnl"/>
        </w:rPr>
        <w:t xml:space="preserve">ntes </w:t>
      </w:r>
      <w:r w:rsidR="007C62DC" w:rsidRPr="003F0DA8">
        <w:rPr>
          <w:szCs w:val="24"/>
          <w:lang w:val="es-ES_tradnl"/>
        </w:rPr>
        <w:t>aso</w:t>
      </w:r>
      <w:r w:rsidR="00C266E1" w:rsidRPr="003F0DA8">
        <w:rPr>
          <w:szCs w:val="24"/>
          <w:lang w:val="es-ES_tradnl"/>
        </w:rPr>
        <w:t>ci</w:t>
      </w:r>
      <w:r w:rsidR="007C62DC" w:rsidRPr="003F0DA8">
        <w:rPr>
          <w:szCs w:val="24"/>
          <w:lang w:val="es-ES_tradnl"/>
        </w:rPr>
        <w:t>ad</w:t>
      </w:r>
      <w:r w:rsidR="00C266E1" w:rsidRPr="003F0DA8">
        <w:rPr>
          <w:szCs w:val="24"/>
          <w:lang w:val="es-ES_tradnl"/>
        </w:rPr>
        <w:t>os, dependiendo de la región</w:t>
      </w:r>
      <w:r w:rsidR="00F54C51" w:rsidRPr="003F0DA8">
        <w:rPr>
          <w:szCs w:val="24"/>
          <w:lang w:val="es-ES_tradnl"/>
        </w:rPr>
        <w:t>.</w:t>
      </w:r>
    </w:p>
    <w:p w:rsidR="00F54C51" w:rsidRPr="003F0DA8" w:rsidRDefault="00854536" w:rsidP="00314547">
      <w:pPr>
        <w:pStyle w:val="Heading3"/>
        <w:rPr>
          <w:lang w:val="es-ES_tradnl"/>
        </w:rPr>
      </w:pPr>
      <w:r w:rsidRPr="003F0DA8">
        <w:rPr>
          <w:lang w:val="es-ES_tradnl"/>
        </w:rPr>
        <w:t>1.2.5</w:t>
      </w:r>
      <w:r w:rsidRPr="003F0DA8">
        <w:rPr>
          <w:lang w:val="es-ES_tradnl"/>
        </w:rPr>
        <w:tab/>
      </w:r>
      <w:r w:rsidR="005E428A" w:rsidRPr="003F0DA8">
        <w:rPr>
          <w:lang w:val="es-ES_tradnl"/>
        </w:rPr>
        <w:t>Sensibilización e intercambio de información</w:t>
      </w:r>
    </w:p>
    <w:p w:rsidR="00F54C51" w:rsidRPr="003F0DA8" w:rsidRDefault="000464B2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 xml:space="preserve">La </w:t>
      </w:r>
      <w:r w:rsidR="00F54C51" w:rsidRPr="003F0DA8">
        <w:rPr>
          <w:szCs w:val="24"/>
          <w:lang w:val="es-ES_tradnl"/>
        </w:rPr>
        <w:t xml:space="preserve">BDT </w:t>
      </w:r>
      <w:r w:rsidRPr="003F0DA8">
        <w:rPr>
          <w:szCs w:val="24"/>
          <w:lang w:val="es-ES_tradnl"/>
        </w:rPr>
        <w:t>organiza, coorganiza y participa en todo momento en actividades de foment</w:t>
      </w:r>
      <w:r w:rsidR="005E7989" w:rsidRPr="003F0DA8">
        <w:rPr>
          <w:szCs w:val="24"/>
          <w:lang w:val="es-ES_tradnl"/>
        </w:rPr>
        <w:t>o</w:t>
      </w:r>
      <w:r w:rsidRPr="003F0DA8">
        <w:rPr>
          <w:szCs w:val="24"/>
          <w:lang w:val="es-ES_tradnl"/>
        </w:rPr>
        <w:t xml:space="preserve"> de la sensibilización y el intercambio de </w:t>
      </w:r>
      <w:r w:rsidR="008A78FB" w:rsidRPr="003F0DA8">
        <w:rPr>
          <w:szCs w:val="24"/>
          <w:lang w:val="es-ES_tradnl"/>
        </w:rPr>
        <w:t>in</w:t>
      </w:r>
      <w:r w:rsidRPr="003F0DA8">
        <w:rPr>
          <w:szCs w:val="24"/>
          <w:lang w:val="es-ES_tradnl"/>
        </w:rPr>
        <w:t xml:space="preserve">formación. </w:t>
      </w:r>
      <w:r w:rsidR="005E7989" w:rsidRPr="003F0DA8">
        <w:rPr>
          <w:szCs w:val="24"/>
          <w:lang w:val="es-ES_tradnl"/>
        </w:rPr>
        <w:t>En colaboración con sus socios, desarrolla tareas de sensibilización e intercambio de información a través de diferentes plataformas y eventos, como la CMSI</w:t>
      </w:r>
      <w:r w:rsidR="00F54C51" w:rsidRPr="003F0DA8">
        <w:rPr>
          <w:szCs w:val="24"/>
          <w:lang w:val="es-ES_tradnl"/>
        </w:rPr>
        <w:t xml:space="preserve">, </w:t>
      </w:r>
      <w:r w:rsidR="005E7989" w:rsidRPr="003F0DA8">
        <w:rPr>
          <w:szCs w:val="24"/>
          <w:lang w:val="es-ES_tradnl"/>
        </w:rPr>
        <w:t>reuniones de las Comisiones de Estudio y otros talleres, conferencias y reuniones. Se puede accede</w:t>
      </w:r>
      <w:r w:rsidR="00857C71" w:rsidRPr="003F0DA8">
        <w:rPr>
          <w:szCs w:val="24"/>
          <w:lang w:val="es-ES_tradnl"/>
        </w:rPr>
        <w:t>r</w:t>
      </w:r>
      <w:r w:rsidR="005E7989" w:rsidRPr="003F0DA8">
        <w:rPr>
          <w:szCs w:val="24"/>
          <w:lang w:val="es-ES_tradnl"/>
        </w:rPr>
        <w:t xml:space="preserve"> a más información sobre eventos pasados en la </w:t>
      </w:r>
      <w:hyperlink r:id="rId11" w:history="1">
        <w:r w:rsidR="005E7989" w:rsidRPr="003F0DA8">
          <w:rPr>
            <w:rStyle w:val="Hyperlink"/>
            <w:szCs w:val="24"/>
            <w:lang w:val="es-ES_tradnl"/>
          </w:rPr>
          <w:t>página de e</w:t>
        </w:r>
        <w:r w:rsidR="00F54C51" w:rsidRPr="003F0DA8">
          <w:rPr>
            <w:rStyle w:val="Hyperlink"/>
            <w:szCs w:val="24"/>
            <w:lang w:val="es-ES_tradnl"/>
          </w:rPr>
          <w:t>vent</w:t>
        </w:r>
        <w:r w:rsidR="005E7989" w:rsidRPr="003F0DA8">
          <w:rPr>
            <w:rStyle w:val="Hyperlink"/>
            <w:szCs w:val="24"/>
            <w:lang w:val="es-ES_tradnl"/>
          </w:rPr>
          <w:t>o</w:t>
        </w:r>
        <w:r w:rsidR="00F54C51" w:rsidRPr="003F0DA8">
          <w:rPr>
            <w:rStyle w:val="Hyperlink"/>
            <w:szCs w:val="24"/>
            <w:lang w:val="es-ES_tradnl"/>
          </w:rPr>
          <w:t>s</w:t>
        </w:r>
      </w:hyperlink>
      <w:r w:rsidR="00F54C51" w:rsidRPr="003F0DA8">
        <w:rPr>
          <w:szCs w:val="24"/>
          <w:lang w:val="es-ES_tradnl"/>
        </w:rPr>
        <w:t>.</w:t>
      </w:r>
    </w:p>
    <w:p w:rsidR="00F54C51" w:rsidRPr="003F0DA8" w:rsidRDefault="00A218F3" w:rsidP="00314547">
      <w:pPr>
        <w:pStyle w:val="Heading3"/>
        <w:rPr>
          <w:lang w:val="es-ES_tradnl"/>
        </w:rPr>
      </w:pPr>
      <w:r w:rsidRPr="003F0DA8">
        <w:rPr>
          <w:lang w:val="es-ES_tradnl"/>
        </w:rPr>
        <w:t>1.2.6</w:t>
      </w:r>
      <w:r w:rsidRPr="003F0DA8">
        <w:rPr>
          <w:lang w:val="es-ES_tradnl"/>
        </w:rPr>
        <w:tab/>
      </w:r>
      <w:r w:rsidR="009A45B3" w:rsidRPr="003F0DA8">
        <w:rPr>
          <w:lang w:val="es-ES_tradnl"/>
        </w:rPr>
        <w:t>Establecimiento de alianzas mundiales y colaboración</w:t>
      </w:r>
    </w:p>
    <w:p w:rsidR="00F54C51" w:rsidRPr="003F0DA8" w:rsidRDefault="009A45B3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 xml:space="preserve">La UIT atribuye una gran importancia a la cooperación mundial y al establecimiento de alianzas estratégicas en el ámbito de la ciberseguridad. La UIT facilita la creación de sinergias beneficiosas y mantiene valiosas alianzas mundiales con miras a mejorar la ciberseguridad y fomentar la </w:t>
      </w:r>
      <w:r w:rsidRPr="003F0DA8">
        <w:rPr>
          <w:szCs w:val="24"/>
          <w:lang w:val="es-ES_tradnl"/>
        </w:rPr>
        <w:lastRenderedPageBreak/>
        <w:t>necesidad de un entorno digital seguro para todos</w:t>
      </w:r>
      <w:r w:rsidR="00F54C51" w:rsidRPr="003F0DA8">
        <w:rPr>
          <w:szCs w:val="24"/>
          <w:lang w:val="es-ES_tradnl"/>
        </w:rPr>
        <w:t xml:space="preserve">. </w:t>
      </w:r>
      <w:r w:rsidRPr="003F0DA8">
        <w:rPr>
          <w:szCs w:val="24"/>
          <w:lang w:val="es-ES_tradnl"/>
        </w:rPr>
        <w:t>Recientemente, la UIT ha establecido alianzas con el Foro Económico Mundial y la Interpol, entro otros</w:t>
      </w:r>
      <w:r w:rsidR="00A218F3" w:rsidRPr="003F0DA8">
        <w:rPr>
          <w:szCs w:val="24"/>
          <w:lang w:val="es-ES_tradnl"/>
        </w:rPr>
        <w:t>.</w:t>
      </w:r>
    </w:p>
    <w:p w:rsidR="00F54C51" w:rsidRPr="003F0DA8" w:rsidRDefault="00F04A10" w:rsidP="00314547">
      <w:pPr>
        <w:spacing w:after="120"/>
        <w:rPr>
          <w:szCs w:val="24"/>
          <w:lang w:val="es-ES_tradnl"/>
        </w:rPr>
      </w:pPr>
      <w:r w:rsidRPr="003F0DA8">
        <w:rPr>
          <w:rFonts w:eastAsia="SimHei"/>
          <w:lang w:val="es-ES_tradnl" w:eastAsia="zh-CN"/>
        </w:rPr>
        <w:t>Los socios de la UIT para el desarrollo de la ciberseguridad se agrupan de la manera siguiente</w:t>
      </w:r>
      <w:r w:rsidR="00F54C51" w:rsidRPr="003F0DA8">
        <w:rPr>
          <w:szCs w:val="24"/>
          <w:lang w:val="es-ES_tradnl"/>
        </w:rPr>
        <w:t>:</w:t>
      </w:r>
    </w:p>
    <w:p w:rsidR="00F54C51" w:rsidRPr="003F0DA8" w:rsidRDefault="00F42E12" w:rsidP="00314547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F04A10" w:rsidRPr="003F0DA8">
        <w:rPr>
          <w:rFonts w:eastAsia="SimHei"/>
          <w:lang w:val="es-ES_tradnl" w:eastAsia="zh-CN"/>
        </w:rPr>
        <w:t xml:space="preserve">organizaciones </w:t>
      </w:r>
      <w:r w:rsidR="00A92C61" w:rsidRPr="003F0DA8">
        <w:rPr>
          <w:rFonts w:eastAsia="SimHei"/>
          <w:lang w:val="es-ES_tradnl" w:eastAsia="zh-CN"/>
        </w:rPr>
        <w:t>intergubernamentales</w:t>
      </w:r>
      <w:r w:rsidR="00F04A10" w:rsidRPr="003F0DA8">
        <w:rPr>
          <w:rFonts w:eastAsia="SimHei"/>
          <w:lang w:val="es-ES_tradnl" w:eastAsia="zh-CN"/>
        </w:rPr>
        <w:t xml:space="preserve">, por ejemplo, el </w:t>
      </w:r>
      <w:r w:rsidR="00F54C51" w:rsidRPr="003F0DA8">
        <w:rPr>
          <w:lang w:val="es-ES_tradnl"/>
        </w:rPr>
        <w:t xml:space="preserve">UNICRI, </w:t>
      </w:r>
      <w:r w:rsidR="00F04A10" w:rsidRPr="003F0DA8">
        <w:rPr>
          <w:lang w:val="es-ES_tradnl"/>
        </w:rPr>
        <w:t xml:space="preserve">la </w:t>
      </w:r>
      <w:r w:rsidR="00F54C51" w:rsidRPr="003F0DA8">
        <w:rPr>
          <w:lang w:val="es-ES_tradnl"/>
        </w:rPr>
        <w:t xml:space="preserve">UNODC, </w:t>
      </w:r>
      <w:r w:rsidR="00A92C61" w:rsidRPr="003F0DA8">
        <w:rPr>
          <w:lang w:val="es-ES_tradnl"/>
        </w:rPr>
        <w:t>el</w:t>
      </w:r>
      <w:r w:rsidR="00F04A10" w:rsidRPr="003F0DA8">
        <w:rPr>
          <w:lang w:val="es-ES_tradnl"/>
        </w:rPr>
        <w:t xml:space="preserve"> </w:t>
      </w:r>
      <w:r w:rsidR="00F54C51" w:rsidRPr="003F0DA8">
        <w:rPr>
          <w:lang w:val="es-ES_tradnl"/>
        </w:rPr>
        <w:t xml:space="preserve">Commonwealth, </w:t>
      </w:r>
      <w:r w:rsidR="00F04A10" w:rsidRPr="003F0DA8">
        <w:rPr>
          <w:lang w:val="es-ES_tradnl"/>
        </w:rPr>
        <w:t xml:space="preserve">la </w:t>
      </w:r>
      <w:r w:rsidR="00F54C51" w:rsidRPr="003F0DA8">
        <w:rPr>
          <w:lang w:val="es-ES_tradnl"/>
        </w:rPr>
        <w:t xml:space="preserve">CTO, </w:t>
      </w:r>
      <w:r w:rsidR="00F04A10" w:rsidRPr="003F0DA8">
        <w:rPr>
          <w:lang w:val="es-ES_tradnl"/>
        </w:rPr>
        <w:t>la CE</w:t>
      </w:r>
      <w:r w:rsidR="004C32FC" w:rsidRPr="003F0DA8">
        <w:rPr>
          <w:lang w:val="es-ES_tradnl"/>
        </w:rPr>
        <w:t xml:space="preserve">, </w:t>
      </w:r>
      <w:r w:rsidR="00A92C61" w:rsidRPr="003F0DA8">
        <w:rPr>
          <w:lang w:val="es-ES_tradnl"/>
        </w:rPr>
        <w:t xml:space="preserve">la </w:t>
      </w:r>
      <w:r w:rsidR="00F54C51" w:rsidRPr="003F0DA8">
        <w:rPr>
          <w:lang w:val="es-ES_tradnl"/>
        </w:rPr>
        <w:t>ENISA</w:t>
      </w:r>
      <w:r w:rsidR="004C32FC" w:rsidRPr="003F0DA8">
        <w:rPr>
          <w:lang w:val="es-ES_tradnl"/>
        </w:rPr>
        <w:t>, etc</w:t>
      </w:r>
      <w:r w:rsidR="00F54C51" w:rsidRPr="003F0DA8">
        <w:rPr>
          <w:lang w:val="es-ES_tradnl"/>
        </w:rPr>
        <w:t>.;</w:t>
      </w:r>
    </w:p>
    <w:p w:rsidR="00F54C51" w:rsidRPr="003F0DA8" w:rsidRDefault="00F42E12" w:rsidP="003B6019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A92C61" w:rsidRPr="003F0DA8">
        <w:rPr>
          <w:rFonts w:eastAsia="SimHei"/>
          <w:lang w:val="es-ES_tradnl" w:eastAsia="zh-CN"/>
        </w:rPr>
        <w:t>organizaciones internacionales</w:t>
      </w:r>
      <w:r w:rsidR="00A92C61" w:rsidRPr="003F0DA8">
        <w:rPr>
          <w:lang w:val="es-ES_tradnl"/>
        </w:rPr>
        <w:t xml:space="preserve">, por ejemplo, </w:t>
      </w:r>
      <w:r w:rsidR="00F54C51" w:rsidRPr="003F0DA8">
        <w:rPr>
          <w:lang w:val="es-ES_tradnl"/>
        </w:rPr>
        <w:t xml:space="preserve">FIRST, </w:t>
      </w:r>
      <w:r w:rsidR="00A92C61" w:rsidRPr="003F0DA8">
        <w:rPr>
          <w:lang w:val="es-ES_tradnl"/>
        </w:rPr>
        <w:t xml:space="preserve">la </w:t>
      </w:r>
      <w:r w:rsidR="00F54C51" w:rsidRPr="003F0DA8">
        <w:rPr>
          <w:lang w:val="es-ES_tradnl"/>
        </w:rPr>
        <w:t xml:space="preserve">ISOC, </w:t>
      </w:r>
      <w:r w:rsidR="00A92C61" w:rsidRPr="003F0DA8">
        <w:rPr>
          <w:lang w:val="es-ES_tradnl"/>
        </w:rPr>
        <w:t>el Foro Económico Mundial</w:t>
      </w:r>
      <w:r w:rsidR="00F54C51" w:rsidRPr="003F0DA8">
        <w:rPr>
          <w:lang w:val="es-ES_tradnl"/>
        </w:rPr>
        <w:t xml:space="preserve">, </w:t>
      </w:r>
      <w:r w:rsidR="00A92C61" w:rsidRPr="003F0DA8">
        <w:rPr>
          <w:lang w:val="es-ES_tradnl"/>
        </w:rPr>
        <w:t xml:space="preserve">el </w:t>
      </w:r>
      <w:r w:rsidR="00F54C51" w:rsidRPr="003F0DA8">
        <w:rPr>
          <w:lang w:val="es-ES_tradnl"/>
        </w:rPr>
        <w:t>GFCE</w:t>
      </w:r>
      <w:r w:rsidR="003B6019" w:rsidRPr="003F0DA8">
        <w:rPr>
          <w:lang w:val="es-ES_tradnl"/>
        </w:rPr>
        <w:t>,</w:t>
      </w:r>
      <w:r w:rsidR="00A92C61" w:rsidRPr="003F0DA8">
        <w:rPr>
          <w:lang w:val="es-ES_tradnl"/>
        </w:rPr>
        <w:t xml:space="preserve"> MERIDIAN</w:t>
      </w:r>
      <w:r w:rsidR="003B6019" w:rsidRPr="003F0DA8">
        <w:rPr>
          <w:lang w:val="es-ES_tradnl"/>
        </w:rPr>
        <w:t>, etc.;</w:t>
      </w:r>
    </w:p>
    <w:p w:rsidR="00F54C51" w:rsidRPr="003F0DA8" w:rsidRDefault="00F42E12" w:rsidP="007E66FA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A92C61" w:rsidRPr="003F0DA8">
        <w:rPr>
          <w:rFonts w:eastAsia="SimHei"/>
          <w:lang w:val="es-ES_tradnl" w:eastAsia="zh-CN"/>
        </w:rPr>
        <w:t xml:space="preserve">sector privado, por ejemplo, </w:t>
      </w:r>
      <w:r w:rsidR="00F54C51" w:rsidRPr="003F0DA8">
        <w:rPr>
          <w:lang w:val="es-ES_tradnl"/>
        </w:rPr>
        <w:t xml:space="preserve">Deloitte, Guardtime, Microsoft, </w:t>
      </w:r>
      <w:r w:rsidR="00A92C61" w:rsidRPr="003F0DA8">
        <w:rPr>
          <w:lang w:val="es-ES_tradnl"/>
        </w:rPr>
        <w:t>HP, Symantec, High-Tech Bridge</w:t>
      </w:r>
      <w:r w:rsidR="007E66FA" w:rsidRPr="003F0DA8">
        <w:rPr>
          <w:lang w:val="es-ES_tradnl"/>
        </w:rPr>
        <w:t xml:space="preserve">, </w:t>
      </w:r>
      <w:r w:rsidR="00A92C61" w:rsidRPr="003F0DA8">
        <w:rPr>
          <w:lang w:val="es-ES_tradnl"/>
        </w:rPr>
        <w:t>Kaspersky</w:t>
      </w:r>
      <w:r w:rsidR="007E66FA" w:rsidRPr="003F0DA8">
        <w:rPr>
          <w:lang w:val="es-ES_tradnl"/>
        </w:rPr>
        <w:t>, etc.</w:t>
      </w:r>
      <w:r w:rsidR="00F54C51" w:rsidRPr="003F0DA8">
        <w:rPr>
          <w:lang w:val="es-ES_tradnl"/>
        </w:rPr>
        <w:t>;</w:t>
      </w:r>
    </w:p>
    <w:p w:rsidR="00F54C51" w:rsidRPr="003F0DA8" w:rsidRDefault="00F42E12" w:rsidP="00034E77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A92C61" w:rsidRPr="003F0DA8">
        <w:rPr>
          <w:rFonts w:eastAsia="SimHei"/>
          <w:lang w:val="es-ES_tradnl" w:eastAsia="zh-CN"/>
        </w:rPr>
        <w:t>ONG, sociedad civil, mundo académico</w:t>
      </w:r>
      <w:r w:rsidR="00F54C51" w:rsidRPr="003F0DA8">
        <w:rPr>
          <w:lang w:val="es-ES_tradnl"/>
        </w:rPr>
        <w:t>,</w:t>
      </w:r>
      <w:r w:rsidR="00A92C61" w:rsidRPr="003F0DA8">
        <w:rPr>
          <w:lang w:val="es-ES_tradnl"/>
        </w:rPr>
        <w:t xml:space="preserve"> entidades filantrópicas, por ejemplo, la Universidad de Indiana</w:t>
      </w:r>
      <w:r w:rsidR="00F54C51" w:rsidRPr="003F0DA8">
        <w:rPr>
          <w:lang w:val="es-ES_tradnl"/>
        </w:rPr>
        <w:t>, Potomac Institute for Policy Studies, Austra</w:t>
      </w:r>
      <w:r w:rsidR="00A92C61" w:rsidRPr="003F0DA8">
        <w:rPr>
          <w:lang w:val="es-ES_tradnl"/>
        </w:rPr>
        <w:t>lian Strategic Policy Institute</w:t>
      </w:r>
      <w:r w:rsidR="00034E77" w:rsidRPr="003F0DA8">
        <w:rPr>
          <w:lang w:val="es-ES_tradnl"/>
        </w:rPr>
        <w:t xml:space="preserve">, </w:t>
      </w:r>
      <w:r w:rsidR="00F54C51" w:rsidRPr="003F0DA8">
        <w:rPr>
          <w:lang w:val="es-ES_tradnl"/>
        </w:rPr>
        <w:t xml:space="preserve">Geneva </w:t>
      </w:r>
      <w:r w:rsidR="00A92C61" w:rsidRPr="003F0DA8">
        <w:rPr>
          <w:lang w:val="es-ES_tradnl"/>
        </w:rPr>
        <w:t>Center for Security Policy</w:t>
      </w:r>
      <w:r w:rsidR="00034E77" w:rsidRPr="003F0DA8">
        <w:rPr>
          <w:lang w:val="es-ES_tradnl"/>
        </w:rPr>
        <w:t>, etc.</w:t>
      </w:r>
      <w:r w:rsidR="00F54C51" w:rsidRPr="003F0DA8">
        <w:rPr>
          <w:lang w:val="es-ES_tradnl"/>
        </w:rPr>
        <w:t>;</w:t>
      </w:r>
    </w:p>
    <w:p w:rsidR="00F54C51" w:rsidRPr="003F0DA8" w:rsidRDefault="00F42E12" w:rsidP="000E444B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A92C61" w:rsidRPr="003F0DA8">
        <w:rPr>
          <w:rFonts w:eastAsia="SimHei"/>
          <w:lang w:val="es-ES_tradnl" w:eastAsia="zh-CN"/>
        </w:rPr>
        <w:t>entidades gubernamentales o afiliadas al sector público</w:t>
      </w:r>
      <w:r w:rsidR="00A92C61" w:rsidRPr="003F0DA8">
        <w:rPr>
          <w:lang w:val="es-ES_tradnl"/>
        </w:rPr>
        <w:t xml:space="preserve">, por ejemplo, </w:t>
      </w:r>
      <w:r w:rsidR="00F54C51" w:rsidRPr="003F0DA8">
        <w:rPr>
          <w:lang w:val="es-ES_tradnl"/>
        </w:rPr>
        <w:t>KISA (Kore</w:t>
      </w:r>
      <w:r w:rsidR="00A92C61" w:rsidRPr="003F0DA8">
        <w:rPr>
          <w:lang w:val="es-ES_tradnl"/>
        </w:rPr>
        <w:t>a Internet and Security Agency)</w:t>
      </w:r>
      <w:r w:rsidR="000E444B" w:rsidRPr="003F0DA8">
        <w:rPr>
          <w:lang w:val="es-ES_tradnl"/>
        </w:rPr>
        <w:t xml:space="preserve">, </w:t>
      </w:r>
      <w:r w:rsidR="005B3EE4" w:rsidRPr="003F0DA8">
        <w:rPr>
          <w:lang w:val="es-ES_tradnl"/>
        </w:rPr>
        <w:t>NTRA Egypt</w:t>
      </w:r>
      <w:r w:rsidR="000E444B" w:rsidRPr="003F0DA8">
        <w:rPr>
          <w:lang w:val="es-ES_tradnl"/>
        </w:rPr>
        <w:t>, etc.</w:t>
      </w:r>
    </w:p>
    <w:p w:rsidR="00F54C51" w:rsidRPr="003F0DA8" w:rsidRDefault="00F42E12" w:rsidP="00314547">
      <w:pPr>
        <w:pStyle w:val="Heading2"/>
        <w:rPr>
          <w:lang w:val="es-ES_tradnl"/>
        </w:rPr>
      </w:pPr>
      <w:r w:rsidRPr="003F0DA8">
        <w:rPr>
          <w:lang w:val="es-ES_tradnl"/>
        </w:rPr>
        <w:t>1.3</w:t>
      </w:r>
      <w:r w:rsidRPr="003F0DA8">
        <w:rPr>
          <w:lang w:val="es-ES_tradnl"/>
        </w:rPr>
        <w:tab/>
      </w:r>
      <w:r w:rsidR="00A552A1" w:rsidRPr="003F0DA8">
        <w:rPr>
          <w:lang w:val="es-ES_tradnl"/>
        </w:rPr>
        <w:t>Acciones futuras</w:t>
      </w:r>
    </w:p>
    <w:p w:rsidR="00F54C51" w:rsidRPr="003F0DA8" w:rsidRDefault="00A552A1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 xml:space="preserve">La </w:t>
      </w:r>
      <w:r w:rsidR="00F54C51" w:rsidRPr="003F0DA8">
        <w:rPr>
          <w:szCs w:val="24"/>
          <w:lang w:val="es-ES_tradnl"/>
        </w:rPr>
        <w:t xml:space="preserve">BDT </w:t>
      </w:r>
      <w:r w:rsidRPr="003F0DA8">
        <w:rPr>
          <w:szCs w:val="24"/>
          <w:lang w:val="es-ES_tradnl"/>
        </w:rPr>
        <w:t xml:space="preserve">continuará reforzando las actividades en el campo de la ciberseguridad, para lo cual </w:t>
      </w:r>
      <w:r w:rsidR="004152DF" w:rsidRPr="003F0DA8">
        <w:rPr>
          <w:szCs w:val="24"/>
          <w:lang w:val="es-ES_tradnl"/>
        </w:rPr>
        <w:t>impulsará</w:t>
      </w:r>
      <w:r w:rsidRPr="003F0DA8">
        <w:rPr>
          <w:szCs w:val="24"/>
          <w:lang w:val="es-ES_tradnl"/>
        </w:rPr>
        <w:t xml:space="preserve"> los resultados en diferentes ámbitos, por ejemplo</w:t>
      </w:r>
      <w:r w:rsidR="00F54C51" w:rsidRPr="003F0DA8">
        <w:rPr>
          <w:szCs w:val="24"/>
          <w:lang w:val="es-ES_tradnl"/>
        </w:rPr>
        <w:t>:</w:t>
      </w:r>
    </w:p>
    <w:p w:rsidR="00F54C51" w:rsidRPr="003F0DA8" w:rsidRDefault="00E50251" w:rsidP="00314547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D52332" w:rsidRPr="003F0DA8">
        <w:rPr>
          <w:lang w:val="es-ES_tradnl"/>
        </w:rPr>
        <w:t xml:space="preserve">seguirá </w:t>
      </w:r>
      <w:r w:rsidR="00A552A1" w:rsidRPr="003F0DA8">
        <w:rPr>
          <w:lang w:val="es-ES_tradnl"/>
        </w:rPr>
        <w:t>prestando asistencia técnica a los Estados Miembros mediante la innovación y nuevas alianzas productivas</w:t>
      </w:r>
      <w:r w:rsidR="00F54C51" w:rsidRPr="003F0DA8">
        <w:rPr>
          <w:lang w:val="es-ES_tradnl"/>
        </w:rPr>
        <w:t>;</w:t>
      </w:r>
    </w:p>
    <w:p w:rsidR="00F54C51" w:rsidRPr="003F0DA8" w:rsidRDefault="00E50251" w:rsidP="00314547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B60E66" w:rsidRPr="003F0DA8">
        <w:rPr>
          <w:rFonts w:eastAsia="SimHei"/>
          <w:lang w:val="es-ES_tradnl" w:eastAsia="zh-CN"/>
        </w:rPr>
        <w:t xml:space="preserve">mejorará </w:t>
      </w:r>
      <w:r w:rsidR="00A552A1" w:rsidRPr="003F0DA8">
        <w:rPr>
          <w:rFonts w:eastAsia="SimHei"/>
          <w:lang w:val="es-ES_tradnl" w:eastAsia="zh-CN"/>
        </w:rPr>
        <w:t xml:space="preserve">la ejecución de los proyectos y las actividades </w:t>
      </w:r>
      <w:r w:rsidR="00BE2523" w:rsidRPr="003F0DA8">
        <w:rPr>
          <w:rFonts w:eastAsia="SimHei"/>
          <w:lang w:val="es-ES_tradnl" w:eastAsia="zh-CN"/>
        </w:rPr>
        <w:t>sobre</w:t>
      </w:r>
      <w:r w:rsidR="00A552A1" w:rsidRPr="003F0DA8">
        <w:rPr>
          <w:rFonts w:eastAsia="SimHei"/>
          <w:lang w:val="es-ES_tradnl" w:eastAsia="zh-CN"/>
        </w:rPr>
        <w:t xml:space="preserve"> creación de capacidad humana e institucional</w:t>
      </w:r>
      <w:r w:rsidR="00F54C51" w:rsidRPr="003F0DA8">
        <w:rPr>
          <w:lang w:val="es-ES_tradnl"/>
        </w:rPr>
        <w:t>;</w:t>
      </w:r>
    </w:p>
    <w:p w:rsidR="00F54C51" w:rsidRPr="003F0DA8" w:rsidRDefault="00E50251" w:rsidP="00314547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AD5C7C" w:rsidRPr="003F0DA8">
        <w:rPr>
          <w:rFonts w:eastAsia="SimHei"/>
          <w:lang w:val="es-ES_tradnl" w:eastAsia="zh-CN"/>
        </w:rPr>
        <w:t xml:space="preserve">se </w:t>
      </w:r>
      <w:r w:rsidR="004947B1" w:rsidRPr="003F0DA8">
        <w:rPr>
          <w:rFonts w:eastAsia="SimHei"/>
          <w:lang w:val="es-ES_tradnl" w:eastAsia="zh-CN"/>
        </w:rPr>
        <w:t xml:space="preserve">centrará en </w:t>
      </w:r>
      <w:r w:rsidR="00A10FAD" w:rsidRPr="003F0DA8">
        <w:rPr>
          <w:rFonts w:eastAsia="SimHei"/>
          <w:lang w:val="es-ES_tradnl" w:eastAsia="zh-CN"/>
        </w:rPr>
        <w:t xml:space="preserve">la ejecución de </w:t>
      </w:r>
      <w:r w:rsidR="004947B1" w:rsidRPr="003F0DA8">
        <w:rPr>
          <w:rFonts w:eastAsia="SimHei"/>
          <w:lang w:val="es-ES_tradnl" w:eastAsia="zh-CN"/>
        </w:rPr>
        <w:t>proyectos e iniciativas d</w:t>
      </w:r>
      <w:r w:rsidR="004947B1" w:rsidRPr="003F0DA8">
        <w:rPr>
          <w:lang w:val="es-ES_tradnl"/>
        </w:rPr>
        <w:t>e alto impacto, como actividades de programas de EIII nacionales, formulación y examen de políticas nacionales de ciberseguridad</w:t>
      </w:r>
      <w:r w:rsidR="00F54C51" w:rsidRPr="003F0DA8">
        <w:rPr>
          <w:lang w:val="es-ES_tradnl"/>
        </w:rPr>
        <w:t>, etc.;</w:t>
      </w:r>
    </w:p>
    <w:p w:rsidR="00F54C51" w:rsidRPr="003F0DA8" w:rsidRDefault="00E50251" w:rsidP="00314547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AD5C7C" w:rsidRPr="003F0DA8">
        <w:rPr>
          <w:lang w:val="es-ES_tradnl"/>
        </w:rPr>
        <w:t xml:space="preserve">continuará </w:t>
      </w:r>
      <w:r w:rsidR="004947B1" w:rsidRPr="003F0DA8">
        <w:rPr>
          <w:lang w:val="es-ES_tradnl"/>
        </w:rPr>
        <w:t xml:space="preserve">midiendo el progreso en materia de ciberseguridad </w:t>
      </w:r>
      <w:r w:rsidR="0013344F" w:rsidRPr="003F0DA8">
        <w:rPr>
          <w:lang w:val="es-ES_tradnl"/>
        </w:rPr>
        <w:t>por medio de</w:t>
      </w:r>
      <w:r w:rsidR="004947B1" w:rsidRPr="003F0DA8">
        <w:rPr>
          <w:lang w:val="es-ES_tradnl"/>
        </w:rPr>
        <w:t xml:space="preserve">l </w:t>
      </w:r>
      <w:r w:rsidR="00AD5C7C" w:rsidRPr="003F0DA8">
        <w:rPr>
          <w:lang w:val="es-ES_tradnl"/>
        </w:rPr>
        <w:t xml:space="preserve">Índice </w:t>
      </w:r>
      <w:r w:rsidR="004947B1" w:rsidRPr="003F0DA8">
        <w:rPr>
          <w:lang w:val="es-ES_tradnl"/>
        </w:rPr>
        <w:t xml:space="preserve">mundial de ciberseguridad, y seguirá </w:t>
      </w:r>
      <w:r w:rsidR="002F0D02" w:rsidRPr="003F0DA8">
        <w:rPr>
          <w:lang w:val="es-ES_tradnl"/>
        </w:rPr>
        <w:t>mejo</w:t>
      </w:r>
      <w:r w:rsidR="004947B1" w:rsidRPr="003F0DA8">
        <w:rPr>
          <w:lang w:val="es-ES_tradnl"/>
        </w:rPr>
        <w:t>rando</w:t>
      </w:r>
      <w:r w:rsidR="007B6FC2" w:rsidRPr="003F0DA8">
        <w:rPr>
          <w:lang w:val="es-ES_tradnl"/>
        </w:rPr>
        <w:t xml:space="preserve"> la metodología y el mecanismo</w:t>
      </w:r>
      <w:r w:rsidR="004947B1" w:rsidRPr="003F0DA8">
        <w:rPr>
          <w:lang w:val="es-ES_tradnl"/>
        </w:rPr>
        <w:t xml:space="preserve"> de valoración a través del diálogo y la colaboración constantes con los Estados Miembros, la industria, el mundo académico y expertos en ciberseguridad y análisis de datos</w:t>
      </w:r>
      <w:r w:rsidR="00F54C51" w:rsidRPr="003F0DA8">
        <w:rPr>
          <w:lang w:val="es-ES_tradnl"/>
        </w:rPr>
        <w:t>;</w:t>
      </w:r>
    </w:p>
    <w:p w:rsidR="00F54C51" w:rsidRPr="003F0DA8" w:rsidRDefault="00E50251" w:rsidP="002F0466">
      <w:pPr>
        <w:pStyle w:val="enumlev1"/>
        <w:rPr>
          <w:lang w:val="es-ES_tradnl"/>
        </w:rPr>
      </w:pPr>
      <w:r w:rsidRPr="003F0DA8">
        <w:rPr>
          <w:rFonts w:eastAsia="SimHei"/>
          <w:lang w:val="es-ES_tradnl" w:eastAsia="zh-CN"/>
        </w:rPr>
        <w:t>–</w:t>
      </w:r>
      <w:r w:rsidRPr="003F0DA8">
        <w:rPr>
          <w:rFonts w:eastAsia="SimHei"/>
          <w:lang w:val="es-ES_tradnl" w:eastAsia="zh-CN"/>
        </w:rPr>
        <w:tab/>
      </w:r>
      <w:r w:rsidR="00AD5C7C" w:rsidRPr="003F0DA8">
        <w:rPr>
          <w:lang w:val="es-ES_tradnl"/>
        </w:rPr>
        <w:t xml:space="preserve">seguirá </w:t>
      </w:r>
      <w:r w:rsidR="007C62DC" w:rsidRPr="003F0DA8">
        <w:rPr>
          <w:lang w:val="es-ES_tradnl"/>
        </w:rPr>
        <w:t>observando</w:t>
      </w:r>
      <w:r w:rsidR="00C338A6" w:rsidRPr="003F0DA8">
        <w:rPr>
          <w:lang w:val="es-ES_tradnl"/>
        </w:rPr>
        <w:t xml:space="preserve"> las tendencias en ciberseguridad y la evolución de las telecomunicaciones</w:t>
      </w:r>
      <w:r w:rsidR="00F54C51" w:rsidRPr="003F0DA8">
        <w:rPr>
          <w:lang w:val="es-ES_tradnl"/>
        </w:rPr>
        <w:t>/</w:t>
      </w:r>
      <w:r w:rsidR="00C338A6" w:rsidRPr="003F0DA8">
        <w:rPr>
          <w:lang w:val="es-ES_tradnl"/>
        </w:rPr>
        <w:t xml:space="preserve">TIC, por ejemplo, en cuanto a </w:t>
      </w:r>
      <w:r w:rsidR="00C338A6" w:rsidRPr="003F0DA8">
        <w:rPr>
          <w:color w:val="000000"/>
          <w:lang w:val="es-ES_tradnl"/>
        </w:rPr>
        <w:t xml:space="preserve">inteligencia artificial y aprendizaje automático, </w:t>
      </w:r>
      <w:r w:rsidR="00C338A6" w:rsidRPr="003F0DA8">
        <w:rPr>
          <w:lang w:val="es-ES_tradnl"/>
        </w:rPr>
        <w:t xml:space="preserve">macrodatos, </w:t>
      </w:r>
      <w:r w:rsidR="00F54C51" w:rsidRPr="003F0DA8">
        <w:rPr>
          <w:lang w:val="es-ES_tradnl"/>
        </w:rPr>
        <w:t>IoT, 5G</w:t>
      </w:r>
      <w:r w:rsidR="002F0466" w:rsidRPr="003F0DA8">
        <w:rPr>
          <w:lang w:val="es-ES_tradnl"/>
        </w:rPr>
        <w:t>,</w:t>
      </w:r>
      <w:r w:rsidR="00C338A6" w:rsidRPr="003F0DA8">
        <w:rPr>
          <w:lang w:val="es-ES_tradnl"/>
        </w:rPr>
        <w:t xml:space="preserve"> eSIM</w:t>
      </w:r>
      <w:r w:rsidR="002F0466" w:rsidRPr="003F0DA8">
        <w:rPr>
          <w:lang w:val="es-ES_tradnl"/>
        </w:rPr>
        <w:t>, etc.</w:t>
      </w:r>
    </w:p>
    <w:p w:rsidR="00F54C51" w:rsidRPr="003F0DA8" w:rsidRDefault="007348C0" w:rsidP="00314547">
      <w:pPr>
        <w:pStyle w:val="Heading1"/>
        <w:rPr>
          <w:lang w:val="es-ES_tradnl"/>
        </w:rPr>
      </w:pPr>
      <w:r w:rsidRPr="003F0DA8">
        <w:rPr>
          <w:lang w:val="es-ES_tradnl"/>
        </w:rPr>
        <w:t>2</w:t>
      </w:r>
      <w:r w:rsidRPr="003F0DA8">
        <w:rPr>
          <w:lang w:val="es-ES_tradnl"/>
        </w:rPr>
        <w:tab/>
      </w:r>
      <w:r w:rsidR="0070616D" w:rsidRPr="003F0DA8">
        <w:rPr>
          <w:lang w:val="es-ES_tradnl"/>
        </w:rPr>
        <w:t>Aplica</w:t>
      </w:r>
      <w:r w:rsidR="00B55B16" w:rsidRPr="003F0DA8">
        <w:rPr>
          <w:lang w:val="es-ES_tradnl"/>
        </w:rPr>
        <w:t>ciones de TIC</w:t>
      </w:r>
    </w:p>
    <w:p w:rsidR="00F54C51" w:rsidRPr="003F0DA8" w:rsidRDefault="007708D6" w:rsidP="00314547">
      <w:pPr>
        <w:pStyle w:val="Heading2"/>
        <w:rPr>
          <w:lang w:val="es-ES_tradnl"/>
        </w:rPr>
      </w:pPr>
      <w:r w:rsidRPr="003F0DA8">
        <w:rPr>
          <w:lang w:val="es-ES_tradnl"/>
        </w:rPr>
        <w:t>2.1</w:t>
      </w:r>
      <w:r w:rsidRPr="003F0DA8">
        <w:rPr>
          <w:lang w:val="es-ES_tradnl"/>
        </w:rPr>
        <w:tab/>
      </w:r>
      <w:r w:rsidR="00695808" w:rsidRPr="003F0DA8">
        <w:rPr>
          <w:lang w:val="es-ES_tradnl"/>
        </w:rPr>
        <w:t>Antecedentes</w:t>
      </w:r>
    </w:p>
    <w:p w:rsidR="00F54C51" w:rsidRPr="003F0DA8" w:rsidRDefault="000D6A39" w:rsidP="00314547">
      <w:pPr>
        <w:spacing w:after="120"/>
        <w:rPr>
          <w:szCs w:val="24"/>
          <w:lang w:val="es-ES_tradnl" w:eastAsia="zh-CN"/>
        </w:rPr>
      </w:pPr>
      <w:r w:rsidRPr="003F0DA8">
        <w:rPr>
          <w:szCs w:val="24"/>
          <w:lang w:val="es-ES_tradnl" w:eastAsia="zh-CN"/>
        </w:rPr>
        <w:t xml:space="preserve">Los </w:t>
      </w:r>
      <w:r w:rsidR="00356148" w:rsidRPr="003F0DA8">
        <w:rPr>
          <w:szCs w:val="24"/>
          <w:lang w:val="es-ES_tradnl" w:eastAsia="zh-CN"/>
        </w:rPr>
        <w:t xml:space="preserve">miembros </w:t>
      </w:r>
      <w:r w:rsidRPr="003F0DA8">
        <w:rPr>
          <w:szCs w:val="24"/>
          <w:lang w:val="es-ES_tradnl" w:eastAsia="zh-CN"/>
        </w:rPr>
        <w:t xml:space="preserve">de la UIT reconocieron, tanto en las </w:t>
      </w:r>
      <w:r w:rsidRPr="003F0DA8">
        <w:rPr>
          <w:color w:val="000000"/>
          <w:lang w:val="es-ES_tradnl"/>
        </w:rPr>
        <w:t xml:space="preserve">Conferencias Mundiales de Desarrollo de las Telecomunicaciones </w:t>
      </w:r>
      <w:r w:rsidR="00F54C51" w:rsidRPr="003F0DA8">
        <w:rPr>
          <w:szCs w:val="24"/>
          <w:lang w:val="es-ES_tradnl" w:eastAsia="zh-CN"/>
        </w:rPr>
        <w:t>(</w:t>
      </w:r>
      <w:r w:rsidRPr="003F0DA8">
        <w:rPr>
          <w:szCs w:val="24"/>
          <w:lang w:val="es-ES_tradnl" w:eastAsia="zh-CN"/>
        </w:rPr>
        <w:t>CMDT</w:t>
      </w:r>
      <w:r w:rsidR="00F54C51" w:rsidRPr="003F0DA8">
        <w:rPr>
          <w:szCs w:val="24"/>
          <w:lang w:val="es-ES_tradnl" w:eastAsia="zh-CN"/>
        </w:rPr>
        <w:t xml:space="preserve">-14 </w:t>
      </w:r>
      <w:r w:rsidRPr="003F0DA8">
        <w:rPr>
          <w:szCs w:val="24"/>
          <w:lang w:val="es-ES_tradnl" w:eastAsia="zh-CN"/>
        </w:rPr>
        <w:t>y CMDT</w:t>
      </w:r>
      <w:r w:rsidR="00F54C51" w:rsidRPr="003F0DA8">
        <w:rPr>
          <w:szCs w:val="24"/>
          <w:lang w:val="es-ES_tradnl" w:eastAsia="zh-CN"/>
        </w:rPr>
        <w:t xml:space="preserve">-17) </w:t>
      </w:r>
      <w:r w:rsidRPr="003F0DA8">
        <w:rPr>
          <w:szCs w:val="24"/>
          <w:lang w:val="es-ES_tradnl" w:eastAsia="zh-CN"/>
        </w:rPr>
        <w:t xml:space="preserve">como en las Conferencias de Plenipotenciarios </w:t>
      </w:r>
      <w:r w:rsidR="00F54C51" w:rsidRPr="003F0DA8">
        <w:rPr>
          <w:szCs w:val="24"/>
          <w:lang w:val="es-ES_tradnl" w:eastAsia="zh-CN"/>
        </w:rPr>
        <w:t xml:space="preserve">(PP-14 </w:t>
      </w:r>
      <w:r w:rsidRPr="003F0DA8">
        <w:rPr>
          <w:szCs w:val="24"/>
          <w:lang w:val="es-ES_tradnl" w:eastAsia="zh-CN"/>
        </w:rPr>
        <w:t xml:space="preserve">y </w:t>
      </w:r>
      <w:r w:rsidR="00F54C51" w:rsidRPr="003F0DA8">
        <w:rPr>
          <w:szCs w:val="24"/>
          <w:lang w:val="es-ES_tradnl" w:eastAsia="zh-CN"/>
        </w:rPr>
        <w:t>PP-18)</w:t>
      </w:r>
      <w:r w:rsidRPr="003F0DA8">
        <w:rPr>
          <w:szCs w:val="24"/>
          <w:lang w:val="es-ES_tradnl" w:eastAsia="zh-CN"/>
        </w:rPr>
        <w:t xml:space="preserve">, que las telecomunicaciones/TIC, y en particular la tecnología móvil, </w:t>
      </w:r>
      <w:r w:rsidR="005E4602" w:rsidRPr="003F0DA8">
        <w:rPr>
          <w:color w:val="000000"/>
          <w:lang w:val="es-ES_tradnl"/>
        </w:rPr>
        <w:t>son</w:t>
      </w:r>
      <w:r w:rsidRPr="003F0DA8">
        <w:rPr>
          <w:color w:val="000000"/>
          <w:lang w:val="es-ES_tradnl"/>
        </w:rPr>
        <w:t xml:space="preserve"> la fuerza transformadora más potente de nuestro tiempo</w:t>
      </w:r>
      <w:r w:rsidR="00F54C51" w:rsidRPr="003F0DA8">
        <w:rPr>
          <w:szCs w:val="24"/>
          <w:lang w:val="es-ES_tradnl" w:eastAsia="zh-CN"/>
        </w:rPr>
        <w:t xml:space="preserve">. </w:t>
      </w:r>
      <w:r w:rsidR="00516BF0" w:rsidRPr="003F0DA8">
        <w:rPr>
          <w:szCs w:val="24"/>
          <w:lang w:val="es-ES_tradnl" w:eastAsia="zh-CN"/>
        </w:rPr>
        <w:t>Tiene</w:t>
      </w:r>
      <w:r w:rsidRPr="003F0DA8">
        <w:rPr>
          <w:szCs w:val="24"/>
          <w:lang w:val="es-ES_tradnl" w:eastAsia="zh-CN"/>
        </w:rPr>
        <w:t>n</w:t>
      </w:r>
      <w:r w:rsidR="00516BF0" w:rsidRPr="003F0DA8">
        <w:rPr>
          <w:szCs w:val="24"/>
          <w:lang w:val="es-ES_tradnl" w:eastAsia="zh-CN"/>
        </w:rPr>
        <w:t xml:space="preserve"> la capacidad de conectar las comunidades más aisladas con fuentes de información y servicios que pueden tener un impacto directo sobre su medio de subsistencia y su calidad de vida</w:t>
      </w:r>
      <w:r w:rsidR="00F54C51" w:rsidRPr="003F0DA8">
        <w:rPr>
          <w:szCs w:val="24"/>
          <w:lang w:val="es-ES_tradnl" w:eastAsia="zh-CN"/>
        </w:rPr>
        <w:t>.</w:t>
      </w:r>
      <w:r w:rsidR="005E4602" w:rsidRPr="003F0DA8">
        <w:rPr>
          <w:szCs w:val="24"/>
          <w:lang w:val="es-ES_tradnl" w:eastAsia="zh-CN"/>
        </w:rPr>
        <w:t xml:space="preserve"> </w:t>
      </w:r>
      <w:r w:rsidR="00F674BD" w:rsidRPr="003F0DA8">
        <w:rPr>
          <w:szCs w:val="24"/>
          <w:lang w:val="es-ES_tradnl" w:eastAsia="zh-CN"/>
        </w:rPr>
        <w:t xml:space="preserve">A raíz de la constante pertinencia de las Líneas de Acción de la CMSI y </w:t>
      </w:r>
      <w:r w:rsidR="005E4602" w:rsidRPr="003F0DA8">
        <w:rPr>
          <w:szCs w:val="24"/>
          <w:lang w:val="es-ES_tradnl" w:eastAsia="zh-CN"/>
        </w:rPr>
        <w:t>la</w:t>
      </w:r>
      <w:r w:rsidR="00F674BD" w:rsidRPr="003F0DA8">
        <w:rPr>
          <w:szCs w:val="24"/>
          <w:lang w:val="es-ES_tradnl" w:eastAsia="zh-CN"/>
        </w:rPr>
        <w:t xml:space="preserve"> adopción de los nuevos Objetivos de Desarrollo Sostenible, resulta </w:t>
      </w:r>
      <w:r w:rsidR="00F674BD" w:rsidRPr="003F0DA8">
        <w:rPr>
          <w:szCs w:val="24"/>
          <w:lang w:val="es-ES_tradnl" w:eastAsia="zh-CN"/>
        </w:rPr>
        <w:lastRenderedPageBreak/>
        <w:t>inevitable la integración de las innovaciones digitales en todos los sectores para alcanzar dichas metas en 2030</w:t>
      </w:r>
      <w:r w:rsidR="00F54C51" w:rsidRPr="003F0DA8">
        <w:rPr>
          <w:szCs w:val="24"/>
          <w:lang w:val="es-ES_tradnl" w:eastAsia="zh-CN"/>
        </w:rPr>
        <w:t>.</w:t>
      </w:r>
    </w:p>
    <w:p w:rsidR="00F54C51" w:rsidRPr="003F0DA8" w:rsidRDefault="005E4602" w:rsidP="00314547">
      <w:pPr>
        <w:spacing w:after="120"/>
        <w:rPr>
          <w:szCs w:val="24"/>
          <w:lang w:val="es-ES_tradnl" w:eastAsia="zh-CN"/>
        </w:rPr>
      </w:pPr>
      <w:r w:rsidRPr="003F0DA8">
        <w:rPr>
          <w:szCs w:val="24"/>
          <w:lang w:val="es-ES_tradnl" w:eastAsia="zh-CN"/>
        </w:rPr>
        <w:t>De conformidad con la</w:t>
      </w:r>
      <w:r w:rsidR="00F54C51" w:rsidRPr="003F0DA8">
        <w:rPr>
          <w:szCs w:val="24"/>
          <w:lang w:val="es-ES_tradnl" w:eastAsia="zh-CN"/>
        </w:rPr>
        <w:t xml:space="preserve"> </w:t>
      </w:r>
      <w:r w:rsidR="00740624" w:rsidRPr="003F0DA8">
        <w:rPr>
          <w:szCs w:val="24"/>
          <w:lang w:val="es-ES_tradnl" w:eastAsia="zh-CN"/>
        </w:rPr>
        <w:t>CMDT</w:t>
      </w:r>
      <w:r w:rsidR="00F54C51" w:rsidRPr="003F0DA8">
        <w:rPr>
          <w:szCs w:val="24"/>
          <w:lang w:val="es-ES_tradnl" w:eastAsia="zh-CN"/>
        </w:rPr>
        <w:t xml:space="preserve">-14 </w:t>
      </w:r>
      <w:r w:rsidR="00740624" w:rsidRPr="003F0DA8">
        <w:rPr>
          <w:szCs w:val="24"/>
          <w:lang w:val="es-ES_tradnl" w:eastAsia="zh-CN"/>
        </w:rPr>
        <w:t>y</w:t>
      </w:r>
      <w:r w:rsidR="00F54C51" w:rsidRPr="003F0DA8">
        <w:rPr>
          <w:szCs w:val="24"/>
          <w:lang w:val="es-ES_tradnl" w:eastAsia="zh-CN"/>
        </w:rPr>
        <w:t xml:space="preserve"> </w:t>
      </w:r>
      <w:r w:rsidR="00740624" w:rsidRPr="003F0DA8">
        <w:rPr>
          <w:szCs w:val="24"/>
          <w:lang w:val="es-ES_tradnl" w:eastAsia="zh-CN"/>
        </w:rPr>
        <w:t>CMDT</w:t>
      </w:r>
      <w:r w:rsidR="00F54C51" w:rsidRPr="003F0DA8">
        <w:rPr>
          <w:szCs w:val="24"/>
          <w:lang w:val="es-ES_tradnl" w:eastAsia="zh-CN"/>
        </w:rPr>
        <w:t xml:space="preserve">-17, </w:t>
      </w:r>
      <w:r w:rsidR="00740624" w:rsidRPr="003F0DA8">
        <w:rPr>
          <w:szCs w:val="24"/>
          <w:lang w:val="es-ES_tradnl" w:eastAsia="zh-CN"/>
        </w:rPr>
        <w:t xml:space="preserve">el principal objetivo </w:t>
      </w:r>
      <w:r w:rsidRPr="003F0DA8">
        <w:rPr>
          <w:szCs w:val="24"/>
          <w:lang w:val="es-ES_tradnl" w:eastAsia="zh-CN"/>
        </w:rPr>
        <w:t>del programa de servicios de telecomunicaciones/TIC y aplicaciones de las TIC del UIT</w:t>
      </w:r>
      <w:r w:rsidR="00F54C51" w:rsidRPr="003F0DA8">
        <w:rPr>
          <w:szCs w:val="24"/>
          <w:lang w:val="es-ES_tradnl" w:eastAsia="zh-CN"/>
        </w:rPr>
        <w:t xml:space="preserve">-D </w:t>
      </w:r>
      <w:r w:rsidR="00740624" w:rsidRPr="003F0DA8">
        <w:rPr>
          <w:szCs w:val="24"/>
          <w:lang w:val="es-ES_tradnl" w:eastAsia="zh-CN"/>
        </w:rPr>
        <w:t xml:space="preserve">es prestar ayuda a los </w:t>
      </w:r>
      <w:r w:rsidR="00356148" w:rsidRPr="003F0DA8">
        <w:rPr>
          <w:szCs w:val="24"/>
          <w:lang w:val="es-ES_tradnl" w:eastAsia="zh-CN"/>
        </w:rPr>
        <w:t xml:space="preserve">miembros </w:t>
      </w:r>
      <w:r w:rsidR="00740624" w:rsidRPr="003F0DA8">
        <w:rPr>
          <w:szCs w:val="24"/>
          <w:lang w:val="es-ES_tradnl" w:eastAsia="zh-CN"/>
        </w:rPr>
        <w:t xml:space="preserve">de la UIT, en colaboración y asociación con otras organizaciones de las Naciones Unidas y el sector privado, para fomentar la utilización de las telecomunicaciones/TIC en todas las vertientes del desarrollo de la sociedad de la información, y en particular en las zonas rurales y mal abastecidas, en pro del desarrollo sostenible y el logro de los Objetivos de Desarrollo del Sostenible (ODS) de las Naciones Unidas y la aplicación de las Líneas de Acción </w:t>
      </w:r>
      <w:r w:rsidR="004059EB" w:rsidRPr="003F0DA8">
        <w:rPr>
          <w:szCs w:val="24"/>
          <w:lang w:val="es-ES_tradnl" w:eastAsia="zh-CN"/>
        </w:rPr>
        <w:t xml:space="preserve">de </w:t>
      </w:r>
      <w:r w:rsidR="00740624" w:rsidRPr="003F0DA8">
        <w:rPr>
          <w:szCs w:val="24"/>
          <w:lang w:val="es-ES_tradnl" w:eastAsia="zh-CN"/>
        </w:rPr>
        <w:t>las metas de la Cumbre Mundial de las Sociedad de la Información (CMSI)</w:t>
      </w:r>
      <w:r w:rsidR="00F54C51" w:rsidRPr="003F0DA8">
        <w:rPr>
          <w:szCs w:val="24"/>
          <w:lang w:val="es-ES_tradnl" w:eastAsia="zh-CN"/>
        </w:rPr>
        <w:t>.</w:t>
      </w:r>
    </w:p>
    <w:p w:rsidR="00F54C51" w:rsidRPr="003F0DA8" w:rsidRDefault="004059EB" w:rsidP="00314547">
      <w:pPr>
        <w:spacing w:after="120"/>
        <w:rPr>
          <w:szCs w:val="24"/>
          <w:lang w:val="es-ES_tradnl" w:eastAsia="zh-CN"/>
        </w:rPr>
      </w:pPr>
      <w:r w:rsidRPr="003F0DA8">
        <w:rPr>
          <w:szCs w:val="24"/>
          <w:lang w:val="es-ES_tradnl" w:eastAsia="zh-CN"/>
        </w:rPr>
        <w:t xml:space="preserve">El programa tiene como objetivo proporcionar </w:t>
      </w:r>
      <w:r w:rsidR="00EB78DD" w:rsidRPr="003F0DA8">
        <w:rPr>
          <w:szCs w:val="24"/>
          <w:lang w:val="es-ES_tradnl" w:eastAsia="zh-CN"/>
        </w:rPr>
        <w:t xml:space="preserve">productos y servicios </w:t>
      </w:r>
      <w:r w:rsidR="00695CA5" w:rsidRPr="003F0DA8">
        <w:rPr>
          <w:szCs w:val="24"/>
          <w:lang w:val="es-ES_tradnl" w:eastAsia="zh-CN"/>
        </w:rPr>
        <w:t>del ámbito de las</w:t>
      </w:r>
      <w:r w:rsidR="00EB78DD" w:rsidRPr="003F0DA8">
        <w:rPr>
          <w:szCs w:val="24"/>
          <w:lang w:val="es-ES_tradnl" w:eastAsia="zh-CN"/>
        </w:rPr>
        <w:t xml:space="preserve"> políticas de telecomunicaciones/TIC en pro del desarrollo de la economía digital, las aplicaciones de TIC y las nuevas tecnologías, como pueden ser la compartición de información y el apoyo para su implantación, los estudios de evaluación y las herramientas</w:t>
      </w:r>
      <w:r w:rsidR="00F54C51" w:rsidRPr="003F0DA8">
        <w:rPr>
          <w:szCs w:val="24"/>
          <w:lang w:val="es-ES_tradnl" w:eastAsia="zh-CN"/>
        </w:rPr>
        <w:t xml:space="preserve"> (</w:t>
      </w:r>
      <w:r w:rsidR="00EB78DD" w:rsidRPr="003F0DA8">
        <w:rPr>
          <w:szCs w:val="24"/>
          <w:lang w:val="es-ES_tradnl" w:eastAsia="zh-CN"/>
        </w:rPr>
        <w:t xml:space="preserve">Producto </w:t>
      </w:r>
      <w:r w:rsidR="00F54C51" w:rsidRPr="003F0DA8">
        <w:rPr>
          <w:szCs w:val="24"/>
          <w:lang w:val="es-ES_tradnl" w:eastAsia="zh-CN"/>
        </w:rPr>
        <w:t>4.2).</w:t>
      </w:r>
    </w:p>
    <w:p w:rsidR="00F54C51" w:rsidRPr="003F0DA8" w:rsidRDefault="005C7E35" w:rsidP="00314547">
      <w:pPr>
        <w:pStyle w:val="Heading2"/>
        <w:rPr>
          <w:lang w:val="es-ES_tradnl"/>
        </w:rPr>
      </w:pPr>
      <w:r w:rsidRPr="003F0DA8">
        <w:rPr>
          <w:lang w:val="es-ES_tradnl"/>
        </w:rPr>
        <w:t>2.2</w:t>
      </w:r>
      <w:r w:rsidRPr="003F0DA8">
        <w:rPr>
          <w:lang w:val="es-ES_tradnl"/>
        </w:rPr>
        <w:tab/>
        <w:t>Principales actividades y resultados</w:t>
      </w:r>
    </w:p>
    <w:p w:rsidR="00F54C51" w:rsidRPr="003F0DA8" w:rsidRDefault="004C4ACC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>E</w:t>
      </w:r>
      <w:r w:rsidR="00F54C51" w:rsidRPr="003F0DA8">
        <w:rPr>
          <w:szCs w:val="24"/>
          <w:lang w:val="es-ES_tradnl"/>
        </w:rPr>
        <w:t xml:space="preserve">n 2018, </w:t>
      </w:r>
      <w:r w:rsidRPr="003F0DA8">
        <w:rPr>
          <w:szCs w:val="24"/>
          <w:lang w:val="es-ES_tradnl"/>
        </w:rPr>
        <w:t xml:space="preserve">la </w:t>
      </w:r>
      <w:r w:rsidR="00F54C51" w:rsidRPr="003F0DA8">
        <w:rPr>
          <w:szCs w:val="24"/>
          <w:lang w:val="es-ES_tradnl"/>
        </w:rPr>
        <w:t xml:space="preserve">BDT </w:t>
      </w:r>
      <w:r w:rsidRPr="003F0DA8">
        <w:rPr>
          <w:szCs w:val="24"/>
          <w:lang w:val="es-ES_tradnl"/>
        </w:rPr>
        <w:t>reali</w:t>
      </w:r>
      <w:r w:rsidR="00562721" w:rsidRPr="003F0DA8">
        <w:rPr>
          <w:szCs w:val="24"/>
          <w:lang w:val="es-ES_tradnl"/>
        </w:rPr>
        <w:t>z</w:t>
      </w:r>
      <w:r w:rsidRPr="003F0DA8">
        <w:rPr>
          <w:szCs w:val="24"/>
          <w:lang w:val="es-ES_tradnl"/>
        </w:rPr>
        <w:t>ó varias actividades principales importantes, a saber</w:t>
      </w:r>
      <w:r w:rsidR="00F54C51" w:rsidRPr="003F0DA8">
        <w:rPr>
          <w:szCs w:val="24"/>
          <w:lang w:val="es-ES_tradnl"/>
        </w:rPr>
        <w:t>:</w:t>
      </w:r>
    </w:p>
    <w:p w:rsidR="00F54C51" w:rsidRPr="003F0DA8" w:rsidRDefault="004C4ACC" w:rsidP="00314547">
      <w:pPr>
        <w:pStyle w:val="Headingb"/>
        <w:rPr>
          <w:lang w:val="es-ES_tradnl"/>
        </w:rPr>
      </w:pPr>
      <w:r w:rsidRPr="003F0DA8">
        <w:rPr>
          <w:lang w:val="es-ES_tradnl"/>
        </w:rPr>
        <w:t>Respaldar</w:t>
      </w:r>
      <w:r w:rsidR="00790083" w:rsidRPr="003F0DA8">
        <w:rPr>
          <w:lang w:val="es-ES_tradnl"/>
        </w:rPr>
        <w:t xml:space="preserve"> la elaboración de marcos nacionales de planificación estratégica que fomenten la economía digital y conjuntos de herramientas</w:t>
      </w:r>
      <w:r w:rsidRPr="003F0DA8">
        <w:rPr>
          <w:lang w:val="es-ES_tradnl"/>
        </w:rPr>
        <w:t xml:space="preserve"> asociados</w:t>
      </w:r>
    </w:p>
    <w:p w:rsidR="00F54C51" w:rsidRPr="003F0DA8" w:rsidRDefault="00562721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>Uno de los pilares centrales del programa de aplicaciones de las TIC es ayudar a los países a formular sus ciberestrategias sectoriales nacionales, que básicamente definen un plan y una hoja de ruta para la transformación digital sectorial</w:t>
      </w:r>
      <w:r w:rsidR="00613A22" w:rsidRPr="003F0DA8">
        <w:rPr>
          <w:szCs w:val="24"/>
          <w:lang w:val="es-ES_tradnl"/>
        </w:rPr>
        <w:t>.</w:t>
      </w:r>
    </w:p>
    <w:p w:rsidR="00F54C51" w:rsidRPr="003F0DA8" w:rsidRDefault="00562721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 xml:space="preserve">En el sector sanitario, la guía </w:t>
      </w:r>
      <w:r w:rsidR="006465EE" w:rsidRPr="003F0DA8">
        <w:rPr>
          <w:i/>
          <w:iCs/>
          <w:lang w:val="es-ES_tradnl"/>
        </w:rPr>
        <w:t>National eHealth Strategy Toolkit</w:t>
      </w:r>
      <w:r w:rsidRPr="003F0DA8">
        <w:rPr>
          <w:szCs w:val="24"/>
          <w:lang w:val="es-ES_tradnl"/>
        </w:rPr>
        <w:t xml:space="preserve">, publicada conjuntamente por la UIT y la OMS en </w:t>
      </w:r>
      <w:r w:rsidR="00F54C51" w:rsidRPr="003F0DA8">
        <w:rPr>
          <w:szCs w:val="24"/>
          <w:lang w:val="es-ES_tradnl"/>
        </w:rPr>
        <w:t>2012</w:t>
      </w:r>
      <w:r w:rsidRPr="003F0DA8">
        <w:rPr>
          <w:szCs w:val="24"/>
          <w:lang w:val="es-ES_tradnl"/>
        </w:rPr>
        <w:t xml:space="preserve">, se convirtió en la herramienta de referencia para formular una estrategia sanitaria </w:t>
      </w:r>
      <w:r w:rsidR="00F54C51" w:rsidRPr="003F0DA8">
        <w:rPr>
          <w:szCs w:val="24"/>
          <w:lang w:val="es-ES_tradnl"/>
        </w:rPr>
        <w:t xml:space="preserve">digital. </w:t>
      </w:r>
      <w:r w:rsidRPr="003F0DA8">
        <w:rPr>
          <w:szCs w:val="24"/>
          <w:lang w:val="es-ES_tradnl"/>
        </w:rPr>
        <w:t>Se ha utilizado en muchos países del mundo y en casi todas las regiones.</w:t>
      </w:r>
      <w:r w:rsidR="006465EE" w:rsidRPr="003F0DA8">
        <w:rPr>
          <w:szCs w:val="24"/>
          <w:lang w:val="es-ES_tradnl"/>
        </w:rPr>
        <w:t xml:space="preserve"> A</w:t>
      </w:r>
      <w:r w:rsidRPr="003F0DA8">
        <w:rPr>
          <w:szCs w:val="24"/>
          <w:lang w:val="es-ES_tradnl"/>
        </w:rPr>
        <w:t xml:space="preserve">lgunos de los países que se apoyaron en ella </w:t>
      </w:r>
      <w:r w:rsidR="006465EE" w:rsidRPr="003F0DA8">
        <w:rPr>
          <w:szCs w:val="24"/>
          <w:lang w:val="es-ES_tradnl"/>
        </w:rPr>
        <w:t xml:space="preserve">en 2018 </w:t>
      </w:r>
      <w:r w:rsidRPr="003F0DA8">
        <w:rPr>
          <w:szCs w:val="24"/>
          <w:lang w:val="es-ES_tradnl"/>
        </w:rPr>
        <w:t>fueron el Senegal, Benin, Madagascar, Ní</w:t>
      </w:r>
      <w:r w:rsidR="00F54C51" w:rsidRPr="003F0DA8">
        <w:rPr>
          <w:szCs w:val="24"/>
          <w:lang w:val="es-ES_tradnl"/>
        </w:rPr>
        <w:t>ger</w:t>
      </w:r>
      <w:r w:rsidR="00FD3259" w:rsidRPr="003F0DA8">
        <w:rPr>
          <w:szCs w:val="24"/>
          <w:lang w:val="es-ES_tradnl"/>
        </w:rPr>
        <w:t xml:space="preserve"> y </w:t>
      </w:r>
      <w:r w:rsidR="00F54C51" w:rsidRPr="003F0DA8">
        <w:rPr>
          <w:szCs w:val="24"/>
          <w:lang w:val="es-ES_tradnl"/>
        </w:rPr>
        <w:t>Lesotho</w:t>
      </w:r>
      <w:r w:rsidRPr="003F0DA8">
        <w:rPr>
          <w:szCs w:val="24"/>
          <w:lang w:val="es-ES_tradnl"/>
        </w:rPr>
        <w:t>, con la ayuda de la UIT y la OMS</w:t>
      </w:r>
      <w:r w:rsidR="00F54C51" w:rsidRPr="003F0DA8">
        <w:rPr>
          <w:szCs w:val="24"/>
          <w:lang w:val="es-ES_tradnl"/>
        </w:rPr>
        <w:t>.</w:t>
      </w:r>
    </w:p>
    <w:p w:rsidR="00F54C51" w:rsidRPr="003F0DA8" w:rsidRDefault="007600DB" w:rsidP="00977F5F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 xml:space="preserve">En el sector agrícola, ya se ha utilizado la guía </w:t>
      </w:r>
      <w:r w:rsidR="0058327B" w:rsidRPr="003F0DA8">
        <w:rPr>
          <w:szCs w:val="24"/>
          <w:lang w:val="es-ES_tradnl"/>
        </w:rPr>
        <w:t xml:space="preserve">de la UIT y la FAO </w:t>
      </w:r>
      <w:r w:rsidR="00F54C51" w:rsidRPr="003F0DA8">
        <w:rPr>
          <w:i/>
          <w:iCs/>
          <w:szCs w:val="24"/>
          <w:lang w:val="es-ES_tradnl"/>
        </w:rPr>
        <w:t xml:space="preserve">e-Agriculture </w:t>
      </w:r>
      <w:r w:rsidR="0058327B" w:rsidRPr="003F0DA8">
        <w:rPr>
          <w:i/>
          <w:iCs/>
          <w:szCs w:val="24"/>
          <w:lang w:val="es-ES_tradnl"/>
        </w:rPr>
        <w:t>S</w:t>
      </w:r>
      <w:r w:rsidR="00F54C51" w:rsidRPr="003F0DA8">
        <w:rPr>
          <w:i/>
          <w:iCs/>
          <w:szCs w:val="24"/>
          <w:lang w:val="es-ES_tradnl"/>
        </w:rPr>
        <w:t xml:space="preserve">trategy </w:t>
      </w:r>
      <w:r w:rsidR="0058327B" w:rsidRPr="003F0DA8">
        <w:rPr>
          <w:i/>
          <w:iCs/>
          <w:szCs w:val="24"/>
          <w:lang w:val="es-ES_tradnl"/>
        </w:rPr>
        <w:t>G</w:t>
      </w:r>
      <w:r w:rsidR="00F54C51" w:rsidRPr="003F0DA8">
        <w:rPr>
          <w:i/>
          <w:iCs/>
          <w:szCs w:val="24"/>
          <w:lang w:val="es-ES_tradnl"/>
        </w:rPr>
        <w:t>uide</w:t>
      </w:r>
      <w:r w:rsidR="00F54C51" w:rsidRPr="003F0DA8">
        <w:rPr>
          <w:szCs w:val="24"/>
          <w:lang w:val="es-ES_tradnl"/>
        </w:rPr>
        <w:t xml:space="preserve"> </w:t>
      </w:r>
      <w:r w:rsidR="0058327B" w:rsidRPr="003F0DA8">
        <w:rPr>
          <w:szCs w:val="24"/>
          <w:lang w:val="es-ES_tradnl"/>
        </w:rPr>
        <w:t xml:space="preserve">en varios países, como Filipinas, </w:t>
      </w:r>
      <w:r w:rsidR="00F54C51" w:rsidRPr="003F0DA8">
        <w:rPr>
          <w:szCs w:val="24"/>
          <w:lang w:val="es-ES_tradnl"/>
        </w:rPr>
        <w:t>Sri Lanka, Bhut</w:t>
      </w:r>
      <w:r w:rsidR="0058327B" w:rsidRPr="003F0DA8">
        <w:rPr>
          <w:szCs w:val="24"/>
          <w:lang w:val="es-ES_tradnl"/>
        </w:rPr>
        <w:t>án, Fiji y</w:t>
      </w:r>
      <w:r w:rsidR="00F54C51" w:rsidRPr="003F0DA8">
        <w:rPr>
          <w:szCs w:val="24"/>
          <w:lang w:val="es-ES_tradnl"/>
        </w:rPr>
        <w:t xml:space="preserve"> Papua </w:t>
      </w:r>
      <w:r w:rsidR="0058327B" w:rsidRPr="003F0DA8">
        <w:rPr>
          <w:szCs w:val="24"/>
          <w:lang w:val="es-ES_tradnl"/>
        </w:rPr>
        <w:t xml:space="preserve">Nueva </w:t>
      </w:r>
      <w:r w:rsidR="00F54C51" w:rsidRPr="003F0DA8">
        <w:rPr>
          <w:szCs w:val="24"/>
          <w:lang w:val="es-ES_tradnl"/>
        </w:rPr>
        <w:t xml:space="preserve">Guinea. </w:t>
      </w:r>
      <w:r w:rsidR="006034FC" w:rsidRPr="003F0DA8">
        <w:rPr>
          <w:szCs w:val="24"/>
          <w:lang w:val="es-ES_tradnl"/>
        </w:rPr>
        <w:t xml:space="preserve">Con la ayuda de la UIT y la FAO, otros países están haciéndolo ahora, entre ellos </w:t>
      </w:r>
      <w:r w:rsidR="00F54C51" w:rsidRPr="003F0DA8">
        <w:rPr>
          <w:szCs w:val="24"/>
          <w:lang w:val="es-ES_tradnl"/>
        </w:rPr>
        <w:t xml:space="preserve">Benin, </w:t>
      </w:r>
      <w:r w:rsidR="006034FC" w:rsidRPr="003F0DA8">
        <w:rPr>
          <w:szCs w:val="24"/>
          <w:lang w:val="es-ES_tradnl"/>
        </w:rPr>
        <w:t>varios países del Caribe, Pakistá</w:t>
      </w:r>
      <w:r w:rsidR="00F54C51" w:rsidRPr="003F0DA8">
        <w:rPr>
          <w:szCs w:val="24"/>
          <w:lang w:val="es-ES_tradnl"/>
        </w:rPr>
        <w:t xml:space="preserve">n </w:t>
      </w:r>
      <w:r w:rsidR="00977F5F" w:rsidRPr="003F0DA8">
        <w:rPr>
          <w:szCs w:val="24"/>
          <w:lang w:val="es-ES_tradnl"/>
        </w:rPr>
        <w:t>y </w:t>
      </w:r>
      <w:r w:rsidR="00F54C51" w:rsidRPr="003F0DA8">
        <w:rPr>
          <w:szCs w:val="24"/>
          <w:lang w:val="es-ES_tradnl"/>
        </w:rPr>
        <w:t>Afganist</w:t>
      </w:r>
      <w:r w:rsidR="006034FC" w:rsidRPr="003F0DA8">
        <w:rPr>
          <w:szCs w:val="24"/>
          <w:lang w:val="es-ES_tradnl"/>
        </w:rPr>
        <w:t>á</w:t>
      </w:r>
      <w:r w:rsidR="00F54C51" w:rsidRPr="003F0DA8">
        <w:rPr>
          <w:szCs w:val="24"/>
          <w:lang w:val="es-ES_tradnl"/>
        </w:rPr>
        <w:t>n.</w:t>
      </w:r>
    </w:p>
    <w:p w:rsidR="00F54C51" w:rsidRPr="003F0DA8" w:rsidRDefault="00982E3B" w:rsidP="00D966F1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>En colaboración con la UNESCO, la BDT está realizando un examen de las políticas de aprendizaje inteligente de Sudá</w:t>
      </w:r>
      <w:r w:rsidR="00D966F1" w:rsidRPr="003F0DA8">
        <w:rPr>
          <w:szCs w:val="24"/>
          <w:lang w:val="es-ES_tradnl"/>
        </w:rPr>
        <w:t>n.</w:t>
      </w:r>
    </w:p>
    <w:p w:rsidR="00F54C51" w:rsidRPr="003F0DA8" w:rsidRDefault="00982E3B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>En principio, estas estrategias proporcionan al país un completo conjunto de actividades necesarias para poner en marcha y mantener el proceso de tr</w:t>
      </w:r>
      <w:r w:rsidR="00440A30" w:rsidRPr="003F0DA8">
        <w:rPr>
          <w:szCs w:val="24"/>
          <w:lang w:val="es-ES_tradnl"/>
        </w:rPr>
        <w:t>ansformación de los sectores (o </w:t>
      </w:r>
      <w:r w:rsidRPr="003F0DA8">
        <w:rPr>
          <w:szCs w:val="24"/>
          <w:lang w:val="es-ES_tradnl"/>
        </w:rPr>
        <w:t>entre sectores) por medio de herramientas digitales</w:t>
      </w:r>
      <w:r w:rsidR="00613A22" w:rsidRPr="003F0DA8">
        <w:rPr>
          <w:szCs w:val="24"/>
          <w:lang w:val="es-ES_tradnl"/>
        </w:rPr>
        <w:t>.</w:t>
      </w:r>
    </w:p>
    <w:p w:rsidR="00F54C51" w:rsidRPr="003F0DA8" w:rsidRDefault="00A73003" w:rsidP="001E1DCB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>E</w:t>
      </w:r>
      <w:r w:rsidR="00F54C51" w:rsidRPr="003F0DA8">
        <w:rPr>
          <w:szCs w:val="24"/>
          <w:lang w:val="es-ES_tradnl"/>
        </w:rPr>
        <w:t xml:space="preserve">n 2019, </w:t>
      </w:r>
      <w:r w:rsidRPr="003F0DA8">
        <w:rPr>
          <w:szCs w:val="24"/>
          <w:lang w:val="es-ES_tradnl"/>
        </w:rPr>
        <w:t xml:space="preserve">el programa de aplicaciones de las TIC trabajará con </w:t>
      </w:r>
      <w:r w:rsidR="00F54C51" w:rsidRPr="003F0DA8">
        <w:rPr>
          <w:szCs w:val="24"/>
          <w:lang w:val="es-ES_tradnl"/>
        </w:rPr>
        <w:t xml:space="preserve">Papua </w:t>
      </w:r>
      <w:r w:rsidRPr="003F0DA8">
        <w:rPr>
          <w:szCs w:val="24"/>
          <w:lang w:val="es-ES_tradnl"/>
        </w:rPr>
        <w:t xml:space="preserve">Nueva </w:t>
      </w:r>
      <w:r w:rsidR="00F54C51" w:rsidRPr="003F0DA8">
        <w:rPr>
          <w:szCs w:val="24"/>
          <w:lang w:val="es-ES_tradnl"/>
        </w:rPr>
        <w:t xml:space="preserve">Guinea </w:t>
      </w:r>
      <w:r w:rsidRPr="003F0DA8">
        <w:rPr>
          <w:szCs w:val="24"/>
          <w:lang w:val="es-ES_tradnl"/>
        </w:rPr>
        <w:t xml:space="preserve">para elaborar un plan maestro de cibergobierno utilizando el </w:t>
      </w:r>
      <w:r w:rsidR="00EB6B5E" w:rsidRPr="003F0DA8">
        <w:rPr>
          <w:szCs w:val="24"/>
          <w:lang w:val="es-ES_tradnl"/>
        </w:rPr>
        <w:t>"</w:t>
      </w:r>
      <w:r w:rsidRPr="003F0DA8">
        <w:rPr>
          <w:szCs w:val="24"/>
          <w:lang w:val="es-ES_tradnl"/>
        </w:rPr>
        <w:t>marco de inversiones digitales a favor de los ODS</w:t>
      </w:r>
      <w:r w:rsidR="00EB6B5E" w:rsidRPr="003F0DA8">
        <w:rPr>
          <w:szCs w:val="24"/>
          <w:lang w:val="es-ES_tradnl"/>
        </w:rPr>
        <w:t>"</w:t>
      </w:r>
      <w:r w:rsidRPr="003F0DA8">
        <w:rPr>
          <w:szCs w:val="24"/>
          <w:lang w:val="es-ES_tradnl"/>
        </w:rPr>
        <w:t xml:space="preserve">, que ha sido </w:t>
      </w:r>
      <w:r w:rsidR="002D142C" w:rsidRPr="003F0DA8">
        <w:rPr>
          <w:szCs w:val="24"/>
          <w:lang w:val="es-ES_tradnl"/>
        </w:rPr>
        <w:t>desarrollado</w:t>
      </w:r>
      <w:r w:rsidRPr="003F0DA8">
        <w:rPr>
          <w:szCs w:val="24"/>
          <w:lang w:val="es-ES_tradnl"/>
        </w:rPr>
        <w:t xml:space="preserve"> recientemente en colaboración con la </w:t>
      </w:r>
      <w:r w:rsidR="00F54C51" w:rsidRPr="003F0DA8">
        <w:rPr>
          <w:szCs w:val="24"/>
          <w:lang w:val="es-ES_tradnl"/>
        </w:rPr>
        <w:t>Digital Impact Alliance (DIAL)</w:t>
      </w:r>
      <w:r w:rsidR="00F54C51" w:rsidRPr="003F0DA8">
        <w:rPr>
          <w:i/>
          <w:iCs/>
          <w:szCs w:val="24"/>
          <w:lang w:val="es-ES_tradnl"/>
        </w:rPr>
        <w:t>.</w:t>
      </w:r>
    </w:p>
    <w:p w:rsidR="00F54C51" w:rsidRPr="003F0DA8" w:rsidRDefault="00CE625D" w:rsidP="00314547">
      <w:pPr>
        <w:pStyle w:val="Headingb"/>
        <w:rPr>
          <w:lang w:val="es-ES_tradnl"/>
        </w:rPr>
      </w:pPr>
      <w:r w:rsidRPr="003F0DA8">
        <w:rPr>
          <w:lang w:val="es-ES_tradnl"/>
        </w:rPr>
        <w:lastRenderedPageBreak/>
        <w:t>Apoyar</w:t>
      </w:r>
      <w:r w:rsidR="002F266C" w:rsidRPr="003F0DA8">
        <w:rPr>
          <w:lang w:val="es-ES_tradnl"/>
        </w:rPr>
        <w:t xml:space="preserve"> el despliegue de aplicaciones móviles/TIC que mejoren la prestación de servicios de valor añadido en esferas de alto potencial, como la cibersalud, incluida la salud móvil, la educación, la agricultura</w:t>
      </w:r>
    </w:p>
    <w:p w:rsidR="00F54C51" w:rsidRPr="003F0DA8" w:rsidRDefault="00A12F37" w:rsidP="00BB438C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>Además, el programa de aplicaciones de las TIC trabaja con los pa</w:t>
      </w:r>
      <w:r w:rsidR="00966C1C" w:rsidRPr="003F0DA8">
        <w:rPr>
          <w:szCs w:val="24"/>
          <w:lang w:val="es-ES_tradnl"/>
        </w:rPr>
        <w:t xml:space="preserve">íses para ayudar en la </w:t>
      </w:r>
      <w:r w:rsidR="00BB438C" w:rsidRPr="003F0DA8">
        <w:rPr>
          <w:szCs w:val="24"/>
          <w:lang w:val="es-ES_tradnl"/>
        </w:rPr>
        <w:t>"</w:t>
      </w:r>
      <w:r w:rsidR="00966C1C" w:rsidRPr="003F0DA8">
        <w:rPr>
          <w:szCs w:val="24"/>
          <w:lang w:val="es-ES_tradnl"/>
        </w:rPr>
        <w:t>ejecución</w:t>
      </w:r>
      <w:r w:rsidR="00BB438C" w:rsidRPr="003F0DA8">
        <w:rPr>
          <w:szCs w:val="24"/>
          <w:lang w:val="es-ES_tradnl"/>
        </w:rPr>
        <w:t>"</w:t>
      </w:r>
      <w:r w:rsidR="00966C1C" w:rsidRPr="003F0DA8">
        <w:rPr>
          <w:szCs w:val="24"/>
          <w:lang w:val="es-ES_tradnl"/>
        </w:rPr>
        <w:t xml:space="preserve"> de esas estrategias</w:t>
      </w:r>
      <w:r w:rsidR="00F54C51" w:rsidRPr="003F0DA8">
        <w:rPr>
          <w:szCs w:val="24"/>
          <w:lang w:val="es-ES_tradnl"/>
        </w:rPr>
        <w:t xml:space="preserve">, </w:t>
      </w:r>
      <w:r w:rsidR="00966C1C" w:rsidRPr="003F0DA8">
        <w:rPr>
          <w:szCs w:val="24"/>
          <w:lang w:val="es-ES_tradnl"/>
        </w:rPr>
        <w:t xml:space="preserve">desarrollando programas para, por ejemplo, crear una aplicación basada en </w:t>
      </w:r>
      <w:r w:rsidR="007C499A" w:rsidRPr="003F0DA8">
        <w:rPr>
          <w:szCs w:val="24"/>
          <w:lang w:val="es-ES_tradnl"/>
        </w:rPr>
        <w:t xml:space="preserve">la tecnología de </w:t>
      </w:r>
      <w:r w:rsidR="00966C1C" w:rsidRPr="003F0DA8">
        <w:rPr>
          <w:szCs w:val="24"/>
          <w:lang w:val="es-ES_tradnl"/>
        </w:rPr>
        <w:t>cadena de bloques para el seguimiento de los cerdos en Papua Nueva Guinea, poner en marcha varios proyectos de salud móvil a través del programa conjunto UIT/OMS sobre utilización de las tecnologías móvil</w:t>
      </w:r>
      <w:r w:rsidR="00405664" w:rsidRPr="003F0DA8">
        <w:rPr>
          <w:szCs w:val="24"/>
          <w:lang w:val="es-ES_tradnl"/>
        </w:rPr>
        <w:t>es</w:t>
      </w:r>
      <w:r w:rsidR="00966C1C" w:rsidRPr="003F0DA8">
        <w:rPr>
          <w:szCs w:val="24"/>
          <w:lang w:val="es-ES_tradnl"/>
        </w:rPr>
        <w:t xml:space="preserve"> en las enfermedades no transmisibles</w:t>
      </w:r>
      <w:r w:rsidR="00BB438C" w:rsidRPr="003F0DA8">
        <w:rPr>
          <w:szCs w:val="24"/>
          <w:lang w:val="es-ES_tradnl"/>
        </w:rPr>
        <w:t xml:space="preserve"> (</w:t>
      </w:r>
      <w:r w:rsidR="00BB438C" w:rsidRPr="003F0DA8">
        <w:rPr>
          <w:i/>
          <w:iCs/>
          <w:szCs w:val="24"/>
          <w:lang w:val="es-ES_tradnl"/>
        </w:rPr>
        <w:t>Be </w:t>
      </w:r>
      <w:r w:rsidR="00F54C51" w:rsidRPr="003F0DA8">
        <w:rPr>
          <w:i/>
          <w:iCs/>
          <w:szCs w:val="24"/>
          <w:lang w:val="es-ES_tradnl"/>
        </w:rPr>
        <w:t>Healthy, Be Mobile</w:t>
      </w:r>
      <w:r w:rsidR="00F54C51" w:rsidRPr="003F0DA8">
        <w:rPr>
          <w:szCs w:val="24"/>
          <w:lang w:val="es-ES_tradnl"/>
        </w:rPr>
        <w:t xml:space="preserve">), </w:t>
      </w:r>
      <w:r w:rsidR="008C2484" w:rsidRPr="003F0DA8">
        <w:rPr>
          <w:szCs w:val="24"/>
          <w:lang w:val="es-ES_tradnl"/>
        </w:rPr>
        <w:t>aplicar</w:t>
      </w:r>
      <w:r w:rsidR="00966C1C" w:rsidRPr="003F0DA8">
        <w:rPr>
          <w:szCs w:val="24"/>
          <w:lang w:val="es-ES_tradnl"/>
        </w:rPr>
        <w:t xml:space="preserve"> el proyecto </w:t>
      </w:r>
      <w:r w:rsidR="000B563A" w:rsidRPr="003F0DA8">
        <w:rPr>
          <w:i/>
          <w:iCs/>
          <w:szCs w:val="24"/>
          <w:lang w:val="es-ES_tradnl"/>
        </w:rPr>
        <w:t>Smart Villages</w:t>
      </w:r>
      <w:r w:rsidR="000B563A" w:rsidRPr="003F0DA8">
        <w:rPr>
          <w:szCs w:val="24"/>
          <w:lang w:val="es-ES_tradnl"/>
        </w:rPr>
        <w:t xml:space="preserve"> </w:t>
      </w:r>
      <w:r w:rsidR="00966C1C" w:rsidRPr="003F0DA8">
        <w:rPr>
          <w:szCs w:val="24"/>
          <w:lang w:val="es-ES_tradnl"/>
        </w:rPr>
        <w:t>e</w:t>
      </w:r>
      <w:r w:rsidR="000B563A" w:rsidRPr="003F0DA8">
        <w:rPr>
          <w:szCs w:val="24"/>
          <w:lang w:val="es-ES_tradnl"/>
        </w:rPr>
        <w:t>n N</w:t>
      </w:r>
      <w:r w:rsidR="00966C1C" w:rsidRPr="003F0DA8">
        <w:rPr>
          <w:szCs w:val="24"/>
          <w:lang w:val="es-ES_tradnl"/>
        </w:rPr>
        <w:t>í</w:t>
      </w:r>
      <w:r w:rsidR="000B563A" w:rsidRPr="003F0DA8">
        <w:rPr>
          <w:szCs w:val="24"/>
          <w:lang w:val="es-ES_tradnl"/>
        </w:rPr>
        <w:t>ger, etc.</w:t>
      </w:r>
      <w:r w:rsidR="00F54C51" w:rsidRPr="003F0DA8">
        <w:rPr>
          <w:szCs w:val="24"/>
          <w:lang w:val="es-ES_tradnl"/>
        </w:rPr>
        <w:t> </w:t>
      </w:r>
      <w:r w:rsidR="00966C1C" w:rsidRPr="003F0DA8">
        <w:rPr>
          <w:szCs w:val="24"/>
          <w:lang w:val="es-ES_tradnl"/>
        </w:rPr>
        <w:t>El programa también presta asistencia a los países para la elaboración de requisitos técnicos de ejecuci</w:t>
      </w:r>
      <w:r w:rsidR="007D1F0D" w:rsidRPr="003F0DA8">
        <w:rPr>
          <w:szCs w:val="24"/>
          <w:lang w:val="es-ES_tradnl"/>
        </w:rPr>
        <w:t>ón detallados;</w:t>
      </w:r>
      <w:r w:rsidR="00966C1C" w:rsidRPr="003F0DA8">
        <w:rPr>
          <w:szCs w:val="24"/>
          <w:lang w:val="es-ES_tradnl"/>
        </w:rPr>
        <w:t xml:space="preserve"> por ejemplo, </w:t>
      </w:r>
      <w:r w:rsidR="007D1F0D" w:rsidRPr="003F0DA8">
        <w:rPr>
          <w:szCs w:val="24"/>
          <w:lang w:val="es-ES_tradnl"/>
        </w:rPr>
        <w:t>ha ayudado a Lesotho a preparar su marco nacional de interoperabilidad y arquitectura empresarial para la cibersanidad</w:t>
      </w:r>
      <w:r w:rsidR="007C499A" w:rsidRPr="003F0DA8">
        <w:rPr>
          <w:szCs w:val="24"/>
          <w:lang w:val="es-ES_tradnl"/>
        </w:rPr>
        <w:t>,</w:t>
      </w:r>
      <w:r w:rsidR="007D1F0D" w:rsidRPr="003F0DA8">
        <w:rPr>
          <w:szCs w:val="24"/>
          <w:lang w:val="es-ES_tradnl"/>
        </w:rPr>
        <w:t xml:space="preserve"> </w:t>
      </w:r>
      <w:r w:rsidR="007C499A" w:rsidRPr="003F0DA8">
        <w:rPr>
          <w:szCs w:val="24"/>
          <w:lang w:val="es-ES_tradnl"/>
        </w:rPr>
        <w:t xml:space="preserve">basado en </w:t>
      </w:r>
      <w:r w:rsidR="007D1F0D" w:rsidRPr="003F0DA8">
        <w:rPr>
          <w:szCs w:val="24"/>
          <w:lang w:val="es-ES_tradnl"/>
        </w:rPr>
        <w:t>su estrategia nacional de ciberseguridad</w:t>
      </w:r>
      <w:r w:rsidR="00F54C51" w:rsidRPr="003F0DA8">
        <w:rPr>
          <w:szCs w:val="24"/>
          <w:lang w:val="es-ES_tradnl"/>
        </w:rPr>
        <w:t>.</w:t>
      </w:r>
    </w:p>
    <w:p w:rsidR="00F54C51" w:rsidRPr="003F0DA8" w:rsidRDefault="009A2943" w:rsidP="00314547">
      <w:pPr>
        <w:pStyle w:val="Headingb"/>
        <w:rPr>
          <w:lang w:val="es-ES_tradnl"/>
        </w:rPr>
      </w:pPr>
      <w:r w:rsidRPr="003F0DA8">
        <w:rPr>
          <w:lang w:val="es-ES_tradnl"/>
        </w:rPr>
        <w:t>Realizar</w:t>
      </w:r>
      <w:r w:rsidR="00817AD5" w:rsidRPr="003F0DA8">
        <w:rPr>
          <w:lang w:val="es-ES_tradnl"/>
        </w:rPr>
        <w:t xml:space="preserve"> </w:t>
      </w:r>
      <w:r w:rsidR="006154B8" w:rsidRPr="003F0DA8">
        <w:rPr>
          <w:lang w:val="es-ES_tradnl"/>
        </w:rPr>
        <w:t>estudios detallados y facilitar</w:t>
      </w:r>
      <w:r w:rsidR="00817AD5" w:rsidRPr="003F0DA8">
        <w:rPr>
          <w:lang w:val="es-ES_tradnl"/>
        </w:rPr>
        <w:t xml:space="preserve"> el intercambio de conocimientos y prácticas idóneas</w:t>
      </w:r>
    </w:p>
    <w:p w:rsidR="00F54C51" w:rsidRPr="003F0DA8" w:rsidRDefault="006154B8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 xml:space="preserve">Además de apoyar la formulación de estrategias, se realizan otras actividades encaminadas a crear capacidad de liderazgo nacional en el ámbito de la cibersanidad; por ejemplo, se </w:t>
      </w:r>
      <w:r w:rsidR="008A78FB" w:rsidRPr="003F0DA8">
        <w:rPr>
          <w:szCs w:val="24"/>
          <w:lang w:val="es-ES_tradnl"/>
        </w:rPr>
        <w:t>organizó</w:t>
      </w:r>
      <w:r w:rsidRPr="003F0DA8">
        <w:rPr>
          <w:szCs w:val="24"/>
          <w:lang w:val="es-ES_tradnl"/>
        </w:rPr>
        <w:t xml:space="preserve"> un taller de capacidad en cibersanidad regional en </w:t>
      </w:r>
      <w:r w:rsidR="00F54C51" w:rsidRPr="003F0DA8">
        <w:rPr>
          <w:szCs w:val="24"/>
          <w:lang w:val="es-ES_tradnl"/>
        </w:rPr>
        <w:t xml:space="preserve">Lesotho </w:t>
      </w:r>
      <w:r w:rsidRPr="003F0DA8">
        <w:rPr>
          <w:szCs w:val="24"/>
          <w:lang w:val="es-ES_tradnl"/>
        </w:rPr>
        <w:t>e</w:t>
      </w:r>
      <w:r w:rsidR="00F54C51" w:rsidRPr="003F0DA8">
        <w:rPr>
          <w:szCs w:val="24"/>
          <w:lang w:val="es-ES_tradnl"/>
        </w:rPr>
        <w:t xml:space="preserve">n 2018 </w:t>
      </w:r>
      <w:r w:rsidRPr="003F0DA8">
        <w:rPr>
          <w:szCs w:val="24"/>
          <w:lang w:val="es-ES_tradnl"/>
        </w:rPr>
        <w:t xml:space="preserve">para </w:t>
      </w:r>
      <w:r w:rsidR="00F54C51" w:rsidRPr="003F0DA8">
        <w:rPr>
          <w:szCs w:val="24"/>
          <w:lang w:val="es-ES_tradnl"/>
        </w:rPr>
        <w:t xml:space="preserve">12 </w:t>
      </w:r>
      <w:r w:rsidRPr="003F0DA8">
        <w:rPr>
          <w:szCs w:val="24"/>
          <w:lang w:val="es-ES_tradnl"/>
        </w:rPr>
        <w:t>países africanos</w:t>
      </w:r>
      <w:r w:rsidR="00F54C51" w:rsidRPr="003F0DA8">
        <w:rPr>
          <w:szCs w:val="24"/>
          <w:lang w:val="es-ES_tradnl"/>
        </w:rPr>
        <w:t xml:space="preserve">. </w:t>
      </w:r>
      <w:r w:rsidRPr="003F0DA8">
        <w:rPr>
          <w:szCs w:val="24"/>
          <w:lang w:val="es-ES_tradnl"/>
        </w:rPr>
        <w:t xml:space="preserve">Todos los materiales y contenidos presentados se grabaron y se publicarán en una plataforma de aprendizaje electrónico en línea. Hay previsto otro taller francófono en </w:t>
      </w:r>
      <w:r w:rsidR="00817AD5" w:rsidRPr="003F0DA8">
        <w:rPr>
          <w:szCs w:val="24"/>
          <w:lang w:val="es-ES_tradnl"/>
        </w:rPr>
        <w:t>2019.</w:t>
      </w:r>
    </w:p>
    <w:p w:rsidR="00F54C51" w:rsidRPr="003F0DA8" w:rsidRDefault="008A78FB" w:rsidP="00314547">
      <w:pPr>
        <w:spacing w:after="120"/>
        <w:rPr>
          <w:szCs w:val="24"/>
          <w:lang w:val="es-ES_tradnl"/>
        </w:rPr>
      </w:pPr>
      <w:r w:rsidRPr="003F0DA8">
        <w:rPr>
          <w:szCs w:val="24"/>
          <w:lang w:val="es-ES_tradnl"/>
        </w:rPr>
        <w:t>Se</w:t>
      </w:r>
      <w:r w:rsidR="00F54C51" w:rsidRPr="003F0DA8">
        <w:rPr>
          <w:szCs w:val="24"/>
          <w:lang w:val="es-ES_tradnl"/>
        </w:rPr>
        <w:t xml:space="preserve"> </w:t>
      </w:r>
      <w:r w:rsidRPr="003F0DA8">
        <w:rPr>
          <w:szCs w:val="24"/>
          <w:lang w:val="es-ES_tradnl"/>
        </w:rPr>
        <w:t xml:space="preserve">celebraron varios eventos de intercambio de conocimientos; por ejemplo, se incluyó una ruta sobre salud en la Cumbre </w:t>
      </w:r>
      <w:r w:rsidR="00F54C51" w:rsidRPr="003F0DA8">
        <w:rPr>
          <w:i/>
          <w:iCs/>
          <w:szCs w:val="24"/>
          <w:lang w:val="es-ES_tradnl"/>
        </w:rPr>
        <w:t xml:space="preserve">AI for </w:t>
      </w:r>
      <w:r w:rsidR="00331CD8" w:rsidRPr="003F0DA8">
        <w:rPr>
          <w:i/>
          <w:iCs/>
          <w:szCs w:val="24"/>
          <w:lang w:val="es-ES_tradnl"/>
        </w:rPr>
        <w:t>Health</w:t>
      </w:r>
      <w:r w:rsidRPr="003F0DA8">
        <w:rPr>
          <w:szCs w:val="24"/>
          <w:lang w:val="es-ES_tradnl"/>
        </w:rPr>
        <w:t>,</w:t>
      </w:r>
      <w:r w:rsidR="00F54C51" w:rsidRPr="003F0DA8">
        <w:rPr>
          <w:szCs w:val="24"/>
          <w:lang w:val="es-ES_tradnl"/>
        </w:rPr>
        <w:t xml:space="preserve"> </w:t>
      </w:r>
      <w:r w:rsidRPr="003F0DA8">
        <w:rPr>
          <w:szCs w:val="24"/>
          <w:lang w:val="es-ES_tradnl"/>
        </w:rPr>
        <w:t>se organizó un encuentro de programadores contra el hambre (</w:t>
      </w:r>
      <w:r w:rsidRPr="003F0DA8">
        <w:rPr>
          <w:i/>
          <w:iCs/>
          <w:szCs w:val="24"/>
          <w:lang w:val="es-ES_tradnl"/>
        </w:rPr>
        <w:t>HackAgainstHunger</w:t>
      </w:r>
      <w:r w:rsidRPr="003F0DA8">
        <w:rPr>
          <w:szCs w:val="24"/>
          <w:lang w:val="es-ES_tradnl"/>
        </w:rPr>
        <w:t xml:space="preserve">) en colaboración con la FAO durante el Foro de la CMSI, y se celebró un foro sobre soluciones de ciberagricultura con la FAO en </w:t>
      </w:r>
      <w:r w:rsidR="00F54C51" w:rsidRPr="003F0DA8">
        <w:rPr>
          <w:szCs w:val="24"/>
          <w:lang w:val="es-ES_tradnl"/>
        </w:rPr>
        <w:t>China</w:t>
      </w:r>
      <w:r w:rsidRPr="003F0DA8">
        <w:rPr>
          <w:szCs w:val="24"/>
          <w:lang w:val="es-ES_tradnl"/>
        </w:rPr>
        <w:t xml:space="preserve">. Además, se publicó un informe sobre el empleo de drones en la agricultura, así como varios manuales sobre el uso de la salud móvil en el ámbito del envejecimiento, abandono del tabaco, </w:t>
      </w:r>
      <w:bookmarkStart w:id="8" w:name="hit12"/>
      <w:bookmarkEnd w:id="8"/>
      <w:r w:rsidRPr="003F0DA8">
        <w:rPr>
          <w:szCs w:val="24"/>
          <w:lang w:val="es-ES_tradnl"/>
        </w:rPr>
        <w:t>cáncer cervicouterino</w:t>
      </w:r>
      <w:r w:rsidRPr="003F0DA8">
        <w:rPr>
          <w:lang w:val="es-ES_tradnl"/>
        </w:rPr>
        <w:t xml:space="preserve">, </w:t>
      </w:r>
      <w:r w:rsidRPr="003F0DA8">
        <w:rPr>
          <w:szCs w:val="24"/>
          <w:lang w:val="es-ES_tradnl"/>
        </w:rPr>
        <w:t>d</w:t>
      </w:r>
      <w:r w:rsidR="00F54C51" w:rsidRPr="003F0DA8">
        <w:rPr>
          <w:szCs w:val="24"/>
          <w:lang w:val="es-ES_tradnl"/>
        </w:rPr>
        <w:t xml:space="preserve">iabetes </w:t>
      </w:r>
      <w:r w:rsidR="00AD261B" w:rsidRPr="003F0DA8">
        <w:rPr>
          <w:szCs w:val="24"/>
          <w:lang w:val="es-ES_tradnl"/>
        </w:rPr>
        <w:t>y </w:t>
      </w:r>
      <w:r w:rsidRPr="003F0DA8">
        <w:rPr>
          <w:szCs w:val="24"/>
          <w:lang w:val="es-ES_tradnl"/>
        </w:rPr>
        <w:t>enfermedades respiratorias con la OMS</w:t>
      </w:r>
      <w:r w:rsidR="00F54C51" w:rsidRPr="003F0DA8">
        <w:rPr>
          <w:szCs w:val="24"/>
          <w:lang w:val="es-ES_tradnl"/>
        </w:rPr>
        <w:t>.</w:t>
      </w:r>
    </w:p>
    <w:p w:rsidR="00F54C51" w:rsidRPr="003F0DA8" w:rsidRDefault="00863D9D" w:rsidP="00314547">
      <w:pPr>
        <w:pStyle w:val="Heading2"/>
        <w:rPr>
          <w:lang w:val="es-ES_tradnl"/>
        </w:rPr>
      </w:pPr>
      <w:r w:rsidRPr="003F0DA8">
        <w:rPr>
          <w:lang w:val="es-ES_tradnl"/>
        </w:rPr>
        <w:t>2.3</w:t>
      </w:r>
      <w:r w:rsidRPr="003F0DA8">
        <w:rPr>
          <w:lang w:val="es-ES_tradnl"/>
        </w:rPr>
        <w:tab/>
      </w:r>
      <w:r w:rsidR="00E62D4E" w:rsidRPr="003F0DA8">
        <w:rPr>
          <w:lang w:val="es-ES_tradnl"/>
        </w:rPr>
        <w:t>Acciones futuras</w:t>
      </w:r>
    </w:p>
    <w:p w:rsidR="00F54C51" w:rsidRPr="003F0DA8" w:rsidRDefault="005175B7" w:rsidP="00314547">
      <w:pPr>
        <w:spacing w:after="120"/>
        <w:rPr>
          <w:rStyle w:val="Strong"/>
          <w:b w:val="0"/>
          <w:bCs w:val="0"/>
          <w:szCs w:val="24"/>
          <w:lang w:val="es-ES_tradnl"/>
        </w:rPr>
      </w:pPr>
      <w:r w:rsidRPr="003F0DA8">
        <w:rPr>
          <w:szCs w:val="24"/>
          <w:lang w:val="es-ES_tradnl"/>
        </w:rPr>
        <w:t>El programa de aplicaciones de las TIC continuará reforzando las actividades</w:t>
      </w:r>
      <w:r w:rsidR="007C499A" w:rsidRPr="003F0DA8">
        <w:rPr>
          <w:szCs w:val="24"/>
          <w:lang w:val="es-ES_tradnl"/>
        </w:rPr>
        <w:t>, entre las que cabe citar</w:t>
      </w:r>
      <w:r w:rsidR="00F54C51" w:rsidRPr="003F0DA8">
        <w:rPr>
          <w:szCs w:val="24"/>
          <w:lang w:val="es-ES_tradnl"/>
        </w:rPr>
        <w:t>:</w:t>
      </w:r>
    </w:p>
    <w:p w:rsidR="00F54C51" w:rsidRPr="003F0DA8" w:rsidRDefault="00E85BB4" w:rsidP="00314547">
      <w:pPr>
        <w:pStyle w:val="enumlev1"/>
        <w:rPr>
          <w:lang w:val="es-ES_tradnl"/>
        </w:rPr>
      </w:pPr>
      <w:r w:rsidRPr="003F0DA8">
        <w:rPr>
          <w:lang w:val="es-ES_tradnl"/>
        </w:rPr>
        <w:t>–</w:t>
      </w:r>
      <w:r w:rsidRPr="003F0DA8">
        <w:rPr>
          <w:lang w:val="es-ES_tradnl"/>
        </w:rPr>
        <w:tab/>
      </w:r>
      <w:r w:rsidR="007C499A" w:rsidRPr="003F0DA8">
        <w:rPr>
          <w:lang w:val="es-ES_tradnl"/>
        </w:rPr>
        <w:t>creación de</w:t>
      </w:r>
      <w:r w:rsidR="005175B7" w:rsidRPr="003F0DA8">
        <w:rPr>
          <w:lang w:val="es-ES_tradnl"/>
        </w:rPr>
        <w:t xml:space="preserve"> capacidad en el ámbito de la elaboración de estrategias y soluciones digitales mediante talleres nacionales y regionales de creación de capacidad</w:t>
      </w:r>
      <w:r w:rsidR="000B687E" w:rsidRPr="003F0DA8">
        <w:rPr>
          <w:lang w:val="es-ES_tradnl"/>
        </w:rPr>
        <w:t>;</w:t>
      </w:r>
    </w:p>
    <w:p w:rsidR="00F54C51" w:rsidRPr="003F0DA8" w:rsidRDefault="00E85BB4" w:rsidP="00314547">
      <w:pPr>
        <w:pStyle w:val="enumlev1"/>
        <w:rPr>
          <w:lang w:val="es-ES_tradnl"/>
        </w:rPr>
      </w:pPr>
      <w:r w:rsidRPr="003F0DA8">
        <w:rPr>
          <w:lang w:val="es-ES_tradnl"/>
        </w:rPr>
        <w:t>–</w:t>
      </w:r>
      <w:r w:rsidRPr="003F0DA8">
        <w:rPr>
          <w:lang w:val="es-ES_tradnl"/>
        </w:rPr>
        <w:tab/>
      </w:r>
      <w:r w:rsidR="007C499A" w:rsidRPr="003F0DA8">
        <w:rPr>
          <w:lang w:val="es-ES_tradnl"/>
        </w:rPr>
        <w:t xml:space="preserve">elaboración de </w:t>
      </w:r>
      <w:r w:rsidR="005175B7" w:rsidRPr="003F0DA8">
        <w:rPr>
          <w:lang w:val="es-ES_tradnl"/>
        </w:rPr>
        <w:t xml:space="preserve">herramientas nuevas para ayudar a los gobierno a </w:t>
      </w:r>
      <w:r w:rsidR="0040497C" w:rsidRPr="003F0DA8">
        <w:rPr>
          <w:lang w:val="es-ES_tradnl"/>
        </w:rPr>
        <w:t>completa</w:t>
      </w:r>
      <w:r w:rsidR="005175B7" w:rsidRPr="003F0DA8">
        <w:rPr>
          <w:lang w:val="es-ES_tradnl"/>
        </w:rPr>
        <w:t>r su proceso de transformación digital, por ejemplo, una arquitectura empresarial gubernamental</w:t>
      </w:r>
      <w:r w:rsidR="000B687E" w:rsidRPr="003F0DA8">
        <w:rPr>
          <w:lang w:val="es-ES_tradnl"/>
        </w:rPr>
        <w:t>;</w:t>
      </w:r>
    </w:p>
    <w:p w:rsidR="00F54C51" w:rsidRPr="003F0DA8" w:rsidRDefault="00E85BB4" w:rsidP="00314547">
      <w:pPr>
        <w:pStyle w:val="enumlev1"/>
        <w:rPr>
          <w:lang w:val="es-ES_tradnl"/>
        </w:rPr>
      </w:pPr>
      <w:r w:rsidRPr="003F0DA8">
        <w:rPr>
          <w:lang w:val="es-ES_tradnl"/>
        </w:rPr>
        <w:t>–</w:t>
      </w:r>
      <w:r w:rsidRPr="003F0DA8">
        <w:rPr>
          <w:lang w:val="es-ES_tradnl"/>
        </w:rPr>
        <w:tab/>
      </w:r>
      <w:r w:rsidR="000B687E" w:rsidRPr="003F0DA8">
        <w:rPr>
          <w:lang w:val="es-ES_tradnl"/>
        </w:rPr>
        <w:t xml:space="preserve">apoyo </w:t>
      </w:r>
      <w:r w:rsidR="007C499A" w:rsidRPr="003F0DA8">
        <w:rPr>
          <w:lang w:val="es-ES_tradnl"/>
        </w:rPr>
        <w:t>a</w:t>
      </w:r>
      <w:r w:rsidR="005175B7" w:rsidRPr="003F0DA8">
        <w:rPr>
          <w:lang w:val="es-ES_tradnl"/>
        </w:rPr>
        <w:t xml:space="preserve"> la form</w:t>
      </w:r>
      <w:r w:rsidR="0097749D" w:rsidRPr="003F0DA8">
        <w:rPr>
          <w:lang w:val="es-ES_tradnl"/>
        </w:rPr>
        <w:t>u</w:t>
      </w:r>
      <w:r w:rsidR="005175B7" w:rsidRPr="003F0DA8">
        <w:rPr>
          <w:lang w:val="es-ES_tradnl"/>
        </w:rPr>
        <w:t xml:space="preserve">lación de planes nacionales y estudios técnicos </w:t>
      </w:r>
      <w:r w:rsidR="0077240D" w:rsidRPr="003F0DA8">
        <w:rPr>
          <w:lang w:val="es-ES_tradnl"/>
        </w:rPr>
        <w:t xml:space="preserve">en aras de la </w:t>
      </w:r>
      <w:r w:rsidR="005175B7" w:rsidRPr="003F0DA8">
        <w:rPr>
          <w:lang w:val="es-ES_tradnl"/>
        </w:rPr>
        <w:t>transformación digital sectorial e intersectorial</w:t>
      </w:r>
      <w:r w:rsidR="000B687E" w:rsidRPr="003F0DA8">
        <w:rPr>
          <w:lang w:val="es-ES_tradnl"/>
        </w:rPr>
        <w:t>;</w:t>
      </w:r>
    </w:p>
    <w:p w:rsidR="00F54C51" w:rsidRPr="003F0DA8" w:rsidRDefault="00E85BB4" w:rsidP="00314547">
      <w:pPr>
        <w:pStyle w:val="enumlev1"/>
        <w:rPr>
          <w:lang w:val="es-ES_tradnl"/>
        </w:rPr>
      </w:pPr>
      <w:r w:rsidRPr="003F0DA8">
        <w:rPr>
          <w:lang w:val="es-ES_tradnl"/>
        </w:rPr>
        <w:t>–</w:t>
      </w:r>
      <w:r w:rsidRPr="003F0DA8">
        <w:rPr>
          <w:lang w:val="es-ES_tradnl"/>
        </w:rPr>
        <w:tab/>
      </w:r>
      <w:r w:rsidR="000B687E" w:rsidRPr="003F0DA8">
        <w:rPr>
          <w:lang w:val="es-ES_tradnl"/>
        </w:rPr>
        <w:t xml:space="preserve">fomento </w:t>
      </w:r>
      <w:r w:rsidR="005175B7" w:rsidRPr="003F0DA8">
        <w:rPr>
          <w:lang w:val="es-ES_tradnl"/>
        </w:rPr>
        <w:t xml:space="preserve">y </w:t>
      </w:r>
      <w:r w:rsidR="007C499A" w:rsidRPr="003F0DA8">
        <w:rPr>
          <w:lang w:val="es-ES_tradnl"/>
        </w:rPr>
        <w:t>promoción</w:t>
      </w:r>
      <w:r w:rsidR="0097749D" w:rsidRPr="003F0DA8">
        <w:rPr>
          <w:lang w:val="es-ES_tradnl"/>
        </w:rPr>
        <w:t xml:space="preserve"> </w:t>
      </w:r>
      <w:r w:rsidR="007C499A" w:rsidRPr="003F0DA8">
        <w:rPr>
          <w:lang w:val="es-ES_tradnl"/>
        </w:rPr>
        <w:t>de</w:t>
      </w:r>
      <w:r w:rsidR="0097749D" w:rsidRPr="003F0DA8">
        <w:rPr>
          <w:lang w:val="es-ES_tradnl"/>
        </w:rPr>
        <w:t xml:space="preserve"> </w:t>
      </w:r>
      <w:r w:rsidR="007C499A" w:rsidRPr="003F0DA8">
        <w:rPr>
          <w:lang w:val="es-ES_tradnl"/>
        </w:rPr>
        <w:t xml:space="preserve">planteamientos </w:t>
      </w:r>
      <w:r w:rsidR="005175B7" w:rsidRPr="003F0DA8">
        <w:rPr>
          <w:lang w:val="es-ES_tradnl"/>
        </w:rPr>
        <w:t>intersectoriales y aplicables a todo el gobierno como métodos eficientes para ampliar la adopción de las herramientas digitales</w:t>
      </w:r>
      <w:r w:rsidR="00F54C51" w:rsidRPr="003F0DA8">
        <w:rPr>
          <w:lang w:val="es-ES_tradnl"/>
        </w:rPr>
        <w:t>.</w:t>
      </w:r>
    </w:p>
    <w:p w:rsidR="00F54C51" w:rsidRPr="003F0DA8" w:rsidRDefault="00F54C51" w:rsidP="00314547">
      <w:pPr>
        <w:pStyle w:val="Reasons"/>
        <w:rPr>
          <w:lang w:val="es-ES_tradnl"/>
        </w:rPr>
      </w:pPr>
    </w:p>
    <w:p w:rsidR="00F54C51" w:rsidRPr="003F0DA8" w:rsidRDefault="00F54C51" w:rsidP="00314547">
      <w:pPr>
        <w:jc w:val="center"/>
        <w:rPr>
          <w:lang w:val="es-ES_tradnl"/>
        </w:rPr>
      </w:pPr>
      <w:r w:rsidRPr="003F0DA8">
        <w:rPr>
          <w:lang w:val="es-ES_tradnl"/>
        </w:rPr>
        <w:t>______________</w:t>
      </w:r>
    </w:p>
    <w:sectPr w:rsidR="00F54C51" w:rsidRPr="003F0DA8" w:rsidSect="004B7893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39" w:rsidRDefault="000D6A39" w:rsidP="0088106F">
      <w:r>
        <w:separator/>
      </w:r>
    </w:p>
  </w:endnote>
  <w:endnote w:type="continuationSeparator" w:id="0">
    <w:p w:rsidR="000D6A39" w:rsidRDefault="000D6A3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90" w:rsidRPr="00B949CE" w:rsidRDefault="00767290" w:rsidP="00767290">
    <w:pPr>
      <w:pStyle w:val="Footer"/>
      <w:rPr>
        <w:lang w:val="en-US"/>
      </w:rPr>
    </w:pPr>
    <w:r>
      <w:fldChar w:fldCharType="begin"/>
    </w:r>
    <w:r w:rsidRPr="00B949C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P:\ESP\ITU-D\CONF-D\TDAG19\000\030S.docx</w:t>
    </w:r>
    <w:r>
      <w:fldChar w:fldCharType="end"/>
    </w:r>
    <w:r w:rsidRPr="00B949CE">
      <w:rPr>
        <w:lang w:val="en-US"/>
      </w:rPr>
      <w:t xml:space="preserve"> (449237)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0D6A39" w:rsidRPr="00337D1C" w:rsidTr="000D6A3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0D6A39" w:rsidRPr="004D495C" w:rsidRDefault="000D6A39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0D6A39" w:rsidRPr="004D495C" w:rsidRDefault="000D6A39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0D6A39" w:rsidRPr="00337D1C" w:rsidRDefault="000D6A39" w:rsidP="00E62E3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bookmarkStart w:id="9" w:name="OrgName"/>
          <w:bookmarkEnd w:id="9"/>
          <w:r w:rsidRPr="00337D1C">
            <w:rPr>
              <w:sz w:val="18"/>
              <w:szCs w:val="18"/>
              <w:lang w:val="es-ES"/>
            </w:rPr>
            <w:t xml:space="preserve">Sr. Kemal Huseinovic, Jefe, </w:t>
          </w:r>
          <w:r w:rsidR="00337D1C" w:rsidRPr="00337D1C">
            <w:rPr>
              <w:sz w:val="18"/>
              <w:szCs w:val="18"/>
              <w:lang w:val="es-ES"/>
            </w:rPr>
            <w:t>Departamento IEE</w:t>
          </w:r>
          <w:r w:rsidRPr="00337D1C">
            <w:rPr>
              <w:sz w:val="18"/>
              <w:szCs w:val="18"/>
              <w:lang w:val="es-ES"/>
            </w:rPr>
            <w:t>, BDT</w:t>
          </w:r>
        </w:p>
      </w:tc>
    </w:tr>
    <w:tr w:rsidR="000D6A39" w:rsidRPr="004D495C" w:rsidTr="000D6A39">
      <w:tc>
        <w:tcPr>
          <w:tcW w:w="1134" w:type="dxa"/>
          <w:shd w:val="clear" w:color="auto" w:fill="auto"/>
        </w:tcPr>
        <w:p w:rsidR="000D6A39" w:rsidRPr="00337D1C" w:rsidRDefault="000D6A39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0D6A39" w:rsidRPr="004D495C" w:rsidRDefault="000D6A39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0D6A39" w:rsidRPr="00050E06" w:rsidRDefault="000D6A39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0" w:name="PhoneNo"/>
          <w:bookmarkEnd w:id="10"/>
          <w:r w:rsidRPr="009B7D33">
            <w:rPr>
              <w:sz w:val="20"/>
              <w:lang w:val="en-US"/>
            </w:rPr>
            <w:t>+41 22 730 5421</w:t>
          </w:r>
        </w:p>
      </w:tc>
    </w:tr>
    <w:tr w:rsidR="000D6A39" w:rsidRPr="004D495C" w:rsidTr="000D6A39">
      <w:tc>
        <w:tcPr>
          <w:tcW w:w="1134" w:type="dxa"/>
          <w:shd w:val="clear" w:color="auto" w:fill="auto"/>
        </w:tcPr>
        <w:p w:rsidR="000D6A39" w:rsidRPr="004D495C" w:rsidRDefault="000D6A39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0D6A39" w:rsidRPr="004D495C" w:rsidRDefault="000D6A39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1" w:name="Email"/>
      <w:bookmarkEnd w:id="11"/>
      <w:tc>
        <w:tcPr>
          <w:tcW w:w="6237" w:type="dxa"/>
          <w:shd w:val="clear" w:color="auto" w:fill="auto"/>
        </w:tcPr>
        <w:p w:rsidR="000D6A39" w:rsidRPr="00050E06" w:rsidRDefault="000D6A39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Style w:val="Hyperlink"/>
              <w:sz w:val="20"/>
              <w:lang w:val="en-US"/>
            </w:rPr>
            <w:fldChar w:fldCharType="begin"/>
          </w:r>
          <w:r>
            <w:rPr>
              <w:rStyle w:val="Hyperlink"/>
              <w:sz w:val="20"/>
              <w:lang w:val="en-US"/>
            </w:rPr>
            <w:instrText xml:space="preserve"> HYPERLINK "mailto:Kemal.huseinovic@itu.int" </w:instrText>
          </w:r>
          <w:r>
            <w:rPr>
              <w:rStyle w:val="Hyperlink"/>
              <w:sz w:val="20"/>
              <w:lang w:val="en-US"/>
            </w:rPr>
            <w:fldChar w:fldCharType="separate"/>
          </w:r>
          <w:r w:rsidRPr="009B7D33">
            <w:rPr>
              <w:rStyle w:val="Hyperlink"/>
              <w:sz w:val="20"/>
              <w:lang w:val="en-US"/>
            </w:rPr>
            <w:t>Kemal.huseinovic@itu.int</w:t>
          </w:r>
          <w:r>
            <w:rPr>
              <w:rStyle w:val="Hyperlink"/>
              <w:sz w:val="20"/>
              <w:lang w:val="en-US"/>
            </w:rPr>
            <w:fldChar w:fldCharType="end"/>
          </w:r>
        </w:p>
      </w:tc>
    </w:tr>
  </w:tbl>
  <w:p w:rsidR="000D6A39" w:rsidRPr="006E4AB3" w:rsidRDefault="00852D20" w:rsidP="00E62E3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1" w:history="1">
      <w:r w:rsidR="000D6A39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39" w:rsidRDefault="000D6A39" w:rsidP="0088106F">
      <w:r>
        <w:separator/>
      </w:r>
    </w:p>
  </w:footnote>
  <w:footnote w:type="continuationSeparator" w:id="0">
    <w:p w:rsidR="000D6A39" w:rsidRDefault="000D6A39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39" w:rsidRPr="00E62E3D" w:rsidRDefault="000D6A39" w:rsidP="00E62E3D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</w:t>
    </w:r>
    <w:r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>
      <w:rPr>
        <w:sz w:val="22"/>
        <w:szCs w:val="22"/>
        <w:lang w:val="en-US"/>
      </w:rPr>
      <w:t>9/30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52D20">
      <w:rPr>
        <w:noProof/>
        <w:sz w:val="22"/>
        <w:szCs w:val="22"/>
        <w:lang w:val="en-US"/>
      </w:rPr>
      <w:t>6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3F0"/>
    <w:multiLevelType w:val="hybridMultilevel"/>
    <w:tmpl w:val="94C263B6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44342"/>
    <w:multiLevelType w:val="hybridMultilevel"/>
    <w:tmpl w:val="FA425F0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212311"/>
    <w:multiLevelType w:val="hybridMultilevel"/>
    <w:tmpl w:val="FB1CFE6E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04A3B7F"/>
    <w:multiLevelType w:val="hybridMultilevel"/>
    <w:tmpl w:val="6BB0D842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8570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DD"/>
    <w:rsid w:val="00002B38"/>
    <w:rsid w:val="00002B5C"/>
    <w:rsid w:val="000135AE"/>
    <w:rsid w:val="00025182"/>
    <w:rsid w:val="00033D49"/>
    <w:rsid w:val="00034E77"/>
    <w:rsid w:val="000464B2"/>
    <w:rsid w:val="00052DE7"/>
    <w:rsid w:val="000725A1"/>
    <w:rsid w:val="00075A9F"/>
    <w:rsid w:val="000B563A"/>
    <w:rsid w:val="000B687E"/>
    <w:rsid w:val="000B7651"/>
    <w:rsid w:val="000C0AA7"/>
    <w:rsid w:val="000D2C48"/>
    <w:rsid w:val="000D6A39"/>
    <w:rsid w:val="000D7E2E"/>
    <w:rsid w:val="000E444B"/>
    <w:rsid w:val="000E7A0A"/>
    <w:rsid w:val="000F20D7"/>
    <w:rsid w:val="000F5561"/>
    <w:rsid w:val="00104160"/>
    <w:rsid w:val="00111245"/>
    <w:rsid w:val="0013344F"/>
    <w:rsid w:val="00147868"/>
    <w:rsid w:val="00157E2D"/>
    <w:rsid w:val="00170831"/>
    <w:rsid w:val="00170F30"/>
    <w:rsid w:val="00172B9D"/>
    <w:rsid w:val="00194CB2"/>
    <w:rsid w:val="001B3264"/>
    <w:rsid w:val="001B3AE1"/>
    <w:rsid w:val="001C0D4C"/>
    <w:rsid w:val="001D7507"/>
    <w:rsid w:val="001E1DCB"/>
    <w:rsid w:val="001F0B1E"/>
    <w:rsid w:val="002131E1"/>
    <w:rsid w:val="00213302"/>
    <w:rsid w:val="00221C14"/>
    <w:rsid w:val="00225D2E"/>
    <w:rsid w:val="00235A1F"/>
    <w:rsid w:val="00241CB9"/>
    <w:rsid w:val="002756C1"/>
    <w:rsid w:val="002865A0"/>
    <w:rsid w:val="002A7FAB"/>
    <w:rsid w:val="002D142C"/>
    <w:rsid w:val="002D4BE6"/>
    <w:rsid w:val="002D6772"/>
    <w:rsid w:val="002F0466"/>
    <w:rsid w:val="002F0D02"/>
    <w:rsid w:val="002F1B09"/>
    <w:rsid w:val="002F266C"/>
    <w:rsid w:val="002F2B60"/>
    <w:rsid w:val="002F432C"/>
    <w:rsid w:val="00302736"/>
    <w:rsid w:val="0030377B"/>
    <w:rsid w:val="00314547"/>
    <w:rsid w:val="003313E0"/>
    <w:rsid w:val="0033145D"/>
    <w:rsid w:val="00331CD8"/>
    <w:rsid w:val="0033649F"/>
    <w:rsid w:val="00337D1C"/>
    <w:rsid w:val="003450C4"/>
    <w:rsid w:val="00356148"/>
    <w:rsid w:val="00360762"/>
    <w:rsid w:val="00374144"/>
    <w:rsid w:val="00382F02"/>
    <w:rsid w:val="00386FD6"/>
    <w:rsid w:val="00390391"/>
    <w:rsid w:val="003B6019"/>
    <w:rsid w:val="003C637C"/>
    <w:rsid w:val="003D4CFB"/>
    <w:rsid w:val="003E3691"/>
    <w:rsid w:val="003F0DA8"/>
    <w:rsid w:val="003F5360"/>
    <w:rsid w:val="0040497C"/>
    <w:rsid w:val="00405664"/>
    <w:rsid w:val="004059EB"/>
    <w:rsid w:val="004152DF"/>
    <w:rsid w:val="00430335"/>
    <w:rsid w:val="004349BD"/>
    <w:rsid w:val="00440A30"/>
    <w:rsid w:val="00452727"/>
    <w:rsid w:val="004663B6"/>
    <w:rsid w:val="0047383F"/>
    <w:rsid w:val="00475C60"/>
    <w:rsid w:val="00482632"/>
    <w:rsid w:val="0049370D"/>
    <w:rsid w:val="004947B1"/>
    <w:rsid w:val="004A1F73"/>
    <w:rsid w:val="004A63BD"/>
    <w:rsid w:val="004B7893"/>
    <w:rsid w:val="004C32FC"/>
    <w:rsid w:val="004C4ACC"/>
    <w:rsid w:val="004C7FAA"/>
    <w:rsid w:val="004E7861"/>
    <w:rsid w:val="004F1164"/>
    <w:rsid w:val="004F5AB8"/>
    <w:rsid w:val="00516BF0"/>
    <w:rsid w:val="005175B7"/>
    <w:rsid w:val="00520DC3"/>
    <w:rsid w:val="00534BCE"/>
    <w:rsid w:val="00535C50"/>
    <w:rsid w:val="005520D3"/>
    <w:rsid w:val="00553879"/>
    <w:rsid w:val="0055453D"/>
    <w:rsid w:val="005557A3"/>
    <w:rsid w:val="00562721"/>
    <w:rsid w:val="005637B9"/>
    <w:rsid w:val="005643DC"/>
    <w:rsid w:val="005671C4"/>
    <w:rsid w:val="00580461"/>
    <w:rsid w:val="0058327B"/>
    <w:rsid w:val="005A562D"/>
    <w:rsid w:val="005A66D8"/>
    <w:rsid w:val="005B38CE"/>
    <w:rsid w:val="005B3EE4"/>
    <w:rsid w:val="005B6FF2"/>
    <w:rsid w:val="005C3F8D"/>
    <w:rsid w:val="005C7E35"/>
    <w:rsid w:val="005D20AE"/>
    <w:rsid w:val="005D7079"/>
    <w:rsid w:val="005E30D6"/>
    <w:rsid w:val="005E428A"/>
    <w:rsid w:val="005E4602"/>
    <w:rsid w:val="005E7989"/>
    <w:rsid w:val="005E7A5C"/>
    <w:rsid w:val="005F52FE"/>
    <w:rsid w:val="00602B27"/>
    <w:rsid w:val="006034FC"/>
    <w:rsid w:val="00604F6A"/>
    <w:rsid w:val="006113A0"/>
    <w:rsid w:val="00613A22"/>
    <w:rsid w:val="006154B8"/>
    <w:rsid w:val="00631253"/>
    <w:rsid w:val="006339E7"/>
    <w:rsid w:val="006352EB"/>
    <w:rsid w:val="00635A62"/>
    <w:rsid w:val="006465EE"/>
    <w:rsid w:val="00662E01"/>
    <w:rsid w:val="00664E84"/>
    <w:rsid w:val="00686661"/>
    <w:rsid w:val="00695808"/>
    <w:rsid w:val="00695CA5"/>
    <w:rsid w:val="006B65DD"/>
    <w:rsid w:val="006E4AB3"/>
    <w:rsid w:val="006E4CEF"/>
    <w:rsid w:val="006E622C"/>
    <w:rsid w:val="006F1B71"/>
    <w:rsid w:val="006F39EB"/>
    <w:rsid w:val="006F5F92"/>
    <w:rsid w:val="0070616D"/>
    <w:rsid w:val="00712C04"/>
    <w:rsid w:val="00713DAA"/>
    <w:rsid w:val="00726608"/>
    <w:rsid w:val="00731EAF"/>
    <w:rsid w:val="007348C0"/>
    <w:rsid w:val="00740624"/>
    <w:rsid w:val="00744CB2"/>
    <w:rsid w:val="00752547"/>
    <w:rsid w:val="00752F8F"/>
    <w:rsid w:val="007600DB"/>
    <w:rsid w:val="00767290"/>
    <w:rsid w:val="007708D6"/>
    <w:rsid w:val="0077240D"/>
    <w:rsid w:val="00790083"/>
    <w:rsid w:val="007B5BF8"/>
    <w:rsid w:val="007B6FC2"/>
    <w:rsid w:val="007C3061"/>
    <w:rsid w:val="007C499A"/>
    <w:rsid w:val="007C62DC"/>
    <w:rsid w:val="007D1B6D"/>
    <w:rsid w:val="007D1F0D"/>
    <w:rsid w:val="007D4CD8"/>
    <w:rsid w:val="007E471D"/>
    <w:rsid w:val="007E66FA"/>
    <w:rsid w:val="00817AD5"/>
    <w:rsid w:val="0082693D"/>
    <w:rsid w:val="00835A77"/>
    <w:rsid w:val="00843898"/>
    <w:rsid w:val="00852D20"/>
    <w:rsid w:val="00854536"/>
    <w:rsid w:val="00857C71"/>
    <w:rsid w:val="0086081E"/>
    <w:rsid w:val="008618B8"/>
    <w:rsid w:val="00863D9D"/>
    <w:rsid w:val="0088106F"/>
    <w:rsid w:val="008A50B0"/>
    <w:rsid w:val="008A78FB"/>
    <w:rsid w:val="008C1852"/>
    <w:rsid w:val="008C2484"/>
    <w:rsid w:val="008D36EB"/>
    <w:rsid w:val="008D789A"/>
    <w:rsid w:val="008E427E"/>
    <w:rsid w:val="008E6359"/>
    <w:rsid w:val="008F3B12"/>
    <w:rsid w:val="00917B12"/>
    <w:rsid w:val="00923FB5"/>
    <w:rsid w:val="0093736E"/>
    <w:rsid w:val="0094111F"/>
    <w:rsid w:val="00966C1C"/>
    <w:rsid w:val="009752D2"/>
    <w:rsid w:val="0097749D"/>
    <w:rsid w:val="00977F5F"/>
    <w:rsid w:val="00982E3B"/>
    <w:rsid w:val="00987C19"/>
    <w:rsid w:val="00991B13"/>
    <w:rsid w:val="009952F6"/>
    <w:rsid w:val="009A2943"/>
    <w:rsid w:val="009A45B3"/>
    <w:rsid w:val="009A4FDC"/>
    <w:rsid w:val="009A68B4"/>
    <w:rsid w:val="009A6FC4"/>
    <w:rsid w:val="009B4FCD"/>
    <w:rsid w:val="009D1BD4"/>
    <w:rsid w:val="009E44DC"/>
    <w:rsid w:val="00A10FAD"/>
    <w:rsid w:val="00A12F37"/>
    <w:rsid w:val="00A218F3"/>
    <w:rsid w:val="00A22A6A"/>
    <w:rsid w:val="00A31712"/>
    <w:rsid w:val="00A33516"/>
    <w:rsid w:val="00A42522"/>
    <w:rsid w:val="00A552A1"/>
    <w:rsid w:val="00A5535D"/>
    <w:rsid w:val="00A676FF"/>
    <w:rsid w:val="00A727AC"/>
    <w:rsid w:val="00A73003"/>
    <w:rsid w:val="00A87BFA"/>
    <w:rsid w:val="00A87DD9"/>
    <w:rsid w:val="00A92C61"/>
    <w:rsid w:val="00A95EFA"/>
    <w:rsid w:val="00A96980"/>
    <w:rsid w:val="00AA7838"/>
    <w:rsid w:val="00AB591C"/>
    <w:rsid w:val="00AC7D40"/>
    <w:rsid w:val="00AD261B"/>
    <w:rsid w:val="00AD5C7C"/>
    <w:rsid w:val="00AE1BA7"/>
    <w:rsid w:val="00AE50BD"/>
    <w:rsid w:val="00AF563E"/>
    <w:rsid w:val="00B001C6"/>
    <w:rsid w:val="00B0091C"/>
    <w:rsid w:val="00B23C76"/>
    <w:rsid w:val="00B55B16"/>
    <w:rsid w:val="00B60E66"/>
    <w:rsid w:val="00B62D20"/>
    <w:rsid w:val="00B85F89"/>
    <w:rsid w:val="00B949CE"/>
    <w:rsid w:val="00BA55DA"/>
    <w:rsid w:val="00BB438C"/>
    <w:rsid w:val="00BC7208"/>
    <w:rsid w:val="00BD478B"/>
    <w:rsid w:val="00BE1C9A"/>
    <w:rsid w:val="00BE2523"/>
    <w:rsid w:val="00BE595A"/>
    <w:rsid w:val="00BF5280"/>
    <w:rsid w:val="00C22A6C"/>
    <w:rsid w:val="00C266E1"/>
    <w:rsid w:val="00C338A6"/>
    <w:rsid w:val="00C35690"/>
    <w:rsid w:val="00C5574C"/>
    <w:rsid w:val="00C77F4C"/>
    <w:rsid w:val="00C92263"/>
    <w:rsid w:val="00C952D4"/>
    <w:rsid w:val="00CB781F"/>
    <w:rsid w:val="00CE2ED4"/>
    <w:rsid w:val="00CE625D"/>
    <w:rsid w:val="00D12BF5"/>
    <w:rsid w:val="00D1392B"/>
    <w:rsid w:val="00D16175"/>
    <w:rsid w:val="00D21708"/>
    <w:rsid w:val="00D2187E"/>
    <w:rsid w:val="00D34BC9"/>
    <w:rsid w:val="00D372A5"/>
    <w:rsid w:val="00D52332"/>
    <w:rsid w:val="00D64CC4"/>
    <w:rsid w:val="00D752E5"/>
    <w:rsid w:val="00D80763"/>
    <w:rsid w:val="00D92CD6"/>
    <w:rsid w:val="00D966F1"/>
    <w:rsid w:val="00DA4CAC"/>
    <w:rsid w:val="00DC0C9D"/>
    <w:rsid w:val="00E11EBA"/>
    <w:rsid w:val="00E13EEC"/>
    <w:rsid w:val="00E151D0"/>
    <w:rsid w:val="00E17138"/>
    <w:rsid w:val="00E204A0"/>
    <w:rsid w:val="00E26C2A"/>
    <w:rsid w:val="00E3519F"/>
    <w:rsid w:val="00E47E04"/>
    <w:rsid w:val="00E50251"/>
    <w:rsid w:val="00E51C72"/>
    <w:rsid w:val="00E604E2"/>
    <w:rsid w:val="00E62D4E"/>
    <w:rsid w:val="00E62E3D"/>
    <w:rsid w:val="00E75108"/>
    <w:rsid w:val="00E827C2"/>
    <w:rsid w:val="00E85BB4"/>
    <w:rsid w:val="00E97085"/>
    <w:rsid w:val="00EA5B40"/>
    <w:rsid w:val="00EB6B5E"/>
    <w:rsid w:val="00EB6D19"/>
    <w:rsid w:val="00EB78DD"/>
    <w:rsid w:val="00ED2681"/>
    <w:rsid w:val="00EF305B"/>
    <w:rsid w:val="00F00899"/>
    <w:rsid w:val="00F01E28"/>
    <w:rsid w:val="00F04A10"/>
    <w:rsid w:val="00F12690"/>
    <w:rsid w:val="00F3110E"/>
    <w:rsid w:val="00F42E12"/>
    <w:rsid w:val="00F520DA"/>
    <w:rsid w:val="00F54C51"/>
    <w:rsid w:val="00F56BDD"/>
    <w:rsid w:val="00F66016"/>
    <w:rsid w:val="00F674BD"/>
    <w:rsid w:val="00F77B28"/>
    <w:rsid w:val="00F97075"/>
    <w:rsid w:val="00FA67A2"/>
    <w:rsid w:val="00FB03AD"/>
    <w:rsid w:val="00FB0B6B"/>
    <w:rsid w:val="00FC3AD4"/>
    <w:rsid w:val="00FC432C"/>
    <w:rsid w:val="00FD1088"/>
    <w:rsid w:val="00FD3259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47D1065-AC72-47C1-A3C7-5E794F4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54C5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F54C51"/>
    <w:rPr>
      <w:rFonts w:eastAsia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F54C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52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ybersecurity/Pages/cybersecurity-event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Cybersecurity/Pages/national-CIR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d/opb/str/D-STR-CYB_GUIDE.01-2018-PDF-S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80B3-73AB-45C8-98A1-AD0FB79C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78</TotalTime>
  <Pages>6</Pages>
  <Words>2595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Spanish82</dc:creator>
  <cp:keywords/>
  <dc:description/>
  <cp:lastModifiedBy>Spanish82</cp:lastModifiedBy>
  <cp:revision>81</cp:revision>
  <dcterms:created xsi:type="dcterms:W3CDTF">2019-01-31T07:42:00Z</dcterms:created>
  <dcterms:modified xsi:type="dcterms:W3CDTF">2019-01-31T09:00:00Z</dcterms:modified>
</cp:coreProperties>
</file>