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CE6A95" w:rsidTr="004C0AA5">
        <w:trPr>
          <w:cantSplit/>
          <w:trHeight w:val="1134"/>
        </w:trPr>
        <w:tc>
          <w:tcPr>
            <w:tcW w:w="6663" w:type="dxa"/>
          </w:tcPr>
          <w:p w:rsidR="00CE6A95" w:rsidRDefault="00CE6A95" w:rsidP="004C0AA5">
            <w:pPr>
              <w:ind w:left="34"/>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rsidR="00CE6A95" w:rsidRPr="00844A56" w:rsidRDefault="00CE6A95" w:rsidP="004C0AA5">
            <w:pPr>
              <w:spacing w:before="100" w:after="120"/>
              <w:ind w:left="34"/>
              <w:rPr>
                <w:rFonts w:ascii="Verdana" w:hAnsi="Verdana"/>
                <w:sz w:val="28"/>
                <w:szCs w:val="28"/>
              </w:rPr>
            </w:pPr>
            <w:r>
              <w:rPr>
                <w:b/>
                <w:bCs/>
                <w:sz w:val="26"/>
                <w:szCs w:val="26"/>
              </w:rPr>
              <w:t>24th Meeting, Geneva, 3-5 April 2019</w:t>
            </w:r>
          </w:p>
        </w:tc>
        <w:tc>
          <w:tcPr>
            <w:tcW w:w="3225" w:type="dxa"/>
          </w:tcPr>
          <w:p w:rsidR="00CE6A95" w:rsidRPr="00683C32" w:rsidRDefault="00CE6A95" w:rsidP="004C0AA5">
            <w:pPr>
              <w:spacing w:before="0"/>
              <w:ind w:right="142"/>
              <w:jc w:val="right"/>
            </w:pPr>
            <w:r w:rsidRPr="008E52B1">
              <w:rPr>
                <w:noProof/>
                <w:color w:val="3399FF"/>
                <w:lang w:eastAsia="zh-CN"/>
              </w:rPr>
              <w:drawing>
                <wp:inline distT="0" distB="0" distL="0" distR="0" wp14:anchorId="08803F3A" wp14:editId="3B06478C">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CE6A95" w:rsidRPr="00997358" w:rsidTr="004C0AA5">
        <w:trPr>
          <w:cantSplit/>
        </w:trPr>
        <w:tc>
          <w:tcPr>
            <w:tcW w:w="6663" w:type="dxa"/>
            <w:tcBorders>
              <w:top w:val="single" w:sz="12" w:space="0" w:color="auto"/>
            </w:tcBorders>
          </w:tcPr>
          <w:p w:rsidR="00CE6A95" w:rsidRPr="00997358" w:rsidRDefault="00CE6A95" w:rsidP="004C0AA5">
            <w:pPr>
              <w:spacing w:before="0"/>
              <w:rPr>
                <w:rFonts w:cs="Arial"/>
                <w:b/>
                <w:bCs/>
                <w:sz w:val="20"/>
              </w:rPr>
            </w:pPr>
          </w:p>
        </w:tc>
        <w:tc>
          <w:tcPr>
            <w:tcW w:w="3225" w:type="dxa"/>
            <w:tcBorders>
              <w:top w:val="single" w:sz="12" w:space="0" w:color="auto"/>
            </w:tcBorders>
          </w:tcPr>
          <w:p w:rsidR="00CE6A95" w:rsidRPr="00997358" w:rsidRDefault="00CE6A95" w:rsidP="004C0AA5">
            <w:pPr>
              <w:spacing w:before="0"/>
              <w:rPr>
                <w:b/>
                <w:bCs/>
                <w:sz w:val="20"/>
              </w:rPr>
            </w:pPr>
          </w:p>
        </w:tc>
      </w:tr>
      <w:tr w:rsidR="00CE6A95" w:rsidRPr="00002716" w:rsidTr="004C0AA5">
        <w:trPr>
          <w:cantSplit/>
        </w:trPr>
        <w:tc>
          <w:tcPr>
            <w:tcW w:w="6663" w:type="dxa"/>
          </w:tcPr>
          <w:p w:rsidR="00CE6A95" w:rsidRPr="007F1CC7" w:rsidRDefault="00CE6A95" w:rsidP="004C0AA5">
            <w:pPr>
              <w:pStyle w:val="Committee"/>
              <w:framePr w:hSpace="0" w:wrap="auto" w:hAnchor="text" w:yAlign="inline"/>
              <w:rPr>
                <w:b w:val="0"/>
              </w:rPr>
            </w:pPr>
          </w:p>
        </w:tc>
        <w:tc>
          <w:tcPr>
            <w:tcW w:w="3225" w:type="dxa"/>
          </w:tcPr>
          <w:p w:rsidR="00CE6A95" w:rsidRPr="007F1CC7" w:rsidRDefault="00CE6A95" w:rsidP="00083E4F">
            <w:pPr>
              <w:spacing w:before="0"/>
              <w:jc w:val="both"/>
              <w:rPr>
                <w:bCs/>
                <w:szCs w:val="24"/>
                <w:lang w:val="en-US"/>
              </w:rPr>
            </w:pPr>
            <w:r w:rsidRPr="00002716">
              <w:rPr>
                <w:b/>
                <w:bCs/>
                <w:lang w:val="en-US"/>
              </w:rPr>
              <w:t>Document</w:t>
            </w:r>
            <w:r w:rsidRPr="00A54E72">
              <w:rPr>
                <w:b/>
                <w:bCs/>
                <w:lang w:val="en-US"/>
              </w:rPr>
              <w:t xml:space="preserve"> </w:t>
            </w:r>
            <w:bookmarkStart w:id="0" w:name="DocRef1"/>
            <w:bookmarkEnd w:id="0"/>
            <w:r>
              <w:rPr>
                <w:b/>
                <w:bCs/>
                <w:lang w:val="en-US"/>
              </w:rPr>
              <w:t>TDAG-19</w:t>
            </w:r>
            <w:r w:rsidRPr="00A54E72">
              <w:rPr>
                <w:b/>
                <w:bCs/>
                <w:lang w:val="en-US"/>
              </w:rPr>
              <w:t>/</w:t>
            </w:r>
            <w:bookmarkStart w:id="1" w:name="DocNo1"/>
            <w:bookmarkEnd w:id="1"/>
            <w:r w:rsidR="00226A82">
              <w:rPr>
                <w:b/>
                <w:bCs/>
                <w:lang w:val="en-US"/>
              </w:rPr>
              <w:t>3</w:t>
            </w:r>
            <w:r w:rsidR="00083E4F">
              <w:rPr>
                <w:b/>
                <w:bCs/>
                <w:lang w:val="en-US"/>
              </w:rPr>
              <w:t>1</w:t>
            </w:r>
            <w:r>
              <w:rPr>
                <w:b/>
                <w:bCs/>
                <w:lang w:val="en-US"/>
              </w:rPr>
              <w:t>-E</w:t>
            </w:r>
          </w:p>
        </w:tc>
      </w:tr>
      <w:tr w:rsidR="00CE6A95" w:rsidTr="004C0AA5">
        <w:trPr>
          <w:cantSplit/>
        </w:trPr>
        <w:tc>
          <w:tcPr>
            <w:tcW w:w="6663" w:type="dxa"/>
          </w:tcPr>
          <w:p w:rsidR="00CE6A95" w:rsidRPr="007F1CC7" w:rsidRDefault="00CE6A95" w:rsidP="004C0AA5">
            <w:pPr>
              <w:spacing w:before="0"/>
              <w:rPr>
                <w:b/>
                <w:bCs/>
                <w:smallCaps/>
                <w:szCs w:val="24"/>
                <w:lang w:val="en-US"/>
              </w:rPr>
            </w:pPr>
          </w:p>
        </w:tc>
        <w:tc>
          <w:tcPr>
            <w:tcW w:w="3225" w:type="dxa"/>
          </w:tcPr>
          <w:p w:rsidR="00CE6A95" w:rsidRPr="007F1CC7" w:rsidRDefault="00B17541" w:rsidP="005701F8">
            <w:pPr>
              <w:spacing w:before="0"/>
              <w:rPr>
                <w:b/>
                <w:szCs w:val="24"/>
              </w:rPr>
            </w:pPr>
            <w:bookmarkStart w:id="2" w:name="CreationDate"/>
            <w:bookmarkEnd w:id="2"/>
            <w:r>
              <w:rPr>
                <w:b/>
                <w:bCs/>
                <w:szCs w:val="28"/>
              </w:rPr>
              <w:t>2</w:t>
            </w:r>
            <w:r w:rsidR="005701F8">
              <w:rPr>
                <w:b/>
                <w:bCs/>
                <w:szCs w:val="28"/>
              </w:rPr>
              <w:t>5</w:t>
            </w:r>
            <w:bookmarkStart w:id="3" w:name="_GoBack"/>
            <w:bookmarkEnd w:id="3"/>
            <w:r w:rsidR="00CE6A95">
              <w:rPr>
                <w:b/>
                <w:bCs/>
                <w:szCs w:val="28"/>
              </w:rPr>
              <w:t xml:space="preserve"> January </w:t>
            </w:r>
            <w:r w:rsidR="00CE6A95" w:rsidRPr="008F5D48">
              <w:rPr>
                <w:b/>
                <w:bCs/>
                <w:szCs w:val="28"/>
              </w:rPr>
              <w:t>201</w:t>
            </w:r>
            <w:r w:rsidR="00CE6A95">
              <w:rPr>
                <w:b/>
                <w:bCs/>
                <w:szCs w:val="28"/>
              </w:rPr>
              <w:t>9</w:t>
            </w:r>
          </w:p>
        </w:tc>
      </w:tr>
      <w:tr w:rsidR="00CE6A95" w:rsidTr="004C0AA5">
        <w:trPr>
          <w:cantSplit/>
        </w:trPr>
        <w:tc>
          <w:tcPr>
            <w:tcW w:w="6663" w:type="dxa"/>
          </w:tcPr>
          <w:p w:rsidR="00CE6A95" w:rsidRPr="007F1CC7" w:rsidRDefault="00CE6A95" w:rsidP="004C0AA5">
            <w:pPr>
              <w:spacing w:before="0"/>
              <w:rPr>
                <w:b/>
                <w:bCs/>
                <w:smallCaps/>
                <w:szCs w:val="24"/>
              </w:rPr>
            </w:pPr>
          </w:p>
        </w:tc>
        <w:tc>
          <w:tcPr>
            <w:tcW w:w="3225" w:type="dxa"/>
          </w:tcPr>
          <w:p w:rsidR="00CE6A95" w:rsidRPr="007F1CC7" w:rsidRDefault="00D60983" w:rsidP="00D60983">
            <w:pPr>
              <w:spacing w:before="0"/>
              <w:rPr>
                <w:szCs w:val="24"/>
              </w:rPr>
            </w:pPr>
            <w:r>
              <w:rPr>
                <w:b/>
                <w:bCs/>
                <w:szCs w:val="24"/>
                <w:lang w:val="fr-FR"/>
              </w:rPr>
              <w:t xml:space="preserve">Original: </w:t>
            </w:r>
            <w:r w:rsidR="00CE6A95" w:rsidRPr="00B62876">
              <w:rPr>
                <w:b/>
                <w:bCs/>
                <w:szCs w:val="24"/>
                <w:lang w:val="fr-FR"/>
              </w:rPr>
              <w:t>English</w:t>
            </w:r>
          </w:p>
        </w:tc>
      </w:tr>
      <w:tr w:rsidR="00CE6A95" w:rsidTr="004C0AA5">
        <w:trPr>
          <w:cantSplit/>
          <w:trHeight w:val="852"/>
        </w:trPr>
        <w:tc>
          <w:tcPr>
            <w:tcW w:w="9888" w:type="dxa"/>
            <w:gridSpan w:val="2"/>
          </w:tcPr>
          <w:p w:rsidR="00CE6A95" w:rsidRPr="00B62876" w:rsidRDefault="003B307E" w:rsidP="00CE6A95">
            <w:pPr>
              <w:pStyle w:val="Source"/>
              <w:spacing w:before="240" w:after="240"/>
            </w:pPr>
            <w:bookmarkStart w:id="4" w:name="Source"/>
            <w:bookmarkEnd w:id="4"/>
            <w:r w:rsidRPr="003B307E">
              <w:t>Director, Telecommunication Development Bureau</w:t>
            </w:r>
          </w:p>
        </w:tc>
      </w:tr>
      <w:tr w:rsidR="00CE6A95" w:rsidRPr="002E6963" w:rsidTr="0016673F">
        <w:trPr>
          <w:cantSplit/>
        </w:trPr>
        <w:tc>
          <w:tcPr>
            <w:tcW w:w="9888" w:type="dxa"/>
            <w:gridSpan w:val="2"/>
            <w:vAlign w:val="center"/>
          </w:tcPr>
          <w:p w:rsidR="00CE6A95" w:rsidRPr="00B62876" w:rsidRDefault="00083E4F" w:rsidP="00226A82">
            <w:pPr>
              <w:pStyle w:val="Title1"/>
              <w:spacing w:before="120" w:after="120"/>
            </w:pPr>
            <w:bookmarkStart w:id="5" w:name="Title"/>
            <w:bookmarkEnd w:id="5"/>
            <w:r w:rsidRPr="00083E4F">
              <w:rPr>
                <w:szCs w:val="28"/>
              </w:rPr>
              <w:t>ITU-D DIGITAL INCLUSION PROGRAMME</w:t>
            </w:r>
          </w:p>
        </w:tc>
      </w:tr>
      <w:tr w:rsidR="00CE6A95" w:rsidRPr="002E6963" w:rsidTr="004C0AA5">
        <w:trPr>
          <w:cantSplit/>
        </w:trPr>
        <w:tc>
          <w:tcPr>
            <w:tcW w:w="9888" w:type="dxa"/>
            <w:gridSpan w:val="2"/>
            <w:tcBorders>
              <w:bottom w:val="single" w:sz="4" w:space="0" w:color="auto"/>
            </w:tcBorders>
          </w:tcPr>
          <w:p w:rsidR="00CE6A95" w:rsidRPr="00A721F4" w:rsidRDefault="00CE6A95" w:rsidP="004C0AA5"/>
        </w:tc>
      </w:tr>
      <w:tr w:rsidR="00CE6A95" w:rsidRPr="002E6963" w:rsidTr="004C0AA5">
        <w:trPr>
          <w:cantSplit/>
        </w:trPr>
        <w:tc>
          <w:tcPr>
            <w:tcW w:w="9888" w:type="dxa"/>
            <w:gridSpan w:val="2"/>
            <w:tcBorders>
              <w:top w:val="single" w:sz="4" w:space="0" w:color="auto"/>
              <w:left w:val="single" w:sz="4" w:space="0" w:color="auto"/>
              <w:bottom w:val="single" w:sz="4" w:space="0" w:color="auto"/>
              <w:right w:val="single" w:sz="4" w:space="0" w:color="auto"/>
            </w:tcBorders>
          </w:tcPr>
          <w:p w:rsidR="00CE6A95" w:rsidRPr="00D9621A" w:rsidRDefault="00CE6A95" w:rsidP="004C0AA5">
            <w:pPr>
              <w:spacing w:before="240"/>
              <w:rPr>
                <w:b/>
                <w:bCs/>
                <w:szCs w:val="24"/>
              </w:rPr>
            </w:pPr>
            <w:r w:rsidRPr="00D9621A">
              <w:rPr>
                <w:b/>
                <w:bCs/>
                <w:szCs w:val="24"/>
              </w:rPr>
              <w:t>Summary:</w:t>
            </w:r>
          </w:p>
          <w:p w:rsidR="000C6206" w:rsidRPr="00A27D06" w:rsidRDefault="000C6206" w:rsidP="000C6206">
            <w:pPr>
              <w:rPr>
                <w:szCs w:val="24"/>
              </w:rPr>
            </w:pPr>
            <w:r w:rsidRPr="00A27D06">
              <w:rPr>
                <w:szCs w:val="24"/>
              </w:rPr>
              <w:t xml:space="preserve">This report provides an overview </w:t>
            </w:r>
            <w:r w:rsidRPr="00A27D06">
              <w:rPr>
                <w:noProof/>
                <w:szCs w:val="24"/>
              </w:rPr>
              <w:t>of</w:t>
            </w:r>
            <w:r w:rsidRPr="00A27D06">
              <w:rPr>
                <w:szCs w:val="24"/>
              </w:rPr>
              <w:t xml:space="preserve"> the main activities of the ITU-D Digital Inclusion as one of the outputs and goals adopted at the World Telecommunication Development Conference in 2017 (WTDC-17), and the Plenipotentiary Conference in 2018 (PP-18), respectively. </w:t>
            </w:r>
          </w:p>
          <w:p w:rsidR="000C6206" w:rsidRPr="00A27D06" w:rsidRDefault="000C6206" w:rsidP="000C6206">
            <w:pPr>
              <w:rPr>
                <w:szCs w:val="24"/>
              </w:rPr>
            </w:pPr>
            <w:r w:rsidRPr="00A27D06">
              <w:rPr>
                <w:noProof/>
                <w:szCs w:val="24"/>
              </w:rPr>
              <w:t>Following a result</w:t>
            </w:r>
            <w:r w:rsidR="005077F8">
              <w:rPr>
                <w:noProof/>
                <w:szCs w:val="24"/>
              </w:rPr>
              <w:t>s</w:t>
            </w:r>
            <w:r w:rsidRPr="00A27D06">
              <w:rPr>
                <w:noProof/>
                <w:szCs w:val="24"/>
              </w:rPr>
              <w:t>-based management and actions</w:t>
            </w:r>
            <w:r w:rsidRPr="00A27D06">
              <w:rPr>
                <w:szCs w:val="24"/>
              </w:rPr>
              <w:t xml:space="preserve">, the report </w:t>
            </w:r>
            <w:r w:rsidRPr="00A27D06">
              <w:rPr>
                <w:noProof/>
                <w:szCs w:val="24"/>
              </w:rPr>
              <w:t>presents</w:t>
            </w:r>
            <w:r w:rsidRPr="00A27D06">
              <w:rPr>
                <w:szCs w:val="24"/>
              </w:rPr>
              <w:t xml:space="preserve"> </w:t>
            </w:r>
            <w:r w:rsidRPr="00A27D06">
              <w:rPr>
                <w:noProof/>
                <w:szCs w:val="24"/>
              </w:rPr>
              <w:t>an overview</w:t>
            </w:r>
            <w:r w:rsidRPr="00A27D06">
              <w:rPr>
                <w:szCs w:val="24"/>
              </w:rPr>
              <w:t xml:space="preserve"> of ITU-D Digital Inclusion objectives and strategies, the key actions that have already been implemented or planned to be, and ways forward to implement the ITU-D Digital Inclusion.</w:t>
            </w:r>
          </w:p>
          <w:p w:rsidR="000C6206" w:rsidRPr="00FF4FB6" w:rsidRDefault="000C6206" w:rsidP="000C6206">
            <w:pPr>
              <w:tabs>
                <w:tab w:val="clear" w:pos="1871"/>
                <w:tab w:val="clear" w:pos="2268"/>
                <w:tab w:val="left" w:pos="4429"/>
              </w:tabs>
              <w:rPr>
                <w:b/>
                <w:bCs/>
                <w:szCs w:val="24"/>
              </w:rPr>
            </w:pPr>
            <w:r w:rsidRPr="00FF4FB6">
              <w:rPr>
                <w:b/>
                <w:bCs/>
                <w:szCs w:val="24"/>
              </w:rPr>
              <w:t>Action required:</w:t>
            </w:r>
          </w:p>
          <w:p w:rsidR="005077F8" w:rsidRDefault="000C6206" w:rsidP="009E045F">
            <w:pPr>
              <w:spacing w:after="120"/>
              <w:rPr>
                <w:szCs w:val="24"/>
              </w:rPr>
            </w:pPr>
            <w:r w:rsidRPr="00FF4FB6">
              <w:rPr>
                <w:szCs w:val="24"/>
              </w:rPr>
              <w:t>TDAG is invited to note this document and provide guidance as deemed appropriate.</w:t>
            </w:r>
            <w:r w:rsidR="005077F8">
              <w:rPr>
                <w:szCs w:val="24"/>
              </w:rPr>
              <w:t xml:space="preserve"> </w:t>
            </w:r>
          </w:p>
          <w:p w:rsidR="005077F8" w:rsidRDefault="005077F8" w:rsidP="005077F8">
            <w:pPr>
              <w:spacing w:after="120"/>
              <w:rPr>
                <w:szCs w:val="24"/>
              </w:rPr>
            </w:pPr>
            <w:r>
              <w:rPr>
                <w:b/>
                <w:bCs/>
                <w:szCs w:val="24"/>
              </w:rPr>
              <w:t>References:</w:t>
            </w:r>
          </w:p>
          <w:p w:rsidR="005077F8" w:rsidRPr="005077F8" w:rsidRDefault="005077F8" w:rsidP="005077F8">
            <w:pPr>
              <w:spacing w:after="120"/>
            </w:pPr>
            <w:r>
              <w:rPr>
                <w:szCs w:val="24"/>
              </w:rPr>
              <w:t>N/a</w:t>
            </w:r>
          </w:p>
        </w:tc>
      </w:tr>
    </w:tbl>
    <w:p w:rsidR="001E252D" w:rsidRPr="00B62876" w:rsidRDefault="001E252D">
      <w:pPr>
        <w:tabs>
          <w:tab w:val="clear" w:pos="1134"/>
          <w:tab w:val="clear" w:pos="1871"/>
          <w:tab w:val="clear" w:pos="2268"/>
        </w:tabs>
        <w:overflowPunct/>
        <w:autoSpaceDE/>
        <w:autoSpaceDN/>
        <w:adjustRightInd/>
        <w:spacing w:before="0"/>
        <w:textAlignment w:val="auto"/>
        <w:rPr>
          <w:szCs w:val="24"/>
        </w:rPr>
      </w:pPr>
    </w:p>
    <w:p w:rsidR="00075C63" w:rsidRPr="00B62876" w:rsidRDefault="00075C63">
      <w:pPr>
        <w:tabs>
          <w:tab w:val="clear" w:pos="1134"/>
          <w:tab w:val="clear" w:pos="1871"/>
          <w:tab w:val="clear" w:pos="2268"/>
        </w:tabs>
        <w:overflowPunct/>
        <w:autoSpaceDE/>
        <w:autoSpaceDN/>
        <w:adjustRightInd/>
        <w:spacing w:before="0"/>
        <w:textAlignment w:val="auto"/>
        <w:rPr>
          <w:szCs w:val="24"/>
        </w:rPr>
      </w:pPr>
      <w:r w:rsidRPr="00B62876">
        <w:rPr>
          <w:szCs w:val="24"/>
        </w:rPr>
        <w:br w:type="page"/>
      </w:r>
    </w:p>
    <w:p w:rsidR="002A3CB6" w:rsidRPr="002A3CB6" w:rsidRDefault="002A3CB6" w:rsidP="002A3CB6">
      <w:pPr>
        <w:pStyle w:val="Heading1"/>
        <w:numPr>
          <w:ilvl w:val="0"/>
          <w:numId w:val="10"/>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2A3CB6">
        <w:rPr>
          <w:rFonts w:cstheme="minorHAnsi"/>
          <w:sz w:val="24"/>
          <w:szCs w:val="24"/>
        </w:rPr>
        <w:lastRenderedPageBreak/>
        <w:t>Background</w:t>
      </w:r>
    </w:p>
    <w:p w:rsidR="002A3CB6" w:rsidRPr="002A3CB6" w:rsidRDefault="002A3CB6">
      <w:pPr>
        <w:spacing w:after="120"/>
      </w:pPr>
      <w:r w:rsidRPr="002A3CB6">
        <w:rPr>
          <w:rFonts w:cstheme="minorHAnsi"/>
          <w:szCs w:val="24"/>
          <w:lang w:eastAsia="zh-CN"/>
        </w:rPr>
        <w:t xml:space="preserve">Despite the increasing deployment of telecommunication/ICT networks, equipment, services </w:t>
      </w:r>
      <w:r w:rsidRPr="002A3CB6">
        <w:rPr>
          <w:rFonts w:cstheme="minorHAnsi"/>
          <w:noProof/>
          <w:szCs w:val="24"/>
          <w:lang w:eastAsia="zh-CN"/>
        </w:rPr>
        <w:t>and</w:t>
      </w:r>
      <w:r w:rsidRPr="002A3CB6">
        <w:rPr>
          <w:rFonts w:cstheme="minorHAnsi"/>
          <w:szCs w:val="24"/>
          <w:lang w:eastAsia="zh-CN"/>
        </w:rPr>
        <w:t xml:space="preserve"> applications, many people remain excluded from the information society. Therefore, </w:t>
      </w:r>
      <w:r w:rsidRPr="002A3CB6">
        <w:t xml:space="preserve">ITU works to bridge the digital divide for an inclusive information society. </w:t>
      </w:r>
    </w:p>
    <w:p w:rsidR="002A3CB6" w:rsidRPr="002A3CB6" w:rsidRDefault="002A3CB6">
      <w:pPr>
        <w:spacing w:after="120"/>
        <w:rPr>
          <w:rFonts w:cstheme="minorHAnsi"/>
          <w:szCs w:val="24"/>
          <w:lang w:eastAsia="zh-CN"/>
        </w:rPr>
      </w:pPr>
      <w:r w:rsidRPr="002A3CB6">
        <w:rPr>
          <w:rFonts w:cstheme="minorHAnsi"/>
          <w:szCs w:val="24"/>
          <w:lang w:eastAsia="zh-CN"/>
        </w:rPr>
        <w:t xml:space="preserve">ITU is </w:t>
      </w:r>
      <w:r w:rsidRPr="002A3CB6">
        <w:t xml:space="preserve">people-centered and committed to ensuring that everyone without exception benefits from telecommunications/ICTs. </w:t>
      </w:r>
      <w:r w:rsidRPr="002A3CB6">
        <w:rPr>
          <w:rFonts w:cstheme="minorHAnsi"/>
          <w:noProof/>
          <w:szCs w:val="24"/>
          <w:lang w:eastAsia="zh-CN"/>
        </w:rPr>
        <w:t>Inclusiveness</w:t>
      </w:r>
      <w:r w:rsidRPr="002A3CB6">
        <w:rPr>
          <w:rFonts w:cstheme="minorHAnsi"/>
          <w:szCs w:val="24"/>
          <w:lang w:eastAsia="zh-CN"/>
        </w:rPr>
        <w:t xml:space="preserve"> is ITU’</w:t>
      </w:r>
      <w:r w:rsidR="005077F8">
        <w:rPr>
          <w:rFonts w:cstheme="minorHAnsi"/>
          <w:szCs w:val="24"/>
          <w:lang w:eastAsia="zh-CN"/>
        </w:rPr>
        <w:t>s</w:t>
      </w:r>
      <w:r w:rsidRPr="002A3CB6">
        <w:rPr>
          <w:rFonts w:cstheme="minorHAnsi"/>
          <w:szCs w:val="24"/>
          <w:lang w:eastAsia="zh-CN"/>
        </w:rPr>
        <w:t xml:space="preserve"> </w:t>
      </w:r>
      <w:r w:rsidRPr="002A3CB6">
        <w:rPr>
          <w:rFonts w:cstheme="minorHAnsi"/>
          <w:noProof/>
          <w:szCs w:val="24"/>
          <w:lang w:eastAsia="zh-CN"/>
        </w:rPr>
        <w:t>strategic</w:t>
      </w:r>
      <w:r w:rsidRPr="002A3CB6">
        <w:rPr>
          <w:rFonts w:cstheme="minorHAnsi"/>
          <w:szCs w:val="24"/>
          <w:lang w:eastAsia="zh-CN"/>
        </w:rPr>
        <w:t xml:space="preserve"> goal Nr.2</w:t>
      </w:r>
      <w:r w:rsidR="005077F8">
        <w:rPr>
          <w:rFonts w:cstheme="minorHAnsi"/>
          <w:szCs w:val="24"/>
          <w:lang w:eastAsia="zh-CN"/>
        </w:rPr>
        <w:t>,</w:t>
      </w:r>
      <w:r w:rsidRPr="002A3CB6">
        <w:rPr>
          <w:rFonts w:cstheme="minorHAnsi"/>
          <w:szCs w:val="24"/>
          <w:lang w:eastAsia="zh-CN"/>
        </w:rPr>
        <w:t xml:space="preserve"> and its target 2.9 explicitly calls for enabling accessible environments for all people, including for persons with disabilities in ALL countries by 2023. In line with ITU’s vision and mandate, ITU </w:t>
      </w:r>
      <w:r w:rsidR="005077F8">
        <w:rPr>
          <w:rFonts w:cstheme="minorHAnsi"/>
          <w:szCs w:val="24"/>
          <w:lang w:eastAsia="zh-CN"/>
        </w:rPr>
        <w:t>m</w:t>
      </w:r>
      <w:r w:rsidR="005077F8" w:rsidRPr="002A3CB6">
        <w:rPr>
          <w:rFonts w:cstheme="minorHAnsi"/>
          <w:szCs w:val="24"/>
          <w:lang w:eastAsia="zh-CN"/>
        </w:rPr>
        <w:t xml:space="preserve">embership </w:t>
      </w:r>
      <w:r w:rsidRPr="002A3CB6">
        <w:rPr>
          <w:rFonts w:cstheme="minorHAnsi"/>
          <w:szCs w:val="24"/>
          <w:lang w:eastAsia="zh-CN"/>
        </w:rPr>
        <w:t xml:space="preserve">has recognized Digital Inclusion as one of the main priorities to consider at both WTDC-17 and PP-18.  </w:t>
      </w:r>
    </w:p>
    <w:p w:rsidR="002A3CB6" w:rsidRPr="002A3CB6" w:rsidRDefault="002A3CB6">
      <w:pPr>
        <w:spacing w:after="120"/>
        <w:rPr>
          <w:rFonts w:cstheme="minorHAnsi"/>
          <w:szCs w:val="24"/>
          <w:lang w:eastAsia="zh-CN"/>
        </w:rPr>
      </w:pPr>
      <w:r w:rsidRPr="002A3CB6">
        <w:rPr>
          <w:rFonts w:cstheme="minorHAnsi"/>
          <w:szCs w:val="24"/>
          <w:lang w:eastAsia="zh-CN"/>
        </w:rPr>
        <w:t xml:space="preserve">Digital Inclusion </w:t>
      </w:r>
      <w:r w:rsidRPr="002A3CB6">
        <w:rPr>
          <w:rFonts w:cstheme="minorHAnsi"/>
          <w:noProof/>
          <w:szCs w:val="24"/>
          <w:lang w:eastAsia="zh-CN"/>
        </w:rPr>
        <w:t>is reflected</w:t>
      </w:r>
      <w:r w:rsidRPr="002A3CB6">
        <w:rPr>
          <w:rFonts w:cstheme="minorHAnsi"/>
          <w:szCs w:val="24"/>
          <w:lang w:eastAsia="zh-CN"/>
        </w:rPr>
        <w:t xml:space="preserve"> as Output 4.3 in </w:t>
      </w:r>
      <w:r w:rsidR="005077F8">
        <w:rPr>
          <w:rFonts w:cstheme="minorHAnsi"/>
          <w:szCs w:val="24"/>
          <w:lang w:eastAsia="zh-CN"/>
        </w:rPr>
        <w:t xml:space="preserve">the </w:t>
      </w:r>
      <w:r w:rsidRPr="002A3CB6">
        <w:rPr>
          <w:rFonts w:cstheme="minorHAnsi"/>
          <w:szCs w:val="24"/>
          <w:lang w:eastAsia="zh-CN"/>
        </w:rPr>
        <w:t>Buenos Aires Action Plan and directly contributes to WSIS actions lines C1, C2, C3, C4, C6, C7, C8 and C9, with the aim to accelerate the implementation of SDGs</w:t>
      </w:r>
      <w:r w:rsidR="005077F8">
        <w:rPr>
          <w:rFonts w:cstheme="minorHAnsi"/>
          <w:szCs w:val="24"/>
          <w:lang w:eastAsia="zh-CN"/>
        </w:rPr>
        <w:t>,</w:t>
      </w:r>
      <w:r w:rsidRPr="002A3CB6">
        <w:rPr>
          <w:rFonts w:cstheme="minorHAnsi"/>
          <w:szCs w:val="24"/>
          <w:lang w:eastAsia="zh-CN"/>
        </w:rPr>
        <w:t xml:space="preserve"> and </w:t>
      </w:r>
      <w:r w:rsidR="005077F8">
        <w:rPr>
          <w:rFonts w:cstheme="minorHAnsi"/>
          <w:szCs w:val="24"/>
          <w:lang w:eastAsia="zh-CN"/>
        </w:rPr>
        <w:t xml:space="preserve">to </w:t>
      </w:r>
      <w:r w:rsidRPr="002A3CB6">
        <w:rPr>
          <w:rFonts w:cstheme="minorHAnsi"/>
          <w:szCs w:val="24"/>
          <w:lang w:eastAsia="zh-CN"/>
        </w:rPr>
        <w:t>associated targets: 4 (target 4.3, 4.4, 4.5); 5 (targets 5.5, 5b); 8 targets 8.2, 8.3, 8.5, 8.6, 8b); 10 (target 10.2) and 17 (target 17.7).</w:t>
      </w:r>
    </w:p>
    <w:p w:rsidR="002A3CB6" w:rsidRPr="002A3CB6" w:rsidRDefault="002A3CB6" w:rsidP="002A3CB6">
      <w:pPr>
        <w:pStyle w:val="Heading1"/>
        <w:numPr>
          <w:ilvl w:val="0"/>
          <w:numId w:val="10"/>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2A3CB6">
        <w:rPr>
          <w:rFonts w:cstheme="minorHAnsi"/>
          <w:sz w:val="24"/>
          <w:szCs w:val="24"/>
        </w:rPr>
        <w:t>Objectives and Strategies</w:t>
      </w:r>
    </w:p>
    <w:p w:rsidR="002A3CB6" w:rsidRPr="002A3CB6" w:rsidRDefault="002A3CB6" w:rsidP="002A3CB6">
      <w:pPr>
        <w:spacing w:after="120"/>
        <w:rPr>
          <w:rFonts w:cstheme="minorHAnsi"/>
          <w:szCs w:val="24"/>
        </w:rPr>
      </w:pPr>
      <w:r w:rsidRPr="002A3CB6">
        <w:rPr>
          <w:rFonts w:cstheme="minorHAnsi"/>
          <w:noProof/>
          <w:szCs w:val="24"/>
          <w:lang w:eastAsia="zh-CN"/>
        </w:rPr>
        <w:t>In accordance with</w:t>
      </w:r>
      <w:r w:rsidRPr="002A3CB6">
        <w:rPr>
          <w:rFonts w:cstheme="minorHAnsi"/>
          <w:szCs w:val="24"/>
          <w:lang w:eastAsia="zh-CN"/>
        </w:rPr>
        <w:t xml:space="preserve"> </w:t>
      </w:r>
      <w:r w:rsidRPr="002A3CB6">
        <w:rPr>
          <w:rFonts w:cstheme="minorHAnsi"/>
          <w:szCs w:val="24"/>
        </w:rPr>
        <w:t>WTDC-17, t</w:t>
      </w:r>
      <w:r w:rsidRPr="002A3CB6">
        <w:rPr>
          <w:rFonts w:cstheme="minorHAnsi"/>
          <w:szCs w:val="24"/>
          <w:lang w:eastAsia="zh-CN"/>
        </w:rPr>
        <w:t xml:space="preserve">he main objectives </w:t>
      </w:r>
      <w:r w:rsidRPr="002A3CB6">
        <w:rPr>
          <w:rFonts w:cstheme="minorHAnsi"/>
          <w:szCs w:val="24"/>
          <w:lang w:eastAsia="ko-KR"/>
        </w:rPr>
        <w:t xml:space="preserve">of ITU-D Digital Inclusion Programme are </w:t>
      </w:r>
      <w:r w:rsidRPr="002A3CB6">
        <w:rPr>
          <w:rFonts w:cstheme="minorHAnsi"/>
          <w:szCs w:val="24"/>
        </w:rPr>
        <w:t xml:space="preserve">to support ITU Members in their implementation process including through the </w:t>
      </w:r>
      <w:r w:rsidRPr="002A3CB6">
        <w:rPr>
          <w:rFonts w:cstheme="minorHAnsi"/>
          <w:noProof/>
          <w:szCs w:val="24"/>
        </w:rPr>
        <w:t>development</w:t>
      </w:r>
      <w:r w:rsidRPr="002A3CB6">
        <w:rPr>
          <w:rFonts w:cstheme="minorHAnsi"/>
          <w:szCs w:val="24"/>
        </w:rPr>
        <w:t xml:space="preserve"> of </w:t>
      </w:r>
      <w:r w:rsidRPr="002A3CB6">
        <w:rPr>
          <w:rFonts w:cstheme="minorHAnsi"/>
          <w:szCs w:val="24"/>
          <w:lang w:eastAsia="ko-KR"/>
        </w:rPr>
        <w:t xml:space="preserve">resources </w:t>
      </w:r>
      <w:r w:rsidRPr="002A3CB6">
        <w:rPr>
          <w:szCs w:val="24"/>
          <w:lang w:eastAsia="ko-KR"/>
        </w:rPr>
        <w:t>and tools,</w:t>
      </w:r>
      <w:r w:rsidRPr="002A3CB6">
        <w:rPr>
          <w:rFonts w:cstheme="minorHAnsi"/>
          <w:szCs w:val="24"/>
        </w:rPr>
        <w:t xml:space="preserve"> awareness raising in developing and implementing the digital inclusion strategies, policies </w:t>
      </w:r>
      <w:r w:rsidRPr="002A3CB6">
        <w:rPr>
          <w:rFonts w:cstheme="minorHAnsi"/>
          <w:noProof/>
          <w:szCs w:val="24"/>
        </w:rPr>
        <w:t>and</w:t>
      </w:r>
      <w:r w:rsidRPr="002A3CB6">
        <w:rPr>
          <w:rFonts w:cstheme="minorHAnsi"/>
          <w:szCs w:val="24"/>
        </w:rPr>
        <w:t xml:space="preserve"> practices</w:t>
      </w:r>
      <w:r w:rsidRPr="002A3CB6">
        <w:rPr>
          <w:szCs w:val="24"/>
          <w:lang w:eastAsia="ko-KR"/>
        </w:rPr>
        <w:t xml:space="preserve"> and strengthening capacity in digital inclusion topics through capacity building trainings</w:t>
      </w:r>
      <w:r w:rsidRPr="002A3CB6">
        <w:rPr>
          <w:rFonts w:cstheme="minorHAnsi"/>
          <w:szCs w:val="24"/>
        </w:rPr>
        <w:t>.</w:t>
      </w:r>
    </w:p>
    <w:p w:rsidR="002A3CB6" w:rsidRPr="002A3CB6" w:rsidRDefault="002A3CB6" w:rsidP="002A3CB6">
      <w:pPr>
        <w:spacing w:after="120"/>
        <w:rPr>
          <w:rFonts w:cs="Segoe UI"/>
          <w:sz w:val="20"/>
        </w:rPr>
      </w:pPr>
      <w:r w:rsidRPr="002A3CB6">
        <w:rPr>
          <w:rFonts w:cstheme="minorHAnsi"/>
          <w:szCs w:val="24"/>
        </w:rPr>
        <w:t xml:space="preserve">Digital Inclusion activities have been designed to promote ICT accessibility and ensure it contributes to the social and economic development, </w:t>
      </w:r>
      <w:r w:rsidRPr="002A3CB6">
        <w:rPr>
          <w:rFonts w:cstheme="minorHAnsi"/>
          <w:noProof/>
          <w:szCs w:val="24"/>
        </w:rPr>
        <w:t>especially</w:t>
      </w:r>
      <w:r w:rsidRPr="002A3CB6">
        <w:rPr>
          <w:rFonts w:cstheme="minorHAnsi"/>
          <w:szCs w:val="24"/>
        </w:rPr>
        <w:t xml:space="preserve"> for people with specific needs, including persons with disabilities (PwD) and </w:t>
      </w:r>
      <w:r w:rsidRPr="002A3CB6">
        <w:rPr>
          <w:rFonts w:cstheme="minorHAnsi"/>
          <w:noProof/>
          <w:szCs w:val="24"/>
        </w:rPr>
        <w:t>elderly, women</w:t>
      </w:r>
      <w:r w:rsidRPr="002A3CB6">
        <w:rPr>
          <w:rFonts w:cstheme="minorHAnsi"/>
          <w:szCs w:val="24"/>
        </w:rPr>
        <w:t xml:space="preserve"> and girls, youth and children, Indigenous Peoples and people living in rural areas.</w:t>
      </w:r>
      <w:r w:rsidRPr="002A3CB6">
        <w:rPr>
          <w:rFonts w:cs="Segoe UI"/>
          <w:sz w:val="20"/>
        </w:rPr>
        <w:t xml:space="preserve"> </w:t>
      </w:r>
    </w:p>
    <w:p w:rsidR="002A3CB6" w:rsidRPr="002A3CB6" w:rsidRDefault="002A3CB6" w:rsidP="002A3CB6">
      <w:pPr>
        <w:spacing w:after="120"/>
        <w:rPr>
          <w:rFonts w:cstheme="minorHAnsi"/>
          <w:szCs w:val="24"/>
        </w:rPr>
      </w:pPr>
      <w:r w:rsidRPr="002A3CB6">
        <w:rPr>
          <w:rFonts w:cstheme="minorHAnsi"/>
          <w:noProof/>
          <w:szCs w:val="24"/>
        </w:rPr>
        <w:t>Considering that ITU Members expressed the need for set priorities, as well as acknowledging the global efforts in building inclusive digital societies, the Digital Inclusion Programme implementation strategy takes a holistic approach, while recognizing that activities aimed at one group also positively impact the other groups. At the same time, the implementation of activities specifically responds to each of the target groups of persons with specific needs.</w:t>
      </w:r>
    </w:p>
    <w:p w:rsidR="002A3CB6" w:rsidRPr="002A3CB6" w:rsidRDefault="002A3CB6" w:rsidP="002A3CB6">
      <w:pPr>
        <w:pStyle w:val="Heading1"/>
        <w:numPr>
          <w:ilvl w:val="0"/>
          <w:numId w:val="10"/>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2A3CB6">
        <w:rPr>
          <w:rFonts w:cstheme="minorHAnsi"/>
          <w:sz w:val="24"/>
          <w:szCs w:val="24"/>
        </w:rPr>
        <w:t>Key Actions and Results</w:t>
      </w:r>
    </w:p>
    <w:p w:rsidR="002A3CB6" w:rsidRPr="002A3CB6" w:rsidRDefault="002A3CB6" w:rsidP="00BC737B">
      <w:pPr>
        <w:spacing w:after="120"/>
        <w:rPr>
          <w:rFonts w:cs="Calibri"/>
          <w:szCs w:val="24"/>
        </w:rPr>
      </w:pPr>
      <w:r w:rsidRPr="002A3CB6">
        <w:rPr>
          <w:noProof/>
          <w:szCs w:val="24"/>
        </w:rPr>
        <w:t xml:space="preserve">In 2018, BDT conducted several key actions to foster the Digital Inclusion globally by developing and implementing a variety of activities including: development of key resources and providing capacity building in ICT accessibility, devising guidelines for </w:t>
      </w:r>
      <w:r w:rsidRPr="002A3CB6">
        <w:rPr>
          <w:noProof/>
        </w:rPr>
        <w:t>national digital skills development strategies, promotion of digital skills for decent jobs for youth, as well as awareness activities to encourage hundreds of thousands of girls and young women to pursue ICT studies and careers.</w:t>
      </w:r>
    </w:p>
    <w:p w:rsidR="002A3CB6" w:rsidRPr="002A3CB6" w:rsidRDefault="002A3CB6" w:rsidP="002A3CB6">
      <w:pPr>
        <w:pStyle w:val="Heading1"/>
        <w:numPr>
          <w:ilvl w:val="1"/>
          <w:numId w:val="13"/>
        </w:numPr>
        <w:tabs>
          <w:tab w:val="clear" w:pos="1134"/>
          <w:tab w:val="clear" w:pos="1871"/>
          <w:tab w:val="clear" w:pos="2268"/>
        </w:tabs>
        <w:overflowPunct/>
        <w:autoSpaceDE/>
        <w:autoSpaceDN/>
        <w:adjustRightInd/>
        <w:spacing w:before="120" w:after="120"/>
        <w:textAlignment w:val="auto"/>
        <w:rPr>
          <w:rFonts w:cstheme="minorHAnsi"/>
          <w:sz w:val="24"/>
          <w:szCs w:val="24"/>
        </w:rPr>
      </w:pPr>
      <w:r w:rsidRPr="002A3CB6">
        <w:rPr>
          <w:rFonts w:cstheme="minorHAnsi"/>
          <w:sz w:val="24"/>
          <w:szCs w:val="24"/>
        </w:rPr>
        <w:t>Development of Digital Inclusion key resources:</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b/>
          <w:bCs/>
          <w:i/>
          <w:iCs/>
        </w:rPr>
      </w:pPr>
      <w:r w:rsidRPr="002A3CB6">
        <w:rPr>
          <w:rFonts w:cstheme="minorHAnsi"/>
          <w:b/>
          <w:szCs w:val="24"/>
        </w:rPr>
        <w:t>3.1.1</w:t>
      </w:r>
      <w:r w:rsidR="00BC737B">
        <w:rPr>
          <w:rFonts w:eastAsiaTheme="minorEastAsia" w:cstheme="minorBidi"/>
        </w:rPr>
        <w:tab/>
      </w:r>
      <w:r w:rsidRPr="002A3CB6">
        <w:rPr>
          <w:rFonts w:eastAsiaTheme="minorEastAsia" w:cstheme="minorBidi"/>
        </w:rPr>
        <w:t xml:space="preserve">A set of three (3) free </w:t>
      </w:r>
      <w:hyperlink r:id="rId13" w:history="1">
        <w:r w:rsidRPr="002A3CB6">
          <w:rPr>
            <w:rStyle w:val="Hyperlink"/>
            <w:rFonts w:eastAsiaTheme="minorEastAsia" w:cstheme="minorBidi"/>
          </w:rPr>
          <w:t>self-paced online certificate training courses entitled “ICT Accessibility: the key to inclusive communication”</w:t>
        </w:r>
      </w:hyperlink>
      <w:r w:rsidRPr="002A3CB6">
        <w:rPr>
          <w:rFonts w:eastAsiaTheme="minorEastAsia" w:cstheme="minorBidi"/>
        </w:rPr>
        <w:t xml:space="preserve">  </w:t>
      </w:r>
      <w:r w:rsidRPr="002A3CB6">
        <w:rPr>
          <w:rFonts w:eastAsiaTheme="minorEastAsia" w:cstheme="minorBidi"/>
          <w:noProof/>
        </w:rPr>
        <w:t>was developed</w:t>
      </w:r>
      <w:r w:rsidRPr="002A3CB6">
        <w:rPr>
          <w:rFonts w:eastAsiaTheme="minorEastAsia" w:cstheme="minorBidi"/>
        </w:rPr>
        <w:t xml:space="preserve"> in response to the outcomes of WTDC-17, and the ITU Regional Initiative for Europe, aiming to provide a general understanding of ICT accessibility policies, regulations, technology trends, </w:t>
      </w:r>
      <w:r w:rsidRPr="002A3CB6">
        <w:rPr>
          <w:rFonts w:eastAsiaTheme="minorEastAsia" w:cstheme="minorBidi"/>
          <w:noProof/>
        </w:rPr>
        <w:t>and</w:t>
      </w:r>
      <w:r w:rsidRPr="002A3CB6">
        <w:rPr>
          <w:rFonts w:eastAsiaTheme="minorEastAsia" w:cstheme="minorBidi"/>
        </w:rPr>
        <w:t xml:space="preserve"> public procurement rules. </w:t>
      </w:r>
      <w:r w:rsidRPr="002A3CB6">
        <w:rPr>
          <w:rFonts w:eastAsiaTheme="minorEastAsia" w:cstheme="minorBidi"/>
          <w:noProof/>
        </w:rPr>
        <w:t>These</w:t>
      </w:r>
      <w:r w:rsidRPr="002A3CB6">
        <w:rPr>
          <w:rFonts w:eastAsiaTheme="minorEastAsia" w:cstheme="minorBidi"/>
        </w:rPr>
        <w:t xml:space="preserve"> </w:t>
      </w:r>
      <w:r w:rsidRPr="002A3CB6">
        <w:rPr>
          <w:rFonts w:eastAsiaTheme="minorEastAsia" w:cstheme="minorBidi"/>
          <w:noProof/>
        </w:rPr>
        <w:t>consist</w:t>
      </w:r>
      <w:r w:rsidRPr="002A3CB6">
        <w:rPr>
          <w:rFonts w:eastAsiaTheme="minorEastAsia" w:cstheme="minorBidi"/>
        </w:rPr>
        <w:t xml:space="preserve"> of three modules as follows: </w:t>
      </w:r>
      <w:r w:rsidRPr="002A3CB6">
        <w:rPr>
          <w:rFonts w:eastAsiaTheme="minorEastAsia" w:cstheme="minorBidi"/>
          <w:b/>
          <w:bCs/>
          <w:i/>
          <w:iCs/>
        </w:rPr>
        <w:t>Module 1: Enabling communication for all though ICT accessibility; Module 2: ICT accessibility policy regulations and public procurement standards; Module 3: Achieving ICT accessibility through public procurement.</w:t>
      </w:r>
    </w:p>
    <w:p w:rsidR="005077F8" w:rsidRDefault="002A3CB6" w:rsidP="005077F8">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rPr>
        <w:lastRenderedPageBreak/>
        <w:t>3.1.2</w:t>
      </w:r>
      <w:r w:rsidRPr="002A3CB6">
        <w:rPr>
          <w:rFonts w:eastAsiaTheme="minorEastAsia" w:cstheme="minorBidi"/>
        </w:rPr>
        <w:tab/>
        <w:t xml:space="preserve">Fifteen (15) </w:t>
      </w:r>
      <w:hyperlink r:id="rId14" w:history="1">
        <w:r w:rsidRPr="002A3CB6">
          <w:rPr>
            <w:rStyle w:val="Hyperlink"/>
            <w:rFonts w:eastAsiaTheme="minorEastAsia" w:cstheme="minorBidi"/>
          </w:rPr>
          <w:t>video tutorials on how to develop and remediate accessible digital documents</w:t>
        </w:r>
      </w:hyperlink>
      <w:r w:rsidRPr="002A3CB6">
        <w:rPr>
          <w:rFonts w:eastAsiaTheme="minorEastAsia" w:cstheme="minorBidi"/>
        </w:rPr>
        <w:t xml:space="preserve"> (</w:t>
      </w:r>
      <w:r w:rsidRPr="002A3CB6">
        <w:rPr>
          <w:rFonts w:eastAsiaTheme="minorEastAsia" w:cstheme="minorBidi"/>
          <w:noProof/>
        </w:rPr>
        <w:t>e.g.,</w:t>
      </w:r>
      <w:r w:rsidRPr="002A3CB6">
        <w:rPr>
          <w:rFonts w:eastAsiaTheme="minorEastAsia" w:cstheme="minorBidi"/>
        </w:rPr>
        <w:t xml:space="preserve"> Word, Pdf, Excel, PP, </w:t>
      </w:r>
      <w:r w:rsidRPr="002A3CB6">
        <w:rPr>
          <w:rFonts w:eastAsiaTheme="minorEastAsia" w:cstheme="minorBidi"/>
          <w:noProof/>
        </w:rPr>
        <w:t>etc.</w:t>
      </w:r>
      <w:r w:rsidRPr="002A3CB6">
        <w:rPr>
          <w:rFonts w:eastAsiaTheme="minorEastAsia" w:cstheme="minorBidi"/>
        </w:rPr>
        <w:t xml:space="preserve">) </w:t>
      </w:r>
      <w:r w:rsidRPr="002A3CB6">
        <w:rPr>
          <w:rFonts w:eastAsiaTheme="minorEastAsia" w:cstheme="minorBidi"/>
          <w:noProof/>
        </w:rPr>
        <w:t>were developed</w:t>
      </w:r>
      <w:r w:rsidRPr="002A3CB6">
        <w:rPr>
          <w:rFonts w:eastAsiaTheme="minorEastAsia" w:cstheme="minorBidi"/>
        </w:rPr>
        <w:t xml:space="preserve"> in Spanish, English, </w:t>
      </w:r>
      <w:r w:rsidRPr="002A3CB6">
        <w:rPr>
          <w:rFonts w:eastAsiaTheme="minorEastAsia" w:cstheme="minorBidi"/>
          <w:noProof/>
        </w:rPr>
        <w:t>and</w:t>
      </w:r>
      <w:r w:rsidRPr="002A3CB6">
        <w:rPr>
          <w:rFonts w:eastAsiaTheme="minorEastAsia" w:cstheme="minorBidi"/>
        </w:rPr>
        <w:t xml:space="preserve"> French. </w:t>
      </w:r>
    </w:p>
    <w:p w:rsidR="005077F8" w:rsidRDefault="002A3CB6" w:rsidP="005077F8">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noProof/>
        </w:rPr>
        <w:t>3.1.3</w:t>
      </w:r>
      <w:r w:rsidRPr="002A3CB6">
        <w:rPr>
          <w:rFonts w:eastAsiaTheme="minorEastAsia" w:cstheme="minorBidi"/>
          <w:noProof/>
        </w:rPr>
        <w:tab/>
      </w:r>
      <w:r w:rsidRPr="005077F8">
        <w:rPr>
          <w:rFonts w:eastAsiaTheme="minorEastAsia" w:cstheme="minorBidi"/>
          <w:noProof/>
        </w:rPr>
        <w:t xml:space="preserve">Educational </w:t>
      </w:r>
      <w:hyperlink r:id="rId15" w:history="1">
        <w:r w:rsidRPr="005077F8">
          <w:rPr>
            <w:rStyle w:val="Hyperlink"/>
            <w:rFonts w:eastAsiaTheme="minorEastAsia" w:cstheme="minorBidi"/>
            <w:noProof/>
          </w:rPr>
          <w:t>ITU-D Programme in web accessibility “Internet for @ll”</w:t>
        </w:r>
      </w:hyperlink>
      <w:r w:rsidRPr="005077F8">
        <w:rPr>
          <w:rFonts w:eastAsiaTheme="minorEastAsia" w:cstheme="minorBidi"/>
          <w:noProof/>
        </w:rPr>
        <w:t xml:space="preserve">, </w:t>
      </w:r>
      <w:r w:rsidRPr="002A3CB6">
        <w:rPr>
          <w:rFonts w:eastAsiaTheme="minorEastAsia" w:cstheme="minorBidi"/>
          <w:noProof/>
        </w:rPr>
        <w:t>available in English French Spanish and Arabic (based on related regional initiatives). The Programme responds to the ITU Member States</w:t>
      </w:r>
      <w:r w:rsidR="00DB648B">
        <w:rPr>
          <w:rFonts w:eastAsiaTheme="minorEastAsia" w:cstheme="minorBidi"/>
          <w:noProof/>
        </w:rPr>
        <w:t>’</w:t>
      </w:r>
      <w:r w:rsidRPr="002A3CB6">
        <w:rPr>
          <w:rFonts w:eastAsiaTheme="minorEastAsia" w:cstheme="minorBidi"/>
          <w:noProof/>
        </w:rPr>
        <w:t xml:space="preserve"> priority to </w:t>
      </w:r>
      <w:r w:rsidRPr="002A3CB6">
        <w:rPr>
          <w:rFonts w:eastAsiaTheme="minorEastAsia" w:cstheme="minorBidi"/>
          <w:b/>
          <w:bCs/>
          <w:noProof/>
        </w:rPr>
        <w:t>make public websites accessible for ALL</w:t>
      </w:r>
      <w:r w:rsidRPr="002A3CB6">
        <w:rPr>
          <w:rFonts w:eastAsiaTheme="minorEastAsia" w:cstheme="minorBidi"/>
          <w:noProof/>
        </w:rPr>
        <w:t>, by providing the necessary know-how to ensure that all citizens, including persons with disabilities and elderly users, can access online information and communication.</w:t>
      </w:r>
    </w:p>
    <w:p w:rsidR="005077F8"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cs="Calibri"/>
          <w:b/>
          <w:bCs/>
          <w:color w:val="000000"/>
        </w:rPr>
        <w:t>3.1.4</w:t>
      </w:r>
      <w:r w:rsidRPr="002A3CB6">
        <w:rPr>
          <w:rFonts w:cs="Calibri"/>
          <w:color w:val="000000"/>
        </w:rPr>
        <w:tab/>
        <w:t>BDT</w:t>
      </w:r>
      <w:r w:rsidRPr="002A3CB6">
        <w:rPr>
          <w:rFonts w:eastAsiaTheme="minorEastAsia" w:cstheme="minorBidi"/>
        </w:rPr>
        <w:t xml:space="preserve"> shared innovative strategies with all ITU </w:t>
      </w:r>
      <w:r w:rsidR="00DB648B">
        <w:rPr>
          <w:rFonts w:eastAsiaTheme="minorEastAsia" w:cstheme="minorBidi"/>
        </w:rPr>
        <w:t>M</w:t>
      </w:r>
      <w:r w:rsidR="00DB648B" w:rsidRPr="002A3CB6">
        <w:rPr>
          <w:rFonts w:eastAsiaTheme="minorEastAsia" w:cstheme="minorBidi"/>
        </w:rPr>
        <w:t xml:space="preserve">embers </w:t>
      </w:r>
      <w:r w:rsidRPr="002A3CB6">
        <w:rPr>
          <w:rFonts w:eastAsiaTheme="minorEastAsia" w:cstheme="minorBidi"/>
        </w:rPr>
        <w:t xml:space="preserve">on how to build their national digital skills development strategies by publishing the </w:t>
      </w:r>
      <w:r w:rsidRPr="002A3CB6">
        <w:rPr>
          <w:rFonts w:eastAsiaTheme="minorEastAsia" w:cstheme="minorBidi"/>
          <w:b/>
          <w:bCs/>
        </w:rPr>
        <w:t>ITU Digital Skills Toolkit</w:t>
      </w:r>
      <w:r w:rsidRPr="002A3CB6">
        <w:rPr>
          <w:rFonts w:eastAsiaTheme="minorEastAsia" w:cstheme="minorBidi"/>
        </w:rPr>
        <w:t xml:space="preserve"> on the ITU Publications website at </w:t>
      </w:r>
      <w:hyperlink r:id="rId16" w:history="1">
        <w:r w:rsidRPr="002A3CB6">
          <w:rPr>
            <w:rStyle w:val="Hyperlink"/>
            <w:rFonts w:eastAsiaTheme="minorEastAsia" w:cstheme="minorBidi"/>
          </w:rPr>
          <w:t>https://www.itu.int/pub/D-PHCB</w:t>
        </w:r>
      </w:hyperlink>
      <w:r w:rsidRPr="002A3CB6">
        <w:t xml:space="preserve"> and BDT website at </w:t>
      </w:r>
      <w:hyperlink r:id="rId17" w:history="1">
        <w:r w:rsidRPr="002A3CB6">
          <w:rPr>
            <w:rStyle w:val="Hyperlink"/>
          </w:rPr>
          <w:t>https://www.itu.int/en/ITU-D/Digital-Inclusion/Pages/Reports.aspx</w:t>
        </w:r>
      </w:hyperlink>
      <w:r w:rsidRPr="002A3CB6">
        <w:t>.</w:t>
      </w:r>
      <w:r w:rsidRPr="002A3CB6">
        <w:rPr>
          <w:rFonts w:eastAsiaTheme="minorEastAsia" w:cstheme="minorBidi"/>
        </w:rPr>
        <w:t xml:space="preserve">The Digital Skills Toolkit is available in the six ITU official languages along with e-pub and Kindle versions. </w:t>
      </w:r>
    </w:p>
    <w:p w:rsidR="002A3CB6" w:rsidRPr="002A3CB6" w:rsidRDefault="002A3CB6" w:rsidP="005077F8">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b/>
          <w:bCs/>
        </w:rPr>
        <w:t>3.1.5</w:t>
      </w:r>
      <w:r w:rsidRPr="002A3CB6">
        <w:t xml:space="preserve"> BDT raised visibility for and shared its key resources in the G20 Repository of Digital Policies.</w:t>
      </w:r>
    </w:p>
    <w:p w:rsidR="002A3CB6" w:rsidRPr="002A3CB6" w:rsidRDefault="002A3CB6" w:rsidP="002A3CB6">
      <w:pPr>
        <w:pStyle w:val="Heading1"/>
        <w:numPr>
          <w:ilvl w:val="1"/>
          <w:numId w:val="13"/>
        </w:numPr>
        <w:tabs>
          <w:tab w:val="clear" w:pos="1134"/>
          <w:tab w:val="clear" w:pos="1871"/>
          <w:tab w:val="clear" w:pos="2268"/>
        </w:tabs>
        <w:overflowPunct/>
        <w:autoSpaceDE/>
        <w:autoSpaceDN/>
        <w:adjustRightInd/>
        <w:spacing w:before="120" w:after="120"/>
        <w:textAlignment w:val="auto"/>
        <w:rPr>
          <w:rFonts w:cstheme="minorHAnsi"/>
          <w:sz w:val="24"/>
          <w:szCs w:val="24"/>
        </w:rPr>
      </w:pPr>
      <w:r w:rsidRPr="002A3CB6">
        <w:rPr>
          <w:rFonts w:cstheme="minorHAnsi"/>
          <w:sz w:val="24"/>
          <w:szCs w:val="24"/>
        </w:rPr>
        <w:t xml:space="preserve">Digital Inclusion support to Global Initiatives and awareness raising </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noProof/>
        </w:rPr>
        <w:t>3.2.1</w:t>
      </w:r>
      <w:r w:rsidRPr="002A3CB6">
        <w:rPr>
          <w:rFonts w:eastAsiaTheme="minorEastAsia" w:cstheme="minorBidi"/>
          <w:b/>
          <w:bCs/>
          <w:noProof/>
        </w:rPr>
        <w:tab/>
      </w:r>
      <w:r w:rsidRPr="002A3CB6">
        <w:rPr>
          <w:rFonts w:eastAsiaTheme="minorEastAsia" w:cstheme="minorBidi"/>
          <w:noProof/>
        </w:rPr>
        <w:t xml:space="preserve">The global development of </w:t>
      </w:r>
      <w:r w:rsidRPr="002A3CB6">
        <w:rPr>
          <w:rFonts w:eastAsiaTheme="minorEastAsia" w:cstheme="minorBidi"/>
          <w:b/>
          <w:bCs/>
          <w:noProof/>
        </w:rPr>
        <w:t>Digital Skills strategies along with the joint ITU-ILO Digital Skills for Jobs Campaign of the Global initiative on Decent Jobs for Youth</w:t>
      </w:r>
      <w:r w:rsidRPr="002A3CB6">
        <w:rPr>
          <w:rFonts w:eastAsiaTheme="minorEastAsia" w:cstheme="minorBidi"/>
          <w:noProof/>
        </w:rPr>
        <w:t xml:space="preserve"> to incentivise stakeholders to train 5 million young women and men in job-ready digital skills was shared with 1</w:t>
      </w:r>
      <w:r w:rsidR="00333679">
        <w:rPr>
          <w:rFonts w:eastAsiaTheme="minorEastAsia" w:cstheme="minorBidi"/>
          <w:noProof/>
        </w:rPr>
        <w:t>,</w:t>
      </w:r>
      <w:r w:rsidRPr="002A3CB6">
        <w:rPr>
          <w:rFonts w:eastAsiaTheme="minorEastAsia" w:cstheme="minorBidi"/>
          <w:noProof/>
        </w:rPr>
        <w:t>250 ITU members and other stakeholders through over 20 regional, global and ITU meetings including: WSIS High Level Dialogue on Digital Skills; Mobile Learning Week</w:t>
      </w:r>
      <w:r w:rsidR="00DB648B">
        <w:rPr>
          <w:rFonts w:eastAsiaTheme="minorEastAsia" w:cstheme="minorBidi"/>
          <w:noProof/>
        </w:rPr>
        <w:t xml:space="preserve">, </w:t>
      </w:r>
      <w:r w:rsidRPr="002A3CB6">
        <w:rPr>
          <w:rFonts w:eastAsiaTheme="minorEastAsia" w:cstheme="minorBidi"/>
          <w:noProof/>
        </w:rPr>
        <w:t>Paris</w:t>
      </w:r>
      <w:r w:rsidR="00DB648B">
        <w:rPr>
          <w:rFonts w:eastAsiaTheme="minorEastAsia" w:cstheme="minorBidi"/>
          <w:noProof/>
        </w:rPr>
        <w:t>, France</w:t>
      </w:r>
      <w:r w:rsidRPr="002A3CB6">
        <w:rPr>
          <w:rFonts w:eastAsiaTheme="minorEastAsia" w:cstheme="minorBidi"/>
          <w:noProof/>
        </w:rPr>
        <w:t>; Digital Skills for Everyone: Accelerating Europe’s Competitiveness and Inclusive Growth</w:t>
      </w:r>
      <w:r w:rsidR="00DB648B">
        <w:rPr>
          <w:rFonts w:eastAsiaTheme="minorEastAsia" w:cstheme="minorBidi"/>
          <w:noProof/>
        </w:rPr>
        <w:t>,</w:t>
      </w:r>
      <w:r w:rsidRPr="002A3CB6">
        <w:rPr>
          <w:rFonts w:eastAsiaTheme="minorEastAsia" w:cstheme="minorBidi"/>
          <w:noProof/>
        </w:rPr>
        <w:t xml:space="preserve"> Belgium; Enabling Digital Entrepreneurship through Better Connectivity and Skills, E-Commerce Week, Geneva, Switzerland; Digital Skills for African Youth, Tunisia; the 21st session of the UN Commission on Science and Technology for Development(CSTD), Geneva</w:t>
      </w:r>
      <w:r w:rsidR="00DB648B">
        <w:rPr>
          <w:rFonts w:eastAsiaTheme="minorEastAsia" w:cstheme="minorBidi"/>
          <w:noProof/>
        </w:rPr>
        <w:t>, Switzerland</w:t>
      </w:r>
      <w:r w:rsidRPr="002A3CB6">
        <w:rPr>
          <w:rFonts w:eastAsiaTheme="minorEastAsia" w:cstheme="minorBidi"/>
          <w:noProof/>
        </w:rPr>
        <w:t>; the Commonwealth ICT Forum 2018, Spain; Women4Mediterranean</w:t>
      </w:r>
      <w:r w:rsidR="00DB648B">
        <w:rPr>
          <w:rFonts w:eastAsiaTheme="minorEastAsia" w:cstheme="minorBidi"/>
          <w:noProof/>
        </w:rPr>
        <w:t>,</w:t>
      </w:r>
      <w:r w:rsidRPr="002A3CB6">
        <w:rPr>
          <w:rFonts w:eastAsiaTheme="minorEastAsia" w:cstheme="minorBidi"/>
          <w:noProof/>
        </w:rPr>
        <w:t xml:space="preserve"> Portugal; the Arab Round Table on Youth and Citizenship, Tunisia; the </w:t>
      </w:r>
      <w:hyperlink r:id="rId18" w:history="1">
        <w:r w:rsidRPr="002A3CB6">
          <w:rPr>
            <w:rFonts w:eastAsiaTheme="minorEastAsia" w:cstheme="minorBidi"/>
            <w:noProof/>
          </w:rPr>
          <w:t>Subregional workshop on Digital skills development in the Pacific [ITU-PITA]</w:t>
        </w:r>
      </w:hyperlink>
      <w:r w:rsidRPr="002A3CB6">
        <w:rPr>
          <w:rFonts w:eastAsiaTheme="minorEastAsia" w:cstheme="minorBidi"/>
          <w:noProof/>
        </w:rPr>
        <w:t>, Fiji; and the Network for Public Service Innovations through South-South Network of the Global South-South Development Expo, UN Headquarters, New York</w:t>
      </w:r>
      <w:r w:rsidR="00DB648B">
        <w:rPr>
          <w:rFonts w:eastAsiaTheme="minorEastAsia" w:cstheme="minorBidi"/>
          <w:noProof/>
        </w:rPr>
        <w:t>, United States</w:t>
      </w:r>
      <w:r w:rsidRPr="002A3CB6">
        <w:rPr>
          <w:rFonts w:eastAsiaTheme="minorEastAsia" w:cstheme="minorBidi"/>
          <w:noProof/>
        </w:rPr>
        <w:t>.</w:t>
      </w:r>
      <w:r w:rsidRPr="002A3CB6">
        <w:rPr>
          <w:rFonts w:eastAsiaTheme="minorEastAsia" w:cstheme="minorBidi"/>
        </w:rPr>
        <w:t xml:space="preserve"> </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rPr>
        <w:t>3.2.2</w:t>
      </w:r>
      <w:r w:rsidR="00BC737B">
        <w:rPr>
          <w:rFonts w:cs="Calibri"/>
          <w:color w:val="000000"/>
        </w:rPr>
        <w:tab/>
      </w:r>
      <w:r w:rsidRPr="002A3CB6">
        <w:rPr>
          <w:rFonts w:cs="Calibri"/>
          <w:color w:val="000000"/>
        </w:rPr>
        <w:t xml:space="preserve">Digital Inclusion is leading the </w:t>
      </w:r>
      <w:r w:rsidRPr="002A3CB6">
        <w:rPr>
          <w:rFonts w:cs="Calibri"/>
          <w:b/>
          <w:bCs/>
          <w:color w:val="000000"/>
        </w:rPr>
        <w:t>Global Campaign of the International Girls in ICT Day</w:t>
      </w:r>
      <w:r w:rsidRPr="002A3CB6">
        <w:rPr>
          <w:rFonts w:cs="Calibri"/>
          <w:color w:val="000000"/>
        </w:rPr>
        <w:t xml:space="preserve">. </w:t>
      </w:r>
      <w:hyperlink r:id="rId19" w:history="1">
        <w:r w:rsidRPr="002A3CB6">
          <w:rPr>
            <w:rStyle w:val="Hyperlink"/>
            <w:rFonts w:cs="Calibri"/>
          </w:rPr>
          <w:t>A Portal</w:t>
        </w:r>
      </w:hyperlink>
      <w:r w:rsidRPr="002A3CB6">
        <w:rPr>
          <w:rFonts w:cs="Calibri"/>
          <w:color w:val="000000"/>
        </w:rPr>
        <w:t xml:space="preserve"> </w:t>
      </w:r>
      <w:r w:rsidRPr="002A3CB6">
        <w:rPr>
          <w:rFonts w:cs="Calibri"/>
        </w:rPr>
        <w:t xml:space="preserve">that collects all events </w:t>
      </w:r>
      <w:r w:rsidRPr="002A3CB6">
        <w:rPr>
          <w:rFonts w:cs="Calibri"/>
          <w:noProof/>
        </w:rPr>
        <w:t>was developed,</w:t>
      </w:r>
      <w:r w:rsidRPr="002A3CB6">
        <w:rPr>
          <w:rFonts w:cs="Calibri"/>
        </w:rPr>
        <w:t xml:space="preserve"> </w:t>
      </w:r>
      <w:r w:rsidRPr="002A3CB6">
        <w:rPr>
          <w:rFonts w:cs="Calibri"/>
          <w:noProof/>
        </w:rPr>
        <w:t>and</w:t>
      </w:r>
      <w:r w:rsidRPr="002A3CB6">
        <w:rPr>
          <w:rFonts w:cs="Calibri"/>
        </w:rPr>
        <w:t xml:space="preserve"> assistance to event organizers</w:t>
      </w:r>
      <w:r w:rsidRPr="002A3CB6">
        <w:rPr>
          <w:rFonts w:cs="Calibri"/>
          <w:noProof/>
        </w:rPr>
        <w:t xml:space="preserve"> provided</w:t>
      </w:r>
      <w:r w:rsidRPr="002A3CB6">
        <w:rPr>
          <w:rFonts w:cs="Calibri"/>
        </w:rPr>
        <w:t xml:space="preserve"> when needed. As a result, 171</w:t>
      </w:r>
      <w:r w:rsidRPr="002A3CB6">
        <w:rPr>
          <w:rFonts w:eastAsiaTheme="minorEastAsia" w:cstheme="minorBidi"/>
        </w:rPr>
        <w:t xml:space="preserve"> countries organized the International Girls in ICT Day events in 2018, encouraging 57,748 girls participating in 2,186 events to take up ICT careers and studies. New countries that joined the campaign in 2018 include Mongolia, Solomon Islands, Tajikistan, Timor-Leste, </w:t>
      </w:r>
      <w:r w:rsidRPr="002A3CB6">
        <w:rPr>
          <w:rFonts w:eastAsiaTheme="minorEastAsia" w:cstheme="minorBidi"/>
          <w:noProof/>
        </w:rPr>
        <w:t>and</w:t>
      </w:r>
      <w:r w:rsidRPr="002A3CB6">
        <w:rPr>
          <w:rFonts w:eastAsiaTheme="minorEastAsia" w:cstheme="minorBidi"/>
        </w:rPr>
        <w:t xml:space="preserve"> Uzbekistan. </w:t>
      </w:r>
      <w:r w:rsidR="00333679">
        <w:rPr>
          <w:rFonts w:eastAsiaTheme="minorEastAsia" w:cstheme="minorBidi"/>
        </w:rPr>
        <w:t xml:space="preserve">Some </w:t>
      </w:r>
      <w:r w:rsidRPr="002A3CB6">
        <w:rPr>
          <w:rFonts w:eastAsiaTheme="minorEastAsia" w:cstheme="minorBidi"/>
        </w:rPr>
        <w:t xml:space="preserve">ITU Sector Members organized the events - Cisco organized events for 4,349 girls and Microsoft for 3,600.  ITU </w:t>
      </w:r>
      <w:r w:rsidR="00333679" w:rsidRPr="002A3CB6">
        <w:rPr>
          <w:rFonts w:eastAsiaTheme="minorEastAsia" w:cstheme="minorBidi"/>
        </w:rPr>
        <w:t>Member</w:t>
      </w:r>
      <w:r w:rsidR="00333679">
        <w:rPr>
          <w:rFonts w:eastAsiaTheme="minorEastAsia" w:cstheme="minorBidi"/>
        </w:rPr>
        <w:t xml:space="preserve"> States,</w:t>
      </w:r>
      <w:r w:rsidR="00333679" w:rsidRPr="002A3CB6">
        <w:rPr>
          <w:rFonts w:eastAsiaTheme="minorEastAsia" w:cstheme="minorBidi"/>
        </w:rPr>
        <w:t xml:space="preserve"> </w:t>
      </w:r>
      <w:r w:rsidRPr="002A3CB6">
        <w:rPr>
          <w:rFonts w:eastAsiaTheme="minorEastAsia" w:cstheme="minorBidi"/>
        </w:rPr>
        <w:t xml:space="preserve">Germany, the Netherlands, Italy, Spain, Senegal, Colombia, Guatemala, </w:t>
      </w:r>
      <w:r w:rsidRPr="002A3CB6">
        <w:rPr>
          <w:rFonts w:eastAsiaTheme="minorEastAsia" w:cstheme="minorBidi"/>
          <w:noProof/>
        </w:rPr>
        <w:t>and</w:t>
      </w:r>
      <w:r w:rsidRPr="002A3CB6">
        <w:rPr>
          <w:rFonts w:eastAsiaTheme="minorEastAsia" w:cstheme="minorBidi"/>
        </w:rPr>
        <w:t xml:space="preserve"> Chile attracted the largest numbers of girls (listed in order of the scope of </w:t>
      </w:r>
      <w:r w:rsidR="00333679">
        <w:rPr>
          <w:rFonts w:eastAsiaTheme="minorEastAsia" w:cstheme="minorBidi"/>
        </w:rPr>
        <w:t xml:space="preserve">the </w:t>
      </w:r>
      <w:r w:rsidRPr="002A3CB6">
        <w:rPr>
          <w:rFonts w:eastAsiaTheme="minorEastAsia" w:cstheme="minorBidi"/>
        </w:rPr>
        <w:t>campaign).</w:t>
      </w:r>
    </w:p>
    <w:p w:rsidR="00186E3C" w:rsidRDefault="00333679">
      <w:pPr>
        <w:tabs>
          <w:tab w:val="clear" w:pos="1134"/>
          <w:tab w:val="clear" w:pos="1871"/>
          <w:tab w:val="clear" w:pos="2268"/>
        </w:tabs>
        <w:overflowPunct/>
        <w:autoSpaceDE/>
        <w:autoSpaceDN/>
        <w:adjustRightInd/>
        <w:spacing w:after="120"/>
        <w:textAlignment w:val="auto"/>
        <w:rPr>
          <w:rFonts w:eastAsiaTheme="minorEastAsia" w:cstheme="minorBidi"/>
        </w:rPr>
      </w:pPr>
      <w:r>
        <w:rPr>
          <w:rFonts w:eastAsiaTheme="minorEastAsia" w:cstheme="minorBidi"/>
          <w:noProof/>
        </w:rPr>
        <w:t>BDT in headquarters</w:t>
      </w:r>
      <w:r w:rsidR="002A3CB6" w:rsidRPr="002A3CB6">
        <w:rPr>
          <w:rFonts w:eastAsiaTheme="minorEastAsia" w:cstheme="minorBidi"/>
          <w:noProof/>
        </w:rPr>
        <w:t xml:space="preserve"> and Regional Offices also org</w:t>
      </w:r>
      <w:r>
        <w:rPr>
          <w:rFonts w:eastAsiaTheme="minorEastAsia" w:cstheme="minorBidi"/>
          <w:noProof/>
        </w:rPr>
        <w:t>a</w:t>
      </w:r>
      <w:r w:rsidR="002A3CB6" w:rsidRPr="002A3CB6">
        <w:rPr>
          <w:rFonts w:eastAsiaTheme="minorEastAsia" w:cstheme="minorBidi"/>
          <w:noProof/>
        </w:rPr>
        <w:t xml:space="preserve">nised related events and participated in related in-country Girls in ICT Day events or those held in a respective region such as </w:t>
      </w:r>
      <w:r w:rsidR="00186E3C">
        <w:rPr>
          <w:rFonts w:eastAsiaTheme="minorEastAsia" w:cstheme="minorBidi"/>
          <w:noProof/>
        </w:rPr>
        <w:t>the Brasilia</w:t>
      </w:r>
      <w:r w:rsidR="002A3CB6" w:rsidRPr="002A3CB6">
        <w:rPr>
          <w:rFonts w:eastAsiaTheme="minorEastAsia" w:cstheme="minorBidi"/>
          <w:noProof/>
        </w:rPr>
        <w:t xml:space="preserve"> Regional Office in partnership with UN Women</w:t>
      </w:r>
      <w:r w:rsidR="00186E3C">
        <w:rPr>
          <w:rFonts w:eastAsiaTheme="minorEastAsia" w:cstheme="minorBidi"/>
          <w:noProof/>
        </w:rPr>
        <w:t>, who</w:t>
      </w:r>
      <w:r w:rsidR="002A3CB6" w:rsidRPr="002A3CB6">
        <w:rPr>
          <w:rFonts w:eastAsiaTheme="minorEastAsia" w:cstheme="minorBidi"/>
          <w:noProof/>
        </w:rPr>
        <w:t xml:space="preserve"> organized a digital inclusion event for 80 girls attending public schools in Brasilia, Brazil; </w:t>
      </w:r>
      <w:r w:rsidR="00186E3C">
        <w:rPr>
          <w:rFonts w:eastAsiaTheme="minorEastAsia" w:cstheme="minorBidi"/>
          <w:noProof/>
        </w:rPr>
        <w:t xml:space="preserve">an </w:t>
      </w:r>
      <w:r w:rsidR="00186E3C" w:rsidRPr="002A3CB6">
        <w:rPr>
          <w:rFonts w:eastAsiaTheme="minorEastAsia" w:cstheme="minorBidi"/>
          <w:noProof/>
        </w:rPr>
        <w:t>awareness</w:t>
      </w:r>
      <w:r w:rsidR="00186E3C">
        <w:rPr>
          <w:rFonts w:eastAsiaTheme="minorEastAsia" w:cstheme="minorBidi"/>
          <w:noProof/>
        </w:rPr>
        <w:t>-</w:t>
      </w:r>
      <w:r w:rsidR="002A3CB6" w:rsidRPr="002A3CB6">
        <w:rPr>
          <w:rFonts w:eastAsiaTheme="minorEastAsia" w:cstheme="minorBidi"/>
          <w:noProof/>
        </w:rPr>
        <w:t>raising event for students at the Webster University</w:t>
      </w:r>
      <w:r w:rsidR="00186E3C">
        <w:rPr>
          <w:rFonts w:eastAsiaTheme="minorEastAsia" w:cstheme="minorBidi"/>
          <w:noProof/>
        </w:rPr>
        <w:t xml:space="preserve"> in</w:t>
      </w:r>
      <w:r w:rsidR="00186E3C" w:rsidRPr="002A3CB6">
        <w:rPr>
          <w:rFonts w:eastAsiaTheme="minorEastAsia" w:cstheme="minorBidi"/>
          <w:noProof/>
        </w:rPr>
        <w:t xml:space="preserve"> </w:t>
      </w:r>
      <w:r w:rsidR="002A3CB6" w:rsidRPr="002A3CB6">
        <w:rPr>
          <w:rFonts w:eastAsiaTheme="minorEastAsia" w:cstheme="minorBidi"/>
          <w:noProof/>
        </w:rPr>
        <w:t>Geneva</w:t>
      </w:r>
      <w:r w:rsidR="00186E3C">
        <w:rPr>
          <w:rFonts w:eastAsiaTheme="minorEastAsia" w:cstheme="minorBidi"/>
          <w:noProof/>
        </w:rPr>
        <w:t>, Switzerland,</w:t>
      </w:r>
      <w:r w:rsidR="002A3CB6" w:rsidRPr="002A3CB6">
        <w:rPr>
          <w:rFonts w:eastAsiaTheme="minorEastAsia" w:cstheme="minorBidi"/>
          <w:noProof/>
        </w:rPr>
        <w:t xml:space="preserve"> in support of International Girls in ICT Day ; providing training for 25 girls in digital marketing and social media best practices during the workshop organized under the “Girls in ICT Day” by </w:t>
      </w:r>
      <w:r w:rsidR="00186E3C">
        <w:rPr>
          <w:rFonts w:eastAsiaTheme="minorEastAsia" w:cstheme="minorBidi"/>
          <w:noProof/>
        </w:rPr>
        <w:t>the Regional Office in Cairo</w:t>
      </w:r>
      <w:r w:rsidR="002A3CB6" w:rsidRPr="002A3CB6">
        <w:rPr>
          <w:rFonts w:eastAsiaTheme="minorEastAsia" w:cstheme="minorBidi"/>
          <w:noProof/>
        </w:rPr>
        <w:t xml:space="preserve"> and GIZ Egypt. ITU also acknowledged </w:t>
      </w:r>
      <w:r w:rsidR="002A3CB6" w:rsidRPr="002A3CB6">
        <w:rPr>
          <w:rFonts w:eastAsiaTheme="minorEastAsia" w:cstheme="minorBidi"/>
          <w:noProof/>
        </w:rPr>
        <w:lastRenderedPageBreak/>
        <w:t>around 50 events in Asia-Pacific carried out on Girls in ICT Day in partnership with MDES (Thailand), FAO, UNESCO, and CISCO.</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noProof/>
        </w:rPr>
      </w:pPr>
      <w:r w:rsidRPr="00186E3C">
        <w:rPr>
          <w:rFonts w:eastAsiaTheme="minorEastAsia" w:cstheme="minorBidi"/>
          <w:b/>
          <w:bCs/>
        </w:rPr>
        <w:t>3.2.3</w:t>
      </w:r>
      <w:r w:rsidRPr="002A3CB6">
        <w:rPr>
          <w:rFonts w:eastAsiaTheme="minorEastAsia" w:cstheme="minorBidi"/>
        </w:rPr>
        <w:t xml:space="preserve"> A total of 360,500 Girls in ICT Day Portal views </w:t>
      </w:r>
      <w:r w:rsidRPr="002A3CB6">
        <w:rPr>
          <w:rFonts w:eastAsiaTheme="minorEastAsia" w:cstheme="minorBidi"/>
          <w:noProof/>
        </w:rPr>
        <w:t>was recorded</w:t>
      </w:r>
      <w:r w:rsidRPr="002A3CB6">
        <w:rPr>
          <w:rFonts w:eastAsiaTheme="minorEastAsia" w:cstheme="minorBidi"/>
        </w:rPr>
        <w:t xml:space="preserve">, with 185,859 reached by the Girls in ICT Day Facebook posts. #GirlsinICT reached over 93 million accounts for an estimated exposure of 379 million timeline deliveries.  </w:t>
      </w:r>
    </w:p>
    <w:p w:rsidR="002A3CB6" w:rsidRPr="002A3CB6" w:rsidRDefault="002A3CB6" w:rsidP="002A3CB6">
      <w:pPr>
        <w:pStyle w:val="Heading1"/>
        <w:numPr>
          <w:ilvl w:val="1"/>
          <w:numId w:val="13"/>
        </w:numPr>
        <w:tabs>
          <w:tab w:val="clear" w:pos="1134"/>
          <w:tab w:val="clear" w:pos="1871"/>
          <w:tab w:val="clear" w:pos="2268"/>
        </w:tabs>
        <w:overflowPunct/>
        <w:autoSpaceDE/>
        <w:autoSpaceDN/>
        <w:adjustRightInd/>
        <w:spacing w:before="120" w:after="120"/>
        <w:textAlignment w:val="auto"/>
        <w:rPr>
          <w:rFonts w:cstheme="minorHAnsi"/>
          <w:sz w:val="24"/>
          <w:szCs w:val="24"/>
        </w:rPr>
      </w:pPr>
      <w:r w:rsidRPr="002A3CB6">
        <w:rPr>
          <w:rFonts w:cstheme="minorHAnsi"/>
          <w:sz w:val="24"/>
          <w:szCs w:val="24"/>
        </w:rPr>
        <w:t>Digital Skills trainings provided for Digital Inclusion of persons with specific needs</w:t>
      </w:r>
    </w:p>
    <w:p w:rsidR="002A3CB6" w:rsidRPr="002A3CB6" w:rsidRDefault="002A3CB6">
      <w:pPr>
        <w:tabs>
          <w:tab w:val="clear" w:pos="1134"/>
          <w:tab w:val="clear" w:pos="1871"/>
          <w:tab w:val="clear" w:pos="2268"/>
        </w:tabs>
        <w:overflowPunct/>
        <w:autoSpaceDE/>
        <w:autoSpaceDN/>
        <w:adjustRightInd/>
        <w:spacing w:after="120"/>
        <w:textAlignment w:val="auto"/>
      </w:pPr>
      <w:r w:rsidRPr="00CC4E40">
        <w:rPr>
          <w:rFonts w:eastAsiaTheme="minorEastAsia" w:cstheme="minorBidi"/>
          <w:b/>
          <w:bCs/>
        </w:rPr>
        <w:t>3.3.1</w:t>
      </w:r>
      <w:r w:rsidRPr="002A3CB6">
        <w:rPr>
          <w:rFonts w:eastAsiaTheme="minorEastAsia" w:cstheme="minorBidi"/>
        </w:rPr>
        <w:tab/>
        <w:t xml:space="preserve">In collaboration with </w:t>
      </w:r>
      <w:r w:rsidR="00A3171E">
        <w:rPr>
          <w:rFonts w:eastAsiaTheme="minorEastAsia" w:cstheme="minorBidi"/>
        </w:rPr>
        <w:t>the Americas</w:t>
      </w:r>
      <w:r w:rsidR="00A3171E" w:rsidRPr="002A3CB6">
        <w:rPr>
          <w:rFonts w:eastAsiaTheme="minorEastAsia" w:cstheme="minorBidi"/>
        </w:rPr>
        <w:t xml:space="preserve"> </w:t>
      </w:r>
      <w:r w:rsidRPr="002A3CB6">
        <w:rPr>
          <w:rFonts w:eastAsiaTheme="minorEastAsia" w:cstheme="minorBidi"/>
        </w:rPr>
        <w:t>region and Fondo Indigena</w:t>
      </w:r>
      <w:r w:rsidR="00A3171E">
        <w:rPr>
          <w:rFonts w:eastAsiaTheme="minorEastAsia" w:cstheme="minorBidi"/>
        </w:rPr>
        <w:t>,</w:t>
      </w:r>
      <w:r w:rsidRPr="002A3CB6">
        <w:rPr>
          <w:rFonts w:eastAsiaTheme="minorEastAsia" w:cstheme="minorBidi"/>
        </w:rPr>
        <w:t xml:space="preserve"> the </w:t>
      </w:r>
      <w:r w:rsidRPr="002A3CB6">
        <w:rPr>
          <w:noProof/>
        </w:rPr>
        <w:t>online</w:t>
      </w:r>
      <w:r w:rsidRPr="002A3CB6">
        <w:t xml:space="preserve"> training course on “Indigenous Radio/Networks - Communication Innovative Tools for the strengthening of Indigenous Communities of the Americas Region</w:t>
      </w:r>
      <w:r w:rsidRPr="002A3CB6">
        <w:rPr>
          <w:noProof/>
        </w:rPr>
        <w:t xml:space="preserve">” developed in </w:t>
      </w:r>
      <w:r w:rsidRPr="002A3CB6">
        <w:rPr>
          <w:rFonts w:eastAsiaTheme="minorEastAsia" w:cstheme="minorBidi"/>
        </w:rPr>
        <w:t xml:space="preserve">2016 </w:t>
      </w:r>
      <w:r w:rsidRPr="002A3CB6">
        <w:t>was revised to update</w:t>
      </w:r>
      <w:r w:rsidRPr="002A3CB6">
        <w:rPr>
          <w:noProof/>
        </w:rPr>
        <w:t xml:space="preserve"> </w:t>
      </w:r>
      <w:r w:rsidRPr="002A3CB6">
        <w:t xml:space="preserve">the topic and include the recent technologies. The training course received over 600 registrations (instead of a maximum 100). ITU accommodated 300 Indigenous people in 2018 and remaining 300 will be </w:t>
      </w:r>
      <w:r w:rsidRPr="002A3CB6">
        <w:rPr>
          <w:noProof/>
        </w:rPr>
        <w:t>trainined</w:t>
      </w:r>
      <w:r w:rsidRPr="002A3CB6">
        <w:t xml:space="preserve"> in 2019. See more at </w:t>
      </w:r>
      <w:r w:rsidRPr="002A3CB6">
        <w:rPr>
          <w:rFonts w:eastAsia="-webkit-standard" w:cs="-webkit-standard"/>
          <w:bCs/>
          <w:color w:val="000000" w:themeColor="text1"/>
        </w:rPr>
        <w:t>(</w:t>
      </w:r>
      <w:hyperlink r:id="rId20" w:history="1">
        <w:r w:rsidRPr="002A3CB6">
          <w:rPr>
            <w:rStyle w:val="Hyperlink"/>
          </w:rPr>
          <w:t>https://www.itu.int/en/ITU-D/Digital-Inclusion/Indigenous-Peoples/Pages/default-bis.aspx</w:t>
        </w:r>
      </w:hyperlink>
      <w:r w:rsidRPr="002A3CB6">
        <w:rPr>
          <w:color w:val="000000" w:themeColor="text1"/>
        </w:rPr>
        <w:t>)</w:t>
      </w:r>
      <w:r w:rsidRPr="002A3CB6">
        <w:t xml:space="preserve">. </w:t>
      </w:r>
    </w:p>
    <w:p w:rsidR="002A3CB6" w:rsidRPr="002A3CB6" w:rsidRDefault="002A3CB6" w:rsidP="002A3CB6">
      <w:pPr>
        <w:tabs>
          <w:tab w:val="clear" w:pos="1134"/>
          <w:tab w:val="clear" w:pos="1871"/>
          <w:tab w:val="clear" w:pos="2268"/>
        </w:tabs>
        <w:overflowPunct/>
        <w:autoSpaceDE/>
        <w:autoSpaceDN/>
        <w:adjustRightInd/>
        <w:spacing w:after="120"/>
        <w:textAlignment w:val="auto"/>
      </w:pPr>
      <w:r w:rsidRPr="00CC4E40">
        <w:rPr>
          <w:b/>
          <w:bCs/>
        </w:rPr>
        <w:t>3.3.2</w:t>
      </w:r>
      <w:r w:rsidRPr="002A3CB6">
        <w:tab/>
        <w:t xml:space="preserve">A second curriculum for a blended training programme for Indigenous people in the Americas region (online and hands-on/face-to-face training) was developed to build the capacity of Indigenous technicians to ensure the self-sustainability of indigenous community-related networks. The course will </w:t>
      </w:r>
      <w:r w:rsidRPr="002A3CB6">
        <w:rPr>
          <w:noProof/>
        </w:rPr>
        <w:t>be delivered</w:t>
      </w:r>
      <w:r w:rsidRPr="002A3CB6">
        <w:t xml:space="preserve"> in 2019.</w:t>
      </w:r>
    </w:p>
    <w:p w:rsidR="002A3CB6" w:rsidRPr="002A3CB6" w:rsidRDefault="002A3CB6">
      <w:pPr>
        <w:pStyle w:val="Heading1"/>
        <w:numPr>
          <w:ilvl w:val="1"/>
          <w:numId w:val="13"/>
        </w:numPr>
        <w:tabs>
          <w:tab w:val="clear" w:pos="1134"/>
          <w:tab w:val="clear" w:pos="1871"/>
          <w:tab w:val="clear" w:pos="2268"/>
        </w:tabs>
        <w:overflowPunct/>
        <w:autoSpaceDE/>
        <w:autoSpaceDN/>
        <w:adjustRightInd/>
        <w:spacing w:before="120" w:after="120"/>
        <w:textAlignment w:val="auto"/>
        <w:rPr>
          <w:rFonts w:cstheme="minorHAnsi"/>
          <w:sz w:val="24"/>
          <w:szCs w:val="24"/>
        </w:rPr>
      </w:pPr>
      <w:r w:rsidRPr="002A3CB6">
        <w:rPr>
          <w:rFonts w:cstheme="minorHAnsi"/>
          <w:sz w:val="24"/>
          <w:szCs w:val="24"/>
        </w:rPr>
        <w:t>Assistance provided and capacity build</w:t>
      </w:r>
      <w:r w:rsidR="00A3171E">
        <w:rPr>
          <w:rFonts w:cstheme="minorHAnsi"/>
          <w:sz w:val="24"/>
          <w:szCs w:val="24"/>
        </w:rPr>
        <w:t>ing</w:t>
      </w:r>
      <w:r w:rsidRPr="002A3CB6">
        <w:rPr>
          <w:rFonts w:cstheme="minorHAnsi"/>
          <w:sz w:val="24"/>
          <w:szCs w:val="24"/>
        </w:rPr>
        <w:t xml:space="preserve"> to ITU </w:t>
      </w:r>
      <w:r w:rsidR="00A3171E">
        <w:rPr>
          <w:rFonts w:cstheme="minorHAnsi"/>
          <w:sz w:val="24"/>
          <w:szCs w:val="24"/>
        </w:rPr>
        <w:t>m</w:t>
      </w:r>
      <w:r w:rsidR="00A3171E" w:rsidRPr="002A3CB6">
        <w:rPr>
          <w:rFonts w:cstheme="minorHAnsi"/>
          <w:sz w:val="24"/>
          <w:szCs w:val="24"/>
        </w:rPr>
        <w:t xml:space="preserve">embership </w:t>
      </w:r>
      <w:r w:rsidRPr="002A3CB6">
        <w:rPr>
          <w:rFonts w:cstheme="minorHAnsi"/>
          <w:sz w:val="24"/>
          <w:szCs w:val="24"/>
        </w:rPr>
        <w:t>in ICT Accessibility</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1B4BB1">
        <w:rPr>
          <w:rFonts w:cstheme="minorHAnsi"/>
          <w:b/>
          <w:szCs w:val="24"/>
        </w:rPr>
        <w:t>3.4.1</w:t>
      </w:r>
      <w:r w:rsidR="00BC737B" w:rsidRPr="001B4BB1">
        <w:rPr>
          <w:rFonts w:cstheme="minorHAnsi"/>
          <w:b/>
          <w:szCs w:val="24"/>
        </w:rPr>
        <w:tab/>
      </w:r>
      <w:r w:rsidRPr="002A3CB6">
        <w:rPr>
          <w:noProof/>
        </w:rPr>
        <w:t>In collaboration</w:t>
      </w:r>
      <w:r w:rsidRPr="002A3CB6">
        <w:t xml:space="preserve"> with the </w:t>
      </w:r>
      <w:r w:rsidR="00A3171E">
        <w:t>Regional Office for the Arab States,</w:t>
      </w:r>
      <w:r w:rsidRPr="002A3CB6">
        <w:t xml:space="preserve"> </w:t>
      </w:r>
      <w:r w:rsidRPr="002A3CB6">
        <w:rPr>
          <w:rFonts w:eastAsiaTheme="minorEastAsia" w:cstheme="minorBidi"/>
        </w:rPr>
        <w:t xml:space="preserve">assistance to formulate the national ICT Accessibility Policy of Sudan </w:t>
      </w:r>
      <w:r w:rsidRPr="002A3CB6">
        <w:rPr>
          <w:rFonts w:eastAsiaTheme="minorEastAsia" w:cstheme="minorBidi"/>
          <w:noProof/>
        </w:rPr>
        <w:t>was provided.</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rPr>
        <w:t>3.4.2</w:t>
      </w:r>
      <w:r w:rsidR="00BC737B">
        <w:rPr>
          <w:rFonts w:eastAsiaTheme="minorEastAsia" w:cstheme="minorBidi"/>
        </w:rPr>
        <w:tab/>
      </w:r>
      <w:r w:rsidRPr="002A3CB6">
        <w:rPr>
          <w:rFonts w:eastAsiaTheme="minorEastAsia" w:cstheme="minorBidi"/>
        </w:rPr>
        <w:t xml:space="preserve">Capacity in ICT Accessibility </w:t>
      </w:r>
      <w:r w:rsidRPr="002A3CB6">
        <w:rPr>
          <w:rFonts w:eastAsiaTheme="minorEastAsia" w:cstheme="minorBidi"/>
          <w:noProof/>
        </w:rPr>
        <w:t xml:space="preserve">was provided </w:t>
      </w:r>
      <w:r w:rsidRPr="002A3CB6">
        <w:rPr>
          <w:rFonts w:eastAsiaTheme="minorEastAsia" w:cstheme="minorBidi"/>
        </w:rPr>
        <w:t xml:space="preserve">to all participants to the </w:t>
      </w:r>
      <w:r w:rsidR="00A3171E">
        <w:rPr>
          <w:rFonts w:eastAsiaTheme="minorEastAsia" w:cstheme="minorBidi"/>
        </w:rPr>
        <w:t xml:space="preserve">meeting of the </w:t>
      </w:r>
      <w:r w:rsidRPr="002A3CB6">
        <w:rPr>
          <w:rFonts w:eastAsiaTheme="minorEastAsia" w:cstheme="minorBidi"/>
        </w:rPr>
        <w:t>Rapporteur Group of Q7/1 on 28 September.</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rPr>
        <w:t>3.4.3</w:t>
      </w:r>
      <w:r w:rsidR="00BC737B">
        <w:rPr>
          <w:rFonts w:eastAsiaTheme="minorEastAsia" w:cstheme="minorBidi"/>
          <w:b/>
          <w:bCs/>
        </w:rPr>
        <w:tab/>
      </w:r>
      <w:r w:rsidRPr="002A3CB6">
        <w:rPr>
          <w:rFonts w:eastAsiaTheme="minorEastAsia" w:cstheme="minorBidi"/>
        </w:rPr>
        <w:t xml:space="preserve">In support to </w:t>
      </w:r>
      <w:r w:rsidR="00A3171E">
        <w:rPr>
          <w:rFonts w:eastAsiaTheme="minorEastAsia" w:cstheme="minorBidi"/>
        </w:rPr>
        <w:t>the Arab States</w:t>
      </w:r>
      <w:r w:rsidR="00A3171E" w:rsidRPr="002A3CB6">
        <w:rPr>
          <w:rFonts w:eastAsiaTheme="minorEastAsia" w:cstheme="minorBidi"/>
        </w:rPr>
        <w:t xml:space="preserve"> </w:t>
      </w:r>
      <w:r w:rsidRPr="002A3CB6">
        <w:rPr>
          <w:rFonts w:eastAsiaTheme="minorEastAsia" w:cstheme="minorBidi"/>
        </w:rPr>
        <w:t>Regional Initiative, a course “Train the trainers” was developed and customized for the Arab Region on “Accessible Digital Content and Remediation for the stakeholders delivering digital financial services</w:t>
      </w:r>
      <w:r w:rsidRPr="002A3CB6">
        <w:rPr>
          <w:rFonts w:eastAsiaTheme="minorEastAsia" w:cstheme="minorBidi"/>
          <w:noProof/>
        </w:rPr>
        <w:t>”</w:t>
      </w:r>
      <w:r w:rsidR="00A3171E">
        <w:rPr>
          <w:rFonts w:eastAsiaTheme="minorEastAsia" w:cstheme="minorBidi"/>
          <w:noProof/>
        </w:rPr>
        <w:t>.</w:t>
      </w:r>
      <w:r w:rsidRPr="002A3CB6">
        <w:rPr>
          <w:rFonts w:eastAsiaTheme="minorEastAsia" w:cstheme="minorBidi"/>
        </w:rPr>
        <w:t xml:space="preserve"> The training </w:t>
      </w:r>
      <w:r w:rsidRPr="002A3CB6">
        <w:rPr>
          <w:rFonts w:eastAsiaTheme="minorEastAsia" w:cstheme="minorBidi"/>
          <w:noProof/>
        </w:rPr>
        <w:t>was delivered</w:t>
      </w:r>
      <w:r w:rsidRPr="002A3CB6">
        <w:rPr>
          <w:rFonts w:eastAsiaTheme="minorEastAsia" w:cstheme="minorBidi"/>
        </w:rPr>
        <w:t xml:space="preserve"> to over 40</w:t>
      </w:r>
      <w:r w:rsidR="00A3171E">
        <w:rPr>
          <w:rFonts w:eastAsiaTheme="minorEastAsia" w:cstheme="minorBidi"/>
        </w:rPr>
        <w:t> </w:t>
      </w:r>
      <w:r w:rsidRPr="002A3CB6">
        <w:rPr>
          <w:rFonts w:eastAsiaTheme="minorEastAsia" w:cstheme="minorBidi"/>
        </w:rPr>
        <w:t>persons on 16-18 October 2018 in Cairo, Egypt.</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rPr>
        <w:t>3.4.4</w:t>
      </w:r>
      <w:r w:rsidR="00BC737B">
        <w:rPr>
          <w:rFonts w:eastAsiaTheme="minorEastAsia" w:cstheme="minorBidi"/>
        </w:rPr>
        <w:tab/>
      </w:r>
      <w:r w:rsidRPr="002A3CB6">
        <w:rPr>
          <w:rFonts w:eastAsiaTheme="minorEastAsia" w:cstheme="minorBidi"/>
        </w:rPr>
        <w:t xml:space="preserve">In support to the development of regional experts in ICT accessibility in </w:t>
      </w:r>
      <w:r w:rsidR="00A3171E">
        <w:rPr>
          <w:rFonts w:eastAsiaTheme="minorEastAsia" w:cstheme="minorBidi"/>
        </w:rPr>
        <w:t>the Americas</w:t>
      </w:r>
      <w:r w:rsidR="00A3171E" w:rsidRPr="002A3CB6">
        <w:rPr>
          <w:rFonts w:eastAsiaTheme="minorEastAsia" w:cstheme="minorBidi"/>
        </w:rPr>
        <w:t xml:space="preserve"> </w:t>
      </w:r>
      <w:r w:rsidRPr="002A3CB6">
        <w:rPr>
          <w:rFonts w:eastAsiaTheme="minorEastAsia" w:cstheme="minorBidi"/>
        </w:rPr>
        <w:t xml:space="preserve">region, an executive training session certificate based </w:t>
      </w:r>
      <w:r w:rsidR="00A3171E">
        <w:rPr>
          <w:rFonts w:eastAsiaTheme="minorEastAsia" w:cstheme="minorBidi"/>
        </w:rPr>
        <w:t>on</w:t>
      </w:r>
      <w:r w:rsidR="00A3171E" w:rsidRPr="002A3CB6">
        <w:rPr>
          <w:rFonts w:eastAsiaTheme="minorEastAsia" w:cstheme="minorBidi"/>
        </w:rPr>
        <w:t xml:space="preserve"> </w:t>
      </w:r>
      <w:r w:rsidRPr="002A3CB6">
        <w:rPr>
          <w:rFonts w:eastAsiaTheme="minorEastAsia" w:cstheme="minorBidi"/>
        </w:rPr>
        <w:t xml:space="preserve">“Fundamentals of ICT accessibility” was provided by the BDT Focal Point during “The </w:t>
      </w:r>
      <w:r w:rsidRPr="002A3CB6">
        <w:rPr>
          <w:rFonts w:eastAsiaTheme="minorEastAsia" w:cstheme="minorBidi"/>
          <w:i/>
          <w:iCs/>
        </w:rPr>
        <w:t>5</w:t>
      </w:r>
      <w:r w:rsidRPr="002A3CB6">
        <w:rPr>
          <w:rFonts w:eastAsiaTheme="minorEastAsia" w:cstheme="minorBidi"/>
          <w:i/>
          <w:iCs/>
          <w:vertAlign w:val="superscript"/>
        </w:rPr>
        <w:t>th</w:t>
      </w:r>
      <w:r w:rsidRPr="002A3CB6">
        <w:rPr>
          <w:rFonts w:eastAsiaTheme="minorEastAsia" w:cstheme="minorBidi"/>
          <w:i/>
          <w:iCs/>
        </w:rPr>
        <w:t xml:space="preserve"> Accessible Americas-ICT for ALL</w:t>
      </w:r>
      <w:r w:rsidRPr="002A3CB6">
        <w:rPr>
          <w:rFonts w:eastAsiaTheme="minorEastAsia" w:cstheme="minorBidi"/>
        </w:rPr>
        <w:t xml:space="preserve">” regional event held in Jamaica in November. </w:t>
      </w:r>
      <w:r w:rsidRPr="002A3CB6">
        <w:rPr>
          <w:rFonts w:eastAsiaTheme="minorEastAsia" w:cstheme="minorBidi"/>
          <w:noProof/>
        </w:rPr>
        <w:t>Ninety (90)</w:t>
      </w:r>
      <w:r w:rsidRPr="002A3CB6">
        <w:rPr>
          <w:rFonts w:eastAsiaTheme="minorEastAsia" w:cstheme="minorBidi"/>
        </w:rPr>
        <w:t xml:space="preserve"> trainees successfully achieved the knowledge and obtained ITU certifications.</w:t>
      </w:r>
    </w:p>
    <w:p w:rsidR="002A3CB6" w:rsidRPr="002A3CB6" w:rsidRDefault="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noProof/>
        </w:rPr>
        <w:t>3.4.5</w:t>
      </w:r>
      <w:r w:rsidR="00BC737B">
        <w:rPr>
          <w:rFonts w:eastAsiaTheme="minorEastAsia" w:cstheme="minorBidi"/>
          <w:noProof/>
        </w:rPr>
        <w:tab/>
      </w:r>
      <w:r w:rsidRPr="002A3CB6">
        <w:rPr>
          <w:rFonts w:eastAsiaTheme="minorEastAsia" w:cstheme="minorBidi"/>
          <w:noProof/>
        </w:rPr>
        <w:t xml:space="preserve">Capacity was built and awareness was raised among over 1,500 ITU Members and stakeholders </w:t>
      </w:r>
      <w:r w:rsidR="00317F4A">
        <w:rPr>
          <w:rFonts w:eastAsiaTheme="minorEastAsia" w:cstheme="minorBidi"/>
          <w:noProof/>
        </w:rPr>
        <w:t>in</w:t>
      </w:r>
      <w:r w:rsidR="00317F4A" w:rsidRPr="002A3CB6">
        <w:rPr>
          <w:rFonts w:eastAsiaTheme="minorEastAsia" w:cstheme="minorBidi"/>
          <w:noProof/>
        </w:rPr>
        <w:t xml:space="preserve"> </w:t>
      </w:r>
      <w:r w:rsidRPr="002A3CB6">
        <w:rPr>
          <w:rFonts w:eastAsiaTheme="minorEastAsia" w:cstheme="minorBidi"/>
          <w:noProof/>
        </w:rPr>
        <w:t>ICT Accessibility, as a key to inclusive communication, though thematic, regional and global events and meetings during the seminar “Basics on ageism” organized by UN in cooperation with WHO and ILO; the UN-CRPD (Committee on the Rights of Persons with Disabilities)</w:t>
      </w:r>
      <w:r w:rsidR="00317F4A">
        <w:rPr>
          <w:rFonts w:eastAsiaTheme="minorEastAsia" w:cstheme="minorBidi"/>
          <w:noProof/>
        </w:rPr>
        <w:t>,</w:t>
      </w:r>
      <w:r w:rsidRPr="002A3CB6">
        <w:rPr>
          <w:rFonts w:eastAsiaTheme="minorEastAsia" w:cstheme="minorBidi"/>
          <w:noProof/>
        </w:rPr>
        <w:t xml:space="preserve"> Geneva</w:t>
      </w:r>
      <w:r w:rsidR="00317F4A">
        <w:rPr>
          <w:rFonts w:eastAsiaTheme="minorEastAsia" w:cstheme="minorBidi"/>
          <w:noProof/>
        </w:rPr>
        <w:t>, Switzerland</w:t>
      </w:r>
      <w:r w:rsidRPr="002A3CB6">
        <w:rPr>
          <w:rFonts w:eastAsiaTheme="minorEastAsia" w:cstheme="minorBidi"/>
          <w:noProof/>
        </w:rPr>
        <w:t>; the ITU Forum on ICT Accessibility organized within the Zero Project Conference</w:t>
      </w:r>
      <w:r w:rsidR="00317F4A">
        <w:rPr>
          <w:rFonts w:eastAsiaTheme="minorEastAsia" w:cstheme="minorBidi"/>
          <w:noProof/>
        </w:rPr>
        <w:t>,</w:t>
      </w:r>
      <w:r w:rsidRPr="002A3CB6">
        <w:rPr>
          <w:rFonts w:eastAsiaTheme="minorEastAsia" w:cstheme="minorBidi"/>
          <w:noProof/>
        </w:rPr>
        <w:t xml:space="preserve"> Austria; </w:t>
      </w:r>
      <w:r w:rsidR="00D576F9">
        <w:rPr>
          <w:rFonts w:eastAsiaTheme="minorEastAsia" w:cstheme="minorBidi"/>
          <w:noProof/>
        </w:rPr>
        <w:t xml:space="preserve">a </w:t>
      </w:r>
      <w:r w:rsidRPr="002A3CB6">
        <w:rPr>
          <w:rFonts w:eastAsiaTheme="minorEastAsia" w:cstheme="minorBidi"/>
          <w:noProof/>
        </w:rPr>
        <w:t xml:space="preserve">WSIS workshop on “Practical applications of ICTs supporting digital inclusion and access to information, services and livelihood for PwDs”; </w:t>
      </w:r>
      <w:r w:rsidR="00D576F9">
        <w:rPr>
          <w:rFonts w:eastAsiaTheme="minorEastAsia" w:cstheme="minorBidi"/>
          <w:noProof/>
        </w:rPr>
        <w:t xml:space="preserve">the </w:t>
      </w:r>
      <w:r w:rsidRPr="002A3CB6">
        <w:rPr>
          <w:rFonts w:eastAsiaTheme="minorEastAsia" w:cstheme="minorBidi"/>
          <w:noProof/>
        </w:rPr>
        <w:t>2018 M-Enabling Summit,</w:t>
      </w:r>
      <w:r w:rsidR="00D576F9">
        <w:rPr>
          <w:rFonts w:eastAsiaTheme="minorEastAsia" w:cstheme="minorBidi"/>
          <w:noProof/>
        </w:rPr>
        <w:t xml:space="preserve"> </w:t>
      </w:r>
      <w:r w:rsidRPr="002A3CB6">
        <w:rPr>
          <w:rFonts w:eastAsiaTheme="minorEastAsia" w:cstheme="minorBidi"/>
          <w:noProof/>
        </w:rPr>
        <w:t>during an interactive session on “Global Accessibility Policy Up-date</w:t>
      </w:r>
      <w:r w:rsidR="00D576F9" w:rsidRPr="002A3CB6">
        <w:rPr>
          <w:rFonts w:eastAsiaTheme="minorEastAsia" w:cstheme="minorBidi"/>
          <w:noProof/>
        </w:rPr>
        <w:t>”</w:t>
      </w:r>
      <w:r w:rsidR="00D576F9">
        <w:rPr>
          <w:rFonts w:eastAsiaTheme="minorEastAsia" w:cstheme="minorBidi"/>
          <w:noProof/>
        </w:rPr>
        <w:t>,</w:t>
      </w:r>
      <w:r w:rsidR="00D576F9" w:rsidRPr="002A3CB6">
        <w:rPr>
          <w:rFonts w:eastAsiaTheme="minorEastAsia" w:cstheme="minorBidi"/>
          <w:noProof/>
        </w:rPr>
        <w:t xml:space="preserve"> </w:t>
      </w:r>
      <w:r w:rsidR="00D576F9">
        <w:rPr>
          <w:rFonts w:eastAsiaTheme="minorEastAsia" w:cstheme="minorBidi"/>
          <w:noProof/>
        </w:rPr>
        <w:t>United States</w:t>
      </w:r>
      <w:r w:rsidRPr="002A3CB6">
        <w:rPr>
          <w:rFonts w:eastAsiaTheme="minorEastAsia" w:cstheme="minorBidi"/>
          <w:noProof/>
        </w:rPr>
        <w:t xml:space="preserve">; </w:t>
      </w:r>
      <w:r w:rsidR="00D576F9">
        <w:rPr>
          <w:rFonts w:eastAsiaTheme="minorEastAsia" w:cstheme="minorBidi"/>
          <w:noProof/>
        </w:rPr>
        <w:t xml:space="preserve">the </w:t>
      </w:r>
      <w:r w:rsidRPr="002A3CB6">
        <w:rPr>
          <w:rFonts w:eastAsiaTheme="minorEastAsia" w:cstheme="minorBidi"/>
          <w:noProof/>
        </w:rPr>
        <w:t>Global Summit on Disability, UK; Accessible Americas V: ICTs for ALL” in Jamaica; the 1</w:t>
      </w:r>
      <w:r w:rsidRPr="002A3CB6">
        <w:rPr>
          <w:rFonts w:eastAsiaTheme="minorEastAsia" w:cstheme="minorBidi"/>
          <w:noProof/>
          <w:vertAlign w:val="superscript"/>
        </w:rPr>
        <w:t>st</w:t>
      </w:r>
      <w:r w:rsidRPr="002A3CB6">
        <w:rPr>
          <w:rFonts w:eastAsiaTheme="minorEastAsia" w:cstheme="minorBidi"/>
          <w:noProof/>
        </w:rPr>
        <w:t xml:space="preserve"> Accessible Europe – ICT for ALL in Austria; as well as among key stakeholders in Sudan as part of the assistance to formulate the national ICT Accessibility Policy of Sudan.</w:t>
      </w:r>
      <w:r w:rsidRPr="002A3CB6">
        <w:rPr>
          <w:rFonts w:eastAsiaTheme="minorEastAsia" w:cstheme="minorBidi"/>
        </w:rPr>
        <w:t xml:space="preserve"> </w:t>
      </w:r>
    </w:p>
    <w:p w:rsidR="002A3CB6" w:rsidRPr="002A3CB6" w:rsidRDefault="002A3CB6" w:rsidP="002A3CB6">
      <w:pPr>
        <w:tabs>
          <w:tab w:val="clear" w:pos="1134"/>
          <w:tab w:val="clear" w:pos="1871"/>
          <w:tab w:val="clear" w:pos="2268"/>
        </w:tabs>
        <w:overflowPunct/>
        <w:autoSpaceDE/>
        <w:autoSpaceDN/>
        <w:adjustRightInd/>
        <w:spacing w:after="120"/>
        <w:textAlignment w:val="auto"/>
        <w:rPr>
          <w:rFonts w:eastAsiaTheme="minorEastAsia" w:cstheme="minorBidi"/>
        </w:rPr>
      </w:pPr>
      <w:r w:rsidRPr="002A3CB6">
        <w:rPr>
          <w:rFonts w:eastAsiaTheme="minorEastAsia" w:cstheme="minorBidi"/>
          <w:b/>
          <w:bCs/>
        </w:rPr>
        <w:lastRenderedPageBreak/>
        <w:t>3.4.6</w:t>
      </w:r>
      <w:r w:rsidR="00BC737B">
        <w:rPr>
          <w:rFonts w:eastAsiaTheme="minorEastAsia" w:cstheme="minorBidi"/>
        </w:rPr>
        <w:tab/>
      </w:r>
      <w:r w:rsidRPr="002A3CB6">
        <w:rPr>
          <w:rFonts w:eastAsiaTheme="minorEastAsia" w:cstheme="minorBidi"/>
        </w:rPr>
        <w:t xml:space="preserve">Almost 200 digital inclusion programmes and practices were shared on the Digital Inclusion Newslog during 2018, with 6,585 views of the </w:t>
      </w:r>
      <w:r w:rsidRPr="002A3CB6">
        <w:rPr>
          <w:rFonts w:eastAsiaTheme="minorEastAsia" w:cstheme="minorBidi"/>
          <w:noProof/>
        </w:rPr>
        <w:t>newslog</w:t>
      </w:r>
      <w:r w:rsidRPr="002A3CB6">
        <w:rPr>
          <w:rFonts w:eastAsiaTheme="minorEastAsia" w:cstheme="minorBidi"/>
        </w:rPr>
        <w:t xml:space="preserve"> posts. Awareness </w:t>
      </w:r>
      <w:r w:rsidRPr="002A3CB6">
        <w:rPr>
          <w:rFonts w:eastAsiaTheme="minorEastAsia" w:cstheme="minorBidi"/>
          <w:noProof/>
        </w:rPr>
        <w:t>was raised</w:t>
      </w:r>
      <w:r w:rsidRPr="002A3CB6">
        <w:rPr>
          <w:rFonts w:eastAsiaTheme="minorEastAsia" w:cstheme="minorBidi"/>
        </w:rPr>
        <w:t xml:space="preserve"> </w:t>
      </w:r>
      <w:r w:rsidRPr="002A3CB6">
        <w:rPr>
          <w:rFonts w:eastAsiaTheme="minorEastAsia" w:cstheme="minorBidi"/>
          <w:noProof/>
        </w:rPr>
        <w:t>and</w:t>
      </w:r>
      <w:r w:rsidRPr="002A3CB6">
        <w:rPr>
          <w:rFonts w:eastAsiaTheme="minorEastAsia" w:cstheme="minorBidi"/>
        </w:rPr>
        <w:t xml:space="preserve"> the good practices shared among ITU members through the weekly publication of innovative digital inclusion practices and strategies on the ITU-D Digital Inclusion </w:t>
      </w:r>
      <w:r w:rsidRPr="002A3CB6">
        <w:rPr>
          <w:rFonts w:eastAsiaTheme="minorEastAsia" w:cstheme="minorBidi"/>
          <w:noProof/>
        </w:rPr>
        <w:t>newslog</w:t>
      </w:r>
      <w:r w:rsidRPr="002A3CB6">
        <w:rPr>
          <w:rFonts w:eastAsiaTheme="minorEastAsia" w:cstheme="minorBidi"/>
        </w:rPr>
        <w:t xml:space="preserve"> </w:t>
      </w:r>
      <w:r w:rsidRPr="002A3CB6">
        <w:rPr>
          <w:rFonts w:eastAsiaTheme="minorEastAsia" w:cstheme="minorBidi"/>
          <w:noProof/>
        </w:rPr>
        <w:t xml:space="preserve">at: </w:t>
      </w:r>
      <w:hyperlink r:id="rId21" w:history="1">
        <w:r w:rsidRPr="002A3CB6">
          <w:rPr>
            <w:rStyle w:val="Hyperlink"/>
            <w:rFonts w:eastAsiaTheme="minorEastAsia" w:cstheme="minorBidi"/>
          </w:rPr>
          <w:t>http://digitalinclusionnewslog.itu.int/</w:t>
        </w:r>
      </w:hyperlink>
      <w:r w:rsidRPr="002A3CB6">
        <w:rPr>
          <w:rFonts w:eastAsiaTheme="minorEastAsia" w:cstheme="minorBidi"/>
        </w:rPr>
        <w:t>.</w:t>
      </w:r>
    </w:p>
    <w:p w:rsidR="002A3CB6" w:rsidRPr="002A3CB6" w:rsidRDefault="002A3CB6" w:rsidP="002A3CB6">
      <w:pPr>
        <w:pStyle w:val="Heading1"/>
        <w:numPr>
          <w:ilvl w:val="0"/>
          <w:numId w:val="10"/>
        </w:numPr>
        <w:tabs>
          <w:tab w:val="clear" w:pos="1134"/>
          <w:tab w:val="clear" w:pos="1871"/>
          <w:tab w:val="clear" w:pos="2268"/>
        </w:tabs>
        <w:overflowPunct/>
        <w:autoSpaceDE/>
        <w:autoSpaceDN/>
        <w:adjustRightInd/>
        <w:spacing w:before="120" w:after="120"/>
        <w:ind w:left="357" w:hanging="357"/>
        <w:textAlignment w:val="auto"/>
        <w:rPr>
          <w:rFonts w:cstheme="minorHAnsi"/>
          <w:sz w:val="24"/>
          <w:szCs w:val="24"/>
        </w:rPr>
      </w:pPr>
      <w:r w:rsidRPr="002A3CB6">
        <w:rPr>
          <w:rFonts w:cstheme="minorHAnsi"/>
          <w:sz w:val="24"/>
          <w:szCs w:val="24"/>
        </w:rPr>
        <w:t>Way Forward</w:t>
      </w:r>
    </w:p>
    <w:p w:rsidR="002A3CB6" w:rsidRPr="00CC4E40" w:rsidRDefault="002A3CB6">
      <w:pPr>
        <w:keepNext/>
        <w:tabs>
          <w:tab w:val="clear" w:pos="1871"/>
          <w:tab w:val="clear" w:pos="2268"/>
          <w:tab w:val="left" w:pos="567"/>
        </w:tabs>
        <w:spacing w:after="120"/>
        <w:rPr>
          <w:rFonts w:cstheme="minorHAnsi"/>
          <w:szCs w:val="24"/>
        </w:rPr>
      </w:pPr>
      <w:r w:rsidRPr="00CC4E40">
        <w:rPr>
          <w:rFonts w:cstheme="minorHAnsi"/>
          <w:szCs w:val="24"/>
        </w:rPr>
        <w:t xml:space="preserve">Considering the rapid evolution of the telecommunication/ICT services for persons with specific needs, </w:t>
      </w:r>
      <w:r w:rsidR="00D576F9">
        <w:rPr>
          <w:rFonts w:cstheme="minorHAnsi"/>
          <w:szCs w:val="24"/>
        </w:rPr>
        <w:t xml:space="preserve">the </w:t>
      </w:r>
      <w:r w:rsidRPr="00CC4E40">
        <w:rPr>
          <w:rFonts w:cstheme="minorHAnsi"/>
          <w:szCs w:val="24"/>
        </w:rPr>
        <w:t xml:space="preserve">Digital Inclusion Programme aims to ensure strategic implementation through: </w:t>
      </w:r>
    </w:p>
    <w:p w:rsidR="002A3CB6" w:rsidRPr="002A3CB6" w:rsidRDefault="002A3CB6" w:rsidP="002A3CB6">
      <w:pPr>
        <w:pStyle w:val="Heading1"/>
        <w:numPr>
          <w:ilvl w:val="1"/>
          <w:numId w:val="10"/>
        </w:numPr>
        <w:tabs>
          <w:tab w:val="clear" w:pos="1134"/>
          <w:tab w:val="clear" w:pos="1871"/>
          <w:tab w:val="clear" w:pos="2268"/>
        </w:tabs>
        <w:overflowPunct/>
        <w:autoSpaceDE/>
        <w:autoSpaceDN/>
        <w:adjustRightInd/>
        <w:spacing w:before="120" w:after="120"/>
        <w:ind w:left="431" w:hanging="431"/>
        <w:textAlignment w:val="auto"/>
        <w:rPr>
          <w:rFonts w:cstheme="minorHAnsi"/>
          <w:sz w:val="24"/>
          <w:szCs w:val="24"/>
        </w:rPr>
      </w:pPr>
      <w:r w:rsidRPr="002A3CB6">
        <w:rPr>
          <w:rFonts w:cstheme="minorHAnsi"/>
          <w:sz w:val="24"/>
          <w:szCs w:val="24"/>
        </w:rPr>
        <w:t>Strengthening Digital Inclusion activities aiming at increasing the number of Member States advised and/or supported in their implementation process of Digital Inclusion strategies and policies in their countries by:</w:t>
      </w:r>
    </w:p>
    <w:p w:rsidR="002A3CB6" w:rsidRPr="002A3CB6" w:rsidRDefault="002A3CB6">
      <w:pPr>
        <w:pStyle w:val="ListParagraph"/>
        <w:numPr>
          <w:ilvl w:val="0"/>
          <w:numId w:val="11"/>
        </w:numPr>
        <w:spacing w:before="40" w:after="40"/>
        <w:ind w:left="357" w:hanging="357"/>
        <w:contextualSpacing w:val="0"/>
        <w:rPr>
          <w:rFonts w:cs="Calibri"/>
          <w:szCs w:val="24"/>
        </w:rPr>
      </w:pPr>
      <w:r w:rsidRPr="002A3CB6">
        <w:rPr>
          <w:rFonts w:cs="Calibri"/>
          <w:szCs w:val="24"/>
        </w:rPr>
        <w:t xml:space="preserve">Developing additional key resources in Digital Inclusion to be used by ITU </w:t>
      </w:r>
      <w:r w:rsidR="00D576F9">
        <w:rPr>
          <w:rFonts w:cs="Calibri"/>
          <w:szCs w:val="24"/>
        </w:rPr>
        <w:t>m</w:t>
      </w:r>
      <w:r w:rsidR="00D576F9" w:rsidRPr="002A3CB6">
        <w:rPr>
          <w:rFonts w:cs="Calibri"/>
          <w:szCs w:val="24"/>
        </w:rPr>
        <w:t>embership</w:t>
      </w:r>
      <w:r w:rsidRPr="002A3CB6">
        <w:rPr>
          <w:rFonts w:cs="Calibri"/>
          <w:szCs w:val="24"/>
        </w:rPr>
        <w:t>;</w:t>
      </w:r>
    </w:p>
    <w:p w:rsidR="002A3CB6" w:rsidRPr="002A3CB6" w:rsidRDefault="002A3CB6" w:rsidP="00351DB7">
      <w:pPr>
        <w:pStyle w:val="ListParagraph"/>
        <w:numPr>
          <w:ilvl w:val="0"/>
          <w:numId w:val="11"/>
        </w:numPr>
        <w:spacing w:before="40" w:after="40"/>
        <w:ind w:left="357" w:hanging="357"/>
        <w:contextualSpacing w:val="0"/>
        <w:rPr>
          <w:szCs w:val="24"/>
        </w:rPr>
      </w:pPr>
      <w:r w:rsidRPr="002A3CB6">
        <w:rPr>
          <w:rFonts w:cs="Calibri"/>
          <w:szCs w:val="24"/>
        </w:rPr>
        <w:t xml:space="preserve">Providing </w:t>
      </w:r>
      <w:r w:rsidRPr="002A3CB6">
        <w:rPr>
          <w:rFonts w:cs="Calibri"/>
          <w:noProof/>
          <w:szCs w:val="24"/>
        </w:rPr>
        <w:t>training courses</w:t>
      </w:r>
      <w:r w:rsidRPr="002A3CB6">
        <w:rPr>
          <w:rFonts w:cs="Calibri"/>
          <w:szCs w:val="24"/>
        </w:rPr>
        <w:t xml:space="preserve"> to ensure the </w:t>
      </w:r>
      <w:r w:rsidRPr="002A3CB6">
        <w:rPr>
          <w:rFonts w:cs="Calibri"/>
          <w:noProof/>
          <w:szCs w:val="24"/>
        </w:rPr>
        <w:t>strengthening</w:t>
      </w:r>
      <w:r w:rsidRPr="002A3CB6">
        <w:rPr>
          <w:rFonts w:cs="Calibri"/>
          <w:szCs w:val="24"/>
        </w:rPr>
        <w:t xml:space="preserve"> of Digital Skills for social and economic empowerment of persons with specific needs (for Indigenous People </w:t>
      </w:r>
      <w:r w:rsidRPr="002A3CB6">
        <w:rPr>
          <w:rFonts w:cs="Calibri"/>
          <w:noProof/>
          <w:szCs w:val="24"/>
        </w:rPr>
        <w:t>also considering</w:t>
      </w:r>
      <w:r w:rsidRPr="002A3CB6">
        <w:rPr>
          <w:rFonts w:cs="Calibri"/>
          <w:szCs w:val="24"/>
        </w:rPr>
        <w:t xml:space="preserve"> the </w:t>
      </w:r>
      <w:r w:rsidRPr="002A3CB6">
        <w:rPr>
          <w:rFonts w:cs="Calibri"/>
          <w:noProof/>
          <w:szCs w:val="24"/>
        </w:rPr>
        <w:t>self-sustainability</w:t>
      </w:r>
      <w:r w:rsidRPr="002A3CB6">
        <w:rPr>
          <w:rFonts w:cs="Calibri"/>
          <w:szCs w:val="24"/>
        </w:rPr>
        <w:t xml:space="preserve"> aspect); </w:t>
      </w:r>
    </w:p>
    <w:p w:rsidR="002A3CB6" w:rsidRPr="002A3CB6" w:rsidRDefault="002A3CB6" w:rsidP="00351DB7">
      <w:pPr>
        <w:pStyle w:val="ListParagraph"/>
        <w:numPr>
          <w:ilvl w:val="0"/>
          <w:numId w:val="11"/>
        </w:numPr>
        <w:spacing w:before="40" w:after="40"/>
        <w:ind w:left="357" w:hanging="357"/>
        <w:contextualSpacing w:val="0"/>
        <w:rPr>
          <w:rFonts w:cs="Calibri"/>
          <w:szCs w:val="24"/>
        </w:rPr>
      </w:pPr>
      <w:r w:rsidRPr="002A3CB6">
        <w:rPr>
          <w:rFonts w:cs="Calibri"/>
          <w:szCs w:val="24"/>
        </w:rPr>
        <w:t xml:space="preserve">Raising awareness on the Digital </w:t>
      </w:r>
      <w:r w:rsidRPr="002A3CB6">
        <w:rPr>
          <w:rFonts w:cs="Calibri"/>
          <w:noProof/>
          <w:szCs w:val="24"/>
        </w:rPr>
        <w:t>Inclusion</w:t>
      </w:r>
      <w:r w:rsidRPr="002A3CB6">
        <w:rPr>
          <w:rFonts w:cs="Calibri"/>
          <w:szCs w:val="24"/>
        </w:rPr>
        <w:t xml:space="preserve"> strategies and </w:t>
      </w:r>
      <w:r w:rsidRPr="002A3CB6">
        <w:rPr>
          <w:rFonts w:cs="Calibri"/>
          <w:noProof/>
          <w:szCs w:val="24"/>
        </w:rPr>
        <w:t>devising</w:t>
      </w:r>
      <w:r w:rsidRPr="002A3CB6">
        <w:rPr>
          <w:rFonts w:cs="Calibri"/>
          <w:szCs w:val="24"/>
        </w:rPr>
        <w:t xml:space="preserve"> appropriate tools to ensure that women and girls are not only encouraged to take on studies and </w:t>
      </w:r>
      <w:r w:rsidRPr="002A3CB6">
        <w:rPr>
          <w:rFonts w:cs="Calibri"/>
          <w:noProof/>
          <w:szCs w:val="24"/>
        </w:rPr>
        <w:t>careers</w:t>
      </w:r>
      <w:r w:rsidRPr="002A3CB6">
        <w:rPr>
          <w:rFonts w:cs="Calibri"/>
          <w:szCs w:val="24"/>
        </w:rPr>
        <w:t xml:space="preserve"> in </w:t>
      </w:r>
      <w:r w:rsidRPr="002A3CB6">
        <w:rPr>
          <w:rFonts w:cs="Calibri"/>
          <w:noProof/>
          <w:szCs w:val="24"/>
        </w:rPr>
        <w:t>ICT</w:t>
      </w:r>
      <w:r w:rsidRPr="002A3CB6">
        <w:rPr>
          <w:rFonts w:cs="Calibri"/>
          <w:szCs w:val="24"/>
        </w:rPr>
        <w:t xml:space="preserve"> but also</w:t>
      </w:r>
      <w:r w:rsidRPr="002A3CB6">
        <w:rPr>
          <w:rFonts w:cstheme="minorHAnsi"/>
          <w:szCs w:val="22"/>
        </w:rPr>
        <w:t xml:space="preserve"> develop the skills, increase confidence, </w:t>
      </w:r>
      <w:r w:rsidRPr="002A3CB6">
        <w:rPr>
          <w:rFonts w:cstheme="minorHAnsi"/>
          <w:noProof/>
          <w:szCs w:val="22"/>
        </w:rPr>
        <w:t>and</w:t>
      </w:r>
      <w:r w:rsidRPr="002A3CB6">
        <w:rPr>
          <w:rFonts w:cstheme="minorHAnsi"/>
          <w:szCs w:val="22"/>
        </w:rPr>
        <w:t xml:space="preserve"> receive the support they need to succeed in their ICT studies and careers</w:t>
      </w:r>
      <w:r w:rsidRPr="002A3CB6">
        <w:rPr>
          <w:rFonts w:cs="Calibri"/>
          <w:szCs w:val="24"/>
        </w:rPr>
        <w:t>;</w:t>
      </w:r>
    </w:p>
    <w:p w:rsidR="002A3CB6" w:rsidRPr="002A3CB6" w:rsidRDefault="002A3CB6" w:rsidP="00351DB7">
      <w:pPr>
        <w:pStyle w:val="ListParagraph"/>
        <w:numPr>
          <w:ilvl w:val="0"/>
          <w:numId w:val="11"/>
        </w:numPr>
        <w:spacing w:before="40" w:after="40"/>
        <w:ind w:left="357" w:hanging="357"/>
        <w:contextualSpacing w:val="0"/>
        <w:rPr>
          <w:rFonts w:cs="Calibri"/>
          <w:szCs w:val="24"/>
        </w:rPr>
      </w:pPr>
      <w:r w:rsidRPr="002A3CB6">
        <w:rPr>
          <w:rFonts w:cs="Calibri"/>
          <w:szCs w:val="24"/>
        </w:rPr>
        <w:t xml:space="preserve">Identify strategic partnership to ensure that appropriate digital skills are promoted and provided to young people to </w:t>
      </w:r>
      <w:r w:rsidRPr="002A3CB6">
        <w:rPr>
          <w:rFonts w:cs="Calibri"/>
          <w:noProof/>
          <w:szCs w:val="24"/>
        </w:rPr>
        <w:t>contribute to</w:t>
      </w:r>
      <w:r w:rsidRPr="002A3CB6">
        <w:rPr>
          <w:rFonts w:cs="Calibri"/>
          <w:szCs w:val="24"/>
        </w:rPr>
        <w:t xml:space="preserve"> reducing global unemployment;</w:t>
      </w:r>
    </w:p>
    <w:p w:rsidR="002A3CB6" w:rsidRPr="002A3CB6" w:rsidRDefault="002A3CB6" w:rsidP="00351DB7">
      <w:pPr>
        <w:pStyle w:val="ListParagraph"/>
        <w:numPr>
          <w:ilvl w:val="0"/>
          <w:numId w:val="11"/>
        </w:numPr>
        <w:spacing w:before="40" w:after="40"/>
        <w:ind w:left="357" w:hanging="357"/>
        <w:contextualSpacing w:val="0"/>
        <w:rPr>
          <w:rFonts w:cs="Calibri"/>
          <w:szCs w:val="24"/>
        </w:rPr>
      </w:pPr>
      <w:r w:rsidRPr="002A3CB6">
        <w:rPr>
          <w:rFonts w:cs="Calibri"/>
          <w:szCs w:val="24"/>
        </w:rPr>
        <w:t xml:space="preserve">Building capacity in ICT accessibility policies, practices and services to ensure that PwD benefit from telecommunication/ICT </w:t>
      </w:r>
      <w:r w:rsidRPr="002A3CB6">
        <w:rPr>
          <w:rFonts w:cs="Calibri"/>
          <w:noProof/>
          <w:szCs w:val="24"/>
        </w:rPr>
        <w:t>products</w:t>
      </w:r>
      <w:r w:rsidRPr="002A3CB6">
        <w:rPr>
          <w:rFonts w:cs="Calibri"/>
          <w:szCs w:val="24"/>
        </w:rPr>
        <w:t xml:space="preserve"> and services.</w:t>
      </w:r>
    </w:p>
    <w:p w:rsidR="002A3CB6" w:rsidRPr="002A3CB6" w:rsidRDefault="002A3CB6" w:rsidP="002A3CB6">
      <w:pPr>
        <w:pStyle w:val="Heading1"/>
        <w:numPr>
          <w:ilvl w:val="1"/>
          <w:numId w:val="10"/>
        </w:numPr>
        <w:tabs>
          <w:tab w:val="clear" w:pos="1134"/>
          <w:tab w:val="clear" w:pos="1871"/>
          <w:tab w:val="clear" w:pos="2268"/>
        </w:tabs>
        <w:overflowPunct/>
        <w:autoSpaceDE/>
        <w:autoSpaceDN/>
        <w:adjustRightInd/>
        <w:spacing w:before="120" w:after="120"/>
        <w:ind w:left="431" w:hanging="431"/>
        <w:textAlignment w:val="auto"/>
        <w:rPr>
          <w:rFonts w:cstheme="minorHAnsi"/>
          <w:sz w:val="24"/>
          <w:szCs w:val="24"/>
        </w:rPr>
      </w:pPr>
      <w:r w:rsidRPr="002A3CB6">
        <w:rPr>
          <w:rFonts w:cstheme="minorHAnsi"/>
          <w:sz w:val="24"/>
          <w:szCs w:val="24"/>
        </w:rPr>
        <w:t>Adjust Digital Inclusion activities to ensure that these respond to the evolving needs and priorities of ITU Members in this area:</w:t>
      </w:r>
    </w:p>
    <w:p w:rsidR="002A3CB6" w:rsidRPr="002A3CB6" w:rsidRDefault="002A3CB6">
      <w:pPr>
        <w:pStyle w:val="ListParagraph"/>
        <w:numPr>
          <w:ilvl w:val="0"/>
          <w:numId w:val="11"/>
        </w:numPr>
        <w:spacing w:before="40" w:after="40"/>
        <w:ind w:left="357" w:hanging="357"/>
        <w:contextualSpacing w:val="0"/>
        <w:rPr>
          <w:rFonts w:cs="Calibri"/>
          <w:szCs w:val="24"/>
        </w:rPr>
      </w:pPr>
      <w:r w:rsidRPr="002A3CB6">
        <w:rPr>
          <w:rFonts w:cs="Calibri"/>
          <w:szCs w:val="24"/>
        </w:rPr>
        <w:t>Develop activities and resources in line with the advancement of the ITU Members’ work within ITU-D Study Group 1</w:t>
      </w:r>
      <w:r w:rsidR="00D576F9">
        <w:rPr>
          <w:rFonts w:cs="Calibri"/>
          <w:szCs w:val="24"/>
        </w:rPr>
        <w:t>,</w:t>
      </w:r>
      <w:r w:rsidRPr="002A3CB6">
        <w:rPr>
          <w:rFonts w:cs="Calibri"/>
          <w:szCs w:val="24"/>
        </w:rPr>
        <w:t xml:space="preserve">  Question 7</w:t>
      </w:r>
      <w:r w:rsidR="00D576F9">
        <w:rPr>
          <w:rFonts w:cs="Calibri"/>
          <w:szCs w:val="24"/>
        </w:rPr>
        <w:t>,</w:t>
      </w:r>
      <w:r w:rsidRPr="002A3CB6">
        <w:rPr>
          <w:rFonts w:cs="Calibri"/>
          <w:szCs w:val="24"/>
        </w:rPr>
        <w:t xml:space="preserve"> “Access to telecommunication/ICT services by </w:t>
      </w:r>
      <w:r w:rsidR="00D576F9">
        <w:rPr>
          <w:rFonts w:cs="Calibri"/>
          <w:szCs w:val="24"/>
        </w:rPr>
        <w:t>persons with disabilities</w:t>
      </w:r>
      <w:r w:rsidR="00D576F9" w:rsidRPr="002A3CB6">
        <w:rPr>
          <w:rFonts w:cs="Calibri"/>
          <w:szCs w:val="24"/>
        </w:rPr>
        <w:t xml:space="preserve"> </w:t>
      </w:r>
      <w:r w:rsidRPr="002A3CB6">
        <w:rPr>
          <w:rFonts w:cs="Calibri"/>
          <w:szCs w:val="24"/>
        </w:rPr>
        <w:t>and other persons with specific needs”;</w:t>
      </w:r>
    </w:p>
    <w:p w:rsidR="002A3CB6" w:rsidRPr="002A3CB6" w:rsidRDefault="002A3CB6" w:rsidP="00351DB7">
      <w:pPr>
        <w:pStyle w:val="ListParagraph"/>
        <w:numPr>
          <w:ilvl w:val="0"/>
          <w:numId w:val="11"/>
        </w:numPr>
        <w:spacing w:before="40" w:after="40"/>
        <w:ind w:left="357" w:hanging="357"/>
        <w:contextualSpacing w:val="0"/>
        <w:rPr>
          <w:rFonts w:cs="Calibri"/>
          <w:szCs w:val="24"/>
        </w:rPr>
      </w:pPr>
      <w:r w:rsidRPr="002A3CB6">
        <w:rPr>
          <w:rFonts w:cs="Calibri"/>
          <w:szCs w:val="24"/>
        </w:rPr>
        <w:t>Develop resources in line with the results of the annual ITU’s regional and global events (e.g. Accessible Europe; Accessible Americas –ICT for ALL, WSIS, Girls in ICTs Day celebrations, etc.).</w:t>
      </w:r>
    </w:p>
    <w:p w:rsidR="00D83BF5" w:rsidRPr="00B62876" w:rsidRDefault="00FE0BFA" w:rsidP="00B7112E">
      <w:pPr>
        <w:tabs>
          <w:tab w:val="clear" w:pos="1134"/>
          <w:tab w:val="clear" w:pos="1871"/>
          <w:tab w:val="clear" w:pos="2268"/>
        </w:tabs>
        <w:jc w:val="center"/>
        <w:rPr>
          <w:szCs w:val="24"/>
        </w:rPr>
      </w:pPr>
      <w:r w:rsidRPr="00B62876">
        <w:t>________________</w:t>
      </w:r>
    </w:p>
    <w:sectPr w:rsidR="00D83BF5" w:rsidRPr="00B62876" w:rsidSect="009B7D33">
      <w:headerReference w:type="default" r:id="rId22"/>
      <w:footerReference w:type="even" r:id="rId23"/>
      <w:headerReference w:type="firs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8B1" w:rsidRDefault="00A928B1">
      <w:r>
        <w:separator/>
      </w:r>
    </w:p>
  </w:endnote>
  <w:endnote w:type="continuationSeparator" w:id="0">
    <w:p w:rsidR="00A928B1" w:rsidRDefault="00A92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Default="00F104EF">
    <w:pPr>
      <w:framePr w:wrap="around" w:vAnchor="text" w:hAnchor="margin" w:xAlign="right" w:y="1"/>
    </w:pPr>
    <w:r>
      <w:fldChar w:fldCharType="begin"/>
    </w:r>
    <w:r>
      <w:instrText xml:space="preserve">PAGE  </w:instrText>
    </w:r>
    <w:r>
      <w:fldChar w:fldCharType="end"/>
    </w:r>
  </w:p>
  <w:p w:rsidR="00F104EF" w:rsidRPr="0041348E" w:rsidRDefault="00F104EF">
    <w:pPr>
      <w:ind w:right="360"/>
      <w:rPr>
        <w:lang w:val="en-US"/>
      </w:rPr>
    </w:pPr>
    <w:r>
      <w:fldChar w:fldCharType="begin"/>
    </w:r>
    <w:r w:rsidRPr="0041348E">
      <w:rPr>
        <w:lang w:val="en-US"/>
      </w:rPr>
      <w:instrText xml:space="preserve"> FILENAME \p  \* MERGEFORMAT </w:instrText>
    </w:r>
    <w:r>
      <w:fldChar w:fldCharType="separate"/>
    </w:r>
    <w:r>
      <w:rPr>
        <w:noProof/>
        <w:lang w:val="en-US"/>
      </w:rPr>
      <w:t>P:\SUP\Meetings\TDAG\2018-23rd\Templates\TDAG-18_C-template_E_v1.docx</w:t>
    </w:r>
    <w:r>
      <w:fldChar w:fldCharType="end"/>
    </w:r>
    <w:r w:rsidRPr="0041348E">
      <w:rPr>
        <w:lang w:val="en-US"/>
      </w:rPr>
      <w:tab/>
    </w:r>
    <w:r>
      <w:fldChar w:fldCharType="begin"/>
    </w:r>
    <w:r>
      <w:instrText xml:space="preserve"> SAVEDATE \@ DD.MM.YY </w:instrText>
    </w:r>
    <w:r>
      <w:fldChar w:fldCharType="separate"/>
    </w:r>
    <w:r w:rsidR="005701F8">
      <w:rPr>
        <w:noProof/>
      </w:rPr>
      <w:t>25.01.19</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Look w:val="04A0" w:firstRow="1" w:lastRow="0" w:firstColumn="1" w:lastColumn="0" w:noHBand="0" w:noVBand="1"/>
    </w:tblPr>
    <w:tblGrid>
      <w:gridCol w:w="1418"/>
      <w:gridCol w:w="2518"/>
      <w:gridCol w:w="5987"/>
    </w:tblGrid>
    <w:tr w:rsidR="00600B35" w:rsidRPr="005241FB" w:rsidTr="00384661">
      <w:tc>
        <w:tcPr>
          <w:tcW w:w="1418" w:type="dxa"/>
          <w:tcBorders>
            <w:top w:val="single" w:sz="4" w:space="0" w:color="000000"/>
          </w:tcBorders>
          <w:shd w:val="clear" w:color="auto" w:fill="auto"/>
        </w:tcPr>
        <w:p w:rsidR="00600B35" w:rsidRPr="005241FB" w:rsidRDefault="00600B35" w:rsidP="00600B35">
          <w:pPr>
            <w:pStyle w:val="FirstFooter"/>
            <w:tabs>
              <w:tab w:val="left" w:pos="1559"/>
              <w:tab w:val="left" w:pos="3828"/>
            </w:tabs>
            <w:rPr>
              <w:sz w:val="20"/>
              <w:lang w:val="en-US"/>
            </w:rPr>
          </w:pPr>
          <w:r w:rsidRPr="005241FB">
            <w:rPr>
              <w:sz w:val="20"/>
              <w:lang w:val="en-US"/>
            </w:rPr>
            <w:t>Contact:</w:t>
          </w:r>
        </w:p>
      </w:tc>
      <w:tc>
        <w:tcPr>
          <w:tcW w:w="2518" w:type="dxa"/>
          <w:tcBorders>
            <w:top w:val="single" w:sz="4" w:space="0" w:color="000000"/>
          </w:tcBorders>
          <w:shd w:val="clear" w:color="auto" w:fill="auto"/>
        </w:tcPr>
        <w:p w:rsidR="00600B35" w:rsidRPr="005241FB" w:rsidRDefault="00600B35" w:rsidP="00600B35">
          <w:pPr>
            <w:pStyle w:val="FirstFooter"/>
            <w:tabs>
              <w:tab w:val="left" w:pos="2302"/>
            </w:tabs>
            <w:ind w:left="2302" w:hanging="2302"/>
            <w:rPr>
              <w:sz w:val="20"/>
              <w:lang w:val="en-US"/>
            </w:rPr>
          </w:pPr>
          <w:r w:rsidRPr="005241FB">
            <w:rPr>
              <w:sz w:val="20"/>
              <w:lang w:val="en-US"/>
            </w:rPr>
            <w:t>Name/Organization/Entity:</w:t>
          </w:r>
        </w:p>
      </w:tc>
      <w:tc>
        <w:tcPr>
          <w:tcW w:w="5987" w:type="dxa"/>
          <w:tcBorders>
            <w:top w:val="single" w:sz="4" w:space="0" w:color="000000"/>
          </w:tcBorders>
        </w:tcPr>
        <w:p w:rsidR="00600B35" w:rsidRPr="009B7D33" w:rsidRDefault="00600B35" w:rsidP="00600B35">
          <w:pPr>
            <w:pStyle w:val="FirstFooter"/>
            <w:tabs>
              <w:tab w:val="left" w:pos="2302"/>
            </w:tabs>
            <w:ind w:left="2302" w:hanging="2302"/>
            <w:rPr>
              <w:sz w:val="20"/>
              <w:lang w:val="en-US"/>
            </w:rPr>
          </w:pPr>
          <w:r w:rsidRPr="009B7D33">
            <w:rPr>
              <w:sz w:val="20"/>
              <w:lang w:val="en-US"/>
            </w:rPr>
            <w:t>Mr Kemal Huseinovic, Chief, IEE Department, BDT</w:t>
          </w:r>
        </w:p>
      </w:tc>
    </w:tr>
    <w:tr w:rsidR="00600B35" w:rsidRPr="005241FB" w:rsidTr="00384661">
      <w:tc>
        <w:tcPr>
          <w:tcW w:w="1418" w:type="dxa"/>
          <w:shd w:val="clear" w:color="auto" w:fill="auto"/>
        </w:tcPr>
        <w:p w:rsidR="00600B35" w:rsidRPr="005241FB" w:rsidRDefault="00600B35" w:rsidP="00600B35">
          <w:pPr>
            <w:pStyle w:val="FirstFooter"/>
            <w:tabs>
              <w:tab w:val="left" w:pos="1559"/>
              <w:tab w:val="left" w:pos="3828"/>
            </w:tabs>
            <w:rPr>
              <w:sz w:val="20"/>
              <w:lang w:val="en-US"/>
            </w:rPr>
          </w:pPr>
        </w:p>
      </w:tc>
      <w:tc>
        <w:tcPr>
          <w:tcW w:w="2518" w:type="dxa"/>
          <w:shd w:val="clear" w:color="auto" w:fill="auto"/>
        </w:tcPr>
        <w:p w:rsidR="00600B35" w:rsidRPr="005241FB" w:rsidRDefault="00600B35" w:rsidP="00600B35">
          <w:pPr>
            <w:pStyle w:val="FirstFooter"/>
            <w:tabs>
              <w:tab w:val="left" w:pos="2302"/>
            </w:tabs>
            <w:ind w:left="2302" w:hanging="2302"/>
            <w:rPr>
              <w:sz w:val="20"/>
              <w:lang w:val="en-US"/>
            </w:rPr>
          </w:pPr>
          <w:r w:rsidRPr="005241FB">
            <w:rPr>
              <w:sz w:val="20"/>
              <w:lang w:val="en-US"/>
            </w:rPr>
            <w:t>Tel:</w:t>
          </w:r>
        </w:p>
      </w:tc>
      <w:tc>
        <w:tcPr>
          <w:tcW w:w="5987" w:type="dxa"/>
        </w:tcPr>
        <w:p w:rsidR="00600B35" w:rsidRPr="009B7D33" w:rsidRDefault="00600B35" w:rsidP="00600B35">
          <w:pPr>
            <w:pStyle w:val="FirstFooter"/>
            <w:tabs>
              <w:tab w:val="left" w:pos="2302"/>
            </w:tabs>
            <w:rPr>
              <w:sz w:val="20"/>
              <w:lang w:val="en-US"/>
            </w:rPr>
          </w:pPr>
          <w:r w:rsidRPr="009B7D33">
            <w:rPr>
              <w:sz w:val="20"/>
              <w:lang w:val="en-US"/>
            </w:rPr>
            <w:t>+41 22 730 5421</w:t>
          </w:r>
        </w:p>
      </w:tc>
    </w:tr>
    <w:tr w:rsidR="00600B35" w:rsidRPr="005241FB" w:rsidTr="00384661">
      <w:tc>
        <w:tcPr>
          <w:tcW w:w="1418" w:type="dxa"/>
          <w:tcBorders>
            <w:bottom w:val="single" w:sz="4" w:space="0" w:color="auto"/>
          </w:tcBorders>
          <w:shd w:val="clear" w:color="auto" w:fill="auto"/>
        </w:tcPr>
        <w:p w:rsidR="00600B35" w:rsidRPr="005241FB" w:rsidRDefault="00600B35" w:rsidP="00600B35">
          <w:pPr>
            <w:pStyle w:val="FirstFooter"/>
            <w:tabs>
              <w:tab w:val="left" w:pos="1559"/>
              <w:tab w:val="left" w:pos="3828"/>
            </w:tabs>
            <w:rPr>
              <w:sz w:val="20"/>
              <w:lang w:val="fr-CH"/>
            </w:rPr>
          </w:pPr>
        </w:p>
      </w:tc>
      <w:tc>
        <w:tcPr>
          <w:tcW w:w="2518" w:type="dxa"/>
          <w:tcBorders>
            <w:bottom w:val="single" w:sz="4" w:space="0" w:color="auto"/>
          </w:tcBorders>
          <w:shd w:val="clear" w:color="auto" w:fill="auto"/>
        </w:tcPr>
        <w:p w:rsidR="00600B35" w:rsidRPr="005241FB" w:rsidRDefault="00600B35" w:rsidP="00600B35">
          <w:pPr>
            <w:pStyle w:val="FirstFooter"/>
            <w:tabs>
              <w:tab w:val="left" w:pos="2302"/>
            </w:tabs>
            <w:rPr>
              <w:sz w:val="20"/>
              <w:lang w:val="en-US"/>
            </w:rPr>
          </w:pPr>
          <w:r w:rsidRPr="005241FB">
            <w:rPr>
              <w:sz w:val="20"/>
              <w:lang w:val="en-US"/>
            </w:rPr>
            <w:t>E-mail:</w:t>
          </w:r>
        </w:p>
      </w:tc>
      <w:tc>
        <w:tcPr>
          <w:tcW w:w="5987" w:type="dxa"/>
          <w:tcBorders>
            <w:bottom w:val="single" w:sz="4" w:space="0" w:color="auto"/>
          </w:tcBorders>
        </w:tcPr>
        <w:p w:rsidR="00600B35" w:rsidRPr="009B7D33" w:rsidRDefault="005701F8" w:rsidP="00600B35">
          <w:pPr>
            <w:pStyle w:val="FirstFooter"/>
            <w:tabs>
              <w:tab w:val="left" w:pos="2302"/>
            </w:tabs>
            <w:rPr>
              <w:sz w:val="20"/>
              <w:lang w:val="en-US"/>
            </w:rPr>
          </w:pPr>
          <w:hyperlink r:id="rId1" w:history="1">
            <w:r w:rsidR="00600B35" w:rsidRPr="009B7D33">
              <w:rPr>
                <w:rStyle w:val="Hyperlink"/>
                <w:sz w:val="20"/>
                <w:lang w:val="en-US"/>
              </w:rPr>
              <w:t>Kemal.huseinovic@itu.int</w:t>
            </w:r>
          </w:hyperlink>
          <w:r w:rsidR="00600B35" w:rsidRPr="009B7D33">
            <w:rPr>
              <w:sz w:val="20"/>
              <w:lang w:val="en-US"/>
            </w:rPr>
            <w:t xml:space="preserve"> </w:t>
          </w:r>
        </w:p>
      </w:tc>
    </w:tr>
  </w:tbl>
  <w:p w:rsidR="00F104EF" w:rsidRPr="00546225" w:rsidRDefault="005701F8" w:rsidP="00600B35">
    <w:pPr>
      <w:jc w:val="center"/>
    </w:pPr>
    <w:hyperlink r:id="rId2" w:history="1">
      <w:r w:rsidR="00600B35" w:rsidRPr="001E252D">
        <w:rPr>
          <w:rStyle w:val="Hyperlink"/>
          <w:sz w:val="20"/>
        </w:rPr>
        <w:t>TDAG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8B1" w:rsidRDefault="00A928B1">
      <w:r>
        <w:rPr>
          <w:b/>
        </w:rPr>
        <w:t>_______________</w:t>
      </w:r>
    </w:p>
  </w:footnote>
  <w:footnote w:type="continuationSeparator" w:id="0">
    <w:p w:rsidR="00A928B1" w:rsidRDefault="00A92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4EF" w:rsidRPr="00795BED" w:rsidRDefault="00795BED" w:rsidP="00083E4F">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Pr>
        <w:sz w:val="22"/>
        <w:szCs w:val="22"/>
        <w:lang w:val="es-ES_tradnl"/>
      </w:rPr>
      <w:t>TDAG-19</w:t>
    </w:r>
    <w:r w:rsidRPr="00FF089C">
      <w:rPr>
        <w:sz w:val="22"/>
        <w:szCs w:val="22"/>
        <w:lang w:val="es-ES_tradnl"/>
      </w:rPr>
      <w:t>/</w:t>
    </w:r>
    <w:r w:rsidR="00226A82">
      <w:rPr>
        <w:sz w:val="22"/>
        <w:szCs w:val="22"/>
        <w:lang w:val="es-ES_tradnl"/>
      </w:rPr>
      <w:t>3</w:t>
    </w:r>
    <w:r w:rsidR="00083E4F">
      <w:rPr>
        <w:sz w:val="22"/>
        <w:szCs w:val="22"/>
        <w:lang w:val="es-ES_tradnl"/>
      </w:rPr>
      <w:t>1</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701F8">
      <w:rPr>
        <w:noProof/>
        <w:sz w:val="22"/>
        <w:szCs w:val="22"/>
        <w:lang w:val="es-ES_tradnl"/>
      </w:rPr>
      <w:t>5</w:t>
    </w:r>
    <w:r w:rsidRPr="004D495C">
      <w:rPr>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C60" w:rsidRPr="009B7D33" w:rsidRDefault="00A62C60" w:rsidP="009B7D33">
    <w:pPr>
      <w:tabs>
        <w:tab w:val="clear" w:pos="1134"/>
        <w:tab w:val="clear" w:pos="1871"/>
        <w:tab w:val="clear" w:pos="2268"/>
        <w:tab w:val="center" w:pos="4820"/>
        <w:tab w:val="right" w:pos="10206"/>
      </w:tabs>
      <w:ind w:right="1"/>
      <w:rPr>
        <w:smallCaps/>
        <w:spacing w:val="24"/>
        <w:sz w:val="22"/>
        <w:szCs w:val="22"/>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D7977"/>
    <w:multiLevelType w:val="hybridMultilevel"/>
    <w:tmpl w:val="2B2E005A"/>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1" w15:restartNumberingAfterBreak="0">
    <w:nsid w:val="32E403F0"/>
    <w:multiLevelType w:val="hybridMultilevel"/>
    <w:tmpl w:val="94C263B6"/>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8538EE"/>
    <w:multiLevelType w:val="hybridMultilevel"/>
    <w:tmpl w:val="99C0E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D8D5327"/>
    <w:multiLevelType w:val="multilevel"/>
    <w:tmpl w:val="04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A44342"/>
    <w:multiLevelType w:val="hybridMultilevel"/>
    <w:tmpl w:val="FA425F08"/>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DC15DE"/>
    <w:multiLevelType w:val="hybridMultilevel"/>
    <w:tmpl w:val="D5EA20CE"/>
    <w:lvl w:ilvl="0" w:tplc="0809000F">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C212311"/>
    <w:multiLevelType w:val="hybridMultilevel"/>
    <w:tmpl w:val="FB1CFE6E"/>
    <w:lvl w:ilvl="0" w:tplc="9CDC48FC">
      <w:start w:val="1"/>
      <w:numFmt w:val="bullet"/>
      <w:lvlText w:val=""/>
      <w:lvlJc w:val="left"/>
      <w:pPr>
        <w:ind w:left="360" w:hanging="360"/>
      </w:pPr>
      <w:rPr>
        <w:rFonts w:ascii="Symbol" w:hAnsi="Symbol" w:hint="default"/>
      </w:rPr>
    </w:lvl>
    <w:lvl w:ilvl="1" w:tplc="F26006DE">
      <w:start w:val="1"/>
      <w:numFmt w:val="bullet"/>
      <w:lvlText w:val="o"/>
      <w:lvlJc w:val="left"/>
      <w:pPr>
        <w:ind w:left="1080" w:hanging="360"/>
      </w:pPr>
      <w:rPr>
        <w:rFonts w:ascii="Courier New" w:hAnsi="Courier New"/>
      </w:rPr>
    </w:lvl>
    <w:lvl w:ilvl="2" w:tplc="C9D68F44">
      <w:start w:val="1"/>
      <w:numFmt w:val="bullet"/>
      <w:lvlText w:val=""/>
      <w:lvlJc w:val="left"/>
      <w:pPr>
        <w:ind w:left="1800" w:hanging="360"/>
      </w:pPr>
      <w:rPr>
        <w:rFonts w:ascii="Wingdings" w:hAnsi="Wingdings"/>
      </w:rPr>
    </w:lvl>
    <w:lvl w:ilvl="3" w:tplc="BBE01F8A">
      <w:start w:val="1"/>
      <w:numFmt w:val="bullet"/>
      <w:lvlText w:val=""/>
      <w:lvlJc w:val="left"/>
      <w:pPr>
        <w:ind w:left="2520" w:hanging="360"/>
      </w:pPr>
      <w:rPr>
        <w:rFonts w:ascii="Symbol" w:hAnsi="Symbol"/>
      </w:rPr>
    </w:lvl>
    <w:lvl w:ilvl="4" w:tplc="409055D4">
      <w:start w:val="1"/>
      <w:numFmt w:val="bullet"/>
      <w:lvlText w:val="o"/>
      <w:lvlJc w:val="left"/>
      <w:pPr>
        <w:ind w:left="3240" w:hanging="360"/>
      </w:pPr>
      <w:rPr>
        <w:rFonts w:ascii="Courier New" w:hAnsi="Courier New"/>
      </w:rPr>
    </w:lvl>
    <w:lvl w:ilvl="5" w:tplc="01AC8866">
      <w:start w:val="1"/>
      <w:numFmt w:val="bullet"/>
      <w:lvlText w:val=""/>
      <w:lvlJc w:val="left"/>
      <w:pPr>
        <w:ind w:left="3960" w:hanging="360"/>
      </w:pPr>
      <w:rPr>
        <w:rFonts w:ascii="Wingdings" w:hAnsi="Wingdings"/>
      </w:rPr>
    </w:lvl>
    <w:lvl w:ilvl="6" w:tplc="1CE035DE">
      <w:start w:val="1"/>
      <w:numFmt w:val="bullet"/>
      <w:lvlText w:val=""/>
      <w:lvlJc w:val="left"/>
      <w:pPr>
        <w:ind w:left="4680" w:hanging="360"/>
      </w:pPr>
      <w:rPr>
        <w:rFonts w:ascii="Symbol" w:hAnsi="Symbol"/>
      </w:rPr>
    </w:lvl>
    <w:lvl w:ilvl="7" w:tplc="0630C9B6">
      <w:start w:val="1"/>
      <w:numFmt w:val="bullet"/>
      <w:lvlText w:val="o"/>
      <w:lvlJc w:val="left"/>
      <w:pPr>
        <w:ind w:left="5400" w:hanging="360"/>
      </w:pPr>
      <w:rPr>
        <w:rFonts w:ascii="Courier New" w:hAnsi="Courier New"/>
      </w:rPr>
    </w:lvl>
    <w:lvl w:ilvl="8" w:tplc="D04A5A98">
      <w:start w:val="1"/>
      <w:numFmt w:val="bullet"/>
      <w:lvlText w:val=""/>
      <w:lvlJc w:val="left"/>
      <w:pPr>
        <w:ind w:left="6120" w:hanging="360"/>
      </w:pPr>
      <w:rPr>
        <w:rFonts w:ascii="Wingdings" w:hAnsi="Wingdings"/>
      </w:rPr>
    </w:lvl>
  </w:abstractNum>
  <w:abstractNum w:abstractNumId="7" w15:restartNumberingAfterBreak="0">
    <w:nsid w:val="5C3C4165"/>
    <w:multiLevelType w:val="hybridMultilevel"/>
    <w:tmpl w:val="27762E32"/>
    <w:lvl w:ilvl="0" w:tplc="9CDC48FC">
      <w:start w:val="1"/>
      <w:numFmt w:val="bullet"/>
      <w:lvlText w:val=""/>
      <w:lvlJc w:val="left"/>
      <w:pPr>
        <w:ind w:left="360" w:hanging="360"/>
      </w:pPr>
      <w:rPr>
        <w:rFonts w:ascii="Symbol" w:hAnsi="Symbol" w:hint="default"/>
      </w:rPr>
    </w:lvl>
    <w:lvl w:ilvl="1" w:tplc="1466E00C">
      <w:start w:val="1"/>
      <w:numFmt w:val="bullet"/>
      <w:lvlText w:val="o"/>
      <w:lvlJc w:val="left"/>
      <w:pPr>
        <w:ind w:left="1080" w:hanging="360"/>
      </w:pPr>
      <w:rPr>
        <w:rFonts w:ascii="Courier New" w:hAnsi="Courier New"/>
      </w:rPr>
    </w:lvl>
    <w:lvl w:ilvl="2" w:tplc="E7961936">
      <w:start w:val="1"/>
      <w:numFmt w:val="bullet"/>
      <w:lvlText w:val=""/>
      <w:lvlJc w:val="left"/>
      <w:pPr>
        <w:ind w:left="1800" w:hanging="360"/>
      </w:pPr>
      <w:rPr>
        <w:rFonts w:ascii="Wingdings" w:hAnsi="Wingdings"/>
      </w:rPr>
    </w:lvl>
    <w:lvl w:ilvl="3" w:tplc="72349048">
      <w:start w:val="1"/>
      <w:numFmt w:val="bullet"/>
      <w:lvlText w:val=""/>
      <w:lvlJc w:val="left"/>
      <w:pPr>
        <w:ind w:left="2520" w:hanging="360"/>
      </w:pPr>
      <w:rPr>
        <w:rFonts w:ascii="Symbol" w:hAnsi="Symbol"/>
      </w:rPr>
    </w:lvl>
    <w:lvl w:ilvl="4" w:tplc="9190A4EA">
      <w:start w:val="1"/>
      <w:numFmt w:val="bullet"/>
      <w:lvlText w:val="o"/>
      <w:lvlJc w:val="left"/>
      <w:pPr>
        <w:ind w:left="3240" w:hanging="360"/>
      </w:pPr>
      <w:rPr>
        <w:rFonts w:ascii="Courier New" w:hAnsi="Courier New"/>
      </w:rPr>
    </w:lvl>
    <w:lvl w:ilvl="5" w:tplc="1438054C">
      <w:start w:val="1"/>
      <w:numFmt w:val="bullet"/>
      <w:lvlText w:val=""/>
      <w:lvlJc w:val="left"/>
      <w:pPr>
        <w:ind w:left="3960" w:hanging="360"/>
      </w:pPr>
      <w:rPr>
        <w:rFonts w:ascii="Wingdings" w:hAnsi="Wingdings"/>
      </w:rPr>
    </w:lvl>
    <w:lvl w:ilvl="6" w:tplc="7B0E4A8E">
      <w:start w:val="1"/>
      <w:numFmt w:val="bullet"/>
      <w:lvlText w:val=""/>
      <w:lvlJc w:val="left"/>
      <w:pPr>
        <w:ind w:left="4680" w:hanging="360"/>
      </w:pPr>
      <w:rPr>
        <w:rFonts w:ascii="Symbol" w:hAnsi="Symbol"/>
      </w:rPr>
    </w:lvl>
    <w:lvl w:ilvl="7" w:tplc="7B82C7B4">
      <w:start w:val="1"/>
      <w:numFmt w:val="bullet"/>
      <w:lvlText w:val="o"/>
      <w:lvlJc w:val="left"/>
      <w:pPr>
        <w:ind w:left="5400" w:hanging="360"/>
      </w:pPr>
      <w:rPr>
        <w:rFonts w:ascii="Courier New" w:hAnsi="Courier New"/>
      </w:rPr>
    </w:lvl>
    <w:lvl w:ilvl="8" w:tplc="F888084E">
      <w:start w:val="1"/>
      <w:numFmt w:val="bullet"/>
      <w:lvlText w:val=""/>
      <w:lvlJc w:val="left"/>
      <w:pPr>
        <w:ind w:left="6120" w:hanging="360"/>
      </w:pPr>
      <w:rPr>
        <w:rFonts w:ascii="Wingdings" w:hAnsi="Wingdings"/>
      </w:rPr>
    </w:lvl>
  </w:abstractNum>
  <w:abstractNum w:abstractNumId="8" w15:restartNumberingAfterBreak="0">
    <w:nsid w:val="604A3B7F"/>
    <w:multiLevelType w:val="hybridMultilevel"/>
    <w:tmpl w:val="6BB0D842"/>
    <w:lvl w:ilvl="0" w:tplc="9CDC48F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8570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CB0D8C"/>
    <w:multiLevelType w:val="multilevel"/>
    <w:tmpl w:val="F13C23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7D5AA7"/>
    <w:multiLevelType w:val="hybridMultilevel"/>
    <w:tmpl w:val="1E46A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803F8C"/>
    <w:multiLevelType w:val="hybridMultilevel"/>
    <w:tmpl w:val="24289B0E"/>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8CA73EA">
      <w:start w:val="1"/>
      <w:numFmt w:val="lowerRoman"/>
      <w:pStyle w:val="CEOIndenti-ii-iii"/>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11"/>
  </w:num>
  <w:num w:numId="4">
    <w:abstractNumId w:val="2"/>
  </w:num>
  <w:num w:numId="5">
    <w:abstractNumId w:val="9"/>
  </w:num>
  <w:num w:numId="6">
    <w:abstractNumId w:val="6"/>
  </w:num>
  <w:num w:numId="7">
    <w:abstractNumId w:val="4"/>
  </w:num>
  <w:num w:numId="8">
    <w:abstractNumId w:val="8"/>
  </w:num>
  <w:num w:numId="9">
    <w:abstractNumId w:val="1"/>
  </w:num>
  <w:num w:numId="10">
    <w:abstractNumId w:val="3"/>
  </w:num>
  <w:num w:numId="11">
    <w:abstractNumId w:val="0"/>
  </w:num>
  <w:num w:numId="12">
    <w:abstractNumId w:val="5"/>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30A1"/>
    <w:rsid w:val="000041EA"/>
    <w:rsid w:val="000076D1"/>
    <w:rsid w:val="000101BA"/>
    <w:rsid w:val="00022A29"/>
    <w:rsid w:val="00031642"/>
    <w:rsid w:val="000355FD"/>
    <w:rsid w:val="0004156E"/>
    <w:rsid w:val="00051E39"/>
    <w:rsid w:val="00075C63"/>
    <w:rsid w:val="00077239"/>
    <w:rsid w:val="00080905"/>
    <w:rsid w:val="000822BE"/>
    <w:rsid w:val="00083E4F"/>
    <w:rsid w:val="00086491"/>
    <w:rsid w:val="00091346"/>
    <w:rsid w:val="000C3D68"/>
    <w:rsid w:val="000C6206"/>
    <w:rsid w:val="000D4875"/>
    <w:rsid w:val="000F73FF"/>
    <w:rsid w:val="00114CF7"/>
    <w:rsid w:val="00123B68"/>
    <w:rsid w:val="00126F2E"/>
    <w:rsid w:val="00146F6F"/>
    <w:rsid w:val="00147DA1"/>
    <w:rsid w:val="00152957"/>
    <w:rsid w:val="0018673E"/>
    <w:rsid w:val="00186E3C"/>
    <w:rsid w:val="00187BD9"/>
    <w:rsid w:val="00190B55"/>
    <w:rsid w:val="00194CFB"/>
    <w:rsid w:val="001B2ED3"/>
    <w:rsid w:val="001B4BB1"/>
    <w:rsid w:val="001B7EA3"/>
    <w:rsid w:val="001C3B5F"/>
    <w:rsid w:val="001D058F"/>
    <w:rsid w:val="001D16F0"/>
    <w:rsid w:val="001D385E"/>
    <w:rsid w:val="001E252D"/>
    <w:rsid w:val="001F6050"/>
    <w:rsid w:val="002009EA"/>
    <w:rsid w:val="00202CA0"/>
    <w:rsid w:val="002154A6"/>
    <w:rsid w:val="00215F69"/>
    <w:rsid w:val="002162CD"/>
    <w:rsid w:val="00216853"/>
    <w:rsid w:val="002255B3"/>
    <w:rsid w:val="00226A82"/>
    <w:rsid w:val="00227581"/>
    <w:rsid w:val="002309D0"/>
    <w:rsid w:val="00236E8A"/>
    <w:rsid w:val="00271316"/>
    <w:rsid w:val="00280291"/>
    <w:rsid w:val="002928BD"/>
    <w:rsid w:val="00296313"/>
    <w:rsid w:val="002A3CB6"/>
    <w:rsid w:val="002B3C84"/>
    <w:rsid w:val="002D0297"/>
    <w:rsid w:val="002D58BE"/>
    <w:rsid w:val="003013EE"/>
    <w:rsid w:val="00312FDA"/>
    <w:rsid w:val="00314037"/>
    <w:rsid w:val="00317161"/>
    <w:rsid w:val="00317F4A"/>
    <w:rsid w:val="00326027"/>
    <w:rsid w:val="00330DCC"/>
    <w:rsid w:val="00333679"/>
    <w:rsid w:val="00335BE6"/>
    <w:rsid w:val="00337570"/>
    <w:rsid w:val="003450A3"/>
    <w:rsid w:val="00351729"/>
    <w:rsid w:val="00351DB7"/>
    <w:rsid w:val="00365E35"/>
    <w:rsid w:val="00377001"/>
    <w:rsid w:val="00377BD3"/>
    <w:rsid w:val="00382E92"/>
    <w:rsid w:val="00384088"/>
    <w:rsid w:val="0038489B"/>
    <w:rsid w:val="00384E7B"/>
    <w:rsid w:val="0039169B"/>
    <w:rsid w:val="00393FCD"/>
    <w:rsid w:val="003A7F8C"/>
    <w:rsid w:val="003B08BF"/>
    <w:rsid w:val="003B307E"/>
    <w:rsid w:val="003B3981"/>
    <w:rsid w:val="003B532E"/>
    <w:rsid w:val="003B6F14"/>
    <w:rsid w:val="003D0F8B"/>
    <w:rsid w:val="003F4BE7"/>
    <w:rsid w:val="00403E2D"/>
    <w:rsid w:val="004131D4"/>
    <w:rsid w:val="0041348E"/>
    <w:rsid w:val="00417C1E"/>
    <w:rsid w:val="004216C5"/>
    <w:rsid w:val="00447308"/>
    <w:rsid w:val="004730A6"/>
    <w:rsid w:val="00475D0C"/>
    <w:rsid w:val="004765FF"/>
    <w:rsid w:val="004838E7"/>
    <w:rsid w:val="00492075"/>
    <w:rsid w:val="004969AD"/>
    <w:rsid w:val="004B13CB"/>
    <w:rsid w:val="004B4FDF"/>
    <w:rsid w:val="004B7B43"/>
    <w:rsid w:val="004B7FA6"/>
    <w:rsid w:val="004D26CE"/>
    <w:rsid w:val="004D5D5C"/>
    <w:rsid w:val="0050139F"/>
    <w:rsid w:val="005034F3"/>
    <w:rsid w:val="005077F8"/>
    <w:rsid w:val="00521223"/>
    <w:rsid w:val="00522EB1"/>
    <w:rsid w:val="00524DF1"/>
    <w:rsid w:val="00546225"/>
    <w:rsid w:val="0055140B"/>
    <w:rsid w:val="00554C4F"/>
    <w:rsid w:val="00561D72"/>
    <w:rsid w:val="005701F8"/>
    <w:rsid w:val="00584526"/>
    <w:rsid w:val="005964AB"/>
    <w:rsid w:val="005B44F5"/>
    <w:rsid w:val="005C099A"/>
    <w:rsid w:val="005C31A5"/>
    <w:rsid w:val="005C32E6"/>
    <w:rsid w:val="005E10C9"/>
    <w:rsid w:val="005E61DD"/>
    <w:rsid w:val="005E6321"/>
    <w:rsid w:val="005F012D"/>
    <w:rsid w:val="00600B35"/>
    <w:rsid w:val="006023DF"/>
    <w:rsid w:val="0064322F"/>
    <w:rsid w:val="00651104"/>
    <w:rsid w:val="00651742"/>
    <w:rsid w:val="00657DE0"/>
    <w:rsid w:val="0067199F"/>
    <w:rsid w:val="00677048"/>
    <w:rsid w:val="00685313"/>
    <w:rsid w:val="00687CF7"/>
    <w:rsid w:val="006907AB"/>
    <w:rsid w:val="006A58D5"/>
    <w:rsid w:val="006A6E9B"/>
    <w:rsid w:val="006B4C2E"/>
    <w:rsid w:val="006B7C2A"/>
    <w:rsid w:val="006C23DA"/>
    <w:rsid w:val="006E3D45"/>
    <w:rsid w:val="006F6D0F"/>
    <w:rsid w:val="007149F9"/>
    <w:rsid w:val="00727B93"/>
    <w:rsid w:val="00733A30"/>
    <w:rsid w:val="00745AEE"/>
    <w:rsid w:val="007479EA"/>
    <w:rsid w:val="00750F10"/>
    <w:rsid w:val="0075762F"/>
    <w:rsid w:val="0076628A"/>
    <w:rsid w:val="007742CA"/>
    <w:rsid w:val="00795BED"/>
    <w:rsid w:val="007D06F0"/>
    <w:rsid w:val="007D45E3"/>
    <w:rsid w:val="007D5320"/>
    <w:rsid w:val="007F2868"/>
    <w:rsid w:val="007F4B47"/>
    <w:rsid w:val="007F735C"/>
    <w:rsid w:val="00800972"/>
    <w:rsid w:val="00804475"/>
    <w:rsid w:val="00811633"/>
    <w:rsid w:val="00821C0E"/>
    <w:rsid w:val="00821CEF"/>
    <w:rsid w:val="00827836"/>
    <w:rsid w:val="00832828"/>
    <w:rsid w:val="0083645A"/>
    <w:rsid w:val="00840B0F"/>
    <w:rsid w:val="008711AE"/>
    <w:rsid w:val="00872FC8"/>
    <w:rsid w:val="0087404B"/>
    <w:rsid w:val="008801D3"/>
    <w:rsid w:val="00883F41"/>
    <w:rsid w:val="008845D0"/>
    <w:rsid w:val="008A51DA"/>
    <w:rsid w:val="008B43F2"/>
    <w:rsid w:val="008B61EA"/>
    <w:rsid w:val="008B6CFF"/>
    <w:rsid w:val="008C0FBE"/>
    <w:rsid w:val="008C2D57"/>
    <w:rsid w:val="008E7341"/>
    <w:rsid w:val="00910B26"/>
    <w:rsid w:val="009274B4"/>
    <w:rsid w:val="00934EA2"/>
    <w:rsid w:val="00944A5C"/>
    <w:rsid w:val="00952A66"/>
    <w:rsid w:val="009B7D33"/>
    <w:rsid w:val="009C2757"/>
    <w:rsid w:val="009C56E5"/>
    <w:rsid w:val="009E045F"/>
    <w:rsid w:val="009E5FC8"/>
    <w:rsid w:val="009E687A"/>
    <w:rsid w:val="00A03C5C"/>
    <w:rsid w:val="00A066F1"/>
    <w:rsid w:val="00A141AF"/>
    <w:rsid w:val="00A16D29"/>
    <w:rsid w:val="00A20E5E"/>
    <w:rsid w:val="00A30305"/>
    <w:rsid w:val="00A30FEA"/>
    <w:rsid w:val="00A3171E"/>
    <w:rsid w:val="00A31D2D"/>
    <w:rsid w:val="00A4600A"/>
    <w:rsid w:val="00A538A6"/>
    <w:rsid w:val="00A54C25"/>
    <w:rsid w:val="00A62C60"/>
    <w:rsid w:val="00A710E7"/>
    <w:rsid w:val="00A7137C"/>
    <w:rsid w:val="00A7372E"/>
    <w:rsid w:val="00A90292"/>
    <w:rsid w:val="00A928B1"/>
    <w:rsid w:val="00A93B85"/>
    <w:rsid w:val="00A948B2"/>
    <w:rsid w:val="00AA0B18"/>
    <w:rsid w:val="00AA666F"/>
    <w:rsid w:val="00AB4927"/>
    <w:rsid w:val="00AC034F"/>
    <w:rsid w:val="00AE0A51"/>
    <w:rsid w:val="00B004E5"/>
    <w:rsid w:val="00B15F9D"/>
    <w:rsid w:val="00B17541"/>
    <w:rsid w:val="00B243AF"/>
    <w:rsid w:val="00B62876"/>
    <w:rsid w:val="00B639E9"/>
    <w:rsid w:val="00B7112E"/>
    <w:rsid w:val="00B817CD"/>
    <w:rsid w:val="00B911B2"/>
    <w:rsid w:val="00B951D0"/>
    <w:rsid w:val="00B95362"/>
    <w:rsid w:val="00B95DA2"/>
    <w:rsid w:val="00BB29C8"/>
    <w:rsid w:val="00BB3A95"/>
    <w:rsid w:val="00BC0382"/>
    <w:rsid w:val="00BC737B"/>
    <w:rsid w:val="00BD0476"/>
    <w:rsid w:val="00BD62C6"/>
    <w:rsid w:val="00BF05F3"/>
    <w:rsid w:val="00C0018F"/>
    <w:rsid w:val="00C20466"/>
    <w:rsid w:val="00C214ED"/>
    <w:rsid w:val="00C234E6"/>
    <w:rsid w:val="00C324A8"/>
    <w:rsid w:val="00C4520A"/>
    <w:rsid w:val="00C54517"/>
    <w:rsid w:val="00C64CD8"/>
    <w:rsid w:val="00C97C68"/>
    <w:rsid w:val="00CA1A47"/>
    <w:rsid w:val="00CB1214"/>
    <w:rsid w:val="00CC247A"/>
    <w:rsid w:val="00CC4E40"/>
    <w:rsid w:val="00CE5E47"/>
    <w:rsid w:val="00CE6A95"/>
    <w:rsid w:val="00CF020F"/>
    <w:rsid w:val="00CF2B5B"/>
    <w:rsid w:val="00D07B19"/>
    <w:rsid w:val="00D14CE0"/>
    <w:rsid w:val="00D36333"/>
    <w:rsid w:val="00D378E4"/>
    <w:rsid w:val="00D457F5"/>
    <w:rsid w:val="00D5651D"/>
    <w:rsid w:val="00D57344"/>
    <w:rsid w:val="00D576F9"/>
    <w:rsid w:val="00D60983"/>
    <w:rsid w:val="00D74898"/>
    <w:rsid w:val="00D801ED"/>
    <w:rsid w:val="00D83BF5"/>
    <w:rsid w:val="00D925C2"/>
    <w:rsid w:val="00D936BC"/>
    <w:rsid w:val="00D95FD2"/>
    <w:rsid w:val="00D9621A"/>
    <w:rsid w:val="00D96530"/>
    <w:rsid w:val="00D96B4B"/>
    <w:rsid w:val="00DA2345"/>
    <w:rsid w:val="00DA453A"/>
    <w:rsid w:val="00DA7078"/>
    <w:rsid w:val="00DB648B"/>
    <w:rsid w:val="00DD08B4"/>
    <w:rsid w:val="00DD3CC2"/>
    <w:rsid w:val="00DD44AF"/>
    <w:rsid w:val="00DE2AC3"/>
    <w:rsid w:val="00DE434C"/>
    <w:rsid w:val="00DE5692"/>
    <w:rsid w:val="00DF372B"/>
    <w:rsid w:val="00DF6F8E"/>
    <w:rsid w:val="00E01852"/>
    <w:rsid w:val="00E03C94"/>
    <w:rsid w:val="00E07105"/>
    <w:rsid w:val="00E07999"/>
    <w:rsid w:val="00E26226"/>
    <w:rsid w:val="00E4165C"/>
    <w:rsid w:val="00E45D05"/>
    <w:rsid w:val="00E55816"/>
    <w:rsid w:val="00E55AEF"/>
    <w:rsid w:val="00E87027"/>
    <w:rsid w:val="00E976C1"/>
    <w:rsid w:val="00EA12E5"/>
    <w:rsid w:val="00EE18A3"/>
    <w:rsid w:val="00EF2C99"/>
    <w:rsid w:val="00F01CB2"/>
    <w:rsid w:val="00F02766"/>
    <w:rsid w:val="00F04067"/>
    <w:rsid w:val="00F05BD4"/>
    <w:rsid w:val="00F104EF"/>
    <w:rsid w:val="00F11A98"/>
    <w:rsid w:val="00F21A1D"/>
    <w:rsid w:val="00F21F2B"/>
    <w:rsid w:val="00F33CF1"/>
    <w:rsid w:val="00F37421"/>
    <w:rsid w:val="00F64F19"/>
    <w:rsid w:val="00F65C19"/>
    <w:rsid w:val="00F91E4B"/>
    <w:rsid w:val="00FB625D"/>
    <w:rsid w:val="00FD2546"/>
    <w:rsid w:val="00FD772E"/>
    <w:rsid w:val="00FE0BFA"/>
    <w:rsid w:val="00FE3503"/>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link w:val="Heading2Char"/>
    <w:uiPriority w:val="9"/>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qFormat/>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Style 3"/>
    <w:basedOn w:val="DefaultParagraphFont"/>
    <w:qFormat/>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qFormat/>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link w:val="SourceChar"/>
    <w:qFormat/>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uiPriority w:val="39"/>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uiPriority w:val="39"/>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uiPriority w:val="99"/>
    <w:rsid w:val="004131D4"/>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
    <w:uiPriority w:val="99"/>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table" w:styleId="TableGrid">
    <w:name w:val="Table Grid"/>
    <w:basedOn w:val="TableNormal"/>
    <w:uiPriority w:val="39"/>
    <w:rsid w:val="001E252D"/>
    <w:rPr>
      <w:rFonts w:ascii="CG Times" w:hAnsi="CG 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List Paragraph1 Char,Recommendation Char,List Paragraph11 Char"/>
    <w:basedOn w:val="DefaultParagraphFont"/>
    <w:link w:val="ListParagraph"/>
    <w:uiPriority w:val="34"/>
    <w:rsid w:val="006907AB"/>
    <w:rPr>
      <w:rFonts w:asciiTheme="minorHAnsi" w:hAnsiTheme="minorHAnsi"/>
      <w:sz w:val="24"/>
      <w:lang w:val="en-GB" w:eastAsia="en-US"/>
    </w:rPr>
  </w:style>
  <w:style w:type="character" w:styleId="Strong">
    <w:name w:val="Strong"/>
    <w:basedOn w:val="DefaultParagraphFont"/>
    <w:uiPriority w:val="22"/>
    <w:qFormat/>
    <w:rsid w:val="006907AB"/>
    <w:rPr>
      <w:b/>
      <w:bCs/>
    </w:rPr>
  </w:style>
  <w:style w:type="paragraph" w:styleId="NormalWeb">
    <w:name w:val="Normal (Web)"/>
    <w:basedOn w:val="Normal"/>
    <w:uiPriority w:val="99"/>
    <w:unhideWhenUsed/>
    <w:rsid w:val="006907AB"/>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eastAsia="MS Mincho" w:hAnsi="Times New Roman"/>
      <w:szCs w:val="24"/>
      <w:lang w:eastAsia="zh-CN"/>
    </w:rPr>
  </w:style>
  <w:style w:type="character" w:customStyle="1" w:styleId="ms-rtethemeforecolor-2-0">
    <w:name w:val="ms-rtethemeforecolor-2-0"/>
    <w:basedOn w:val="DefaultParagraphFont"/>
    <w:rsid w:val="006907AB"/>
  </w:style>
  <w:style w:type="character" w:customStyle="1" w:styleId="SourceChar">
    <w:name w:val="Source Char"/>
    <w:link w:val="Source"/>
    <w:locked/>
    <w:rsid w:val="006907AB"/>
    <w:rPr>
      <w:rFonts w:asciiTheme="minorHAnsi" w:hAnsiTheme="minorHAnsi"/>
      <w:b/>
      <w:sz w:val="28"/>
      <w:lang w:val="en-GB" w:eastAsia="en-US"/>
    </w:rPr>
  </w:style>
  <w:style w:type="character" w:customStyle="1" w:styleId="Title1Char">
    <w:name w:val="Title 1 Char"/>
    <w:link w:val="Title1"/>
    <w:locked/>
    <w:rsid w:val="006907AB"/>
    <w:rPr>
      <w:rFonts w:asciiTheme="minorHAnsi" w:hAnsiTheme="minorHAnsi"/>
      <w:caps/>
      <w:sz w:val="28"/>
      <w:lang w:val="en-GB" w:eastAsia="en-US"/>
    </w:rPr>
  </w:style>
  <w:style w:type="character" w:styleId="FollowedHyperlink">
    <w:name w:val="FollowedHyperlink"/>
    <w:basedOn w:val="DefaultParagraphFont"/>
    <w:uiPriority w:val="99"/>
    <w:semiHidden/>
    <w:unhideWhenUsed/>
    <w:rsid w:val="008E7341"/>
    <w:rPr>
      <w:color w:val="800080" w:themeColor="followedHyperlink"/>
      <w:u w:val="single"/>
    </w:rPr>
  </w:style>
  <w:style w:type="paragraph" w:customStyle="1" w:styleId="Docnumber">
    <w:name w:val="Docnumber"/>
    <w:basedOn w:val="Normal"/>
    <w:link w:val="DocnumberChar"/>
    <w:qFormat/>
    <w:rsid w:val="00403E2D"/>
    <w:pPr>
      <w:tabs>
        <w:tab w:val="clear" w:pos="1134"/>
        <w:tab w:val="clear" w:pos="1871"/>
        <w:tab w:val="clear" w:pos="2268"/>
        <w:tab w:val="left" w:pos="794"/>
        <w:tab w:val="left" w:pos="1191"/>
        <w:tab w:val="left" w:pos="1588"/>
        <w:tab w:val="left" w:pos="1985"/>
      </w:tabs>
      <w:jc w:val="right"/>
    </w:pPr>
    <w:rPr>
      <w:rFonts w:ascii="Times New Roman" w:eastAsia="SimSun" w:hAnsi="Times New Roman"/>
      <w:b/>
      <w:sz w:val="40"/>
    </w:rPr>
  </w:style>
  <w:style w:type="character" w:customStyle="1" w:styleId="DocnumberChar">
    <w:name w:val="Docnumber Char"/>
    <w:link w:val="Docnumber"/>
    <w:rsid w:val="00403E2D"/>
    <w:rPr>
      <w:rFonts w:ascii="Times New Roman" w:eastAsia="SimSun" w:hAnsi="Times New Roman"/>
      <w:b/>
      <w:sz w:val="40"/>
      <w:lang w:val="en-GB" w:eastAsia="en-US"/>
    </w:rPr>
  </w:style>
  <w:style w:type="character" w:customStyle="1" w:styleId="Heading1Char">
    <w:name w:val="Heading 1 Char"/>
    <w:link w:val="Heading1"/>
    <w:uiPriority w:val="9"/>
    <w:rsid w:val="00AE0A51"/>
    <w:rPr>
      <w:rFonts w:asciiTheme="minorHAnsi" w:hAnsiTheme="minorHAnsi"/>
      <w:b/>
      <w:sz w:val="28"/>
      <w:lang w:val="en-GB" w:eastAsia="en-US"/>
    </w:rPr>
  </w:style>
  <w:style w:type="character" w:customStyle="1" w:styleId="Heading2Char">
    <w:name w:val="Heading 2 Char"/>
    <w:link w:val="Heading2"/>
    <w:uiPriority w:val="9"/>
    <w:rsid w:val="00AE0A51"/>
    <w:rPr>
      <w:rFonts w:asciiTheme="minorHAnsi" w:hAnsiTheme="minorHAnsi"/>
      <w:b/>
      <w:sz w:val="24"/>
      <w:lang w:val="en-GB" w:eastAsia="en-US"/>
    </w:rPr>
  </w:style>
  <w:style w:type="character" w:customStyle="1" w:styleId="Heading3Char">
    <w:name w:val="Heading 3 Char"/>
    <w:link w:val="Heading3"/>
    <w:uiPriority w:val="9"/>
    <w:rsid w:val="00AE0A51"/>
    <w:rPr>
      <w:rFonts w:asciiTheme="minorHAnsi" w:hAnsiTheme="minorHAnsi"/>
      <w:b/>
      <w:sz w:val="24"/>
      <w:lang w:val="en-GB" w:eastAsia="en-US"/>
    </w:rPr>
  </w:style>
  <w:style w:type="paragraph" w:styleId="Index7">
    <w:name w:val="index 7"/>
    <w:basedOn w:val="Normal"/>
    <w:next w:val="Normal"/>
    <w:semiHidden/>
    <w:rsid w:val="00AE0A51"/>
    <w:pPr>
      <w:tabs>
        <w:tab w:val="clear" w:pos="1134"/>
        <w:tab w:val="clear" w:pos="1871"/>
        <w:tab w:val="clear" w:pos="2268"/>
        <w:tab w:val="left" w:pos="794"/>
        <w:tab w:val="left" w:pos="1191"/>
        <w:tab w:val="left" w:pos="1588"/>
        <w:tab w:val="left" w:pos="1985"/>
      </w:tabs>
      <w:ind w:left="1698"/>
    </w:pPr>
    <w:rPr>
      <w:rFonts w:ascii="Calibri" w:eastAsia="SimSun" w:hAnsi="Calibri"/>
    </w:rPr>
  </w:style>
  <w:style w:type="paragraph" w:styleId="Index6">
    <w:name w:val="index 6"/>
    <w:basedOn w:val="Normal"/>
    <w:next w:val="Normal"/>
    <w:semiHidden/>
    <w:rsid w:val="00AE0A51"/>
    <w:pPr>
      <w:tabs>
        <w:tab w:val="clear" w:pos="1134"/>
        <w:tab w:val="clear" w:pos="1871"/>
        <w:tab w:val="clear" w:pos="2268"/>
        <w:tab w:val="left" w:pos="794"/>
        <w:tab w:val="left" w:pos="1191"/>
        <w:tab w:val="left" w:pos="1588"/>
        <w:tab w:val="left" w:pos="1985"/>
      </w:tabs>
      <w:ind w:left="1415"/>
    </w:pPr>
    <w:rPr>
      <w:rFonts w:ascii="Calibri" w:eastAsia="SimSun" w:hAnsi="Calibri"/>
    </w:rPr>
  </w:style>
  <w:style w:type="paragraph" w:styleId="Index5">
    <w:name w:val="index 5"/>
    <w:basedOn w:val="Normal"/>
    <w:next w:val="Normal"/>
    <w:semiHidden/>
    <w:rsid w:val="00AE0A51"/>
    <w:pPr>
      <w:tabs>
        <w:tab w:val="clear" w:pos="1134"/>
        <w:tab w:val="clear" w:pos="1871"/>
        <w:tab w:val="clear" w:pos="2268"/>
        <w:tab w:val="left" w:pos="794"/>
        <w:tab w:val="left" w:pos="1191"/>
        <w:tab w:val="left" w:pos="1588"/>
        <w:tab w:val="left" w:pos="1985"/>
      </w:tabs>
      <w:ind w:left="1132"/>
    </w:pPr>
    <w:rPr>
      <w:rFonts w:ascii="Calibri" w:eastAsia="SimSun" w:hAnsi="Calibri"/>
    </w:rPr>
  </w:style>
  <w:style w:type="paragraph" w:styleId="Index4">
    <w:name w:val="index 4"/>
    <w:basedOn w:val="Normal"/>
    <w:next w:val="Normal"/>
    <w:semiHidden/>
    <w:rsid w:val="00AE0A51"/>
    <w:pPr>
      <w:tabs>
        <w:tab w:val="clear" w:pos="1134"/>
        <w:tab w:val="clear" w:pos="1871"/>
        <w:tab w:val="clear" w:pos="2268"/>
        <w:tab w:val="left" w:pos="794"/>
        <w:tab w:val="left" w:pos="1191"/>
        <w:tab w:val="left" w:pos="1588"/>
        <w:tab w:val="left" w:pos="1985"/>
      </w:tabs>
      <w:ind w:left="849"/>
    </w:pPr>
    <w:rPr>
      <w:rFonts w:ascii="Calibri" w:eastAsia="SimSun" w:hAnsi="Calibri"/>
    </w:rPr>
  </w:style>
  <w:style w:type="paragraph" w:styleId="Index3">
    <w:name w:val="index 3"/>
    <w:basedOn w:val="Normal"/>
    <w:next w:val="Normal"/>
    <w:semiHidden/>
    <w:rsid w:val="00AE0A51"/>
    <w:pPr>
      <w:tabs>
        <w:tab w:val="clear" w:pos="1134"/>
        <w:tab w:val="clear" w:pos="1871"/>
        <w:tab w:val="clear" w:pos="2268"/>
        <w:tab w:val="left" w:pos="794"/>
        <w:tab w:val="left" w:pos="1191"/>
        <w:tab w:val="left" w:pos="1588"/>
        <w:tab w:val="left" w:pos="1985"/>
      </w:tabs>
      <w:ind w:left="566"/>
    </w:pPr>
    <w:rPr>
      <w:rFonts w:ascii="Calibri" w:eastAsia="SimSun" w:hAnsi="Calibri"/>
    </w:rPr>
  </w:style>
  <w:style w:type="paragraph" w:styleId="Index2">
    <w:name w:val="index 2"/>
    <w:basedOn w:val="Normal"/>
    <w:next w:val="Normal"/>
    <w:semiHidden/>
    <w:rsid w:val="00AE0A51"/>
    <w:pPr>
      <w:tabs>
        <w:tab w:val="clear" w:pos="1134"/>
        <w:tab w:val="clear" w:pos="1871"/>
        <w:tab w:val="clear" w:pos="2268"/>
        <w:tab w:val="left" w:pos="794"/>
        <w:tab w:val="left" w:pos="1191"/>
        <w:tab w:val="left" w:pos="1588"/>
        <w:tab w:val="left" w:pos="1985"/>
      </w:tabs>
      <w:ind w:left="283"/>
    </w:pPr>
    <w:rPr>
      <w:rFonts w:ascii="Calibri" w:eastAsia="SimSun" w:hAnsi="Calibri"/>
    </w:rPr>
  </w:style>
  <w:style w:type="paragraph" w:styleId="Index1">
    <w:name w:val="index 1"/>
    <w:basedOn w:val="Normal"/>
    <w:next w:val="Normal"/>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styleId="LineNumber">
    <w:name w:val="line number"/>
    <w:basedOn w:val="DefaultParagraphFont"/>
    <w:rsid w:val="00AE0A51"/>
  </w:style>
  <w:style w:type="paragraph" w:styleId="IndexHeading">
    <w:name w:val="index heading"/>
    <w:basedOn w:val="Normal"/>
    <w:next w:val="Index1"/>
    <w:semiHidden/>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enumlev1Char">
    <w:name w:val="enumlev1 Char"/>
    <w:link w:val="enumlev1"/>
    <w:rsid w:val="00AE0A51"/>
    <w:rPr>
      <w:rFonts w:asciiTheme="minorHAnsi" w:hAnsiTheme="minorHAnsi"/>
      <w:sz w:val="24"/>
      <w:lang w:val="en-GB" w:eastAsia="en-US"/>
    </w:rPr>
  </w:style>
  <w:style w:type="paragraph" w:customStyle="1" w:styleId="toc0">
    <w:name w:val="toc 0"/>
    <w:basedOn w:val="Normal"/>
    <w:next w:val="TOC1"/>
    <w:rsid w:val="00AE0A51"/>
    <w:pPr>
      <w:tabs>
        <w:tab w:val="clear" w:pos="1134"/>
        <w:tab w:val="clear" w:pos="1871"/>
        <w:tab w:val="clear" w:pos="2268"/>
        <w:tab w:val="right" w:pos="9781"/>
      </w:tabs>
    </w:pPr>
    <w:rPr>
      <w:rFonts w:ascii="Calibri" w:eastAsia="SimSun" w:hAnsi="Calibri"/>
      <w:b/>
    </w:rPr>
  </w:style>
  <w:style w:type="paragraph" w:customStyle="1" w:styleId="ASN1">
    <w:name w:val="ASN.1"/>
    <w:basedOn w:val="Normal"/>
    <w:rsid w:val="00AE0A51"/>
    <w:pPr>
      <w:tabs>
        <w:tab w:val="clear" w:pos="1871"/>
        <w:tab w:val="left" w:pos="567"/>
        <w:tab w:val="left" w:pos="1701"/>
        <w:tab w:val="left" w:pos="2835"/>
        <w:tab w:val="left" w:pos="3402"/>
        <w:tab w:val="left" w:pos="3969"/>
        <w:tab w:val="left" w:pos="4536"/>
        <w:tab w:val="left" w:pos="5103"/>
        <w:tab w:val="left" w:pos="5670"/>
      </w:tabs>
      <w:spacing w:before="0"/>
    </w:pPr>
    <w:rPr>
      <w:rFonts w:ascii="Times New Roman Bold" w:eastAsia="SimSun" w:hAnsi="Times New Roman Bold"/>
      <w:b/>
      <w:noProof/>
      <w:sz w:val="20"/>
    </w:rPr>
  </w:style>
  <w:style w:type="paragraph" w:styleId="TOC9">
    <w:name w:val="toc 9"/>
    <w:basedOn w:val="TOC3"/>
    <w:next w:val="Normal"/>
    <w:semiHidden/>
    <w:rsid w:val="00AE0A51"/>
    <w:pPr>
      <w:tabs>
        <w:tab w:val="clear" w:pos="1871"/>
        <w:tab w:val="clear" w:pos="7938"/>
        <w:tab w:val="left" w:pos="964"/>
        <w:tab w:val="left" w:leader="dot" w:pos="8647"/>
      </w:tabs>
      <w:ind w:left="964" w:hanging="964"/>
    </w:pPr>
    <w:rPr>
      <w:rFonts w:ascii="Calibri" w:eastAsia="SimSun" w:hAnsi="Calibri"/>
    </w:rPr>
  </w:style>
  <w:style w:type="paragraph" w:customStyle="1" w:styleId="ddate">
    <w:name w:val="ddate"/>
    <w:basedOn w:val="Normal"/>
    <w:rsid w:val="00AE0A51"/>
    <w:pPr>
      <w:framePr w:hSpace="181" w:wrap="around" w:vAnchor="page" w:hAnchor="margin" w:y="852"/>
      <w:shd w:val="solid" w:color="FFFFFF" w:fill="FFFFFF"/>
      <w:spacing w:before="0"/>
    </w:pPr>
    <w:rPr>
      <w:rFonts w:ascii="Calibri" w:eastAsia="SimSun" w:hAnsi="Calibri"/>
      <w:b/>
      <w:bCs/>
    </w:rPr>
  </w:style>
  <w:style w:type="paragraph" w:customStyle="1" w:styleId="dnum">
    <w:name w:val="dnum"/>
    <w:basedOn w:val="Normal"/>
    <w:rsid w:val="00AE0A51"/>
    <w:pPr>
      <w:framePr w:hSpace="181" w:wrap="around" w:vAnchor="page" w:hAnchor="margin" w:y="852"/>
      <w:shd w:val="solid" w:color="FFFFFF" w:fill="FFFFFF"/>
    </w:pPr>
    <w:rPr>
      <w:rFonts w:ascii="Calibri" w:eastAsia="SimSun" w:hAnsi="Calibri"/>
      <w:b/>
      <w:bCs/>
    </w:rPr>
  </w:style>
  <w:style w:type="paragraph" w:customStyle="1" w:styleId="dorlang">
    <w:name w:val="dorlang"/>
    <w:basedOn w:val="Normal"/>
    <w:rsid w:val="00AE0A51"/>
    <w:pPr>
      <w:framePr w:hSpace="181" w:wrap="around" w:vAnchor="page" w:hAnchor="margin" w:y="852"/>
      <w:shd w:val="solid" w:color="FFFFFF" w:fill="FFFFFF"/>
      <w:spacing w:before="0"/>
    </w:pPr>
    <w:rPr>
      <w:rFonts w:ascii="Calibri" w:eastAsia="SimSun" w:hAnsi="Calibri"/>
      <w:b/>
      <w:bCs/>
    </w:rPr>
  </w:style>
  <w:style w:type="character" w:styleId="EndnoteReference">
    <w:name w:val="endnote reference"/>
    <w:semiHidden/>
    <w:rsid w:val="00AE0A51"/>
    <w:rPr>
      <w:vertAlign w:val="superscript"/>
    </w:rPr>
  </w:style>
  <w:style w:type="character" w:customStyle="1" w:styleId="TabletextChar">
    <w:name w:val="Table_text Char"/>
    <w:link w:val="Tabletext"/>
    <w:locked/>
    <w:rsid w:val="00AE0A51"/>
    <w:rPr>
      <w:rFonts w:asciiTheme="minorHAnsi" w:hAnsiTheme="minorHAnsi"/>
      <w:lang w:val="en-GB" w:eastAsia="en-US"/>
    </w:rPr>
  </w:style>
  <w:style w:type="paragraph" w:customStyle="1" w:styleId="Recref">
    <w:name w:val="Rec_ref"/>
    <w:basedOn w:val="Rectitle"/>
    <w:next w:val="Recdate"/>
    <w:rsid w:val="00AE0A51"/>
    <w:pPr>
      <w:tabs>
        <w:tab w:val="clear" w:pos="1134"/>
        <w:tab w:val="clear" w:pos="1871"/>
        <w:tab w:val="clear" w:pos="2268"/>
      </w:tabs>
      <w:spacing w:before="120"/>
    </w:pPr>
    <w:rPr>
      <w:rFonts w:ascii="Calibri" w:eastAsia="SimSun" w:hAnsi="Calibri"/>
      <w:b w:val="0"/>
      <w:i/>
      <w:sz w:val="24"/>
    </w:rPr>
  </w:style>
  <w:style w:type="paragraph" w:customStyle="1" w:styleId="Questionref">
    <w:name w:val="Question_ref"/>
    <w:basedOn w:val="Recref"/>
    <w:next w:val="Questiondate"/>
    <w:rsid w:val="00AE0A51"/>
  </w:style>
  <w:style w:type="character" w:customStyle="1" w:styleId="Recdef">
    <w:name w:val="Rec_def"/>
    <w:rsid w:val="00AE0A51"/>
    <w:rPr>
      <w:rFonts w:ascii="Calibri" w:hAnsi="Calibri"/>
      <w:b/>
    </w:rPr>
  </w:style>
  <w:style w:type="paragraph" w:customStyle="1" w:styleId="Reftext">
    <w:name w:val="Ref_text"/>
    <w:basedOn w:val="Normal"/>
    <w:rsid w:val="00AE0A51"/>
    <w:pPr>
      <w:tabs>
        <w:tab w:val="clear" w:pos="1134"/>
        <w:tab w:val="clear" w:pos="1871"/>
        <w:tab w:val="clear" w:pos="2268"/>
        <w:tab w:val="left" w:pos="794"/>
        <w:tab w:val="left" w:pos="1191"/>
        <w:tab w:val="left" w:pos="1588"/>
        <w:tab w:val="left" w:pos="1985"/>
      </w:tabs>
      <w:ind w:left="794" w:hanging="794"/>
    </w:pPr>
    <w:rPr>
      <w:rFonts w:ascii="Calibri" w:eastAsia="SimSun" w:hAnsi="Calibri"/>
    </w:rPr>
  </w:style>
  <w:style w:type="paragraph" w:customStyle="1" w:styleId="Reftitle">
    <w:name w:val="Ref_title"/>
    <w:basedOn w:val="Normal"/>
    <w:next w:val="Reftext"/>
    <w:rsid w:val="00AE0A51"/>
    <w:pPr>
      <w:tabs>
        <w:tab w:val="clear" w:pos="1134"/>
        <w:tab w:val="clear" w:pos="1871"/>
        <w:tab w:val="clear" w:pos="2268"/>
        <w:tab w:val="left" w:pos="794"/>
        <w:tab w:val="left" w:pos="1191"/>
        <w:tab w:val="left" w:pos="1588"/>
        <w:tab w:val="left" w:pos="1985"/>
      </w:tabs>
      <w:spacing w:before="480"/>
      <w:jc w:val="center"/>
    </w:pPr>
    <w:rPr>
      <w:rFonts w:ascii="Calibri" w:eastAsia="SimSun" w:hAnsi="Calibri"/>
      <w:caps/>
    </w:rPr>
  </w:style>
  <w:style w:type="paragraph" w:customStyle="1" w:styleId="Repdate">
    <w:name w:val="Rep_date"/>
    <w:basedOn w:val="Recdate"/>
    <w:next w:val="Normalaftertitle"/>
    <w:rsid w:val="00AE0A51"/>
    <w:pPr>
      <w:tabs>
        <w:tab w:val="clear" w:pos="1134"/>
        <w:tab w:val="clear" w:pos="1871"/>
        <w:tab w:val="clear" w:pos="2268"/>
      </w:tabs>
    </w:pPr>
    <w:rPr>
      <w:rFonts w:ascii="Calibri" w:eastAsia="SimSun" w:hAnsi="Calibri"/>
      <w:i/>
    </w:rPr>
  </w:style>
  <w:style w:type="paragraph" w:customStyle="1" w:styleId="RepNo">
    <w:name w:val="Rep_No"/>
    <w:basedOn w:val="RecNo"/>
    <w:next w:val="Reptitle"/>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title">
    <w:name w:val="Rep_title"/>
    <w:basedOn w:val="Rectitle"/>
    <w:next w:val="Repref"/>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paragraph" w:customStyle="1" w:styleId="Repref">
    <w:name w:val="Rep_ref"/>
    <w:basedOn w:val="Recref"/>
    <w:next w:val="Repdate"/>
    <w:rsid w:val="00AE0A51"/>
  </w:style>
  <w:style w:type="paragraph" w:customStyle="1" w:styleId="Resdate">
    <w:name w:val="Res_date"/>
    <w:basedOn w:val="Recdate"/>
    <w:next w:val="Normalaftertitle"/>
    <w:rsid w:val="00AE0A51"/>
    <w:pPr>
      <w:tabs>
        <w:tab w:val="clear" w:pos="1134"/>
        <w:tab w:val="clear" w:pos="1871"/>
        <w:tab w:val="clear" w:pos="2268"/>
      </w:tabs>
    </w:pPr>
    <w:rPr>
      <w:rFonts w:ascii="Calibri" w:eastAsia="SimSun" w:hAnsi="Calibri"/>
      <w:i/>
    </w:rPr>
  </w:style>
  <w:style w:type="character" w:customStyle="1" w:styleId="Resdef">
    <w:name w:val="Res_def"/>
    <w:rsid w:val="00AE0A51"/>
    <w:rPr>
      <w:rFonts w:ascii="Calibri" w:hAnsi="Calibri"/>
      <w:b/>
    </w:rPr>
  </w:style>
  <w:style w:type="paragraph" w:customStyle="1" w:styleId="Resref">
    <w:name w:val="Res_ref"/>
    <w:basedOn w:val="Recref"/>
    <w:next w:val="Resdate"/>
    <w:rsid w:val="00AE0A51"/>
  </w:style>
  <w:style w:type="character" w:styleId="PageNumber">
    <w:name w:val="page number"/>
    <w:rsid w:val="00AE0A51"/>
    <w:rPr>
      <w:rFonts w:ascii="Calibri" w:hAnsi="Calibri"/>
    </w:rPr>
  </w:style>
  <w:style w:type="paragraph" w:customStyle="1" w:styleId="CEOcontributionStart">
    <w:name w:val="CEO_contributionStart"/>
    <w:basedOn w:val="Normal"/>
    <w:rsid w:val="00AE0A51"/>
    <w:pPr>
      <w:tabs>
        <w:tab w:val="clear" w:pos="1134"/>
        <w:tab w:val="clear" w:pos="1871"/>
        <w:tab w:val="clear" w:pos="2268"/>
      </w:tabs>
      <w:overflowPunct/>
      <w:autoSpaceDE/>
      <w:autoSpaceDN/>
      <w:adjustRightInd/>
      <w:spacing w:before="360" w:after="120"/>
      <w:textAlignment w:val="auto"/>
    </w:pPr>
    <w:rPr>
      <w:rFonts w:ascii="Verdana" w:eastAsia="SimHei" w:hAnsi="Verdana" w:cs="Simplified Arabic"/>
      <w:sz w:val="19"/>
      <w:szCs w:val="19"/>
    </w:rPr>
  </w:style>
  <w:style w:type="character" w:customStyle="1" w:styleId="-">
    <w:name w:val="Интернет-ссылка"/>
    <w:rsid w:val="00AE0A51"/>
    <w:rPr>
      <w:color w:val="0000FF"/>
      <w:u w:val="single"/>
    </w:rPr>
  </w:style>
  <w:style w:type="table" w:customStyle="1" w:styleId="TableGrid1">
    <w:name w:val="Table Grid1"/>
    <w:basedOn w:val="TableNormal"/>
    <w:next w:val="TableGrid"/>
    <w:uiPriority w:val="59"/>
    <w:rsid w:val="00AE0A51"/>
    <w:rPr>
      <w:rFonts w:ascii="CG Times" w:eastAsia="SimSun" w:hAnsi="CG Times"/>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EOChairNameChar">
    <w:name w:val="CEO_ChairName Char"/>
    <w:link w:val="CEOChairName"/>
    <w:locked/>
    <w:rsid w:val="00AE0A51"/>
    <w:rPr>
      <w:rFonts w:ascii="Verdana" w:hAnsi="Verdana"/>
      <w:sz w:val="18"/>
      <w:szCs w:val="19"/>
      <w:lang w:val="en-GB" w:eastAsia="en-US"/>
    </w:rPr>
  </w:style>
  <w:style w:type="paragraph" w:customStyle="1" w:styleId="CEOChairName">
    <w:name w:val="CEO_ChairName"/>
    <w:basedOn w:val="Normal"/>
    <w:link w:val="CEOChairNameChar"/>
    <w:rsid w:val="00AE0A51"/>
    <w:pPr>
      <w:tabs>
        <w:tab w:val="clear" w:pos="1134"/>
        <w:tab w:val="clear" w:pos="1871"/>
        <w:tab w:val="clear" w:pos="2268"/>
      </w:tabs>
      <w:overflowPunct/>
      <w:autoSpaceDE/>
      <w:autoSpaceDN/>
      <w:adjustRightInd/>
      <w:spacing w:before="1200"/>
      <w:ind w:left="5812"/>
      <w:jc w:val="center"/>
      <w:textAlignment w:val="auto"/>
    </w:pPr>
    <w:rPr>
      <w:rFonts w:ascii="Verdana" w:hAnsi="Verdana"/>
      <w:sz w:val="18"/>
      <w:szCs w:val="19"/>
    </w:rPr>
  </w:style>
  <w:style w:type="paragraph" w:customStyle="1" w:styleId="Banner">
    <w:name w:val="Banner"/>
    <w:basedOn w:val="Normal"/>
    <w:rsid w:val="00AE0A51"/>
    <w:pPr>
      <w:tabs>
        <w:tab w:val="clear" w:pos="1134"/>
        <w:tab w:val="clear" w:pos="1871"/>
        <w:tab w:val="clear" w:pos="2268"/>
        <w:tab w:val="left" w:pos="993"/>
      </w:tabs>
      <w:spacing w:before="240"/>
      <w:ind w:left="993" w:hanging="993"/>
      <w:textAlignment w:val="auto"/>
    </w:pPr>
    <w:rPr>
      <w:rFonts w:ascii="Arial" w:eastAsia="SimSun" w:hAnsi="Arial"/>
      <w:sz w:val="22"/>
      <w:szCs w:val="22"/>
    </w:rPr>
  </w:style>
  <w:style w:type="paragraph" w:customStyle="1" w:styleId="CEOAgendaItemN">
    <w:name w:val="CEO_AgendaItemN°"/>
    <w:basedOn w:val="Normal"/>
    <w:rsid w:val="00AE0A51"/>
    <w:pPr>
      <w:tabs>
        <w:tab w:val="clear" w:pos="1134"/>
        <w:tab w:val="clear" w:pos="1871"/>
        <w:tab w:val="clear" w:pos="2268"/>
      </w:tabs>
      <w:overflowPunct/>
      <w:autoSpaceDE/>
      <w:autoSpaceDN/>
      <w:adjustRightInd/>
      <w:spacing w:before="60" w:after="60"/>
      <w:ind w:right="12"/>
      <w:jc w:val="right"/>
      <w:textAlignment w:val="auto"/>
    </w:pPr>
    <w:rPr>
      <w:rFonts w:ascii="Verdana" w:eastAsia="SimHei" w:hAnsi="Verdana" w:cs="Simplified Arabic"/>
      <w:bCs/>
      <w:sz w:val="19"/>
      <w:szCs w:val="19"/>
      <w:lang w:val="en-US"/>
    </w:rPr>
  </w:style>
  <w:style w:type="paragraph" w:styleId="Date">
    <w:name w:val="Date"/>
    <w:basedOn w:val="Normal"/>
    <w:next w:val="Normal"/>
    <w:link w:val="DateChar"/>
    <w:rsid w:val="00AE0A51"/>
    <w:pPr>
      <w:tabs>
        <w:tab w:val="clear" w:pos="1134"/>
        <w:tab w:val="clear" w:pos="1871"/>
        <w:tab w:val="clear" w:pos="2268"/>
        <w:tab w:val="left" w:pos="794"/>
        <w:tab w:val="left" w:pos="1191"/>
        <w:tab w:val="left" w:pos="1588"/>
        <w:tab w:val="left" w:pos="1985"/>
      </w:tabs>
    </w:pPr>
    <w:rPr>
      <w:rFonts w:ascii="Calibri" w:eastAsia="SimSun" w:hAnsi="Calibri"/>
    </w:rPr>
  </w:style>
  <w:style w:type="character" w:customStyle="1" w:styleId="DateChar">
    <w:name w:val="Date Char"/>
    <w:basedOn w:val="DefaultParagraphFont"/>
    <w:link w:val="Date"/>
    <w:rsid w:val="00AE0A51"/>
    <w:rPr>
      <w:rFonts w:ascii="Calibri" w:eastAsia="SimSun" w:hAnsi="Calibri"/>
      <w:sz w:val="24"/>
      <w:lang w:val="en-GB" w:eastAsia="en-US"/>
    </w:rPr>
  </w:style>
  <w:style w:type="character" w:customStyle="1" w:styleId="InternetLink">
    <w:name w:val="Internet Link"/>
    <w:rsid w:val="00AE0A51"/>
    <w:rPr>
      <w:color w:val="0000FF"/>
      <w:u w:val="single"/>
    </w:rPr>
  </w:style>
  <w:style w:type="character" w:styleId="CommentReference">
    <w:name w:val="annotation reference"/>
    <w:semiHidden/>
    <w:unhideWhenUsed/>
    <w:rsid w:val="00AE0A51"/>
    <w:rPr>
      <w:sz w:val="16"/>
      <w:szCs w:val="16"/>
    </w:rPr>
  </w:style>
  <w:style w:type="paragraph" w:styleId="CommentText">
    <w:name w:val="annotation text"/>
    <w:basedOn w:val="Normal"/>
    <w:link w:val="CommentTextChar"/>
    <w:uiPriority w:val="99"/>
    <w:unhideWhenUsed/>
    <w:rsid w:val="00AE0A51"/>
    <w:pPr>
      <w:tabs>
        <w:tab w:val="clear" w:pos="1134"/>
        <w:tab w:val="clear" w:pos="1871"/>
        <w:tab w:val="clear" w:pos="2268"/>
        <w:tab w:val="left" w:pos="794"/>
        <w:tab w:val="left" w:pos="1191"/>
        <w:tab w:val="left" w:pos="1588"/>
        <w:tab w:val="left" w:pos="1985"/>
      </w:tabs>
    </w:pPr>
    <w:rPr>
      <w:rFonts w:ascii="Calibri" w:eastAsia="SimSun" w:hAnsi="Calibri"/>
      <w:sz w:val="20"/>
    </w:rPr>
  </w:style>
  <w:style w:type="character" w:customStyle="1" w:styleId="CommentTextChar">
    <w:name w:val="Comment Text Char"/>
    <w:basedOn w:val="DefaultParagraphFont"/>
    <w:link w:val="CommentText"/>
    <w:uiPriority w:val="99"/>
    <w:rsid w:val="00AE0A51"/>
    <w:rPr>
      <w:rFonts w:ascii="Calibri" w:eastAsia="SimSun" w:hAnsi="Calibri"/>
      <w:lang w:val="en-GB" w:eastAsia="en-US"/>
    </w:rPr>
  </w:style>
  <w:style w:type="paragraph" w:styleId="CommentSubject">
    <w:name w:val="annotation subject"/>
    <w:basedOn w:val="CommentText"/>
    <w:next w:val="CommentText"/>
    <w:link w:val="CommentSubjectChar"/>
    <w:uiPriority w:val="99"/>
    <w:semiHidden/>
    <w:unhideWhenUsed/>
    <w:rsid w:val="00AE0A51"/>
    <w:rPr>
      <w:b/>
      <w:bCs/>
    </w:rPr>
  </w:style>
  <w:style w:type="character" w:customStyle="1" w:styleId="CommentSubjectChar">
    <w:name w:val="Comment Subject Char"/>
    <w:basedOn w:val="CommentTextChar"/>
    <w:link w:val="CommentSubject"/>
    <w:uiPriority w:val="99"/>
    <w:semiHidden/>
    <w:rsid w:val="00AE0A51"/>
    <w:rPr>
      <w:rFonts w:ascii="Calibri" w:eastAsia="SimSun" w:hAnsi="Calibri"/>
      <w:b/>
      <w:bCs/>
      <w:lang w:val="en-GB" w:eastAsia="en-US"/>
    </w:rPr>
  </w:style>
  <w:style w:type="paragraph" w:customStyle="1" w:styleId="CEOindent-abc">
    <w:name w:val="CEO_indent-abc"/>
    <w:basedOn w:val="Normal"/>
    <w:rsid w:val="00AE0A51"/>
    <w:pPr>
      <w:numPr>
        <w:ilvl w:val="1"/>
        <w:numId w:val="1"/>
      </w:numPr>
      <w:tabs>
        <w:tab w:val="clear" w:pos="1134"/>
        <w:tab w:val="clear" w:pos="1871"/>
        <w:tab w:val="clear" w:pos="2268"/>
      </w:tabs>
      <w:overflowPunct/>
      <w:autoSpaceDE/>
      <w:autoSpaceDN/>
      <w:adjustRightInd/>
      <w:spacing w:before="0"/>
      <w:textAlignment w:val="auto"/>
    </w:pPr>
    <w:rPr>
      <w:rFonts w:ascii="Verdana" w:eastAsia="SimHei" w:hAnsi="Verdana" w:cs="Traditional Arabic"/>
      <w:bCs/>
      <w:sz w:val="18"/>
      <w:szCs w:val="28"/>
    </w:rPr>
  </w:style>
  <w:style w:type="paragraph" w:customStyle="1" w:styleId="CEOIndenti-ii-iii">
    <w:name w:val="CEO_Indenti-ii-iii"/>
    <w:rsid w:val="00AE0A51"/>
    <w:pPr>
      <w:numPr>
        <w:ilvl w:val="2"/>
        <w:numId w:val="1"/>
      </w:numPr>
      <w:spacing w:before="120" w:after="120"/>
    </w:pPr>
    <w:rPr>
      <w:rFonts w:ascii="Verdana" w:eastAsia="SimHei" w:hAnsi="Verdana" w:cs="Traditional Arabic"/>
      <w:bCs/>
      <w:sz w:val="18"/>
      <w:szCs w:val="28"/>
      <w:lang w:val="en-GB" w:eastAsia="en-US"/>
    </w:rPr>
  </w:style>
  <w:style w:type="paragraph" w:styleId="PlainText">
    <w:name w:val="Plain Text"/>
    <w:basedOn w:val="Normal"/>
    <w:link w:val="PlainTextChar"/>
    <w:uiPriority w:val="99"/>
    <w:unhideWhenUsed/>
    <w:rsid w:val="00AE0A51"/>
    <w:pPr>
      <w:tabs>
        <w:tab w:val="clear" w:pos="1134"/>
        <w:tab w:val="clear" w:pos="1871"/>
        <w:tab w:val="clear" w:pos="2268"/>
      </w:tabs>
      <w:overflowPunct/>
      <w:autoSpaceDE/>
      <w:autoSpaceDN/>
      <w:adjustRightInd/>
      <w:spacing w:before="0"/>
      <w:textAlignment w:val="auto"/>
    </w:pPr>
    <w:rPr>
      <w:rFonts w:ascii="Calibri" w:eastAsia="SimSun" w:hAnsi="Calibri"/>
      <w:sz w:val="22"/>
      <w:szCs w:val="21"/>
      <w:lang w:val="x-none" w:eastAsia="x-none"/>
    </w:rPr>
  </w:style>
  <w:style w:type="character" w:customStyle="1" w:styleId="PlainTextChar">
    <w:name w:val="Plain Text Char"/>
    <w:basedOn w:val="DefaultParagraphFont"/>
    <w:link w:val="PlainText"/>
    <w:uiPriority w:val="99"/>
    <w:rsid w:val="00AE0A51"/>
    <w:rPr>
      <w:rFonts w:ascii="Calibri" w:eastAsia="SimSun" w:hAnsi="Calibri"/>
      <w:sz w:val="22"/>
      <w:szCs w:val="21"/>
      <w:lang w:val="x-none" w:eastAsia="x-none"/>
    </w:rPr>
  </w:style>
  <w:style w:type="paragraph" w:styleId="TOCHeading">
    <w:name w:val="TOC Heading"/>
    <w:basedOn w:val="Heading1"/>
    <w:next w:val="Normal"/>
    <w:uiPriority w:val="39"/>
    <w:unhideWhenUsed/>
    <w:qFormat/>
    <w:rsid w:val="00AE0A51"/>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Cambria" w:eastAsia="SimSun" w:hAnsi="Cambria"/>
      <w:b w:val="0"/>
      <w:color w:val="365F91"/>
      <w:sz w:val="32"/>
      <w:szCs w:val="32"/>
      <w:lang w:val="ru-RU" w:eastAsia="ru-RU"/>
    </w:rPr>
  </w:style>
  <w:style w:type="paragraph" w:styleId="Revision">
    <w:name w:val="Revision"/>
    <w:hidden/>
    <w:uiPriority w:val="99"/>
    <w:semiHidden/>
    <w:rsid w:val="00AE0A51"/>
    <w:rPr>
      <w:rFonts w:ascii="Times New Roman" w:eastAsia="SimSun" w:hAnsi="Times New Roman"/>
      <w:sz w:val="24"/>
      <w:szCs w:val="24"/>
      <w:lang w:val="en-GB" w:eastAsia="ja-JP"/>
    </w:rPr>
  </w:style>
  <w:style w:type="character" w:customStyle="1" w:styleId="UnresolvedMention1">
    <w:name w:val="Unresolved Mention1"/>
    <w:uiPriority w:val="99"/>
    <w:semiHidden/>
    <w:unhideWhenUsed/>
    <w:rsid w:val="00AE0A51"/>
    <w:rPr>
      <w:color w:val="808080"/>
      <w:shd w:val="clear" w:color="auto" w:fill="E6E6E6"/>
    </w:rPr>
  </w:style>
  <w:style w:type="paragraph" w:styleId="DocumentMap">
    <w:name w:val="Document Map"/>
    <w:basedOn w:val="Normal"/>
    <w:link w:val="DocumentMapChar"/>
    <w:semiHidden/>
    <w:unhideWhenUsed/>
    <w:rsid w:val="00AE0A51"/>
    <w:pPr>
      <w:tabs>
        <w:tab w:val="clear" w:pos="1134"/>
        <w:tab w:val="clear" w:pos="1871"/>
        <w:tab w:val="clear" w:pos="2268"/>
        <w:tab w:val="left" w:pos="794"/>
        <w:tab w:val="left" w:pos="1191"/>
        <w:tab w:val="left" w:pos="1588"/>
        <w:tab w:val="left" w:pos="1985"/>
      </w:tabs>
    </w:pPr>
    <w:rPr>
      <w:rFonts w:ascii="SimSun" w:eastAsia="SimSun" w:hAnsi="Calibri"/>
      <w:sz w:val="18"/>
      <w:szCs w:val="18"/>
    </w:rPr>
  </w:style>
  <w:style w:type="character" w:customStyle="1" w:styleId="DocumentMapChar">
    <w:name w:val="Document Map Char"/>
    <w:basedOn w:val="DefaultParagraphFont"/>
    <w:link w:val="DocumentMap"/>
    <w:semiHidden/>
    <w:rsid w:val="00AE0A51"/>
    <w:rPr>
      <w:rFonts w:ascii="SimSun" w:eastAsia="SimSun" w:hAnsi="Calibri"/>
      <w:sz w:val="18"/>
      <w:szCs w:val="18"/>
      <w:lang w:val="en-GB" w:eastAsia="en-US"/>
    </w:rPr>
  </w:style>
  <w:style w:type="character" w:customStyle="1" w:styleId="apple-converted-space">
    <w:name w:val="apple-converted-space"/>
    <w:rsid w:val="00AE0A51"/>
  </w:style>
  <w:style w:type="character" w:customStyle="1" w:styleId="a">
    <w:name w:val="未处理的提及"/>
    <w:uiPriority w:val="99"/>
    <w:semiHidden/>
    <w:unhideWhenUsed/>
    <w:rsid w:val="00AE0A51"/>
    <w:rPr>
      <w:color w:val="605E5C"/>
      <w:shd w:val="clear" w:color="auto" w:fill="E1DFDD"/>
    </w:rPr>
  </w:style>
  <w:style w:type="character" w:styleId="Emphasis">
    <w:name w:val="Emphasis"/>
    <w:basedOn w:val="DefaultParagraphFont"/>
    <w:uiPriority w:val="20"/>
    <w:qFormat/>
    <w:rsid w:val="00546225"/>
    <w:rPr>
      <w:i/>
      <w:iCs/>
    </w:rPr>
  </w:style>
  <w:style w:type="paragraph" w:customStyle="1" w:styleId="Default">
    <w:name w:val="Default"/>
    <w:rsid w:val="00546225"/>
    <w:pPr>
      <w:widowControl w:val="0"/>
      <w:autoSpaceDE w:val="0"/>
      <w:autoSpaceDN w:val="0"/>
      <w:adjustRightInd w:val="0"/>
    </w:pPr>
    <w:rPr>
      <w:rFonts w:ascii="Calibri" w:eastAsiaTheme="minorEastAsia" w:hAnsi="Calibri" w:cs="Calibri"/>
      <w:color w:val="000000"/>
      <w:sz w:val="24"/>
      <w:szCs w:val="24"/>
      <w:lang w:eastAsia="ja-JP"/>
    </w:rPr>
  </w:style>
  <w:style w:type="character" w:customStyle="1" w:styleId="CallChar">
    <w:name w:val="Call Char"/>
    <w:link w:val="Call"/>
    <w:rsid w:val="00546225"/>
    <w:rPr>
      <w:rFonts w:asciiTheme="minorHAnsi" w:hAnsiTheme="minorHAnsi"/>
      <w:i/>
      <w:sz w:val="24"/>
      <w:lang w:val="en-GB" w:eastAsia="en-US"/>
    </w:rPr>
  </w:style>
  <w:style w:type="character" w:customStyle="1" w:styleId="href">
    <w:name w:val="href"/>
    <w:basedOn w:val="DefaultParagraphFont"/>
    <w:uiPriority w:val="99"/>
    <w:rsid w:val="00546225"/>
    <w:rPr>
      <w:color w:val="auto"/>
    </w:rPr>
  </w:style>
  <w:style w:type="character" w:customStyle="1" w:styleId="RestitleChar">
    <w:name w:val="Res_title Char"/>
    <w:link w:val="Restitle"/>
    <w:rsid w:val="00546225"/>
    <w:rPr>
      <w:rFonts w:asciiTheme="minorHAnsi" w:hAnsiTheme="minorHAnsi"/>
      <w:b/>
      <w:sz w:val="28"/>
      <w:lang w:val="en-GB" w:eastAsia="en-US"/>
    </w:rPr>
  </w:style>
  <w:style w:type="character" w:customStyle="1" w:styleId="ResNoChar">
    <w:name w:val="Res_No Char"/>
    <w:basedOn w:val="DefaultParagraphFont"/>
    <w:link w:val="ResNo"/>
    <w:rsid w:val="00B62876"/>
    <w:rPr>
      <w:rFonts w:asciiTheme="minorHAnsi" w:hAnsiTheme="minorHAnsi"/>
      <w:caps/>
      <w:sz w:val="28"/>
      <w:lang w:val="en-GB" w:eastAsia="en-US"/>
    </w:rPr>
  </w:style>
  <w:style w:type="paragraph" w:customStyle="1" w:styleId="Res">
    <w:name w:val="Res_#"/>
    <w:basedOn w:val="Normal"/>
    <w:next w:val="Restitle"/>
    <w:rsid w:val="00B62876"/>
    <w:pPr>
      <w:keepNext/>
      <w:keepLines/>
      <w:tabs>
        <w:tab w:val="left" w:pos="567"/>
        <w:tab w:val="left" w:pos="1701"/>
        <w:tab w:val="left" w:pos="2835"/>
      </w:tabs>
      <w:spacing w:before="720"/>
      <w:jc w:val="center"/>
      <w:textAlignment w:val="auto"/>
    </w:pPr>
    <w:rPr>
      <w:rFonts w:ascii="Times New Roman" w:hAnsi="Times New Roman"/>
      <w:sz w:val="28"/>
    </w:rPr>
  </w:style>
  <w:style w:type="paragraph" w:customStyle="1" w:styleId="Dectitle">
    <w:name w:val="Dec_title"/>
    <w:basedOn w:val="Normal"/>
    <w:next w:val="Normal"/>
    <w:qFormat/>
    <w:rsid w:val="00B62876"/>
    <w:pPr>
      <w:tabs>
        <w:tab w:val="clear" w:pos="1871"/>
        <w:tab w:val="left" w:pos="567"/>
        <w:tab w:val="left" w:pos="1701"/>
        <w:tab w:val="left" w:pos="2835"/>
      </w:tabs>
      <w:spacing w:before="240" w:after="240"/>
      <w:jc w:val="center"/>
      <w:textAlignment w:val="auto"/>
    </w:pPr>
    <w:rPr>
      <w:rFonts w:ascii="Calibri" w:hAnsi="Calibri"/>
      <w:b/>
      <w:sz w:val="28"/>
    </w:rPr>
  </w:style>
  <w:style w:type="paragraph" w:customStyle="1" w:styleId="DecNo">
    <w:name w:val="Dec_No"/>
    <w:basedOn w:val="Normal"/>
    <w:next w:val="Dectitle"/>
    <w:qFormat/>
    <w:rsid w:val="00B62876"/>
    <w:pPr>
      <w:tabs>
        <w:tab w:val="clear" w:pos="1871"/>
        <w:tab w:val="left" w:pos="567"/>
        <w:tab w:val="left" w:pos="1701"/>
        <w:tab w:val="left" w:pos="2835"/>
      </w:tabs>
      <w:spacing w:before="720"/>
      <w:jc w:val="center"/>
      <w:textAlignment w:val="auto"/>
    </w:pPr>
    <w:rPr>
      <w:rFonts w:ascii="Calibri" w:hAnsi="Calibri"/>
      <w:caps/>
      <w:sz w:val="28"/>
    </w:rPr>
  </w:style>
  <w:style w:type="character" w:customStyle="1" w:styleId="7">
    <w:name w:val="Сноска7"/>
    <w:basedOn w:val="DefaultParagraphFont"/>
    <w:uiPriority w:val="99"/>
    <w:rsid w:val="00B62876"/>
    <w:rPr>
      <w:rFonts w:ascii="Calibri" w:hAnsi="Calibri" w:cs="Calibri" w:hint="default"/>
      <w:sz w:val="16"/>
      <w:szCs w:val="16"/>
      <w:shd w:val="clear" w:color="auto" w:fill="FFFFFF"/>
    </w:rPr>
  </w:style>
  <w:style w:type="paragraph" w:styleId="NoSpacing">
    <w:name w:val="No Spacing"/>
    <w:uiPriority w:val="1"/>
    <w:qFormat/>
    <w:rsid w:val="00600B35"/>
    <w:pPr>
      <w:jc w:val="both"/>
    </w:pPr>
    <w:rPr>
      <w:rFonts w:ascii="Calibri" w:eastAsia="SimSun"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ITU-D/Digital-Inclusion/Persons-with-Disabilities/Pages/Self-Paced-Online-Training-on-ICT-Accessibility.aspx" TargetMode="External"/><Relationship Id="rId18" Type="http://schemas.openxmlformats.org/officeDocument/2006/relationships/hyperlink" Target="http://itu.int/go/digitalskillspacific201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digitalinclusionnewslog.itu.i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en/ITU-D/Digital-Inclusion/Pages/Reports.asp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pub/D-PHCB" TargetMode="External"/><Relationship Id="rId20" Type="http://schemas.openxmlformats.org/officeDocument/2006/relationships/hyperlink" Target="https://www.itu.int/en/ITU-D/Digital-Inclusion/Indigenous-Peoples/Pages/default-bi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itu.int/en/ITU-D/Digital-Inclusion/Persons-with-Disabilities/Pages/Internet-for-@ll.asp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en/ITU-D/Digital-Inclusion/Women-and-Girls/Girls-in-ICT-Portal/Pages/Portal.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en/ITU-D/Digital-Inclusion/Persons-with-Disabilities/Pages/Video-Tutorials-on-Accessible-Digital-Content.aspx"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8A7C67D6-CEFE-4AFE-8EC3-4585BFEF5BA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a1a8c5-2265-4ebc-b7a0-2071e2c5c9bb"/>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8C6A1BC0-B833-4588-A011-22E97C5E5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2047</Words>
  <Characters>12956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14974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cp:lastModifiedBy>
  <cp:revision>4</cp:revision>
  <cp:lastPrinted>2011-08-24T07:41:00Z</cp:lastPrinted>
  <dcterms:created xsi:type="dcterms:W3CDTF">2019-01-25T08:09:00Z</dcterms:created>
  <dcterms:modified xsi:type="dcterms:W3CDTF">2019-01-25T11:35:00Z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