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940EE4">
        <w:trPr>
          <w:cantSplit/>
          <w:trHeight w:val="1134"/>
        </w:trPr>
        <w:tc>
          <w:tcPr>
            <w:tcW w:w="6804" w:type="dxa"/>
          </w:tcPr>
          <w:p w:rsidR="00175C4C" w:rsidRPr="001E252D" w:rsidRDefault="00175C4C" w:rsidP="000B5641">
            <w:pPr>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940EE4">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175C4C" w:rsidP="00940EE4">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940EE4">
        <w:trPr>
          <w:cantSplit/>
        </w:trPr>
        <w:tc>
          <w:tcPr>
            <w:tcW w:w="6804" w:type="dxa"/>
            <w:tcBorders>
              <w:top w:val="single" w:sz="12" w:space="0" w:color="auto"/>
            </w:tcBorders>
          </w:tcPr>
          <w:p w:rsidR="00175C4C" w:rsidRPr="00D96B4B" w:rsidRDefault="00175C4C" w:rsidP="00940EE4">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940EE4">
            <w:pPr>
              <w:spacing w:before="0" w:line="240" w:lineRule="atLeast"/>
              <w:rPr>
                <w:rFonts w:cstheme="minorHAnsi"/>
                <w:sz w:val="20"/>
              </w:rPr>
            </w:pPr>
          </w:p>
        </w:tc>
      </w:tr>
      <w:tr w:rsidR="00175C4C" w:rsidRPr="0038489B" w:rsidTr="000B5641">
        <w:trPr>
          <w:cantSplit/>
          <w:trHeight w:val="351"/>
        </w:trPr>
        <w:tc>
          <w:tcPr>
            <w:tcW w:w="6804" w:type="dxa"/>
            <w:shd w:val="clear" w:color="auto" w:fill="auto"/>
          </w:tcPr>
          <w:p w:rsidR="00175C4C" w:rsidRPr="00D96B4B" w:rsidRDefault="00175C4C" w:rsidP="000B5641">
            <w:pPr>
              <w:pStyle w:val="Committee"/>
              <w:spacing w:before="0"/>
            </w:pPr>
            <w:bookmarkStart w:id="2" w:name="dnum" w:colFirst="1" w:colLast="1"/>
            <w:bookmarkStart w:id="3" w:name="dmeeting" w:colFirst="0" w:colLast="0"/>
            <w:bookmarkEnd w:id="1"/>
          </w:p>
        </w:tc>
        <w:tc>
          <w:tcPr>
            <w:tcW w:w="3227" w:type="dxa"/>
          </w:tcPr>
          <w:p w:rsidR="00175C4C" w:rsidRPr="00E07105" w:rsidRDefault="00175C4C" w:rsidP="00940EE4">
            <w:pPr>
              <w:tabs>
                <w:tab w:val="left" w:pos="851"/>
              </w:tabs>
              <w:spacing w:before="0" w:line="240" w:lineRule="atLeast"/>
              <w:rPr>
                <w:rFonts w:cstheme="minorHAnsi"/>
                <w:szCs w:val="24"/>
                <w:lang w:val="es-ES_tradnl"/>
              </w:rPr>
            </w:pPr>
            <w:r>
              <w:rPr>
                <w:rFonts w:hint="eastAsia"/>
                <w:b/>
                <w:bCs/>
                <w:szCs w:val="24"/>
                <w:lang w:val="es-ES_tradnl" w:eastAsia="zh-CN"/>
              </w:rPr>
              <w:t>文件</w:t>
            </w:r>
            <w:r w:rsidRPr="0084734D">
              <w:rPr>
                <w:b/>
                <w:bCs/>
                <w:szCs w:val="24"/>
                <w:lang w:val="es-ES_tradnl"/>
              </w:rPr>
              <w:t xml:space="preserve"> </w:t>
            </w:r>
            <w:bookmarkStart w:id="4" w:name="DocRef1"/>
            <w:bookmarkEnd w:id="4"/>
            <w:r>
              <w:rPr>
                <w:b/>
                <w:bCs/>
                <w:szCs w:val="24"/>
                <w:lang w:val="es-ES_tradnl"/>
              </w:rPr>
              <w:t>TDAG-19</w:t>
            </w:r>
            <w:r w:rsidRPr="00147DA1">
              <w:rPr>
                <w:b/>
                <w:bCs/>
                <w:szCs w:val="24"/>
                <w:lang w:val="es-ES_tradnl"/>
              </w:rPr>
              <w:t>/</w:t>
            </w:r>
            <w:r w:rsidR="001220AC">
              <w:rPr>
                <w:b/>
                <w:bCs/>
                <w:szCs w:val="24"/>
                <w:lang w:val="es-ES_tradnl"/>
              </w:rPr>
              <w:t>32</w:t>
            </w:r>
            <w:r w:rsidRPr="00147DA1">
              <w:rPr>
                <w:b/>
                <w:bCs/>
                <w:szCs w:val="24"/>
                <w:lang w:val="es-ES_tradnl"/>
              </w:rPr>
              <w:t>-</w:t>
            </w:r>
            <w:r>
              <w:rPr>
                <w:b/>
                <w:bCs/>
                <w:szCs w:val="24"/>
                <w:lang w:val="es-ES_tradnl"/>
              </w:rPr>
              <w:t>C</w:t>
            </w:r>
          </w:p>
        </w:tc>
      </w:tr>
      <w:tr w:rsidR="00175C4C" w:rsidRPr="00C324A8" w:rsidTr="00940EE4">
        <w:trPr>
          <w:cantSplit/>
          <w:trHeight w:val="23"/>
        </w:trPr>
        <w:tc>
          <w:tcPr>
            <w:tcW w:w="6804" w:type="dxa"/>
            <w:shd w:val="clear" w:color="auto" w:fill="auto"/>
          </w:tcPr>
          <w:p w:rsidR="00175C4C" w:rsidRPr="00E07105" w:rsidRDefault="00175C4C" w:rsidP="00940EE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D96B4B" w:rsidRDefault="00175C4C" w:rsidP="00940EE4">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1220AC">
              <w:rPr>
                <w:b/>
                <w:bCs/>
                <w:szCs w:val="24"/>
                <w:lang w:val="fr-FR" w:eastAsia="zh-CN"/>
              </w:rPr>
              <w:t>2</w:t>
            </w:r>
            <w:r>
              <w:rPr>
                <w:b/>
                <w:bCs/>
                <w:szCs w:val="24"/>
                <w:lang w:val="fr-FR" w:eastAsia="zh-CN"/>
              </w:rPr>
              <w:t>月</w:t>
            </w:r>
            <w:r w:rsidR="001220AC">
              <w:rPr>
                <w:b/>
                <w:bCs/>
                <w:szCs w:val="24"/>
                <w:lang w:val="fr-FR" w:eastAsia="zh-CN"/>
              </w:rPr>
              <w:t>12</w:t>
            </w:r>
            <w:r>
              <w:rPr>
                <w:b/>
                <w:bCs/>
                <w:szCs w:val="24"/>
                <w:lang w:val="fr-FR" w:eastAsia="zh-CN"/>
              </w:rPr>
              <w:t>日</w:t>
            </w:r>
          </w:p>
        </w:tc>
      </w:tr>
      <w:tr w:rsidR="00175C4C" w:rsidRPr="00C324A8" w:rsidTr="00940EE4">
        <w:trPr>
          <w:cantSplit/>
          <w:trHeight w:val="23"/>
        </w:trPr>
        <w:tc>
          <w:tcPr>
            <w:tcW w:w="6804" w:type="dxa"/>
            <w:shd w:val="clear" w:color="auto" w:fill="auto"/>
          </w:tcPr>
          <w:p w:rsidR="00175C4C" w:rsidRPr="00D96B4B" w:rsidRDefault="00175C4C" w:rsidP="00940EE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940EE4">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940EE4">
        <w:trPr>
          <w:cantSplit/>
          <w:trHeight w:val="23"/>
        </w:trPr>
        <w:tc>
          <w:tcPr>
            <w:tcW w:w="10031" w:type="dxa"/>
            <w:gridSpan w:val="2"/>
            <w:shd w:val="clear" w:color="auto" w:fill="auto"/>
          </w:tcPr>
          <w:p w:rsidR="00175C4C" w:rsidRPr="000B5641" w:rsidRDefault="004B6A8D" w:rsidP="00175C4C">
            <w:pPr>
              <w:pStyle w:val="Source"/>
              <w:spacing w:before="240" w:after="240"/>
              <w:jc w:val="center"/>
              <w:rPr>
                <w:rFonts w:asciiTheme="majorEastAsia" w:eastAsiaTheme="majorEastAsia" w:hAnsiTheme="majorEastAsia"/>
                <w:sz w:val="28"/>
                <w:szCs w:val="28"/>
                <w:lang w:val="en-US" w:eastAsia="zh-CN"/>
              </w:rPr>
            </w:pPr>
            <w:proofErr w:type="spellStart"/>
            <w:r w:rsidRPr="000B5641">
              <w:rPr>
                <w:rFonts w:hint="eastAsia"/>
                <w:sz w:val="28"/>
                <w:szCs w:val="28"/>
              </w:rPr>
              <w:t>电信发展局主任</w:t>
            </w:r>
            <w:proofErr w:type="spellEnd"/>
          </w:p>
        </w:tc>
      </w:tr>
      <w:tr w:rsidR="00175C4C" w:rsidRPr="00C324A8" w:rsidTr="007E5382">
        <w:trPr>
          <w:cantSplit/>
          <w:trHeight w:val="23"/>
        </w:trPr>
        <w:tc>
          <w:tcPr>
            <w:tcW w:w="10031" w:type="dxa"/>
            <w:gridSpan w:val="2"/>
            <w:shd w:val="clear" w:color="auto" w:fill="auto"/>
          </w:tcPr>
          <w:p w:rsidR="004B6A8D" w:rsidRPr="000B5641" w:rsidRDefault="00D84259" w:rsidP="004B6A8D">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b w:val="0"/>
                <w:bCs/>
                <w:sz w:val="28"/>
                <w:szCs w:val="28"/>
                <w:lang w:eastAsia="zh-CN"/>
              </w:rPr>
            </w:pPr>
            <w:r w:rsidRPr="000B5641">
              <w:rPr>
                <w:rFonts w:hint="eastAsia"/>
                <w:b w:val="0"/>
                <w:bCs/>
                <w:sz w:val="28"/>
                <w:szCs w:val="28"/>
                <w:lang w:eastAsia="zh-CN"/>
              </w:rPr>
              <w:t>落实</w:t>
            </w:r>
            <w:r w:rsidR="004B6A8D" w:rsidRPr="000B5641">
              <w:rPr>
                <w:rFonts w:hint="eastAsia"/>
                <w:b w:val="0"/>
                <w:bCs/>
                <w:sz w:val="28"/>
                <w:szCs w:val="28"/>
                <w:lang w:eastAsia="zh-CN"/>
              </w:rPr>
              <w:t>WTDC</w:t>
            </w:r>
            <w:r w:rsidR="004B6A8D" w:rsidRPr="000B5641">
              <w:rPr>
                <w:rFonts w:hint="eastAsia"/>
                <w:b w:val="0"/>
                <w:bCs/>
                <w:sz w:val="28"/>
                <w:szCs w:val="28"/>
                <w:lang w:eastAsia="zh-CN"/>
              </w:rPr>
              <w:t>第</w:t>
            </w:r>
            <w:r w:rsidR="004B6A8D" w:rsidRPr="000B5641">
              <w:rPr>
                <w:rFonts w:hint="eastAsia"/>
                <w:b w:val="0"/>
                <w:bCs/>
                <w:sz w:val="28"/>
                <w:szCs w:val="28"/>
                <w:lang w:eastAsia="zh-CN"/>
              </w:rPr>
              <w:t>9</w:t>
            </w:r>
            <w:r w:rsidR="004B6A8D" w:rsidRPr="000B5641">
              <w:rPr>
                <w:rFonts w:hint="eastAsia"/>
                <w:b w:val="0"/>
                <w:bCs/>
                <w:sz w:val="28"/>
                <w:szCs w:val="28"/>
                <w:lang w:eastAsia="zh-CN"/>
              </w:rPr>
              <w:t>号决议</w:t>
            </w:r>
            <w:r w:rsidR="000B5641">
              <w:rPr>
                <w:b w:val="0"/>
                <w:bCs/>
                <w:sz w:val="28"/>
                <w:szCs w:val="28"/>
                <w:lang w:eastAsia="zh-CN"/>
              </w:rPr>
              <w:br/>
            </w:r>
            <w:r w:rsidR="004B6A8D" w:rsidRPr="000B5641">
              <w:rPr>
                <w:rFonts w:hint="eastAsia"/>
                <w:b w:val="0"/>
                <w:bCs/>
                <w:sz w:val="28"/>
                <w:szCs w:val="28"/>
                <w:lang w:eastAsia="zh-CN"/>
              </w:rPr>
              <w:t>（</w:t>
            </w:r>
            <w:r w:rsidR="004B6A8D" w:rsidRPr="000B5641">
              <w:rPr>
                <w:rFonts w:hint="eastAsia"/>
                <w:b w:val="0"/>
                <w:bCs/>
                <w:sz w:val="28"/>
                <w:szCs w:val="28"/>
                <w:lang w:eastAsia="zh-CN"/>
              </w:rPr>
              <w:t>2017</w:t>
            </w:r>
            <w:r w:rsidR="004B6A8D" w:rsidRPr="000B5641">
              <w:rPr>
                <w:rFonts w:hint="eastAsia"/>
                <w:b w:val="0"/>
                <w:bCs/>
                <w:sz w:val="28"/>
                <w:szCs w:val="28"/>
                <w:lang w:eastAsia="zh-CN"/>
              </w:rPr>
              <w:t>年，布宜诺斯艾利斯，修订版）</w:t>
            </w:r>
          </w:p>
        </w:tc>
      </w:tr>
      <w:tr w:rsidR="00175C4C" w:rsidRPr="00C324A8" w:rsidTr="00940EE4">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after="120"/>
              <w:rPr>
                <w:caps/>
                <w:szCs w:val="28"/>
                <w:lang w:eastAsia="zh-CN"/>
              </w:rPr>
            </w:pPr>
          </w:p>
        </w:tc>
      </w:tr>
      <w:tr w:rsidR="00175C4C" w:rsidRPr="00C324A8" w:rsidTr="00940EE4">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054016" w:rsidRDefault="00E64C37" w:rsidP="00175C4C">
            <w:pPr>
              <w:spacing w:before="240"/>
              <w:rPr>
                <w:b/>
                <w:bCs/>
                <w:lang w:eastAsia="zh-CN"/>
              </w:rPr>
            </w:pPr>
            <w:r>
              <w:rPr>
                <w:rFonts w:hint="eastAsia"/>
                <w:b/>
                <w:bCs/>
                <w:lang w:eastAsia="zh-CN"/>
              </w:rPr>
              <w:t>摘</w:t>
            </w:r>
            <w:r w:rsidR="00175C4C" w:rsidRPr="00054016">
              <w:rPr>
                <w:rFonts w:hint="eastAsia"/>
                <w:b/>
                <w:bCs/>
                <w:lang w:eastAsia="zh-CN"/>
              </w:rPr>
              <w:t>要</w:t>
            </w:r>
            <w:r w:rsidR="00175C4C" w:rsidRPr="00054016">
              <w:rPr>
                <w:b/>
                <w:bCs/>
                <w:lang w:eastAsia="zh-CN"/>
              </w:rPr>
              <w:t>：</w:t>
            </w:r>
          </w:p>
          <w:p w:rsidR="00175C4C" w:rsidRPr="00054016" w:rsidRDefault="00232A8C" w:rsidP="000B5641">
            <w:pPr>
              <w:ind w:firstLineChars="200" w:firstLine="480"/>
              <w:rPr>
                <w:b/>
                <w:bCs/>
                <w:lang w:eastAsia="zh-CN"/>
              </w:rPr>
            </w:pPr>
            <w:r>
              <w:rPr>
                <w:rFonts w:hint="eastAsia"/>
                <w:szCs w:val="24"/>
                <w:lang w:eastAsia="zh-CN"/>
              </w:rPr>
              <w:t>本文件总结了国际电联落实第</w:t>
            </w:r>
            <w:r>
              <w:rPr>
                <w:rFonts w:hint="eastAsia"/>
                <w:szCs w:val="24"/>
                <w:lang w:eastAsia="zh-CN"/>
              </w:rPr>
              <w:t>9</w:t>
            </w:r>
            <w:r>
              <w:rPr>
                <w:rFonts w:hint="eastAsia"/>
                <w:szCs w:val="24"/>
                <w:lang w:eastAsia="zh-CN"/>
              </w:rPr>
              <w:t>号决议的各项活动。</w:t>
            </w:r>
          </w:p>
          <w:p w:rsidR="00175C4C" w:rsidRPr="00054016" w:rsidRDefault="00175C4C" w:rsidP="00175C4C">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175C4C" w:rsidRPr="00054016" w:rsidRDefault="002B7047" w:rsidP="000B5641">
            <w:pPr>
              <w:ind w:firstLineChars="200" w:firstLine="480"/>
              <w:rPr>
                <w:b/>
                <w:bCs/>
                <w:lang w:eastAsia="zh-CN"/>
              </w:rPr>
            </w:pPr>
            <w:r w:rsidRPr="00C90C47">
              <w:rPr>
                <w:rFonts w:hint="eastAsia"/>
                <w:lang w:eastAsia="zh-CN"/>
              </w:rPr>
              <w:t>请电信发展顾问组（</w:t>
            </w:r>
            <w:r w:rsidRPr="00C90C47">
              <w:rPr>
                <w:rFonts w:hint="eastAsia"/>
                <w:lang w:eastAsia="zh-CN"/>
              </w:rPr>
              <w:t>TDAG</w:t>
            </w:r>
            <w:r w:rsidR="00232A8C">
              <w:rPr>
                <w:rFonts w:hint="eastAsia"/>
                <w:lang w:eastAsia="zh-CN"/>
              </w:rPr>
              <w:t>）将本文件</w:t>
            </w:r>
            <w:r w:rsidRPr="00C90C47">
              <w:rPr>
                <w:rFonts w:hint="eastAsia"/>
                <w:lang w:eastAsia="zh-CN"/>
              </w:rPr>
              <w:t>记录在案并</w:t>
            </w:r>
            <w:r w:rsidR="005F6971">
              <w:rPr>
                <w:rFonts w:hint="eastAsia"/>
                <w:lang w:eastAsia="zh-CN"/>
              </w:rPr>
              <w:t>在必要时</w:t>
            </w:r>
            <w:r w:rsidRPr="00C90C47">
              <w:rPr>
                <w:rFonts w:hint="eastAsia"/>
                <w:lang w:eastAsia="zh-CN"/>
              </w:rPr>
              <w:t>视情况提出指导意见。</w:t>
            </w:r>
          </w:p>
          <w:p w:rsidR="00175C4C" w:rsidRDefault="00175C4C" w:rsidP="00175C4C">
            <w:pPr>
              <w:spacing w:after="120"/>
              <w:rPr>
                <w:b/>
                <w:bCs/>
                <w:lang w:eastAsia="zh-CN"/>
              </w:rPr>
            </w:pPr>
            <w:r w:rsidRPr="00054016">
              <w:rPr>
                <w:rFonts w:hint="eastAsia"/>
                <w:b/>
                <w:bCs/>
                <w:lang w:eastAsia="zh-CN"/>
              </w:rPr>
              <w:t>参考文件</w:t>
            </w:r>
            <w:r w:rsidRPr="00054016">
              <w:rPr>
                <w:b/>
                <w:bCs/>
                <w:lang w:eastAsia="zh-CN"/>
              </w:rPr>
              <w:t>：</w:t>
            </w:r>
          </w:p>
          <w:p w:rsidR="00232A8C" w:rsidRPr="00D9621A" w:rsidRDefault="00232A8C" w:rsidP="00175C4C">
            <w:pPr>
              <w:spacing w:after="120"/>
              <w:rPr>
                <w:lang w:eastAsia="zh-CN"/>
              </w:rPr>
            </w:pPr>
            <w:r w:rsidRPr="00232A8C">
              <w:rPr>
                <w:rFonts w:hint="eastAsia"/>
                <w:lang w:eastAsia="zh-CN"/>
              </w:rPr>
              <w:t>WTDC</w:t>
            </w:r>
            <w:r w:rsidRPr="00232A8C">
              <w:rPr>
                <w:rFonts w:hint="eastAsia"/>
                <w:lang w:eastAsia="zh-CN"/>
              </w:rPr>
              <w:t>第</w:t>
            </w:r>
            <w:r w:rsidRPr="00232A8C">
              <w:rPr>
                <w:rFonts w:hint="eastAsia"/>
                <w:lang w:eastAsia="zh-CN"/>
              </w:rPr>
              <w:t>9</w:t>
            </w:r>
            <w:r w:rsidRPr="00232A8C">
              <w:rPr>
                <w:rFonts w:hint="eastAsia"/>
                <w:lang w:eastAsia="zh-CN"/>
              </w:rPr>
              <w:t>号决议（</w:t>
            </w:r>
            <w:r w:rsidRPr="00232A8C">
              <w:rPr>
                <w:rFonts w:hint="eastAsia"/>
                <w:lang w:eastAsia="zh-CN"/>
              </w:rPr>
              <w:t>2017</w:t>
            </w:r>
            <w:r w:rsidRPr="00232A8C">
              <w:rPr>
                <w:rFonts w:hint="eastAsia"/>
                <w:lang w:eastAsia="zh-CN"/>
              </w:rPr>
              <w:t>年，布宜诺斯艾利斯，修订版）</w:t>
            </w:r>
          </w:p>
        </w:tc>
      </w:tr>
      <w:bookmarkEnd w:id="7"/>
      <w:bookmarkEnd w:id="8"/>
    </w:tbl>
    <w:p w:rsidR="002B7047" w:rsidRDefault="002B7047">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2B7047" w:rsidRPr="00353E54" w:rsidRDefault="00D84259" w:rsidP="000B5641">
      <w:pPr>
        <w:pStyle w:val="Headingb"/>
        <w:rPr>
          <w:lang w:val="en-US" w:eastAsia="zh-CN"/>
        </w:rPr>
      </w:pPr>
      <w:bookmarkStart w:id="9" w:name="_Toc500930609"/>
      <w:r>
        <w:rPr>
          <w:rFonts w:hint="eastAsia"/>
          <w:lang w:val="en-US" w:eastAsia="zh-CN"/>
        </w:rPr>
        <w:lastRenderedPageBreak/>
        <w:t>引言</w:t>
      </w:r>
    </w:p>
    <w:bookmarkEnd w:id="9"/>
    <w:p w:rsidR="002B7047" w:rsidRPr="00353E54" w:rsidRDefault="00232A8C" w:rsidP="000B5641">
      <w:pPr>
        <w:ind w:firstLineChars="200" w:firstLine="480"/>
        <w:rPr>
          <w:b/>
          <w:lang w:eastAsia="zh-CN"/>
        </w:rPr>
      </w:pPr>
      <w:r>
        <w:rPr>
          <w:rFonts w:hint="eastAsia"/>
          <w:lang w:eastAsia="zh-CN"/>
        </w:rPr>
        <w:t>在</w:t>
      </w:r>
      <w:r w:rsidRPr="00232A8C">
        <w:rPr>
          <w:rFonts w:hint="eastAsia"/>
          <w:lang w:eastAsia="zh-CN"/>
        </w:rPr>
        <w:t>布宜诺斯艾利斯</w:t>
      </w:r>
      <w:r>
        <w:rPr>
          <w:rFonts w:hint="eastAsia"/>
          <w:lang w:eastAsia="zh-CN"/>
        </w:rPr>
        <w:t>召开的</w:t>
      </w:r>
      <w:r w:rsidRPr="00232A8C">
        <w:rPr>
          <w:lang w:eastAsia="zh-CN"/>
        </w:rPr>
        <w:t>WTDC-17</w:t>
      </w:r>
      <w:r>
        <w:rPr>
          <w:rFonts w:hint="eastAsia"/>
          <w:lang w:eastAsia="zh-CN"/>
        </w:rPr>
        <w:t>会议批准了对第</w:t>
      </w:r>
      <w:r>
        <w:rPr>
          <w:rFonts w:hint="eastAsia"/>
          <w:lang w:eastAsia="zh-CN"/>
        </w:rPr>
        <w:t>9</w:t>
      </w:r>
      <w:r>
        <w:rPr>
          <w:rFonts w:hint="eastAsia"/>
          <w:lang w:eastAsia="zh-CN"/>
        </w:rPr>
        <w:t>号决议的修订：各国，特别是发展中国家在频谱管理中的参与。</w:t>
      </w:r>
    </w:p>
    <w:p w:rsidR="002B7047" w:rsidRPr="00353E54" w:rsidRDefault="00232A8C" w:rsidP="002B7047">
      <w:pPr>
        <w:spacing w:after="120"/>
        <w:rPr>
          <w:szCs w:val="24"/>
          <w:lang w:eastAsia="zh-CN"/>
        </w:rPr>
      </w:pPr>
      <w:r>
        <w:rPr>
          <w:rFonts w:hint="eastAsia"/>
          <w:szCs w:val="24"/>
          <w:lang w:eastAsia="zh-CN"/>
        </w:rPr>
        <w:t>决议</w:t>
      </w:r>
    </w:p>
    <w:p w:rsidR="002B7047" w:rsidRPr="00172157" w:rsidRDefault="00E26185" w:rsidP="00172157">
      <w:pPr>
        <w:pStyle w:val="Call"/>
        <w:rPr>
          <w:rFonts w:ascii="STKaiti" w:eastAsia="STKaiti" w:hAnsi="STKaiti"/>
          <w:b/>
          <w:bCs/>
          <w:i w:val="0"/>
          <w:iCs/>
          <w:szCs w:val="24"/>
          <w:highlight w:val="yellow"/>
          <w:lang w:eastAsia="zh-CN"/>
        </w:rPr>
      </w:pPr>
      <w:r w:rsidRPr="00172157">
        <w:rPr>
          <w:rFonts w:ascii="STKaiti" w:eastAsia="STKaiti" w:hAnsi="STKaiti"/>
          <w:i w:val="0"/>
          <w:iCs/>
          <w:lang w:eastAsia="zh-CN"/>
        </w:rPr>
        <w:t>责成电信发展局主任</w:t>
      </w:r>
    </w:p>
    <w:p w:rsidR="002B7047" w:rsidRPr="00DD3870" w:rsidRDefault="00172157" w:rsidP="00172157">
      <w:pPr>
        <w:pStyle w:val="enumlev1"/>
        <w:rPr>
          <w:rFonts w:ascii="Calibri" w:hAnsi="Calibri" w:cs="Calibri"/>
          <w:b/>
          <w:color w:val="800000"/>
          <w:sz w:val="22"/>
          <w:szCs w:val="24"/>
          <w:lang w:eastAsia="zh-CN"/>
        </w:rPr>
      </w:pPr>
      <w:r>
        <w:rPr>
          <w:szCs w:val="24"/>
          <w:lang w:eastAsia="zh-CN"/>
        </w:rPr>
        <w:tab/>
      </w:r>
      <w:r w:rsidR="000918D4">
        <w:rPr>
          <w:szCs w:val="24"/>
          <w:lang w:eastAsia="zh-CN"/>
        </w:rPr>
        <w:t>4</w:t>
      </w:r>
      <w:r w:rsidR="002B7047">
        <w:rPr>
          <w:szCs w:val="24"/>
          <w:lang w:eastAsia="zh-CN"/>
        </w:rPr>
        <w:tab/>
      </w:r>
      <w:r w:rsidR="00E26185">
        <w:rPr>
          <w:rFonts w:hint="eastAsia"/>
          <w:lang w:eastAsia="zh-CN"/>
        </w:rPr>
        <w:t>就本决议的落实情况每年向电信发展顾问组（</w:t>
      </w:r>
      <w:r w:rsidR="00E26185">
        <w:rPr>
          <w:rFonts w:hint="eastAsia"/>
          <w:lang w:eastAsia="zh-CN"/>
        </w:rPr>
        <w:t>TDAG</w:t>
      </w:r>
      <w:r w:rsidR="00E26185">
        <w:rPr>
          <w:rFonts w:hint="eastAsia"/>
          <w:lang w:eastAsia="zh-CN"/>
        </w:rPr>
        <w:t>）提出报告</w:t>
      </w:r>
      <w:r>
        <w:rPr>
          <w:rFonts w:hint="eastAsia"/>
          <w:lang w:eastAsia="zh-CN"/>
        </w:rPr>
        <w:t>。</w:t>
      </w:r>
    </w:p>
    <w:p w:rsidR="00D84259" w:rsidRPr="000B5641" w:rsidRDefault="00D84259" w:rsidP="000B5641">
      <w:pPr>
        <w:pStyle w:val="Headingb"/>
        <w:rPr>
          <w:lang w:val="en-US" w:eastAsia="zh-CN"/>
        </w:rPr>
      </w:pPr>
      <w:r w:rsidRPr="000B5641">
        <w:rPr>
          <w:rFonts w:hint="eastAsia"/>
          <w:lang w:val="en-US" w:eastAsia="zh-CN"/>
        </w:rPr>
        <w:t>落实第</w:t>
      </w:r>
      <w:r w:rsidRPr="000B5641">
        <w:rPr>
          <w:rFonts w:hint="eastAsia"/>
          <w:lang w:val="en-US" w:eastAsia="zh-CN"/>
        </w:rPr>
        <w:t>9</w:t>
      </w:r>
      <w:r w:rsidRPr="000B5641">
        <w:rPr>
          <w:rFonts w:hint="eastAsia"/>
          <w:lang w:val="en-US" w:eastAsia="zh-CN"/>
        </w:rPr>
        <w:t>号决议</w:t>
      </w:r>
    </w:p>
    <w:p w:rsidR="002B7047" w:rsidRPr="00433CF7" w:rsidRDefault="00D84259" w:rsidP="00433CF7">
      <w:pPr>
        <w:ind w:firstLineChars="200" w:firstLine="480"/>
        <w:rPr>
          <w:lang w:eastAsia="zh-CN"/>
        </w:rPr>
      </w:pPr>
      <w:r w:rsidRPr="00433CF7">
        <w:rPr>
          <w:rFonts w:hint="eastAsia"/>
          <w:lang w:eastAsia="zh-CN"/>
        </w:rPr>
        <w:t>本文件总结了国际电联落实第</w:t>
      </w:r>
      <w:r w:rsidRPr="00433CF7">
        <w:rPr>
          <w:rFonts w:hint="eastAsia"/>
          <w:lang w:eastAsia="zh-CN"/>
        </w:rPr>
        <w:t>9</w:t>
      </w:r>
      <w:r w:rsidRPr="00433CF7">
        <w:rPr>
          <w:rFonts w:hint="eastAsia"/>
          <w:lang w:eastAsia="zh-CN"/>
        </w:rPr>
        <w:t>号决议的各项活动。</w:t>
      </w:r>
      <w:bookmarkStart w:id="10" w:name="_Toc403138140"/>
      <w:bookmarkStart w:id="11" w:name="_Toc505610281"/>
      <w:r>
        <w:rPr>
          <w:rFonts w:hint="eastAsia"/>
          <w:lang w:eastAsia="zh-CN"/>
        </w:rPr>
        <w:t>第</w:t>
      </w:r>
      <w:r>
        <w:rPr>
          <w:rFonts w:hint="eastAsia"/>
          <w:lang w:eastAsia="zh-CN"/>
        </w:rPr>
        <w:t>9</w:t>
      </w:r>
      <w:r>
        <w:rPr>
          <w:rFonts w:hint="eastAsia"/>
          <w:lang w:eastAsia="zh-CN"/>
        </w:rPr>
        <w:t>号决议附件</w:t>
      </w:r>
      <w:r>
        <w:rPr>
          <w:rFonts w:hint="eastAsia"/>
          <w:lang w:eastAsia="zh-CN"/>
        </w:rPr>
        <w:t>1</w:t>
      </w:r>
      <w:r>
        <w:rPr>
          <w:rFonts w:hint="eastAsia"/>
          <w:lang w:eastAsia="zh-CN"/>
        </w:rPr>
        <w:t>提供了</w:t>
      </w:r>
      <w:r w:rsidRPr="00433CF7">
        <w:rPr>
          <w:lang w:eastAsia="zh-CN"/>
        </w:rPr>
        <w:t>发展中国家对频谱管理</w:t>
      </w:r>
      <w:bookmarkEnd w:id="10"/>
      <w:bookmarkEnd w:id="11"/>
      <w:r w:rsidRPr="00433CF7">
        <w:rPr>
          <w:rFonts w:hint="eastAsia"/>
          <w:lang w:eastAsia="zh-CN"/>
        </w:rPr>
        <w:t>特殊需求的示例。</w:t>
      </w:r>
    </w:p>
    <w:p w:rsidR="002B7047" w:rsidRPr="00433CF7" w:rsidRDefault="00D84259" w:rsidP="00433CF7">
      <w:pPr>
        <w:ind w:firstLineChars="200" w:firstLine="480"/>
        <w:rPr>
          <w:lang w:eastAsia="zh-CN"/>
        </w:rPr>
      </w:pPr>
      <w:r w:rsidRPr="00433CF7">
        <w:rPr>
          <w:rFonts w:hint="eastAsia"/>
          <w:lang w:eastAsia="zh-CN"/>
        </w:rPr>
        <w:t>主要议题如下</w:t>
      </w:r>
      <w:r w:rsidR="00433CF7">
        <w:rPr>
          <w:lang w:eastAsia="zh-CN"/>
        </w:rPr>
        <w:t>：</w:t>
      </w:r>
    </w:p>
    <w:p w:rsidR="002B7047" w:rsidRPr="00433CF7" w:rsidRDefault="00433CF7" w:rsidP="00433CF7">
      <w:pPr>
        <w:pStyle w:val="enumlev1"/>
        <w:rPr>
          <w:szCs w:val="24"/>
          <w:lang w:eastAsia="zh-CN"/>
        </w:rPr>
      </w:pPr>
      <w:r>
        <w:rPr>
          <w:lang w:eastAsia="zh-CN"/>
        </w:rPr>
        <w:t>1)</w:t>
      </w:r>
      <w:r>
        <w:rPr>
          <w:lang w:eastAsia="zh-CN"/>
        </w:rPr>
        <w:tab/>
      </w:r>
      <w:r w:rsidR="00E26185" w:rsidRPr="00433CF7">
        <w:rPr>
          <w:lang w:eastAsia="zh-CN"/>
        </w:rPr>
        <w:t>帮助各国政策制定机构提高对频谱的有效管理在一国经济和社会发展中重要性的认识</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2)</w:t>
      </w:r>
      <w:r>
        <w:rPr>
          <w:lang w:eastAsia="zh-CN"/>
        </w:rPr>
        <w:tab/>
      </w:r>
      <w:r w:rsidR="00E26185" w:rsidRPr="00433CF7">
        <w:rPr>
          <w:lang w:eastAsia="zh-CN"/>
        </w:rPr>
        <w:t>培训和国际电联现有文件资料的散发</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3)</w:t>
      </w:r>
      <w:r>
        <w:rPr>
          <w:lang w:eastAsia="zh-CN"/>
        </w:rPr>
        <w:tab/>
      </w:r>
      <w:r w:rsidR="00E26185" w:rsidRPr="00433CF7">
        <w:rPr>
          <w:lang w:eastAsia="zh-CN"/>
        </w:rPr>
        <w:t>在制定各国频率划分表和频谱再部署的方法方面提供帮助</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4)</w:t>
      </w:r>
      <w:r>
        <w:rPr>
          <w:lang w:eastAsia="zh-CN"/>
        </w:rPr>
        <w:tab/>
      </w:r>
      <w:r w:rsidR="00E26185" w:rsidRPr="00433CF7">
        <w:rPr>
          <w:lang w:eastAsia="zh-CN"/>
        </w:rPr>
        <w:t>在建立计算机化频率管理和监测系统方面提供帮助</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5)</w:t>
      </w:r>
      <w:r>
        <w:rPr>
          <w:lang w:eastAsia="zh-CN"/>
        </w:rPr>
        <w:tab/>
      </w:r>
      <w:r w:rsidR="00E26185" w:rsidRPr="00433CF7">
        <w:rPr>
          <w:lang w:eastAsia="zh-CN"/>
        </w:rPr>
        <w:t>频谱管理的经济和财务问题</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6)</w:t>
      </w:r>
      <w:r>
        <w:rPr>
          <w:lang w:eastAsia="zh-CN"/>
        </w:rPr>
        <w:tab/>
      </w:r>
      <w:r w:rsidR="00E26185" w:rsidRPr="00433CF7">
        <w:rPr>
          <w:lang w:eastAsia="zh-CN"/>
        </w:rPr>
        <w:t>在世界无线电通信大会（</w:t>
      </w:r>
      <w:r w:rsidR="00E26185" w:rsidRPr="00433CF7">
        <w:rPr>
          <w:lang w:eastAsia="zh-CN"/>
        </w:rPr>
        <w:t>WRC</w:t>
      </w:r>
      <w:r w:rsidR="00E26185" w:rsidRPr="00433CF7">
        <w:rPr>
          <w:lang w:eastAsia="zh-CN"/>
        </w:rPr>
        <w:t>）的筹备和</w:t>
      </w:r>
      <w:r w:rsidR="00E26185" w:rsidRPr="00433CF7">
        <w:rPr>
          <w:lang w:eastAsia="zh-CN"/>
        </w:rPr>
        <w:t>WRC</w:t>
      </w:r>
      <w:r w:rsidR="00E26185" w:rsidRPr="00433CF7">
        <w:rPr>
          <w:lang w:eastAsia="zh-CN"/>
        </w:rPr>
        <w:t>各项决定的跟进和实施方面提供帮助</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7)</w:t>
      </w:r>
      <w:r>
        <w:rPr>
          <w:lang w:eastAsia="zh-CN"/>
        </w:rPr>
        <w:tab/>
      </w:r>
      <w:r w:rsidR="00E26185" w:rsidRPr="00433CF7">
        <w:rPr>
          <w:lang w:eastAsia="zh-CN"/>
        </w:rPr>
        <w:t>在参加</w:t>
      </w:r>
      <w:r w:rsidR="00E26185" w:rsidRPr="00433CF7">
        <w:rPr>
          <w:lang w:eastAsia="zh-CN"/>
        </w:rPr>
        <w:t>ITU-R</w:t>
      </w:r>
      <w:r w:rsidR="00E26185" w:rsidRPr="00433CF7">
        <w:rPr>
          <w:lang w:eastAsia="zh-CN"/>
        </w:rPr>
        <w:t>相关研究组及其工作组的工作方面提供帮助</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8)</w:t>
      </w:r>
      <w:r>
        <w:rPr>
          <w:lang w:eastAsia="zh-CN"/>
        </w:rPr>
        <w:tab/>
      </w:r>
      <w:r w:rsidR="00E26185" w:rsidRPr="00433CF7">
        <w:rPr>
          <w:lang w:eastAsia="zh-CN"/>
        </w:rPr>
        <w:t>向数字地面电视广播过渡</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9)</w:t>
      </w:r>
      <w:r>
        <w:rPr>
          <w:lang w:eastAsia="zh-CN"/>
        </w:rPr>
        <w:tab/>
      </w:r>
      <w:r w:rsidR="00E26185" w:rsidRPr="00433CF7">
        <w:rPr>
          <w:lang w:eastAsia="zh-CN"/>
        </w:rPr>
        <w:t>在确定利用数字红利最有效方法方面提供帮助</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10)</w:t>
      </w:r>
      <w:r>
        <w:rPr>
          <w:lang w:eastAsia="zh-CN"/>
        </w:rPr>
        <w:tab/>
      </w:r>
      <w:r w:rsidR="00E26185" w:rsidRPr="00433CF7">
        <w:rPr>
          <w:lang w:eastAsia="zh-CN"/>
        </w:rPr>
        <w:t>频谱使用方面的新兴技术和方法</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11)</w:t>
      </w:r>
      <w:r>
        <w:rPr>
          <w:lang w:eastAsia="zh-CN"/>
        </w:rPr>
        <w:tab/>
      </w:r>
      <w:r w:rsidR="00E26185" w:rsidRPr="00433CF7">
        <w:rPr>
          <w:lang w:eastAsia="zh-CN"/>
        </w:rPr>
        <w:t>频谱许可创新型的办法</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12)</w:t>
      </w:r>
      <w:r>
        <w:rPr>
          <w:lang w:eastAsia="zh-CN"/>
        </w:rPr>
        <w:tab/>
      </w:r>
      <w:r w:rsidR="00E26185" w:rsidRPr="00433CF7">
        <w:rPr>
          <w:lang w:eastAsia="zh-CN"/>
        </w:rPr>
        <w:t>协助解决设备干扰对国家频谱划分造成损害的问题</w:t>
      </w:r>
      <w:r w:rsidR="008967D5" w:rsidRPr="00433CF7">
        <w:rPr>
          <w:lang w:eastAsia="zh-CN"/>
        </w:rPr>
        <w:t>；</w:t>
      </w:r>
    </w:p>
    <w:p w:rsidR="002B7047" w:rsidRPr="00433CF7" w:rsidRDefault="00433CF7" w:rsidP="00433CF7">
      <w:pPr>
        <w:pStyle w:val="enumlev1"/>
        <w:rPr>
          <w:color w:val="000000"/>
          <w:szCs w:val="24"/>
          <w:lang w:eastAsia="zh-CN"/>
        </w:rPr>
      </w:pPr>
      <w:r>
        <w:rPr>
          <w:lang w:eastAsia="zh-CN"/>
        </w:rPr>
        <w:t>13)</w:t>
      </w:r>
      <w:r>
        <w:rPr>
          <w:lang w:eastAsia="zh-CN"/>
        </w:rPr>
        <w:tab/>
      </w:r>
      <w:r w:rsidR="00E26185" w:rsidRPr="00433CF7">
        <w:rPr>
          <w:lang w:eastAsia="zh-CN"/>
        </w:rPr>
        <w:t>帮助解决因无线电波异常传播而引起的季节性干扰</w:t>
      </w:r>
      <w:r w:rsidR="008967D5" w:rsidRPr="00433CF7">
        <w:rPr>
          <w:lang w:eastAsia="zh-CN"/>
        </w:rPr>
        <w:t>；</w:t>
      </w:r>
    </w:p>
    <w:p w:rsidR="002B7047" w:rsidRPr="00433CF7" w:rsidRDefault="00433CF7" w:rsidP="00433CF7">
      <w:pPr>
        <w:pStyle w:val="enumlev1"/>
        <w:rPr>
          <w:szCs w:val="24"/>
          <w:lang w:eastAsia="zh-CN"/>
        </w:rPr>
      </w:pPr>
      <w:r>
        <w:rPr>
          <w:lang w:eastAsia="zh-CN"/>
        </w:rPr>
        <w:t>14)</w:t>
      </w:r>
      <w:r>
        <w:rPr>
          <w:lang w:eastAsia="zh-CN"/>
        </w:rPr>
        <w:tab/>
      </w:r>
      <w:r w:rsidR="00731643" w:rsidRPr="00433CF7">
        <w:rPr>
          <w:rFonts w:ascii="SimSun" w:eastAsia="SimSun" w:hAnsi="SimSun" w:cs="SimSun" w:hint="eastAsia"/>
          <w:szCs w:val="24"/>
          <w:lang w:eastAsia="zh-CN"/>
        </w:rPr>
        <w:t>发展中国家</w:t>
      </w:r>
      <w:r w:rsidR="00321638" w:rsidRPr="00433CF7">
        <w:rPr>
          <w:rFonts w:ascii="SimSun" w:eastAsia="SimSun" w:hAnsi="SimSun" w:cs="SimSun" w:hint="eastAsia"/>
          <w:szCs w:val="24"/>
          <w:lang w:eastAsia="zh-CN"/>
        </w:rPr>
        <w:t>频谱管理系统（</w:t>
      </w:r>
      <w:r w:rsidR="002B7047" w:rsidRPr="00433CF7">
        <w:rPr>
          <w:szCs w:val="24"/>
          <w:lang w:eastAsia="zh-CN"/>
        </w:rPr>
        <w:t>SMS4DC</w:t>
      </w:r>
      <w:r w:rsidR="00321638" w:rsidRPr="00433CF7">
        <w:rPr>
          <w:rFonts w:asciiTheme="minorEastAsia" w:hAnsiTheme="minorEastAsia" w:hint="eastAsia"/>
          <w:szCs w:val="24"/>
          <w:lang w:eastAsia="zh-CN"/>
        </w:rPr>
        <w:t>）</w:t>
      </w:r>
      <w:r w:rsidR="00D84259" w:rsidRPr="00433CF7">
        <w:rPr>
          <w:rFonts w:asciiTheme="minorEastAsia" w:hAnsiTheme="minorEastAsia" w:hint="eastAsia"/>
          <w:szCs w:val="24"/>
          <w:lang w:eastAsia="zh-CN"/>
        </w:rPr>
        <w:t>的开发和培训</w:t>
      </w:r>
      <w:r w:rsidR="00731643" w:rsidRPr="00433CF7">
        <w:rPr>
          <w:rFonts w:asciiTheme="minorEastAsia" w:hAnsiTheme="minorEastAsia" w:hint="eastAsia"/>
          <w:szCs w:val="24"/>
          <w:lang w:eastAsia="zh-CN"/>
        </w:rPr>
        <w:t>。</w:t>
      </w:r>
    </w:p>
    <w:p w:rsidR="002B7047" w:rsidRPr="00433CF7" w:rsidRDefault="00321638" w:rsidP="00433CF7">
      <w:pPr>
        <w:ind w:firstLineChars="200" w:firstLine="480"/>
        <w:rPr>
          <w:lang w:eastAsia="zh-CN"/>
        </w:rPr>
      </w:pPr>
      <w:r w:rsidRPr="00433CF7">
        <w:rPr>
          <w:rFonts w:hint="eastAsia"/>
          <w:lang w:eastAsia="zh-CN"/>
        </w:rPr>
        <w:t>下面的列表</w:t>
      </w:r>
      <w:r w:rsidRPr="00433CF7">
        <w:rPr>
          <w:rFonts w:hint="eastAsia"/>
          <w:lang w:eastAsia="zh-CN"/>
        </w:rPr>
        <w:t>1</w:t>
      </w:r>
      <w:r w:rsidRPr="00433CF7">
        <w:rPr>
          <w:rFonts w:hint="eastAsia"/>
          <w:lang w:eastAsia="zh-CN"/>
        </w:rPr>
        <w:t>概述了按主题提供援助的案例数量。有关详细信息，请参阅本文件附件中的表格</w:t>
      </w:r>
      <w:r w:rsidR="00433CF7">
        <w:rPr>
          <w:lang w:eastAsia="zh-CN"/>
        </w:rPr>
        <w:t>（</w:t>
      </w:r>
      <w:r w:rsidRPr="00433CF7">
        <w:rPr>
          <w:rFonts w:hint="eastAsia"/>
          <w:lang w:eastAsia="zh-CN"/>
        </w:rPr>
        <w:t>INF/4</w:t>
      </w:r>
      <w:r w:rsidRPr="00433CF7">
        <w:rPr>
          <w:rFonts w:hint="eastAsia"/>
          <w:lang w:eastAsia="zh-CN"/>
        </w:rPr>
        <w:t>号文件</w:t>
      </w:r>
      <w:r w:rsidR="00433CF7">
        <w:rPr>
          <w:rFonts w:hint="eastAsia"/>
          <w:lang w:eastAsia="zh-CN"/>
        </w:rPr>
        <w:t>）</w:t>
      </w:r>
      <w:r w:rsidRPr="00433CF7">
        <w:rPr>
          <w:rFonts w:hint="eastAsia"/>
          <w:lang w:eastAsia="zh-CN"/>
        </w:rPr>
        <w:t>，该表格按区域汇总了在频谱管理问题上向各国提供的援助。</w:t>
      </w:r>
    </w:p>
    <w:p w:rsidR="002B7047" w:rsidRPr="00433CF7" w:rsidRDefault="00321638" w:rsidP="00433CF7">
      <w:pPr>
        <w:ind w:firstLineChars="200" w:firstLine="480"/>
        <w:rPr>
          <w:lang w:eastAsia="zh-CN"/>
        </w:rPr>
      </w:pPr>
      <w:r w:rsidRPr="00433CF7">
        <w:rPr>
          <w:rFonts w:hint="eastAsia"/>
          <w:lang w:eastAsia="zh-CN"/>
        </w:rPr>
        <w:t>今年，韩国项目中的直接国家援助将继续进行国家频谱管理系统开发和频谱管理培训</w:t>
      </w:r>
      <w:r w:rsidR="000C295B" w:rsidRPr="00433CF7">
        <w:rPr>
          <w:rFonts w:hint="eastAsia"/>
          <w:lang w:eastAsia="zh-CN"/>
        </w:rPr>
        <w:t>以及</w:t>
      </w:r>
      <w:r w:rsidRPr="00433CF7">
        <w:rPr>
          <w:rFonts w:hint="eastAsia"/>
          <w:lang w:eastAsia="zh-CN"/>
        </w:rPr>
        <w:t>数字广播过渡</w:t>
      </w:r>
      <w:r w:rsidR="00433CF7">
        <w:rPr>
          <w:rFonts w:hint="eastAsia"/>
          <w:lang w:eastAsia="zh-CN"/>
        </w:rPr>
        <w:t>（</w:t>
      </w:r>
      <w:r w:rsidRPr="00433CF7">
        <w:rPr>
          <w:rFonts w:hint="eastAsia"/>
          <w:lang w:eastAsia="zh-CN"/>
        </w:rPr>
        <w:t>包括更新</w:t>
      </w:r>
      <w:r w:rsidRPr="00433CF7">
        <w:rPr>
          <w:rFonts w:hint="eastAsia"/>
          <w:lang w:eastAsia="zh-CN"/>
        </w:rPr>
        <w:t>DSO</w:t>
      </w:r>
      <w:r w:rsidRPr="00433CF7">
        <w:rPr>
          <w:rFonts w:hint="eastAsia"/>
          <w:lang w:eastAsia="zh-CN"/>
        </w:rPr>
        <w:t>数据库</w:t>
      </w:r>
      <w:r w:rsidR="00433CF7">
        <w:rPr>
          <w:rFonts w:hint="eastAsia"/>
          <w:lang w:eastAsia="zh-CN"/>
        </w:rPr>
        <w:t>）</w:t>
      </w:r>
      <w:r w:rsidR="000C295B" w:rsidRPr="00433CF7">
        <w:rPr>
          <w:rFonts w:hint="eastAsia"/>
          <w:lang w:eastAsia="zh-CN"/>
        </w:rPr>
        <w:t>。将</w:t>
      </w:r>
      <w:r w:rsidRPr="00433CF7">
        <w:rPr>
          <w:rFonts w:hint="eastAsia"/>
          <w:lang w:eastAsia="zh-CN"/>
        </w:rPr>
        <w:t>举办</w:t>
      </w:r>
      <w:r w:rsidR="007A542E" w:rsidRPr="00433CF7">
        <w:rPr>
          <w:rFonts w:hint="eastAsia"/>
          <w:lang w:eastAsia="zh-CN"/>
        </w:rPr>
        <w:t>一次</w:t>
      </w:r>
      <w:r w:rsidR="000C295B" w:rsidRPr="00433CF7">
        <w:rPr>
          <w:rFonts w:hint="eastAsia"/>
          <w:lang w:eastAsia="zh-CN"/>
        </w:rPr>
        <w:t>发展中国家</w:t>
      </w:r>
      <w:r w:rsidRPr="00433CF7">
        <w:rPr>
          <w:rFonts w:hint="eastAsia"/>
          <w:lang w:eastAsia="zh-CN"/>
        </w:rPr>
        <w:t>5G</w:t>
      </w:r>
      <w:r w:rsidR="000C295B" w:rsidRPr="00433CF7">
        <w:rPr>
          <w:rFonts w:hint="eastAsia"/>
          <w:lang w:eastAsia="zh-CN"/>
        </w:rPr>
        <w:t>技术专题讲习班和关于</w:t>
      </w:r>
      <w:r w:rsidRPr="00433CF7">
        <w:rPr>
          <w:rFonts w:hint="eastAsia"/>
          <w:lang w:eastAsia="zh-CN"/>
        </w:rPr>
        <w:t>混合基础设施和负担得起的宽带接入技术</w:t>
      </w:r>
      <w:r w:rsidR="000C295B" w:rsidRPr="00433CF7">
        <w:rPr>
          <w:rFonts w:hint="eastAsia"/>
          <w:lang w:eastAsia="zh-CN"/>
        </w:rPr>
        <w:t>的专题讲习班</w:t>
      </w:r>
      <w:r w:rsidRPr="00433CF7">
        <w:rPr>
          <w:rFonts w:hint="eastAsia"/>
          <w:lang w:eastAsia="zh-CN"/>
        </w:rPr>
        <w:t>，并将进一步开发发展中国家频谱管理系统；</w:t>
      </w:r>
    </w:p>
    <w:p w:rsidR="00F166C1" w:rsidRPr="000C295B" w:rsidRDefault="00F166C1" w:rsidP="00181B23">
      <w:pPr>
        <w:ind w:firstLineChars="200" w:firstLine="480"/>
        <w:rPr>
          <w:lang w:eastAsia="zh-CN"/>
        </w:rPr>
      </w:pPr>
      <w:r w:rsidRPr="000C295B">
        <w:rPr>
          <w:rFonts w:hint="eastAsia"/>
          <w:lang w:eastAsia="zh-CN"/>
        </w:rPr>
        <w:t>此外，我们将</w:t>
      </w:r>
      <w:r w:rsidR="000C295B" w:rsidRPr="000C295B">
        <w:rPr>
          <w:rFonts w:hint="eastAsia"/>
          <w:lang w:eastAsia="zh-CN"/>
        </w:rPr>
        <w:t>致力于落实</w:t>
      </w:r>
      <w:r w:rsidRPr="000C295B">
        <w:rPr>
          <w:rFonts w:hint="eastAsia"/>
          <w:lang w:eastAsia="zh-CN"/>
        </w:rPr>
        <w:t>ITU-EU</w:t>
      </w:r>
      <w:r w:rsidRPr="000C295B">
        <w:rPr>
          <w:rFonts w:hint="eastAsia"/>
          <w:lang w:eastAsia="zh-CN"/>
        </w:rPr>
        <w:t>项目</w:t>
      </w:r>
      <w:r w:rsidR="00181B23">
        <w:rPr>
          <w:lang w:eastAsia="zh-CN"/>
        </w:rPr>
        <w:t xml:space="preserve"> –</w:t>
      </w:r>
      <w:r w:rsidRPr="000C295B">
        <w:rPr>
          <w:rFonts w:hint="eastAsia"/>
          <w:lang w:eastAsia="zh-CN"/>
        </w:rPr>
        <w:t>“</w:t>
      </w:r>
      <w:r w:rsidRPr="00181B23">
        <w:rPr>
          <w:rFonts w:hint="eastAsia"/>
          <w:lang w:eastAsia="zh-CN"/>
        </w:rPr>
        <w:t>通过改善和协调频谱的使用和监管，</w:t>
      </w:r>
      <w:r w:rsidR="007A542E" w:rsidRPr="00181B23">
        <w:rPr>
          <w:rFonts w:hint="eastAsia"/>
          <w:lang w:eastAsia="zh-CN"/>
        </w:rPr>
        <w:t>来</w:t>
      </w:r>
      <w:r w:rsidRPr="00181B23">
        <w:rPr>
          <w:rFonts w:hint="eastAsia"/>
          <w:lang w:eastAsia="zh-CN"/>
        </w:rPr>
        <w:t>提高无线宽带服务的普及率”</w:t>
      </w:r>
      <w:r w:rsidR="00181B23">
        <w:rPr>
          <w:lang w:eastAsia="zh-CN"/>
        </w:rPr>
        <w:t>（</w:t>
      </w:r>
      <w:r w:rsidR="00181B23">
        <w:rPr>
          <w:lang w:eastAsia="zh-CN"/>
        </w:rPr>
        <w:t>PRIDA</w:t>
      </w:r>
      <w:r w:rsidR="00181B23">
        <w:rPr>
          <w:lang w:eastAsia="zh-CN"/>
        </w:rPr>
        <w:t>）</w:t>
      </w:r>
      <w:r w:rsidRPr="00181B23">
        <w:rPr>
          <w:rFonts w:hint="eastAsia"/>
          <w:lang w:eastAsia="zh-CN"/>
        </w:rPr>
        <w:t>。</w:t>
      </w:r>
    </w:p>
    <w:p w:rsidR="00181B23" w:rsidRDefault="00181B23">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2B7047" w:rsidRDefault="00321638" w:rsidP="00181B23">
      <w:pPr>
        <w:pStyle w:val="Tabletitle"/>
        <w:jc w:val="left"/>
        <w:rPr>
          <w:szCs w:val="24"/>
          <w:lang w:eastAsia="zh-CN"/>
        </w:rPr>
      </w:pPr>
      <w:r>
        <w:rPr>
          <w:rFonts w:hint="eastAsia"/>
          <w:lang w:eastAsia="zh-CN"/>
        </w:rPr>
        <w:lastRenderedPageBreak/>
        <w:t>列表</w:t>
      </w:r>
      <w:r w:rsidR="002B7047">
        <w:rPr>
          <w:lang w:eastAsia="zh-CN"/>
        </w:rPr>
        <w:t>1</w:t>
      </w:r>
      <w:r w:rsidR="00181B23">
        <w:rPr>
          <w:rFonts w:hint="eastAsia"/>
          <w:lang w:eastAsia="zh-CN"/>
        </w:rPr>
        <w:t xml:space="preserve"> </w:t>
      </w:r>
      <w:r w:rsidR="00181B23">
        <w:rPr>
          <w:lang w:eastAsia="zh-CN"/>
        </w:rPr>
        <w:t xml:space="preserve">– </w:t>
      </w:r>
      <w:r>
        <w:rPr>
          <w:rFonts w:hint="eastAsia"/>
          <w:lang w:eastAsia="zh-CN"/>
        </w:rPr>
        <w:t>按</w:t>
      </w:r>
      <w:r w:rsidR="00091A84">
        <w:rPr>
          <w:rFonts w:hint="eastAsia"/>
          <w:lang w:eastAsia="zh-CN"/>
        </w:rPr>
        <w:t>议</w:t>
      </w:r>
      <w:r>
        <w:rPr>
          <w:rFonts w:hint="eastAsia"/>
          <w:lang w:eastAsia="zh-CN"/>
        </w:rPr>
        <w:t>题提供</w:t>
      </w:r>
      <w:r w:rsidR="00181B23">
        <w:rPr>
          <w:rFonts w:hint="eastAsia"/>
          <w:lang w:eastAsia="zh-CN"/>
        </w:rPr>
        <w:t>帮</w:t>
      </w:r>
      <w:r>
        <w:rPr>
          <w:rFonts w:hint="eastAsia"/>
          <w:lang w:eastAsia="zh-CN"/>
        </w:rPr>
        <w:t>助的案例数量概览</w:t>
      </w:r>
    </w:p>
    <w:tbl>
      <w:tblPr>
        <w:tblStyle w:val="TableGrid"/>
        <w:tblW w:w="0" w:type="auto"/>
        <w:jc w:val="center"/>
        <w:tblLook w:val="04A0" w:firstRow="1" w:lastRow="0" w:firstColumn="1" w:lastColumn="0" w:noHBand="0" w:noVBand="1"/>
      </w:tblPr>
      <w:tblGrid>
        <w:gridCol w:w="7650"/>
        <w:gridCol w:w="1979"/>
      </w:tblGrid>
      <w:tr w:rsidR="002B7047" w:rsidRPr="00582F30" w:rsidTr="00737F89">
        <w:trPr>
          <w:jc w:val="center"/>
        </w:trPr>
        <w:tc>
          <w:tcPr>
            <w:tcW w:w="7650" w:type="dxa"/>
            <w:vAlign w:val="center"/>
          </w:tcPr>
          <w:p w:rsidR="002B7047" w:rsidRPr="00582F30" w:rsidRDefault="00091A84" w:rsidP="00181B23">
            <w:pPr>
              <w:pStyle w:val="Tablehead"/>
            </w:pPr>
            <w:r>
              <w:rPr>
                <w:rFonts w:hint="eastAsia"/>
                <w:lang w:eastAsia="zh-CN"/>
              </w:rPr>
              <w:t>议</w:t>
            </w:r>
            <w:r w:rsidR="00321638">
              <w:rPr>
                <w:rFonts w:hint="eastAsia"/>
                <w:lang w:eastAsia="zh-CN"/>
              </w:rPr>
              <w:t>题</w:t>
            </w:r>
          </w:p>
        </w:tc>
        <w:tc>
          <w:tcPr>
            <w:tcW w:w="1979" w:type="dxa"/>
          </w:tcPr>
          <w:p w:rsidR="002B7047" w:rsidRPr="00582F30" w:rsidRDefault="00321638" w:rsidP="00181B23">
            <w:pPr>
              <w:pStyle w:val="Tablehead"/>
            </w:pPr>
            <w:r>
              <w:rPr>
                <w:rFonts w:hint="eastAsia"/>
                <w:lang w:eastAsia="zh-CN"/>
              </w:rPr>
              <w:t>活动次数</w:t>
            </w:r>
          </w:p>
        </w:tc>
      </w:tr>
      <w:tr w:rsidR="00181B23" w:rsidRPr="00582F30" w:rsidTr="00737F89">
        <w:trPr>
          <w:jc w:val="center"/>
        </w:trPr>
        <w:tc>
          <w:tcPr>
            <w:tcW w:w="7650" w:type="dxa"/>
          </w:tcPr>
          <w:p w:rsidR="00181B23" w:rsidRPr="0018445D" w:rsidRDefault="00181B23" w:rsidP="00181B23">
            <w:pPr>
              <w:pStyle w:val="Tabletext"/>
              <w:tabs>
                <w:tab w:val="clear" w:pos="284"/>
              </w:tabs>
              <w:rPr>
                <w:rFonts w:hint="eastAsia"/>
                <w:szCs w:val="24"/>
                <w:lang w:eastAsia="zh-CN"/>
              </w:rPr>
            </w:pPr>
            <w:r>
              <w:rPr>
                <w:lang w:eastAsia="zh-CN"/>
              </w:rPr>
              <w:t>1</w:t>
            </w:r>
            <w:r>
              <w:rPr>
                <w:szCs w:val="24"/>
                <w:lang w:eastAsia="zh-CN"/>
              </w:rPr>
              <w:tab/>
            </w:r>
            <w:r w:rsidRPr="0018445D">
              <w:rPr>
                <w:lang w:eastAsia="zh-CN"/>
              </w:rPr>
              <w:t>帮助各国政策制定机构提高对频谱的有效管理在一国经济和社会发展中重要性的认识</w:t>
            </w:r>
          </w:p>
        </w:tc>
        <w:tc>
          <w:tcPr>
            <w:tcW w:w="1979" w:type="dxa"/>
          </w:tcPr>
          <w:p w:rsidR="00181B23" w:rsidRPr="002926BE" w:rsidRDefault="00181B23" w:rsidP="00181B23">
            <w:pPr>
              <w:pStyle w:val="Tabletext"/>
              <w:ind w:left="284" w:hanging="284"/>
              <w:jc w:val="center"/>
              <w:rPr>
                <w:szCs w:val="22"/>
              </w:rPr>
            </w:pPr>
            <w:r w:rsidRPr="002926BE">
              <w:rPr>
                <w:szCs w:val="22"/>
              </w:rPr>
              <w:t>40</w:t>
            </w:r>
          </w:p>
        </w:tc>
      </w:tr>
      <w:tr w:rsidR="00181B23" w:rsidRPr="00582F30" w:rsidTr="00737F89">
        <w:trPr>
          <w:jc w:val="center"/>
        </w:trPr>
        <w:tc>
          <w:tcPr>
            <w:tcW w:w="7650" w:type="dxa"/>
          </w:tcPr>
          <w:p w:rsidR="00181B23" w:rsidRPr="0018445D" w:rsidRDefault="00181B23" w:rsidP="00181B23">
            <w:pPr>
              <w:pStyle w:val="Tabletext"/>
              <w:tabs>
                <w:tab w:val="clear" w:pos="284"/>
              </w:tabs>
              <w:rPr>
                <w:rFonts w:hint="eastAsia"/>
                <w:color w:val="000000"/>
                <w:szCs w:val="24"/>
                <w:lang w:eastAsia="zh-CN"/>
              </w:rPr>
            </w:pPr>
            <w:r>
              <w:rPr>
                <w:lang w:eastAsia="zh-CN"/>
              </w:rPr>
              <w:t>2</w:t>
            </w:r>
            <w:r>
              <w:rPr>
                <w:szCs w:val="24"/>
                <w:lang w:eastAsia="zh-CN"/>
              </w:rPr>
              <w:tab/>
            </w:r>
            <w:r w:rsidRPr="0018445D">
              <w:rPr>
                <w:lang w:eastAsia="zh-CN"/>
              </w:rPr>
              <w:t>培训和国际电联现有文件资料的散发</w:t>
            </w:r>
          </w:p>
        </w:tc>
        <w:tc>
          <w:tcPr>
            <w:tcW w:w="1979" w:type="dxa"/>
          </w:tcPr>
          <w:p w:rsidR="00181B23" w:rsidRPr="002926BE" w:rsidRDefault="00181B23" w:rsidP="00181B23">
            <w:pPr>
              <w:pStyle w:val="Tabletext"/>
              <w:ind w:left="284" w:hanging="284"/>
              <w:jc w:val="center"/>
              <w:rPr>
                <w:szCs w:val="22"/>
              </w:rPr>
            </w:pPr>
            <w:r w:rsidRPr="002926BE">
              <w:rPr>
                <w:szCs w:val="22"/>
              </w:rPr>
              <w:t>16</w:t>
            </w:r>
          </w:p>
        </w:tc>
      </w:tr>
      <w:tr w:rsidR="00181B23" w:rsidRPr="00582F30" w:rsidTr="00737F89">
        <w:trPr>
          <w:jc w:val="center"/>
        </w:trPr>
        <w:tc>
          <w:tcPr>
            <w:tcW w:w="7650" w:type="dxa"/>
          </w:tcPr>
          <w:p w:rsidR="00181B23" w:rsidRPr="0018445D" w:rsidRDefault="00181B23" w:rsidP="00181B23">
            <w:pPr>
              <w:pStyle w:val="Tabletext"/>
              <w:tabs>
                <w:tab w:val="clear" w:pos="284"/>
              </w:tabs>
              <w:rPr>
                <w:rFonts w:hint="eastAsia"/>
                <w:color w:val="000000"/>
                <w:szCs w:val="24"/>
                <w:lang w:eastAsia="zh-CN"/>
              </w:rPr>
            </w:pPr>
            <w:r>
              <w:rPr>
                <w:lang w:eastAsia="zh-CN"/>
              </w:rPr>
              <w:t>3</w:t>
            </w:r>
            <w:r>
              <w:rPr>
                <w:szCs w:val="24"/>
                <w:lang w:eastAsia="zh-CN"/>
              </w:rPr>
              <w:tab/>
            </w:r>
            <w:r w:rsidRPr="0018445D">
              <w:rPr>
                <w:lang w:eastAsia="zh-CN"/>
              </w:rPr>
              <w:t>在制定各国频率划分表和频谱再部署的方法方面提供帮助</w:t>
            </w:r>
          </w:p>
        </w:tc>
        <w:tc>
          <w:tcPr>
            <w:tcW w:w="1979" w:type="dxa"/>
          </w:tcPr>
          <w:p w:rsidR="00181B23" w:rsidRPr="002926BE" w:rsidRDefault="00181B23" w:rsidP="00181B23">
            <w:pPr>
              <w:pStyle w:val="Tabletext"/>
              <w:ind w:left="284" w:hanging="284"/>
              <w:jc w:val="center"/>
              <w:rPr>
                <w:szCs w:val="22"/>
              </w:rPr>
            </w:pPr>
            <w:r w:rsidRPr="002926BE">
              <w:rPr>
                <w:szCs w:val="22"/>
              </w:rPr>
              <w:t>16</w:t>
            </w:r>
          </w:p>
        </w:tc>
      </w:tr>
      <w:tr w:rsidR="00181B23" w:rsidRPr="00582F30" w:rsidTr="00737F89">
        <w:trPr>
          <w:jc w:val="center"/>
        </w:trPr>
        <w:tc>
          <w:tcPr>
            <w:tcW w:w="7650" w:type="dxa"/>
          </w:tcPr>
          <w:p w:rsidR="00181B23" w:rsidRPr="0018445D" w:rsidRDefault="00181B23" w:rsidP="00181B23">
            <w:pPr>
              <w:pStyle w:val="Tabletext"/>
              <w:tabs>
                <w:tab w:val="clear" w:pos="284"/>
              </w:tabs>
              <w:rPr>
                <w:rFonts w:hint="eastAsia"/>
                <w:color w:val="000000"/>
                <w:szCs w:val="24"/>
                <w:lang w:eastAsia="zh-CN"/>
              </w:rPr>
            </w:pPr>
            <w:r>
              <w:rPr>
                <w:lang w:eastAsia="zh-CN"/>
              </w:rPr>
              <w:t>4</w:t>
            </w:r>
            <w:r>
              <w:rPr>
                <w:szCs w:val="24"/>
                <w:lang w:eastAsia="zh-CN"/>
              </w:rPr>
              <w:tab/>
            </w:r>
            <w:r w:rsidRPr="0018445D">
              <w:rPr>
                <w:lang w:eastAsia="zh-CN"/>
              </w:rPr>
              <w:t>在建立计算机化频率管理和监测系统方面提供帮助</w:t>
            </w:r>
          </w:p>
        </w:tc>
        <w:tc>
          <w:tcPr>
            <w:tcW w:w="1979" w:type="dxa"/>
          </w:tcPr>
          <w:p w:rsidR="00181B23" w:rsidRPr="002926BE" w:rsidRDefault="00181B23" w:rsidP="00181B23">
            <w:pPr>
              <w:pStyle w:val="Tabletext"/>
              <w:ind w:left="284" w:hanging="284"/>
              <w:jc w:val="center"/>
              <w:rPr>
                <w:szCs w:val="22"/>
              </w:rPr>
            </w:pPr>
            <w:r w:rsidRPr="002926BE">
              <w:rPr>
                <w:szCs w:val="22"/>
              </w:rPr>
              <w:t>5</w:t>
            </w:r>
          </w:p>
        </w:tc>
      </w:tr>
      <w:tr w:rsidR="00181B23" w:rsidRPr="00582F30" w:rsidTr="00737F89">
        <w:trPr>
          <w:jc w:val="center"/>
        </w:trPr>
        <w:tc>
          <w:tcPr>
            <w:tcW w:w="7650" w:type="dxa"/>
          </w:tcPr>
          <w:p w:rsidR="00181B23" w:rsidRPr="0018445D" w:rsidRDefault="00181B23" w:rsidP="00181B23">
            <w:pPr>
              <w:pStyle w:val="Tabletext"/>
              <w:tabs>
                <w:tab w:val="clear" w:pos="284"/>
              </w:tabs>
              <w:rPr>
                <w:rFonts w:hint="eastAsia"/>
                <w:color w:val="000000"/>
                <w:szCs w:val="24"/>
                <w:lang w:eastAsia="zh-CN"/>
              </w:rPr>
            </w:pPr>
            <w:r>
              <w:rPr>
                <w:lang w:eastAsia="zh-CN"/>
              </w:rPr>
              <w:t>5</w:t>
            </w:r>
            <w:r>
              <w:rPr>
                <w:szCs w:val="24"/>
                <w:lang w:eastAsia="zh-CN"/>
              </w:rPr>
              <w:tab/>
            </w:r>
            <w:r w:rsidRPr="0018445D">
              <w:rPr>
                <w:lang w:eastAsia="zh-CN"/>
              </w:rPr>
              <w:t>频谱管理的经济和财务问题</w:t>
            </w:r>
          </w:p>
        </w:tc>
        <w:tc>
          <w:tcPr>
            <w:tcW w:w="1979" w:type="dxa"/>
          </w:tcPr>
          <w:p w:rsidR="00181B23" w:rsidRPr="002926BE" w:rsidRDefault="00181B23" w:rsidP="00181B23">
            <w:pPr>
              <w:pStyle w:val="Tabletext"/>
              <w:ind w:left="284" w:hanging="284"/>
              <w:jc w:val="center"/>
              <w:rPr>
                <w:szCs w:val="22"/>
              </w:rPr>
            </w:pPr>
            <w:r w:rsidRPr="002926BE">
              <w:rPr>
                <w:szCs w:val="22"/>
              </w:rPr>
              <w:t>17</w:t>
            </w:r>
          </w:p>
        </w:tc>
      </w:tr>
      <w:tr w:rsidR="00181B23" w:rsidRPr="00582F30" w:rsidTr="00737F89">
        <w:trPr>
          <w:jc w:val="center"/>
        </w:trPr>
        <w:tc>
          <w:tcPr>
            <w:tcW w:w="7650" w:type="dxa"/>
          </w:tcPr>
          <w:p w:rsidR="00181B23" w:rsidRPr="0018445D" w:rsidRDefault="00181B23" w:rsidP="00181B23">
            <w:pPr>
              <w:pStyle w:val="Tabletext"/>
              <w:tabs>
                <w:tab w:val="clear" w:pos="284"/>
              </w:tabs>
              <w:rPr>
                <w:rFonts w:hint="eastAsia"/>
                <w:color w:val="000000"/>
                <w:szCs w:val="24"/>
                <w:lang w:eastAsia="zh-CN"/>
              </w:rPr>
            </w:pPr>
            <w:r>
              <w:rPr>
                <w:lang w:eastAsia="zh-CN"/>
              </w:rPr>
              <w:t>6</w:t>
            </w:r>
            <w:r>
              <w:rPr>
                <w:szCs w:val="24"/>
                <w:lang w:eastAsia="zh-CN"/>
              </w:rPr>
              <w:tab/>
            </w:r>
            <w:r w:rsidRPr="0018445D">
              <w:rPr>
                <w:lang w:eastAsia="zh-CN"/>
              </w:rPr>
              <w:t>在世界无线电通信大会（</w:t>
            </w:r>
            <w:r w:rsidRPr="0018445D">
              <w:rPr>
                <w:lang w:eastAsia="zh-CN"/>
              </w:rPr>
              <w:t>WRC</w:t>
            </w:r>
            <w:r w:rsidRPr="0018445D">
              <w:rPr>
                <w:lang w:eastAsia="zh-CN"/>
              </w:rPr>
              <w:t>）的筹备和</w:t>
            </w:r>
            <w:r w:rsidRPr="0018445D">
              <w:rPr>
                <w:lang w:eastAsia="zh-CN"/>
              </w:rPr>
              <w:t>WRC</w:t>
            </w:r>
            <w:r w:rsidRPr="0018445D">
              <w:rPr>
                <w:lang w:eastAsia="zh-CN"/>
              </w:rPr>
              <w:t>各项决定的跟进和实施方面提供帮助</w:t>
            </w:r>
          </w:p>
        </w:tc>
        <w:tc>
          <w:tcPr>
            <w:tcW w:w="1979" w:type="dxa"/>
          </w:tcPr>
          <w:p w:rsidR="00181B23" w:rsidRPr="002926BE" w:rsidRDefault="00181B23" w:rsidP="00181B23">
            <w:pPr>
              <w:pStyle w:val="Tabletext"/>
              <w:ind w:left="284" w:hanging="284"/>
              <w:jc w:val="center"/>
              <w:rPr>
                <w:szCs w:val="22"/>
              </w:rPr>
            </w:pPr>
            <w:r w:rsidRPr="002926BE">
              <w:rPr>
                <w:szCs w:val="22"/>
              </w:rPr>
              <w:t>14</w:t>
            </w:r>
          </w:p>
        </w:tc>
      </w:tr>
      <w:tr w:rsidR="00181B23" w:rsidRPr="00582F30" w:rsidTr="00737F89">
        <w:trPr>
          <w:jc w:val="center"/>
        </w:trPr>
        <w:tc>
          <w:tcPr>
            <w:tcW w:w="7650" w:type="dxa"/>
          </w:tcPr>
          <w:p w:rsidR="00181B23" w:rsidRPr="0018445D" w:rsidRDefault="00181B23" w:rsidP="00181B23">
            <w:pPr>
              <w:pStyle w:val="Tabletext"/>
              <w:tabs>
                <w:tab w:val="clear" w:pos="284"/>
              </w:tabs>
              <w:rPr>
                <w:rFonts w:hint="eastAsia"/>
                <w:color w:val="000000"/>
                <w:szCs w:val="24"/>
                <w:lang w:eastAsia="zh-CN"/>
              </w:rPr>
            </w:pPr>
            <w:r>
              <w:rPr>
                <w:lang w:eastAsia="zh-CN"/>
              </w:rPr>
              <w:t>7</w:t>
            </w:r>
            <w:r>
              <w:rPr>
                <w:szCs w:val="24"/>
                <w:lang w:eastAsia="zh-CN"/>
              </w:rPr>
              <w:tab/>
            </w:r>
            <w:r w:rsidRPr="0018445D">
              <w:rPr>
                <w:lang w:eastAsia="zh-CN"/>
              </w:rPr>
              <w:t>在参加</w:t>
            </w:r>
            <w:r w:rsidRPr="0018445D">
              <w:rPr>
                <w:lang w:eastAsia="zh-CN"/>
              </w:rPr>
              <w:t>ITU-R</w:t>
            </w:r>
            <w:r w:rsidRPr="0018445D">
              <w:rPr>
                <w:lang w:eastAsia="zh-CN"/>
              </w:rPr>
              <w:t>相关研究组及其工作组的工作方面提供帮助</w:t>
            </w:r>
          </w:p>
        </w:tc>
        <w:tc>
          <w:tcPr>
            <w:tcW w:w="1979" w:type="dxa"/>
          </w:tcPr>
          <w:p w:rsidR="00181B23" w:rsidRPr="002926BE" w:rsidRDefault="00181B23" w:rsidP="00181B23">
            <w:pPr>
              <w:pStyle w:val="Tabletext"/>
              <w:ind w:left="284" w:hanging="284"/>
              <w:jc w:val="center"/>
              <w:rPr>
                <w:szCs w:val="22"/>
              </w:rPr>
            </w:pPr>
            <w:r w:rsidRPr="002926BE">
              <w:rPr>
                <w:szCs w:val="22"/>
              </w:rPr>
              <w:t>9</w:t>
            </w:r>
          </w:p>
        </w:tc>
      </w:tr>
      <w:tr w:rsidR="00181B23" w:rsidRPr="00582F30" w:rsidTr="00737F89">
        <w:trPr>
          <w:jc w:val="center"/>
        </w:trPr>
        <w:tc>
          <w:tcPr>
            <w:tcW w:w="7650" w:type="dxa"/>
          </w:tcPr>
          <w:p w:rsidR="00181B23" w:rsidRPr="0018445D" w:rsidRDefault="00181B23" w:rsidP="00181B23">
            <w:pPr>
              <w:pStyle w:val="Tabletext"/>
              <w:tabs>
                <w:tab w:val="clear" w:pos="284"/>
              </w:tabs>
              <w:rPr>
                <w:rFonts w:hint="eastAsia"/>
                <w:color w:val="000000"/>
                <w:szCs w:val="24"/>
                <w:lang w:eastAsia="zh-CN"/>
              </w:rPr>
            </w:pPr>
            <w:r>
              <w:rPr>
                <w:lang w:eastAsia="zh-CN"/>
              </w:rPr>
              <w:t>8</w:t>
            </w:r>
            <w:r>
              <w:rPr>
                <w:szCs w:val="24"/>
                <w:lang w:eastAsia="zh-CN"/>
              </w:rPr>
              <w:tab/>
            </w:r>
            <w:r w:rsidRPr="0018445D">
              <w:rPr>
                <w:lang w:eastAsia="zh-CN"/>
              </w:rPr>
              <w:t>向数字地面电视广播过渡</w:t>
            </w:r>
          </w:p>
        </w:tc>
        <w:tc>
          <w:tcPr>
            <w:tcW w:w="1979" w:type="dxa"/>
          </w:tcPr>
          <w:p w:rsidR="00181B23" w:rsidRPr="002926BE" w:rsidRDefault="00181B23" w:rsidP="00181B23">
            <w:pPr>
              <w:pStyle w:val="Tabletext"/>
              <w:ind w:left="284" w:hanging="284"/>
              <w:jc w:val="center"/>
              <w:rPr>
                <w:szCs w:val="22"/>
              </w:rPr>
            </w:pPr>
            <w:r w:rsidRPr="002926BE">
              <w:rPr>
                <w:szCs w:val="22"/>
              </w:rPr>
              <w:t>13</w:t>
            </w:r>
          </w:p>
        </w:tc>
      </w:tr>
      <w:tr w:rsidR="00181B23" w:rsidRPr="00582F30" w:rsidTr="00737F89">
        <w:trPr>
          <w:jc w:val="center"/>
        </w:trPr>
        <w:tc>
          <w:tcPr>
            <w:tcW w:w="7650" w:type="dxa"/>
          </w:tcPr>
          <w:p w:rsidR="00181B23" w:rsidRPr="0018445D" w:rsidRDefault="00181B23" w:rsidP="00181B23">
            <w:pPr>
              <w:pStyle w:val="Tabletext"/>
              <w:tabs>
                <w:tab w:val="clear" w:pos="284"/>
              </w:tabs>
              <w:rPr>
                <w:rFonts w:hint="eastAsia"/>
                <w:color w:val="000000"/>
                <w:szCs w:val="24"/>
                <w:lang w:eastAsia="zh-CN"/>
              </w:rPr>
            </w:pPr>
            <w:r>
              <w:rPr>
                <w:lang w:eastAsia="zh-CN"/>
              </w:rPr>
              <w:t>9</w:t>
            </w:r>
            <w:r>
              <w:rPr>
                <w:szCs w:val="24"/>
                <w:lang w:eastAsia="zh-CN"/>
              </w:rPr>
              <w:tab/>
            </w:r>
            <w:r w:rsidRPr="0018445D">
              <w:rPr>
                <w:lang w:eastAsia="zh-CN"/>
              </w:rPr>
              <w:t>在确定利用数字红利最有效方法方面提供帮助</w:t>
            </w:r>
          </w:p>
        </w:tc>
        <w:tc>
          <w:tcPr>
            <w:tcW w:w="1979" w:type="dxa"/>
          </w:tcPr>
          <w:p w:rsidR="00181B23" w:rsidRPr="002926BE" w:rsidRDefault="00181B23" w:rsidP="00181B23">
            <w:pPr>
              <w:pStyle w:val="Tabletext"/>
              <w:ind w:left="284" w:hanging="284"/>
              <w:jc w:val="center"/>
              <w:rPr>
                <w:szCs w:val="22"/>
              </w:rPr>
            </w:pPr>
            <w:r w:rsidRPr="002926BE">
              <w:rPr>
                <w:szCs w:val="22"/>
              </w:rPr>
              <w:t>13</w:t>
            </w:r>
          </w:p>
        </w:tc>
      </w:tr>
      <w:tr w:rsidR="00181B23" w:rsidRPr="00582F30" w:rsidTr="00737F89">
        <w:trPr>
          <w:jc w:val="center"/>
        </w:trPr>
        <w:tc>
          <w:tcPr>
            <w:tcW w:w="7650" w:type="dxa"/>
          </w:tcPr>
          <w:p w:rsidR="00181B23" w:rsidRPr="0018445D" w:rsidRDefault="00181B23" w:rsidP="00181B23">
            <w:pPr>
              <w:pStyle w:val="Tabletext"/>
              <w:tabs>
                <w:tab w:val="clear" w:pos="284"/>
              </w:tabs>
              <w:rPr>
                <w:rFonts w:hint="eastAsia"/>
                <w:color w:val="000000"/>
                <w:szCs w:val="24"/>
                <w:lang w:eastAsia="zh-CN"/>
              </w:rPr>
            </w:pPr>
            <w:r>
              <w:rPr>
                <w:lang w:eastAsia="zh-CN"/>
              </w:rPr>
              <w:t>10</w:t>
            </w:r>
            <w:r>
              <w:rPr>
                <w:szCs w:val="24"/>
                <w:lang w:eastAsia="zh-CN"/>
              </w:rPr>
              <w:tab/>
            </w:r>
            <w:r w:rsidRPr="0018445D">
              <w:rPr>
                <w:lang w:eastAsia="zh-CN"/>
              </w:rPr>
              <w:t>频谱使用方面的新兴技术和方法</w:t>
            </w:r>
          </w:p>
        </w:tc>
        <w:tc>
          <w:tcPr>
            <w:tcW w:w="1979" w:type="dxa"/>
          </w:tcPr>
          <w:p w:rsidR="00181B23" w:rsidRPr="002926BE" w:rsidRDefault="00181B23" w:rsidP="00181B23">
            <w:pPr>
              <w:pStyle w:val="Tabletext"/>
              <w:ind w:left="284" w:hanging="284"/>
              <w:jc w:val="center"/>
              <w:rPr>
                <w:szCs w:val="22"/>
              </w:rPr>
            </w:pPr>
            <w:r w:rsidRPr="002926BE">
              <w:rPr>
                <w:szCs w:val="22"/>
              </w:rPr>
              <w:t>12</w:t>
            </w:r>
          </w:p>
        </w:tc>
      </w:tr>
      <w:tr w:rsidR="00181B23" w:rsidRPr="00582F30" w:rsidTr="00737F89">
        <w:trPr>
          <w:jc w:val="center"/>
        </w:trPr>
        <w:tc>
          <w:tcPr>
            <w:tcW w:w="7650" w:type="dxa"/>
          </w:tcPr>
          <w:p w:rsidR="00181B23" w:rsidRPr="0018445D" w:rsidRDefault="00181B23" w:rsidP="00181B23">
            <w:pPr>
              <w:pStyle w:val="Tabletext"/>
              <w:tabs>
                <w:tab w:val="clear" w:pos="284"/>
              </w:tabs>
              <w:rPr>
                <w:rFonts w:hint="eastAsia"/>
                <w:color w:val="000000"/>
                <w:szCs w:val="24"/>
                <w:lang w:eastAsia="zh-CN"/>
              </w:rPr>
            </w:pPr>
            <w:r>
              <w:rPr>
                <w:lang w:eastAsia="zh-CN"/>
              </w:rPr>
              <w:t>11</w:t>
            </w:r>
            <w:r>
              <w:rPr>
                <w:szCs w:val="24"/>
                <w:lang w:eastAsia="zh-CN"/>
              </w:rPr>
              <w:tab/>
            </w:r>
            <w:r w:rsidRPr="0018445D">
              <w:rPr>
                <w:lang w:eastAsia="zh-CN"/>
              </w:rPr>
              <w:t>频谱许可创新型的办法</w:t>
            </w:r>
          </w:p>
        </w:tc>
        <w:tc>
          <w:tcPr>
            <w:tcW w:w="1979" w:type="dxa"/>
          </w:tcPr>
          <w:p w:rsidR="00181B23" w:rsidRPr="002926BE" w:rsidRDefault="00181B23" w:rsidP="00181B23">
            <w:pPr>
              <w:pStyle w:val="Tabletext"/>
              <w:ind w:left="284" w:hanging="284"/>
              <w:jc w:val="center"/>
              <w:rPr>
                <w:szCs w:val="22"/>
              </w:rPr>
            </w:pPr>
            <w:r w:rsidRPr="002926BE">
              <w:rPr>
                <w:szCs w:val="22"/>
              </w:rPr>
              <w:t>17</w:t>
            </w:r>
          </w:p>
        </w:tc>
      </w:tr>
      <w:tr w:rsidR="00181B23" w:rsidRPr="00582F30" w:rsidTr="00091A84">
        <w:trPr>
          <w:trHeight w:val="48"/>
          <w:jc w:val="center"/>
        </w:trPr>
        <w:tc>
          <w:tcPr>
            <w:tcW w:w="7650" w:type="dxa"/>
          </w:tcPr>
          <w:p w:rsidR="00181B23" w:rsidRPr="0018445D" w:rsidRDefault="00181B23" w:rsidP="00181B23">
            <w:pPr>
              <w:pStyle w:val="Tabletext"/>
              <w:tabs>
                <w:tab w:val="clear" w:pos="284"/>
              </w:tabs>
              <w:rPr>
                <w:rFonts w:hint="eastAsia"/>
                <w:color w:val="000000"/>
                <w:szCs w:val="24"/>
                <w:lang w:eastAsia="zh-CN"/>
              </w:rPr>
            </w:pPr>
            <w:r>
              <w:rPr>
                <w:lang w:eastAsia="zh-CN"/>
              </w:rPr>
              <w:t>12</w:t>
            </w:r>
            <w:r>
              <w:rPr>
                <w:szCs w:val="24"/>
                <w:lang w:eastAsia="zh-CN"/>
              </w:rPr>
              <w:tab/>
            </w:r>
            <w:r w:rsidRPr="0018445D">
              <w:rPr>
                <w:lang w:eastAsia="zh-CN"/>
              </w:rPr>
              <w:t>协助解决设备干扰对国家频谱划分造成损害的问题</w:t>
            </w:r>
          </w:p>
        </w:tc>
        <w:tc>
          <w:tcPr>
            <w:tcW w:w="1979" w:type="dxa"/>
          </w:tcPr>
          <w:p w:rsidR="00181B23" w:rsidRPr="002926BE" w:rsidRDefault="00181B23" w:rsidP="00181B23">
            <w:pPr>
              <w:pStyle w:val="Tabletext"/>
              <w:ind w:left="284" w:hanging="284"/>
              <w:jc w:val="center"/>
              <w:rPr>
                <w:szCs w:val="22"/>
              </w:rPr>
            </w:pPr>
            <w:r w:rsidRPr="002926BE">
              <w:rPr>
                <w:szCs w:val="22"/>
              </w:rPr>
              <w:t>3</w:t>
            </w:r>
          </w:p>
        </w:tc>
      </w:tr>
      <w:tr w:rsidR="00181B23" w:rsidRPr="00582F30" w:rsidTr="00737F89">
        <w:trPr>
          <w:jc w:val="center"/>
        </w:trPr>
        <w:tc>
          <w:tcPr>
            <w:tcW w:w="7650" w:type="dxa"/>
          </w:tcPr>
          <w:p w:rsidR="00181B23" w:rsidRDefault="00181B23" w:rsidP="00181B23">
            <w:pPr>
              <w:pStyle w:val="Tabletext"/>
              <w:tabs>
                <w:tab w:val="clear" w:pos="284"/>
              </w:tabs>
              <w:rPr>
                <w:rFonts w:hint="eastAsia"/>
                <w:lang w:eastAsia="zh-CN"/>
              </w:rPr>
            </w:pPr>
            <w:r>
              <w:rPr>
                <w:lang w:eastAsia="zh-CN"/>
              </w:rPr>
              <w:t>13</w:t>
            </w:r>
            <w:r>
              <w:rPr>
                <w:szCs w:val="24"/>
                <w:lang w:eastAsia="zh-CN"/>
              </w:rPr>
              <w:tab/>
            </w:r>
            <w:r w:rsidRPr="009C7C3A">
              <w:rPr>
                <w:lang w:eastAsia="zh-CN"/>
              </w:rPr>
              <w:t>帮助解决因无线电波异常传播而引起的季节性干扰</w:t>
            </w:r>
            <w:bookmarkStart w:id="12" w:name="_GoBack"/>
            <w:bookmarkEnd w:id="12"/>
          </w:p>
        </w:tc>
        <w:tc>
          <w:tcPr>
            <w:tcW w:w="1979" w:type="dxa"/>
          </w:tcPr>
          <w:p w:rsidR="00181B23" w:rsidRPr="002926BE" w:rsidRDefault="00181B23" w:rsidP="00181B23">
            <w:pPr>
              <w:pStyle w:val="Tabletext"/>
              <w:ind w:left="284" w:hanging="284"/>
              <w:jc w:val="center"/>
              <w:rPr>
                <w:szCs w:val="22"/>
              </w:rPr>
            </w:pPr>
            <w:r w:rsidRPr="002926BE">
              <w:rPr>
                <w:szCs w:val="22"/>
              </w:rPr>
              <w:t>2</w:t>
            </w:r>
          </w:p>
        </w:tc>
      </w:tr>
      <w:tr w:rsidR="00181B23" w:rsidRPr="00582F30" w:rsidTr="00737F89">
        <w:trPr>
          <w:jc w:val="center"/>
        </w:trPr>
        <w:tc>
          <w:tcPr>
            <w:tcW w:w="7650" w:type="dxa"/>
          </w:tcPr>
          <w:p w:rsidR="00181B23" w:rsidRPr="00E9116D" w:rsidRDefault="00181B23" w:rsidP="00181B23">
            <w:pPr>
              <w:pStyle w:val="Tabletext"/>
              <w:tabs>
                <w:tab w:val="clear" w:pos="284"/>
              </w:tabs>
              <w:rPr>
                <w:b/>
                <w:bCs/>
                <w:szCs w:val="22"/>
                <w:highlight w:val="lightGray"/>
                <w:lang w:eastAsia="zh-CN"/>
              </w:rPr>
            </w:pPr>
            <w:r w:rsidRPr="00181B23">
              <w:rPr>
                <w:bCs/>
                <w:szCs w:val="22"/>
                <w:lang w:eastAsia="zh-CN"/>
              </w:rPr>
              <w:t>14</w:t>
            </w:r>
            <w:r>
              <w:rPr>
                <w:szCs w:val="24"/>
                <w:lang w:eastAsia="zh-CN"/>
              </w:rPr>
              <w:tab/>
            </w:r>
            <w:r w:rsidRPr="00321638">
              <w:rPr>
                <w:rFonts w:hint="eastAsia"/>
                <w:bCs/>
                <w:szCs w:val="22"/>
                <w:lang w:eastAsia="zh-CN"/>
              </w:rPr>
              <w:t>SMS4DC</w:t>
            </w:r>
            <w:r w:rsidRPr="00321638">
              <w:rPr>
                <w:rFonts w:ascii="SimSun" w:eastAsia="SimSun" w:hAnsi="SimSun" w:cs="SimSun" w:hint="eastAsia"/>
                <w:bCs/>
                <w:szCs w:val="22"/>
                <w:lang w:eastAsia="zh-CN"/>
              </w:rPr>
              <w:t>的开发和培训</w:t>
            </w:r>
          </w:p>
        </w:tc>
        <w:tc>
          <w:tcPr>
            <w:tcW w:w="1979" w:type="dxa"/>
          </w:tcPr>
          <w:p w:rsidR="00181B23" w:rsidRPr="002926BE" w:rsidRDefault="00181B23" w:rsidP="00181B23">
            <w:pPr>
              <w:pStyle w:val="Tabletext"/>
              <w:ind w:left="284" w:hanging="284"/>
              <w:jc w:val="center"/>
              <w:rPr>
                <w:szCs w:val="22"/>
              </w:rPr>
            </w:pPr>
            <w:r w:rsidRPr="002926BE">
              <w:rPr>
                <w:szCs w:val="22"/>
              </w:rPr>
              <w:t>7</w:t>
            </w:r>
          </w:p>
        </w:tc>
      </w:tr>
      <w:tr w:rsidR="00181B23" w:rsidRPr="00582F30" w:rsidTr="00737F89">
        <w:trPr>
          <w:jc w:val="center"/>
        </w:trPr>
        <w:tc>
          <w:tcPr>
            <w:tcW w:w="7650" w:type="dxa"/>
          </w:tcPr>
          <w:p w:rsidR="00181B23" w:rsidRPr="00582F30" w:rsidRDefault="00181B23" w:rsidP="00181B23">
            <w:pPr>
              <w:spacing w:before="60" w:after="60"/>
              <w:rPr>
                <w:b/>
                <w:bCs/>
                <w:sz w:val="22"/>
                <w:szCs w:val="22"/>
              </w:rPr>
            </w:pPr>
            <w:r>
              <w:rPr>
                <w:rFonts w:hint="eastAsia"/>
                <w:b/>
                <w:bCs/>
                <w:sz w:val="22"/>
                <w:szCs w:val="22"/>
                <w:lang w:eastAsia="zh-CN"/>
              </w:rPr>
              <w:t>总计</w:t>
            </w:r>
          </w:p>
        </w:tc>
        <w:tc>
          <w:tcPr>
            <w:tcW w:w="1979" w:type="dxa"/>
          </w:tcPr>
          <w:p w:rsidR="00181B23" w:rsidRPr="002926BE" w:rsidRDefault="00181B23" w:rsidP="00181B23">
            <w:pPr>
              <w:pStyle w:val="Tabletext"/>
              <w:ind w:left="284" w:hanging="284"/>
              <w:jc w:val="center"/>
              <w:rPr>
                <w:b/>
                <w:bCs/>
                <w:szCs w:val="22"/>
              </w:rPr>
            </w:pPr>
            <w:r w:rsidRPr="002926BE">
              <w:rPr>
                <w:b/>
                <w:bCs/>
                <w:szCs w:val="22"/>
              </w:rPr>
              <w:t>184</w:t>
            </w:r>
          </w:p>
        </w:tc>
      </w:tr>
    </w:tbl>
    <w:p w:rsidR="00181B23" w:rsidRDefault="00181B23" w:rsidP="00181B23"/>
    <w:p w:rsidR="003C58BF" w:rsidRPr="00175C4C" w:rsidRDefault="00175C4C" w:rsidP="00181B23">
      <w:pPr>
        <w:jc w:val="center"/>
      </w:pPr>
      <w:r>
        <w:t>______________</w:t>
      </w:r>
    </w:p>
    <w:sectPr w:rsidR="003C58BF" w:rsidRPr="00175C4C" w:rsidSect="00CC4B75">
      <w:headerReference w:type="default" r:id="rId9"/>
      <w:footerReference w:type="default" r:id="rId10"/>
      <w:footerReference w:type="first" r:id="rId11"/>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0AC" w:rsidRDefault="001220AC">
      <w:r>
        <w:separator/>
      </w:r>
    </w:p>
  </w:endnote>
  <w:endnote w:type="continuationSeparator" w:id="0">
    <w:p w:rsidR="001220AC" w:rsidRDefault="0012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77265" w:rsidRDefault="00181B23" w:rsidP="002B7047">
    <w:pPr>
      <w:pStyle w:val="Footer"/>
      <w:rPr>
        <w:lang w:val="en-GB"/>
      </w:rPr>
    </w:pPr>
    <w:fldSimple w:instr=" FILENAME \p  \* MERGEFORMAT ">
      <w:r w:rsidR="000918D4">
        <w:t>P:\CHI\ITU-D\CONF-D\TDAG19\000\032C.docx</w:t>
      </w:r>
    </w:fldSimple>
    <w:r w:rsidR="002B7047" w:rsidRPr="002B7047">
      <w:t xml:space="preserve"> (</w:t>
    </w:r>
    <w:r w:rsidR="002B7047">
      <w:t>450328</w:t>
    </w:r>
    <w:r w:rsidR="002B7047" w:rsidRPr="002B7047">
      <w:t>)</w:t>
    </w:r>
    <w:r w:rsidR="00C62DE8">
      <w:rPr>
        <w:lang w:val="en-US"/>
      </w:rPr>
      <w:tab/>
    </w:r>
    <w:r w:rsidR="00721657" w:rsidRPr="003125C3">
      <w:rPr>
        <w:lang w:val="en-US"/>
      </w:rPr>
      <w:tab/>
    </w:r>
    <w:r w:rsidR="00915C8E">
      <w:rPr>
        <w:lang w:val="en-US"/>
      </w:rPr>
      <w:t>0</w:t>
    </w:r>
    <w:r w:rsidR="00F93D2E">
      <w:rPr>
        <w:lang w:val="en-US"/>
      </w:rPr>
      <w:t>5</w:t>
    </w:r>
    <w:r w:rsidR="00777265">
      <w:rPr>
        <w:lang w:val="en-GB"/>
      </w:rPr>
      <w:t>.</w:t>
    </w:r>
    <w:r w:rsidR="00915C8E">
      <w:rPr>
        <w:lang w:val="en-GB"/>
      </w:rPr>
      <w:t>1</w:t>
    </w:r>
    <w:r w:rsidR="00717FED">
      <w:rPr>
        <w:lang w:val="en-GB"/>
      </w:rPr>
      <w:t>0</w:t>
    </w:r>
    <w:r w:rsidR="00777265">
      <w:rPr>
        <w:lang w:val="en-GB"/>
      </w:rPr>
      <w:t>.201</w:t>
    </w:r>
    <w:r w:rsidR="00915C8E">
      <w:rPr>
        <w:lang w:val="en-GB"/>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75C4C" w:rsidRPr="004D495C" w:rsidTr="00940EE4">
      <w:tc>
        <w:tcPr>
          <w:tcW w:w="1526" w:type="dxa"/>
          <w:tcBorders>
            <w:top w:val="single" w:sz="4" w:space="0" w:color="000000"/>
          </w:tcBorders>
          <w:shd w:val="clear" w:color="auto" w:fill="auto"/>
        </w:tcPr>
        <w:p w:rsidR="00175C4C" w:rsidRPr="004D495C" w:rsidRDefault="00175C4C" w:rsidP="00175C4C">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175C4C" w:rsidRPr="004D495C" w:rsidRDefault="00175C4C" w:rsidP="00175C4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00232A8C">
            <w:rPr>
              <w:rFonts w:ascii="SimSun" w:eastAsia="SimSun" w:hAnsi="SimSun" w:hint="eastAsia"/>
              <w:sz w:val="18"/>
              <w:szCs w:val="18"/>
              <w:lang w:val="es-ES_tradnl" w:eastAsia="zh-CN"/>
            </w:rPr>
            <w:t>/姓名</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175C4C" w:rsidRPr="005455CE" w:rsidRDefault="002B7047" w:rsidP="002B7047">
          <w:pPr>
            <w:pStyle w:val="FirstFooter"/>
            <w:rPr>
              <w:sz w:val="18"/>
              <w:szCs w:val="18"/>
              <w:lang w:val="en-US" w:eastAsia="zh-CN"/>
            </w:rPr>
          </w:pPr>
          <w:bookmarkStart w:id="13" w:name="OrgName"/>
          <w:bookmarkEnd w:id="13"/>
          <w:r w:rsidRPr="0073676C">
            <w:rPr>
              <w:rFonts w:hint="eastAsia"/>
              <w:sz w:val="20"/>
              <w:lang w:val="en-US" w:eastAsia="zh-CN"/>
            </w:rPr>
            <w:t>电信发展局基础设施、环境建设和电子应用部</w:t>
          </w:r>
          <w:r>
            <w:rPr>
              <w:rFonts w:hint="eastAsia"/>
              <w:sz w:val="20"/>
              <w:lang w:val="en-US" w:eastAsia="zh-CN"/>
            </w:rPr>
            <w:t>（</w:t>
          </w:r>
          <w:r w:rsidRPr="009B7D33">
            <w:rPr>
              <w:sz w:val="20"/>
              <w:lang w:val="en-US" w:eastAsia="zh-CN"/>
            </w:rPr>
            <w:t>IEE</w:t>
          </w:r>
          <w:r>
            <w:rPr>
              <w:rFonts w:hint="eastAsia"/>
              <w:sz w:val="20"/>
              <w:lang w:val="en-US" w:eastAsia="zh-CN"/>
            </w:rPr>
            <w:t>）主任</w:t>
          </w:r>
          <w:r w:rsidRPr="009B7D33">
            <w:rPr>
              <w:sz w:val="20"/>
              <w:lang w:val="en-US" w:eastAsia="zh-CN"/>
            </w:rPr>
            <w:t xml:space="preserve">Kemal </w:t>
          </w:r>
          <w:proofErr w:type="spellStart"/>
          <w:r w:rsidRPr="009B7D33">
            <w:rPr>
              <w:sz w:val="20"/>
              <w:lang w:val="en-US" w:eastAsia="zh-CN"/>
            </w:rPr>
            <w:t>Huseinovic</w:t>
          </w:r>
          <w:proofErr w:type="spellEnd"/>
        </w:p>
      </w:tc>
    </w:tr>
    <w:tr w:rsidR="00175C4C" w:rsidRPr="004D495C" w:rsidTr="00940EE4">
      <w:tc>
        <w:tcPr>
          <w:tcW w:w="1526" w:type="dxa"/>
          <w:shd w:val="clear" w:color="auto" w:fill="auto"/>
        </w:tcPr>
        <w:p w:rsidR="00175C4C" w:rsidRPr="004D495C" w:rsidRDefault="00175C4C" w:rsidP="00175C4C">
          <w:pPr>
            <w:pStyle w:val="FirstFooter"/>
            <w:tabs>
              <w:tab w:val="left" w:pos="1559"/>
              <w:tab w:val="left" w:pos="3828"/>
            </w:tabs>
            <w:rPr>
              <w:sz w:val="20"/>
              <w:lang w:val="en-US" w:eastAsia="zh-CN"/>
            </w:rPr>
          </w:pPr>
        </w:p>
      </w:tc>
      <w:tc>
        <w:tcPr>
          <w:tcW w:w="2410" w:type="dxa"/>
          <w:shd w:val="clear" w:color="auto" w:fill="auto"/>
        </w:tcPr>
        <w:p w:rsidR="00175C4C" w:rsidRPr="004D495C" w:rsidRDefault="00175C4C" w:rsidP="00175C4C">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175C4C" w:rsidRPr="005455CE" w:rsidRDefault="002B7047" w:rsidP="00175C4C">
          <w:pPr>
            <w:pStyle w:val="FirstFooter"/>
            <w:tabs>
              <w:tab w:val="left" w:pos="2302"/>
            </w:tabs>
            <w:rPr>
              <w:sz w:val="18"/>
              <w:szCs w:val="18"/>
              <w:lang w:val="en-US"/>
            </w:rPr>
          </w:pPr>
          <w:bookmarkStart w:id="14" w:name="PhoneNo"/>
          <w:bookmarkEnd w:id="14"/>
          <w:r w:rsidRPr="009B7D33">
            <w:rPr>
              <w:sz w:val="20"/>
              <w:lang w:val="en-US"/>
            </w:rPr>
            <w:t>+41 22 730 5421</w:t>
          </w:r>
        </w:p>
      </w:tc>
    </w:tr>
    <w:tr w:rsidR="00175C4C" w:rsidRPr="004D495C" w:rsidTr="00940EE4">
      <w:tc>
        <w:tcPr>
          <w:tcW w:w="1526" w:type="dxa"/>
          <w:shd w:val="clear" w:color="auto" w:fill="auto"/>
        </w:tcPr>
        <w:p w:rsidR="00175C4C" w:rsidRPr="004D495C" w:rsidRDefault="00175C4C" w:rsidP="00175C4C">
          <w:pPr>
            <w:pStyle w:val="FirstFooter"/>
            <w:tabs>
              <w:tab w:val="left" w:pos="1559"/>
              <w:tab w:val="left" w:pos="3828"/>
            </w:tabs>
            <w:rPr>
              <w:sz w:val="20"/>
              <w:lang w:val="en-US"/>
            </w:rPr>
          </w:pPr>
        </w:p>
      </w:tc>
      <w:tc>
        <w:tcPr>
          <w:tcW w:w="2410" w:type="dxa"/>
          <w:shd w:val="clear" w:color="auto" w:fill="auto"/>
        </w:tcPr>
        <w:p w:rsidR="00175C4C" w:rsidRPr="004D495C" w:rsidRDefault="00175C4C" w:rsidP="00175C4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15" w:name="Email"/>
      <w:bookmarkEnd w:id="15"/>
      <w:tc>
        <w:tcPr>
          <w:tcW w:w="5987" w:type="dxa"/>
          <w:shd w:val="clear" w:color="auto" w:fill="auto"/>
        </w:tcPr>
        <w:p w:rsidR="00175C4C" w:rsidRPr="005455CE" w:rsidRDefault="002B7047" w:rsidP="00175C4C">
          <w:pPr>
            <w:pStyle w:val="FirstFooter"/>
            <w:tabs>
              <w:tab w:val="left" w:pos="2302"/>
            </w:tabs>
            <w:rPr>
              <w:sz w:val="18"/>
              <w:szCs w:val="18"/>
              <w:lang w:val="en-US"/>
            </w:rPr>
          </w:pPr>
          <w:r>
            <w:rPr>
              <w:rStyle w:val="Hyperlink"/>
              <w:sz w:val="20"/>
              <w:lang w:val="en-US"/>
            </w:rPr>
            <w:fldChar w:fldCharType="begin"/>
          </w:r>
          <w:r>
            <w:rPr>
              <w:rStyle w:val="Hyperlink"/>
              <w:sz w:val="20"/>
              <w:lang w:val="en-US"/>
            </w:rPr>
            <w:instrText xml:space="preserve"> HYPERLINK "mailto:Kemal.huseinovic@itu.int" </w:instrText>
          </w:r>
          <w:r>
            <w:rPr>
              <w:rStyle w:val="Hyperlink"/>
              <w:sz w:val="20"/>
              <w:lang w:val="en-US"/>
            </w:rPr>
            <w:fldChar w:fldCharType="separate"/>
          </w:r>
          <w:r w:rsidRPr="009B7D33">
            <w:rPr>
              <w:rStyle w:val="Hyperlink"/>
              <w:sz w:val="20"/>
              <w:lang w:val="en-US"/>
            </w:rPr>
            <w:t>Kemal.huseinovic@itu.int</w:t>
          </w:r>
          <w:r>
            <w:rPr>
              <w:rStyle w:val="Hyperlink"/>
              <w:sz w:val="20"/>
              <w:lang w:val="en-US"/>
            </w:rPr>
            <w:fldChar w:fldCharType="end"/>
          </w:r>
        </w:p>
      </w:tc>
    </w:tr>
  </w:tbl>
  <w:p w:rsidR="00175C4C" w:rsidRDefault="00175C4C" w:rsidP="00175C4C">
    <w:pPr>
      <w:pStyle w:val="Footer"/>
      <w:jc w:val="center"/>
    </w:pPr>
  </w:p>
  <w:p w:rsidR="00175C4C" w:rsidRPr="0059420B" w:rsidRDefault="00172157" w:rsidP="00175C4C">
    <w:pPr>
      <w:pStyle w:val="Footer"/>
      <w:jc w:val="center"/>
    </w:pPr>
    <w:hyperlink r:id="rId1" w:history="1">
      <w:r w:rsidR="00175C4C">
        <w:rPr>
          <w:rStyle w:val="Hyperlink"/>
          <w:caps w:val="0"/>
          <w:noProof w:val="0"/>
          <w:sz w:val="18"/>
          <w:szCs w:val="18"/>
          <w:lang w:val="en-US"/>
        </w:rPr>
        <w:t>TDAG</w:t>
      </w:r>
    </w:hyperlink>
  </w:p>
  <w:p w:rsidR="003A5AFE" w:rsidRPr="00175C4C" w:rsidRDefault="003A5AFE"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0AC" w:rsidRDefault="001220AC">
      <w:r>
        <w:t>____________________</w:t>
      </w:r>
    </w:p>
  </w:footnote>
  <w:footnote w:type="continuationSeparator" w:id="0">
    <w:p w:rsidR="001220AC" w:rsidRDefault="00122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2B7047" w:rsidRDefault="00175C4C" w:rsidP="000B5641">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18"/>
        <w:szCs w:val="18"/>
        <w:lang w:val="es-ES_tradnl"/>
      </w:rPr>
    </w:pPr>
    <w:r w:rsidRPr="00175C4C">
      <w:rPr>
        <w:rFonts w:ascii="Calibri" w:eastAsia="SimSun" w:hAnsi="Calibri"/>
        <w:sz w:val="18"/>
        <w:szCs w:val="18"/>
      </w:rPr>
      <w:tab/>
    </w:r>
    <w:r w:rsidR="000B5641" w:rsidRPr="006D271A">
      <w:rPr>
        <w:sz w:val="22"/>
        <w:szCs w:val="22"/>
        <w:lang w:val="de-CH"/>
      </w:rPr>
      <w:t>ITU-D/</w:t>
    </w:r>
    <w:r w:rsidR="000B5641" w:rsidRPr="00A54E72">
      <w:rPr>
        <w:sz w:val="22"/>
        <w:szCs w:val="22"/>
        <w:lang w:val="de-CH"/>
      </w:rPr>
      <w:t>TDAG</w:t>
    </w:r>
    <w:r w:rsidR="000B5641">
      <w:rPr>
        <w:sz w:val="22"/>
        <w:szCs w:val="22"/>
        <w:lang w:val="de-CH"/>
      </w:rPr>
      <w:t>-</w:t>
    </w:r>
    <w:r w:rsidR="000B5641" w:rsidRPr="00A54E72">
      <w:rPr>
        <w:sz w:val="22"/>
        <w:szCs w:val="22"/>
        <w:lang w:val="de-CH"/>
      </w:rPr>
      <w:t>1</w:t>
    </w:r>
    <w:r w:rsidR="000B5641">
      <w:rPr>
        <w:sz w:val="22"/>
        <w:szCs w:val="22"/>
        <w:lang w:val="de-CH"/>
      </w:rPr>
      <w:t>9</w:t>
    </w:r>
    <w:r w:rsidR="000B5641" w:rsidRPr="00A54E72">
      <w:rPr>
        <w:sz w:val="22"/>
        <w:szCs w:val="22"/>
        <w:lang w:val="de-CH"/>
      </w:rPr>
      <w:t>/</w:t>
    </w:r>
    <w:r w:rsidR="000B5641">
      <w:rPr>
        <w:sz w:val="22"/>
        <w:szCs w:val="22"/>
        <w:lang w:val="de-CH"/>
      </w:rPr>
      <w:t>32</w:t>
    </w:r>
    <w:r w:rsidR="000B5641" w:rsidRPr="006D271A">
      <w:rPr>
        <w:sz w:val="22"/>
        <w:szCs w:val="22"/>
        <w:lang w:val="de-CH"/>
      </w:rPr>
      <w:t>-</w:t>
    </w:r>
    <w:r w:rsidR="000B5641">
      <w:rPr>
        <w:rFonts w:hint="eastAsia"/>
        <w:sz w:val="22"/>
        <w:szCs w:val="22"/>
        <w:lang w:val="de-CH" w:eastAsia="zh-CN"/>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172157">
      <w:rPr>
        <w:rFonts w:ascii="Calibri" w:eastAsia="SimSun" w:hAnsi="Calibri"/>
        <w:noProof/>
        <w:sz w:val="18"/>
        <w:szCs w:val="18"/>
        <w:lang w:val="es-ES_tradnl"/>
      </w:rPr>
      <w:t>2</w:t>
    </w:r>
    <w:r w:rsidRPr="00175C4C">
      <w:rPr>
        <w:rFonts w:ascii="Calibri" w:eastAsia="SimSun" w:hAnsi="Calibr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E08EB"/>
    <w:multiLevelType w:val="hybridMultilevel"/>
    <w:tmpl w:val="835CE1E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40270"/>
    <w:multiLevelType w:val="hybridMultilevel"/>
    <w:tmpl w:val="3F46E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AC"/>
    <w:rsid w:val="00002716"/>
    <w:rsid w:val="00005791"/>
    <w:rsid w:val="0002520B"/>
    <w:rsid w:val="00037A9E"/>
    <w:rsid w:val="00037F91"/>
    <w:rsid w:val="00044AA9"/>
    <w:rsid w:val="000539F1"/>
    <w:rsid w:val="00055A2A"/>
    <w:rsid w:val="000615C1"/>
    <w:rsid w:val="00073A53"/>
    <w:rsid w:val="000918D4"/>
    <w:rsid w:val="00091A84"/>
    <w:rsid w:val="0009225C"/>
    <w:rsid w:val="000A17C4"/>
    <w:rsid w:val="000A346A"/>
    <w:rsid w:val="000B2352"/>
    <w:rsid w:val="000B5641"/>
    <w:rsid w:val="000C295B"/>
    <w:rsid w:val="000C7B84"/>
    <w:rsid w:val="000D261B"/>
    <w:rsid w:val="000D58A3"/>
    <w:rsid w:val="000E3ED4"/>
    <w:rsid w:val="000F6644"/>
    <w:rsid w:val="00100833"/>
    <w:rsid w:val="00113EE8"/>
    <w:rsid w:val="0011455A"/>
    <w:rsid w:val="00114A65"/>
    <w:rsid w:val="001220AC"/>
    <w:rsid w:val="00141699"/>
    <w:rsid w:val="00147000"/>
    <w:rsid w:val="00163091"/>
    <w:rsid w:val="001645CB"/>
    <w:rsid w:val="00166305"/>
    <w:rsid w:val="001703C6"/>
    <w:rsid w:val="00172157"/>
    <w:rsid w:val="00173781"/>
    <w:rsid w:val="00175C4C"/>
    <w:rsid w:val="00175CAE"/>
    <w:rsid w:val="00181B23"/>
    <w:rsid w:val="001828DB"/>
    <w:rsid w:val="0018445D"/>
    <w:rsid w:val="001850FE"/>
    <w:rsid w:val="00185135"/>
    <w:rsid w:val="0019037C"/>
    <w:rsid w:val="001905A9"/>
    <w:rsid w:val="00191273"/>
    <w:rsid w:val="001942A7"/>
    <w:rsid w:val="0019587B"/>
    <w:rsid w:val="001A163D"/>
    <w:rsid w:val="001A441E"/>
    <w:rsid w:val="001B357F"/>
    <w:rsid w:val="001C3702"/>
    <w:rsid w:val="001C4656"/>
    <w:rsid w:val="001F1B3F"/>
    <w:rsid w:val="001F23E6"/>
    <w:rsid w:val="001F4238"/>
    <w:rsid w:val="00200A38"/>
    <w:rsid w:val="00200A46"/>
    <w:rsid w:val="00211B6F"/>
    <w:rsid w:val="00217CC3"/>
    <w:rsid w:val="00220AB6"/>
    <w:rsid w:val="0022120F"/>
    <w:rsid w:val="0022754A"/>
    <w:rsid w:val="00232A8C"/>
    <w:rsid w:val="00236560"/>
    <w:rsid w:val="0023662E"/>
    <w:rsid w:val="00245D0F"/>
    <w:rsid w:val="002548C3"/>
    <w:rsid w:val="00257ACD"/>
    <w:rsid w:val="00262908"/>
    <w:rsid w:val="002650F4"/>
    <w:rsid w:val="002715FD"/>
    <w:rsid w:val="00285B33"/>
    <w:rsid w:val="002B7047"/>
    <w:rsid w:val="002C00A3"/>
    <w:rsid w:val="002C1EC7"/>
    <w:rsid w:val="002C7EA3"/>
    <w:rsid w:val="002D20AE"/>
    <w:rsid w:val="002D6C61"/>
    <w:rsid w:val="002E2104"/>
    <w:rsid w:val="002E4DA2"/>
    <w:rsid w:val="002E6963"/>
    <w:rsid w:val="002F05D8"/>
    <w:rsid w:val="002F2DE0"/>
    <w:rsid w:val="002F5E25"/>
    <w:rsid w:val="003125C3"/>
    <w:rsid w:val="00312AE6"/>
    <w:rsid w:val="00317D1A"/>
    <w:rsid w:val="003211FF"/>
    <w:rsid w:val="00321638"/>
    <w:rsid w:val="00327247"/>
    <w:rsid w:val="00327A9D"/>
    <w:rsid w:val="0033130E"/>
    <w:rsid w:val="00360B73"/>
    <w:rsid w:val="0038365A"/>
    <w:rsid w:val="00386A89"/>
    <w:rsid w:val="0039648E"/>
    <w:rsid w:val="003A5AFE"/>
    <w:rsid w:val="003A5D5F"/>
    <w:rsid w:val="003A7FFE"/>
    <w:rsid w:val="003B0A63"/>
    <w:rsid w:val="003B50E1"/>
    <w:rsid w:val="003C1746"/>
    <w:rsid w:val="003C58BF"/>
    <w:rsid w:val="003D451D"/>
    <w:rsid w:val="003D6C31"/>
    <w:rsid w:val="003F2DD8"/>
    <w:rsid w:val="003F50B2"/>
    <w:rsid w:val="00401BFF"/>
    <w:rsid w:val="004122C5"/>
    <w:rsid w:val="00413B78"/>
    <w:rsid w:val="00416DDE"/>
    <w:rsid w:val="00433CF7"/>
    <w:rsid w:val="0044411E"/>
    <w:rsid w:val="00453435"/>
    <w:rsid w:val="00466398"/>
    <w:rsid w:val="0049128B"/>
    <w:rsid w:val="00493B49"/>
    <w:rsid w:val="00495501"/>
    <w:rsid w:val="004A070A"/>
    <w:rsid w:val="004A320E"/>
    <w:rsid w:val="004A4E9C"/>
    <w:rsid w:val="004B1A3C"/>
    <w:rsid w:val="004B6A8D"/>
    <w:rsid w:val="004C5C6B"/>
    <w:rsid w:val="004D2CC3"/>
    <w:rsid w:val="004D35CB"/>
    <w:rsid w:val="004E20E5"/>
    <w:rsid w:val="004E64EA"/>
    <w:rsid w:val="004E7828"/>
    <w:rsid w:val="004F46AA"/>
    <w:rsid w:val="004F6A70"/>
    <w:rsid w:val="00502ABF"/>
    <w:rsid w:val="00504DB0"/>
    <w:rsid w:val="0054420E"/>
    <w:rsid w:val="00544D1B"/>
    <w:rsid w:val="00545DC0"/>
    <w:rsid w:val="00545F6C"/>
    <w:rsid w:val="00554989"/>
    <w:rsid w:val="0055720C"/>
    <w:rsid w:val="0056423B"/>
    <w:rsid w:val="00573424"/>
    <w:rsid w:val="0057402F"/>
    <w:rsid w:val="005849D6"/>
    <w:rsid w:val="00585367"/>
    <w:rsid w:val="00592518"/>
    <w:rsid w:val="00592E87"/>
    <w:rsid w:val="00594C4D"/>
    <w:rsid w:val="005A33B0"/>
    <w:rsid w:val="005A3E62"/>
    <w:rsid w:val="005B725F"/>
    <w:rsid w:val="005C2DC2"/>
    <w:rsid w:val="005C304A"/>
    <w:rsid w:val="005D57C8"/>
    <w:rsid w:val="005D7761"/>
    <w:rsid w:val="005E0278"/>
    <w:rsid w:val="005E3CA0"/>
    <w:rsid w:val="005E44B1"/>
    <w:rsid w:val="005E67B0"/>
    <w:rsid w:val="005E7047"/>
    <w:rsid w:val="005E777F"/>
    <w:rsid w:val="005F1CA7"/>
    <w:rsid w:val="005F43DD"/>
    <w:rsid w:val="005F51A9"/>
    <w:rsid w:val="005F6971"/>
    <w:rsid w:val="005F7416"/>
    <w:rsid w:val="00600C11"/>
    <w:rsid w:val="00606B89"/>
    <w:rsid w:val="00625FB8"/>
    <w:rsid w:val="006261BD"/>
    <w:rsid w:val="00636284"/>
    <w:rsid w:val="0064734E"/>
    <w:rsid w:val="00650137"/>
    <w:rsid w:val="006509D7"/>
    <w:rsid w:val="0065521B"/>
    <w:rsid w:val="00671EF6"/>
    <w:rsid w:val="0067205B"/>
    <w:rsid w:val="006748F8"/>
    <w:rsid w:val="00680489"/>
    <w:rsid w:val="006A7710"/>
    <w:rsid w:val="006A7A61"/>
    <w:rsid w:val="006B2FFB"/>
    <w:rsid w:val="006C10A2"/>
    <w:rsid w:val="006C1F18"/>
    <w:rsid w:val="006D40D5"/>
    <w:rsid w:val="006F009A"/>
    <w:rsid w:val="006F3D93"/>
    <w:rsid w:val="007019B1"/>
    <w:rsid w:val="00703E66"/>
    <w:rsid w:val="00717FED"/>
    <w:rsid w:val="00721657"/>
    <w:rsid w:val="00727B1A"/>
    <w:rsid w:val="00731643"/>
    <w:rsid w:val="00745F13"/>
    <w:rsid w:val="00752258"/>
    <w:rsid w:val="00762880"/>
    <w:rsid w:val="00772290"/>
    <w:rsid w:val="00777265"/>
    <w:rsid w:val="007805E7"/>
    <w:rsid w:val="0078222A"/>
    <w:rsid w:val="00787D48"/>
    <w:rsid w:val="007A4E50"/>
    <w:rsid w:val="007A542E"/>
    <w:rsid w:val="007B18A7"/>
    <w:rsid w:val="007B250E"/>
    <w:rsid w:val="007C27FC"/>
    <w:rsid w:val="007C51FF"/>
    <w:rsid w:val="007D50E4"/>
    <w:rsid w:val="008028CE"/>
    <w:rsid w:val="0080332E"/>
    <w:rsid w:val="008141E0"/>
    <w:rsid w:val="00816EE1"/>
    <w:rsid w:val="00816F88"/>
    <w:rsid w:val="00822323"/>
    <w:rsid w:val="00823118"/>
    <w:rsid w:val="00833024"/>
    <w:rsid w:val="00844A56"/>
    <w:rsid w:val="00852081"/>
    <w:rsid w:val="008717AC"/>
    <w:rsid w:val="00874DFD"/>
    <w:rsid w:val="00883086"/>
    <w:rsid w:val="008879FD"/>
    <w:rsid w:val="00894C37"/>
    <w:rsid w:val="008967D5"/>
    <w:rsid w:val="00897E58"/>
    <w:rsid w:val="008A00EA"/>
    <w:rsid w:val="008A3F93"/>
    <w:rsid w:val="008A6236"/>
    <w:rsid w:val="008A6E1C"/>
    <w:rsid w:val="008A72FD"/>
    <w:rsid w:val="008B2EDF"/>
    <w:rsid w:val="008B54CB"/>
    <w:rsid w:val="008B5A3D"/>
    <w:rsid w:val="008C2B02"/>
    <w:rsid w:val="008C4010"/>
    <w:rsid w:val="008C4FDF"/>
    <w:rsid w:val="008C6B1F"/>
    <w:rsid w:val="008D5E4F"/>
    <w:rsid w:val="008F14F5"/>
    <w:rsid w:val="008F71C1"/>
    <w:rsid w:val="00902D41"/>
    <w:rsid w:val="00914004"/>
    <w:rsid w:val="00915C8E"/>
    <w:rsid w:val="00922EC1"/>
    <w:rsid w:val="009301F1"/>
    <w:rsid w:val="009359B8"/>
    <w:rsid w:val="009431F8"/>
    <w:rsid w:val="00947A35"/>
    <w:rsid w:val="00966CB5"/>
    <w:rsid w:val="00975786"/>
    <w:rsid w:val="00981CB7"/>
    <w:rsid w:val="00983E1F"/>
    <w:rsid w:val="00993F46"/>
    <w:rsid w:val="00997358"/>
    <w:rsid w:val="009A452B"/>
    <w:rsid w:val="009B050C"/>
    <w:rsid w:val="009B087F"/>
    <w:rsid w:val="009C110B"/>
    <w:rsid w:val="009C5441"/>
    <w:rsid w:val="009D119F"/>
    <w:rsid w:val="009F3940"/>
    <w:rsid w:val="009F3EB2"/>
    <w:rsid w:val="009F6EB1"/>
    <w:rsid w:val="00A20267"/>
    <w:rsid w:val="00A3158C"/>
    <w:rsid w:val="00A33E32"/>
    <w:rsid w:val="00A53E7C"/>
    <w:rsid w:val="00A60087"/>
    <w:rsid w:val="00A67D34"/>
    <w:rsid w:val="00A705E8"/>
    <w:rsid w:val="00A9392C"/>
    <w:rsid w:val="00A9462B"/>
    <w:rsid w:val="00A97D59"/>
    <w:rsid w:val="00AA193B"/>
    <w:rsid w:val="00AA3E09"/>
    <w:rsid w:val="00AA4BEF"/>
    <w:rsid w:val="00AB4962"/>
    <w:rsid w:val="00AB740F"/>
    <w:rsid w:val="00AC7221"/>
    <w:rsid w:val="00AD0A21"/>
    <w:rsid w:val="00AE5961"/>
    <w:rsid w:val="00AF4971"/>
    <w:rsid w:val="00B01046"/>
    <w:rsid w:val="00B310F9"/>
    <w:rsid w:val="00B37866"/>
    <w:rsid w:val="00B412FB"/>
    <w:rsid w:val="00B4576B"/>
    <w:rsid w:val="00B46350"/>
    <w:rsid w:val="00B83D5E"/>
    <w:rsid w:val="00B8460A"/>
    <w:rsid w:val="00B8650D"/>
    <w:rsid w:val="00B879B4"/>
    <w:rsid w:val="00B90F07"/>
    <w:rsid w:val="00B97BB9"/>
    <w:rsid w:val="00BA0009"/>
    <w:rsid w:val="00BA4D75"/>
    <w:rsid w:val="00BB1863"/>
    <w:rsid w:val="00BB25EE"/>
    <w:rsid w:val="00BB363A"/>
    <w:rsid w:val="00BC10A0"/>
    <w:rsid w:val="00BC7BA2"/>
    <w:rsid w:val="00BD426B"/>
    <w:rsid w:val="00BD79F0"/>
    <w:rsid w:val="00BE2B4D"/>
    <w:rsid w:val="00C015F8"/>
    <w:rsid w:val="00C07E26"/>
    <w:rsid w:val="00C1011C"/>
    <w:rsid w:val="00C177C5"/>
    <w:rsid w:val="00C307E8"/>
    <w:rsid w:val="00C4038C"/>
    <w:rsid w:val="00C42BA2"/>
    <w:rsid w:val="00C44066"/>
    <w:rsid w:val="00C44E13"/>
    <w:rsid w:val="00C60A41"/>
    <w:rsid w:val="00C62DE8"/>
    <w:rsid w:val="00C62DFB"/>
    <w:rsid w:val="00C66F4D"/>
    <w:rsid w:val="00C86600"/>
    <w:rsid w:val="00C87BCA"/>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F54"/>
    <w:rsid w:val="00D10FC7"/>
    <w:rsid w:val="00D20E99"/>
    <w:rsid w:val="00D21C83"/>
    <w:rsid w:val="00D35BDD"/>
    <w:rsid w:val="00D63006"/>
    <w:rsid w:val="00D72301"/>
    <w:rsid w:val="00D84259"/>
    <w:rsid w:val="00D91B97"/>
    <w:rsid w:val="00D93ACC"/>
    <w:rsid w:val="00D93C08"/>
    <w:rsid w:val="00D95DAC"/>
    <w:rsid w:val="00DB1171"/>
    <w:rsid w:val="00DB1519"/>
    <w:rsid w:val="00DB2840"/>
    <w:rsid w:val="00DD66B4"/>
    <w:rsid w:val="00DE1972"/>
    <w:rsid w:val="00DE27AB"/>
    <w:rsid w:val="00DF2AB3"/>
    <w:rsid w:val="00DF7250"/>
    <w:rsid w:val="00DF7AE9"/>
    <w:rsid w:val="00E00CAA"/>
    <w:rsid w:val="00E03EBF"/>
    <w:rsid w:val="00E05209"/>
    <w:rsid w:val="00E2258E"/>
    <w:rsid w:val="00E260C2"/>
    <w:rsid w:val="00E26185"/>
    <w:rsid w:val="00E32596"/>
    <w:rsid w:val="00E368F7"/>
    <w:rsid w:val="00E36EB8"/>
    <w:rsid w:val="00E37FB8"/>
    <w:rsid w:val="00E40B07"/>
    <w:rsid w:val="00E42326"/>
    <w:rsid w:val="00E43544"/>
    <w:rsid w:val="00E44D89"/>
    <w:rsid w:val="00E477EA"/>
    <w:rsid w:val="00E63B14"/>
    <w:rsid w:val="00E64C37"/>
    <w:rsid w:val="00E83810"/>
    <w:rsid w:val="00E86933"/>
    <w:rsid w:val="00E97298"/>
    <w:rsid w:val="00E97753"/>
    <w:rsid w:val="00E97E58"/>
    <w:rsid w:val="00EA2BC2"/>
    <w:rsid w:val="00EA7DE7"/>
    <w:rsid w:val="00EB7A8A"/>
    <w:rsid w:val="00ED6F3E"/>
    <w:rsid w:val="00EE3A64"/>
    <w:rsid w:val="00EF01CF"/>
    <w:rsid w:val="00F03590"/>
    <w:rsid w:val="00F03622"/>
    <w:rsid w:val="00F077FD"/>
    <w:rsid w:val="00F166C1"/>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9211C"/>
    <w:rsid w:val="00F93D2E"/>
    <w:rsid w:val="00FA095D"/>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67A256C-75BB-463F-B568-D260BCE7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character" w:styleId="FollowedHyperlink">
    <w:name w:val="FollowedHyperlink"/>
    <w:basedOn w:val="DefaultParagraphFont"/>
    <w:semiHidden/>
    <w:unhideWhenUsed/>
    <w:rsid w:val="002B7047"/>
    <w:rPr>
      <w:color w:val="800080" w:themeColor="followedHyperlink"/>
      <w:u w:val="single"/>
    </w:rPr>
  </w:style>
  <w:style w:type="paragraph" w:styleId="ListParagraph">
    <w:name w:val="List Paragraph"/>
    <w:aliases w:val="List Paragraph1,Recommendation,List Paragraph11"/>
    <w:basedOn w:val="Normal"/>
    <w:link w:val="ListParagraphChar"/>
    <w:uiPriority w:val="34"/>
    <w:qFormat/>
    <w:rsid w:val="002B7047"/>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AppArttitle">
    <w:name w:val="App_Art_title"/>
    <w:basedOn w:val="Arttitle"/>
    <w:qFormat/>
    <w:rsid w:val="002B7047"/>
    <w:pPr>
      <w:tabs>
        <w:tab w:val="clear" w:pos="794"/>
        <w:tab w:val="clear" w:pos="1191"/>
        <w:tab w:val="clear" w:pos="1588"/>
        <w:tab w:val="clear" w:pos="1985"/>
        <w:tab w:val="left" w:pos="1134"/>
        <w:tab w:val="left" w:pos="1871"/>
        <w:tab w:val="left" w:pos="2268"/>
      </w:tabs>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locked/>
    <w:rsid w:val="002B7047"/>
    <w:rPr>
      <w:rFonts w:asciiTheme="minorHAnsi" w:eastAsia="Times New Roma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AAC5-0451-4116-9F66-6828E76F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54</TotalTime>
  <Pages>3</Pages>
  <Words>1210</Words>
  <Characters>285</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Kong, Hongli</cp:lastModifiedBy>
  <cp:revision>6</cp:revision>
  <cp:lastPrinted>2019-03-13T08:14:00Z</cp:lastPrinted>
  <dcterms:created xsi:type="dcterms:W3CDTF">2019-03-12T15:27:00Z</dcterms:created>
  <dcterms:modified xsi:type="dcterms:W3CDTF">2019-03-13T08:54:00Z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