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2926BE" w:rsidTr="002713C7">
        <w:trPr>
          <w:cantSplit/>
          <w:trHeight w:val="1134"/>
        </w:trPr>
        <w:tc>
          <w:tcPr>
            <w:tcW w:w="7251" w:type="dxa"/>
          </w:tcPr>
          <w:p w:rsidR="0021438F" w:rsidRPr="002926BE" w:rsidRDefault="0021438F" w:rsidP="002926BE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</w:rPr>
            </w:pPr>
            <w:r w:rsidRPr="002926BE">
              <w:rPr>
                <w:b/>
                <w:sz w:val="32"/>
                <w:szCs w:val="32"/>
              </w:rPr>
              <w:t>Groupe</w:t>
            </w:r>
            <w:r w:rsidRPr="002926BE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2926BE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2926BE" w:rsidRDefault="00D87E6C" w:rsidP="002926BE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2926BE">
              <w:rPr>
                <w:b/>
                <w:bCs/>
                <w:sz w:val="26"/>
                <w:szCs w:val="26"/>
              </w:rPr>
              <w:t>24ème réunion, Genève, 3-5 avril 2019</w:t>
            </w:r>
          </w:p>
        </w:tc>
        <w:tc>
          <w:tcPr>
            <w:tcW w:w="2996" w:type="dxa"/>
          </w:tcPr>
          <w:p w:rsidR="0021438F" w:rsidRPr="002926BE" w:rsidRDefault="00D87E6C" w:rsidP="002926BE">
            <w:pPr>
              <w:spacing w:before="0"/>
              <w:ind w:right="142"/>
              <w:jc w:val="right"/>
            </w:pPr>
            <w:r w:rsidRPr="002926BE">
              <w:rPr>
                <w:noProof/>
                <w:color w:val="3399FF"/>
                <w:lang w:eastAsia="zh-CN"/>
              </w:rPr>
              <w:drawing>
                <wp:inline distT="0" distB="0" distL="0" distR="0" wp14:anchorId="2058137A" wp14:editId="6DF003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2926BE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2926BE" w:rsidRDefault="00683C32" w:rsidP="002926BE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2926BE" w:rsidRDefault="00683C32" w:rsidP="002926BE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2926BE" w:rsidTr="000C61E9">
        <w:trPr>
          <w:cantSplit/>
        </w:trPr>
        <w:tc>
          <w:tcPr>
            <w:tcW w:w="7251" w:type="dxa"/>
          </w:tcPr>
          <w:p w:rsidR="00683C32" w:rsidRPr="002926BE" w:rsidRDefault="00683C32" w:rsidP="002926BE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2926BE" w:rsidRDefault="00323587" w:rsidP="002926BE">
            <w:pPr>
              <w:spacing w:before="0"/>
              <w:rPr>
                <w:bCs/>
                <w:szCs w:val="24"/>
              </w:rPr>
            </w:pPr>
            <w:r w:rsidRPr="002926BE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2926BE">
              <w:rPr>
                <w:b/>
                <w:bCs/>
                <w:szCs w:val="28"/>
              </w:rPr>
              <w:t>TDAG</w:t>
            </w:r>
            <w:r w:rsidR="008F20EB" w:rsidRPr="002926BE">
              <w:rPr>
                <w:b/>
                <w:bCs/>
                <w:szCs w:val="28"/>
              </w:rPr>
              <w:t>-</w:t>
            </w:r>
            <w:r w:rsidRPr="002926BE">
              <w:rPr>
                <w:b/>
                <w:bCs/>
                <w:szCs w:val="28"/>
              </w:rPr>
              <w:t>1</w:t>
            </w:r>
            <w:r w:rsidR="00D87E6C" w:rsidRPr="002926BE">
              <w:rPr>
                <w:b/>
                <w:bCs/>
                <w:szCs w:val="28"/>
              </w:rPr>
              <w:t>9</w:t>
            </w:r>
            <w:r w:rsidRPr="002926BE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2713C7" w:rsidRPr="002926BE">
              <w:rPr>
                <w:b/>
                <w:bCs/>
                <w:szCs w:val="28"/>
              </w:rPr>
              <w:t>32</w:t>
            </w:r>
            <w:r w:rsidRPr="002926BE">
              <w:rPr>
                <w:b/>
                <w:bCs/>
                <w:szCs w:val="28"/>
              </w:rPr>
              <w:t>-F</w:t>
            </w:r>
          </w:p>
        </w:tc>
      </w:tr>
      <w:tr w:rsidR="00683C32" w:rsidRPr="002926BE" w:rsidTr="000C61E9">
        <w:trPr>
          <w:cantSplit/>
        </w:trPr>
        <w:tc>
          <w:tcPr>
            <w:tcW w:w="7251" w:type="dxa"/>
          </w:tcPr>
          <w:p w:rsidR="00683C32" w:rsidRPr="002926BE" w:rsidRDefault="00683C32" w:rsidP="002926B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2926BE" w:rsidRDefault="00CC17D0" w:rsidP="002926BE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2926BE">
              <w:rPr>
                <w:b/>
                <w:bCs/>
                <w:szCs w:val="28"/>
              </w:rPr>
              <w:t>12 février</w:t>
            </w:r>
            <w:r w:rsidR="00323587" w:rsidRPr="002926BE">
              <w:rPr>
                <w:b/>
                <w:bCs/>
                <w:szCs w:val="28"/>
              </w:rPr>
              <w:t xml:space="preserve"> 201</w:t>
            </w:r>
            <w:r w:rsidR="00D87E6C" w:rsidRPr="002926BE">
              <w:rPr>
                <w:b/>
                <w:bCs/>
                <w:szCs w:val="28"/>
              </w:rPr>
              <w:t>9</w:t>
            </w:r>
          </w:p>
        </w:tc>
      </w:tr>
      <w:tr w:rsidR="00683C32" w:rsidRPr="002926BE" w:rsidTr="000C61E9">
        <w:trPr>
          <w:cantSplit/>
        </w:trPr>
        <w:tc>
          <w:tcPr>
            <w:tcW w:w="7251" w:type="dxa"/>
          </w:tcPr>
          <w:p w:rsidR="00683C32" w:rsidRPr="002926BE" w:rsidRDefault="00683C32" w:rsidP="002926B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2926BE" w:rsidRDefault="00323587" w:rsidP="002926BE">
            <w:pPr>
              <w:spacing w:before="0"/>
              <w:rPr>
                <w:szCs w:val="24"/>
              </w:rPr>
            </w:pPr>
            <w:r w:rsidRPr="002926BE">
              <w:rPr>
                <w:b/>
                <w:szCs w:val="28"/>
              </w:rPr>
              <w:t>Original:</w:t>
            </w:r>
            <w:bookmarkStart w:id="3" w:name="Original"/>
            <w:bookmarkEnd w:id="3"/>
            <w:r w:rsidR="0080182E" w:rsidRPr="002926BE">
              <w:rPr>
                <w:b/>
                <w:szCs w:val="28"/>
              </w:rPr>
              <w:t xml:space="preserve"> anglais</w:t>
            </w:r>
          </w:p>
        </w:tc>
      </w:tr>
      <w:tr w:rsidR="00A13162" w:rsidRPr="002926BE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CC17D0" w:rsidRPr="002926BE" w:rsidRDefault="00CC17D0" w:rsidP="002926BE">
            <w:pPr>
              <w:pStyle w:val="Source"/>
            </w:pPr>
            <w:bookmarkStart w:id="4" w:name="Source"/>
            <w:bookmarkEnd w:id="4"/>
            <w:r w:rsidRPr="002926BE">
              <w:t>Directeur du Bureau de développement des télécommunications</w:t>
            </w:r>
          </w:p>
        </w:tc>
      </w:tr>
      <w:tr w:rsidR="00AC6F14" w:rsidRPr="002926BE" w:rsidTr="000C61E9">
        <w:trPr>
          <w:cantSplit/>
        </w:trPr>
        <w:tc>
          <w:tcPr>
            <w:tcW w:w="10247" w:type="dxa"/>
            <w:gridSpan w:val="2"/>
          </w:tcPr>
          <w:p w:rsidR="00AC6F14" w:rsidRPr="002926BE" w:rsidRDefault="00DB5B25" w:rsidP="002926BE">
            <w:pPr>
              <w:pStyle w:val="Title1"/>
            </w:pPr>
            <w:bookmarkStart w:id="5" w:name="Title"/>
            <w:bookmarkEnd w:id="5"/>
            <w:r w:rsidRPr="002926BE">
              <w:t>MISE EN OEUVRE</w:t>
            </w:r>
            <w:r w:rsidR="000D057B" w:rsidRPr="002926BE">
              <w:t xml:space="preserve"> </w:t>
            </w:r>
            <w:r w:rsidRPr="002926BE">
              <w:t>DE LA</w:t>
            </w:r>
            <w:r w:rsidR="000D057B" w:rsidRPr="002926BE">
              <w:t xml:space="preserve"> RÉSOLUTI</w:t>
            </w:r>
            <w:r w:rsidR="00DB037A">
              <w:rPr>
                <w:rFonts w:cs="Times New Roman"/>
                <w:bCs/>
                <w:caps/>
              </w:rPr>
              <w:t>ON 9 (Rév.</w:t>
            </w:r>
            <w:r w:rsidR="000D057B" w:rsidRPr="002926BE">
              <w:rPr>
                <w:rFonts w:cs="Times New Roman"/>
                <w:bCs/>
                <w:caps/>
              </w:rPr>
              <w:t>Buenos Aires, 2017)</w:t>
            </w:r>
            <w:r w:rsidRPr="002926BE">
              <w:rPr>
                <w:rFonts w:cs="Times New Roman"/>
                <w:bCs/>
                <w:caps/>
              </w:rPr>
              <w:t xml:space="preserve"> DE LA CMDT</w:t>
            </w:r>
          </w:p>
        </w:tc>
      </w:tr>
      <w:tr w:rsidR="00A721F4" w:rsidRPr="002926BE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2926BE" w:rsidRDefault="00A721F4" w:rsidP="002926BE"/>
        </w:tc>
      </w:tr>
      <w:tr w:rsidR="00A721F4" w:rsidRPr="002926BE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2926BE" w:rsidRDefault="00156BF6" w:rsidP="002926BE">
            <w:pPr>
              <w:rPr>
                <w:b/>
                <w:bCs/>
                <w:szCs w:val="24"/>
              </w:rPr>
            </w:pPr>
            <w:r w:rsidRPr="002926BE">
              <w:rPr>
                <w:b/>
                <w:bCs/>
                <w:szCs w:val="24"/>
              </w:rPr>
              <w:t>Résumé:</w:t>
            </w:r>
          </w:p>
          <w:p w:rsidR="00A721F4" w:rsidRPr="002926BE" w:rsidRDefault="002F3806" w:rsidP="002926BE">
            <w:pPr>
              <w:rPr>
                <w:szCs w:val="24"/>
              </w:rPr>
            </w:pPr>
            <w:r w:rsidRPr="002926BE">
              <w:rPr>
                <w:szCs w:val="24"/>
              </w:rPr>
              <w:t>On trouv</w:t>
            </w:r>
            <w:r w:rsidR="00DB5B25" w:rsidRPr="002926BE">
              <w:rPr>
                <w:szCs w:val="24"/>
              </w:rPr>
              <w:t>e</w:t>
            </w:r>
            <w:r w:rsidRPr="002926BE">
              <w:rPr>
                <w:szCs w:val="24"/>
              </w:rPr>
              <w:t>ra dans le</w:t>
            </w:r>
            <w:r w:rsidR="00DB5B25" w:rsidRPr="002926BE">
              <w:rPr>
                <w:szCs w:val="24"/>
              </w:rPr>
              <w:t xml:space="preserve"> présent</w:t>
            </w:r>
            <w:r w:rsidR="000D057B" w:rsidRPr="002926BE">
              <w:rPr>
                <w:szCs w:val="24"/>
              </w:rPr>
              <w:t xml:space="preserve"> document </w:t>
            </w:r>
            <w:r w:rsidR="00DB5B25" w:rsidRPr="002926BE">
              <w:rPr>
                <w:szCs w:val="24"/>
              </w:rPr>
              <w:t>un résumé des activités menées par l'UIT dans le cadre de la mise en oeuvre</w:t>
            </w:r>
            <w:r w:rsidR="000D057B" w:rsidRPr="002926BE">
              <w:rPr>
                <w:szCs w:val="24"/>
              </w:rPr>
              <w:t xml:space="preserve"> </w:t>
            </w:r>
            <w:r w:rsidR="00DB5B25" w:rsidRPr="002926BE">
              <w:rPr>
                <w:szCs w:val="24"/>
              </w:rPr>
              <w:t>de la</w:t>
            </w:r>
            <w:r w:rsidR="000D057B" w:rsidRPr="002926BE">
              <w:rPr>
                <w:szCs w:val="24"/>
              </w:rPr>
              <w:t xml:space="preserve"> R</w:t>
            </w:r>
            <w:r w:rsidR="00DB5B25" w:rsidRPr="002926BE">
              <w:rPr>
                <w:szCs w:val="24"/>
              </w:rPr>
              <w:t>é</w:t>
            </w:r>
            <w:r w:rsidR="000D057B" w:rsidRPr="002926BE">
              <w:rPr>
                <w:szCs w:val="24"/>
              </w:rPr>
              <w:t>solution 9.</w:t>
            </w:r>
          </w:p>
          <w:p w:rsidR="00A721F4" w:rsidRPr="002926BE" w:rsidRDefault="00156BF6" w:rsidP="002926BE">
            <w:pPr>
              <w:rPr>
                <w:b/>
                <w:bCs/>
                <w:szCs w:val="24"/>
              </w:rPr>
            </w:pPr>
            <w:r w:rsidRPr="002926BE">
              <w:rPr>
                <w:b/>
                <w:bCs/>
                <w:szCs w:val="24"/>
              </w:rPr>
              <w:t>Suite à donner:</w:t>
            </w:r>
          </w:p>
          <w:p w:rsidR="00A721F4" w:rsidRPr="002926BE" w:rsidRDefault="000D057B" w:rsidP="002926BE">
            <w:pPr>
              <w:rPr>
                <w:szCs w:val="24"/>
              </w:rPr>
            </w:pPr>
            <w:r w:rsidRPr="002926BE">
              <w:rPr>
                <w:szCs w:val="24"/>
              </w:rPr>
              <w:t>Le GCDT est invité à prendre note du présent document et à fournir les indications qu'il jugera nécessaires.</w:t>
            </w:r>
          </w:p>
          <w:p w:rsidR="00A721F4" w:rsidRPr="002926BE" w:rsidRDefault="00156BF6" w:rsidP="002926BE">
            <w:pPr>
              <w:rPr>
                <w:b/>
                <w:bCs/>
                <w:szCs w:val="24"/>
              </w:rPr>
            </w:pPr>
            <w:r w:rsidRPr="002926BE">
              <w:rPr>
                <w:b/>
                <w:bCs/>
                <w:szCs w:val="24"/>
              </w:rPr>
              <w:t>Références:</w:t>
            </w:r>
          </w:p>
          <w:p w:rsidR="00A721F4" w:rsidRPr="002926BE" w:rsidRDefault="000D057B" w:rsidP="00DB037A">
            <w:pPr>
              <w:spacing w:after="120"/>
            </w:pPr>
            <w:r w:rsidRPr="002926BE">
              <w:rPr>
                <w:color w:val="000000"/>
              </w:rPr>
              <w:t>Résolution 9 (Rév. Buenos Aires, 2017) de la CMDT</w:t>
            </w:r>
          </w:p>
        </w:tc>
      </w:tr>
    </w:tbl>
    <w:p w:rsidR="00C3150D" w:rsidRPr="002926BE" w:rsidRDefault="00C3150D" w:rsidP="002926BE"/>
    <w:p w:rsidR="00C3150D" w:rsidRPr="002926BE" w:rsidRDefault="00C3150D" w:rsidP="002926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3150D" w:rsidRPr="002926BE" w:rsidRDefault="00C3150D" w:rsidP="002926BE">
      <w:r w:rsidRPr="002926BE">
        <w:br w:type="page"/>
      </w:r>
    </w:p>
    <w:p w:rsidR="00984929" w:rsidRPr="002926BE" w:rsidRDefault="00C3150D" w:rsidP="002926BE">
      <w:pPr>
        <w:pStyle w:val="Headingb"/>
      </w:pPr>
      <w:r w:rsidRPr="002926BE">
        <w:lastRenderedPageBreak/>
        <w:t>Introduction</w:t>
      </w:r>
    </w:p>
    <w:p w:rsidR="00C3150D" w:rsidRPr="002926BE" w:rsidRDefault="00A05B90" w:rsidP="00DB037A">
      <w:pPr>
        <w:rPr>
          <w:b/>
        </w:rPr>
      </w:pPr>
      <w:r w:rsidRPr="002926BE">
        <w:t>L</w:t>
      </w:r>
      <w:r w:rsidR="00276329" w:rsidRPr="002926BE">
        <w:t>a CMDT-17</w:t>
      </w:r>
      <w:r w:rsidRPr="002926BE">
        <w:t xml:space="preserve"> tenue à Buenos Aires</w:t>
      </w:r>
      <w:r w:rsidR="00826CB7" w:rsidRPr="002926BE">
        <w:t xml:space="preserve"> </w:t>
      </w:r>
      <w:r w:rsidR="00DB5B25" w:rsidRPr="002926BE">
        <w:t>a approuvé la r</w:t>
      </w:r>
      <w:r w:rsidR="00276329" w:rsidRPr="002926BE">
        <w:t>é</w:t>
      </w:r>
      <w:r w:rsidR="00DB5B25" w:rsidRPr="002926BE">
        <w:t>vision de la</w:t>
      </w:r>
      <w:r w:rsidR="00C3150D" w:rsidRPr="002926BE">
        <w:t xml:space="preserve"> R</w:t>
      </w:r>
      <w:r w:rsidR="00DB5B25" w:rsidRPr="002926BE">
        <w:t>ésolution 9</w:t>
      </w:r>
      <w:r w:rsidRPr="002926BE">
        <w:t>,</w:t>
      </w:r>
      <w:r w:rsidR="00C3150D" w:rsidRPr="002926BE">
        <w:t xml:space="preserve"> </w:t>
      </w:r>
      <w:r w:rsidRPr="002926BE">
        <w:t>intitulée "P</w:t>
      </w:r>
      <w:r w:rsidR="00DB5B25" w:rsidRPr="002926BE">
        <w:t>articipation des pays, en particulier des pays en développement, à la gestion du spectre radioélectrique</w:t>
      </w:r>
      <w:r w:rsidRPr="002926BE">
        <w:t>"</w:t>
      </w:r>
      <w:r w:rsidR="00DB037A">
        <w:t>.</w:t>
      </w:r>
    </w:p>
    <w:p w:rsidR="00C3150D" w:rsidRPr="002926BE" w:rsidRDefault="00A05B90" w:rsidP="00DB037A">
      <w:r w:rsidRPr="002926BE">
        <w:t>En vertu du point 4 du</w:t>
      </w:r>
      <w:r w:rsidR="00DB037A">
        <w:t xml:space="preserve"> </w:t>
      </w:r>
      <w:r w:rsidR="00C3150D" w:rsidRPr="00DB037A">
        <w:rPr>
          <w:i/>
          <w:iCs/>
        </w:rPr>
        <w:t>charge le Directeur du Bureau de développement des télécommunications</w:t>
      </w:r>
      <w:r w:rsidR="00DB037A">
        <w:rPr>
          <w:i/>
          <w:iCs/>
        </w:rPr>
        <w:t xml:space="preserve"> </w:t>
      </w:r>
      <w:r w:rsidRPr="002926BE">
        <w:t>de cette Résolution, le Directeur doit</w:t>
      </w:r>
      <w:r w:rsidR="00C3150D" w:rsidRPr="002926BE">
        <w:rPr>
          <w:rFonts w:ascii="Calibri" w:hAnsi="Calibri"/>
        </w:rPr>
        <w:t xml:space="preserve"> présenter au Groupe consultatif pour le développement des télécommunications des rapports annuels sur la mise en oeuvre de la</w:t>
      </w:r>
      <w:r w:rsidRPr="002926BE">
        <w:rPr>
          <w:rFonts w:ascii="Calibri" w:hAnsi="Calibri"/>
        </w:rPr>
        <w:t>dite</w:t>
      </w:r>
      <w:r w:rsidR="00C3150D" w:rsidRPr="002926BE">
        <w:rPr>
          <w:rFonts w:ascii="Calibri" w:hAnsi="Calibri"/>
        </w:rPr>
        <w:t xml:space="preserve"> Résolution</w:t>
      </w:r>
      <w:r w:rsidRPr="002926BE">
        <w:rPr>
          <w:rFonts w:ascii="Calibri" w:hAnsi="Calibri"/>
        </w:rPr>
        <w:t>.</w:t>
      </w:r>
    </w:p>
    <w:p w:rsidR="00D040F7" w:rsidRPr="002926BE" w:rsidRDefault="00DB5B25" w:rsidP="002926BE">
      <w:pPr>
        <w:pStyle w:val="Headingb"/>
      </w:pPr>
      <w:r w:rsidRPr="002926BE">
        <w:t>Mise en oeuvre</w:t>
      </w:r>
      <w:r w:rsidR="00CD7671" w:rsidRPr="002926BE">
        <w:t xml:space="preserve"> </w:t>
      </w:r>
      <w:r w:rsidRPr="002926BE">
        <w:t>de la</w:t>
      </w:r>
      <w:r w:rsidR="00CD7671" w:rsidRPr="002926BE">
        <w:t xml:space="preserve"> R</w:t>
      </w:r>
      <w:r w:rsidRPr="002926BE">
        <w:t>é</w:t>
      </w:r>
      <w:r w:rsidR="00CD7671" w:rsidRPr="002926BE">
        <w:t>solution 9</w:t>
      </w:r>
    </w:p>
    <w:p w:rsidR="00E730E5" w:rsidRPr="002926BE" w:rsidRDefault="00DB5B25" w:rsidP="002926BE">
      <w:r w:rsidRPr="002926BE">
        <w:rPr>
          <w:szCs w:val="24"/>
        </w:rPr>
        <w:t>Le présent</w:t>
      </w:r>
      <w:r w:rsidR="00E730E5" w:rsidRPr="002926BE">
        <w:rPr>
          <w:szCs w:val="24"/>
        </w:rPr>
        <w:t xml:space="preserve"> document </w:t>
      </w:r>
      <w:r w:rsidR="00A05B90" w:rsidRPr="002926BE">
        <w:rPr>
          <w:szCs w:val="24"/>
        </w:rPr>
        <w:t>est</w:t>
      </w:r>
      <w:r w:rsidRPr="002926BE">
        <w:rPr>
          <w:szCs w:val="24"/>
        </w:rPr>
        <w:t xml:space="preserve"> un résumé des</w:t>
      </w:r>
      <w:r w:rsidR="00E730E5" w:rsidRPr="002926BE">
        <w:rPr>
          <w:szCs w:val="24"/>
        </w:rPr>
        <w:t xml:space="preserve"> </w:t>
      </w:r>
      <w:r w:rsidRPr="002926BE">
        <w:rPr>
          <w:szCs w:val="24"/>
        </w:rPr>
        <w:t>activités menées par l'UIT</w:t>
      </w:r>
      <w:r w:rsidR="00E730E5" w:rsidRPr="002926BE">
        <w:rPr>
          <w:szCs w:val="24"/>
        </w:rPr>
        <w:t xml:space="preserve"> </w:t>
      </w:r>
      <w:r w:rsidRPr="002926BE">
        <w:rPr>
          <w:szCs w:val="24"/>
        </w:rPr>
        <w:t>dans le cadre de la mise en oeuvre</w:t>
      </w:r>
      <w:r w:rsidR="00E730E5" w:rsidRPr="002926BE">
        <w:rPr>
          <w:szCs w:val="24"/>
        </w:rPr>
        <w:t xml:space="preserve"> </w:t>
      </w:r>
      <w:r w:rsidRPr="002926BE">
        <w:rPr>
          <w:szCs w:val="24"/>
        </w:rPr>
        <w:t xml:space="preserve">de la </w:t>
      </w:r>
      <w:r w:rsidR="00E730E5" w:rsidRPr="002926BE">
        <w:rPr>
          <w:szCs w:val="24"/>
        </w:rPr>
        <w:t xml:space="preserve">Résolution 9. </w:t>
      </w:r>
      <w:r w:rsidRPr="002926BE">
        <w:rPr>
          <w:szCs w:val="24"/>
        </w:rPr>
        <w:t>L'</w:t>
      </w:r>
      <w:r w:rsidR="00E730E5" w:rsidRPr="002926BE">
        <w:rPr>
          <w:szCs w:val="24"/>
        </w:rPr>
        <w:t>Annex</w:t>
      </w:r>
      <w:r w:rsidR="00826CB7" w:rsidRPr="002926BE">
        <w:rPr>
          <w:szCs w:val="24"/>
        </w:rPr>
        <w:t xml:space="preserve">e </w:t>
      </w:r>
      <w:r w:rsidR="00E730E5" w:rsidRPr="002926BE">
        <w:rPr>
          <w:szCs w:val="24"/>
        </w:rPr>
        <w:t>1 de la Résolution 9</w:t>
      </w:r>
      <w:r w:rsidRPr="002926BE">
        <w:rPr>
          <w:szCs w:val="24"/>
        </w:rPr>
        <w:t xml:space="preserve"> </w:t>
      </w:r>
      <w:r w:rsidR="00A05B90" w:rsidRPr="002926BE">
        <w:rPr>
          <w:szCs w:val="24"/>
        </w:rPr>
        <w:t xml:space="preserve">donne </w:t>
      </w:r>
      <w:r w:rsidRPr="002926BE">
        <w:rPr>
          <w:szCs w:val="24"/>
        </w:rPr>
        <w:t>des e</w:t>
      </w:r>
      <w:r w:rsidR="00A05B90" w:rsidRPr="002926BE">
        <w:t>xemples de besoins particulier</w:t>
      </w:r>
      <w:r w:rsidR="00E730E5" w:rsidRPr="002926BE">
        <w:t>s des pays en développement en matière de gestion du spectre</w:t>
      </w:r>
      <w:r w:rsidR="00B72D88" w:rsidRPr="002926BE">
        <w:t>.</w:t>
      </w:r>
    </w:p>
    <w:p w:rsidR="005A7B2E" w:rsidRPr="002926BE" w:rsidRDefault="000242A8" w:rsidP="002926BE">
      <w:pPr>
        <w:rPr>
          <w:szCs w:val="24"/>
        </w:rPr>
      </w:pPr>
      <w:r w:rsidRPr="002926BE">
        <w:rPr>
          <w:szCs w:val="24"/>
        </w:rPr>
        <w:t xml:space="preserve">Les principaux </w:t>
      </w:r>
      <w:r w:rsidR="00C51191" w:rsidRPr="002926BE">
        <w:rPr>
          <w:szCs w:val="24"/>
        </w:rPr>
        <w:t>thè</w:t>
      </w:r>
      <w:r w:rsidRPr="002926BE">
        <w:rPr>
          <w:szCs w:val="24"/>
        </w:rPr>
        <w:t>mes sont les suivants</w:t>
      </w:r>
      <w:r w:rsidR="005A7B2E" w:rsidRPr="002926BE">
        <w:rPr>
          <w:szCs w:val="24"/>
        </w:rPr>
        <w:t>:</w:t>
      </w:r>
    </w:p>
    <w:p w:rsidR="005A7B2E" w:rsidRPr="002926BE" w:rsidRDefault="005A7B2E" w:rsidP="002926BE">
      <w:pPr>
        <w:pStyle w:val="enumlev1"/>
      </w:pPr>
      <w:r w:rsidRPr="002926BE">
        <w:rPr>
          <w:szCs w:val="24"/>
        </w:rPr>
        <w:t>1)</w:t>
      </w:r>
      <w:r w:rsidRPr="002926BE">
        <w:rPr>
          <w:szCs w:val="24"/>
        </w:rPr>
        <w:tab/>
      </w:r>
      <w:r w:rsidRPr="002926BE">
        <w:t>Aide à la sensibilisation des décideurs nationaux à l'importance d'une bonne gestion du spectre pour le développement économique et social du pays</w:t>
      </w:r>
      <w:r w:rsidR="00517AC9" w:rsidRPr="002926BE">
        <w:t>.</w:t>
      </w:r>
    </w:p>
    <w:p w:rsidR="005A7B2E" w:rsidRPr="002926BE" w:rsidRDefault="005A7B2E" w:rsidP="002926BE">
      <w:pPr>
        <w:pStyle w:val="enumlev1"/>
      </w:pPr>
      <w:r w:rsidRPr="002926BE">
        <w:t>2)</w:t>
      </w:r>
      <w:r w:rsidRPr="002926BE">
        <w:tab/>
        <w:t>Formation et diffusion de la documentation disponible à l'UIT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3)</w:t>
      </w:r>
      <w:r w:rsidRPr="002926BE">
        <w:tab/>
      </w:r>
      <w:r w:rsidR="005A7B2E" w:rsidRPr="002926BE">
        <w:t>Aide à la mise au point de méthodes d'élaboration des tableaux nationaux d'attribution des bandes de fréquences et de redéploiement du spectre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4)</w:t>
      </w:r>
      <w:r w:rsidRPr="002926BE">
        <w:tab/>
      </w:r>
      <w:r w:rsidR="005A7B2E" w:rsidRPr="002926BE">
        <w:t>Aide à la mise en place de systèmes automatisés de gestion et de contrôle des fréquences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5)</w:t>
      </w:r>
      <w:r w:rsidRPr="002926BE">
        <w:tab/>
      </w:r>
      <w:r w:rsidR="005A7B2E" w:rsidRPr="002926BE">
        <w:t>Aspects économiques et financiers de la gestion des fréquences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6)</w:t>
      </w:r>
      <w:r w:rsidRPr="002926BE">
        <w:tab/>
      </w:r>
      <w:r w:rsidR="005A7B2E" w:rsidRPr="002926BE">
        <w:t>Aide à la préparation des conférences mondiales des radiocommunications (CMR) et au suivi ainsi qu'à la mise en oeuvre de leurs décisions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7)</w:t>
      </w:r>
      <w:r w:rsidRPr="002926BE">
        <w:tab/>
      </w:r>
      <w:r w:rsidR="005A7B2E" w:rsidRPr="002926BE">
        <w:t>Aide à la participation aux travaux des commissions d'études compétentes de l'UIT</w:t>
      </w:r>
      <w:r w:rsidR="005A7B2E" w:rsidRPr="002926BE">
        <w:noBreakHyphen/>
        <w:t>R et de leurs groupes de travail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8)</w:t>
      </w:r>
      <w:r w:rsidRPr="002926BE">
        <w:tab/>
      </w:r>
      <w:r w:rsidR="005A7B2E" w:rsidRPr="002926BE">
        <w:t>Passage à la radiodiffusion télévisuelle numérique de Terre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9)</w:t>
      </w:r>
      <w:r w:rsidRPr="002926BE">
        <w:tab/>
      </w:r>
      <w:r w:rsidR="005A7B2E" w:rsidRPr="002926BE">
        <w:t>Assistance pour déterminer les moyens les plus efficaces d'utiliser le dividende numérique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10)</w:t>
      </w:r>
      <w:r w:rsidRPr="002926BE">
        <w:tab/>
      </w:r>
      <w:r w:rsidR="005A7B2E" w:rsidRPr="002926BE">
        <w:t>Nouvelles technologies et approches en matière d'utilisation du spectre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11)</w:t>
      </w:r>
      <w:r w:rsidRPr="002926BE">
        <w:tab/>
      </w:r>
      <w:r w:rsidR="005A7B2E" w:rsidRPr="002926BE">
        <w:t>Méthodes novatrices en matière d'octroi de licences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12)</w:t>
      </w:r>
      <w:r w:rsidRPr="002926BE">
        <w:tab/>
      </w:r>
      <w:r w:rsidR="005A7B2E" w:rsidRPr="002926BE">
        <w:t>Fourniture d'une assistance en cas de brouillages causés par des dispositifs qui ne sont pas exploités conformément aux attributions de fréquences nationales</w:t>
      </w:r>
      <w:r w:rsidR="00517AC9" w:rsidRPr="002926BE">
        <w:t>.</w:t>
      </w:r>
    </w:p>
    <w:p w:rsidR="005A7B2E" w:rsidRPr="002926BE" w:rsidRDefault="00FF08BD" w:rsidP="002926BE">
      <w:pPr>
        <w:pStyle w:val="enumlev1"/>
      </w:pPr>
      <w:r w:rsidRPr="002926BE">
        <w:t>13)</w:t>
      </w:r>
      <w:r w:rsidRPr="002926BE">
        <w:tab/>
      </w:r>
      <w:r w:rsidR="005A7B2E" w:rsidRPr="002926BE">
        <w:t>Fourniture d'une assistance en vue de trouver des solutions aux problèmes des brouillages saisonniers causés par la propagation anormale des ondes radioélectriques</w:t>
      </w:r>
      <w:r w:rsidR="00517AC9" w:rsidRPr="002926BE">
        <w:t>.</w:t>
      </w:r>
    </w:p>
    <w:p w:rsidR="005A7B2E" w:rsidRPr="002926BE" w:rsidRDefault="00517AC9" w:rsidP="00DB037A">
      <w:pPr>
        <w:pStyle w:val="enumlev1"/>
      </w:pPr>
      <w:r w:rsidRPr="002926BE">
        <w:t>14)</w:t>
      </w:r>
      <w:r w:rsidRPr="002926BE">
        <w:tab/>
      </w:r>
      <w:r w:rsidR="000242A8" w:rsidRPr="00DB037A">
        <w:t xml:space="preserve">Amélioration et formation relatives au </w:t>
      </w:r>
      <w:r w:rsidR="00276329" w:rsidRPr="00DB037A">
        <w:t>SMS4DC (</w:t>
      </w:r>
      <w:r w:rsidR="000242A8" w:rsidRPr="00DB037A">
        <w:t xml:space="preserve">système de gestion du spectre </w:t>
      </w:r>
      <w:r w:rsidR="00276329" w:rsidRPr="00DB037A">
        <w:t>pour les pays en développement</w:t>
      </w:r>
      <w:r w:rsidR="000242A8" w:rsidRPr="00DB037A">
        <w:t>)</w:t>
      </w:r>
      <w:r w:rsidRPr="00DB037A">
        <w:t>.</w:t>
      </w:r>
    </w:p>
    <w:p w:rsidR="00A62651" w:rsidRPr="002926BE" w:rsidRDefault="00C7304B" w:rsidP="00DB037A">
      <w:pPr>
        <w:spacing w:after="120"/>
        <w:rPr>
          <w:szCs w:val="24"/>
        </w:rPr>
      </w:pPr>
      <w:r w:rsidRPr="002926BE">
        <w:rPr>
          <w:szCs w:val="24"/>
        </w:rPr>
        <w:t>L</w:t>
      </w:r>
      <w:r w:rsidR="000242A8" w:rsidRPr="002926BE">
        <w:rPr>
          <w:szCs w:val="24"/>
        </w:rPr>
        <w:t>e T</w:t>
      </w:r>
      <w:r w:rsidR="00A62651" w:rsidRPr="002926BE">
        <w:rPr>
          <w:szCs w:val="24"/>
        </w:rPr>
        <w:t>able</w:t>
      </w:r>
      <w:r w:rsidR="000242A8" w:rsidRPr="002926BE">
        <w:rPr>
          <w:szCs w:val="24"/>
        </w:rPr>
        <w:t>au</w:t>
      </w:r>
      <w:r w:rsidR="00A62651" w:rsidRPr="002926BE">
        <w:rPr>
          <w:szCs w:val="24"/>
        </w:rPr>
        <w:t xml:space="preserve"> 1 </w:t>
      </w:r>
      <w:r w:rsidR="000242A8" w:rsidRPr="002926BE">
        <w:rPr>
          <w:szCs w:val="24"/>
        </w:rPr>
        <w:t>ci-dessous</w:t>
      </w:r>
      <w:r w:rsidR="00A62651" w:rsidRPr="002926BE">
        <w:rPr>
          <w:szCs w:val="24"/>
        </w:rPr>
        <w:t xml:space="preserve"> </w:t>
      </w:r>
      <w:r w:rsidR="000242A8" w:rsidRPr="002926BE">
        <w:rPr>
          <w:szCs w:val="24"/>
        </w:rPr>
        <w:t>donne un aperçu</w:t>
      </w:r>
      <w:r w:rsidR="00A62651" w:rsidRPr="002926BE">
        <w:rPr>
          <w:szCs w:val="24"/>
        </w:rPr>
        <w:t xml:space="preserve"> </w:t>
      </w:r>
      <w:r w:rsidRPr="002926BE">
        <w:rPr>
          <w:szCs w:val="24"/>
        </w:rPr>
        <w:t>général</w:t>
      </w:r>
      <w:r w:rsidR="000242A8" w:rsidRPr="002926BE">
        <w:rPr>
          <w:szCs w:val="24"/>
        </w:rPr>
        <w:t xml:space="preserve"> du nombre</w:t>
      </w:r>
      <w:r w:rsidR="00A62651" w:rsidRPr="002926BE">
        <w:rPr>
          <w:szCs w:val="24"/>
        </w:rPr>
        <w:t xml:space="preserve"> </w:t>
      </w:r>
      <w:r w:rsidR="000242A8" w:rsidRPr="002926BE">
        <w:rPr>
          <w:szCs w:val="24"/>
        </w:rPr>
        <w:t>de cas</w:t>
      </w:r>
      <w:r w:rsidR="00A62651" w:rsidRPr="002926BE">
        <w:rPr>
          <w:szCs w:val="24"/>
        </w:rPr>
        <w:t xml:space="preserve"> </w:t>
      </w:r>
      <w:r w:rsidR="00A05B90" w:rsidRPr="002926BE">
        <w:rPr>
          <w:szCs w:val="24"/>
        </w:rPr>
        <w:t xml:space="preserve">dans lesquels une </w:t>
      </w:r>
      <w:r w:rsidR="00A62651" w:rsidRPr="002926BE">
        <w:rPr>
          <w:szCs w:val="24"/>
        </w:rPr>
        <w:t xml:space="preserve">assistance </w:t>
      </w:r>
      <w:r w:rsidR="00826CB7" w:rsidRPr="002926BE">
        <w:rPr>
          <w:szCs w:val="24"/>
        </w:rPr>
        <w:t xml:space="preserve">a été </w:t>
      </w:r>
      <w:r w:rsidR="00A05B90" w:rsidRPr="002926BE">
        <w:rPr>
          <w:szCs w:val="24"/>
        </w:rPr>
        <w:t>fournie au titre de chaque</w:t>
      </w:r>
      <w:r w:rsidR="000242A8" w:rsidRPr="002926BE">
        <w:rPr>
          <w:szCs w:val="24"/>
        </w:rPr>
        <w:t xml:space="preserve"> thème</w:t>
      </w:r>
      <w:r w:rsidR="00A62651" w:rsidRPr="002926BE">
        <w:rPr>
          <w:szCs w:val="24"/>
        </w:rPr>
        <w:t xml:space="preserve">. </w:t>
      </w:r>
      <w:r w:rsidR="00A05B90" w:rsidRPr="002926BE">
        <w:rPr>
          <w:szCs w:val="24"/>
        </w:rPr>
        <w:t>Pour plus de précision</w:t>
      </w:r>
      <w:r w:rsidRPr="002926BE">
        <w:rPr>
          <w:szCs w:val="24"/>
        </w:rPr>
        <w:t>s</w:t>
      </w:r>
      <w:r w:rsidR="00A62651" w:rsidRPr="002926BE">
        <w:rPr>
          <w:szCs w:val="24"/>
        </w:rPr>
        <w:t xml:space="preserve">, </w:t>
      </w:r>
      <w:r w:rsidR="0010494A">
        <w:rPr>
          <w:szCs w:val="24"/>
        </w:rPr>
        <w:t>veuillez-</w:t>
      </w:r>
      <w:r w:rsidR="00A05B90" w:rsidRPr="002926BE">
        <w:rPr>
          <w:szCs w:val="24"/>
        </w:rPr>
        <w:t>vous reporter</w:t>
      </w:r>
      <w:r w:rsidRPr="002926BE">
        <w:rPr>
          <w:szCs w:val="24"/>
        </w:rPr>
        <w:t xml:space="preserve"> au</w:t>
      </w:r>
      <w:r w:rsidR="00A62651" w:rsidRPr="002926BE">
        <w:rPr>
          <w:szCs w:val="24"/>
        </w:rPr>
        <w:t xml:space="preserve"> </w:t>
      </w:r>
      <w:r w:rsidR="00DB037A">
        <w:rPr>
          <w:szCs w:val="24"/>
        </w:rPr>
        <w:t>t</w:t>
      </w:r>
      <w:r w:rsidR="00A62651" w:rsidRPr="002926BE">
        <w:rPr>
          <w:szCs w:val="24"/>
        </w:rPr>
        <w:t>able</w:t>
      </w:r>
      <w:r w:rsidRPr="002926BE">
        <w:rPr>
          <w:szCs w:val="24"/>
        </w:rPr>
        <w:t>au</w:t>
      </w:r>
      <w:r w:rsidR="00A05B90" w:rsidRPr="002926BE">
        <w:rPr>
          <w:szCs w:val="24"/>
        </w:rPr>
        <w:t xml:space="preserve"> figurant</w:t>
      </w:r>
      <w:r w:rsidRPr="002926BE">
        <w:rPr>
          <w:szCs w:val="24"/>
        </w:rPr>
        <w:t xml:space="preserve"> dans</w:t>
      </w:r>
      <w:r w:rsidR="00A62651" w:rsidRPr="002926BE">
        <w:rPr>
          <w:szCs w:val="24"/>
        </w:rPr>
        <w:t xml:space="preserve"> </w:t>
      </w:r>
      <w:r w:rsidRPr="002926BE">
        <w:rPr>
          <w:szCs w:val="24"/>
        </w:rPr>
        <w:t>l'</w:t>
      </w:r>
      <w:r w:rsidR="00A62651" w:rsidRPr="002926BE">
        <w:rPr>
          <w:szCs w:val="24"/>
        </w:rPr>
        <w:t>Annex</w:t>
      </w:r>
      <w:r w:rsidRPr="002926BE">
        <w:rPr>
          <w:szCs w:val="24"/>
        </w:rPr>
        <w:t>e</w:t>
      </w:r>
      <w:r w:rsidR="00A62651" w:rsidRPr="002926BE">
        <w:rPr>
          <w:szCs w:val="24"/>
        </w:rPr>
        <w:t xml:space="preserve"> </w:t>
      </w:r>
      <w:r w:rsidRPr="002926BE">
        <w:rPr>
          <w:szCs w:val="24"/>
        </w:rPr>
        <w:t>du présent</w:t>
      </w:r>
      <w:r w:rsidR="00A62651" w:rsidRPr="002926BE">
        <w:rPr>
          <w:szCs w:val="24"/>
        </w:rPr>
        <w:t xml:space="preserve"> </w:t>
      </w:r>
      <w:r w:rsidRPr="002926BE">
        <w:rPr>
          <w:szCs w:val="24"/>
        </w:rPr>
        <w:t>document (D</w:t>
      </w:r>
      <w:r w:rsidR="00A62651" w:rsidRPr="002926BE">
        <w:rPr>
          <w:szCs w:val="24"/>
        </w:rPr>
        <w:t xml:space="preserve">ocument INF/4), </w:t>
      </w:r>
      <w:r w:rsidRPr="002926BE">
        <w:rPr>
          <w:szCs w:val="24"/>
        </w:rPr>
        <w:t xml:space="preserve">qui </w:t>
      </w:r>
      <w:r w:rsidR="00A05B90" w:rsidRPr="002926BE">
        <w:rPr>
          <w:szCs w:val="24"/>
        </w:rPr>
        <w:t xml:space="preserve">est </w:t>
      </w:r>
      <w:r w:rsidRPr="002926BE">
        <w:rPr>
          <w:szCs w:val="24"/>
        </w:rPr>
        <w:t>un résumé</w:t>
      </w:r>
      <w:r w:rsidR="00A62651" w:rsidRPr="002926BE">
        <w:rPr>
          <w:szCs w:val="24"/>
        </w:rPr>
        <w:t xml:space="preserve"> </w:t>
      </w:r>
      <w:r w:rsidRPr="002926BE">
        <w:rPr>
          <w:szCs w:val="24"/>
        </w:rPr>
        <w:t>de l'</w:t>
      </w:r>
      <w:r w:rsidR="00A62651" w:rsidRPr="002926BE">
        <w:rPr>
          <w:szCs w:val="24"/>
        </w:rPr>
        <w:t xml:space="preserve">assistance </w:t>
      </w:r>
      <w:r w:rsidR="005756A9" w:rsidRPr="002926BE">
        <w:rPr>
          <w:szCs w:val="24"/>
        </w:rPr>
        <w:t>fournie aux pays</w:t>
      </w:r>
      <w:r w:rsidR="00A62651" w:rsidRPr="002926BE">
        <w:rPr>
          <w:szCs w:val="24"/>
        </w:rPr>
        <w:t xml:space="preserve"> </w:t>
      </w:r>
      <w:r w:rsidR="005756A9" w:rsidRPr="002926BE">
        <w:rPr>
          <w:szCs w:val="24"/>
        </w:rPr>
        <w:t>en ce qui concerne les questions de gestion</w:t>
      </w:r>
      <w:r w:rsidR="00A62651" w:rsidRPr="002926BE">
        <w:rPr>
          <w:szCs w:val="24"/>
        </w:rPr>
        <w:t xml:space="preserve"> </w:t>
      </w:r>
      <w:r w:rsidR="00A05B90" w:rsidRPr="002926BE">
        <w:rPr>
          <w:szCs w:val="24"/>
        </w:rPr>
        <w:t>du spectre pour chaque</w:t>
      </w:r>
      <w:r w:rsidR="005756A9" w:rsidRPr="002926BE">
        <w:rPr>
          <w:szCs w:val="24"/>
        </w:rPr>
        <w:t xml:space="preserve"> région</w:t>
      </w:r>
      <w:r w:rsidR="00A62651" w:rsidRPr="002926BE">
        <w:rPr>
          <w:szCs w:val="24"/>
        </w:rPr>
        <w:t>.</w:t>
      </w:r>
    </w:p>
    <w:p w:rsidR="00DB037A" w:rsidRDefault="00DB037A" w:rsidP="002926BE">
      <w:r>
        <w:br w:type="page"/>
      </w:r>
    </w:p>
    <w:p w:rsidR="00A62651" w:rsidRPr="002926BE" w:rsidRDefault="005756A9" w:rsidP="002926BE">
      <w:pPr>
        <w:rPr>
          <w:bCs/>
          <w:iCs/>
        </w:rPr>
      </w:pPr>
      <w:r w:rsidRPr="002926BE">
        <w:lastRenderedPageBreak/>
        <w:t>Cette année</w:t>
      </w:r>
      <w:r w:rsidR="00826CB7" w:rsidRPr="002926BE">
        <w:t>,</w:t>
      </w:r>
      <w:r w:rsidR="00A62651" w:rsidRPr="002926BE">
        <w:t xml:space="preserve"> </w:t>
      </w:r>
      <w:r w:rsidRPr="002926BE">
        <w:t>l'</w:t>
      </w:r>
      <w:r w:rsidR="00A62651" w:rsidRPr="002926BE">
        <w:t xml:space="preserve">assistance </w:t>
      </w:r>
      <w:r w:rsidRPr="002926BE">
        <w:t xml:space="preserve">directe </w:t>
      </w:r>
      <w:r w:rsidR="00A05B90" w:rsidRPr="002926BE">
        <w:t xml:space="preserve">continuera d'être fournie </w:t>
      </w:r>
      <w:r w:rsidRPr="002926BE">
        <w:t>dans le cadre des projets coréens</w:t>
      </w:r>
      <w:r w:rsidR="00A62651" w:rsidRPr="002926BE">
        <w:t xml:space="preserve"> </w:t>
      </w:r>
      <w:r w:rsidRPr="002926BE">
        <w:t>en ce qui concerne</w:t>
      </w:r>
      <w:r w:rsidR="00A62651" w:rsidRPr="002926BE">
        <w:t xml:space="preserve"> </w:t>
      </w:r>
      <w:r w:rsidRPr="002926BE">
        <w:t>le développement du système de gestion nationale du spectre</w:t>
      </w:r>
      <w:r w:rsidR="00246021" w:rsidRPr="002926BE">
        <w:t>,</w:t>
      </w:r>
      <w:r w:rsidR="00A62651" w:rsidRPr="002926BE">
        <w:t xml:space="preserve"> </w:t>
      </w:r>
      <w:r w:rsidRPr="002926BE">
        <w:t>la formation à la gestion du spectre</w:t>
      </w:r>
      <w:r w:rsidR="00246021" w:rsidRPr="002926BE">
        <w:t xml:space="preserve"> et</w:t>
      </w:r>
      <w:r w:rsidR="00A62651" w:rsidRPr="002926BE">
        <w:t xml:space="preserve"> </w:t>
      </w:r>
      <w:r w:rsidR="00C51191" w:rsidRPr="002926BE">
        <w:t>le passage à la radiodiffusion numérique</w:t>
      </w:r>
      <w:r w:rsidR="00A62651" w:rsidRPr="002926BE">
        <w:t xml:space="preserve"> (</w:t>
      </w:r>
      <w:r w:rsidR="00C51191" w:rsidRPr="002926BE">
        <w:t>y compris la mise à jour</w:t>
      </w:r>
      <w:r w:rsidR="00A62651" w:rsidRPr="002926BE">
        <w:t xml:space="preserve"> </w:t>
      </w:r>
      <w:r w:rsidR="00C51191" w:rsidRPr="002926BE">
        <w:t>de la base de données</w:t>
      </w:r>
      <w:r w:rsidR="00A62651" w:rsidRPr="002926BE">
        <w:t xml:space="preserve"> </w:t>
      </w:r>
      <w:r w:rsidR="00826CB7" w:rsidRPr="002926BE">
        <w:t>sur le passage au numérique (</w:t>
      </w:r>
      <w:r w:rsidR="00A62651" w:rsidRPr="002926BE">
        <w:t>DSO)</w:t>
      </w:r>
      <w:r w:rsidR="00826CB7" w:rsidRPr="002926BE">
        <w:t>)</w:t>
      </w:r>
      <w:r w:rsidR="00A62651" w:rsidRPr="002926BE">
        <w:t xml:space="preserve">, </w:t>
      </w:r>
      <w:r w:rsidR="00C51191" w:rsidRPr="002926BE">
        <w:t>un atelier thématique</w:t>
      </w:r>
      <w:r w:rsidR="00A62651" w:rsidRPr="002926BE">
        <w:t xml:space="preserve"> </w:t>
      </w:r>
      <w:r w:rsidR="00C51191" w:rsidRPr="002926BE">
        <w:t>sur la</w:t>
      </w:r>
      <w:r w:rsidR="00A62651" w:rsidRPr="002926BE">
        <w:t xml:space="preserve"> </w:t>
      </w:r>
      <w:r w:rsidR="00732E01" w:rsidRPr="002926BE">
        <w:t xml:space="preserve">technologie </w:t>
      </w:r>
      <w:r w:rsidR="00A62651" w:rsidRPr="002926BE">
        <w:t xml:space="preserve">5G </w:t>
      </w:r>
      <w:r w:rsidR="00732E01" w:rsidRPr="002926BE">
        <w:t>pour les pays en développement</w:t>
      </w:r>
      <w:r w:rsidR="00A62651" w:rsidRPr="002926BE">
        <w:t xml:space="preserve"> </w:t>
      </w:r>
      <w:r w:rsidR="00732E01" w:rsidRPr="002926BE">
        <w:t>et sur</w:t>
      </w:r>
      <w:r w:rsidR="00A62651" w:rsidRPr="002926BE">
        <w:t xml:space="preserve"> </w:t>
      </w:r>
      <w:r w:rsidR="00732E01" w:rsidRPr="002926BE">
        <w:rPr>
          <w:color w:val="212529"/>
        </w:rPr>
        <w:t>les</w:t>
      </w:r>
      <w:r w:rsidR="00A62651" w:rsidRPr="002926BE">
        <w:rPr>
          <w:color w:val="212529"/>
        </w:rPr>
        <w:t xml:space="preserve"> infrastructure</w:t>
      </w:r>
      <w:r w:rsidR="00732E01" w:rsidRPr="002926BE">
        <w:rPr>
          <w:color w:val="212529"/>
        </w:rPr>
        <w:t>s</w:t>
      </w:r>
      <w:r w:rsidR="00A62651" w:rsidRPr="002926BE">
        <w:rPr>
          <w:color w:val="212529"/>
        </w:rPr>
        <w:t xml:space="preserve"> </w:t>
      </w:r>
      <w:r w:rsidR="00732E01" w:rsidRPr="002926BE">
        <w:rPr>
          <w:color w:val="212529"/>
        </w:rPr>
        <w:t>et les</w:t>
      </w:r>
      <w:r w:rsidR="00A62651" w:rsidRPr="002926BE">
        <w:rPr>
          <w:color w:val="212529"/>
        </w:rPr>
        <w:t xml:space="preserve"> technologies </w:t>
      </w:r>
      <w:r w:rsidR="00732E01" w:rsidRPr="002926BE">
        <w:rPr>
          <w:color w:val="212529"/>
        </w:rPr>
        <w:t>hybrides</w:t>
      </w:r>
      <w:r w:rsidR="00A62651" w:rsidRPr="002926BE">
        <w:rPr>
          <w:color w:val="212529"/>
        </w:rPr>
        <w:t xml:space="preserve"> </w:t>
      </w:r>
      <w:r w:rsidR="00732E01" w:rsidRPr="002926BE">
        <w:rPr>
          <w:color w:val="212529"/>
        </w:rPr>
        <w:t>pour un accès abordable au large bande</w:t>
      </w:r>
      <w:r w:rsidR="00A62651" w:rsidRPr="002926BE">
        <w:rPr>
          <w:color w:val="212529"/>
        </w:rPr>
        <w:t xml:space="preserve"> </w:t>
      </w:r>
      <w:r w:rsidR="00732E01" w:rsidRPr="002926BE">
        <w:rPr>
          <w:color w:val="212529"/>
        </w:rPr>
        <w:t>sera organisé</w:t>
      </w:r>
      <w:r w:rsidR="00A62651" w:rsidRPr="002926BE">
        <w:rPr>
          <w:color w:val="212529"/>
        </w:rPr>
        <w:t xml:space="preserve"> </w:t>
      </w:r>
      <w:r w:rsidR="00732E01" w:rsidRPr="002926BE">
        <w:rPr>
          <w:color w:val="212529"/>
        </w:rPr>
        <w:t>et le</w:t>
      </w:r>
      <w:r w:rsidR="00A62651" w:rsidRPr="002926BE">
        <w:rPr>
          <w:color w:val="212529"/>
        </w:rPr>
        <w:t xml:space="preserve"> </w:t>
      </w:r>
      <w:r w:rsidR="00A62651" w:rsidRPr="002926BE">
        <w:t>SMS4DC (</w:t>
      </w:r>
      <w:r w:rsidR="00732E01" w:rsidRPr="002926BE">
        <w:rPr>
          <w:color w:val="000000"/>
        </w:rPr>
        <w:t>système de gestion du spectre pour les pays en développement</w:t>
      </w:r>
      <w:r w:rsidR="00A62651" w:rsidRPr="002926BE">
        <w:rPr>
          <w:color w:val="000000"/>
        </w:rPr>
        <w:t>)</w:t>
      </w:r>
      <w:r w:rsidR="00826CB7" w:rsidRPr="002926BE">
        <w:t xml:space="preserve"> sera développé</w:t>
      </w:r>
      <w:r w:rsidR="00052F67">
        <w:t xml:space="preserve"> plus avant</w:t>
      </w:r>
      <w:r w:rsidR="0027217C" w:rsidRPr="002926BE">
        <w:t>.</w:t>
      </w:r>
    </w:p>
    <w:p w:rsidR="00A62651" w:rsidRPr="002926BE" w:rsidRDefault="00826CB7" w:rsidP="002926BE">
      <w:r w:rsidRPr="002926BE">
        <w:t>En o</w:t>
      </w:r>
      <w:r w:rsidR="00732E01" w:rsidRPr="002926BE">
        <w:t>utre</w:t>
      </w:r>
      <w:r w:rsidRPr="002926BE">
        <w:t>,</w:t>
      </w:r>
      <w:r w:rsidR="00732E01" w:rsidRPr="002926BE">
        <w:t xml:space="preserve"> nous </w:t>
      </w:r>
      <w:r w:rsidRPr="002926BE">
        <w:t>nous emploierons à mettre en</w:t>
      </w:r>
      <w:r w:rsidR="00732E01" w:rsidRPr="002926BE">
        <w:t xml:space="preserve"> oeuvre</w:t>
      </w:r>
      <w:r w:rsidR="00A62651" w:rsidRPr="002926BE">
        <w:t xml:space="preserve"> </w:t>
      </w:r>
      <w:r w:rsidRPr="002926BE">
        <w:t>le</w:t>
      </w:r>
      <w:r w:rsidR="00732E01" w:rsidRPr="002926BE">
        <w:t xml:space="preserve"> projet associant l'UIT</w:t>
      </w:r>
      <w:r w:rsidR="00A62651" w:rsidRPr="002926BE">
        <w:t xml:space="preserve"> </w:t>
      </w:r>
      <w:r w:rsidR="00732E01" w:rsidRPr="002926BE">
        <w:t>et l'UE</w:t>
      </w:r>
      <w:r w:rsidR="000D4160" w:rsidRPr="002926BE">
        <w:t xml:space="preserve">, </w:t>
      </w:r>
      <w:r w:rsidRPr="002926BE">
        <w:t>qui vise</w:t>
      </w:r>
      <w:r w:rsidR="00EC722F" w:rsidRPr="002926BE">
        <w:t xml:space="preserve"> à</w:t>
      </w:r>
      <w:r w:rsidR="00A62651" w:rsidRPr="002926BE">
        <w:t xml:space="preserve"> </w:t>
      </w:r>
      <w:r w:rsidR="000F7D17" w:rsidRPr="002926BE">
        <w:t>"</w:t>
      </w:r>
      <w:r w:rsidR="00EC722F" w:rsidRPr="002926BE">
        <w:t>améliorer les taux de pénétration</w:t>
      </w:r>
      <w:r w:rsidR="00A62651" w:rsidRPr="002926BE">
        <w:t xml:space="preserve"> </w:t>
      </w:r>
      <w:r w:rsidR="00EC722F" w:rsidRPr="002926BE">
        <w:t>du large bande hertzien</w:t>
      </w:r>
      <w:r w:rsidR="00A62651" w:rsidRPr="002926BE">
        <w:t xml:space="preserve"> </w:t>
      </w:r>
      <w:r w:rsidR="00EC722F" w:rsidRPr="002926BE">
        <w:t>grâce à une utilisation améliorée et harmonisée du spectre et de la réglementation</w:t>
      </w:r>
      <w:r w:rsidR="000F7D17" w:rsidRPr="002926BE">
        <w:t>"</w:t>
      </w:r>
      <w:r w:rsidR="00A62651" w:rsidRPr="002926BE">
        <w:t xml:space="preserve"> (</w:t>
      </w:r>
      <w:r w:rsidR="008C7659" w:rsidRPr="002926BE">
        <w:t xml:space="preserve">Initiative </w:t>
      </w:r>
      <w:r w:rsidR="00A62651" w:rsidRPr="002926BE">
        <w:t>PRIDA).</w:t>
      </w:r>
    </w:p>
    <w:p w:rsidR="00A62651" w:rsidRPr="002926BE" w:rsidRDefault="00DB037A" w:rsidP="00DB037A">
      <w:pPr>
        <w:pStyle w:val="Tabletitle"/>
        <w:spacing w:before="360"/>
      </w:pPr>
      <w:r>
        <w:t>Tableau 1 –</w:t>
      </w:r>
      <w:r w:rsidR="00A62651" w:rsidRPr="002926BE">
        <w:t xml:space="preserve"> </w:t>
      </w:r>
      <w:r w:rsidR="00C51191" w:rsidRPr="002926BE">
        <w:t>Aperçu général</w:t>
      </w:r>
      <w:r w:rsidR="00A62651" w:rsidRPr="002926BE">
        <w:t xml:space="preserve"> </w:t>
      </w:r>
      <w:r w:rsidR="00732E01" w:rsidRPr="002926BE">
        <w:t>d</w:t>
      </w:r>
      <w:r w:rsidR="00826CB7" w:rsidRPr="002926BE">
        <w:t>u nombre d'activités d'assistance menées au titre de chaque thème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2263"/>
      </w:tblGrid>
      <w:tr w:rsidR="00A62651" w:rsidRPr="00DB037A" w:rsidTr="00A923AA">
        <w:trPr>
          <w:jc w:val="center"/>
        </w:trPr>
        <w:tc>
          <w:tcPr>
            <w:tcW w:w="7366" w:type="dxa"/>
            <w:vAlign w:val="center"/>
          </w:tcPr>
          <w:p w:rsidR="00A62651" w:rsidRPr="00DB037A" w:rsidRDefault="00732E01" w:rsidP="00DB037A">
            <w:pPr>
              <w:pStyle w:val="Tablehead"/>
            </w:pPr>
            <w:r w:rsidRPr="00DB037A">
              <w:t>Thème</w:t>
            </w:r>
          </w:p>
        </w:tc>
        <w:tc>
          <w:tcPr>
            <w:tcW w:w="2263" w:type="dxa"/>
          </w:tcPr>
          <w:p w:rsidR="00A62651" w:rsidRPr="00DB037A" w:rsidRDefault="00732E01" w:rsidP="00DB037A">
            <w:pPr>
              <w:pStyle w:val="Tablehead"/>
            </w:pPr>
            <w:r w:rsidRPr="00DB037A">
              <w:t>Nombre d'activités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F70CA6" w:rsidP="00DB037A">
            <w:pPr>
              <w:pStyle w:val="Tabletext"/>
              <w:tabs>
                <w:tab w:val="clear" w:pos="284"/>
              </w:tabs>
              <w:ind w:left="573" w:hanging="573"/>
              <w:rPr>
                <w:highlight w:val="lightGray"/>
              </w:rPr>
            </w:pPr>
            <w:r w:rsidRPr="002926BE">
              <w:rPr>
                <w:szCs w:val="24"/>
              </w:rPr>
              <w:t>1)</w:t>
            </w:r>
            <w:r w:rsidRPr="002926BE">
              <w:rPr>
                <w:szCs w:val="24"/>
              </w:rPr>
              <w:tab/>
            </w:r>
            <w:r w:rsidRPr="002926BE">
              <w:t>Aide à la sensibilisation des décideurs nationaux à l'importance d'une bonne gestion du spectre pour l</w:t>
            </w:r>
            <w:bookmarkStart w:id="6" w:name="_GoBack"/>
            <w:bookmarkEnd w:id="6"/>
            <w:r w:rsidRPr="002926BE">
              <w:t>e développement économique et social du pays.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40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F70CA6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2)</w:t>
            </w:r>
            <w:r w:rsidRPr="002926BE">
              <w:tab/>
              <w:t>Formation et diffusion de la documentation disponible à l'UIT.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16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F70CA6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3)</w:t>
            </w:r>
            <w:r w:rsidRPr="002926BE">
              <w:tab/>
              <w:t>Aide à la mise au point de méthodes d'élaboration des tableaux nationaux d'attribution des bandes de fréquences et de redéploiement du spectre.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16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4)</w:t>
            </w:r>
            <w:r w:rsidRPr="002926BE">
              <w:tab/>
              <w:t>Aide à la mise en place de systèmes automatisés de gestion et de contrôle des fréquences.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5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5)</w:t>
            </w:r>
            <w:r w:rsidRPr="002926BE">
              <w:tab/>
              <w:t>Aspects économiques et financiers de la gestion des fréquences.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17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6)</w:t>
            </w:r>
            <w:r w:rsidRPr="002926BE">
              <w:tab/>
              <w:t>Aide à la préparation des conférences mondiales des radiocommunications (CMR) et au suivi ainsi qu'à la mise en oeuvre de leurs décisions.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14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7)</w:t>
            </w:r>
            <w:r w:rsidRPr="002926BE">
              <w:tab/>
              <w:t>Aide à la participation aux travaux des commissions d'études compétentes de l'UIT</w:t>
            </w:r>
            <w:r w:rsidRPr="002926BE">
              <w:noBreakHyphen/>
              <w:t>R et de leurs groupes de travail.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9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8)</w:t>
            </w:r>
            <w:r w:rsidRPr="002926BE">
              <w:tab/>
              <w:t>Passage à la radiodiffusion télévisuelle numérique de Terre.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13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tabs>
                <w:tab w:val="clear" w:pos="284"/>
              </w:tabs>
              <w:ind w:left="573" w:hanging="573"/>
            </w:pPr>
            <w:r w:rsidRPr="002926BE">
              <w:t>9)</w:t>
            </w:r>
            <w:r w:rsidRPr="002926BE">
              <w:tab/>
              <w:t>Assistance pour déterminer les moyens les plus efficaces d'utiliser le dividende numérique.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13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ind w:left="284" w:hanging="284"/>
            </w:pPr>
            <w:r w:rsidRPr="002926BE">
              <w:t>10)</w:t>
            </w:r>
            <w:r w:rsidRPr="002926BE">
              <w:tab/>
              <w:t>Nouvelles technologies et approches en matière d'utilisation du spectre.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12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ind w:left="284" w:hanging="284"/>
            </w:pPr>
            <w:r w:rsidRPr="002926BE">
              <w:t>11)</w:t>
            </w:r>
            <w:r w:rsidRPr="002926BE">
              <w:tab/>
              <w:t>Méthodes novatrices en matière d'octroi de licences.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17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ind w:left="567" w:hanging="567"/>
            </w:pPr>
            <w:r w:rsidRPr="002926BE">
              <w:t>12)</w:t>
            </w:r>
            <w:r w:rsidRPr="002926BE">
              <w:tab/>
              <w:t>Fourniture d'une assistance en cas de brouillages causés par des dispositifs qui ne sont pas exploités conformément aux attributions de fréquences nationales.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3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ind w:left="567" w:hanging="567"/>
            </w:pPr>
            <w:r w:rsidRPr="002926BE">
              <w:t>13)</w:t>
            </w:r>
            <w:r w:rsidRPr="002926BE">
              <w:tab/>
              <w:t>Fourniture d'une assistance en vue de trouver des solutions aux problèmes des brouillages saisonniers causés par la propagation anormale des ondes radioélectriques.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2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BC41CB" w:rsidP="00DB037A">
            <w:pPr>
              <w:pStyle w:val="Tabletext"/>
              <w:ind w:left="567" w:hanging="567"/>
            </w:pPr>
            <w:r w:rsidRPr="002926BE">
              <w:t>14)</w:t>
            </w:r>
            <w:r w:rsidRPr="002926BE">
              <w:tab/>
            </w:r>
            <w:r w:rsidR="005756A9" w:rsidRPr="002926BE">
              <w:rPr>
                <w:szCs w:val="24"/>
              </w:rPr>
              <w:t>Amélioration et formation relatives au système de gestion du spectre pour les pays en développement (SMS4DC)</w:t>
            </w:r>
            <w:r w:rsidRPr="002926BE">
              <w:rPr>
                <w:szCs w:val="24"/>
              </w:rPr>
              <w:t>.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szCs w:val="22"/>
              </w:rPr>
            </w:pPr>
            <w:r w:rsidRPr="002926BE">
              <w:rPr>
                <w:szCs w:val="22"/>
              </w:rPr>
              <w:t>7</w:t>
            </w:r>
          </w:p>
        </w:tc>
      </w:tr>
      <w:tr w:rsidR="00A62651" w:rsidRPr="002926BE" w:rsidTr="00A923AA">
        <w:trPr>
          <w:jc w:val="center"/>
        </w:trPr>
        <w:tc>
          <w:tcPr>
            <w:tcW w:w="7366" w:type="dxa"/>
          </w:tcPr>
          <w:p w:rsidR="00A62651" w:rsidRPr="002926BE" w:rsidRDefault="00A62651" w:rsidP="00DB037A">
            <w:pPr>
              <w:pStyle w:val="Tabletext"/>
              <w:ind w:left="284" w:hanging="284"/>
              <w:rPr>
                <w:b/>
                <w:bCs/>
                <w:szCs w:val="22"/>
              </w:rPr>
            </w:pPr>
            <w:r w:rsidRPr="002926BE">
              <w:rPr>
                <w:b/>
                <w:bCs/>
                <w:szCs w:val="22"/>
              </w:rPr>
              <w:t>Total</w:t>
            </w:r>
          </w:p>
        </w:tc>
        <w:tc>
          <w:tcPr>
            <w:tcW w:w="2263" w:type="dxa"/>
          </w:tcPr>
          <w:p w:rsidR="00A62651" w:rsidRPr="002926BE" w:rsidRDefault="00A62651" w:rsidP="00DB037A">
            <w:pPr>
              <w:pStyle w:val="Tabletext"/>
              <w:ind w:left="284" w:hanging="284"/>
              <w:jc w:val="center"/>
              <w:rPr>
                <w:b/>
                <w:bCs/>
                <w:szCs w:val="22"/>
              </w:rPr>
            </w:pPr>
            <w:r w:rsidRPr="002926BE">
              <w:rPr>
                <w:b/>
                <w:bCs/>
                <w:szCs w:val="22"/>
              </w:rPr>
              <w:t>184</w:t>
            </w:r>
          </w:p>
        </w:tc>
      </w:tr>
    </w:tbl>
    <w:p w:rsidR="00CD7671" w:rsidRPr="00DB037A" w:rsidRDefault="00CD7671" w:rsidP="002926BE">
      <w:pPr>
        <w:rPr>
          <w:sz w:val="2"/>
          <w:szCs w:val="2"/>
        </w:rPr>
      </w:pPr>
    </w:p>
    <w:p w:rsidR="00836BDB" w:rsidRPr="002926BE" w:rsidRDefault="003C58BF" w:rsidP="002926B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2926BE">
        <w:t>_____________</w:t>
      </w:r>
      <w:r w:rsidR="004122C5" w:rsidRPr="002926BE">
        <w:t>_</w:t>
      </w:r>
      <w:r w:rsidR="00922EC1" w:rsidRPr="002926BE">
        <w:t>_</w:t>
      </w:r>
    </w:p>
    <w:sectPr w:rsidR="00836BDB" w:rsidRPr="002926BE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C7" w:rsidRDefault="002713C7">
      <w:r>
        <w:separator/>
      </w:r>
    </w:p>
  </w:endnote>
  <w:endnote w:type="continuationSeparator" w:id="0">
    <w:p w:rsidR="002713C7" w:rsidRDefault="002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05B90" w:rsidRDefault="00A05B90" w:rsidP="00A05B90">
    <w:pPr>
      <w:pStyle w:val="Footer"/>
      <w:rPr>
        <w:szCs w:val="16"/>
        <w:lang w:val="es-ES_tradnl"/>
      </w:rPr>
    </w:pPr>
    <w:r w:rsidRPr="00A05B90">
      <w:rPr>
        <w:szCs w:val="16"/>
      </w:rPr>
      <w:fldChar w:fldCharType="begin"/>
    </w:r>
    <w:r w:rsidRPr="00A05B90">
      <w:rPr>
        <w:szCs w:val="16"/>
        <w:lang w:val="es-ES_tradnl"/>
      </w:rPr>
      <w:instrText xml:space="preserve"> FILENAME \p  \* MERGEFORMAT </w:instrText>
    </w:r>
    <w:r w:rsidRPr="00A05B90">
      <w:rPr>
        <w:szCs w:val="16"/>
      </w:rPr>
      <w:fldChar w:fldCharType="separate"/>
    </w:r>
    <w:r w:rsidR="00052F67">
      <w:rPr>
        <w:szCs w:val="16"/>
        <w:lang w:val="es-ES_tradnl"/>
      </w:rPr>
      <w:t>P:\FRA\ITU-D\CONF-D\TDAG19\000\032F.docx</w:t>
    </w:r>
    <w:r w:rsidRPr="00A05B90">
      <w:rPr>
        <w:szCs w:val="16"/>
      </w:rPr>
      <w:fldChar w:fldCharType="end"/>
    </w:r>
    <w:r w:rsidRPr="00A05B90">
      <w:rPr>
        <w:szCs w:val="16"/>
        <w:lang w:val="es-ES_tradnl"/>
      </w:rPr>
      <w:t xml:space="preserve"> (450328)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454E1" w:rsidRPr="004D495C" w:rsidTr="002713C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A454E1" w:rsidRPr="000D057B" w:rsidRDefault="000D057B" w:rsidP="000D057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bookmarkStart w:id="7" w:name="OrgName"/>
          <w:bookmarkEnd w:id="7"/>
          <w:r w:rsidRPr="000D057B">
            <w:rPr>
              <w:sz w:val="18"/>
              <w:szCs w:val="18"/>
              <w:lang w:val="fr-CH"/>
            </w:rPr>
            <w:t>M. Kemal Huseinovic, Chef du Département IEE, BDT</w:t>
          </w:r>
        </w:p>
      </w:tc>
    </w:tr>
    <w:tr w:rsidR="00A454E1" w:rsidRPr="004D495C" w:rsidTr="002713C7">
      <w:tc>
        <w:tcPr>
          <w:tcW w:w="1526" w:type="dxa"/>
          <w:shd w:val="clear" w:color="auto" w:fill="auto"/>
        </w:tcPr>
        <w:p w:rsidR="00A454E1" w:rsidRPr="000D057B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A454E1" w:rsidRPr="00E5653A" w:rsidRDefault="000D057B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>
            <w:rPr>
              <w:sz w:val="18"/>
              <w:szCs w:val="18"/>
              <w:lang w:val="en-US"/>
            </w:rPr>
            <w:t>+41 22 730 5421</w:t>
          </w:r>
        </w:p>
      </w:tc>
    </w:tr>
    <w:tr w:rsidR="00A454E1" w:rsidRPr="004D495C" w:rsidTr="002713C7">
      <w:tc>
        <w:tcPr>
          <w:tcW w:w="1526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9" w:name="Email"/>
      <w:bookmarkEnd w:id="9"/>
      <w:tc>
        <w:tcPr>
          <w:tcW w:w="5987" w:type="dxa"/>
          <w:shd w:val="clear" w:color="auto" w:fill="auto"/>
        </w:tcPr>
        <w:p w:rsidR="00A454E1" w:rsidRPr="00E5653A" w:rsidRDefault="000D057B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"mailto:Kemal.huseinovic@itu.int"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4A6680">
            <w:rPr>
              <w:rStyle w:val="Hyperlink"/>
              <w:sz w:val="18"/>
              <w:szCs w:val="18"/>
              <w:lang w:val="en-US"/>
            </w:rPr>
            <w:t>Kemal.huseinovic@itu.int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721657" w:rsidRPr="008802F9" w:rsidRDefault="00212BB8" w:rsidP="00DB037A">
    <w:pPr>
      <w:pStyle w:val="Footer"/>
      <w:spacing w:before="240"/>
      <w:jc w:val="center"/>
    </w:pPr>
    <w:hyperlink r:id="rId1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C7" w:rsidRDefault="002713C7">
      <w:r>
        <w:t>____________________</w:t>
      </w:r>
    </w:p>
  </w:footnote>
  <w:footnote w:type="continuationSeparator" w:id="0">
    <w:p w:rsidR="002713C7" w:rsidRDefault="0027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A525CC" w:rsidP="00DB037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D87E6C"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="00647229">
      <w:rPr>
        <w:sz w:val="22"/>
        <w:szCs w:val="22"/>
        <w:lang w:val="de-CH"/>
      </w:rPr>
      <w:t>32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12BB8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516E"/>
    <w:multiLevelType w:val="hybridMultilevel"/>
    <w:tmpl w:val="5A56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C7"/>
    <w:rsid w:val="00002716"/>
    <w:rsid w:val="00005791"/>
    <w:rsid w:val="00010827"/>
    <w:rsid w:val="00015089"/>
    <w:rsid w:val="000242A8"/>
    <w:rsid w:val="0002520B"/>
    <w:rsid w:val="00037A9E"/>
    <w:rsid w:val="00037F91"/>
    <w:rsid w:val="00052F67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7B84"/>
    <w:rsid w:val="000D057B"/>
    <w:rsid w:val="000D261B"/>
    <w:rsid w:val="000D4160"/>
    <w:rsid w:val="000D58A3"/>
    <w:rsid w:val="000E3ED4"/>
    <w:rsid w:val="000E3F9C"/>
    <w:rsid w:val="000F1550"/>
    <w:rsid w:val="000F251B"/>
    <w:rsid w:val="000F5FE8"/>
    <w:rsid w:val="000F6644"/>
    <w:rsid w:val="000F7D17"/>
    <w:rsid w:val="00100833"/>
    <w:rsid w:val="00102F72"/>
    <w:rsid w:val="0010494A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2BB8"/>
    <w:rsid w:val="0021438F"/>
    <w:rsid w:val="00217CC3"/>
    <w:rsid w:val="00220AB6"/>
    <w:rsid w:val="0022120F"/>
    <w:rsid w:val="0022754A"/>
    <w:rsid w:val="002337FD"/>
    <w:rsid w:val="00236560"/>
    <w:rsid w:val="0023662E"/>
    <w:rsid w:val="00245D0F"/>
    <w:rsid w:val="00246021"/>
    <w:rsid w:val="002548C3"/>
    <w:rsid w:val="00257ACD"/>
    <w:rsid w:val="00262908"/>
    <w:rsid w:val="002650F4"/>
    <w:rsid w:val="002713C7"/>
    <w:rsid w:val="002715FD"/>
    <w:rsid w:val="0027217C"/>
    <w:rsid w:val="00276329"/>
    <w:rsid w:val="002770B1"/>
    <w:rsid w:val="00285B33"/>
    <w:rsid w:val="00287A3C"/>
    <w:rsid w:val="002926BE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3806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3372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544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17AC9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756A9"/>
    <w:rsid w:val="005849D6"/>
    <w:rsid w:val="00585367"/>
    <w:rsid w:val="005871A1"/>
    <w:rsid w:val="0058737E"/>
    <w:rsid w:val="00592518"/>
    <w:rsid w:val="00592E87"/>
    <w:rsid w:val="00594C4D"/>
    <w:rsid w:val="005A33B0"/>
    <w:rsid w:val="005A7B2E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229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32E01"/>
    <w:rsid w:val="00741337"/>
    <w:rsid w:val="00752258"/>
    <w:rsid w:val="007529E1"/>
    <w:rsid w:val="00760CB4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182E"/>
    <w:rsid w:val="008027AC"/>
    <w:rsid w:val="008028CE"/>
    <w:rsid w:val="0080332E"/>
    <w:rsid w:val="008141E0"/>
    <w:rsid w:val="00816EE1"/>
    <w:rsid w:val="00816F88"/>
    <w:rsid w:val="00822323"/>
    <w:rsid w:val="00826CB7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C7659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2402A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05B90"/>
    <w:rsid w:val="00A11B1A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62651"/>
    <w:rsid w:val="00A705E8"/>
    <w:rsid w:val="00A721F4"/>
    <w:rsid w:val="00A90C3E"/>
    <w:rsid w:val="00A923A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72D88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41CB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150D"/>
    <w:rsid w:val="00C34EC3"/>
    <w:rsid w:val="00C4038C"/>
    <w:rsid w:val="00C42BA2"/>
    <w:rsid w:val="00C44066"/>
    <w:rsid w:val="00C44E13"/>
    <w:rsid w:val="00C5119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04B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17D0"/>
    <w:rsid w:val="00CC411F"/>
    <w:rsid w:val="00CC4B75"/>
    <w:rsid w:val="00CC732E"/>
    <w:rsid w:val="00CD2FCD"/>
    <w:rsid w:val="00CD7207"/>
    <w:rsid w:val="00CD7671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037A"/>
    <w:rsid w:val="00DB1171"/>
    <w:rsid w:val="00DB1519"/>
    <w:rsid w:val="00DB2840"/>
    <w:rsid w:val="00DB5B25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730E5"/>
    <w:rsid w:val="00E83810"/>
    <w:rsid w:val="00E86933"/>
    <w:rsid w:val="00E9605B"/>
    <w:rsid w:val="00E97298"/>
    <w:rsid w:val="00E97753"/>
    <w:rsid w:val="00EA7DE7"/>
    <w:rsid w:val="00EB7196"/>
    <w:rsid w:val="00EB7A8A"/>
    <w:rsid w:val="00EC722F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0CA6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08B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F4454927-D44E-40F9-BB8F-18E57905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C3150D"/>
    <w:rPr>
      <w:rFonts w:asciiTheme="minorHAnsi" w:hAnsiTheme="minorHAnsi"/>
      <w:i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D081-7DD9-4232-B50E-1C278970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PF_TDAG19.dotx</Template>
  <TotalTime>35</TotalTime>
  <Pages>3</Pages>
  <Words>925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Geneux, Aude</dc:creator>
  <cp:keywords/>
  <dc:description/>
  <cp:lastModifiedBy>Royer, Veronique</cp:lastModifiedBy>
  <cp:revision>8</cp:revision>
  <cp:lastPrinted>2019-02-19T17:43:00Z</cp:lastPrinted>
  <dcterms:created xsi:type="dcterms:W3CDTF">2019-02-19T17:21:00Z</dcterms:created>
  <dcterms:modified xsi:type="dcterms:W3CDTF">2019-02-19T18:18:00Z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