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8A781F" w:rsidTr="00F40CCA">
        <w:trPr>
          <w:trHeight w:val="1134"/>
        </w:trPr>
        <w:tc>
          <w:tcPr>
            <w:tcW w:w="6662" w:type="dxa"/>
          </w:tcPr>
          <w:p w:rsidR="004713B8" w:rsidRPr="008A781F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8A781F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8A781F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8A781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8A781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8A781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8A781F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8A781F">
              <w:rPr>
                <w:b/>
                <w:bCs/>
                <w:sz w:val="24"/>
                <w:szCs w:val="24"/>
              </w:rPr>
              <w:t>3</w:t>
            </w:r>
            <w:r w:rsidRPr="008A781F">
              <w:rPr>
                <w:b/>
                <w:bCs/>
                <w:sz w:val="24"/>
                <w:szCs w:val="24"/>
              </w:rPr>
              <w:t>−</w:t>
            </w:r>
            <w:r w:rsidR="00B24169" w:rsidRPr="008A781F">
              <w:rPr>
                <w:b/>
                <w:bCs/>
                <w:sz w:val="24"/>
                <w:szCs w:val="24"/>
              </w:rPr>
              <w:t>5</w:t>
            </w:r>
            <w:r w:rsidRPr="008A781F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8A781F">
              <w:rPr>
                <w:b/>
                <w:bCs/>
                <w:sz w:val="24"/>
                <w:szCs w:val="24"/>
              </w:rPr>
              <w:t>9</w:t>
            </w:r>
            <w:r w:rsidRPr="008A781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8A781F" w:rsidRDefault="00B24169" w:rsidP="00B24169">
            <w:pPr>
              <w:widowControl w:val="0"/>
              <w:spacing w:before="40"/>
              <w:jc w:val="right"/>
            </w:pPr>
            <w:r w:rsidRPr="008A781F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8A781F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8A781F" w:rsidTr="00CD34AE">
        <w:trPr>
          <w:trHeight w:val="300"/>
        </w:trPr>
        <w:tc>
          <w:tcPr>
            <w:tcW w:w="6662" w:type="dxa"/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8A781F" w:rsidRDefault="003E6E87" w:rsidP="00E1191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A781F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8A781F">
              <w:rPr>
                <w:rFonts w:cstheme="minorHAnsi"/>
                <w:b/>
                <w:bCs/>
              </w:rPr>
              <w:t>TDAG</w:t>
            </w:r>
            <w:r w:rsidR="0040328D" w:rsidRPr="008A781F">
              <w:rPr>
                <w:rFonts w:cstheme="minorHAnsi"/>
                <w:b/>
                <w:bCs/>
              </w:rPr>
              <w:t>-</w:t>
            </w:r>
            <w:r w:rsidRPr="008A781F">
              <w:rPr>
                <w:rFonts w:cstheme="minorHAnsi"/>
                <w:b/>
                <w:bCs/>
              </w:rPr>
              <w:t>1</w:t>
            </w:r>
            <w:r w:rsidR="00B24169" w:rsidRPr="008A781F">
              <w:rPr>
                <w:rFonts w:cstheme="minorHAnsi"/>
                <w:b/>
                <w:bCs/>
              </w:rPr>
              <w:t>9</w:t>
            </w:r>
            <w:r w:rsidRPr="008A781F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1191A">
              <w:rPr>
                <w:rFonts w:cstheme="minorHAnsi"/>
                <w:b/>
                <w:bCs/>
                <w:lang w:val="en-US"/>
              </w:rPr>
              <w:t>32</w:t>
            </w:r>
            <w:r w:rsidRPr="008A781F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8A781F" w:rsidTr="00CD34AE">
        <w:trPr>
          <w:trHeight w:val="300"/>
        </w:trPr>
        <w:tc>
          <w:tcPr>
            <w:tcW w:w="6662" w:type="dxa"/>
          </w:tcPr>
          <w:p w:rsidR="00CD34AE" w:rsidRPr="008A781F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8A781F" w:rsidRDefault="00E1191A" w:rsidP="00E1191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12</w:t>
            </w:r>
            <w:r w:rsidR="000A004A" w:rsidRPr="008A78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февраля</w:t>
            </w:r>
            <w:r w:rsidR="00A73D91" w:rsidRPr="008A781F">
              <w:rPr>
                <w:b/>
                <w:bCs/>
              </w:rPr>
              <w:t xml:space="preserve"> 201</w:t>
            </w:r>
            <w:r w:rsidR="00B24169" w:rsidRPr="008A781F">
              <w:rPr>
                <w:b/>
                <w:bCs/>
              </w:rPr>
              <w:t>9</w:t>
            </w:r>
            <w:r w:rsidR="00A73D91" w:rsidRPr="008A781F">
              <w:rPr>
                <w:b/>
                <w:bCs/>
              </w:rPr>
              <w:t xml:space="preserve"> года</w:t>
            </w:r>
          </w:p>
        </w:tc>
      </w:tr>
      <w:tr w:rsidR="00CD34AE" w:rsidRPr="008A781F" w:rsidTr="00CD34AE">
        <w:trPr>
          <w:trHeight w:val="300"/>
        </w:trPr>
        <w:tc>
          <w:tcPr>
            <w:tcW w:w="6662" w:type="dxa"/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8A781F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A781F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8A781F">
              <w:rPr>
                <w:rFonts w:cstheme="minorHAnsi"/>
                <w:b/>
                <w:bCs/>
              </w:rPr>
              <w:t xml:space="preserve"> </w:t>
            </w:r>
            <w:r w:rsidR="000A004A" w:rsidRPr="008A781F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8A781F" w:rsidTr="00CD34AE">
        <w:trPr>
          <w:trHeight w:val="850"/>
        </w:trPr>
        <w:tc>
          <w:tcPr>
            <w:tcW w:w="9923" w:type="dxa"/>
            <w:gridSpan w:val="2"/>
          </w:tcPr>
          <w:p w:rsidR="00CD34AE" w:rsidRPr="008A781F" w:rsidRDefault="000A004A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8A781F">
              <w:t>Директор Бюро развития электросвязи</w:t>
            </w:r>
          </w:p>
        </w:tc>
      </w:tr>
      <w:tr w:rsidR="00CD34AE" w:rsidRPr="00E1191A" w:rsidTr="00270876">
        <w:tc>
          <w:tcPr>
            <w:tcW w:w="9923" w:type="dxa"/>
            <w:gridSpan w:val="2"/>
          </w:tcPr>
          <w:p w:rsidR="00CD34AE" w:rsidRPr="00E1191A" w:rsidRDefault="004C1A71" w:rsidP="003566D2">
            <w:pPr>
              <w:pStyle w:val="Title1"/>
            </w:pPr>
            <w:bookmarkStart w:id="5" w:name="Title"/>
            <w:bookmarkEnd w:id="5"/>
            <w:r>
              <w:rPr>
                <w:color w:val="000000"/>
              </w:rPr>
              <w:t xml:space="preserve">выполнение резолюции </w:t>
            </w:r>
            <w:r w:rsidR="00E1191A" w:rsidRPr="004C1A71">
              <w:rPr>
                <w:bCs/>
              </w:rPr>
              <w:t>9 (</w:t>
            </w:r>
            <w:r w:rsidR="00E1191A">
              <w:rPr>
                <w:bCs/>
              </w:rPr>
              <w:t>Пересм</w:t>
            </w:r>
            <w:r w:rsidR="00E1191A" w:rsidRPr="004C1A71">
              <w:rPr>
                <w:bCs/>
              </w:rPr>
              <w:t xml:space="preserve">. </w:t>
            </w:r>
            <w:r w:rsidR="00E1191A">
              <w:rPr>
                <w:bCs/>
              </w:rPr>
              <w:t>буэнос</w:t>
            </w:r>
            <w:r w:rsidR="00E1191A" w:rsidRPr="00E1191A">
              <w:rPr>
                <w:bCs/>
              </w:rPr>
              <w:t>-</w:t>
            </w:r>
            <w:r w:rsidR="00E1191A">
              <w:rPr>
                <w:bCs/>
              </w:rPr>
              <w:t>айрес</w:t>
            </w:r>
            <w:r w:rsidR="00E1191A" w:rsidRPr="00E1191A">
              <w:rPr>
                <w:bCs/>
              </w:rPr>
              <w:t>, 2017</w:t>
            </w:r>
            <w:r w:rsidR="00E1191A" w:rsidRPr="00E1191A">
              <w:rPr>
                <w:bCs/>
                <w:lang w:val="en-GB"/>
              </w:rPr>
              <w:t> </w:t>
            </w:r>
            <w:r w:rsidR="00E1191A">
              <w:rPr>
                <w:bCs/>
              </w:rPr>
              <w:t>г</w:t>
            </w:r>
            <w:r w:rsidR="00E1191A" w:rsidRPr="00E1191A">
              <w:rPr>
                <w:bCs/>
              </w:rPr>
              <w:t>.)</w:t>
            </w:r>
            <w:r w:rsidR="003566D2">
              <w:t xml:space="preserve"> ВКРЭ</w:t>
            </w:r>
          </w:p>
        </w:tc>
      </w:tr>
      <w:tr w:rsidR="00CD34AE" w:rsidRPr="00E119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E1191A" w:rsidRDefault="00CD34AE" w:rsidP="00CD34AE"/>
        </w:tc>
      </w:tr>
      <w:tr w:rsidR="00CD34AE" w:rsidRPr="00E119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6C1F14" w:rsidRDefault="00CD34AE" w:rsidP="00CD34AE">
            <w:pPr>
              <w:spacing w:before="240"/>
              <w:rPr>
                <w:b/>
                <w:bCs/>
              </w:rPr>
            </w:pPr>
            <w:r w:rsidRPr="008A781F">
              <w:rPr>
                <w:b/>
                <w:bCs/>
              </w:rPr>
              <w:t>Резюме</w:t>
            </w:r>
          </w:p>
          <w:p w:rsidR="00CD34AE" w:rsidRPr="003935D1" w:rsidRDefault="004C1A71" w:rsidP="0057419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color w:val="000000"/>
              </w:rPr>
              <w:t>В</w:t>
            </w:r>
            <w:r w:rsidRPr="004C1A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настоящем</w:t>
            </w:r>
            <w:r w:rsidRPr="004C1A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документе</w:t>
            </w:r>
            <w:r w:rsidRPr="004C1A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</w:t>
            </w:r>
            <w:r w:rsidRPr="004C1A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краткий</w:t>
            </w:r>
            <w:r w:rsidRPr="004C1A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обзор</w:t>
            </w:r>
            <w:r w:rsidRPr="004C1A71">
              <w:rPr>
                <w:color w:val="000000"/>
              </w:rPr>
              <w:t xml:space="preserve"> </w:t>
            </w:r>
            <w:r w:rsidR="00574190">
              <w:rPr>
                <w:color w:val="000000"/>
              </w:rPr>
              <w:t>деятельности</w:t>
            </w:r>
            <w:r w:rsidRPr="004C1A7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1191A">
              <w:rPr>
                <w:rFonts w:asciiTheme="minorHAnsi" w:hAnsiTheme="minorHAnsi" w:cstheme="minorHAnsi"/>
                <w:color w:val="000000"/>
              </w:rPr>
              <w:t>МСЭ</w:t>
            </w:r>
            <w:r w:rsidR="00E1191A" w:rsidRPr="004C1A7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по выполнению Резолюции</w:t>
            </w:r>
            <w:r w:rsidR="00E1191A" w:rsidRPr="00E1191A">
              <w:rPr>
                <w:rFonts w:asciiTheme="minorHAnsi" w:hAnsiTheme="minorHAnsi" w:cstheme="minorHAnsi"/>
                <w:color w:val="000000"/>
                <w:lang w:val="en-GB"/>
              </w:rPr>
              <w:t> </w:t>
            </w:r>
            <w:r w:rsidR="00E1191A" w:rsidRPr="003935D1">
              <w:rPr>
                <w:rFonts w:asciiTheme="minorHAnsi" w:hAnsiTheme="minorHAnsi" w:cstheme="minorHAnsi"/>
                <w:color w:val="000000"/>
              </w:rPr>
              <w:t>9.</w:t>
            </w:r>
          </w:p>
          <w:p w:rsidR="00CD34AE" w:rsidRPr="008A781F" w:rsidRDefault="00CD34AE" w:rsidP="00FB1FCF">
            <w:pPr>
              <w:tabs>
                <w:tab w:val="center" w:pos="4853"/>
              </w:tabs>
              <w:rPr>
                <w:b/>
                <w:bCs/>
              </w:rPr>
            </w:pPr>
            <w:r w:rsidRPr="008A781F">
              <w:rPr>
                <w:b/>
                <w:bCs/>
              </w:rPr>
              <w:t>Необходимые действия</w:t>
            </w:r>
          </w:p>
          <w:p w:rsidR="00CD34AE" w:rsidRDefault="000A004A" w:rsidP="000118FB">
            <w:pPr>
              <w:spacing w:after="120"/>
            </w:pPr>
            <w:r w:rsidRPr="008A781F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E1191A" w:rsidRPr="00E1191A" w:rsidRDefault="003566D2" w:rsidP="00E1191A">
            <w:pPr>
              <w:rPr>
                <w:b/>
                <w:bCs/>
              </w:rPr>
            </w:pPr>
            <w:r>
              <w:rPr>
                <w:b/>
                <w:bCs/>
              </w:rPr>
              <w:t>Ссылка</w:t>
            </w:r>
          </w:p>
          <w:p w:rsidR="00E1191A" w:rsidRPr="00E1191A" w:rsidRDefault="00E1191A" w:rsidP="00E1191A">
            <w:pPr>
              <w:spacing w:after="120"/>
              <w:rPr>
                <w:b/>
                <w:bCs/>
              </w:rPr>
            </w:pPr>
            <w:r>
              <w:t>Резолюция</w:t>
            </w:r>
            <w:r w:rsidRPr="00E1191A">
              <w:t xml:space="preserve"> 9 (</w:t>
            </w:r>
            <w:proofErr w:type="spellStart"/>
            <w:r>
              <w:t>Пересм</w:t>
            </w:r>
            <w:proofErr w:type="spellEnd"/>
            <w:r>
              <w:t>. Буэнос-Айрес,</w:t>
            </w:r>
            <w:r w:rsidRPr="00E1191A">
              <w:t xml:space="preserve"> 2017</w:t>
            </w:r>
            <w:r>
              <w:t> г.</w:t>
            </w:r>
            <w:r w:rsidRPr="00E1191A">
              <w:t>)</w:t>
            </w:r>
            <w:r>
              <w:t xml:space="preserve"> ВКРЭ</w:t>
            </w:r>
          </w:p>
        </w:tc>
      </w:tr>
    </w:tbl>
    <w:p w:rsidR="000A004A" w:rsidRPr="00E1191A" w:rsidRDefault="000A00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1191A">
        <w:br w:type="page"/>
      </w:r>
    </w:p>
    <w:p w:rsidR="000118FB" w:rsidRPr="006C1F14" w:rsidRDefault="00043912" w:rsidP="00043912">
      <w:pPr>
        <w:pStyle w:val="Headingb"/>
        <w:rPr>
          <w:sz w:val="24"/>
          <w:szCs w:val="24"/>
          <w:highlight w:val="yellow"/>
        </w:rPr>
      </w:pPr>
      <w:r>
        <w:lastRenderedPageBreak/>
        <w:t>Введение</w:t>
      </w:r>
    </w:p>
    <w:p w:rsidR="0056736A" w:rsidRPr="003566D2" w:rsidRDefault="003566D2" w:rsidP="006C1F14">
      <w:pPr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>На</w:t>
      </w:r>
      <w:r w:rsidRPr="003566D2">
        <w:rPr>
          <w:rFonts w:asciiTheme="minorHAnsi" w:hAnsiTheme="minorHAnsi" w:cstheme="minorHAnsi"/>
          <w:bCs/>
          <w:lang w:eastAsia="zh-CN"/>
        </w:rPr>
        <w:t xml:space="preserve"> </w:t>
      </w:r>
      <w:r w:rsidR="00043912">
        <w:rPr>
          <w:rFonts w:asciiTheme="minorHAnsi" w:hAnsiTheme="minorHAnsi" w:cstheme="minorHAnsi"/>
          <w:bCs/>
          <w:lang w:eastAsia="zh-CN"/>
        </w:rPr>
        <w:t>ВКРЭ</w:t>
      </w:r>
      <w:r w:rsidR="00043912" w:rsidRPr="003566D2">
        <w:rPr>
          <w:rFonts w:asciiTheme="minorHAnsi" w:hAnsiTheme="minorHAnsi" w:cstheme="minorHAnsi"/>
          <w:bCs/>
          <w:lang w:eastAsia="zh-CN"/>
        </w:rPr>
        <w:t xml:space="preserve">-17 </w:t>
      </w:r>
      <w:r>
        <w:rPr>
          <w:rFonts w:asciiTheme="minorHAnsi" w:hAnsiTheme="minorHAnsi" w:cstheme="minorHAnsi"/>
          <w:bCs/>
          <w:lang w:eastAsia="zh-CN"/>
        </w:rPr>
        <w:t>в</w:t>
      </w:r>
      <w:r w:rsidRPr="003566D2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Буэнос</w:t>
      </w:r>
      <w:r w:rsidRPr="003566D2">
        <w:rPr>
          <w:rFonts w:asciiTheme="minorHAnsi" w:hAnsiTheme="minorHAnsi" w:cstheme="minorHAnsi"/>
          <w:bCs/>
          <w:lang w:eastAsia="zh-CN"/>
        </w:rPr>
        <w:t>-</w:t>
      </w:r>
      <w:r>
        <w:rPr>
          <w:rFonts w:asciiTheme="minorHAnsi" w:hAnsiTheme="minorHAnsi" w:cstheme="minorHAnsi"/>
          <w:bCs/>
          <w:lang w:eastAsia="zh-CN"/>
        </w:rPr>
        <w:t>Айресе</w:t>
      </w:r>
      <w:r w:rsidRPr="003566D2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был</w:t>
      </w:r>
      <w:r w:rsidRPr="003566D2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утвержден</w:t>
      </w:r>
      <w:r w:rsidRPr="003566D2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пересмотр</w:t>
      </w:r>
      <w:r w:rsidRPr="003566D2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Резолюции</w:t>
      </w:r>
      <w:r w:rsidR="00043912" w:rsidRPr="003566D2">
        <w:rPr>
          <w:rFonts w:asciiTheme="minorHAnsi" w:hAnsiTheme="minorHAnsi" w:cstheme="minorHAnsi"/>
          <w:bCs/>
          <w:lang w:eastAsia="zh-CN"/>
        </w:rPr>
        <w:t xml:space="preserve"> 9</w:t>
      </w:r>
      <w:r w:rsidR="006C1F14" w:rsidRPr="006C1F14">
        <w:rPr>
          <w:rFonts w:asciiTheme="minorHAnsi" w:hAnsiTheme="minorHAnsi" w:cstheme="minorHAnsi"/>
          <w:bCs/>
          <w:lang w:eastAsia="zh-CN"/>
        </w:rPr>
        <w:t xml:space="preserve"> </w:t>
      </w:r>
      <w:r w:rsidR="006C1F14">
        <w:rPr>
          <w:rFonts w:asciiTheme="minorHAnsi" w:hAnsiTheme="minorHAnsi" w:cstheme="minorHAnsi"/>
          <w:bCs/>
          <w:lang w:eastAsia="zh-CN"/>
        </w:rPr>
        <w:t>"</w:t>
      </w:r>
      <w:r w:rsidR="006C1F14">
        <w:rPr>
          <w:color w:val="000000"/>
        </w:rPr>
        <w:t xml:space="preserve">Участие </w:t>
      </w:r>
      <w:r>
        <w:rPr>
          <w:color w:val="000000"/>
        </w:rPr>
        <w:t>стран, в особенности развивающихся стран, в управлении использованием спектра</w:t>
      </w:r>
      <w:r w:rsidR="006C1F14">
        <w:rPr>
          <w:color w:val="000000"/>
        </w:rPr>
        <w:t>"</w:t>
      </w:r>
      <w:r w:rsidR="00043912" w:rsidRPr="003566D2">
        <w:rPr>
          <w:rFonts w:asciiTheme="minorHAnsi" w:hAnsiTheme="minorHAnsi" w:cstheme="minorHAnsi"/>
          <w:bCs/>
          <w:lang w:eastAsia="zh-CN"/>
        </w:rPr>
        <w:t>.</w:t>
      </w:r>
    </w:p>
    <w:p w:rsidR="00043912" w:rsidRDefault="006C1F14" w:rsidP="0062553E">
      <w:pPr>
        <w:rPr>
          <w:szCs w:val="24"/>
        </w:rPr>
      </w:pPr>
      <w:r>
        <w:rPr>
          <w:szCs w:val="24"/>
        </w:rPr>
        <w:t xml:space="preserve">В этой </w:t>
      </w:r>
      <w:r w:rsidR="00574190">
        <w:rPr>
          <w:szCs w:val="24"/>
        </w:rPr>
        <w:t>Резолюци</w:t>
      </w:r>
      <w:r>
        <w:rPr>
          <w:szCs w:val="24"/>
        </w:rPr>
        <w:t>и</w:t>
      </w:r>
    </w:p>
    <w:p w:rsidR="00043912" w:rsidRPr="00363131" w:rsidRDefault="00043912" w:rsidP="003935D1">
      <w:pPr>
        <w:pStyle w:val="Call"/>
        <w:ind w:left="794"/>
      </w:pPr>
      <w:r w:rsidRPr="00363131">
        <w:t>поручает</w:t>
      </w:r>
      <w:r w:rsidR="0062553E">
        <w:t>ся</w:t>
      </w:r>
      <w:r w:rsidRPr="00363131">
        <w:t xml:space="preserve"> </w:t>
      </w:r>
      <w:r w:rsidRPr="00A34F06">
        <w:t>Директору</w:t>
      </w:r>
      <w:r w:rsidRPr="00363131">
        <w:t xml:space="preserve"> Бюро развития электросвязи</w:t>
      </w:r>
    </w:p>
    <w:p w:rsidR="00043912" w:rsidRDefault="00A34F06" w:rsidP="00A34F06">
      <w:pPr>
        <w:pStyle w:val="enumlev1"/>
        <w:rPr>
          <w:color w:val="000000"/>
        </w:rPr>
      </w:pPr>
      <w:r>
        <w:tab/>
      </w:r>
      <w:r w:rsidR="00043912" w:rsidRPr="00363131">
        <w:t>4</w:t>
      </w:r>
      <w:r w:rsidR="00043912" w:rsidRPr="00363131">
        <w:tab/>
        <w:t xml:space="preserve">представлять Консультативной группе по развитию электросвязи </w:t>
      </w:r>
      <w:r w:rsidR="00043912" w:rsidRPr="00363131">
        <w:rPr>
          <w:color w:val="000000"/>
        </w:rPr>
        <w:t>ежегодные отчеты о выполнении настоящей Резолюции</w:t>
      </w:r>
      <w:r w:rsidR="00043912">
        <w:rPr>
          <w:color w:val="000000"/>
        </w:rPr>
        <w:t>.</w:t>
      </w:r>
    </w:p>
    <w:p w:rsidR="00043912" w:rsidRPr="00574190" w:rsidRDefault="003566D2" w:rsidP="006C1F14">
      <w:pPr>
        <w:pStyle w:val="Headingb"/>
      </w:pPr>
      <w:r>
        <w:rPr>
          <w:color w:val="000000"/>
        </w:rPr>
        <w:t>Выполнени</w:t>
      </w:r>
      <w:r w:rsidR="006C1F14">
        <w:rPr>
          <w:color w:val="000000"/>
        </w:rPr>
        <w:t>е</w:t>
      </w:r>
      <w:r>
        <w:rPr>
          <w:color w:val="000000"/>
        </w:rPr>
        <w:t xml:space="preserve"> Резолюции</w:t>
      </w:r>
      <w:r w:rsidRPr="00574190">
        <w:t xml:space="preserve"> </w:t>
      </w:r>
      <w:r w:rsidR="00043912" w:rsidRPr="00574190">
        <w:t>9</w:t>
      </w:r>
    </w:p>
    <w:p w:rsidR="00043912" w:rsidRPr="00574190" w:rsidRDefault="00574190" w:rsidP="00574190">
      <w:pPr>
        <w:rPr>
          <w:szCs w:val="24"/>
        </w:rPr>
      </w:pPr>
      <w:r>
        <w:rPr>
          <w:szCs w:val="24"/>
        </w:rPr>
        <w:t>В настоящем документе представлен краткий обзор деятельности МСЭ по выполнению</w:t>
      </w:r>
      <w:r w:rsidR="00043912" w:rsidRPr="00574190">
        <w:rPr>
          <w:szCs w:val="24"/>
        </w:rPr>
        <w:t xml:space="preserve"> </w:t>
      </w:r>
      <w:r>
        <w:rPr>
          <w:szCs w:val="24"/>
        </w:rPr>
        <w:t>Резолюции</w:t>
      </w:r>
      <w:r w:rsidR="00043912" w:rsidRPr="00FB1FCF">
        <w:rPr>
          <w:szCs w:val="24"/>
        </w:rPr>
        <w:t xml:space="preserve"> 9. </w:t>
      </w:r>
      <w:r>
        <w:rPr>
          <w:szCs w:val="24"/>
        </w:rPr>
        <w:t>В</w:t>
      </w:r>
      <w:r w:rsidRPr="00574190">
        <w:rPr>
          <w:szCs w:val="24"/>
        </w:rPr>
        <w:t xml:space="preserve"> </w:t>
      </w:r>
      <w:r>
        <w:rPr>
          <w:szCs w:val="24"/>
        </w:rPr>
        <w:t>Приложении</w:t>
      </w:r>
      <w:r w:rsidR="00043912" w:rsidRPr="00043912">
        <w:rPr>
          <w:szCs w:val="24"/>
          <w:lang w:val="en-GB"/>
        </w:rPr>
        <w:t> </w:t>
      </w:r>
      <w:r w:rsidR="00043912" w:rsidRPr="00574190">
        <w:rPr>
          <w:szCs w:val="24"/>
        </w:rPr>
        <w:t xml:space="preserve">1 </w:t>
      </w:r>
      <w:r>
        <w:rPr>
          <w:szCs w:val="24"/>
        </w:rPr>
        <w:t>к</w:t>
      </w:r>
      <w:r w:rsidRPr="00574190">
        <w:rPr>
          <w:szCs w:val="24"/>
        </w:rPr>
        <w:t xml:space="preserve"> </w:t>
      </w:r>
      <w:r>
        <w:rPr>
          <w:szCs w:val="24"/>
        </w:rPr>
        <w:t>Резолюции</w:t>
      </w:r>
      <w:r w:rsidR="00043912" w:rsidRPr="00574190">
        <w:rPr>
          <w:szCs w:val="24"/>
        </w:rPr>
        <w:t xml:space="preserve"> 9</w:t>
      </w:r>
      <w:r w:rsidRPr="00574190">
        <w:rPr>
          <w:szCs w:val="24"/>
        </w:rPr>
        <w:t xml:space="preserve"> </w:t>
      </w:r>
      <w:r>
        <w:rPr>
          <w:szCs w:val="24"/>
        </w:rPr>
        <w:t>приводятся</w:t>
      </w:r>
      <w:r w:rsidRPr="00574190">
        <w:rPr>
          <w:szCs w:val="24"/>
        </w:rPr>
        <w:t xml:space="preserve"> </w:t>
      </w:r>
      <w:r>
        <w:rPr>
          <w:color w:val="000000"/>
        </w:rPr>
        <w:t>примеры конкретных потребностей развивающихся стран, связанных с управлением использованием спектра</w:t>
      </w:r>
      <w:r w:rsidR="00043912" w:rsidRPr="00574190">
        <w:rPr>
          <w:szCs w:val="24"/>
        </w:rPr>
        <w:t>.</w:t>
      </w:r>
    </w:p>
    <w:p w:rsidR="00043912" w:rsidRPr="00574190" w:rsidRDefault="00574190" w:rsidP="00043912">
      <w:pPr>
        <w:rPr>
          <w:szCs w:val="24"/>
        </w:rPr>
      </w:pPr>
      <w:r>
        <w:rPr>
          <w:color w:val="000000"/>
        </w:rPr>
        <w:t xml:space="preserve">Ниже представлены следующие </w:t>
      </w:r>
      <w:r w:rsidR="003566D2">
        <w:rPr>
          <w:color w:val="000000"/>
        </w:rPr>
        <w:t>основные темы</w:t>
      </w:r>
      <w:r w:rsidR="00043912" w:rsidRPr="00574190">
        <w:rPr>
          <w:szCs w:val="24"/>
        </w:rPr>
        <w:t>:</w:t>
      </w:r>
    </w:p>
    <w:p w:rsidR="00043912" w:rsidRDefault="00043912" w:rsidP="00FB1FCF">
      <w:pPr>
        <w:pStyle w:val="enumlev1"/>
      </w:pPr>
      <w:r>
        <w:rPr>
          <w:szCs w:val="24"/>
        </w:rPr>
        <w:t>1</w:t>
      </w:r>
      <w:r>
        <w:rPr>
          <w:szCs w:val="24"/>
        </w:rPr>
        <w:tab/>
      </w:r>
      <w:r w:rsidRPr="00363131">
        <w:t>Помощь в повышении осведомленности лиц, ответственных за выработку политики на</w:t>
      </w:r>
      <w:r w:rsidR="00FB1FCF">
        <w:rPr>
          <w:lang w:val="en-US"/>
        </w:rPr>
        <w:t> </w:t>
      </w:r>
      <w:r w:rsidRPr="00363131">
        <w:t>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  <w:r>
        <w:t>;</w:t>
      </w:r>
    </w:p>
    <w:p w:rsidR="00043912" w:rsidRDefault="00043912" w:rsidP="00B214C6">
      <w:pPr>
        <w:pStyle w:val="enumlev1"/>
      </w:pPr>
      <w:r>
        <w:t>2</w:t>
      </w:r>
      <w:r>
        <w:tab/>
      </w:r>
      <w:r w:rsidRPr="00363131">
        <w:t>Профессиональная подготовка и распространение имеющейся документации МСЭ</w:t>
      </w:r>
      <w:r>
        <w:t>;</w:t>
      </w:r>
    </w:p>
    <w:p w:rsidR="00043912" w:rsidRDefault="00043912" w:rsidP="00B214C6">
      <w:pPr>
        <w:pStyle w:val="enumlev1"/>
      </w:pPr>
      <w:r>
        <w:t>3</w:t>
      </w:r>
      <w:r>
        <w:tab/>
      </w:r>
      <w:r w:rsidRPr="00363131">
        <w:t>Оказание помощи в разработке методик для составления национальных таблиц распределения частот и перераспределения спектра</w:t>
      </w:r>
      <w:r>
        <w:t>;</w:t>
      </w:r>
    </w:p>
    <w:p w:rsidR="00043912" w:rsidRDefault="00043912" w:rsidP="00B214C6">
      <w:pPr>
        <w:pStyle w:val="enumlev1"/>
      </w:pPr>
      <w:r>
        <w:t>4</w:t>
      </w:r>
      <w:r>
        <w:tab/>
      </w:r>
      <w:r w:rsidRPr="00363131">
        <w:t>Оказание помощи в организации автоматизированных систем управления использованием частот и контроля за этим процессом</w:t>
      </w:r>
      <w:r>
        <w:t>;</w:t>
      </w:r>
    </w:p>
    <w:p w:rsidR="00043912" w:rsidRDefault="00043912" w:rsidP="00B214C6">
      <w:pPr>
        <w:pStyle w:val="enumlev1"/>
      </w:pPr>
      <w:r>
        <w:t>5</w:t>
      </w:r>
      <w:r>
        <w:tab/>
      </w:r>
      <w:r w:rsidRPr="00363131">
        <w:t>Экономические и финансовые аспекты управления использованием спектра</w:t>
      </w:r>
      <w:r>
        <w:t>;</w:t>
      </w:r>
    </w:p>
    <w:p w:rsidR="00043912" w:rsidRDefault="00043912" w:rsidP="00B214C6">
      <w:pPr>
        <w:pStyle w:val="enumlev1"/>
      </w:pPr>
      <w:r>
        <w:t>6</w:t>
      </w:r>
      <w:r>
        <w:tab/>
      </w:r>
      <w:r w:rsidRPr="00363131">
        <w:t>Оказание помощи в подготовке к всемирным конференциям радиосвязи (ВКР), принятии последующих мер и выполнении решений ВКР</w:t>
      </w:r>
      <w:r>
        <w:t>;</w:t>
      </w:r>
    </w:p>
    <w:p w:rsidR="00043912" w:rsidRDefault="00043912" w:rsidP="0014306C">
      <w:pPr>
        <w:pStyle w:val="enumlev1"/>
      </w:pPr>
      <w:r>
        <w:t>7</w:t>
      </w:r>
      <w:r>
        <w:tab/>
      </w:r>
      <w:r w:rsidRPr="00363131">
        <w:t>Оказание помощи при участии в работе соответствующих исследовательских комиссий МСЭ</w:t>
      </w:r>
      <w:r w:rsidR="0014306C">
        <w:noBreakHyphen/>
      </w:r>
      <w:r w:rsidRPr="00363131">
        <w:t>R и их рабочих групп</w:t>
      </w:r>
      <w:r>
        <w:t>;</w:t>
      </w:r>
    </w:p>
    <w:p w:rsidR="00043912" w:rsidRDefault="00043912" w:rsidP="00B214C6">
      <w:pPr>
        <w:pStyle w:val="enumlev1"/>
      </w:pPr>
      <w:r>
        <w:t>8</w:t>
      </w:r>
      <w:r>
        <w:tab/>
      </w:r>
      <w:r w:rsidRPr="00363131">
        <w:t>Переход к цифровому наземному телевизионному радиовещанию</w:t>
      </w:r>
      <w:r>
        <w:t>;</w:t>
      </w:r>
    </w:p>
    <w:p w:rsidR="00043912" w:rsidRDefault="00043912" w:rsidP="00B214C6">
      <w:pPr>
        <w:pStyle w:val="enumlev1"/>
      </w:pPr>
      <w:r>
        <w:t>9</w:t>
      </w:r>
      <w:r>
        <w:tab/>
      </w:r>
      <w:r w:rsidRPr="00363131">
        <w:t>Помощь в определении наиболее эффективных способов использования цифрового дивиденда</w:t>
      </w:r>
      <w:r>
        <w:t>;</w:t>
      </w:r>
    </w:p>
    <w:p w:rsidR="00043912" w:rsidRDefault="00043912" w:rsidP="00B214C6">
      <w:pPr>
        <w:pStyle w:val="enumlev1"/>
      </w:pPr>
      <w:r>
        <w:t>10</w:t>
      </w:r>
      <w:r>
        <w:tab/>
      </w:r>
      <w:r w:rsidRPr="00363131">
        <w:t>Появляющиеся технологии и подходы в использовании спектра</w:t>
      </w:r>
      <w:r>
        <w:t>;</w:t>
      </w:r>
    </w:p>
    <w:p w:rsidR="00043912" w:rsidRDefault="00043912" w:rsidP="00B214C6">
      <w:pPr>
        <w:pStyle w:val="enumlev1"/>
      </w:pPr>
      <w:r>
        <w:t>11</w:t>
      </w:r>
      <w:r>
        <w:tab/>
      </w:r>
      <w:r w:rsidRPr="00363131">
        <w:t>Инновационные способы лицензирования использования спектра</w:t>
      </w:r>
      <w:r>
        <w:t>;</w:t>
      </w:r>
    </w:p>
    <w:p w:rsidR="00043912" w:rsidRDefault="00043912" w:rsidP="00FB1FCF">
      <w:pPr>
        <w:pStyle w:val="enumlev1"/>
      </w:pPr>
      <w:r>
        <w:t>12</w:t>
      </w:r>
      <w:r>
        <w:tab/>
      </w:r>
      <w:r w:rsidRPr="00363131">
        <w:t>Помощь в решении проблемы помех, создаваемых устройствами в</w:t>
      </w:r>
      <w:r w:rsidR="00FB1FCF" w:rsidRPr="00FB1FCF">
        <w:t xml:space="preserve"> </w:t>
      </w:r>
      <w:r w:rsidRPr="00363131">
        <w:t>нарушение установленного на национальном уровне распределения спектра</w:t>
      </w:r>
      <w:r>
        <w:t>;</w:t>
      </w:r>
    </w:p>
    <w:p w:rsidR="00043912" w:rsidRDefault="00043912" w:rsidP="00B214C6">
      <w:pPr>
        <w:pStyle w:val="enumlev1"/>
      </w:pPr>
      <w:r>
        <w:t>13</w:t>
      </w:r>
      <w:r>
        <w:tab/>
      </w:r>
      <w:r w:rsidRPr="00363131">
        <w:t>Помощь в решении проблемы сезонных помех, вызванных аномальным распространением радиоволн</w:t>
      </w:r>
      <w:r w:rsidR="00B214C6">
        <w:t>;</w:t>
      </w:r>
    </w:p>
    <w:p w:rsidR="00B214C6" w:rsidRPr="00574190" w:rsidRDefault="00B214C6" w:rsidP="00AA5177">
      <w:pPr>
        <w:pStyle w:val="enumlev1"/>
        <w:rPr>
          <w:szCs w:val="24"/>
        </w:rPr>
      </w:pPr>
      <w:r w:rsidRPr="00574190">
        <w:t>14</w:t>
      </w:r>
      <w:r w:rsidRPr="00574190">
        <w:tab/>
      </w:r>
      <w:r w:rsidR="00AA5177">
        <w:rPr>
          <w:szCs w:val="24"/>
        </w:rPr>
        <w:t>Развитие</w:t>
      </w:r>
      <w:r w:rsidR="00574190">
        <w:rPr>
          <w:szCs w:val="24"/>
        </w:rPr>
        <w:t xml:space="preserve"> </w:t>
      </w:r>
      <w:r w:rsidR="00574190" w:rsidRPr="0014306C">
        <w:t>SMS4DC</w:t>
      </w:r>
      <w:r w:rsidR="00574190" w:rsidRPr="00574190">
        <w:rPr>
          <w:szCs w:val="24"/>
        </w:rPr>
        <w:t xml:space="preserve"> </w:t>
      </w:r>
      <w:r w:rsidR="00574190">
        <w:rPr>
          <w:szCs w:val="24"/>
        </w:rPr>
        <w:t>и подготовка</w:t>
      </w:r>
      <w:r w:rsidR="00AA5177" w:rsidRPr="00AA5177">
        <w:rPr>
          <w:color w:val="000000"/>
        </w:rPr>
        <w:t xml:space="preserve"> </w:t>
      </w:r>
      <w:r w:rsidR="00AA5177">
        <w:rPr>
          <w:color w:val="000000"/>
        </w:rPr>
        <w:t>в</w:t>
      </w:r>
      <w:r w:rsidR="00AA5177" w:rsidRPr="001F2D21">
        <w:rPr>
          <w:color w:val="000000"/>
        </w:rPr>
        <w:t xml:space="preserve"> </w:t>
      </w:r>
      <w:r w:rsidR="00AA5177">
        <w:rPr>
          <w:color w:val="000000"/>
        </w:rPr>
        <w:t>области</w:t>
      </w:r>
      <w:r w:rsidR="00AA5177" w:rsidRPr="001F2D21">
        <w:rPr>
          <w:color w:val="000000"/>
        </w:rPr>
        <w:t xml:space="preserve"> </w:t>
      </w:r>
      <w:r w:rsidR="00AA5177">
        <w:rPr>
          <w:color w:val="000000"/>
        </w:rPr>
        <w:t>управления</w:t>
      </w:r>
      <w:r w:rsidR="00AA5177" w:rsidRPr="001F2D21">
        <w:rPr>
          <w:color w:val="000000"/>
        </w:rPr>
        <w:t xml:space="preserve"> </w:t>
      </w:r>
      <w:r w:rsidR="00AA5177">
        <w:rPr>
          <w:color w:val="000000"/>
        </w:rPr>
        <w:t>использованием</w:t>
      </w:r>
      <w:r w:rsidR="00AA5177" w:rsidRPr="001F2D21">
        <w:rPr>
          <w:color w:val="000000"/>
        </w:rPr>
        <w:t xml:space="preserve"> </w:t>
      </w:r>
      <w:r w:rsidR="00AA5177">
        <w:rPr>
          <w:color w:val="000000"/>
        </w:rPr>
        <w:t>спектра</w:t>
      </w:r>
      <w:r w:rsidRPr="00574190">
        <w:rPr>
          <w:szCs w:val="24"/>
        </w:rPr>
        <w:t>.</w:t>
      </w:r>
    </w:p>
    <w:p w:rsidR="003C45DF" w:rsidRPr="001F2D21" w:rsidRDefault="00574190" w:rsidP="0062553E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В</w:t>
      </w:r>
      <w:r w:rsidRPr="001F2D21">
        <w:rPr>
          <w:rFonts w:asciiTheme="minorHAnsi" w:hAnsiTheme="minorHAnsi" w:cstheme="minorHAnsi"/>
          <w:lang w:eastAsia="zh-CN"/>
        </w:rPr>
        <w:t xml:space="preserve"> </w:t>
      </w:r>
      <w:r w:rsidR="003935D1">
        <w:rPr>
          <w:rFonts w:asciiTheme="minorHAnsi" w:hAnsiTheme="minorHAnsi" w:cstheme="minorHAnsi"/>
          <w:lang w:eastAsia="zh-CN"/>
        </w:rPr>
        <w:t>Таблице</w:t>
      </w:r>
      <w:r w:rsidR="003935D1" w:rsidRPr="001F2D21">
        <w:rPr>
          <w:rFonts w:asciiTheme="minorHAnsi" w:hAnsiTheme="minorHAnsi" w:cstheme="minorHAnsi"/>
          <w:lang w:eastAsia="zh-CN"/>
        </w:rPr>
        <w:t xml:space="preserve"> </w:t>
      </w:r>
      <w:r w:rsidR="003C45DF" w:rsidRPr="001F2D21">
        <w:rPr>
          <w:rFonts w:asciiTheme="minorHAnsi" w:hAnsiTheme="minorHAnsi" w:cstheme="minorHAnsi"/>
          <w:lang w:eastAsia="zh-CN"/>
        </w:rPr>
        <w:t>1</w:t>
      </w:r>
      <w:r w:rsidR="0062553E">
        <w:rPr>
          <w:rFonts w:asciiTheme="minorHAnsi" w:hAnsiTheme="minorHAnsi" w:cstheme="minorHAnsi"/>
          <w:lang w:eastAsia="zh-CN"/>
        </w:rPr>
        <w:t>,</w:t>
      </w:r>
      <w:r w:rsidR="003C45DF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ниже</w:t>
      </w:r>
      <w:r w:rsidR="0062553E">
        <w:rPr>
          <w:rFonts w:asciiTheme="minorHAnsi" w:hAnsiTheme="minorHAnsi" w:cstheme="minorHAnsi"/>
          <w:lang w:eastAsia="zh-CN"/>
        </w:rPr>
        <w:t>,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представлен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обзор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количества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случаев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оказания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 xml:space="preserve">помощи </w:t>
      </w:r>
      <w:r w:rsidR="006C1F14">
        <w:rPr>
          <w:rFonts w:asciiTheme="minorHAnsi" w:hAnsiTheme="minorHAnsi" w:cstheme="minorHAnsi"/>
          <w:lang w:eastAsia="zh-CN"/>
        </w:rPr>
        <w:t xml:space="preserve">в разбивке </w:t>
      </w:r>
      <w:r w:rsidR="001F2D21">
        <w:rPr>
          <w:rFonts w:asciiTheme="minorHAnsi" w:hAnsiTheme="minorHAnsi" w:cstheme="minorHAnsi"/>
          <w:lang w:eastAsia="zh-CN"/>
        </w:rPr>
        <w:t>по темам</w:t>
      </w:r>
      <w:r w:rsidR="003C45DF" w:rsidRPr="001F2D21">
        <w:rPr>
          <w:rFonts w:asciiTheme="minorHAnsi" w:hAnsiTheme="minorHAnsi" w:cstheme="minorHAnsi"/>
          <w:lang w:eastAsia="zh-CN"/>
        </w:rPr>
        <w:t xml:space="preserve">. </w:t>
      </w:r>
      <w:r w:rsidR="001F2D21">
        <w:rPr>
          <w:rFonts w:asciiTheme="minorHAnsi" w:hAnsiTheme="minorHAnsi" w:cstheme="minorHAnsi"/>
          <w:lang w:eastAsia="zh-CN"/>
        </w:rPr>
        <w:t>Более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подробная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информация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представлена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в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таблице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Приложени</w:t>
      </w:r>
      <w:r w:rsidR="006C1F14">
        <w:rPr>
          <w:rFonts w:asciiTheme="minorHAnsi" w:hAnsiTheme="minorHAnsi" w:cstheme="minorHAnsi"/>
          <w:lang w:eastAsia="zh-CN"/>
        </w:rPr>
        <w:t>я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1F2D21">
        <w:rPr>
          <w:rFonts w:asciiTheme="minorHAnsi" w:hAnsiTheme="minorHAnsi" w:cstheme="minorHAnsi"/>
          <w:lang w:eastAsia="zh-CN"/>
        </w:rPr>
        <w:t>к</w:t>
      </w:r>
      <w:r w:rsidR="001F2D21" w:rsidRPr="001F2D21">
        <w:rPr>
          <w:rFonts w:asciiTheme="minorHAnsi" w:hAnsiTheme="minorHAnsi" w:cstheme="minorHAnsi"/>
          <w:lang w:eastAsia="zh-CN"/>
        </w:rPr>
        <w:t xml:space="preserve"> </w:t>
      </w:r>
      <w:r w:rsidR="006C1F14">
        <w:rPr>
          <w:rFonts w:asciiTheme="minorHAnsi" w:hAnsiTheme="minorHAnsi" w:cstheme="minorHAnsi"/>
          <w:lang w:eastAsia="zh-CN"/>
        </w:rPr>
        <w:t>Документу</w:t>
      </w:r>
      <w:r w:rsidR="006C1F14" w:rsidRPr="001F2D21">
        <w:rPr>
          <w:rFonts w:asciiTheme="minorHAnsi" w:hAnsiTheme="minorHAnsi" w:cstheme="minorHAnsi"/>
          <w:lang w:eastAsia="zh-CN"/>
        </w:rPr>
        <w:t xml:space="preserve"> </w:t>
      </w:r>
      <w:r w:rsidR="003C45DF" w:rsidRPr="003C45DF">
        <w:rPr>
          <w:rFonts w:asciiTheme="minorHAnsi" w:hAnsiTheme="minorHAnsi" w:cstheme="minorHAnsi"/>
          <w:lang w:val="en-GB" w:eastAsia="zh-CN"/>
        </w:rPr>
        <w:t>INF</w:t>
      </w:r>
      <w:r w:rsidR="003C45DF" w:rsidRPr="001F2D21">
        <w:rPr>
          <w:rFonts w:asciiTheme="minorHAnsi" w:hAnsiTheme="minorHAnsi" w:cstheme="minorHAnsi"/>
          <w:lang w:eastAsia="zh-CN"/>
        </w:rPr>
        <w:t xml:space="preserve">/4, </w:t>
      </w:r>
      <w:r w:rsidR="006C1F14">
        <w:rPr>
          <w:rFonts w:asciiTheme="minorHAnsi" w:hAnsiTheme="minorHAnsi" w:cstheme="minorHAnsi"/>
          <w:lang w:eastAsia="zh-CN"/>
        </w:rPr>
        <w:t xml:space="preserve">в </w:t>
      </w:r>
      <w:r w:rsidR="001F2D21">
        <w:rPr>
          <w:rFonts w:asciiTheme="minorHAnsi" w:hAnsiTheme="minorHAnsi" w:cstheme="minorHAnsi"/>
          <w:lang w:eastAsia="zh-CN"/>
        </w:rPr>
        <w:t>котор</w:t>
      </w:r>
      <w:r w:rsidR="006C1F14">
        <w:rPr>
          <w:rFonts w:asciiTheme="minorHAnsi" w:hAnsiTheme="minorHAnsi" w:cstheme="minorHAnsi"/>
          <w:lang w:eastAsia="zh-CN"/>
        </w:rPr>
        <w:t>ом</w:t>
      </w:r>
      <w:r w:rsidR="001F2D21">
        <w:rPr>
          <w:rFonts w:asciiTheme="minorHAnsi" w:hAnsiTheme="minorHAnsi" w:cstheme="minorHAnsi"/>
          <w:lang w:eastAsia="zh-CN"/>
        </w:rPr>
        <w:t xml:space="preserve"> содержит</w:t>
      </w:r>
      <w:r w:rsidR="006C1F14">
        <w:rPr>
          <w:rFonts w:asciiTheme="minorHAnsi" w:hAnsiTheme="minorHAnsi" w:cstheme="minorHAnsi"/>
          <w:lang w:eastAsia="zh-CN"/>
        </w:rPr>
        <w:t>ся</w:t>
      </w:r>
      <w:r w:rsidR="001F2D21">
        <w:rPr>
          <w:rFonts w:asciiTheme="minorHAnsi" w:hAnsiTheme="minorHAnsi" w:cstheme="minorHAnsi"/>
          <w:lang w:eastAsia="zh-CN"/>
        </w:rPr>
        <w:t xml:space="preserve"> краткий обзор предоставленной странам </w:t>
      </w:r>
      <w:r w:rsidR="001F2D21" w:rsidRPr="001F2D21">
        <w:rPr>
          <w:rFonts w:asciiTheme="minorHAnsi" w:hAnsiTheme="minorHAnsi" w:cstheme="minorHAnsi"/>
          <w:lang w:eastAsia="zh-CN"/>
        </w:rPr>
        <w:t>помощи</w:t>
      </w:r>
      <w:r w:rsidR="001F2D21">
        <w:rPr>
          <w:rFonts w:asciiTheme="minorHAnsi" w:hAnsiTheme="minorHAnsi" w:cstheme="minorHAnsi"/>
          <w:lang w:eastAsia="zh-CN"/>
        </w:rPr>
        <w:t>, связанной с вопросами управления использованием спектра,</w:t>
      </w:r>
      <w:r w:rsidR="003C45DF" w:rsidRPr="001F2D21">
        <w:rPr>
          <w:rFonts w:asciiTheme="minorHAnsi" w:hAnsiTheme="minorHAnsi" w:cstheme="minorHAnsi"/>
          <w:lang w:eastAsia="zh-CN"/>
        </w:rPr>
        <w:t xml:space="preserve"> </w:t>
      </w:r>
      <w:r w:rsidR="006C1F14">
        <w:rPr>
          <w:rFonts w:asciiTheme="minorHAnsi" w:hAnsiTheme="minorHAnsi" w:cstheme="minorHAnsi"/>
          <w:lang w:eastAsia="zh-CN"/>
        </w:rPr>
        <w:t>в</w:t>
      </w:r>
      <w:r w:rsidR="001F2D21">
        <w:rPr>
          <w:rFonts w:asciiTheme="minorHAnsi" w:hAnsiTheme="minorHAnsi" w:cstheme="minorHAnsi"/>
          <w:lang w:eastAsia="zh-CN"/>
        </w:rPr>
        <w:t xml:space="preserve"> разбивк</w:t>
      </w:r>
      <w:r w:rsidR="006C1F14">
        <w:rPr>
          <w:rFonts w:asciiTheme="minorHAnsi" w:hAnsiTheme="minorHAnsi" w:cstheme="minorHAnsi"/>
          <w:lang w:eastAsia="zh-CN"/>
        </w:rPr>
        <w:t>е</w:t>
      </w:r>
      <w:r w:rsidR="001F2D21">
        <w:rPr>
          <w:rFonts w:asciiTheme="minorHAnsi" w:hAnsiTheme="minorHAnsi" w:cstheme="minorHAnsi"/>
          <w:lang w:eastAsia="zh-CN"/>
        </w:rPr>
        <w:t xml:space="preserve"> по регионам</w:t>
      </w:r>
      <w:r w:rsidR="003C45DF" w:rsidRPr="001F2D21">
        <w:rPr>
          <w:rFonts w:asciiTheme="minorHAnsi" w:hAnsiTheme="minorHAnsi" w:cstheme="minorHAnsi"/>
          <w:lang w:eastAsia="zh-CN"/>
        </w:rPr>
        <w:t>.</w:t>
      </w:r>
    </w:p>
    <w:p w:rsidR="003C45DF" w:rsidRPr="00AA5177" w:rsidRDefault="001F2D21" w:rsidP="00A34F06">
      <w:pPr>
        <w:keepLines/>
        <w:rPr>
          <w:rFonts w:asciiTheme="minorHAnsi" w:hAnsiTheme="minorHAnsi" w:cstheme="minorHAnsi"/>
          <w:bCs/>
          <w:i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lastRenderedPageBreak/>
        <w:t>В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этом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году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продолжится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оказание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прямой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помощи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странам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в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рамках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проектов</w:t>
      </w:r>
      <w:r w:rsidR="003C45DF" w:rsidRPr="001F2D21">
        <w:rPr>
          <w:rFonts w:asciiTheme="minorHAnsi" w:hAnsiTheme="minorHAnsi" w:cstheme="minorHAnsi"/>
          <w:bCs/>
          <w:lang w:eastAsia="zh-CN"/>
        </w:rPr>
        <w:t xml:space="preserve"> </w:t>
      </w:r>
      <w:r w:rsidR="006C1F14">
        <w:rPr>
          <w:rFonts w:asciiTheme="minorHAnsi" w:hAnsiTheme="minorHAnsi" w:cstheme="minorHAnsi"/>
          <w:bCs/>
          <w:lang w:eastAsia="zh-CN"/>
        </w:rPr>
        <w:t xml:space="preserve">Кореи </w:t>
      </w:r>
      <w:r>
        <w:rPr>
          <w:rFonts w:asciiTheme="minorHAnsi" w:hAnsiTheme="minorHAnsi" w:cstheme="minorHAnsi"/>
          <w:bCs/>
          <w:lang w:eastAsia="zh-CN"/>
        </w:rPr>
        <w:t xml:space="preserve">по развитию </w:t>
      </w:r>
      <w:r>
        <w:rPr>
          <w:color w:val="000000"/>
        </w:rPr>
        <w:t>национальной системы управления использованием спектра</w:t>
      </w:r>
      <w:r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и</w:t>
      </w:r>
      <w:r w:rsidR="003C45DF"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color w:val="000000"/>
        </w:rPr>
        <w:t>подготовки</w:t>
      </w:r>
      <w:r w:rsidRPr="001F2D21">
        <w:rPr>
          <w:color w:val="000000"/>
        </w:rPr>
        <w:t xml:space="preserve"> </w:t>
      </w:r>
      <w:r>
        <w:rPr>
          <w:color w:val="000000"/>
        </w:rPr>
        <w:t>в</w:t>
      </w:r>
      <w:r w:rsidRPr="001F2D21">
        <w:rPr>
          <w:color w:val="000000"/>
        </w:rPr>
        <w:t xml:space="preserve"> </w:t>
      </w:r>
      <w:r>
        <w:rPr>
          <w:color w:val="000000"/>
        </w:rPr>
        <w:t>области</w:t>
      </w:r>
      <w:r w:rsidRPr="001F2D21">
        <w:rPr>
          <w:color w:val="000000"/>
        </w:rPr>
        <w:t xml:space="preserve"> </w:t>
      </w:r>
      <w:r>
        <w:rPr>
          <w:color w:val="000000"/>
        </w:rPr>
        <w:t>управления</w:t>
      </w:r>
      <w:r w:rsidRPr="001F2D21">
        <w:rPr>
          <w:color w:val="000000"/>
        </w:rPr>
        <w:t xml:space="preserve"> </w:t>
      </w:r>
      <w:r>
        <w:rPr>
          <w:color w:val="000000"/>
        </w:rPr>
        <w:t>использованием</w:t>
      </w:r>
      <w:r w:rsidRPr="001F2D21">
        <w:rPr>
          <w:color w:val="000000"/>
        </w:rPr>
        <w:t xml:space="preserve"> </w:t>
      </w:r>
      <w:r>
        <w:rPr>
          <w:color w:val="000000"/>
        </w:rPr>
        <w:t>спектра</w:t>
      </w:r>
      <w:r w:rsidR="003C45DF" w:rsidRPr="001F2D21">
        <w:rPr>
          <w:rFonts w:asciiTheme="minorHAnsi" w:hAnsiTheme="minorHAnsi" w:cstheme="minorHAnsi"/>
          <w:bCs/>
          <w:lang w:eastAsia="zh-CN"/>
        </w:rPr>
        <w:t xml:space="preserve">, </w:t>
      </w:r>
      <w:r>
        <w:rPr>
          <w:rFonts w:asciiTheme="minorHAnsi" w:hAnsiTheme="minorHAnsi" w:cstheme="minorHAnsi"/>
          <w:bCs/>
          <w:lang w:eastAsia="zh-CN"/>
        </w:rPr>
        <w:t>по</w:t>
      </w:r>
      <w:r w:rsidR="003C45DF" w:rsidRPr="001F2D21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color w:val="000000"/>
        </w:rPr>
        <w:t xml:space="preserve">переходу к цифровому радиовещанию </w:t>
      </w:r>
      <w:r w:rsidR="003C45DF" w:rsidRPr="00AA5177">
        <w:rPr>
          <w:rFonts w:asciiTheme="minorHAnsi" w:hAnsiTheme="minorHAnsi" w:cstheme="minorHAnsi"/>
          <w:bCs/>
          <w:lang w:eastAsia="zh-CN"/>
        </w:rPr>
        <w:t>(</w:t>
      </w:r>
      <w:r>
        <w:rPr>
          <w:rFonts w:asciiTheme="minorHAnsi" w:hAnsiTheme="minorHAnsi" w:cstheme="minorHAnsi"/>
          <w:bCs/>
          <w:lang w:eastAsia="zh-CN"/>
        </w:rPr>
        <w:t>в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том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числе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обновлению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базы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данных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 </w:t>
      </w:r>
      <w:r w:rsidR="003C45DF" w:rsidRPr="003C45DF">
        <w:rPr>
          <w:rFonts w:asciiTheme="minorHAnsi" w:hAnsiTheme="minorHAnsi" w:cstheme="minorHAnsi"/>
          <w:bCs/>
          <w:lang w:val="en-GB" w:eastAsia="zh-CN"/>
        </w:rPr>
        <w:t>DSO</w:t>
      </w:r>
      <w:r w:rsidRPr="00AA5177">
        <w:rPr>
          <w:rFonts w:asciiTheme="minorHAnsi" w:hAnsiTheme="minorHAnsi" w:cstheme="minorHAnsi"/>
          <w:bCs/>
          <w:lang w:eastAsia="zh-CN"/>
        </w:rPr>
        <w:t xml:space="preserve">); </w:t>
      </w:r>
      <w:r>
        <w:rPr>
          <w:rFonts w:asciiTheme="minorHAnsi" w:hAnsiTheme="minorHAnsi" w:cstheme="minorHAnsi"/>
          <w:bCs/>
          <w:lang w:eastAsia="zh-CN"/>
        </w:rPr>
        <w:t>будет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организован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тематический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семинар</w:t>
      </w:r>
      <w:r w:rsidRPr="00AA5177">
        <w:rPr>
          <w:rFonts w:asciiTheme="minorHAnsi" w:hAnsiTheme="minorHAnsi" w:cstheme="minorHAnsi"/>
          <w:bCs/>
          <w:lang w:eastAsia="zh-CN"/>
        </w:rPr>
        <w:t>-</w:t>
      </w:r>
      <w:r>
        <w:rPr>
          <w:rFonts w:asciiTheme="minorHAnsi" w:hAnsiTheme="minorHAnsi" w:cstheme="minorHAnsi"/>
          <w:bCs/>
          <w:lang w:eastAsia="zh-CN"/>
        </w:rPr>
        <w:t>практикум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по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 w:rsidR="00AA5177">
        <w:rPr>
          <w:rFonts w:asciiTheme="minorHAnsi" w:hAnsiTheme="minorHAnsi" w:cstheme="minorHAnsi"/>
          <w:bCs/>
          <w:lang w:eastAsia="zh-CN"/>
        </w:rPr>
        <w:t>технологии</w:t>
      </w:r>
      <w:r w:rsidR="00AA5177" w:rsidRPr="00AA5177">
        <w:rPr>
          <w:rFonts w:asciiTheme="minorHAnsi" w:hAnsiTheme="minorHAnsi" w:cstheme="minorHAnsi"/>
          <w:bCs/>
          <w:lang w:eastAsia="zh-CN"/>
        </w:rPr>
        <w:t xml:space="preserve"> </w:t>
      </w:r>
      <w:r w:rsidR="003C45DF" w:rsidRPr="00AA5177">
        <w:rPr>
          <w:rFonts w:asciiTheme="minorHAnsi" w:hAnsiTheme="minorHAnsi" w:cstheme="minorHAnsi"/>
          <w:bCs/>
          <w:lang w:eastAsia="zh-CN"/>
        </w:rPr>
        <w:t>5</w:t>
      </w:r>
      <w:r w:rsidR="003C45DF" w:rsidRPr="003C45DF">
        <w:rPr>
          <w:rFonts w:asciiTheme="minorHAnsi" w:hAnsiTheme="minorHAnsi" w:cstheme="minorHAnsi"/>
          <w:bCs/>
          <w:lang w:val="en-GB" w:eastAsia="zh-CN"/>
        </w:rPr>
        <w:t>G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 </w:t>
      </w:r>
      <w:r w:rsidR="00AA5177">
        <w:rPr>
          <w:rFonts w:asciiTheme="minorHAnsi" w:hAnsiTheme="minorHAnsi" w:cstheme="minorHAnsi"/>
          <w:bCs/>
          <w:lang w:eastAsia="zh-CN"/>
        </w:rPr>
        <w:t>для</w:t>
      </w:r>
      <w:r w:rsidR="00FB1FCF">
        <w:rPr>
          <w:rFonts w:asciiTheme="minorHAnsi" w:hAnsiTheme="minorHAnsi" w:cstheme="minorHAnsi"/>
          <w:bCs/>
          <w:lang w:val="en-US" w:eastAsia="zh-CN"/>
        </w:rPr>
        <w:t> </w:t>
      </w:r>
      <w:r w:rsidR="00AA5177">
        <w:rPr>
          <w:rFonts w:asciiTheme="minorHAnsi" w:hAnsiTheme="minorHAnsi" w:cstheme="minorHAnsi"/>
          <w:bCs/>
          <w:lang w:eastAsia="zh-CN"/>
        </w:rPr>
        <w:t xml:space="preserve">развивающихся стран и гибридной инфраструктуре и технологиям для </w:t>
      </w:r>
      <w:r w:rsidR="006C1F14">
        <w:rPr>
          <w:rFonts w:asciiTheme="minorHAnsi" w:hAnsiTheme="minorHAnsi" w:cstheme="minorHAnsi"/>
          <w:bCs/>
          <w:lang w:eastAsia="zh-CN"/>
        </w:rPr>
        <w:t>приемлемого</w:t>
      </w:r>
      <w:r w:rsidR="00AA5177">
        <w:rPr>
          <w:rFonts w:asciiTheme="minorHAnsi" w:hAnsiTheme="minorHAnsi" w:cstheme="minorHAnsi"/>
          <w:bCs/>
          <w:lang w:eastAsia="zh-CN"/>
        </w:rPr>
        <w:t xml:space="preserve"> в ценовом отношении широкополосного доступа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, </w:t>
      </w:r>
      <w:r w:rsidR="00AA5177">
        <w:rPr>
          <w:rFonts w:asciiTheme="minorHAnsi" w:hAnsiTheme="minorHAnsi" w:cstheme="minorHAnsi"/>
          <w:bCs/>
          <w:lang w:eastAsia="zh-CN"/>
        </w:rPr>
        <w:t>а также продолжится развитие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 </w:t>
      </w:r>
      <w:r w:rsidR="003C45DF" w:rsidRPr="003C45DF">
        <w:rPr>
          <w:rFonts w:asciiTheme="minorHAnsi" w:hAnsiTheme="minorHAnsi" w:cstheme="minorHAnsi"/>
          <w:bCs/>
          <w:lang w:val="en-GB" w:eastAsia="zh-CN"/>
        </w:rPr>
        <w:t>SMS</w:t>
      </w:r>
      <w:r w:rsidR="003C45DF" w:rsidRPr="00AA5177">
        <w:rPr>
          <w:rFonts w:asciiTheme="minorHAnsi" w:hAnsiTheme="minorHAnsi" w:cstheme="minorHAnsi"/>
          <w:bCs/>
          <w:lang w:eastAsia="zh-CN"/>
        </w:rPr>
        <w:t>4</w:t>
      </w:r>
      <w:r w:rsidR="003C45DF" w:rsidRPr="003C45DF">
        <w:rPr>
          <w:rFonts w:asciiTheme="minorHAnsi" w:hAnsiTheme="minorHAnsi" w:cstheme="minorHAnsi"/>
          <w:bCs/>
          <w:lang w:val="en-GB" w:eastAsia="zh-CN"/>
        </w:rPr>
        <w:t>DC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 (</w:t>
      </w:r>
      <w:r w:rsidR="00AA5177">
        <w:rPr>
          <w:color w:val="000000"/>
        </w:rPr>
        <w:t>системы управления использованием спектра для развивающихся стран</w:t>
      </w:r>
      <w:r w:rsidR="003C45DF" w:rsidRPr="00AA5177">
        <w:rPr>
          <w:rFonts w:asciiTheme="minorHAnsi" w:hAnsiTheme="minorHAnsi" w:cstheme="minorHAnsi"/>
          <w:bCs/>
          <w:lang w:eastAsia="zh-CN"/>
        </w:rPr>
        <w:t>);</w:t>
      </w:r>
    </w:p>
    <w:p w:rsidR="000118FB" w:rsidRPr="00AA5177" w:rsidRDefault="00AA5177" w:rsidP="006C1F14">
      <w:pPr>
        <w:spacing w:after="240"/>
        <w:rPr>
          <w:rFonts w:asciiTheme="minorHAnsi" w:hAnsiTheme="minorHAnsi" w:cstheme="minorHAnsi"/>
          <w:bCs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>В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дополнение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к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 w:rsidR="006C1F14">
        <w:rPr>
          <w:rFonts w:asciiTheme="minorHAnsi" w:hAnsiTheme="minorHAnsi" w:cstheme="minorHAnsi"/>
          <w:bCs/>
          <w:lang w:eastAsia="zh-CN"/>
        </w:rPr>
        <w:t xml:space="preserve">изложенному </w:t>
      </w:r>
      <w:r>
        <w:rPr>
          <w:rFonts w:asciiTheme="minorHAnsi" w:hAnsiTheme="minorHAnsi" w:cstheme="minorHAnsi"/>
          <w:bCs/>
          <w:lang w:eastAsia="zh-CN"/>
        </w:rPr>
        <w:t>выше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, </w:t>
      </w:r>
      <w:r>
        <w:rPr>
          <w:rFonts w:asciiTheme="minorHAnsi" w:hAnsiTheme="minorHAnsi" w:cstheme="minorHAnsi"/>
          <w:bCs/>
          <w:lang w:eastAsia="zh-CN"/>
        </w:rPr>
        <w:t xml:space="preserve">будем </w:t>
      </w:r>
      <w:r w:rsidR="006C1F14">
        <w:rPr>
          <w:rFonts w:asciiTheme="minorHAnsi" w:hAnsiTheme="minorHAnsi" w:cstheme="minorHAnsi"/>
          <w:bCs/>
          <w:lang w:eastAsia="zh-CN"/>
        </w:rPr>
        <w:t xml:space="preserve">осуществляться </w:t>
      </w:r>
      <w:r>
        <w:rPr>
          <w:rFonts w:asciiTheme="minorHAnsi" w:hAnsiTheme="minorHAnsi" w:cstheme="minorHAnsi"/>
          <w:bCs/>
          <w:lang w:eastAsia="zh-CN"/>
        </w:rPr>
        <w:t xml:space="preserve">работа </w:t>
      </w:r>
      <w:r w:rsidR="006C1F14">
        <w:rPr>
          <w:rFonts w:asciiTheme="minorHAnsi" w:hAnsiTheme="minorHAnsi" w:cstheme="minorHAnsi"/>
          <w:bCs/>
          <w:lang w:eastAsia="zh-CN"/>
        </w:rPr>
        <w:t>по</w:t>
      </w:r>
      <w:r>
        <w:rPr>
          <w:rFonts w:asciiTheme="minorHAnsi" w:hAnsiTheme="minorHAnsi" w:cstheme="minorHAnsi"/>
          <w:bCs/>
          <w:lang w:eastAsia="zh-CN"/>
        </w:rPr>
        <w:t xml:space="preserve"> выполнени</w:t>
      </w:r>
      <w:r w:rsidR="006C1F14">
        <w:rPr>
          <w:rFonts w:asciiTheme="minorHAnsi" w:hAnsiTheme="minorHAnsi" w:cstheme="minorHAnsi"/>
          <w:bCs/>
          <w:lang w:eastAsia="zh-CN"/>
        </w:rPr>
        <w:t>ю</w:t>
      </w:r>
      <w:r>
        <w:rPr>
          <w:rFonts w:asciiTheme="minorHAnsi" w:hAnsiTheme="minorHAnsi" w:cstheme="minorHAnsi"/>
          <w:bCs/>
          <w:lang w:eastAsia="zh-CN"/>
        </w:rPr>
        <w:t xml:space="preserve"> проекта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 </w:t>
      </w:r>
      <w:r w:rsidR="00DE1653">
        <w:rPr>
          <w:rFonts w:asciiTheme="minorHAnsi" w:hAnsiTheme="minorHAnsi" w:cstheme="minorHAnsi"/>
          <w:bCs/>
          <w:lang w:eastAsia="zh-CN"/>
        </w:rPr>
        <w:t>МСЭ</w:t>
      </w:r>
      <w:r w:rsidR="003C45DF" w:rsidRPr="00AA5177">
        <w:rPr>
          <w:rFonts w:asciiTheme="minorHAnsi" w:hAnsiTheme="minorHAnsi" w:cstheme="minorHAnsi"/>
          <w:bCs/>
          <w:lang w:eastAsia="zh-CN"/>
        </w:rPr>
        <w:t>-</w:t>
      </w:r>
      <w:r>
        <w:rPr>
          <w:color w:val="000000"/>
        </w:rPr>
        <w:t xml:space="preserve">ЕС </w:t>
      </w:r>
      <w:r w:rsidR="00DE1653" w:rsidRPr="00AA5177">
        <w:rPr>
          <w:rFonts w:asciiTheme="minorHAnsi" w:hAnsiTheme="minorHAnsi" w:cstheme="minorHAnsi"/>
          <w:bCs/>
          <w:lang w:eastAsia="zh-CN"/>
        </w:rPr>
        <w:t>"</w:t>
      </w:r>
      <w:r>
        <w:rPr>
          <w:color w:val="000000"/>
        </w:rPr>
        <w:t>Увеличение степени проникновения беспроводной широкополосной связи благодаря более совершенному и согласованному использованию спектра</w:t>
      </w:r>
      <w:r w:rsidRPr="00AA5177">
        <w:rPr>
          <w:rFonts w:asciiTheme="minorHAnsi" w:hAnsiTheme="minorHAnsi" w:cstheme="minorHAnsi"/>
          <w:bCs/>
          <w:lang w:eastAsia="zh-CN"/>
        </w:rPr>
        <w:t xml:space="preserve"> </w:t>
      </w:r>
      <w:r>
        <w:rPr>
          <w:rFonts w:asciiTheme="minorHAnsi" w:hAnsiTheme="minorHAnsi" w:cstheme="minorHAnsi"/>
          <w:bCs/>
          <w:lang w:eastAsia="zh-CN"/>
        </w:rPr>
        <w:t>и регулированию</w:t>
      </w:r>
      <w:r w:rsidR="00DE1653" w:rsidRPr="00AA5177">
        <w:rPr>
          <w:rFonts w:asciiTheme="minorHAnsi" w:hAnsiTheme="minorHAnsi" w:cstheme="minorHAnsi"/>
          <w:bCs/>
          <w:lang w:eastAsia="zh-CN"/>
        </w:rPr>
        <w:t>"</w:t>
      </w:r>
      <w:r w:rsidR="003C45DF" w:rsidRPr="00AA5177">
        <w:rPr>
          <w:rFonts w:asciiTheme="minorHAnsi" w:hAnsiTheme="minorHAnsi" w:cstheme="minorHAnsi"/>
          <w:bCs/>
          <w:lang w:eastAsia="zh-CN"/>
        </w:rPr>
        <w:t xml:space="preserve"> (</w:t>
      </w:r>
      <w:r w:rsidR="003C45DF" w:rsidRPr="003C45DF">
        <w:rPr>
          <w:rFonts w:asciiTheme="minorHAnsi" w:hAnsiTheme="minorHAnsi" w:cstheme="minorHAnsi"/>
          <w:bCs/>
          <w:lang w:val="en-GB" w:eastAsia="zh-CN"/>
        </w:rPr>
        <w:t>PRIDA</w:t>
      </w:r>
      <w:r w:rsidR="003C45DF" w:rsidRPr="00AA5177">
        <w:rPr>
          <w:rFonts w:asciiTheme="minorHAnsi" w:hAnsiTheme="minorHAnsi" w:cstheme="minorHAnsi"/>
          <w:bCs/>
          <w:lang w:eastAsia="zh-CN"/>
        </w:rPr>
        <w:t>).</w:t>
      </w:r>
    </w:p>
    <w:p w:rsidR="003935D1" w:rsidRDefault="003566D2" w:rsidP="003935D1">
      <w:pPr>
        <w:pStyle w:val="TableNo"/>
      </w:pPr>
      <w:r>
        <w:t>Таблица</w:t>
      </w:r>
      <w:r w:rsidR="0014306C" w:rsidRPr="003566D2">
        <w:t xml:space="preserve"> 1</w:t>
      </w:r>
    </w:p>
    <w:p w:rsidR="0014306C" w:rsidRPr="003566D2" w:rsidRDefault="003566D2" w:rsidP="006C1F14">
      <w:pPr>
        <w:pStyle w:val="Tabletitle"/>
      </w:pPr>
      <w:r>
        <w:rPr>
          <w:color w:val="000000"/>
        </w:rPr>
        <w:t>Обзор количества случаев оказания помощи</w:t>
      </w:r>
      <w:r w:rsidRPr="003566D2">
        <w:t xml:space="preserve"> </w:t>
      </w:r>
      <w:r w:rsidR="006C1F14">
        <w:rPr>
          <w:rFonts w:asciiTheme="minorHAnsi" w:hAnsiTheme="minorHAnsi" w:cstheme="minorHAnsi"/>
          <w:lang w:eastAsia="zh-CN"/>
        </w:rPr>
        <w:t xml:space="preserve">в разбивке по </w:t>
      </w:r>
      <w:r>
        <w:t>темам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49"/>
        <w:gridCol w:w="1979"/>
      </w:tblGrid>
      <w:tr w:rsidR="0014306C" w:rsidRPr="00582F30" w:rsidTr="00E3237C">
        <w:trPr>
          <w:jc w:val="center"/>
        </w:trPr>
        <w:tc>
          <w:tcPr>
            <w:tcW w:w="7650" w:type="dxa"/>
            <w:vAlign w:val="center"/>
          </w:tcPr>
          <w:p w:rsidR="0014306C" w:rsidRPr="00582F30" w:rsidRDefault="003566D2" w:rsidP="0014306C">
            <w:pPr>
              <w:pStyle w:val="Tablehead"/>
            </w:pPr>
            <w:r>
              <w:t>Тема</w:t>
            </w:r>
          </w:p>
        </w:tc>
        <w:tc>
          <w:tcPr>
            <w:tcW w:w="1979" w:type="dxa"/>
          </w:tcPr>
          <w:p w:rsidR="0014306C" w:rsidRPr="00582F30" w:rsidRDefault="003566D2" w:rsidP="0014306C">
            <w:pPr>
              <w:pStyle w:val="Tablehead"/>
            </w:pPr>
            <w:r>
              <w:rPr>
                <w:color w:val="000000"/>
              </w:rPr>
              <w:t>Количество видов деятельности</w:t>
            </w:r>
          </w:p>
        </w:tc>
      </w:tr>
      <w:tr w:rsidR="0014306C" w:rsidRPr="0014306C" w:rsidTr="00E3237C">
        <w:trPr>
          <w:jc w:val="center"/>
        </w:trPr>
        <w:tc>
          <w:tcPr>
            <w:tcW w:w="7650" w:type="dxa"/>
          </w:tcPr>
          <w:p w:rsidR="0014306C" w:rsidRPr="0014306C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</w:pPr>
            <w:r>
              <w:t>1</w:t>
            </w:r>
            <w:r>
              <w:tab/>
            </w:r>
            <w:r w:rsidRPr="00363131">
      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right="737"/>
              <w:jc w:val="right"/>
            </w:pPr>
            <w:r w:rsidRPr="00582F30">
              <w:t>40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2</w:t>
            </w:r>
            <w:r>
              <w:tab/>
            </w:r>
            <w:r w:rsidRPr="00363131">
              <w:t>Профессиональная подготовка и распространение имеющейся документации МСЭ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16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3</w:t>
            </w:r>
            <w:r>
              <w:tab/>
            </w:r>
            <w:r w:rsidRPr="00363131">
              <w:t>Оказание помощи в разработке методик для составления национальных таблиц распределения частот и перераспределения спектра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16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4</w:t>
            </w:r>
            <w:r>
              <w:tab/>
            </w:r>
            <w:r w:rsidRPr="00363131">
              <w:t>Оказание помощи в организации автоматизированных систем управления использованием частот и контроля за этим процессом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5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5</w:t>
            </w:r>
            <w:r>
              <w:tab/>
            </w:r>
            <w:r w:rsidRPr="00363131">
              <w:t>Экономические и финансовые аспекты управления использованием спектра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17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6</w:t>
            </w:r>
            <w:r>
              <w:tab/>
            </w:r>
            <w:r w:rsidRPr="00363131">
              <w:t>Оказание помощи в подготовке к всемирным конференциям радиосвязи (ВКР), принятии последующих мер и выполнении решений ВКР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14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7</w:t>
            </w:r>
            <w:r>
              <w:tab/>
            </w:r>
            <w:r w:rsidRPr="00363131">
              <w:t>Оказание помощи при участии в работе соответствующих исследовательских комиссий МСЭ-R и их рабочих групп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9</w:t>
            </w:r>
          </w:p>
        </w:tc>
      </w:tr>
      <w:tr w:rsidR="0014306C" w:rsidRPr="0014306C" w:rsidTr="00E3237C">
        <w:trPr>
          <w:jc w:val="center"/>
        </w:trPr>
        <w:tc>
          <w:tcPr>
            <w:tcW w:w="7650" w:type="dxa"/>
          </w:tcPr>
          <w:p w:rsidR="0014306C" w:rsidRPr="00FE4718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 w:rsidRPr="00FE4718">
              <w:t>8</w:t>
            </w:r>
            <w:r w:rsidRPr="00FE4718">
              <w:tab/>
            </w:r>
            <w:r w:rsidRPr="00363131">
              <w:t>Переход</w:t>
            </w:r>
            <w:r w:rsidRPr="00FE4718">
              <w:t xml:space="preserve"> </w:t>
            </w:r>
            <w:r w:rsidRPr="00363131">
              <w:t>к</w:t>
            </w:r>
            <w:r w:rsidRPr="00FE4718">
              <w:t xml:space="preserve"> </w:t>
            </w:r>
            <w:r w:rsidRPr="00363131">
              <w:t>цифровому</w:t>
            </w:r>
            <w:r w:rsidRPr="00FE4718">
              <w:t xml:space="preserve"> </w:t>
            </w:r>
            <w:r w:rsidRPr="00363131">
              <w:t>наземному</w:t>
            </w:r>
            <w:r w:rsidRPr="00FE4718">
              <w:t xml:space="preserve"> </w:t>
            </w:r>
            <w:r w:rsidRPr="00363131">
              <w:t>телевизионному</w:t>
            </w:r>
            <w:r w:rsidRPr="00FE4718">
              <w:t xml:space="preserve"> </w:t>
            </w:r>
            <w:r w:rsidRPr="00363131">
              <w:t>радиовещанию</w:t>
            </w:r>
          </w:p>
        </w:tc>
        <w:tc>
          <w:tcPr>
            <w:tcW w:w="1979" w:type="dxa"/>
          </w:tcPr>
          <w:p w:rsidR="0014306C" w:rsidRPr="0014306C" w:rsidRDefault="0014306C" w:rsidP="00A34F06">
            <w:pPr>
              <w:pStyle w:val="Tabletext"/>
              <w:ind w:right="737"/>
              <w:jc w:val="right"/>
              <w:rPr>
                <w:lang w:val="en-GB"/>
              </w:rPr>
            </w:pPr>
            <w:r w:rsidRPr="0014306C">
              <w:rPr>
                <w:lang w:val="en-GB"/>
              </w:rPr>
              <w:t>13</w:t>
            </w:r>
          </w:p>
        </w:tc>
      </w:tr>
      <w:tr w:rsidR="0014306C" w:rsidRPr="0014306C" w:rsidTr="00E3237C">
        <w:trPr>
          <w:jc w:val="center"/>
        </w:trPr>
        <w:tc>
          <w:tcPr>
            <w:tcW w:w="7650" w:type="dxa"/>
          </w:tcPr>
          <w:p w:rsidR="0014306C" w:rsidRPr="0014306C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9</w:t>
            </w:r>
            <w:r>
              <w:tab/>
            </w:r>
            <w:r w:rsidRPr="00363131">
              <w:t>Помощь в определении наиболее эффективных способов использования цифрового дивиденда</w:t>
            </w:r>
          </w:p>
        </w:tc>
        <w:tc>
          <w:tcPr>
            <w:tcW w:w="1979" w:type="dxa"/>
          </w:tcPr>
          <w:p w:rsidR="0014306C" w:rsidRPr="0014306C" w:rsidRDefault="0014306C" w:rsidP="00A34F06">
            <w:pPr>
              <w:pStyle w:val="Tabletext"/>
              <w:ind w:right="737"/>
              <w:jc w:val="right"/>
              <w:rPr>
                <w:lang w:val="en-GB"/>
              </w:rPr>
            </w:pPr>
            <w:r w:rsidRPr="0014306C">
              <w:rPr>
                <w:lang w:val="en-GB"/>
              </w:rPr>
              <w:t>13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10</w:t>
            </w:r>
            <w:r>
              <w:tab/>
            </w:r>
            <w:r w:rsidRPr="00FE4718">
              <w:t>Появляющиеся</w:t>
            </w:r>
            <w:r w:rsidRPr="00363131">
              <w:t xml:space="preserve"> технологии и подходы в использовании спектра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12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11</w:t>
            </w:r>
            <w:r>
              <w:tab/>
            </w:r>
            <w:r w:rsidRPr="00363131">
              <w:t>Инновационные способы лицензирования использования спектра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17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12</w:t>
            </w:r>
            <w:r>
              <w:tab/>
            </w:r>
            <w:r w:rsidRPr="00363131">
              <w:t>Помощь в решении проблемы помех, создаваемых устройствами в</w:t>
            </w:r>
            <w:r w:rsidR="00FB1FCF" w:rsidRPr="00A34F06">
              <w:t xml:space="preserve"> </w:t>
            </w:r>
            <w:r w:rsidRPr="00363131">
              <w:t>нарушение установленного на национальном уровне р</w:t>
            </w:r>
            <w:bookmarkStart w:id="6" w:name="_GoBack"/>
            <w:bookmarkEnd w:id="6"/>
            <w:r w:rsidRPr="00363131">
              <w:t>аспределения спектра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3</w:t>
            </w:r>
          </w:p>
        </w:tc>
      </w:tr>
      <w:tr w:rsidR="0014306C" w:rsidRPr="00582F30" w:rsidTr="00E3237C">
        <w:trPr>
          <w:jc w:val="center"/>
        </w:trPr>
        <w:tc>
          <w:tcPr>
            <w:tcW w:w="7650" w:type="dxa"/>
          </w:tcPr>
          <w:p w:rsidR="0014306C" w:rsidRPr="00E9116D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>
              <w:t>13</w:t>
            </w:r>
            <w:r>
              <w:tab/>
            </w:r>
            <w:r w:rsidRPr="00363131">
              <w:t>Помощь в решении проблемы сезонных помех, вызванных аномальным распространением радиоволн</w:t>
            </w:r>
          </w:p>
        </w:tc>
        <w:tc>
          <w:tcPr>
            <w:tcW w:w="1979" w:type="dxa"/>
          </w:tcPr>
          <w:p w:rsidR="0014306C" w:rsidRPr="00582F30" w:rsidRDefault="0014306C" w:rsidP="00A34F06">
            <w:pPr>
              <w:pStyle w:val="Tabletext"/>
              <w:ind w:right="737"/>
              <w:jc w:val="right"/>
            </w:pPr>
            <w:r w:rsidRPr="00582F30">
              <w:t>2</w:t>
            </w:r>
          </w:p>
        </w:tc>
      </w:tr>
      <w:tr w:rsidR="0014306C" w:rsidRPr="0014306C" w:rsidTr="00E3237C">
        <w:trPr>
          <w:jc w:val="center"/>
        </w:trPr>
        <w:tc>
          <w:tcPr>
            <w:tcW w:w="7650" w:type="dxa"/>
          </w:tcPr>
          <w:p w:rsidR="0014306C" w:rsidRPr="00574190" w:rsidRDefault="0014306C" w:rsidP="00FB1FCF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ind w:left="454" w:hanging="454"/>
              <w:rPr>
                <w:b/>
                <w:highlight w:val="lightGray"/>
              </w:rPr>
            </w:pPr>
            <w:r w:rsidRPr="00574190">
              <w:rPr>
                <w:szCs w:val="24"/>
              </w:rPr>
              <w:t>14</w:t>
            </w:r>
            <w:r w:rsidRPr="00574190">
              <w:rPr>
                <w:szCs w:val="24"/>
              </w:rPr>
              <w:tab/>
            </w:r>
            <w:r w:rsidR="00AA5177">
              <w:rPr>
                <w:szCs w:val="24"/>
              </w:rPr>
              <w:t xml:space="preserve">Развитие </w:t>
            </w:r>
            <w:r w:rsidR="00AA5177" w:rsidRPr="0014306C">
              <w:t>SMS4DC</w:t>
            </w:r>
            <w:r w:rsidR="00AA5177" w:rsidRPr="00574190">
              <w:rPr>
                <w:szCs w:val="24"/>
              </w:rPr>
              <w:t xml:space="preserve"> </w:t>
            </w:r>
            <w:r w:rsidR="00AA5177">
              <w:rPr>
                <w:szCs w:val="24"/>
              </w:rPr>
              <w:t>и подготовка</w:t>
            </w:r>
            <w:r w:rsidR="00AA5177" w:rsidRPr="00AA5177">
              <w:rPr>
                <w:color w:val="000000"/>
              </w:rPr>
              <w:t xml:space="preserve"> </w:t>
            </w:r>
            <w:r w:rsidR="00AA5177">
              <w:rPr>
                <w:color w:val="000000"/>
              </w:rPr>
              <w:t>в</w:t>
            </w:r>
            <w:r w:rsidR="00AA5177" w:rsidRPr="001F2D21">
              <w:rPr>
                <w:color w:val="000000"/>
              </w:rPr>
              <w:t xml:space="preserve"> </w:t>
            </w:r>
            <w:r w:rsidR="00AA5177">
              <w:rPr>
                <w:color w:val="000000"/>
              </w:rPr>
              <w:t>области</w:t>
            </w:r>
            <w:r w:rsidR="00AA5177" w:rsidRPr="001F2D21">
              <w:rPr>
                <w:color w:val="000000"/>
              </w:rPr>
              <w:t xml:space="preserve"> </w:t>
            </w:r>
            <w:r w:rsidR="00AA5177">
              <w:rPr>
                <w:color w:val="000000"/>
              </w:rPr>
              <w:t>управления</w:t>
            </w:r>
            <w:r w:rsidR="00AA5177" w:rsidRPr="001F2D21">
              <w:rPr>
                <w:color w:val="000000"/>
              </w:rPr>
              <w:t xml:space="preserve"> </w:t>
            </w:r>
            <w:r w:rsidR="00AA5177">
              <w:rPr>
                <w:color w:val="000000"/>
              </w:rPr>
              <w:t>использованием</w:t>
            </w:r>
            <w:r w:rsidR="00AA5177" w:rsidRPr="001F2D21">
              <w:rPr>
                <w:color w:val="000000"/>
              </w:rPr>
              <w:t xml:space="preserve"> </w:t>
            </w:r>
            <w:r w:rsidR="00AA5177">
              <w:rPr>
                <w:color w:val="000000"/>
              </w:rPr>
              <w:t>спектра</w:t>
            </w:r>
          </w:p>
        </w:tc>
        <w:tc>
          <w:tcPr>
            <w:tcW w:w="1979" w:type="dxa"/>
          </w:tcPr>
          <w:p w:rsidR="0014306C" w:rsidRPr="0014306C" w:rsidRDefault="0014306C" w:rsidP="00A34F06">
            <w:pPr>
              <w:pStyle w:val="Tabletext"/>
              <w:ind w:right="737"/>
              <w:jc w:val="right"/>
              <w:rPr>
                <w:lang w:val="en-GB"/>
              </w:rPr>
            </w:pPr>
            <w:r w:rsidRPr="0014306C">
              <w:rPr>
                <w:lang w:val="en-GB"/>
              </w:rPr>
              <w:t>7</w:t>
            </w:r>
          </w:p>
        </w:tc>
      </w:tr>
      <w:tr w:rsidR="0014306C" w:rsidRPr="0014306C" w:rsidTr="00E3237C">
        <w:trPr>
          <w:jc w:val="center"/>
        </w:trPr>
        <w:tc>
          <w:tcPr>
            <w:tcW w:w="7650" w:type="dxa"/>
          </w:tcPr>
          <w:p w:rsidR="0014306C" w:rsidRPr="003566D2" w:rsidRDefault="003566D2" w:rsidP="0014306C">
            <w:pPr>
              <w:pStyle w:val="Tabletext"/>
              <w:rPr>
                <w:b/>
                <w:bCs/>
                <w:lang w:val="en-GB"/>
              </w:rPr>
            </w:pPr>
            <w:r w:rsidRPr="003566D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79" w:type="dxa"/>
          </w:tcPr>
          <w:p w:rsidR="0014306C" w:rsidRPr="0014306C" w:rsidRDefault="0014306C" w:rsidP="00A34F06">
            <w:pPr>
              <w:pStyle w:val="Tabletext"/>
              <w:ind w:right="737"/>
              <w:jc w:val="right"/>
              <w:rPr>
                <w:b/>
                <w:lang w:val="en-GB"/>
              </w:rPr>
            </w:pPr>
            <w:r w:rsidRPr="0014306C">
              <w:rPr>
                <w:b/>
                <w:lang w:val="en-GB"/>
              </w:rPr>
              <w:t>184</w:t>
            </w:r>
          </w:p>
        </w:tc>
      </w:tr>
    </w:tbl>
    <w:p w:rsidR="008A781F" w:rsidRPr="0014306C" w:rsidRDefault="0040328D" w:rsidP="008A781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en-GB"/>
        </w:rPr>
      </w:pPr>
      <w:r w:rsidRPr="0014306C">
        <w:rPr>
          <w:lang w:val="en-GB"/>
        </w:rPr>
        <w:t>_______________</w:t>
      </w:r>
    </w:p>
    <w:sectPr w:rsidR="008A781F" w:rsidRPr="0014306C" w:rsidSect="00111662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CA" w:rsidRDefault="00F40CCA" w:rsidP="00E54FD2">
      <w:pPr>
        <w:spacing w:before="0"/>
      </w:pPr>
      <w:r>
        <w:separator/>
      </w:r>
    </w:p>
  </w:endnote>
  <w:endnote w:type="continuationSeparator" w:id="0">
    <w:p w:rsidR="00F40CCA" w:rsidRDefault="00F40CC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CA" w:rsidRPr="0057000A" w:rsidRDefault="003935D1" w:rsidP="003935D1">
    <w:pPr>
      <w:pStyle w:val="Footer"/>
      <w:rPr>
        <w:lang w:val="en-GB"/>
      </w:rPr>
    </w:pPr>
    <w:fldSimple w:instr=" FILENAME \p  \* MERGEFORMAT ">
      <w:r>
        <w:t>P:\RUS\ITU-D\CONF-D\TDAG19\000\032R.docx</w:t>
      </w:r>
    </w:fldSimple>
    <w:r>
      <w:t xml:space="preserve"> (</w:t>
    </w:r>
    <w:r w:rsidRPr="00043912">
      <w:rPr>
        <w:lang w:val="en-GB"/>
      </w:rPr>
      <w:t>450328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40CCA" w:rsidRPr="000118FB" w:rsidTr="00554D3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F40CCA" w:rsidRPr="004D495C" w:rsidRDefault="00F40CCA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F40CCA" w:rsidRPr="00EB2F10" w:rsidRDefault="00F40CCA" w:rsidP="00554D3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F40CCA" w:rsidRPr="000118FB" w:rsidRDefault="00F40CCA" w:rsidP="000118FB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0118FB">
            <w:rPr>
              <w:sz w:val="18"/>
              <w:szCs w:val="18"/>
            </w:rPr>
            <w:t xml:space="preserve">г-н </w:t>
          </w:r>
          <w:r w:rsidRPr="00EF676A">
            <w:rPr>
              <w:rFonts w:asciiTheme="minorHAnsi" w:hAnsiTheme="minorHAnsi" w:cstheme="minorHAnsi"/>
              <w:color w:val="000000"/>
              <w:sz w:val="18"/>
              <w:szCs w:val="18"/>
            </w:rPr>
            <w:t>Кемаль Хусейнович</w:t>
          </w:r>
          <w:r w:rsidRPr="00EF676A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Pr="000118FB">
            <w:rPr>
              <w:sz w:val="18"/>
              <w:szCs w:val="18"/>
              <w:lang w:val="en-US"/>
            </w:rPr>
            <w:t>Mr</w:t>
          </w:r>
          <w:r w:rsidRPr="000118FB">
            <w:rPr>
              <w:sz w:val="18"/>
              <w:szCs w:val="18"/>
            </w:rPr>
            <w:t xml:space="preserve"> </w:t>
          </w:r>
          <w:r w:rsidRPr="000118FB">
            <w:rPr>
              <w:sz w:val="18"/>
              <w:szCs w:val="18"/>
              <w:lang w:val="en-US"/>
            </w:rPr>
            <w:t>Kemal</w:t>
          </w:r>
          <w:r w:rsidRPr="000118FB">
            <w:rPr>
              <w:sz w:val="18"/>
              <w:szCs w:val="18"/>
            </w:rPr>
            <w:t xml:space="preserve"> </w:t>
          </w:r>
          <w:r w:rsidRPr="000118FB">
            <w:rPr>
              <w:sz w:val="18"/>
              <w:szCs w:val="18"/>
              <w:lang w:val="en-US"/>
            </w:rPr>
            <w:t>Huseinovic</w:t>
          </w:r>
          <w:r w:rsidRPr="000118FB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0118F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Департамента</w:t>
          </w:r>
          <w:r w:rsidRPr="000118FB">
            <w:rPr>
              <w:sz w:val="18"/>
              <w:szCs w:val="18"/>
            </w:rPr>
            <w:t xml:space="preserve"> </w:t>
          </w:r>
          <w:r w:rsidRPr="000118FB">
            <w:rPr>
              <w:sz w:val="18"/>
              <w:szCs w:val="18"/>
              <w:lang w:val="en-US"/>
            </w:rPr>
            <w:t>IEE</w:t>
          </w:r>
          <w:r w:rsidRPr="000118FB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БРЭ</w:t>
          </w:r>
        </w:p>
      </w:tc>
    </w:tr>
    <w:tr w:rsidR="00F40CCA" w:rsidRPr="004D495C" w:rsidTr="00554D3C">
      <w:tc>
        <w:tcPr>
          <w:tcW w:w="1418" w:type="dxa"/>
          <w:shd w:val="clear" w:color="auto" w:fill="auto"/>
        </w:tcPr>
        <w:p w:rsidR="00F40CCA" w:rsidRPr="000118FB" w:rsidRDefault="00F40CCA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F40CCA" w:rsidRPr="00EB2F10" w:rsidRDefault="00F40CCA" w:rsidP="00554D3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F40CCA" w:rsidRPr="000118FB" w:rsidRDefault="00F40CCA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0118FB">
            <w:rPr>
              <w:sz w:val="18"/>
              <w:szCs w:val="18"/>
            </w:rPr>
            <w:t>+</w:t>
          </w:r>
          <w:r w:rsidRPr="000118FB">
            <w:rPr>
              <w:sz w:val="18"/>
              <w:szCs w:val="18"/>
              <w:lang w:val="en-US"/>
            </w:rPr>
            <w:t>41 22 730 5421</w:t>
          </w:r>
        </w:p>
      </w:tc>
    </w:tr>
    <w:tr w:rsidR="00F40CCA" w:rsidRPr="004D495C" w:rsidTr="00554D3C">
      <w:tc>
        <w:tcPr>
          <w:tcW w:w="1418" w:type="dxa"/>
          <w:shd w:val="clear" w:color="auto" w:fill="auto"/>
        </w:tcPr>
        <w:p w:rsidR="00F40CCA" w:rsidRPr="004D495C" w:rsidRDefault="00F40CCA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F40CCA" w:rsidRPr="00EB2F10" w:rsidRDefault="00F40CCA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F40CCA" w:rsidRPr="000118FB" w:rsidRDefault="003935D1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F40CCA" w:rsidRPr="000118FB">
              <w:rPr>
                <w:rStyle w:val="Hyperlink"/>
                <w:sz w:val="18"/>
                <w:szCs w:val="18"/>
                <w:lang w:val="en-US"/>
              </w:rPr>
              <w:t>Kemal.huseinovic@itu.int</w:t>
            </w:r>
          </w:hyperlink>
        </w:p>
      </w:tc>
    </w:tr>
  </w:tbl>
  <w:p w:rsidR="00F40CCA" w:rsidRPr="006E4AB3" w:rsidRDefault="003935D1" w:rsidP="00CB2E3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F40CCA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CA" w:rsidRDefault="00F40CCA" w:rsidP="00E54FD2">
      <w:pPr>
        <w:spacing w:before="0"/>
      </w:pPr>
      <w:r>
        <w:separator/>
      </w:r>
    </w:p>
  </w:footnote>
  <w:footnote w:type="continuationSeparator" w:id="0">
    <w:p w:rsidR="00F40CCA" w:rsidRDefault="00F40CC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CA" w:rsidRPr="00701E31" w:rsidRDefault="00F40CCA" w:rsidP="0004391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 w:rsidRPr="00B24169">
      <w:t>9</w:t>
    </w:r>
    <w:r w:rsidRPr="00701E31">
      <w:t>/</w:t>
    </w:r>
    <w:r w:rsidR="00043912">
      <w:t>32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3935D1"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EF4"/>
    <w:multiLevelType w:val="hybridMultilevel"/>
    <w:tmpl w:val="7578E854"/>
    <w:lvl w:ilvl="0" w:tplc="741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4A258" w:tentative="1">
      <w:start w:val="1"/>
      <w:numFmt w:val="lowerLetter"/>
      <w:lvlText w:val="%2."/>
      <w:lvlJc w:val="left"/>
      <w:pPr>
        <w:ind w:left="1080" w:hanging="360"/>
      </w:pPr>
    </w:lvl>
    <w:lvl w:ilvl="2" w:tplc="AA307176" w:tentative="1">
      <w:start w:val="1"/>
      <w:numFmt w:val="lowerRoman"/>
      <w:lvlText w:val="%3."/>
      <w:lvlJc w:val="right"/>
      <w:pPr>
        <w:ind w:left="1800" w:hanging="180"/>
      </w:pPr>
    </w:lvl>
    <w:lvl w:ilvl="3" w:tplc="5F546D86" w:tentative="1">
      <w:start w:val="1"/>
      <w:numFmt w:val="decimal"/>
      <w:lvlText w:val="%4."/>
      <w:lvlJc w:val="left"/>
      <w:pPr>
        <w:ind w:left="2520" w:hanging="360"/>
      </w:pPr>
    </w:lvl>
    <w:lvl w:ilvl="4" w:tplc="23A8458A" w:tentative="1">
      <w:start w:val="1"/>
      <w:numFmt w:val="lowerLetter"/>
      <w:lvlText w:val="%5."/>
      <w:lvlJc w:val="left"/>
      <w:pPr>
        <w:ind w:left="3240" w:hanging="360"/>
      </w:pPr>
    </w:lvl>
    <w:lvl w:ilvl="5" w:tplc="43C41012" w:tentative="1">
      <w:start w:val="1"/>
      <w:numFmt w:val="lowerRoman"/>
      <w:lvlText w:val="%6."/>
      <w:lvlJc w:val="right"/>
      <w:pPr>
        <w:ind w:left="3960" w:hanging="180"/>
      </w:pPr>
    </w:lvl>
    <w:lvl w:ilvl="6" w:tplc="03B21226" w:tentative="1">
      <w:start w:val="1"/>
      <w:numFmt w:val="decimal"/>
      <w:lvlText w:val="%7."/>
      <w:lvlJc w:val="left"/>
      <w:pPr>
        <w:ind w:left="4680" w:hanging="360"/>
      </w:pPr>
    </w:lvl>
    <w:lvl w:ilvl="7" w:tplc="C2A02DD6" w:tentative="1">
      <w:start w:val="1"/>
      <w:numFmt w:val="lowerLetter"/>
      <w:lvlText w:val="%8."/>
      <w:lvlJc w:val="left"/>
      <w:pPr>
        <w:ind w:left="5400" w:hanging="360"/>
      </w:pPr>
    </w:lvl>
    <w:lvl w:ilvl="8" w:tplc="F7CA9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245C3"/>
    <w:multiLevelType w:val="hybridMultilevel"/>
    <w:tmpl w:val="30D2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2747"/>
    <w:multiLevelType w:val="hybridMultilevel"/>
    <w:tmpl w:val="F25650C8"/>
    <w:lvl w:ilvl="0" w:tplc="254880A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87AC78B6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615EC01C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78D28880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54A54DA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ACC20508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6F9ADC04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FE2C7856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B26F030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4D47516E"/>
    <w:multiLevelType w:val="hybridMultilevel"/>
    <w:tmpl w:val="5A56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363C0C"/>
    <w:multiLevelType w:val="hybridMultilevel"/>
    <w:tmpl w:val="9D0C6E30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822CE6"/>
    <w:multiLevelType w:val="hybridMultilevel"/>
    <w:tmpl w:val="4E52F4CC"/>
    <w:lvl w:ilvl="0" w:tplc="1C266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29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70C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C4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E2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2CE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C9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DCC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6F7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F428F"/>
    <w:multiLevelType w:val="hybridMultilevel"/>
    <w:tmpl w:val="3438C676"/>
    <w:lvl w:ilvl="0" w:tplc="9418F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C897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488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272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AE9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365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B02E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60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4098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D7C5D"/>
    <w:multiLevelType w:val="hybridMultilevel"/>
    <w:tmpl w:val="8DCC5FEE"/>
    <w:lvl w:ilvl="0" w:tplc="E32C8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181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024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C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8C5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900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002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80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DAD5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DF0056"/>
    <w:multiLevelType w:val="hybridMultilevel"/>
    <w:tmpl w:val="3FB0A2BE"/>
    <w:lvl w:ilvl="0" w:tplc="E0E0A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0C9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BE4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00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3C10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109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A3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6A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BA3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A"/>
    <w:rsid w:val="000118FB"/>
    <w:rsid w:val="00043912"/>
    <w:rsid w:val="000636B6"/>
    <w:rsid w:val="00074C30"/>
    <w:rsid w:val="000A004A"/>
    <w:rsid w:val="000B57E0"/>
    <w:rsid w:val="000E436E"/>
    <w:rsid w:val="00107E03"/>
    <w:rsid w:val="00111662"/>
    <w:rsid w:val="00134D3C"/>
    <w:rsid w:val="0014306C"/>
    <w:rsid w:val="001530FB"/>
    <w:rsid w:val="00191479"/>
    <w:rsid w:val="001C6DD3"/>
    <w:rsid w:val="001E3E78"/>
    <w:rsid w:val="001F014F"/>
    <w:rsid w:val="001F2D21"/>
    <w:rsid w:val="0020181F"/>
    <w:rsid w:val="00202D0A"/>
    <w:rsid w:val="00213B2F"/>
    <w:rsid w:val="00214CAD"/>
    <w:rsid w:val="002236F8"/>
    <w:rsid w:val="00257C2C"/>
    <w:rsid w:val="00270876"/>
    <w:rsid w:val="002717CC"/>
    <w:rsid w:val="00316454"/>
    <w:rsid w:val="003566D2"/>
    <w:rsid w:val="00366978"/>
    <w:rsid w:val="003935D1"/>
    <w:rsid w:val="00396BE9"/>
    <w:rsid w:val="0039764C"/>
    <w:rsid w:val="003A294B"/>
    <w:rsid w:val="003A6E3D"/>
    <w:rsid w:val="003C45DF"/>
    <w:rsid w:val="003C6E83"/>
    <w:rsid w:val="003D1A9A"/>
    <w:rsid w:val="003E6E87"/>
    <w:rsid w:val="0040328D"/>
    <w:rsid w:val="00410FB3"/>
    <w:rsid w:val="004143D5"/>
    <w:rsid w:val="0041455E"/>
    <w:rsid w:val="00422053"/>
    <w:rsid w:val="004713B8"/>
    <w:rsid w:val="00492670"/>
    <w:rsid w:val="004C1A71"/>
    <w:rsid w:val="004E4490"/>
    <w:rsid w:val="00516805"/>
    <w:rsid w:val="00521B20"/>
    <w:rsid w:val="00554D3C"/>
    <w:rsid w:val="00562603"/>
    <w:rsid w:val="0056736A"/>
    <w:rsid w:val="0057000A"/>
    <w:rsid w:val="00574190"/>
    <w:rsid w:val="00601435"/>
    <w:rsid w:val="00621F44"/>
    <w:rsid w:val="0062553E"/>
    <w:rsid w:val="00655923"/>
    <w:rsid w:val="00667A80"/>
    <w:rsid w:val="006879EA"/>
    <w:rsid w:val="00694764"/>
    <w:rsid w:val="006C1F14"/>
    <w:rsid w:val="006D5E87"/>
    <w:rsid w:val="00701E31"/>
    <w:rsid w:val="00702A1B"/>
    <w:rsid w:val="00710763"/>
    <w:rsid w:val="00714DE0"/>
    <w:rsid w:val="00751B44"/>
    <w:rsid w:val="007761C4"/>
    <w:rsid w:val="007949AA"/>
    <w:rsid w:val="007C596E"/>
    <w:rsid w:val="007C64E8"/>
    <w:rsid w:val="007D5433"/>
    <w:rsid w:val="007F26B4"/>
    <w:rsid w:val="008112E9"/>
    <w:rsid w:val="00875722"/>
    <w:rsid w:val="00875DBB"/>
    <w:rsid w:val="00891978"/>
    <w:rsid w:val="008A781F"/>
    <w:rsid w:val="008C576E"/>
    <w:rsid w:val="008E719D"/>
    <w:rsid w:val="00901221"/>
    <w:rsid w:val="00915AB0"/>
    <w:rsid w:val="00916B10"/>
    <w:rsid w:val="00966B81"/>
    <w:rsid w:val="009C5B8E"/>
    <w:rsid w:val="009D13B8"/>
    <w:rsid w:val="00A30897"/>
    <w:rsid w:val="00A33BED"/>
    <w:rsid w:val="00A34F06"/>
    <w:rsid w:val="00A44602"/>
    <w:rsid w:val="00A64F9D"/>
    <w:rsid w:val="00A656E5"/>
    <w:rsid w:val="00A73D91"/>
    <w:rsid w:val="00AA42F8"/>
    <w:rsid w:val="00AA5177"/>
    <w:rsid w:val="00AC2E0E"/>
    <w:rsid w:val="00AC6023"/>
    <w:rsid w:val="00AE0BB7"/>
    <w:rsid w:val="00AE1BA7"/>
    <w:rsid w:val="00B214C6"/>
    <w:rsid w:val="00B222FE"/>
    <w:rsid w:val="00B24169"/>
    <w:rsid w:val="00B52E6E"/>
    <w:rsid w:val="00B636A0"/>
    <w:rsid w:val="00B71E33"/>
    <w:rsid w:val="00B726C0"/>
    <w:rsid w:val="00B75868"/>
    <w:rsid w:val="00B80AA0"/>
    <w:rsid w:val="00BD2C91"/>
    <w:rsid w:val="00BD7A1A"/>
    <w:rsid w:val="00C00BBA"/>
    <w:rsid w:val="00C15069"/>
    <w:rsid w:val="00C34F16"/>
    <w:rsid w:val="00C62E82"/>
    <w:rsid w:val="00C71A6F"/>
    <w:rsid w:val="00C84CCD"/>
    <w:rsid w:val="00C97E53"/>
    <w:rsid w:val="00CA1DC7"/>
    <w:rsid w:val="00CA2AC2"/>
    <w:rsid w:val="00CB2E3A"/>
    <w:rsid w:val="00CD34AE"/>
    <w:rsid w:val="00CE37A1"/>
    <w:rsid w:val="00CE5E7B"/>
    <w:rsid w:val="00D16175"/>
    <w:rsid w:val="00D712FE"/>
    <w:rsid w:val="00D724C3"/>
    <w:rsid w:val="00D8046A"/>
    <w:rsid w:val="00D923CD"/>
    <w:rsid w:val="00D93FCC"/>
    <w:rsid w:val="00DA4610"/>
    <w:rsid w:val="00DA6BCD"/>
    <w:rsid w:val="00DD19E1"/>
    <w:rsid w:val="00DD1EC7"/>
    <w:rsid w:val="00DD5D8C"/>
    <w:rsid w:val="00DE1653"/>
    <w:rsid w:val="00E048E2"/>
    <w:rsid w:val="00E06A7D"/>
    <w:rsid w:val="00E10E8B"/>
    <w:rsid w:val="00E1191A"/>
    <w:rsid w:val="00E30170"/>
    <w:rsid w:val="00E54AF3"/>
    <w:rsid w:val="00E54FD2"/>
    <w:rsid w:val="00E82D31"/>
    <w:rsid w:val="00E90F77"/>
    <w:rsid w:val="00EB638B"/>
    <w:rsid w:val="00EC519A"/>
    <w:rsid w:val="00EE153D"/>
    <w:rsid w:val="00EF5268"/>
    <w:rsid w:val="00EF676A"/>
    <w:rsid w:val="00F33C1D"/>
    <w:rsid w:val="00F40CCA"/>
    <w:rsid w:val="00F42216"/>
    <w:rsid w:val="00F65432"/>
    <w:rsid w:val="00F72A94"/>
    <w:rsid w:val="00F746B3"/>
    <w:rsid w:val="00F961B7"/>
    <w:rsid w:val="00FA2BC3"/>
    <w:rsid w:val="00FB1FCF"/>
    <w:rsid w:val="00FC1008"/>
    <w:rsid w:val="00FC5ABC"/>
    <w:rsid w:val="00FE4718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9EF29FA-6E8C-4FF8-8D63-B7335DE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0A00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0A004A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0118FB"/>
    <w:rPr>
      <w:b/>
      <w:bCs/>
    </w:rPr>
  </w:style>
  <w:style w:type="character" w:customStyle="1" w:styleId="CallChar">
    <w:name w:val="Call Char"/>
    <w:link w:val="Call"/>
    <w:locked/>
    <w:rsid w:val="00043912"/>
    <w:rPr>
      <w:rFonts w:ascii="Calibri" w:eastAsia="Times New Roman" w:hAnsi="Calibri" w:cs="Times New Roman"/>
      <w:i/>
      <w:lang w:val="ru-RU" w:eastAsia="en-US"/>
    </w:rPr>
  </w:style>
  <w:style w:type="paragraph" w:customStyle="1" w:styleId="AppArttitle">
    <w:name w:val="App_Art_title"/>
    <w:basedOn w:val="Arttitle"/>
    <w:qFormat/>
    <w:rsid w:val="0014306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4427-EC28-4DCE-9A5E-9614390D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36</TotalTime>
  <Pages>3</Pages>
  <Words>713</Words>
  <Characters>4710</Characters>
  <Application>Microsoft Office Word</Application>
  <DocSecurity>0</DocSecurity>
  <Lines>112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Maloletkova, Svetlana</cp:lastModifiedBy>
  <cp:revision>7</cp:revision>
  <cp:lastPrinted>2019-03-25T09:46:00Z</cp:lastPrinted>
  <dcterms:created xsi:type="dcterms:W3CDTF">2019-02-27T23:51:00Z</dcterms:created>
  <dcterms:modified xsi:type="dcterms:W3CDTF">2019-03-25T14:13:00Z</dcterms:modified>
</cp:coreProperties>
</file>