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6A7504">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6A7504">
              <w:rPr>
                <w:b/>
                <w:bCs/>
                <w:lang w:val="en-US"/>
              </w:rPr>
              <w:t>40</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6A7504" w:rsidP="00067FEB">
            <w:pPr>
              <w:spacing w:before="0"/>
              <w:rPr>
                <w:b/>
                <w:szCs w:val="24"/>
              </w:rPr>
            </w:pPr>
            <w:bookmarkStart w:id="2" w:name="CreationDate"/>
            <w:bookmarkEnd w:id="2"/>
            <w:r>
              <w:rPr>
                <w:b/>
                <w:bCs/>
                <w:szCs w:val="28"/>
              </w:rPr>
              <w:t>2</w:t>
            </w:r>
            <w:r w:rsidR="00CE6A95">
              <w:rPr>
                <w:b/>
                <w:bCs/>
                <w:szCs w:val="28"/>
              </w:rPr>
              <w:t xml:space="preserve"> </w:t>
            </w:r>
            <w:r>
              <w:rPr>
                <w:b/>
                <w:bCs/>
                <w:szCs w:val="28"/>
              </w:rPr>
              <w:t>A</w:t>
            </w:r>
            <w:r w:rsidR="00067FEB">
              <w:rPr>
                <w:b/>
                <w:bCs/>
                <w:szCs w:val="28"/>
              </w:rPr>
              <w:t>p</w:t>
            </w:r>
            <w:r>
              <w:rPr>
                <w:b/>
                <w:bCs/>
                <w:szCs w:val="28"/>
              </w:rPr>
              <w:t>ril</w:t>
            </w:r>
            <w:r w:rsidR="00CE6A95">
              <w:rPr>
                <w:b/>
                <w:bCs/>
                <w:szCs w:val="28"/>
              </w:rPr>
              <w:t xml:space="preserve">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CE6A95" w:rsidP="004C0AA5">
            <w:pPr>
              <w:spacing w:before="0"/>
              <w:rPr>
                <w:szCs w:val="24"/>
              </w:rPr>
            </w:pPr>
            <w:r w:rsidRPr="00B62876">
              <w:rPr>
                <w:b/>
                <w:bCs/>
                <w:szCs w:val="24"/>
                <w:lang w:val="fr-FR"/>
              </w:rPr>
              <w:t xml:space="preserve">English </w:t>
            </w:r>
            <w:proofErr w:type="spellStart"/>
            <w:r w:rsidRPr="00B62876">
              <w:rPr>
                <w:b/>
                <w:bCs/>
                <w:szCs w:val="24"/>
                <w:lang w:val="fr-FR"/>
              </w:rPr>
              <w:t>only</w:t>
            </w:r>
            <w:proofErr w:type="spellEnd"/>
          </w:p>
        </w:tc>
      </w:tr>
      <w:tr w:rsidR="00CE6A95" w:rsidTr="004C0AA5">
        <w:trPr>
          <w:cantSplit/>
          <w:trHeight w:val="852"/>
        </w:trPr>
        <w:tc>
          <w:tcPr>
            <w:tcW w:w="9888" w:type="dxa"/>
            <w:gridSpan w:val="2"/>
          </w:tcPr>
          <w:p w:rsidR="00CE6A95" w:rsidRPr="00B62876" w:rsidRDefault="006A7504" w:rsidP="00CE6A95">
            <w:pPr>
              <w:pStyle w:val="Source"/>
              <w:spacing w:before="240" w:after="240"/>
            </w:pPr>
            <w:bookmarkStart w:id="3" w:name="Source"/>
            <w:bookmarkEnd w:id="3"/>
            <w:r w:rsidRPr="006A7504">
              <w:t>Chairman of ITU-D Study Group 1; Chairman of ITU-D Study Group 2</w:t>
            </w:r>
          </w:p>
        </w:tc>
      </w:tr>
      <w:tr w:rsidR="00CE6A95" w:rsidRPr="002E6963" w:rsidTr="0016673F">
        <w:trPr>
          <w:cantSplit/>
        </w:trPr>
        <w:tc>
          <w:tcPr>
            <w:tcW w:w="9888" w:type="dxa"/>
            <w:gridSpan w:val="2"/>
            <w:vAlign w:val="center"/>
          </w:tcPr>
          <w:p w:rsidR="00CE6A95" w:rsidRPr="00B62876" w:rsidRDefault="006A7504" w:rsidP="00CE6A95">
            <w:pPr>
              <w:pStyle w:val="Title1"/>
              <w:spacing w:before="120" w:after="120"/>
            </w:pPr>
            <w:bookmarkStart w:id="4" w:name="Title"/>
            <w:bookmarkEnd w:id="4"/>
            <w:r w:rsidRPr="006A7504">
              <w:rPr>
                <w:szCs w:val="28"/>
              </w:rPr>
              <w:t xml:space="preserve">Liaison statement from the Chairmen of ITU-D SG1 and SG2 to TDAG </w:t>
            </w:r>
            <w:r w:rsidR="00AF407C">
              <w:rPr>
                <w:szCs w:val="28"/>
              </w:rPr>
              <w:br/>
            </w:r>
            <w:r w:rsidRPr="006A7504">
              <w:rPr>
                <w:szCs w:val="28"/>
              </w:rPr>
              <w:t>on the contributions of ITU-D Study Groups 1 and 2 to the implementation of WTDC Resolution 9</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1333B9" w:rsidRDefault="001333B9" w:rsidP="00CE6A95">
            <w:pPr>
              <w:tabs>
                <w:tab w:val="clear" w:pos="1871"/>
                <w:tab w:val="clear" w:pos="2268"/>
                <w:tab w:val="left" w:pos="4429"/>
              </w:tabs>
              <w:rPr>
                <w:szCs w:val="24"/>
              </w:rPr>
            </w:pPr>
            <w:r w:rsidRPr="001333B9">
              <w:rPr>
                <w:szCs w:val="24"/>
              </w:rPr>
              <w:t>This liaison statement from ITU-D Study Groups 1 and 2 to TDAG shares a proposal for how the ITU-D study groups could engage their study Questions in the im</w:t>
            </w:r>
            <w:r w:rsidR="005F37D9">
              <w:rPr>
                <w:szCs w:val="24"/>
              </w:rPr>
              <w:t>plementation of WTDC Resolution </w:t>
            </w:r>
            <w:r w:rsidRPr="001333B9">
              <w:rPr>
                <w:szCs w:val="24"/>
              </w:rPr>
              <w:t>9 (Rev. Buenos Aires, 2017) on Participation of countries, particularly developing countries, in spectrum management.</w:t>
            </w:r>
          </w:p>
          <w:p w:rsidR="00CE6A95" w:rsidRPr="00B62876" w:rsidRDefault="00CE6A95" w:rsidP="00CE6A95">
            <w:pPr>
              <w:tabs>
                <w:tab w:val="clear" w:pos="1871"/>
                <w:tab w:val="clear" w:pos="2268"/>
                <w:tab w:val="left" w:pos="4429"/>
              </w:tabs>
              <w:rPr>
                <w:b/>
                <w:bCs/>
                <w:szCs w:val="24"/>
              </w:rPr>
            </w:pPr>
            <w:r w:rsidRPr="00B62876">
              <w:rPr>
                <w:b/>
                <w:bCs/>
                <w:szCs w:val="24"/>
              </w:rPr>
              <w:t>Action required:</w:t>
            </w:r>
          </w:p>
          <w:p w:rsidR="00CE6A95" w:rsidRDefault="001333B9" w:rsidP="00067FEB">
            <w:pPr>
              <w:spacing w:after="120"/>
              <w:rPr>
                <w:szCs w:val="24"/>
              </w:rPr>
            </w:pPr>
            <w:r w:rsidRPr="001333B9">
              <w:rPr>
                <w:szCs w:val="24"/>
              </w:rPr>
              <w:t xml:space="preserve">TDAG is invited to consider </w:t>
            </w:r>
            <w:r w:rsidR="00067FEB">
              <w:rPr>
                <w:szCs w:val="24"/>
              </w:rPr>
              <w:t>this document</w:t>
            </w:r>
            <w:bookmarkStart w:id="5" w:name="_GoBack"/>
            <w:bookmarkEnd w:id="5"/>
            <w:r w:rsidRPr="001333B9">
              <w:rPr>
                <w:szCs w:val="24"/>
              </w:rPr>
              <w:t xml:space="preserve"> and provide guidance as is deemed appropriate.</w:t>
            </w:r>
          </w:p>
          <w:p w:rsidR="003E3B07" w:rsidRDefault="003E3B07" w:rsidP="00CE6A95">
            <w:pPr>
              <w:spacing w:after="120"/>
              <w:rPr>
                <w:szCs w:val="24"/>
              </w:rPr>
            </w:pPr>
            <w:r>
              <w:rPr>
                <w:b/>
                <w:bCs/>
                <w:szCs w:val="24"/>
              </w:rPr>
              <w:t>References:</w:t>
            </w:r>
          </w:p>
          <w:p w:rsidR="003E3B07" w:rsidRPr="003E3B07" w:rsidRDefault="003E3B07" w:rsidP="00CE6A95">
            <w:pPr>
              <w:spacing w:after="120"/>
            </w:pPr>
            <w:r>
              <w:rPr>
                <w:szCs w:val="24"/>
              </w:rPr>
              <w:t>n/a</w:t>
            </w:r>
          </w:p>
        </w:tc>
      </w:tr>
    </w:tbl>
    <w:p w:rsidR="001E252D" w:rsidRPr="00B62876" w:rsidRDefault="001E252D" w:rsidP="001E252D">
      <w:pPr>
        <w:overflowPunct/>
        <w:autoSpaceDE/>
        <w:autoSpaceDN/>
        <w:adjustRightInd/>
        <w:textAlignment w:val="auto"/>
      </w:pPr>
    </w:p>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684D4B" w:rsidRDefault="00684D4B" w:rsidP="00684D4B">
      <w:pPr>
        <w:spacing w:after="120"/>
        <w:jc w:val="center"/>
        <w:rPr>
          <w:rFonts w:ascii="Calibri" w:hAnsi="Calibri"/>
          <w:b/>
          <w:caps/>
          <w:szCs w:val="24"/>
        </w:rPr>
      </w:pPr>
      <w:r w:rsidRPr="009C6538">
        <w:rPr>
          <w:rFonts w:ascii="Calibri" w:hAnsi="Calibri"/>
          <w:b/>
          <w:bCs/>
          <w:szCs w:val="24"/>
        </w:rPr>
        <w:lastRenderedPageBreak/>
        <w:t>L</w:t>
      </w:r>
      <w:r w:rsidRPr="009C6538">
        <w:rPr>
          <w:rFonts w:ascii="Calibri" w:hAnsi="Calibri"/>
          <w:b/>
          <w:szCs w:val="24"/>
        </w:rPr>
        <w:t>IAI</w:t>
      </w:r>
      <w:r w:rsidRPr="009C6538">
        <w:rPr>
          <w:rFonts w:ascii="Calibri" w:hAnsi="Calibri"/>
          <w:b/>
          <w:caps/>
          <w:szCs w:val="24"/>
        </w:rPr>
        <w:t xml:space="preserve">SON STATEMENT </w:t>
      </w:r>
      <w:r w:rsidRPr="00770FB4">
        <w:rPr>
          <w:rFonts w:ascii="Calibri" w:hAnsi="Calibri"/>
          <w:b/>
          <w:caps/>
          <w:szCs w:val="24"/>
        </w:rPr>
        <w:t xml:space="preserve">from the Chairmen of ITU-D SG1 and SG2 to </w:t>
      </w:r>
      <w:r>
        <w:rPr>
          <w:rFonts w:ascii="Calibri" w:hAnsi="Calibri"/>
          <w:b/>
          <w:caps/>
          <w:szCs w:val="24"/>
        </w:rPr>
        <w:t>TDAG</w:t>
      </w:r>
      <w:r w:rsidRPr="00E027C1">
        <w:rPr>
          <w:rFonts w:ascii="Calibri" w:hAnsi="Calibri"/>
          <w:b/>
          <w:caps/>
          <w:szCs w:val="24"/>
        </w:rPr>
        <w:t xml:space="preserve"> on </w:t>
      </w:r>
      <w:r>
        <w:rPr>
          <w:rFonts w:ascii="Calibri" w:hAnsi="Calibri"/>
          <w:b/>
          <w:caps/>
          <w:szCs w:val="24"/>
        </w:rPr>
        <w:t>THE CONTRIBUTION OF ITU-D STUDY GROUP 1 and 2 TO THE IMPLEMENTATION OF wtdc RESOLUTION 9</w:t>
      </w:r>
    </w:p>
    <w:p w:rsidR="00684D4B" w:rsidRDefault="00684D4B" w:rsidP="00C30661">
      <w:pPr>
        <w:tabs>
          <w:tab w:val="left" w:pos="720"/>
        </w:tabs>
        <w:ind w:right="454"/>
        <w:jc w:val="center"/>
        <w:rPr>
          <w:rFonts w:ascii="Calibri" w:hAnsi="Calibri"/>
          <w:b/>
          <w:szCs w:val="24"/>
        </w:rPr>
      </w:pPr>
      <w:r w:rsidRPr="009C6538">
        <w:rPr>
          <w:rFonts w:ascii="Calibri" w:hAnsi="Calibri"/>
          <w:b/>
          <w:szCs w:val="24"/>
        </w:rPr>
        <w:t>ITU-D Study Group 1</w:t>
      </w:r>
      <w:r>
        <w:rPr>
          <w:rFonts w:ascii="Calibri" w:hAnsi="Calibri"/>
          <w:b/>
          <w:szCs w:val="24"/>
        </w:rPr>
        <w:t xml:space="preserve">: </w:t>
      </w:r>
      <w:r w:rsidRPr="001F47B5">
        <w:rPr>
          <w:rFonts w:ascii="Calibri" w:hAnsi="Calibri"/>
          <w:b/>
          <w:szCs w:val="24"/>
        </w:rPr>
        <w:t>Enabling environment for the development of telecommunications/ICTs</w:t>
      </w:r>
    </w:p>
    <w:p w:rsidR="00684D4B" w:rsidRDefault="00684D4B" w:rsidP="00684D4B">
      <w:pPr>
        <w:tabs>
          <w:tab w:val="left" w:pos="720"/>
        </w:tabs>
        <w:ind w:right="454"/>
        <w:jc w:val="center"/>
        <w:rPr>
          <w:rFonts w:ascii="Calibri" w:hAnsi="Calibri"/>
          <w:szCs w:val="24"/>
        </w:rPr>
      </w:pPr>
      <w:r>
        <w:rPr>
          <w:rFonts w:ascii="Calibri" w:hAnsi="Calibri"/>
          <w:b/>
          <w:szCs w:val="24"/>
        </w:rPr>
        <w:t xml:space="preserve">ITU-D Study Group 2: </w:t>
      </w:r>
      <w:r w:rsidRPr="001F47B5">
        <w:rPr>
          <w:rFonts w:ascii="Calibri" w:hAnsi="Calibri"/>
          <w:b/>
          <w:szCs w:val="24"/>
        </w:rPr>
        <w:t>ICT services and applications for the promotion of sustainable development</w:t>
      </w:r>
    </w:p>
    <w:p w:rsidR="00684D4B" w:rsidRDefault="00684D4B" w:rsidP="00684D4B">
      <w:pPr>
        <w:spacing w:before="0" w:after="120"/>
        <w:jc w:val="right"/>
        <w:rPr>
          <w:rFonts w:ascii="Calibri" w:hAnsi="Calibri"/>
          <w:szCs w:val="24"/>
        </w:rPr>
      </w:pPr>
      <w:r>
        <w:rPr>
          <w:szCs w:val="24"/>
        </w:rPr>
        <w:t>29 March 2019</w:t>
      </w:r>
    </w:p>
    <w:tbl>
      <w:tblPr>
        <w:tblW w:w="5000" w:type="pct"/>
        <w:tblCellMar>
          <w:left w:w="107" w:type="dxa"/>
          <w:right w:w="107" w:type="dxa"/>
        </w:tblCellMar>
        <w:tblLook w:val="04A0" w:firstRow="1" w:lastRow="0" w:firstColumn="1" w:lastColumn="0" w:noHBand="0" w:noVBand="1"/>
      </w:tblPr>
      <w:tblGrid>
        <w:gridCol w:w="1936"/>
        <w:gridCol w:w="7703"/>
      </w:tblGrid>
      <w:tr w:rsidR="00684D4B" w:rsidRPr="009C6538" w:rsidTr="00B5640E">
        <w:trPr>
          <w:trHeight w:val="20"/>
        </w:trPr>
        <w:tc>
          <w:tcPr>
            <w:tcW w:w="1004" w:type="pct"/>
            <w:hideMark/>
          </w:tcPr>
          <w:p w:rsidR="00684D4B" w:rsidRPr="009C6538" w:rsidRDefault="00684D4B" w:rsidP="00B5640E">
            <w:pPr>
              <w:tabs>
                <w:tab w:val="left" w:pos="720"/>
                <w:tab w:val="left" w:pos="993"/>
              </w:tabs>
              <w:ind w:left="-15"/>
              <w:textAlignment w:val="auto"/>
              <w:rPr>
                <w:rFonts w:ascii="Calibri" w:hAnsi="Calibri"/>
                <w:b/>
                <w:szCs w:val="24"/>
              </w:rPr>
            </w:pPr>
            <w:r w:rsidRPr="009C6538">
              <w:rPr>
                <w:rFonts w:ascii="Calibri" w:hAnsi="Calibri"/>
                <w:b/>
                <w:szCs w:val="24"/>
              </w:rPr>
              <w:t>To:</w:t>
            </w:r>
          </w:p>
        </w:tc>
        <w:tc>
          <w:tcPr>
            <w:tcW w:w="3996" w:type="pct"/>
            <w:hideMark/>
          </w:tcPr>
          <w:p w:rsidR="00684D4B" w:rsidRPr="009C6538" w:rsidRDefault="00684D4B" w:rsidP="00B5640E">
            <w:pPr>
              <w:tabs>
                <w:tab w:val="left" w:pos="720"/>
                <w:tab w:val="left" w:pos="993"/>
              </w:tabs>
              <w:ind w:left="-15"/>
              <w:textAlignment w:val="auto"/>
              <w:rPr>
                <w:rFonts w:ascii="Calibri" w:hAnsi="Calibri"/>
                <w:szCs w:val="24"/>
                <w:lang w:val="en-US"/>
              </w:rPr>
            </w:pPr>
            <w:r w:rsidRPr="00B05779">
              <w:rPr>
                <w:rFonts w:ascii="Calibri" w:hAnsi="Calibri"/>
                <w:szCs w:val="24"/>
                <w:lang w:val="en-US"/>
              </w:rPr>
              <w:t>Telecommunication Development Advisory Group (TDAG)</w:t>
            </w:r>
            <w:r>
              <w:rPr>
                <w:rFonts w:ascii="Calibri" w:hAnsi="Calibri"/>
                <w:szCs w:val="24"/>
                <w:lang w:val="en-US"/>
              </w:rPr>
              <w:t xml:space="preserve"> </w:t>
            </w:r>
          </w:p>
        </w:tc>
      </w:tr>
      <w:tr w:rsidR="00684D4B" w:rsidRPr="009C6538" w:rsidTr="00B5640E">
        <w:trPr>
          <w:trHeight w:val="20"/>
        </w:trPr>
        <w:tc>
          <w:tcPr>
            <w:tcW w:w="1004" w:type="pct"/>
            <w:hideMark/>
          </w:tcPr>
          <w:p w:rsidR="00684D4B" w:rsidRPr="009C6538" w:rsidRDefault="00684D4B" w:rsidP="00B5640E">
            <w:pPr>
              <w:tabs>
                <w:tab w:val="left" w:pos="720"/>
                <w:tab w:val="left" w:pos="993"/>
              </w:tabs>
              <w:ind w:left="-15"/>
              <w:textAlignment w:val="auto"/>
              <w:rPr>
                <w:rFonts w:ascii="Calibri" w:hAnsi="Calibri"/>
                <w:b/>
                <w:szCs w:val="24"/>
                <w:lang w:val="en-US"/>
              </w:rPr>
            </w:pPr>
            <w:r w:rsidRPr="009C6538">
              <w:rPr>
                <w:rFonts w:ascii="Calibri" w:hAnsi="Calibri"/>
                <w:b/>
                <w:bCs/>
                <w:szCs w:val="24"/>
                <w:lang w:val="en-US"/>
              </w:rPr>
              <w:t>From</w:t>
            </w:r>
            <w:r w:rsidRPr="009C6538">
              <w:rPr>
                <w:rFonts w:ascii="Calibri" w:hAnsi="Calibri"/>
                <w:b/>
                <w:szCs w:val="24"/>
                <w:lang w:val="en-US"/>
              </w:rPr>
              <w:t>:</w:t>
            </w:r>
          </w:p>
        </w:tc>
        <w:tc>
          <w:tcPr>
            <w:tcW w:w="3996" w:type="pct"/>
            <w:hideMark/>
          </w:tcPr>
          <w:p w:rsidR="00684D4B" w:rsidRPr="009C6538" w:rsidRDefault="00684D4B" w:rsidP="00B5640E">
            <w:pPr>
              <w:tabs>
                <w:tab w:val="left" w:pos="720"/>
                <w:tab w:val="left" w:pos="993"/>
              </w:tabs>
              <w:ind w:left="-15"/>
              <w:textAlignment w:val="auto"/>
              <w:rPr>
                <w:rFonts w:ascii="Calibri" w:hAnsi="Calibri"/>
                <w:szCs w:val="24"/>
                <w:lang w:val="en-US"/>
              </w:rPr>
            </w:pPr>
            <w:r>
              <w:rPr>
                <w:rFonts w:ascii="Calibri" w:hAnsi="Calibri"/>
                <w:szCs w:val="24"/>
                <w:lang w:val="en-US"/>
              </w:rPr>
              <w:t>ITU-D Study Group 1 (SG1</w:t>
            </w:r>
            <w:r w:rsidRPr="009C6538">
              <w:rPr>
                <w:rFonts w:ascii="Calibri" w:hAnsi="Calibri"/>
                <w:szCs w:val="24"/>
                <w:lang w:val="en-US"/>
              </w:rPr>
              <w:t xml:space="preserve">), </w:t>
            </w:r>
            <w:r>
              <w:rPr>
                <w:rFonts w:ascii="Calibri" w:hAnsi="Calibri"/>
                <w:szCs w:val="24"/>
                <w:lang w:val="en-US"/>
              </w:rPr>
              <w:t>ITU-D Study Group 2 (SG2</w:t>
            </w:r>
            <w:r w:rsidRPr="009C6538">
              <w:rPr>
                <w:rFonts w:ascii="Calibri" w:hAnsi="Calibri"/>
                <w:szCs w:val="24"/>
                <w:lang w:val="en-US"/>
              </w:rPr>
              <w:t>)</w:t>
            </w:r>
          </w:p>
        </w:tc>
      </w:tr>
      <w:tr w:rsidR="00684D4B" w:rsidRPr="009C6538" w:rsidTr="00B5640E">
        <w:trPr>
          <w:trHeight w:val="20"/>
        </w:trPr>
        <w:tc>
          <w:tcPr>
            <w:tcW w:w="1004" w:type="pct"/>
            <w:hideMark/>
          </w:tcPr>
          <w:p w:rsidR="00684D4B" w:rsidRPr="009C6538" w:rsidRDefault="00684D4B" w:rsidP="00B5640E">
            <w:pPr>
              <w:tabs>
                <w:tab w:val="left" w:pos="720"/>
                <w:tab w:val="left" w:pos="993"/>
              </w:tabs>
              <w:ind w:left="-15"/>
              <w:textAlignment w:val="auto"/>
              <w:rPr>
                <w:rFonts w:ascii="Calibri" w:hAnsi="Calibri"/>
                <w:b/>
                <w:szCs w:val="24"/>
              </w:rPr>
            </w:pPr>
            <w:r w:rsidRPr="009C6538">
              <w:rPr>
                <w:rFonts w:ascii="Calibri" w:hAnsi="Calibri"/>
                <w:b/>
                <w:szCs w:val="24"/>
              </w:rPr>
              <w:t>For:</w:t>
            </w:r>
          </w:p>
        </w:tc>
        <w:tc>
          <w:tcPr>
            <w:tcW w:w="3996" w:type="pct"/>
            <w:hideMark/>
          </w:tcPr>
          <w:p w:rsidR="00684D4B" w:rsidRPr="009C6538" w:rsidRDefault="00684D4B" w:rsidP="00B5640E">
            <w:pPr>
              <w:tabs>
                <w:tab w:val="left" w:pos="720"/>
                <w:tab w:val="left" w:pos="993"/>
              </w:tabs>
              <w:ind w:left="-15"/>
              <w:textAlignment w:val="auto"/>
              <w:rPr>
                <w:rFonts w:ascii="Calibri" w:hAnsi="Calibri"/>
                <w:szCs w:val="24"/>
                <w:highlight w:val="yellow"/>
                <w:lang w:val="en-US"/>
              </w:rPr>
            </w:pPr>
            <w:r>
              <w:rPr>
                <w:rFonts w:ascii="Calibri" w:hAnsi="Calibri"/>
                <w:szCs w:val="24"/>
                <w:lang w:val="en-US"/>
              </w:rPr>
              <w:t>Action</w:t>
            </w:r>
          </w:p>
        </w:tc>
      </w:tr>
      <w:tr w:rsidR="00684D4B" w:rsidRPr="009C6538" w:rsidTr="00B5640E">
        <w:trPr>
          <w:trHeight w:val="20"/>
        </w:trPr>
        <w:tc>
          <w:tcPr>
            <w:tcW w:w="1004" w:type="pct"/>
            <w:hideMark/>
          </w:tcPr>
          <w:p w:rsidR="00684D4B" w:rsidRPr="009C6538" w:rsidRDefault="00684D4B" w:rsidP="00B5640E">
            <w:pPr>
              <w:tabs>
                <w:tab w:val="left" w:pos="720"/>
                <w:tab w:val="left" w:pos="993"/>
              </w:tabs>
              <w:ind w:left="-15"/>
              <w:textAlignment w:val="auto"/>
              <w:rPr>
                <w:rFonts w:ascii="Calibri" w:hAnsi="Calibri"/>
                <w:b/>
                <w:szCs w:val="24"/>
              </w:rPr>
            </w:pPr>
            <w:r w:rsidRPr="009C6538">
              <w:rPr>
                <w:rFonts w:ascii="Calibri" w:hAnsi="Calibri"/>
                <w:b/>
                <w:szCs w:val="24"/>
              </w:rPr>
              <w:t>Approval:</w:t>
            </w:r>
          </w:p>
        </w:tc>
        <w:tc>
          <w:tcPr>
            <w:tcW w:w="3996" w:type="pct"/>
          </w:tcPr>
          <w:p w:rsidR="00684D4B" w:rsidRPr="00E027C1" w:rsidRDefault="00684D4B" w:rsidP="00B5640E">
            <w:pPr>
              <w:tabs>
                <w:tab w:val="left" w:pos="720"/>
                <w:tab w:val="left" w:pos="993"/>
              </w:tabs>
              <w:ind w:left="-15"/>
              <w:textAlignment w:val="auto"/>
              <w:rPr>
                <w:szCs w:val="24"/>
              </w:rPr>
            </w:pPr>
            <w:r w:rsidRPr="00770FB4">
              <w:rPr>
                <w:szCs w:val="24"/>
              </w:rPr>
              <w:t>Chairman of ITU-D Study Group 1; Chairman of ITU-D Study Group 2</w:t>
            </w:r>
            <w:r>
              <w:rPr>
                <w:szCs w:val="24"/>
              </w:rPr>
              <w:t xml:space="preserve"> on 29 March 2019</w:t>
            </w:r>
          </w:p>
        </w:tc>
      </w:tr>
      <w:tr w:rsidR="00684D4B" w:rsidRPr="009C6538" w:rsidTr="00B5640E">
        <w:trPr>
          <w:trHeight w:val="20"/>
        </w:trPr>
        <w:tc>
          <w:tcPr>
            <w:tcW w:w="1004" w:type="pct"/>
            <w:hideMark/>
          </w:tcPr>
          <w:p w:rsidR="00684D4B" w:rsidRPr="009C6538" w:rsidRDefault="00684D4B" w:rsidP="00B5640E">
            <w:pPr>
              <w:tabs>
                <w:tab w:val="left" w:pos="720"/>
                <w:tab w:val="left" w:pos="993"/>
              </w:tabs>
              <w:ind w:left="-15"/>
              <w:textAlignment w:val="auto"/>
              <w:rPr>
                <w:rFonts w:ascii="Calibri" w:hAnsi="Calibri"/>
                <w:b/>
                <w:szCs w:val="24"/>
              </w:rPr>
            </w:pPr>
            <w:r w:rsidRPr="009C6538">
              <w:rPr>
                <w:rFonts w:ascii="Calibri" w:hAnsi="Calibri"/>
                <w:b/>
                <w:szCs w:val="24"/>
              </w:rPr>
              <w:t>Contacts:</w:t>
            </w:r>
          </w:p>
        </w:tc>
        <w:tc>
          <w:tcPr>
            <w:tcW w:w="3996" w:type="pct"/>
            <w:hideMark/>
          </w:tcPr>
          <w:p w:rsidR="00684D4B" w:rsidRDefault="00684D4B" w:rsidP="00B5640E">
            <w:pPr>
              <w:ind w:left="-17"/>
              <w:rPr>
                <w:rFonts w:ascii="Calibri" w:hAnsi="Calibri"/>
                <w:szCs w:val="24"/>
              </w:rPr>
            </w:pPr>
            <w:r w:rsidRPr="00465A7A">
              <w:rPr>
                <w:rFonts w:ascii="Calibri" w:hAnsi="Calibri"/>
                <w:szCs w:val="24"/>
              </w:rPr>
              <w:t xml:space="preserve">Ms Regina Fleur </w:t>
            </w:r>
            <w:proofErr w:type="spellStart"/>
            <w:r w:rsidRPr="00465A7A">
              <w:rPr>
                <w:rFonts w:ascii="Calibri" w:hAnsi="Calibri"/>
                <w:szCs w:val="24"/>
              </w:rPr>
              <w:t>Assoumou</w:t>
            </w:r>
            <w:proofErr w:type="spellEnd"/>
            <w:r w:rsidRPr="00465A7A">
              <w:rPr>
                <w:rFonts w:ascii="Calibri" w:hAnsi="Calibri"/>
                <w:szCs w:val="24"/>
              </w:rPr>
              <w:t xml:space="preserve"> </w:t>
            </w:r>
            <w:proofErr w:type="spellStart"/>
            <w:r w:rsidRPr="00465A7A">
              <w:rPr>
                <w:rFonts w:ascii="Calibri" w:hAnsi="Calibri"/>
                <w:szCs w:val="24"/>
              </w:rPr>
              <w:t>Bessou</w:t>
            </w:r>
            <w:proofErr w:type="spellEnd"/>
            <w:r w:rsidRPr="00465A7A">
              <w:rPr>
                <w:rFonts w:ascii="Calibri" w:hAnsi="Calibri"/>
                <w:szCs w:val="24"/>
              </w:rPr>
              <w:t>, Chairman, ITU-D Study Group 1</w:t>
            </w:r>
            <w:r w:rsidRPr="00465A7A">
              <w:rPr>
                <w:rFonts w:ascii="Calibri" w:hAnsi="Calibri"/>
                <w:szCs w:val="24"/>
              </w:rPr>
              <w:br/>
              <w:t xml:space="preserve">E-mail: </w:t>
            </w:r>
            <w:hyperlink r:id="rId13" w:history="1">
              <w:r w:rsidRPr="007613FF">
                <w:rPr>
                  <w:rStyle w:val="Hyperlink"/>
                  <w:rFonts w:ascii="Calibri" w:hAnsi="Calibri"/>
                  <w:szCs w:val="24"/>
                </w:rPr>
                <w:t>bessou.regina@artci.ci</w:t>
              </w:r>
            </w:hyperlink>
            <w:r>
              <w:rPr>
                <w:rFonts w:ascii="Calibri" w:hAnsi="Calibri"/>
                <w:szCs w:val="24"/>
              </w:rPr>
              <w:t xml:space="preserve"> </w:t>
            </w:r>
          </w:p>
          <w:p w:rsidR="00684D4B" w:rsidRPr="009C6538" w:rsidRDefault="00684D4B" w:rsidP="00B5640E">
            <w:pPr>
              <w:rPr>
                <w:rFonts w:ascii="Calibri" w:hAnsi="Calibri"/>
                <w:szCs w:val="24"/>
                <w:lang w:val="en-US"/>
              </w:rPr>
            </w:pPr>
            <w:proofErr w:type="spellStart"/>
            <w:r>
              <w:rPr>
                <w:rFonts w:ascii="Calibri" w:hAnsi="Calibri"/>
                <w:szCs w:val="24"/>
                <w:lang w:val="en-US"/>
              </w:rPr>
              <w:t>Mr</w:t>
            </w:r>
            <w:proofErr w:type="spellEnd"/>
            <w:r w:rsidRPr="00770FB4">
              <w:rPr>
                <w:rFonts w:ascii="Calibri" w:hAnsi="Calibri"/>
                <w:szCs w:val="24"/>
                <w:lang w:val="en-US"/>
              </w:rPr>
              <w:t xml:space="preserve"> Ahmad Reza </w:t>
            </w:r>
            <w:proofErr w:type="spellStart"/>
            <w:r w:rsidRPr="00770FB4">
              <w:rPr>
                <w:rFonts w:ascii="Calibri" w:hAnsi="Calibri"/>
                <w:szCs w:val="24"/>
                <w:lang w:val="en-US"/>
              </w:rPr>
              <w:t>Sharafat</w:t>
            </w:r>
            <w:proofErr w:type="spellEnd"/>
            <w:r w:rsidRPr="00770FB4">
              <w:rPr>
                <w:rFonts w:ascii="Calibri" w:hAnsi="Calibri"/>
                <w:szCs w:val="24"/>
                <w:lang w:val="en-US"/>
              </w:rPr>
              <w:t>, Chairman, ITU-D S</w:t>
            </w:r>
            <w:r>
              <w:rPr>
                <w:rFonts w:ascii="Calibri" w:hAnsi="Calibri"/>
                <w:szCs w:val="24"/>
                <w:lang w:val="en-US"/>
              </w:rPr>
              <w:t xml:space="preserve">tudy </w:t>
            </w:r>
            <w:r w:rsidRPr="00770FB4">
              <w:rPr>
                <w:rFonts w:ascii="Calibri" w:hAnsi="Calibri"/>
                <w:szCs w:val="24"/>
                <w:lang w:val="en-US"/>
              </w:rPr>
              <w:t>G</w:t>
            </w:r>
            <w:r>
              <w:rPr>
                <w:rFonts w:ascii="Calibri" w:hAnsi="Calibri"/>
                <w:szCs w:val="24"/>
                <w:lang w:val="en-US"/>
              </w:rPr>
              <w:t>roup</w:t>
            </w:r>
            <w:r w:rsidRPr="00770FB4">
              <w:rPr>
                <w:rFonts w:ascii="Calibri" w:hAnsi="Calibri"/>
                <w:szCs w:val="24"/>
                <w:lang w:val="en-US"/>
              </w:rPr>
              <w:t xml:space="preserve"> 2</w:t>
            </w:r>
            <w:r>
              <w:rPr>
                <w:rFonts w:ascii="Calibri" w:hAnsi="Calibri"/>
                <w:szCs w:val="24"/>
                <w:lang w:val="en-US"/>
              </w:rPr>
              <w:br/>
              <w:t xml:space="preserve">E-mail: </w:t>
            </w:r>
            <w:hyperlink r:id="rId14" w:history="1">
              <w:r w:rsidRPr="007613FF">
                <w:rPr>
                  <w:rStyle w:val="Hyperlink"/>
                  <w:rFonts w:ascii="Calibri" w:hAnsi="Calibri"/>
                  <w:szCs w:val="24"/>
                  <w:lang w:val="en-US"/>
                </w:rPr>
                <w:t>ahmad.sharafat@gmail.com</w:t>
              </w:r>
            </w:hyperlink>
            <w:r>
              <w:rPr>
                <w:rFonts w:ascii="Calibri" w:hAnsi="Calibri"/>
                <w:szCs w:val="24"/>
                <w:lang w:val="en-US"/>
              </w:rPr>
              <w:t xml:space="preserve"> </w:t>
            </w:r>
          </w:p>
        </w:tc>
      </w:tr>
      <w:tr w:rsidR="00684D4B" w:rsidRPr="009C6538" w:rsidTr="00B5640E">
        <w:trPr>
          <w:trHeight w:val="20"/>
        </w:trPr>
        <w:tc>
          <w:tcPr>
            <w:tcW w:w="1004" w:type="pct"/>
            <w:hideMark/>
          </w:tcPr>
          <w:p w:rsidR="00684D4B" w:rsidRPr="009C6538" w:rsidRDefault="00684D4B" w:rsidP="00B5640E">
            <w:pPr>
              <w:tabs>
                <w:tab w:val="left" w:pos="720"/>
                <w:tab w:val="left" w:pos="993"/>
              </w:tabs>
              <w:textAlignment w:val="auto"/>
              <w:rPr>
                <w:rFonts w:ascii="Calibri" w:hAnsi="Calibri"/>
                <w:b/>
                <w:szCs w:val="24"/>
              </w:rPr>
            </w:pPr>
            <w:r w:rsidRPr="009C6538">
              <w:rPr>
                <w:rFonts w:ascii="Calibri" w:hAnsi="Calibri"/>
                <w:b/>
                <w:szCs w:val="24"/>
              </w:rPr>
              <w:t>BDT Focal Point:</w:t>
            </w:r>
          </w:p>
        </w:tc>
        <w:tc>
          <w:tcPr>
            <w:tcW w:w="3996" w:type="pct"/>
            <w:hideMark/>
          </w:tcPr>
          <w:p w:rsidR="00684D4B" w:rsidRPr="009C6538" w:rsidRDefault="00684D4B" w:rsidP="00B5640E">
            <w:pPr>
              <w:tabs>
                <w:tab w:val="left" w:pos="928"/>
                <w:tab w:val="left" w:pos="993"/>
              </w:tabs>
              <w:textAlignment w:val="auto"/>
              <w:rPr>
                <w:rFonts w:ascii="Calibri" w:hAnsi="Calibri"/>
                <w:szCs w:val="24"/>
              </w:rPr>
            </w:pPr>
            <w:proofErr w:type="spellStart"/>
            <w:r>
              <w:rPr>
                <w:rFonts w:ascii="Calibri" w:hAnsi="Calibri"/>
                <w:szCs w:val="24"/>
                <w:lang w:val="en-US"/>
              </w:rPr>
              <w:t>Ms</w:t>
            </w:r>
            <w:proofErr w:type="spellEnd"/>
            <w:r>
              <w:rPr>
                <w:rFonts w:ascii="Calibri" w:hAnsi="Calibri"/>
                <w:szCs w:val="24"/>
                <w:lang w:val="en-US"/>
              </w:rPr>
              <w:t xml:space="preserve"> Eun-Ju Kim, Chief, Innovation and Partnership Department (BDT/IP)</w:t>
            </w:r>
            <w:r>
              <w:rPr>
                <w:rFonts w:ascii="Calibri" w:hAnsi="Calibri"/>
                <w:szCs w:val="24"/>
                <w:lang w:val="en-US"/>
              </w:rPr>
              <w:br/>
            </w:r>
            <w:r w:rsidRPr="009C6538">
              <w:rPr>
                <w:rFonts w:ascii="Calibri" w:hAnsi="Calibri"/>
                <w:szCs w:val="24"/>
                <w:lang w:val="en-US"/>
              </w:rPr>
              <w:t xml:space="preserve">E-mail: </w:t>
            </w:r>
            <w:hyperlink r:id="rId15" w:history="1">
              <w:r w:rsidRPr="007613FF">
                <w:rPr>
                  <w:rStyle w:val="Hyperlink"/>
                  <w:rFonts w:ascii="Calibri" w:hAnsi="Calibri"/>
                  <w:szCs w:val="24"/>
                  <w:lang w:val="en-US"/>
                </w:rPr>
                <w:t>eun-ju.kim@itu.int</w:t>
              </w:r>
            </w:hyperlink>
          </w:p>
        </w:tc>
      </w:tr>
    </w:tbl>
    <w:p w:rsidR="00684D4B" w:rsidRDefault="00684D4B" w:rsidP="00684D4B">
      <w:pPr>
        <w:rPr>
          <w:b/>
          <w:bCs/>
        </w:rPr>
      </w:pPr>
    </w:p>
    <w:p w:rsidR="00684D4B" w:rsidRPr="00802F66" w:rsidRDefault="00684D4B" w:rsidP="00684D4B">
      <w:r w:rsidRPr="00802F66">
        <w:t>In an effort to implement Resolution 9 (Rev. Buenos Aires, 2017) based on the outcome of WTDC 2017</w:t>
      </w:r>
      <w:r>
        <w:t>,</w:t>
      </w:r>
      <w:r w:rsidRPr="00802F66">
        <w:t xml:space="preserve"> and in particular to fulfil the needs of the developing countries stated therein</w:t>
      </w:r>
      <w:r>
        <w:t xml:space="preserve"> </w:t>
      </w:r>
      <w:r w:rsidRPr="00802F66">
        <w:t>(</w:t>
      </w:r>
      <w:r>
        <w:t xml:space="preserve">see </w:t>
      </w:r>
      <w:r w:rsidRPr="003C26D5">
        <w:rPr>
          <w:b/>
          <w:bCs/>
        </w:rPr>
        <w:t>Annex 1</w:t>
      </w:r>
      <w:r>
        <w:t xml:space="preserve"> for details on the specific needs</w:t>
      </w:r>
      <w:r w:rsidRPr="00802F66">
        <w:t xml:space="preserve">), ITU-D </w:t>
      </w:r>
      <w:r>
        <w:t>study g</w:t>
      </w:r>
      <w:r w:rsidRPr="00802F66">
        <w:t xml:space="preserve">roups shall </w:t>
      </w:r>
      <w:r>
        <w:t>need</w:t>
      </w:r>
      <w:r w:rsidRPr="00802F66">
        <w:t xml:space="preserve"> close collaboration with the relevant parties in ITU-R to achieve this goal.  </w:t>
      </w:r>
    </w:p>
    <w:p w:rsidR="00684D4B" w:rsidRPr="00802F66" w:rsidRDefault="00684D4B" w:rsidP="00684D4B">
      <w:pPr>
        <w:rPr>
          <w:b/>
          <w:bCs/>
        </w:rPr>
      </w:pPr>
      <w:r w:rsidRPr="00802F66">
        <w:rPr>
          <w:b/>
          <w:bCs/>
        </w:rPr>
        <w:t>ITU-D Study Group 1 (Enabling environment for the development of telecommunications/ICTs)</w:t>
      </w:r>
      <w:r w:rsidRPr="00802F66">
        <w:t xml:space="preserve"> and </w:t>
      </w:r>
      <w:r w:rsidRPr="00802F66">
        <w:rPr>
          <w:b/>
          <w:bCs/>
          <w:szCs w:val="24"/>
        </w:rPr>
        <w:t xml:space="preserve">ITU-D Study Group 2 (ICT services and applications for the promotion of sustainable development) </w:t>
      </w:r>
      <w:r w:rsidRPr="00802F66">
        <w:rPr>
          <w:szCs w:val="24"/>
        </w:rPr>
        <w:t xml:space="preserve">would like to share with TDAG a proposal for how ITU-D study groups could contribute to the implementation of </w:t>
      </w:r>
      <w:r w:rsidRPr="00802F66">
        <w:t xml:space="preserve">Resolution 9 (Rev. Buenos Aires, 2017) within </w:t>
      </w:r>
      <w:r>
        <w:t>their</w:t>
      </w:r>
      <w:r w:rsidRPr="00802F66">
        <w:t xml:space="preserve"> scope of work.</w:t>
      </w:r>
    </w:p>
    <w:p w:rsidR="00684D4B" w:rsidRPr="00802F66" w:rsidRDefault="00684D4B" w:rsidP="00684D4B">
      <w:r w:rsidRPr="00802F66">
        <w:rPr>
          <w:b/>
          <w:bCs/>
        </w:rPr>
        <w:t xml:space="preserve">ITU-D Study Group 1 </w:t>
      </w:r>
      <w:r w:rsidRPr="00802F66">
        <w:t>has identified the following relevant study Questions that seek a close collaboration with ITU</w:t>
      </w:r>
      <w:r w:rsidRPr="00802F66">
        <w:noBreakHyphen/>
        <w:t xml:space="preserve">R based on their scope of work and in response to the needs of the developing countries. The respective Question’s relation to items in Resolution 9 are also specified.   </w:t>
      </w:r>
    </w:p>
    <w:p w:rsidR="00684D4B" w:rsidRPr="00D65B21" w:rsidRDefault="00684D4B" w:rsidP="00684D4B">
      <w:pPr>
        <w:pStyle w:val="ListParagraph"/>
        <w:numPr>
          <w:ilvl w:val="0"/>
          <w:numId w:val="27"/>
        </w:numPr>
        <w:tabs>
          <w:tab w:val="clear" w:pos="1134"/>
          <w:tab w:val="clear" w:pos="1871"/>
          <w:tab w:val="clear" w:pos="2268"/>
          <w:tab w:val="left" w:pos="794"/>
          <w:tab w:val="left" w:pos="1191"/>
          <w:tab w:val="left" w:pos="1588"/>
          <w:tab w:val="left" w:pos="1985"/>
        </w:tabs>
        <w:ind w:left="360"/>
        <w:contextualSpacing w:val="0"/>
      </w:pPr>
      <w:r w:rsidRPr="003C26D5">
        <w:rPr>
          <w:b/>
          <w:bCs/>
        </w:rPr>
        <w:t>Question 1/1: Strategies and policies for the deployment of broadband in developing countries</w:t>
      </w:r>
      <w:r w:rsidRPr="00802F66">
        <w:t xml:space="preserve"> (Needs 1, 2,3, 4,7,10, 11)</w:t>
      </w:r>
      <w:r w:rsidRPr="000B4C27">
        <w:rPr>
          <w:bCs/>
        </w:rPr>
        <w:t xml:space="preserve"> (</w:t>
      </w:r>
      <w:r w:rsidRPr="00D63598">
        <w:rPr>
          <w:bCs/>
          <w:i/>
          <w:iCs/>
        </w:rPr>
        <w:t>Question contact: Co-Rapporteur Mr Vadim Kaptur</w:t>
      </w:r>
      <w:r w:rsidRPr="000B4C27">
        <w:rPr>
          <w:bCs/>
        </w:rPr>
        <w:t>)</w:t>
      </w:r>
    </w:p>
    <w:p w:rsidR="00684D4B" w:rsidRPr="00802F66" w:rsidRDefault="00684D4B" w:rsidP="00684D4B">
      <w:pPr>
        <w:pStyle w:val="ListParagraph"/>
        <w:ind w:left="357"/>
        <w:contextualSpacing w:val="0"/>
      </w:pPr>
      <w:r>
        <w:t xml:space="preserve">For assessing the economic and social benefits raise awareness of the importance and the linkage between efficient spectrum management and the broadband penetration. Spectrum sharing and new licensing schemes - Spectrum sharing provides better utilization of the scarce resource of radio spectrum and avail more spectrum to be used/accessed by more than one party. The group should study different policies enabling spectrum sharing to make more spectrum available for broadband access. Examples of such schemes and licensing methods </w:t>
      </w:r>
      <w:r>
        <w:lastRenderedPageBreak/>
        <w:t>include combination/aggregation of licensed and unlicensed bands (e.g., LTE Unlicensed (LTE-U) and Licensed-Assisted Access (LAA</w:t>
      </w:r>
      <w:proofErr w:type="gramStart"/>
      <w:r>
        <w:t>) )</w:t>
      </w:r>
      <w:proofErr w:type="gramEnd"/>
      <w:r>
        <w:t>. This discussion should cover both licensed and license-exempt approaches. Emerging technologies for broadband access - The group should consider the ITU-R studies and the WRC decisions related to the spectrum allocated (or to be allocated) to IMT-2020 (also the additional spectrum above 24 GHz). The group should also consider all relevant publications and recommendations by ITU-R in relation to “IMT for 2020 and beyond”. High Altitude Platform Stations (HAPS) - reference frequency bands allocated to HAPS according to the ITU Radio Regulations, and WRC 19 agenda item 1.14 aiming at facilitating access to broadband applications delivered by HAPS, pursuant to Resolution 160 (WRC-15). Wireless Access Systems/Radio Local Area Networks (WAS/RLAN) - follow up on studies mandated by Resolution 239 (WRC-15) wherein ITU-R was invited to conduct studies concerning Wireless Access Systems including radio local area networks (WAS/RLAN) in the frequency bands between 5 150 MHz and 5925 MHz, considering the contribution of WAS/RLAN applications to global economic and social development, and the need for additional spectrum. There should be considerations of different spectrum bands along different standards (IEEE 802.11xx) that RLAN systems are using (5 GHz, 60 GHz, etc.).</w:t>
      </w:r>
    </w:p>
    <w:p w:rsidR="00684D4B" w:rsidRPr="007A250E" w:rsidRDefault="00684D4B" w:rsidP="00684D4B">
      <w:pPr>
        <w:pStyle w:val="ListParagraph"/>
        <w:numPr>
          <w:ilvl w:val="0"/>
          <w:numId w:val="27"/>
        </w:numPr>
        <w:tabs>
          <w:tab w:val="clear" w:pos="1134"/>
          <w:tab w:val="clear" w:pos="1871"/>
          <w:tab w:val="clear" w:pos="2268"/>
          <w:tab w:val="left" w:pos="794"/>
          <w:tab w:val="left" w:pos="1191"/>
          <w:tab w:val="left" w:pos="1588"/>
          <w:tab w:val="left" w:pos="1985"/>
        </w:tabs>
        <w:ind w:left="360"/>
        <w:contextualSpacing w:val="0"/>
      </w:pPr>
      <w:r w:rsidRPr="003C26D5">
        <w:rPr>
          <w:b/>
          <w:bCs/>
        </w:rPr>
        <w:t>Question 2/1: Strategies, policies, regulations and methods of migration and adoption of digital broadcasting and implementation of new services</w:t>
      </w:r>
      <w:r w:rsidRPr="00802F66">
        <w:t xml:space="preserve"> (Needs 1, 2,3, 4, 7, 8, 9, 10, 11)</w:t>
      </w:r>
      <w:r w:rsidRPr="000B4C27">
        <w:rPr>
          <w:bCs/>
        </w:rPr>
        <w:t xml:space="preserve"> (</w:t>
      </w:r>
      <w:r w:rsidRPr="000B4C27">
        <w:rPr>
          <w:bCs/>
          <w:i/>
          <w:iCs/>
        </w:rPr>
        <w:t xml:space="preserve">Question contact: </w:t>
      </w:r>
      <w:r w:rsidRPr="00D63598">
        <w:rPr>
          <w:bCs/>
          <w:i/>
          <w:iCs/>
        </w:rPr>
        <w:t>Rapporteur Mr Roberto Hirayama</w:t>
      </w:r>
      <w:r w:rsidRPr="000B4C27">
        <w:rPr>
          <w:bCs/>
        </w:rPr>
        <w:t>)</w:t>
      </w:r>
    </w:p>
    <w:p w:rsidR="00684D4B" w:rsidRPr="00802F66" w:rsidRDefault="00684D4B" w:rsidP="00684D4B">
      <w:pPr>
        <w:pStyle w:val="ListParagraph"/>
        <w:ind w:left="357"/>
        <w:contextualSpacing w:val="0"/>
      </w:pPr>
      <w:r>
        <w:t xml:space="preserve">Methods of migration to digital broadcasting - Many developing countries are still undergoing transition from </w:t>
      </w:r>
      <w:proofErr w:type="spellStart"/>
      <w:r>
        <w:t>analog</w:t>
      </w:r>
      <w:proofErr w:type="spellEnd"/>
      <w:r>
        <w:t xml:space="preserve"> to digital broadcasting. Such countries need special assistance to complete such transition, especially in terms of the frequency plans during the simulcast and upon completion of transition. Implementation of new services using the digital dividend - developing countries need to be aware of possible use cases and services that can make use of the resulting digital dividend. There is also a need to follow up on the new released spectrum below the 700 band.</w:t>
      </w:r>
    </w:p>
    <w:p w:rsidR="00684D4B" w:rsidRPr="00274CF9" w:rsidRDefault="00684D4B" w:rsidP="00684D4B">
      <w:pPr>
        <w:pStyle w:val="ListParagraph"/>
        <w:numPr>
          <w:ilvl w:val="0"/>
          <w:numId w:val="27"/>
        </w:numPr>
        <w:tabs>
          <w:tab w:val="clear" w:pos="1134"/>
          <w:tab w:val="clear" w:pos="1871"/>
          <w:tab w:val="clear" w:pos="2268"/>
          <w:tab w:val="left" w:pos="794"/>
          <w:tab w:val="left" w:pos="1191"/>
          <w:tab w:val="left" w:pos="1588"/>
          <w:tab w:val="left" w:pos="1985"/>
        </w:tabs>
        <w:ind w:left="360"/>
        <w:contextualSpacing w:val="0"/>
      </w:pPr>
      <w:r w:rsidRPr="003C26D5">
        <w:rPr>
          <w:b/>
          <w:bCs/>
        </w:rPr>
        <w:t>Question 4/1: Economic policies and methods of determining the costs of services related to national telecommunication/ICT networks</w:t>
      </w:r>
      <w:r w:rsidRPr="00802F66">
        <w:t xml:space="preserve"> (Need 5)</w:t>
      </w:r>
      <w:r w:rsidRPr="000B4C27">
        <w:rPr>
          <w:bCs/>
        </w:rPr>
        <w:t xml:space="preserve"> (</w:t>
      </w:r>
      <w:r w:rsidRPr="000B4C27">
        <w:rPr>
          <w:bCs/>
          <w:i/>
          <w:iCs/>
        </w:rPr>
        <w:t xml:space="preserve">Question contact: </w:t>
      </w:r>
      <w:r w:rsidRPr="00D63598">
        <w:rPr>
          <w:bCs/>
          <w:i/>
          <w:iCs/>
        </w:rPr>
        <w:t xml:space="preserve">Rapporteur Mr </w:t>
      </w:r>
      <w:proofErr w:type="spellStart"/>
      <w:r w:rsidRPr="00D63598">
        <w:rPr>
          <w:bCs/>
          <w:i/>
          <w:iCs/>
        </w:rPr>
        <w:t>Arseny</w:t>
      </w:r>
      <w:proofErr w:type="spellEnd"/>
      <w:r w:rsidRPr="00D63598">
        <w:rPr>
          <w:bCs/>
          <w:i/>
          <w:iCs/>
        </w:rPr>
        <w:t xml:space="preserve"> </w:t>
      </w:r>
      <w:proofErr w:type="spellStart"/>
      <w:r w:rsidRPr="00D63598">
        <w:rPr>
          <w:bCs/>
          <w:i/>
          <w:iCs/>
        </w:rPr>
        <w:t>Plossky</w:t>
      </w:r>
      <w:proofErr w:type="spellEnd"/>
      <w:r w:rsidRPr="000B4C27">
        <w:rPr>
          <w:bCs/>
        </w:rPr>
        <w:t>)</w:t>
      </w:r>
    </w:p>
    <w:p w:rsidR="00684D4B" w:rsidRPr="00802F66" w:rsidRDefault="00684D4B" w:rsidP="00684D4B">
      <w:pPr>
        <w:pStyle w:val="ListParagraph"/>
        <w:ind w:left="357"/>
        <w:contextualSpacing w:val="0"/>
      </w:pPr>
      <w:r>
        <w:t xml:space="preserve">Spectrum sharing framework within infrastructure sharing - </w:t>
      </w:r>
      <w:proofErr w:type="spellStart"/>
      <w:r>
        <w:t>Analyze</w:t>
      </w:r>
      <w:proofErr w:type="spellEnd"/>
      <w:r>
        <w:t xml:space="preserve"> the use of spectrum sharing within the model of active infrastructure. </w:t>
      </w:r>
    </w:p>
    <w:p w:rsidR="00684D4B" w:rsidRPr="0007482D" w:rsidRDefault="00684D4B" w:rsidP="00684D4B">
      <w:pPr>
        <w:pStyle w:val="ListParagraph"/>
        <w:numPr>
          <w:ilvl w:val="0"/>
          <w:numId w:val="27"/>
        </w:numPr>
        <w:tabs>
          <w:tab w:val="clear" w:pos="1134"/>
          <w:tab w:val="clear" w:pos="1871"/>
          <w:tab w:val="clear" w:pos="2268"/>
          <w:tab w:val="left" w:pos="794"/>
          <w:tab w:val="left" w:pos="1191"/>
          <w:tab w:val="left" w:pos="1588"/>
          <w:tab w:val="left" w:pos="1985"/>
        </w:tabs>
        <w:ind w:left="360"/>
        <w:contextualSpacing w:val="0"/>
      </w:pPr>
      <w:r w:rsidRPr="000B4C27">
        <w:rPr>
          <w:b/>
          <w:bCs/>
        </w:rPr>
        <w:t>Question 5/1: Telecommunications/ICTs for rural and remote areas</w:t>
      </w:r>
      <w:r w:rsidRPr="00802F66">
        <w:t xml:space="preserve"> (Needs 1, 2,3, 4,7,10, 11)</w:t>
      </w:r>
      <w:r w:rsidRPr="000B4C27">
        <w:rPr>
          <w:b/>
        </w:rPr>
        <w:t xml:space="preserve"> </w:t>
      </w:r>
      <w:r w:rsidRPr="000B4C27">
        <w:rPr>
          <w:bCs/>
        </w:rPr>
        <w:t>(</w:t>
      </w:r>
      <w:r w:rsidRPr="000B4C27">
        <w:rPr>
          <w:bCs/>
          <w:i/>
          <w:iCs/>
        </w:rPr>
        <w:t xml:space="preserve">Question contact: </w:t>
      </w:r>
      <w:r w:rsidRPr="00D63598">
        <w:rPr>
          <w:bCs/>
          <w:i/>
          <w:iCs/>
        </w:rPr>
        <w:t xml:space="preserve">Co-Rapporteur Mr Khalil </w:t>
      </w:r>
      <w:proofErr w:type="spellStart"/>
      <w:r w:rsidRPr="00D63598">
        <w:rPr>
          <w:bCs/>
          <w:i/>
          <w:iCs/>
        </w:rPr>
        <w:t>Alsobhi</w:t>
      </w:r>
      <w:proofErr w:type="spellEnd"/>
      <w:r w:rsidRPr="000B4C27">
        <w:rPr>
          <w:bCs/>
        </w:rPr>
        <w:t>)</w:t>
      </w:r>
    </w:p>
    <w:p w:rsidR="00684D4B" w:rsidRPr="00802F66" w:rsidRDefault="00684D4B" w:rsidP="00684D4B">
      <w:pPr>
        <w:pStyle w:val="ListParagraph"/>
        <w:ind w:left="357"/>
        <w:contextualSpacing w:val="0"/>
      </w:pPr>
      <w:r>
        <w:t xml:space="preserve">It is a challenge in developing countries to provide broadband services considering the topological and economical situations in rural areas. Ongoing advancements in satellite networks, ground equipment and applications have made satellite technologies an increasingly cost effective solution, particularly to ensure coverage in remote and rural areas. Satellite systems can also be used to complement or replace the IMT coverage in many areas. Three main areas could be considered: 1) For assessing the economic and social benefits - the relation between availing spectrum access (to citizens and to </w:t>
      </w:r>
      <w:proofErr w:type="spellStart"/>
      <w:r>
        <w:t>IoT</w:t>
      </w:r>
      <w:proofErr w:type="spellEnd"/>
      <w:r>
        <w:t xml:space="preserve"> devices) at remote and rural areas and the impact in terms of the resulting economic and social development; 2) Satellite systems - different satellite systems and corresponding frequency bands of operation in order to serve the residents in remote areas; Remote </w:t>
      </w:r>
      <w:proofErr w:type="spellStart"/>
      <w:r>
        <w:t>IoT</w:t>
      </w:r>
      <w:proofErr w:type="spellEnd"/>
      <w:r>
        <w:t xml:space="preserve"> devices - technologies and corresponding spectrum issues related to the connecting </w:t>
      </w:r>
      <w:proofErr w:type="spellStart"/>
      <w:r>
        <w:t>IoT</w:t>
      </w:r>
      <w:proofErr w:type="spellEnd"/>
      <w:r>
        <w:t xml:space="preserve"> devices that can be spread and used in remote areas for environmental monitoring and business monitoring/control (e.g., gas pipes).</w:t>
      </w:r>
    </w:p>
    <w:p w:rsidR="00684D4B" w:rsidRDefault="00684D4B" w:rsidP="00684D4B">
      <w:pPr>
        <w:pStyle w:val="ListParagraph"/>
        <w:numPr>
          <w:ilvl w:val="0"/>
          <w:numId w:val="27"/>
        </w:numPr>
        <w:tabs>
          <w:tab w:val="clear" w:pos="1134"/>
          <w:tab w:val="clear" w:pos="1871"/>
          <w:tab w:val="clear" w:pos="2268"/>
          <w:tab w:val="left" w:pos="794"/>
          <w:tab w:val="left" w:pos="1191"/>
          <w:tab w:val="left" w:pos="1588"/>
          <w:tab w:val="left" w:pos="1985"/>
        </w:tabs>
        <w:ind w:left="357" w:hanging="357"/>
        <w:contextualSpacing w:val="0"/>
        <w:rPr>
          <w:bCs/>
        </w:rPr>
      </w:pPr>
      <w:r w:rsidRPr="007F4932">
        <w:rPr>
          <w:b/>
          <w:bCs/>
        </w:rPr>
        <w:lastRenderedPageBreak/>
        <w:t>Question 7/1: Access to telecommunication/ICT services by persons with disabilities and other persons with specific needs</w:t>
      </w:r>
      <w:r w:rsidRPr="00802F66">
        <w:t xml:space="preserve"> (Need 7)</w:t>
      </w:r>
      <w:r>
        <w:t xml:space="preserve"> </w:t>
      </w:r>
      <w:r w:rsidRPr="007F4932">
        <w:rPr>
          <w:bCs/>
        </w:rPr>
        <w:t>(</w:t>
      </w:r>
      <w:r w:rsidRPr="007F4932">
        <w:rPr>
          <w:bCs/>
          <w:i/>
          <w:iCs/>
        </w:rPr>
        <w:t xml:space="preserve">Question contact: Rapporteur </w:t>
      </w:r>
      <w:proofErr w:type="spellStart"/>
      <w:r w:rsidRPr="007F4932">
        <w:rPr>
          <w:bCs/>
          <w:i/>
          <w:iCs/>
        </w:rPr>
        <w:t>Amela</w:t>
      </w:r>
      <w:proofErr w:type="spellEnd"/>
      <w:r w:rsidRPr="007F4932">
        <w:rPr>
          <w:bCs/>
          <w:i/>
          <w:iCs/>
        </w:rPr>
        <w:t xml:space="preserve"> </w:t>
      </w:r>
      <w:proofErr w:type="spellStart"/>
      <w:r w:rsidRPr="007F4932">
        <w:rPr>
          <w:bCs/>
          <w:i/>
          <w:iCs/>
        </w:rPr>
        <w:t>Odobasic</w:t>
      </w:r>
      <w:proofErr w:type="spellEnd"/>
      <w:r w:rsidRPr="007F4932">
        <w:rPr>
          <w:bCs/>
        </w:rPr>
        <w:t>)</w:t>
      </w:r>
    </w:p>
    <w:p w:rsidR="00684D4B" w:rsidRPr="007F4932" w:rsidRDefault="00684D4B" w:rsidP="00684D4B">
      <w:pPr>
        <w:pStyle w:val="ListParagraph"/>
        <w:ind w:left="357"/>
        <w:contextualSpacing w:val="0"/>
        <w:rPr>
          <w:bCs/>
        </w:rPr>
      </w:pPr>
      <w:r w:rsidRPr="007F4932">
        <w:rPr>
          <w:bCs/>
        </w:rPr>
        <w:t>Discussions on short-range devices (SRD) and relevant ITU-R studies to make sure that persons with disabilities (</w:t>
      </w:r>
      <w:proofErr w:type="spellStart"/>
      <w:r w:rsidRPr="007F4932">
        <w:rPr>
          <w:bCs/>
        </w:rPr>
        <w:t>PwDs</w:t>
      </w:r>
      <w:proofErr w:type="spellEnd"/>
      <w:r w:rsidRPr="007F4932">
        <w:rPr>
          <w:bCs/>
        </w:rPr>
        <w:t>) can have robust access and utilization to SRD that can operate in</w:t>
      </w:r>
      <w:r>
        <w:rPr>
          <w:bCs/>
        </w:rPr>
        <w:t xml:space="preserve"> </w:t>
      </w:r>
      <w:r w:rsidRPr="007F4932">
        <w:rPr>
          <w:bCs/>
        </w:rPr>
        <w:t>less crowded and less interfered frequency bands.</w:t>
      </w:r>
    </w:p>
    <w:p w:rsidR="00684D4B" w:rsidRPr="00802F66" w:rsidRDefault="00684D4B" w:rsidP="00684D4B">
      <w:r w:rsidRPr="00802F66">
        <w:rPr>
          <w:b/>
          <w:bCs/>
        </w:rPr>
        <w:t>ITU-D Study Group 2</w:t>
      </w:r>
      <w:r w:rsidRPr="00802F66">
        <w:t xml:space="preserve"> has identified the following relevant study Questions that seek a close collaboration with ITU</w:t>
      </w:r>
      <w:r w:rsidRPr="00802F66">
        <w:noBreakHyphen/>
        <w:t xml:space="preserve">R based on their scope of work and in response to the needs of the developing countries. The respective Question’s relation to items in Resolution 9 are also specified.   </w:t>
      </w:r>
    </w:p>
    <w:p w:rsidR="00684D4B" w:rsidRPr="00802F66" w:rsidRDefault="00684D4B" w:rsidP="00684D4B">
      <w:pPr>
        <w:pStyle w:val="Heading3"/>
        <w:numPr>
          <w:ilvl w:val="0"/>
          <w:numId w:val="26"/>
        </w:numPr>
        <w:tabs>
          <w:tab w:val="clear" w:pos="1871"/>
          <w:tab w:val="clear" w:pos="2268"/>
          <w:tab w:val="left" w:pos="794"/>
          <w:tab w:val="left" w:pos="1191"/>
          <w:tab w:val="left" w:pos="1588"/>
          <w:tab w:val="left" w:pos="1985"/>
        </w:tabs>
        <w:spacing w:before="120"/>
        <w:ind w:right="232"/>
        <w:contextualSpacing/>
      </w:pPr>
      <w:r>
        <w:t>Question 1/2</w:t>
      </w:r>
      <w:r w:rsidRPr="00802F66">
        <w:t xml:space="preserve">: Creating the smart cities and society: Employing ICTs for sustainable social and economic development </w:t>
      </w:r>
      <w:r w:rsidRPr="00802F66">
        <w:rPr>
          <w:b w:val="0"/>
        </w:rPr>
        <w:t>(Needs 1, 2, 4, 6, 7, 9, 10)</w:t>
      </w:r>
      <w:r w:rsidRPr="00802F66">
        <w:rPr>
          <w:color w:val="0070C0"/>
        </w:rPr>
        <w:t xml:space="preserve"> </w:t>
      </w:r>
      <w:r>
        <w:rPr>
          <w:b w:val="0"/>
        </w:rPr>
        <w:t>(</w:t>
      </w:r>
      <w:r w:rsidRPr="000B4C27">
        <w:rPr>
          <w:b w:val="0"/>
          <w:i/>
          <w:iCs/>
        </w:rPr>
        <w:t>Questi</w:t>
      </w:r>
      <w:r w:rsidRPr="00D63598">
        <w:rPr>
          <w:b w:val="0"/>
          <w:bCs/>
          <w:i/>
          <w:iCs/>
        </w:rPr>
        <w:t xml:space="preserve">on contact: Co-Rapporteur Mr </w:t>
      </w:r>
      <w:proofErr w:type="spellStart"/>
      <w:r w:rsidRPr="00D63598">
        <w:rPr>
          <w:b w:val="0"/>
          <w:bCs/>
          <w:i/>
          <w:iCs/>
        </w:rPr>
        <w:t>Fadel</w:t>
      </w:r>
      <w:proofErr w:type="spellEnd"/>
      <w:r w:rsidRPr="00D63598">
        <w:rPr>
          <w:b w:val="0"/>
          <w:bCs/>
          <w:i/>
          <w:iCs/>
        </w:rPr>
        <w:t xml:space="preserve"> </w:t>
      </w:r>
      <w:proofErr w:type="spellStart"/>
      <w:r w:rsidRPr="00D63598">
        <w:rPr>
          <w:b w:val="0"/>
          <w:bCs/>
          <w:i/>
          <w:iCs/>
        </w:rPr>
        <w:t>Digham</w:t>
      </w:r>
      <w:proofErr w:type="spellEnd"/>
      <w:r>
        <w:rPr>
          <w:b w:val="0"/>
        </w:rPr>
        <w:t>)</w:t>
      </w:r>
    </w:p>
    <w:p w:rsidR="00684D4B" w:rsidRPr="00802F66" w:rsidRDefault="00684D4B" w:rsidP="00684D4B">
      <w:pPr>
        <w:ind w:left="357" w:right="232"/>
        <w:contextualSpacing/>
      </w:pPr>
      <w:r w:rsidRPr="00802F66">
        <w:t xml:space="preserve">Connectivity is a key layer in smart cities and communities. </w:t>
      </w:r>
      <w:proofErr w:type="spellStart"/>
      <w:r w:rsidRPr="00802F66">
        <w:t>IoT</w:t>
      </w:r>
      <w:proofErr w:type="spellEnd"/>
      <w:r w:rsidRPr="00802F66">
        <w:t xml:space="preserve"> and short range devices (SRDs) are clear examples to be used in different sectors such as transportation and utilities. There is a need then to study and present different scenarios for connectivity and monitoring purposes. In addition, new generations of cellular and wireless systems are to be utilized and considered while planning for a smart city/community.      </w:t>
      </w:r>
      <w:r w:rsidRPr="00802F66">
        <w:rPr>
          <w:b/>
        </w:rPr>
        <w:t xml:space="preserve"> </w:t>
      </w:r>
    </w:p>
    <w:p w:rsidR="00684D4B" w:rsidRPr="00802F66" w:rsidRDefault="00684D4B" w:rsidP="00684D4B">
      <w:pPr>
        <w:pStyle w:val="Heading3"/>
        <w:numPr>
          <w:ilvl w:val="0"/>
          <w:numId w:val="26"/>
        </w:numPr>
        <w:tabs>
          <w:tab w:val="clear" w:pos="1871"/>
          <w:tab w:val="clear" w:pos="2268"/>
          <w:tab w:val="left" w:pos="794"/>
          <w:tab w:val="left" w:pos="1191"/>
          <w:tab w:val="left" w:pos="1588"/>
          <w:tab w:val="left" w:pos="1985"/>
        </w:tabs>
        <w:spacing w:before="120"/>
        <w:ind w:right="232"/>
      </w:pPr>
      <w:r>
        <w:t>Question 4/2</w:t>
      </w:r>
      <w:r w:rsidRPr="00802F66">
        <w:t xml:space="preserve">: Assistance to developing countries for implementing conformance and interoperability (C&amp;I) programs and combating counterfeit ICT equipment and theft of mobile devices </w:t>
      </w:r>
      <w:r w:rsidRPr="00802F66">
        <w:rPr>
          <w:b w:val="0"/>
          <w:bCs/>
        </w:rPr>
        <w:t>(</w:t>
      </w:r>
      <w:r w:rsidRPr="00802F66">
        <w:rPr>
          <w:b w:val="0"/>
        </w:rPr>
        <w:t>Needs 1, 2, 6, 7, 9, 10)</w:t>
      </w:r>
      <w:r w:rsidRPr="00802F66">
        <w:t xml:space="preserve"> </w:t>
      </w:r>
      <w:r>
        <w:rPr>
          <w:b w:val="0"/>
        </w:rPr>
        <w:t>(</w:t>
      </w:r>
      <w:r w:rsidRPr="00D63598">
        <w:rPr>
          <w:b w:val="0"/>
          <w:bCs/>
          <w:i/>
          <w:iCs/>
        </w:rPr>
        <w:t xml:space="preserve">Question contact: Rapporteur Mr </w:t>
      </w:r>
      <w:proofErr w:type="spellStart"/>
      <w:r w:rsidRPr="00D63598">
        <w:rPr>
          <w:b w:val="0"/>
          <w:bCs/>
          <w:i/>
          <w:iCs/>
        </w:rPr>
        <w:t>Cheikh</w:t>
      </w:r>
      <w:proofErr w:type="spellEnd"/>
      <w:r w:rsidRPr="00D63598">
        <w:rPr>
          <w:b w:val="0"/>
          <w:bCs/>
          <w:i/>
          <w:iCs/>
        </w:rPr>
        <w:t xml:space="preserve"> </w:t>
      </w:r>
      <w:proofErr w:type="spellStart"/>
      <w:r w:rsidRPr="00D63598">
        <w:rPr>
          <w:b w:val="0"/>
          <w:bCs/>
          <w:i/>
          <w:iCs/>
        </w:rPr>
        <w:t>Tidjani</w:t>
      </w:r>
      <w:proofErr w:type="spellEnd"/>
      <w:r w:rsidRPr="00D63598">
        <w:rPr>
          <w:b w:val="0"/>
          <w:bCs/>
          <w:i/>
          <w:iCs/>
        </w:rPr>
        <w:t xml:space="preserve"> </w:t>
      </w:r>
      <w:proofErr w:type="spellStart"/>
      <w:r w:rsidRPr="00D63598">
        <w:rPr>
          <w:b w:val="0"/>
          <w:bCs/>
          <w:i/>
          <w:iCs/>
        </w:rPr>
        <w:t>Oudaa</w:t>
      </w:r>
      <w:proofErr w:type="spellEnd"/>
      <w:r w:rsidRPr="00D63598">
        <w:rPr>
          <w:b w:val="0"/>
          <w:bCs/>
          <w:i/>
          <w:iCs/>
        </w:rPr>
        <w:t>)</w:t>
      </w:r>
    </w:p>
    <w:p w:rsidR="00684D4B" w:rsidRPr="00802F66" w:rsidRDefault="00684D4B" w:rsidP="00684D4B">
      <w:pPr>
        <w:ind w:left="360"/>
        <w:rPr>
          <w:b/>
        </w:rPr>
      </w:pPr>
      <w:r w:rsidRPr="00802F66">
        <w:t xml:space="preserve">The group can address the needs to implement conformance programs of devices, especially those of short range (SRD), to make sure that they operate in accordance to the Radio Regulations, national regulations and the Table of Frequency Allocations, in order to avoid interference with other services and devices. </w:t>
      </w:r>
      <w:r w:rsidRPr="00802F66">
        <w:rPr>
          <w:b/>
        </w:rPr>
        <w:t xml:space="preserve"> </w:t>
      </w:r>
    </w:p>
    <w:p w:rsidR="00684D4B" w:rsidRPr="00802F66" w:rsidRDefault="00684D4B" w:rsidP="00684D4B">
      <w:pPr>
        <w:pStyle w:val="Heading3"/>
        <w:numPr>
          <w:ilvl w:val="0"/>
          <w:numId w:val="26"/>
        </w:numPr>
        <w:tabs>
          <w:tab w:val="clear" w:pos="1871"/>
          <w:tab w:val="clear" w:pos="2268"/>
          <w:tab w:val="left" w:pos="794"/>
          <w:tab w:val="left" w:pos="1191"/>
          <w:tab w:val="left" w:pos="1588"/>
          <w:tab w:val="left" w:pos="1985"/>
        </w:tabs>
        <w:spacing w:before="120"/>
        <w:ind w:right="232"/>
        <w:rPr>
          <w:b w:val="0"/>
        </w:rPr>
      </w:pPr>
      <w:r w:rsidRPr="00802F66">
        <w:rPr>
          <w:bCs/>
        </w:rPr>
        <w:t xml:space="preserve">Q7/2: Strategies and policies concerning human exposure to electromagnetic fields </w:t>
      </w:r>
      <w:r w:rsidRPr="00802F66">
        <w:rPr>
          <w:b w:val="0"/>
        </w:rPr>
        <w:t>(Needs 1,</w:t>
      </w:r>
      <w:r>
        <w:rPr>
          <w:b w:val="0"/>
        </w:rPr>
        <w:t xml:space="preserve"> </w:t>
      </w:r>
      <w:r w:rsidRPr="00802F66">
        <w:rPr>
          <w:b w:val="0"/>
        </w:rPr>
        <w:t>4, 6, 7, 9, 10)</w:t>
      </w:r>
      <w:r>
        <w:rPr>
          <w:b w:val="0"/>
        </w:rPr>
        <w:t xml:space="preserve"> (</w:t>
      </w:r>
      <w:r w:rsidRPr="000B4C27">
        <w:rPr>
          <w:b w:val="0"/>
          <w:i/>
          <w:iCs/>
        </w:rPr>
        <w:t xml:space="preserve">Question </w:t>
      </w:r>
      <w:r w:rsidRPr="00D63598">
        <w:rPr>
          <w:b w:val="0"/>
          <w:bCs/>
          <w:i/>
          <w:iCs/>
        </w:rPr>
        <w:t xml:space="preserve">contact: Co-Rapporteur Mr Haim </w:t>
      </w:r>
      <w:proofErr w:type="spellStart"/>
      <w:r w:rsidRPr="00D63598">
        <w:rPr>
          <w:b w:val="0"/>
          <w:bCs/>
          <w:i/>
          <w:iCs/>
        </w:rPr>
        <w:t>Mazar</w:t>
      </w:r>
      <w:proofErr w:type="spellEnd"/>
      <w:r>
        <w:rPr>
          <w:b w:val="0"/>
        </w:rPr>
        <w:t>)</w:t>
      </w:r>
    </w:p>
    <w:p w:rsidR="00684D4B" w:rsidRPr="00802F66" w:rsidRDefault="00684D4B" w:rsidP="00684D4B">
      <w:pPr>
        <w:ind w:left="360"/>
      </w:pPr>
      <w:r w:rsidRPr="00802F66">
        <w:t xml:space="preserve">The question studies compilation and analysis of the regulatory policies concerning human exposure to EMF that are being considered or implemented for authorizing the installation of </w:t>
      </w:r>
      <w:proofErr w:type="spellStart"/>
      <w:r w:rsidRPr="00802F66">
        <w:t>radiocommunication</w:t>
      </w:r>
      <w:proofErr w:type="spellEnd"/>
      <w:r w:rsidRPr="00802F66">
        <w:t xml:space="preserve"> sites. In addition, the scope involves </w:t>
      </w:r>
      <w:r>
        <w:t>p</w:t>
      </w:r>
      <w:r w:rsidRPr="00802F66">
        <w:t>roposing guidelines and best practices on this matter as wel</w:t>
      </w:r>
      <w:r>
        <w:t>l as studying the c</w:t>
      </w:r>
      <w:r w:rsidRPr="00802F66">
        <w:t>hallenges and opportunities of developing technical regulations on the limits for maximum exposure to non-ionizing electromagnetic radiation from radio base stations and specific absorption rate levels in wireless devices.</w:t>
      </w:r>
    </w:p>
    <w:p w:rsidR="00684D4B" w:rsidRDefault="00684D4B" w:rsidP="00684D4B">
      <w:pPr>
        <w:spacing w:before="240"/>
      </w:pPr>
      <w:r w:rsidRPr="00802F66">
        <w:t xml:space="preserve">To ensure that each Question gathers information on spectrum specific requirements and needs, a contact point from within each Rapporteur Group has been assigned this task. </w:t>
      </w:r>
      <w:r>
        <w:t>In addition, a Vice-C</w:t>
      </w:r>
      <w:r w:rsidRPr="00802F66">
        <w:t>hair</w:t>
      </w:r>
      <w:r>
        <w:t>man</w:t>
      </w:r>
      <w:r w:rsidRPr="00802F66">
        <w:t xml:space="preserve"> from SG1 (</w:t>
      </w:r>
      <w:r w:rsidRPr="00D63598">
        <w:rPr>
          <w:i/>
          <w:iCs/>
        </w:rPr>
        <w:t>Mr Roberto Hirayama, Brazil</w:t>
      </w:r>
      <w:r w:rsidRPr="00802F66">
        <w:t>) and a Vice-Chair</w:t>
      </w:r>
      <w:r>
        <w:t>man from SG2 (</w:t>
      </w:r>
      <w:r w:rsidRPr="00D63598">
        <w:rPr>
          <w:i/>
          <w:iCs/>
        </w:rPr>
        <w:t>Ms Nora Basher, Sudan</w:t>
      </w:r>
      <w:r w:rsidRPr="00802F66">
        <w:t xml:space="preserve">) will be responsible for coordinating </w:t>
      </w:r>
      <w:r>
        <w:t xml:space="preserve">WTDC </w:t>
      </w:r>
      <w:r w:rsidRPr="00802F66">
        <w:t xml:space="preserve">Resolution 9 issues with the contact points for each </w:t>
      </w:r>
      <w:r>
        <w:t>study Q</w:t>
      </w:r>
      <w:r w:rsidRPr="00802F66">
        <w:t xml:space="preserve">uestion. The two </w:t>
      </w:r>
      <w:r>
        <w:t>vice-c</w:t>
      </w:r>
      <w:r w:rsidRPr="00802F66">
        <w:t>hair</w:t>
      </w:r>
      <w:r>
        <w:t>men</w:t>
      </w:r>
      <w:r w:rsidRPr="00802F66">
        <w:t xml:space="preserve"> will also be preparing (with the assistance of the BDT Focal Point)</w:t>
      </w:r>
      <w:r>
        <w:t xml:space="preserve"> and submitting a</w:t>
      </w:r>
      <w:r w:rsidRPr="00802F66">
        <w:t xml:space="preserve"> summary of the compiled findings on </w:t>
      </w:r>
      <w:r>
        <w:t xml:space="preserve">WTDC </w:t>
      </w:r>
      <w:r w:rsidRPr="00802F66">
        <w:t xml:space="preserve">Resolution 9 issues to the </w:t>
      </w:r>
      <w:r>
        <w:t xml:space="preserve">ITU-D </w:t>
      </w:r>
      <w:r w:rsidRPr="00802F66">
        <w:t xml:space="preserve">Study Group </w:t>
      </w:r>
      <w:r>
        <w:t xml:space="preserve">1 and 2 </w:t>
      </w:r>
      <w:r w:rsidRPr="00802F66">
        <w:t>Chair</w:t>
      </w:r>
      <w:r>
        <w:t>men</w:t>
      </w:r>
      <w:r w:rsidRPr="00802F66">
        <w:t xml:space="preserve"> for each annual study group meeting</w:t>
      </w:r>
      <w:r>
        <w:t>,</w:t>
      </w:r>
      <w:r w:rsidRPr="00802F66">
        <w:t xml:space="preserve"> who in turn </w:t>
      </w:r>
      <w:r>
        <w:t>will report</w:t>
      </w:r>
      <w:r w:rsidRPr="00802F66">
        <w:t xml:space="preserve"> the relevant information to the BDT Director. </w:t>
      </w:r>
      <w:r>
        <w:t>T</w:t>
      </w:r>
      <w:r w:rsidRPr="00802F66">
        <w:t xml:space="preserve">he BDT Director can </w:t>
      </w:r>
      <w:r>
        <w:t xml:space="preserve">then </w:t>
      </w:r>
      <w:r w:rsidRPr="00802F66">
        <w:t xml:space="preserve">send a summary of these findings to the BR Director </w:t>
      </w:r>
      <w:r>
        <w:t>which</w:t>
      </w:r>
      <w:r w:rsidRPr="00802F66">
        <w:t xml:space="preserve"> can</w:t>
      </w:r>
      <w:r>
        <w:t xml:space="preserve"> serve as the basis for a contribution to </w:t>
      </w:r>
      <w:r w:rsidRPr="00802F66">
        <w:t xml:space="preserve">TDAG on the implementation of </w:t>
      </w:r>
      <w:r>
        <w:t xml:space="preserve">WTDC </w:t>
      </w:r>
      <w:r w:rsidRPr="00802F66">
        <w:t>Resolution 9</w:t>
      </w:r>
      <w:r>
        <w:t xml:space="preserve"> each year.</w:t>
      </w:r>
    </w:p>
    <w:p w:rsidR="00684D4B" w:rsidRDefault="00684D4B" w:rsidP="00684D4B">
      <w:pPr>
        <w:spacing w:after="120"/>
        <w:rPr>
          <w:b/>
          <w:bCs/>
        </w:rPr>
      </w:pPr>
      <w:r>
        <w:rPr>
          <w:b/>
          <w:bCs/>
          <w:lang w:val="en-US" w:eastAsia="zh-CN"/>
        </w:rPr>
        <w:lastRenderedPageBreak/>
        <w:t xml:space="preserve">Annex 1: </w:t>
      </w:r>
      <w:r w:rsidRPr="001F560F">
        <w:rPr>
          <w:b/>
          <w:bCs/>
          <w:lang w:val="en-US" w:eastAsia="zh-CN"/>
        </w:rPr>
        <w:t xml:space="preserve">The </w:t>
      </w:r>
      <w:r>
        <w:rPr>
          <w:b/>
          <w:bCs/>
          <w:lang w:val="en-US" w:eastAsia="zh-CN"/>
        </w:rPr>
        <w:t>n</w:t>
      </w:r>
      <w:r w:rsidRPr="001F560F">
        <w:rPr>
          <w:b/>
          <w:bCs/>
          <w:lang w:val="en-US" w:eastAsia="zh-CN"/>
        </w:rPr>
        <w:t xml:space="preserve">eeds of the </w:t>
      </w:r>
      <w:r>
        <w:rPr>
          <w:b/>
          <w:bCs/>
          <w:lang w:val="en-US" w:eastAsia="zh-CN"/>
        </w:rPr>
        <w:t>d</w:t>
      </w:r>
      <w:r w:rsidRPr="001F560F">
        <w:rPr>
          <w:b/>
          <w:bCs/>
          <w:lang w:val="en-US" w:eastAsia="zh-CN"/>
        </w:rPr>
        <w:t xml:space="preserve">eveloping </w:t>
      </w:r>
      <w:r>
        <w:rPr>
          <w:b/>
          <w:bCs/>
          <w:lang w:val="en-US" w:eastAsia="zh-CN"/>
        </w:rPr>
        <w:t>c</w:t>
      </w:r>
      <w:r w:rsidRPr="001F560F">
        <w:rPr>
          <w:b/>
          <w:bCs/>
          <w:lang w:val="en-US" w:eastAsia="zh-CN"/>
        </w:rPr>
        <w:t xml:space="preserve">ountries as </w:t>
      </w:r>
      <w:r>
        <w:rPr>
          <w:b/>
          <w:bCs/>
          <w:lang w:val="en-US" w:eastAsia="zh-CN"/>
        </w:rPr>
        <w:t>s</w:t>
      </w:r>
      <w:r w:rsidRPr="001F560F">
        <w:rPr>
          <w:b/>
          <w:bCs/>
          <w:lang w:val="en-US" w:eastAsia="zh-CN"/>
        </w:rPr>
        <w:t xml:space="preserve">tated in </w:t>
      </w:r>
      <w:r>
        <w:rPr>
          <w:b/>
          <w:bCs/>
          <w:lang w:val="en-US" w:eastAsia="zh-CN"/>
        </w:rPr>
        <w:t xml:space="preserve">WTDC </w:t>
      </w:r>
      <w:r w:rsidRPr="001F560F">
        <w:rPr>
          <w:b/>
          <w:bCs/>
        </w:rPr>
        <w:t>Resolution 9 (Rev. Buenos Aires, 2017)</w:t>
      </w:r>
    </w:p>
    <w:p w:rsidR="00684D4B" w:rsidRPr="00802F66" w:rsidRDefault="00684D4B" w:rsidP="00684D4B">
      <w:pPr>
        <w:spacing w:after="120"/>
        <w:rPr>
          <w:b/>
          <w:bCs/>
          <w:lang w:val="en-US" w:eastAsia="zh-CN"/>
        </w:rPr>
      </w:pPr>
    </w:p>
    <w:tbl>
      <w:tblPr>
        <w:tblStyle w:val="TableGrid"/>
        <w:tblW w:w="5000" w:type="pct"/>
        <w:jc w:val="center"/>
        <w:tblLook w:val="04A0" w:firstRow="1" w:lastRow="0" w:firstColumn="1" w:lastColumn="0" w:noHBand="0" w:noVBand="1"/>
      </w:tblPr>
      <w:tblGrid>
        <w:gridCol w:w="1290"/>
        <w:gridCol w:w="8339"/>
      </w:tblGrid>
      <w:tr w:rsidR="00684D4B" w:rsidRPr="00D248AC" w:rsidTr="00B5640E">
        <w:trPr>
          <w:jc w:val="center"/>
        </w:trPr>
        <w:tc>
          <w:tcPr>
            <w:tcW w:w="670" w:type="pct"/>
          </w:tcPr>
          <w:p w:rsidR="00684D4B" w:rsidRPr="00D248AC" w:rsidRDefault="00684D4B" w:rsidP="00B5640E">
            <w:pPr>
              <w:spacing w:before="40" w:after="40"/>
              <w:jc w:val="center"/>
              <w:rPr>
                <w:b/>
                <w:bCs/>
              </w:rPr>
            </w:pPr>
            <w:r w:rsidRPr="00D248AC">
              <w:rPr>
                <w:b/>
                <w:bCs/>
              </w:rPr>
              <w:t xml:space="preserve">Need index </w:t>
            </w:r>
          </w:p>
        </w:tc>
        <w:tc>
          <w:tcPr>
            <w:tcW w:w="4330" w:type="pct"/>
          </w:tcPr>
          <w:p w:rsidR="00684D4B" w:rsidRPr="00D248AC" w:rsidRDefault="00684D4B" w:rsidP="00B5640E">
            <w:pPr>
              <w:spacing w:before="40" w:after="40"/>
              <w:jc w:val="center"/>
              <w:rPr>
                <w:b/>
                <w:bCs/>
              </w:rPr>
            </w:pPr>
            <w:r w:rsidRPr="00D248AC">
              <w:rPr>
                <w:b/>
                <w:bCs/>
              </w:rPr>
              <w:t>Description</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1</w:t>
            </w:r>
          </w:p>
        </w:tc>
        <w:tc>
          <w:tcPr>
            <w:tcW w:w="4330" w:type="pct"/>
          </w:tcPr>
          <w:p w:rsidR="00684D4B" w:rsidRPr="00D248AC" w:rsidRDefault="00684D4B" w:rsidP="00B5640E">
            <w:pPr>
              <w:spacing w:before="40" w:after="40"/>
            </w:pPr>
            <w:r w:rsidRPr="00D248AC">
              <w:t xml:space="preserve">Assistance in raising the awareness of national policy-makers as to the importance of effective spectrum management for a country's economic and social development </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2</w:t>
            </w:r>
          </w:p>
        </w:tc>
        <w:tc>
          <w:tcPr>
            <w:tcW w:w="4330" w:type="pct"/>
          </w:tcPr>
          <w:p w:rsidR="00684D4B" w:rsidRPr="00D248AC" w:rsidRDefault="00684D4B" w:rsidP="00B5640E">
            <w:pPr>
              <w:spacing w:before="40" w:after="40"/>
            </w:pPr>
            <w:r w:rsidRPr="00D248AC">
              <w:t xml:space="preserve">Training </w:t>
            </w:r>
            <w:r>
              <w:t xml:space="preserve">the staff </w:t>
            </w:r>
            <w:r w:rsidRPr="00D248AC">
              <w:t>and dissemination of available ITU documentation</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3</w:t>
            </w:r>
          </w:p>
        </w:tc>
        <w:tc>
          <w:tcPr>
            <w:tcW w:w="4330" w:type="pct"/>
          </w:tcPr>
          <w:p w:rsidR="00684D4B" w:rsidRPr="00D248AC" w:rsidRDefault="00684D4B" w:rsidP="00B5640E">
            <w:pPr>
              <w:spacing w:before="40" w:after="40"/>
            </w:pPr>
            <w:r w:rsidRPr="00D248AC">
              <w:t>Assistance in developing methodologies for establishing national tables of frequency allocations and spectrum redeployment</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4</w:t>
            </w:r>
          </w:p>
        </w:tc>
        <w:tc>
          <w:tcPr>
            <w:tcW w:w="4330" w:type="pct"/>
          </w:tcPr>
          <w:p w:rsidR="00684D4B" w:rsidRPr="00D248AC" w:rsidRDefault="00684D4B" w:rsidP="00B5640E">
            <w:pPr>
              <w:spacing w:before="40" w:after="40"/>
            </w:pPr>
            <w:r w:rsidRPr="00D248AC">
              <w:t>Assistance in setting up computerized frequency management and monitoring systems</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5</w:t>
            </w:r>
          </w:p>
        </w:tc>
        <w:tc>
          <w:tcPr>
            <w:tcW w:w="4330" w:type="pct"/>
          </w:tcPr>
          <w:p w:rsidR="00684D4B" w:rsidRPr="00D248AC" w:rsidRDefault="00684D4B" w:rsidP="00B5640E">
            <w:pPr>
              <w:spacing w:before="40" w:after="40"/>
            </w:pPr>
            <w:r w:rsidRPr="00D248AC">
              <w:t>Economic and financial aspects of spectrum management</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6</w:t>
            </w:r>
          </w:p>
        </w:tc>
        <w:tc>
          <w:tcPr>
            <w:tcW w:w="4330" w:type="pct"/>
          </w:tcPr>
          <w:p w:rsidR="00684D4B" w:rsidRPr="00D248AC" w:rsidRDefault="00684D4B" w:rsidP="00B5640E">
            <w:pPr>
              <w:spacing w:before="40" w:after="40"/>
            </w:pPr>
            <w:r w:rsidRPr="00D248AC">
              <w:t xml:space="preserve">Assistance with preparations for world </w:t>
            </w:r>
            <w:proofErr w:type="spellStart"/>
            <w:r w:rsidRPr="00D248AC">
              <w:t>radiocommunication</w:t>
            </w:r>
            <w:proofErr w:type="spellEnd"/>
            <w:r w:rsidRPr="00D248AC">
              <w:t xml:space="preserve"> conferences (WRC) and with follow-up and implementation of WRC decisions</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7</w:t>
            </w:r>
          </w:p>
        </w:tc>
        <w:tc>
          <w:tcPr>
            <w:tcW w:w="4330" w:type="pct"/>
          </w:tcPr>
          <w:p w:rsidR="00684D4B" w:rsidRPr="00D248AC" w:rsidRDefault="00684D4B" w:rsidP="00B5640E">
            <w:pPr>
              <w:spacing w:before="40" w:after="40"/>
            </w:pPr>
            <w:r w:rsidRPr="00D248AC">
              <w:t>Assistance with participation in the work of the relevant ITU-R study groups and their working parties</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8</w:t>
            </w:r>
          </w:p>
        </w:tc>
        <w:tc>
          <w:tcPr>
            <w:tcW w:w="4330" w:type="pct"/>
          </w:tcPr>
          <w:p w:rsidR="00684D4B" w:rsidRPr="00D248AC" w:rsidRDefault="00684D4B" w:rsidP="00B5640E">
            <w:pPr>
              <w:spacing w:before="40" w:after="40"/>
            </w:pPr>
            <w:r w:rsidRPr="00D248AC">
              <w:t>Transition to digital terrestrial television broadcasting</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9</w:t>
            </w:r>
          </w:p>
        </w:tc>
        <w:tc>
          <w:tcPr>
            <w:tcW w:w="4330" w:type="pct"/>
          </w:tcPr>
          <w:p w:rsidR="00684D4B" w:rsidRPr="00D248AC" w:rsidRDefault="00684D4B" w:rsidP="00B5640E">
            <w:pPr>
              <w:spacing w:before="40" w:after="40"/>
            </w:pPr>
            <w:r w:rsidRPr="00D248AC">
              <w:t>Assistance in identifying the most efficient ways to utilize the digital dividend</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10</w:t>
            </w:r>
          </w:p>
        </w:tc>
        <w:tc>
          <w:tcPr>
            <w:tcW w:w="4330" w:type="pct"/>
          </w:tcPr>
          <w:p w:rsidR="00684D4B" w:rsidRPr="00D248AC" w:rsidRDefault="00684D4B" w:rsidP="00B5640E">
            <w:pPr>
              <w:spacing w:before="40" w:after="40"/>
            </w:pPr>
            <w:r>
              <w:t>Identification of e</w:t>
            </w:r>
            <w:r w:rsidRPr="00D248AC">
              <w:t>merging technologies and approaches in using spectrum</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11</w:t>
            </w:r>
          </w:p>
        </w:tc>
        <w:tc>
          <w:tcPr>
            <w:tcW w:w="4330" w:type="pct"/>
          </w:tcPr>
          <w:p w:rsidR="00684D4B" w:rsidRPr="00D248AC" w:rsidRDefault="00684D4B" w:rsidP="00B5640E">
            <w:pPr>
              <w:spacing w:before="40" w:after="40"/>
            </w:pPr>
            <w:r w:rsidRPr="00D248AC">
              <w:t>Innovative ways of spectrum licensing</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12</w:t>
            </w:r>
          </w:p>
        </w:tc>
        <w:tc>
          <w:tcPr>
            <w:tcW w:w="4330" w:type="pct"/>
          </w:tcPr>
          <w:p w:rsidR="00684D4B" w:rsidRPr="00D248AC" w:rsidRDefault="00684D4B" w:rsidP="00B5640E">
            <w:pPr>
              <w:spacing w:before="40" w:after="40"/>
            </w:pPr>
            <w:r w:rsidRPr="00D248AC">
              <w:t>Assistance with interference caused by devices in derogation of national spectrum allocations</w:t>
            </w:r>
          </w:p>
        </w:tc>
      </w:tr>
      <w:tr w:rsidR="00684D4B" w:rsidRPr="00D248AC" w:rsidTr="00B5640E">
        <w:trPr>
          <w:jc w:val="center"/>
        </w:trPr>
        <w:tc>
          <w:tcPr>
            <w:tcW w:w="670" w:type="pct"/>
          </w:tcPr>
          <w:p w:rsidR="00684D4B" w:rsidRPr="005B7305" w:rsidRDefault="00684D4B" w:rsidP="00B5640E">
            <w:pPr>
              <w:spacing w:before="40" w:after="40"/>
              <w:rPr>
                <w:b/>
                <w:bCs/>
                <w:color w:val="0070C0"/>
              </w:rPr>
            </w:pPr>
            <w:r w:rsidRPr="005B7305">
              <w:rPr>
                <w:b/>
                <w:bCs/>
                <w:color w:val="0070C0"/>
              </w:rPr>
              <w:t>Need 13</w:t>
            </w:r>
          </w:p>
        </w:tc>
        <w:tc>
          <w:tcPr>
            <w:tcW w:w="4330" w:type="pct"/>
          </w:tcPr>
          <w:p w:rsidR="00684D4B" w:rsidRPr="00D248AC" w:rsidRDefault="00684D4B" w:rsidP="00B5640E">
            <w:pPr>
              <w:spacing w:before="40" w:after="40"/>
            </w:pPr>
            <w:r w:rsidRPr="00D248AC">
              <w:t>Assistance in resolving seasonal interference caused by anomalous propagation of radio waves</w:t>
            </w:r>
          </w:p>
        </w:tc>
      </w:tr>
    </w:tbl>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684D4B">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B1" w:rsidRDefault="00522EB1">
      <w:r>
        <w:separator/>
      </w:r>
    </w:p>
  </w:endnote>
  <w:endnote w:type="continuationSeparator" w:id="0">
    <w:p w:rsidR="00522EB1" w:rsidRDefault="005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DF38A8">
      <w:rPr>
        <w:noProof/>
      </w:rPr>
      <w:t>02.04.19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07" w:rsidRDefault="003E3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684D4B" w:rsidRPr="005241FB" w:rsidTr="00684D4B">
      <w:tc>
        <w:tcPr>
          <w:tcW w:w="1418" w:type="dxa"/>
          <w:tcBorders>
            <w:top w:val="single" w:sz="4" w:space="0" w:color="000000"/>
          </w:tcBorders>
          <w:shd w:val="clear" w:color="auto" w:fill="auto"/>
        </w:tcPr>
        <w:p w:rsidR="00684D4B" w:rsidRPr="005241FB" w:rsidRDefault="00684D4B" w:rsidP="00684D4B">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684D4B" w:rsidRPr="005241FB" w:rsidRDefault="00684D4B" w:rsidP="00684D4B">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684D4B" w:rsidRPr="00B3455A" w:rsidRDefault="00684D4B" w:rsidP="00684D4B">
          <w:pPr>
            <w:pStyle w:val="FirstFooter"/>
            <w:tabs>
              <w:tab w:val="left" w:pos="2302"/>
            </w:tabs>
            <w:ind w:left="2302" w:hanging="2302"/>
            <w:rPr>
              <w:sz w:val="18"/>
              <w:szCs w:val="18"/>
            </w:rPr>
          </w:pPr>
          <w:r w:rsidRPr="00297359">
            <w:rPr>
              <w:sz w:val="18"/>
              <w:szCs w:val="18"/>
            </w:rPr>
            <w:t xml:space="preserve">Ms Fleur Regina </w:t>
          </w:r>
          <w:proofErr w:type="spellStart"/>
          <w:r w:rsidRPr="00297359">
            <w:rPr>
              <w:sz w:val="18"/>
              <w:szCs w:val="18"/>
            </w:rPr>
            <w:t>Assoumou</w:t>
          </w:r>
          <w:proofErr w:type="spellEnd"/>
          <w:r w:rsidRPr="00297359">
            <w:rPr>
              <w:sz w:val="18"/>
              <w:szCs w:val="18"/>
            </w:rPr>
            <w:t xml:space="preserve"> </w:t>
          </w:r>
          <w:proofErr w:type="spellStart"/>
          <w:r w:rsidRPr="00297359">
            <w:rPr>
              <w:sz w:val="18"/>
              <w:szCs w:val="18"/>
            </w:rPr>
            <w:t>Bessou</w:t>
          </w:r>
          <w:proofErr w:type="spellEnd"/>
          <w:r w:rsidRPr="00B3455A">
            <w:rPr>
              <w:sz w:val="18"/>
              <w:szCs w:val="18"/>
            </w:rPr>
            <w:t>, Chairman, ITU-D Study Group 1</w:t>
          </w:r>
        </w:p>
      </w:tc>
    </w:tr>
    <w:tr w:rsidR="00684D4B" w:rsidRPr="005241FB" w:rsidTr="00684D4B">
      <w:tc>
        <w:tcPr>
          <w:tcW w:w="1418" w:type="dxa"/>
          <w:shd w:val="clear" w:color="auto" w:fill="auto"/>
        </w:tcPr>
        <w:p w:rsidR="00684D4B" w:rsidRPr="005241FB" w:rsidRDefault="00684D4B" w:rsidP="00684D4B">
          <w:pPr>
            <w:pStyle w:val="FirstFooter"/>
            <w:tabs>
              <w:tab w:val="left" w:pos="1559"/>
              <w:tab w:val="left" w:pos="3828"/>
            </w:tabs>
            <w:rPr>
              <w:sz w:val="20"/>
              <w:lang w:val="en-US"/>
            </w:rPr>
          </w:pPr>
        </w:p>
      </w:tc>
      <w:tc>
        <w:tcPr>
          <w:tcW w:w="2518" w:type="dxa"/>
          <w:shd w:val="clear" w:color="auto" w:fill="auto"/>
        </w:tcPr>
        <w:p w:rsidR="00684D4B" w:rsidRPr="005241FB" w:rsidRDefault="00684D4B" w:rsidP="00684D4B">
          <w:pPr>
            <w:pStyle w:val="FirstFooter"/>
            <w:tabs>
              <w:tab w:val="left" w:pos="2302"/>
            </w:tabs>
            <w:ind w:left="2302" w:hanging="2302"/>
            <w:rPr>
              <w:sz w:val="20"/>
              <w:lang w:val="en-US"/>
            </w:rPr>
          </w:pPr>
          <w:r w:rsidRPr="005241FB">
            <w:rPr>
              <w:sz w:val="20"/>
              <w:lang w:val="en-US"/>
            </w:rPr>
            <w:t>Tel:</w:t>
          </w:r>
        </w:p>
      </w:tc>
      <w:tc>
        <w:tcPr>
          <w:tcW w:w="5987" w:type="dxa"/>
        </w:tcPr>
        <w:p w:rsidR="00684D4B" w:rsidRPr="00B3455A" w:rsidRDefault="00684D4B" w:rsidP="00684D4B">
          <w:pPr>
            <w:pStyle w:val="FirstFooter"/>
            <w:tabs>
              <w:tab w:val="left" w:pos="2302"/>
            </w:tabs>
            <w:ind w:left="2302" w:hanging="2302"/>
            <w:rPr>
              <w:sz w:val="18"/>
              <w:szCs w:val="18"/>
            </w:rPr>
          </w:pPr>
          <w:r w:rsidRPr="00B3455A">
            <w:rPr>
              <w:sz w:val="18"/>
              <w:szCs w:val="18"/>
            </w:rPr>
            <w:t>+225 20 3458 80</w:t>
          </w:r>
        </w:p>
      </w:tc>
    </w:tr>
    <w:tr w:rsidR="00684D4B" w:rsidRPr="005241FB" w:rsidTr="00684D4B">
      <w:tc>
        <w:tcPr>
          <w:tcW w:w="1418" w:type="dxa"/>
          <w:tcBorders>
            <w:bottom w:val="single" w:sz="4" w:space="0" w:color="auto"/>
          </w:tcBorders>
          <w:shd w:val="clear" w:color="auto" w:fill="auto"/>
        </w:tcPr>
        <w:p w:rsidR="00684D4B" w:rsidRPr="005241FB" w:rsidRDefault="00684D4B" w:rsidP="00684D4B">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684D4B" w:rsidRPr="005241FB" w:rsidRDefault="00684D4B" w:rsidP="00684D4B">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684D4B" w:rsidRPr="00B3455A" w:rsidRDefault="00067FEB" w:rsidP="00684D4B">
          <w:pPr>
            <w:pStyle w:val="FirstFooter"/>
            <w:tabs>
              <w:tab w:val="left" w:pos="2302"/>
            </w:tabs>
            <w:spacing w:after="40"/>
            <w:ind w:left="2302" w:hanging="2302"/>
            <w:rPr>
              <w:sz w:val="18"/>
              <w:szCs w:val="18"/>
            </w:rPr>
          </w:pPr>
          <w:hyperlink r:id="rId1" w:history="1">
            <w:r w:rsidR="00684D4B" w:rsidRPr="00B3455A">
              <w:rPr>
                <w:rStyle w:val="Hyperlink"/>
                <w:sz w:val="18"/>
                <w:szCs w:val="18"/>
              </w:rPr>
              <w:t>bessou.regina@artci.ci</w:t>
            </w:r>
          </w:hyperlink>
        </w:p>
      </w:tc>
    </w:tr>
    <w:tr w:rsidR="00684D4B" w:rsidRPr="005241FB" w:rsidTr="00684D4B">
      <w:tc>
        <w:tcPr>
          <w:tcW w:w="1418" w:type="dxa"/>
          <w:tcBorders>
            <w:top w:val="single" w:sz="4" w:space="0" w:color="auto"/>
          </w:tcBorders>
          <w:shd w:val="clear" w:color="auto" w:fill="auto"/>
        </w:tcPr>
        <w:p w:rsidR="00684D4B" w:rsidRPr="005241FB" w:rsidRDefault="00684D4B" w:rsidP="00684D4B">
          <w:pPr>
            <w:pStyle w:val="FirstFooter"/>
            <w:tabs>
              <w:tab w:val="left" w:pos="1559"/>
              <w:tab w:val="left" w:pos="3828"/>
            </w:tabs>
            <w:rPr>
              <w:sz w:val="20"/>
              <w:lang w:val="fr-CH"/>
            </w:rPr>
          </w:pPr>
          <w:r w:rsidRPr="005241FB">
            <w:rPr>
              <w:sz w:val="20"/>
              <w:lang w:val="fr-CH"/>
            </w:rPr>
            <w:t>Contact:</w:t>
          </w:r>
        </w:p>
      </w:tc>
      <w:tc>
        <w:tcPr>
          <w:tcW w:w="2518" w:type="dxa"/>
          <w:tcBorders>
            <w:top w:val="single" w:sz="4" w:space="0" w:color="auto"/>
          </w:tcBorders>
          <w:shd w:val="clear" w:color="auto" w:fill="auto"/>
        </w:tcPr>
        <w:p w:rsidR="00684D4B" w:rsidRPr="005241FB" w:rsidRDefault="00684D4B" w:rsidP="00684D4B">
          <w:pPr>
            <w:pStyle w:val="FirstFooter"/>
            <w:tabs>
              <w:tab w:val="left" w:pos="2302"/>
            </w:tabs>
            <w:rPr>
              <w:sz w:val="20"/>
              <w:lang w:val="en-US"/>
            </w:rPr>
          </w:pPr>
          <w:r w:rsidRPr="005241FB">
            <w:rPr>
              <w:sz w:val="20"/>
              <w:lang w:val="en-US"/>
            </w:rPr>
            <w:t>Name/Organization/Entity:</w:t>
          </w:r>
        </w:p>
      </w:tc>
      <w:tc>
        <w:tcPr>
          <w:tcW w:w="5987" w:type="dxa"/>
          <w:tcBorders>
            <w:top w:val="single" w:sz="4" w:space="0" w:color="auto"/>
          </w:tcBorders>
        </w:tcPr>
        <w:p w:rsidR="00684D4B" w:rsidRPr="009359B8" w:rsidRDefault="00684D4B" w:rsidP="00684D4B">
          <w:pPr>
            <w:pStyle w:val="FirstFooter"/>
            <w:tabs>
              <w:tab w:val="left" w:pos="2302"/>
            </w:tabs>
            <w:ind w:left="2302" w:hanging="2302"/>
            <w:rPr>
              <w:sz w:val="18"/>
              <w:szCs w:val="18"/>
              <w:highlight w:val="yellow"/>
              <w:lang w:val="en-US"/>
            </w:rPr>
          </w:pPr>
          <w:proofErr w:type="spellStart"/>
          <w:r>
            <w:rPr>
              <w:sz w:val="18"/>
              <w:szCs w:val="18"/>
              <w:lang w:val="en-US"/>
            </w:rPr>
            <w:t>M</w:t>
          </w:r>
          <w:r w:rsidRPr="004F6CC8">
            <w:rPr>
              <w:sz w:val="18"/>
              <w:szCs w:val="18"/>
              <w:lang w:val="en-US"/>
            </w:rPr>
            <w:t>r</w:t>
          </w:r>
          <w:proofErr w:type="spellEnd"/>
          <w:r w:rsidRPr="004F6CC8">
            <w:rPr>
              <w:sz w:val="18"/>
              <w:szCs w:val="18"/>
              <w:lang w:val="en-US"/>
            </w:rPr>
            <w:t xml:space="preserve"> Ahmad Reza </w:t>
          </w:r>
          <w:proofErr w:type="spellStart"/>
          <w:r w:rsidRPr="004F6CC8">
            <w:rPr>
              <w:sz w:val="18"/>
              <w:szCs w:val="18"/>
              <w:lang w:val="en-US"/>
            </w:rPr>
            <w:t>Sharafat</w:t>
          </w:r>
          <w:proofErr w:type="spellEnd"/>
          <w:r w:rsidRPr="004F6CC8">
            <w:rPr>
              <w:sz w:val="18"/>
              <w:szCs w:val="18"/>
              <w:lang w:val="en-US"/>
            </w:rPr>
            <w:t>, Chairman, ITU-D Study Group 2</w:t>
          </w:r>
        </w:p>
      </w:tc>
    </w:tr>
    <w:tr w:rsidR="00684D4B" w:rsidRPr="005241FB" w:rsidTr="00684D4B">
      <w:tc>
        <w:tcPr>
          <w:tcW w:w="1418" w:type="dxa"/>
          <w:shd w:val="clear" w:color="auto" w:fill="auto"/>
        </w:tcPr>
        <w:p w:rsidR="00684D4B" w:rsidRPr="005241FB" w:rsidRDefault="00684D4B" w:rsidP="00684D4B">
          <w:pPr>
            <w:pStyle w:val="FirstFooter"/>
            <w:tabs>
              <w:tab w:val="left" w:pos="1559"/>
              <w:tab w:val="left" w:pos="3828"/>
            </w:tabs>
            <w:rPr>
              <w:sz w:val="20"/>
            </w:rPr>
          </w:pPr>
        </w:p>
      </w:tc>
      <w:tc>
        <w:tcPr>
          <w:tcW w:w="2518" w:type="dxa"/>
          <w:shd w:val="clear" w:color="auto" w:fill="auto"/>
        </w:tcPr>
        <w:p w:rsidR="00684D4B" w:rsidRPr="005241FB" w:rsidRDefault="00684D4B" w:rsidP="00684D4B">
          <w:pPr>
            <w:pStyle w:val="FirstFooter"/>
            <w:tabs>
              <w:tab w:val="left" w:pos="2302"/>
            </w:tabs>
            <w:rPr>
              <w:sz w:val="20"/>
              <w:lang w:val="en-US"/>
            </w:rPr>
          </w:pPr>
          <w:r w:rsidRPr="005241FB">
            <w:rPr>
              <w:sz w:val="20"/>
              <w:lang w:val="en-US"/>
            </w:rPr>
            <w:t>Tel:</w:t>
          </w:r>
        </w:p>
      </w:tc>
      <w:tc>
        <w:tcPr>
          <w:tcW w:w="5987" w:type="dxa"/>
        </w:tcPr>
        <w:p w:rsidR="00684D4B" w:rsidRPr="009359B8" w:rsidRDefault="00684D4B" w:rsidP="00684D4B">
          <w:pPr>
            <w:pStyle w:val="FirstFooter"/>
            <w:tabs>
              <w:tab w:val="left" w:pos="2302"/>
            </w:tabs>
            <w:rPr>
              <w:sz w:val="18"/>
              <w:szCs w:val="18"/>
              <w:highlight w:val="yellow"/>
              <w:lang w:val="en-US"/>
            </w:rPr>
          </w:pPr>
          <w:r w:rsidRPr="004F6CC8">
            <w:rPr>
              <w:sz w:val="18"/>
              <w:szCs w:val="18"/>
              <w:lang w:val="en-US"/>
            </w:rPr>
            <w:t>+98 912 106 1716</w:t>
          </w:r>
          <w:r>
            <w:rPr>
              <w:sz w:val="18"/>
              <w:szCs w:val="18"/>
              <w:lang w:val="en-US"/>
            </w:rPr>
            <w:t xml:space="preserve"> (Iran); </w:t>
          </w:r>
          <w:r w:rsidRPr="00431202">
            <w:rPr>
              <w:sz w:val="18"/>
              <w:szCs w:val="18"/>
              <w:lang w:val="en-US"/>
            </w:rPr>
            <w:t xml:space="preserve">+41 76 </w:t>
          </w:r>
          <w:r>
            <w:rPr>
              <w:sz w:val="18"/>
              <w:szCs w:val="18"/>
              <w:lang w:val="en-US"/>
            </w:rPr>
            <w:t>622 7447 (Switzerland)</w:t>
          </w:r>
        </w:p>
      </w:tc>
    </w:tr>
    <w:tr w:rsidR="00684D4B" w:rsidRPr="005241FB" w:rsidTr="00684D4B">
      <w:trPr>
        <w:trHeight w:val="80"/>
      </w:trPr>
      <w:tc>
        <w:tcPr>
          <w:tcW w:w="1418" w:type="dxa"/>
          <w:shd w:val="clear" w:color="auto" w:fill="auto"/>
        </w:tcPr>
        <w:p w:rsidR="00684D4B" w:rsidRPr="005C32E6" w:rsidRDefault="00684D4B" w:rsidP="00684D4B">
          <w:pPr>
            <w:pStyle w:val="FirstFooter"/>
            <w:tabs>
              <w:tab w:val="left" w:pos="1559"/>
              <w:tab w:val="left" w:pos="3828"/>
            </w:tabs>
            <w:rPr>
              <w:sz w:val="20"/>
            </w:rPr>
          </w:pPr>
        </w:p>
      </w:tc>
      <w:tc>
        <w:tcPr>
          <w:tcW w:w="2518" w:type="dxa"/>
          <w:shd w:val="clear" w:color="auto" w:fill="auto"/>
        </w:tcPr>
        <w:p w:rsidR="00684D4B" w:rsidRPr="005241FB" w:rsidRDefault="00684D4B" w:rsidP="00684D4B">
          <w:pPr>
            <w:pStyle w:val="FirstFooter"/>
            <w:tabs>
              <w:tab w:val="left" w:pos="2302"/>
            </w:tabs>
            <w:rPr>
              <w:sz w:val="20"/>
              <w:lang w:val="en-US"/>
            </w:rPr>
          </w:pPr>
          <w:r w:rsidRPr="005241FB">
            <w:rPr>
              <w:sz w:val="20"/>
              <w:lang w:val="en-US"/>
            </w:rPr>
            <w:t>E-mail:</w:t>
          </w:r>
        </w:p>
      </w:tc>
      <w:tc>
        <w:tcPr>
          <w:tcW w:w="5987" w:type="dxa"/>
        </w:tcPr>
        <w:p w:rsidR="00684D4B" w:rsidRPr="00802F66" w:rsidRDefault="00067FEB" w:rsidP="00684D4B">
          <w:pPr>
            <w:pStyle w:val="FirstFooter"/>
            <w:tabs>
              <w:tab w:val="left" w:pos="2302"/>
            </w:tabs>
            <w:spacing w:after="120"/>
            <w:rPr>
              <w:color w:val="0000FF" w:themeColor="hyperlink"/>
              <w:sz w:val="18"/>
              <w:szCs w:val="18"/>
              <w:u w:val="single"/>
              <w:lang w:val="en-US"/>
            </w:rPr>
          </w:pPr>
          <w:hyperlink r:id="rId2" w:history="1">
            <w:r w:rsidR="00684D4B" w:rsidRPr="00FF5EBA">
              <w:rPr>
                <w:rStyle w:val="Hyperlink"/>
                <w:sz w:val="18"/>
                <w:szCs w:val="18"/>
                <w:lang w:val="en-US"/>
              </w:rPr>
              <w:t>ahmad.sharafat@gmail.com</w:t>
            </w:r>
          </w:hyperlink>
        </w:p>
      </w:tc>
    </w:tr>
  </w:tbl>
  <w:p w:rsidR="00684D4B" w:rsidRPr="003E3B07" w:rsidRDefault="00067FEB" w:rsidP="003E3B07">
    <w:pPr>
      <w:pStyle w:val="Footer"/>
      <w:spacing w:before="120"/>
      <w:jc w:val="center"/>
      <w:rPr>
        <w:sz w:val="20"/>
      </w:rPr>
    </w:pPr>
    <w:hyperlink r:id="rId3" w:history="1">
      <w:r w:rsidR="003E3B07" w:rsidRPr="003E3B07">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B1" w:rsidRDefault="00522EB1">
      <w:r>
        <w:rPr>
          <w:b/>
        </w:rPr>
        <w:t>_______________</w:t>
      </w:r>
    </w:p>
  </w:footnote>
  <w:footnote w:type="continuationSeparator" w:id="0">
    <w:p w:rsidR="00522EB1" w:rsidRDefault="0052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07" w:rsidRDefault="003E3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684D4B" w:rsidRDefault="00684D4B" w:rsidP="00684D4B">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40</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67FEB">
      <w:rPr>
        <w:noProof/>
        <w:sz w:val="22"/>
        <w:szCs w:val="22"/>
        <w:lang w:val="es-ES_tradnl"/>
      </w:rPr>
      <w:t>5</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2D0297" w:rsidRDefault="00A62C60" w:rsidP="001F6050">
    <w:pPr>
      <w:tabs>
        <w:tab w:val="clear" w:pos="1134"/>
        <w:tab w:val="clear" w:pos="1871"/>
        <w:tab w:val="clear" w:pos="2268"/>
        <w:tab w:val="center" w:pos="6946"/>
        <w:tab w:val="right" w:pos="14003"/>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E6B8A"/>
    <w:multiLevelType w:val="hybridMultilevel"/>
    <w:tmpl w:val="A6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95DD7"/>
    <w:multiLevelType w:val="hybridMultilevel"/>
    <w:tmpl w:val="49D62F00"/>
    <w:lvl w:ilvl="0" w:tplc="8AA453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6"/>
  </w:num>
  <w:num w:numId="3">
    <w:abstractNumId w:val="19"/>
  </w:num>
  <w:num w:numId="4">
    <w:abstractNumId w:val="23"/>
  </w:num>
  <w:num w:numId="5">
    <w:abstractNumId w:val="7"/>
  </w:num>
  <w:num w:numId="6">
    <w:abstractNumId w:val="11"/>
  </w:num>
  <w:num w:numId="7">
    <w:abstractNumId w:val="17"/>
  </w:num>
  <w:num w:numId="8">
    <w:abstractNumId w:val="0"/>
  </w:num>
  <w:num w:numId="9">
    <w:abstractNumId w:val="10"/>
  </w:num>
  <w:num w:numId="10">
    <w:abstractNumId w:val="8"/>
  </w:num>
  <w:num w:numId="11">
    <w:abstractNumId w:val="22"/>
  </w:num>
  <w:num w:numId="12">
    <w:abstractNumId w:val="24"/>
  </w:num>
  <w:num w:numId="13">
    <w:abstractNumId w:val="15"/>
  </w:num>
  <w:num w:numId="14">
    <w:abstractNumId w:val="13"/>
  </w:num>
  <w:num w:numId="15">
    <w:abstractNumId w:val="12"/>
  </w:num>
  <w:num w:numId="16">
    <w:abstractNumId w:val="9"/>
  </w:num>
  <w:num w:numId="17">
    <w:abstractNumId w:val="1"/>
  </w:num>
  <w:num w:numId="18">
    <w:abstractNumId w:val="6"/>
  </w:num>
  <w:num w:numId="19">
    <w:abstractNumId w:val="18"/>
  </w:num>
  <w:num w:numId="20">
    <w:abstractNumId w:val="3"/>
  </w:num>
  <w:num w:numId="21">
    <w:abstractNumId w:val="21"/>
  </w:num>
  <w:num w:numId="22">
    <w:abstractNumId w:val="14"/>
  </w:num>
  <w:num w:numId="23">
    <w:abstractNumId w:val="16"/>
  </w:num>
  <w:num w:numId="24">
    <w:abstractNumId w:val="25"/>
  </w:num>
  <w:num w:numId="25">
    <w:abstractNumId w:val="2"/>
  </w:num>
  <w:num w:numId="26">
    <w:abstractNumId w:val="5"/>
  </w:num>
  <w:num w:numId="2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67FEB"/>
    <w:rsid w:val="00075C63"/>
    <w:rsid w:val="00077239"/>
    <w:rsid w:val="00080905"/>
    <w:rsid w:val="000822BE"/>
    <w:rsid w:val="00086491"/>
    <w:rsid w:val="00091346"/>
    <w:rsid w:val="000D4875"/>
    <w:rsid w:val="000F73FF"/>
    <w:rsid w:val="00114CF7"/>
    <w:rsid w:val="00123B68"/>
    <w:rsid w:val="00126F2E"/>
    <w:rsid w:val="001333B9"/>
    <w:rsid w:val="00146F6F"/>
    <w:rsid w:val="00147DA1"/>
    <w:rsid w:val="00152957"/>
    <w:rsid w:val="0018673E"/>
    <w:rsid w:val="00187BD9"/>
    <w:rsid w:val="00190B55"/>
    <w:rsid w:val="00194CFB"/>
    <w:rsid w:val="001B2ED3"/>
    <w:rsid w:val="001B7EA3"/>
    <w:rsid w:val="001C3B5F"/>
    <w:rsid w:val="001D058F"/>
    <w:rsid w:val="001D16F0"/>
    <w:rsid w:val="001D385E"/>
    <w:rsid w:val="001E252D"/>
    <w:rsid w:val="001F6050"/>
    <w:rsid w:val="002009EA"/>
    <w:rsid w:val="00202CA0"/>
    <w:rsid w:val="002154A6"/>
    <w:rsid w:val="002162CD"/>
    <w:rsid w:val="002255B3"/>
    <w:rsid w:val="00236E8A"/>
    <w:rsid w:val="00271316"/>
    <w:rsid w:val="002928BD"/>
    <w:rsid w:val="00296313"/>
    <w:rsid w:val="002B3C84"/>
    <w:rsid w:val="002D0297"/>
    <w:rsid w:val="002D58BE"/>
    <w:rsid w:val="003013EE"/>
    <w:rsid w:val="00317161"/>
    <w:rsid w:val="00330DCC"/>
    <w:rsid w:val="00335BE6"/>
    <w:rsid w:val="00351729"/>
    <w:rsid w:val="00377BD3"/>
    <w:rsid w:val="00382E92"/>
    <w:rsid w:val="00384088"/>
    <w:rsid w:val="0038489B"/>
    <w:rsid w:val="00384E7B"/>
    <w:rsid w:val="0039169B"/>
    <w:rsid w:val="003A7F8C"/>
    <w:rsid w:val="003B08BF"/>
    <w:rsid w:val="003B3981"/>
    <w:rsid w:val="003B532E"/>
    <w:rsid w:val="003B6F14"/>
    <w:rsid w:val="003D0F8B"/>
    <w:rsid w:val="003E3B07"/>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7B43"/>
    <w:rsid w:val="004D26CE"/>
    <w:rsid w:val="004D5D5C"/>
    <w:rsid w:val="0050139F"/>
    <w:rsid w:val="005034F3"/>
    <w:rsid w:val="00521223"/>
    <w:rsid w:val="00522EB1"/>
    <w:rsid w:val="00524DF1"/>
    <w:rsid w:val="00546225"/>
    <w:rsid w:val="0055140B"/>
    <w:rsid w:val="00554C4F"/>
    <w:rsid w:val="00561D72"/>
    <w:rsid w:val="005964AB"/>
    <w:rsid w:val="005B44F5"/>
    <w:rsid w:val="005C099A"/>
    <w:rsid w:val="005C31A5"/>
    <w:rsid w:val="005C32E6"/>
    <w:rsid w:val="005E10C9"/>
    <w:rsid w:val="005E61DD"/>
    <w:rsid w:val="005E6321"/>
    <w:rsid w:val="005F012D"/>
    <w:rsid w:val="005F37D9"/>
    <w:rsid w:val="006023DF"/>
    <w:rsid w:val="0064322F"/>
    <w:rsid w:val="00657DE0"/>
    <w:rsid w:val="0067199F"/>
    <w:rsid w:val="00677048"/>
    <w:rsid w:val="00684D4B"/>
    <w:rsid w:val="00685313"/>
    <w:rsid w:val="006907AB"/>
    <w:rsid w:val="006A6E9B"/>
    <w:rsid w:val="006A7504"/>
    <w:rsid w:val="006B4C2E"/>
    <w:rsid w:val="006B7C2A"/>
    <w:rsid w:val="006C23DA"/>
    <w:rsid w:val="006E3D45"/>
    <w:rsid w:val="006F6D0F"/>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11633"/>
    <w:rsid w:val="00821CEF"/>
    <w:rsid w:val="00827836"/>
    <w:rsid w:val="00832828"/>
    <w:rsid w:val="0083645A"/>
    <w:rsid w:val="00840B0F"/>
    <w:rsid w:val="008711AE"/>
    <w:rsid w:val="00872FC8"/>
    <w:rsid w:val="0087404B"/>
    <w:rsid w:val="008801D3"/>
    <w:rsid w:val="008845D0"/>
    <w:rsid w:val="008A51DA"/>
    <w:rsid w:val="008B43F2"/>
    <w:rsid w:val="008B61EA"/>
    <w:rsid w:val="008B6CFF"/>
    <w:rsid w:val="008C0FBE"/>
    <w:rsid w:val="008C2D57"/>
    <w:rsid w:val="008E7341"/>
    <w:rsid w:val="00910B26"/>
    <w:rsid w:val="009274B4"/>
    <w:rsid w:val="00934EA2"/>
    <w:rsid w:val="00944A5C"/>
    <w:rsid w:val="00952A66"/>
    <w:rsid w:val="009C2757"/>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AF407C"/>
    <w:rsid w:val="00B004E5"/>
    <w:rsid w:val="00B15F9D"/>
    <w:rsid w:val="00B243AF"/>
    <w:rsid w:val="00B62876"/>
    <w:rsid w:val="00B639E9"/>
    <w:rsid w:val="00B7112E"/>
    <w:rsid w:val="00B817CD"/>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0661"/>
    <w:rsid w:val="00C324A8"/>
    <w:rsid w:val="00C4520A"/>
    <w:rsid w:val="00C54517"/>
    <w:rsid w:val="00C64CD8"/>
    <w:rsid w:val="00C97C68"/>
    <w:rsid w:val="00CA1A47"/>
    <w:rsid w:val="00CB1214"/>
    <w:rsid w:val="00CC247A"/>
    <w:rsid w:val="00CE5E47"/>
    <w:rsid w:val="00CE6A95"/>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38A8"/>
    <w:rsid w:val="00DF6F8E"/>
    <w:rsid w:val="00E03C94"/>
    <w:rsid w:val="00E07105"/>
    <w:rsid w:val="00E26226"/>
    <w:rsid w:val="00E4165C"/>
    <w:rsid w:val="00E45D05"/>
    <w:rsid w:val="00E55816"/>
    <w:rsid w:val="00E55AEF"/>
    <w:rsid w:val="00E976C1"/>
    <w:rsid w:val="00EA12E5"/>
    <w:rsid w:val="00EE18A3"/>
    <w:rsid w:val="00EF2C99"/>
    <w:rsid w:val="00F02766"/>
    <w:rsid w:val="00F04067"/>
    <w:rsid w:val="00F052D0"/>
    <w:rsid w:val="00F05BD4"/>
    <w:rsid w:val="00F104EF"/>
    <w:rsid w:val="00F11A98"/>
    <w:rsid w:val="00F21A1D"/>
    <w:rsid w:val="00F21F2B"/>
    <w:rsid w:val="00F64F19"/>
    <w:rsid w:val="00F65C19"/>
    <w:rsid w:val="00F91E4B"/>
    <w:rsid w:val="00FB625D"/>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超?级链?,Style?,S"/>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ssou.regina@artci.c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un-ju.kim@itu.i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ad.sharafat@gmail.co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www.itu.int/en/ITU-D/Conferences/TDAG/Pages/TDAG24/default.aspx" TargetMode="External"/><Relationship Id="rId2" Type="http://schemas.openxmlformats.org/officeDocument/2006/relationships/hyperlink" Target="mailto:ahmad.sharafat@gmail.com" TargetMode="External"/><Relationship Id="rId1" Type="http://schemas.openxmlformats.org/officeDocument/2006/relationships/hyperlink" Target="mailto:bessou.regina@artc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161E5DB2-91C5-4C2A-BE41-9F0EBF3E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12241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3</cp:revision>
  <cp:lastPrinted>2011-08-24T07:41:00Z</cp:lastPrinted>
  <dcterms:created xsi:type="dcterms:W3CDTF">2019-04-02T19:43:00Z</dcterms:created>
  <dcterms:modified xsi:type="dcterms:W3CDTF">2019-04-02T19:43:00Z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