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86560B" w:rsidRPr="00957B6C" w14:paraId="7527648D" w14:textId="77777777" w:rsidTr="2D9C0B70">
        <w:trPr>
          <w:cantSplit/>
          <w:trHeight w:val="1134"/>
        </w:trPr>
        <w:tc>
          <w:tcPr>
            <w:tcW w:w="6804" w:type="dxa"/>
          </w:tcPr>
          <w:p w14:paraId="1E10409C" w14:textId="77777777" w:rsidR="0086560B" w:rsidRPr="00957B6C" w:rsidRDefault="0086560B" w:rsidP="0086560B">
            <w:pPr>
              <w:ind w:left="34"/>
              <w:rPr>
                <w:b/>
                <w:bCs/>
                <w:sz w:val="32"/>
                <w:szCs w:val="32"/>
              </w:rPr>
            </w:pPr>
            <w:bookmarkStart w:id="0" w:name="_GoBack"/>
            <w:bookmarkEnd w:id="0"/>
            <w:r w:rsidRPr="00957B6C">
              <w:rPr>
                <w:b/>
                <w:bCs/>
                <w:sz w:val="32"/>
                <w:szCs w:val="32"/>
              </w:rPr>
              <w:t>Telecommunication Development</w:t>
            </w:r>
            <w:r w:rsidRPr="00957B6C">
              <w:rPr>
                <w:b/>
                <w:bCs/>
                <w:sz w:val="32"/>
                <w:szCs w:val="32"/>
              </w:rPr>
              <w:br/>
              <w:t>Advisory Group (TDAG)</w:t>
            </w:r>
          </w:p>
          <w:p w14:paraId="708B56FE" w14:textId="77777777" w:rsidR="0086560B" w:rsidRPr="00957B6C" w:rsidRDefault="0086560B" w:rsidP="0086560B">
            <w:pPr>
              <w:tabs>
                <w:tab w:val="clear" w:pos="1134"/>
              </w:tabs>
              <w:spacing w:after="48" w:line="240" w:lineRule="atLeast"/>
              <w:ind w:left="34"/>
              <w:rPr>
                <w:rFonts w:cstheme="minorBidi"/>
                <w:b/>
                <w:bCs/>
                <w:color w:val="000000" w:themeColor="text1"/>
                <w:sz w:val="28"/>
                <w:szCs w:val="28"/>
              </w:rPr>
            </w:pPr>
            <w:r w:rsidRPr="00957B6C">
              <w:rPr>
                <w:b/>
                <w:bCs/>
                <w:sz w:val="26"/>
                <w:szCs w:val="26"/>
              </w:rPr>
              <w:t>24th Meeting, Geneva, 3-5 April 2019</w:t>
            </w:r>
          </w:p>
        </w:tc>
        <w:tc>
          <w:tcPr>
            <w:tcW w:w="3227" w:type="dxa"/>
          </w:tcPr>
          <w:p w14:paraId="2C954290" w14:textId="77777777" w:rsidR="0086560B" w:rsidRPr="00957B6C" w:rsidRDefault="0086560B" w:rsidP="0086560B">
            <w:pPr>
              <w:spacing w:before="0" w:line="240" w:lineRule="atLeast"/>
              <w:jc w:val="right"/>
              <w:rPr>
                <w:rFonts w:cstheme="minorHAnsi"/>
                <w:color w:val="000000" w:themeColor="text1"/>
              </w:rPr>
            </w:pPr>
            <w:bookmarkStart w:id="1" w:name="ditulogo"/>
            <w:bookmarkEnd w:id="1"/>
            <w:r w:rsidRPr="00957B6C">
              <w:rPr>
                <w:noProof/>
                <w:color w:val="3399FF"/>
                <w:lang w:eastAsia="zh-CN"/>
              </w:rPr>
              <w:drawing>
                <wp:inline distT="0" distB="0" distL="0" distR="0" wp14:anchorId="7082B40F" wp14:editId="6142A0E1">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FF74DD" w:rsidRPr="00957B6C" w14:paraId="772C725F" w14:textId="77777777" w:rsidTr="007709CE">
        <w:trPr>
          <w:cantSplit/>
        </w:trPr>
        <w:tc>
          <w:tcPr>
            <w:tcW w:w="6804" w:type="dxa"/>
            <w:tcBorders>
              <w:top w:val="single" w:sz="12" w:space="0" w:color="auto"/>
            </w:tcBorders>
          </w:tcPr>
          <w:p w14:paraId="0349780D" w14:textId="77777777" w:rsidR="00D83BF5" w:rsidRPr="00957B6C" w:rsidRDefault="00D83BF5" w:rsidP="00B951D0">
            <w:pPr>
              <w:spacing w:before="0" w:after="48" w:line="240" w:lineRule="atLeast"/>
              <w:rPr>
                <w:rFonts w:cstheme="minorHAnsi"/>
                <w:b/>
                <w:smallCaps/>
                <w:color w:val="000000" w:themeColor="text1"/>
                <w:sz w:val="20"/>
              </w:rPr>
            </w:pPr>
            <w:bookmarkStart w:id="2" w:name="dhead"/>
          </w:p>
        </w:tc>
        <w:tc>
          <w:tcPr>
            <w:tcW w:w="3227" w:type="dxa"/>
            <w:tcBorders>
              <w:top w:val="single" w:sz="12" w:space="0" w:color="auto"/>
            </w:tcBorders>
          </w:tcPr>
          <w:p w14:paraId="348F43E5" w14:textId="77777777" w:rsidR="00D83BF5" w:rsidRPr="00957B6C" w:rsidRDefault="00D83BF5" w:rsidP="00B951D0">
            <w:pPr>
              <w:spacing w:before="0" w:line="240" w:lineRule="atLeast"/>
              <w:rPr>
                <w:rFonts w:cstheme="minorHAnsi"/>
                <w:b/>
                <w:bCs/>
                <w:color w:val="000000" w:themeColor="text1"/>
                <w:szCs w:val="24"/>
              </w:rPr>
            </w:pPr>
          </w:p>
        </w:tc>
      </w:tr>
      <w:tr w:rsidR="0086560B" w:rsidRPr="00957B6C" w14:paraId="095D87E4" w14:textId="77777777" w:rsidTr="2D9C0B70">
        <w:trPr>
          <w:cantSplit/>
          <w:trHeight w:val="23"/>
        </w:trPr>
        <w:tc>
          <w:tcPr>
            <w:tcW w:w="6804" w:type="dxa"/>
            <w:shd w:val="clear" w:color="auto" w:fill="auto"/>
          </w:tcPr>
          <w:p w14:paraId="7F2C909B" w14:textId="77777777" w:rsidR="0086560B" w:rsidRPr="00957B6C" w:rsidRDefault="0086560B" w:rsidP="0086560B">
            <w:pPr>
              <w:pStyle w:val="Committee"/>
              <w:framePr w:hSpace="0" w:wrap="auto" w:hAnchor="text" w:yAlign="inline"/>
              <w:rPr>
                <w:color w:val="000000" w:themeColor="text1"/>
              </w:rPr>
            </w:pPr>
            <w:bookmarkStart w:id="3" w:name="dnum" w:colFirst="1" w:colLast="1"/>
            <w:bookmarkStart w:id="4" w:name="dmeeting" w:colFirst="0" w:colLast="0"/>
            <w:bookmarkEnd w:id="2"/>
          </w:p>
        </w:tc>
        <w:tc>
          <w:tcPr>
            <w:tcW w:w="3227" w:type="dxa"/>
          </w:tcPr>
          <w:p w14:paraId="6BB4924D" w14:textId="11691962" w:rsidR="0086560B" w:rsidRPr="00957B6C" w:rsidRDefault="0086560B" w:rsidP="00BF5283">
            <w:pPr>
              <w:tabs>
                <w:tab w:val="left" w:pos="851"/>
              </w:tabs>
              <w:spacing w:before="0" w:line="240" w:lineRule="atLeast"/>
              <w:rPr>
                <w:rFonts w:cstheme="minorBidi"/>
                <w:color w:val="000000" w:themeColor="text1"/>
              </w:rPr>
            </w:pPr>
            <w:r w:rsidRPr="00957B6C">
              <w:rPr>
                <w:b/>
                <w:bCs/>
              </w:rPr>
              <w:t xml:space="preserve">Document </w:t>
            </w:r>
            <w:bookmarkStart w:id="5" w:name="DocRef1"/>
            <w:bookmarkEnd w:id="5"/>
            <w:r w:rsidRPr="00957B6C">
              <w:rPr>
                <w:b/>
                <w:bCs/>
              </w:rPr>
              <w:t>TDAG-19/</w:t>
            </w:r>
            <w:bookmarkStart w:id="6" w:name="DocNo1"/>
            <w:bookmarkEnd w:id="6"/>
            <w:r w:rsidR="00803756">
              <w:rPr>
                <w:b/>
                <w:bCs/>
              </w:rPr>
              <w:t>4</w:t>
            </w:r>
            <w:r w:rsidR="00BF5283">
              <w:rPr>
                <w:b/>
                <w:bCs/>
              </w:rPr>
              <w:t>4</w:t>
            </w:r>
            <w:r w:rsidRPr="00957B6C">
              <w:rPr>
                <w:b/>
                <w:bCs/>
              </w:rPr>
              <w:t>-E</w:t>
            </w:r>
          </w:p>
        </w:tc>
      </w:tr>
      <w:tr w:rsidR="0086560B" w:rsidRPr="00957B6C" w14:paraId="2F3E511E" w14:textId="77777777" w:rsidTr="2D9C0B70">
        <w:trPr>
          <w:cantSplit/>
          <w:trHeight w:val="23"/>
        </w:trPr>
        <w:tc>
          <w:tcPr>
            <w:tcW w:w="6804" w:type="dxa"/>
            <w:shd w:val="clear" w:color="auto" w:fill="auto"/>
          </w:tcPr>
          <w:p w14:paraId="6432E94D" w14:textId="77777777" w:rsidR="0086560B" w:rsidRPr="00957B6C" w:rsidRDefault="0086560B" w:rsidP="0086560B">
            <w:pPr>
              <w:tabs>
                <w:tab w:val="left" w:pos="851"/>
              </w:tabs>
              <w:spacing w:before="0" w:line="240" w:lineRule="atLeast"/>
              <w:rPr>
                <w:rFonts w:cstheme="minorHAnsi"/>
                <w:b/>
                <w:color w:val="000000" w:themeColor="text1"/>
                <w:szCs w:val="24"/>
              </w:rPr>
            </w:pPr>
            <w:bookmarkStart w:id="7" w:name="ddate" w:colFirst="1" w:colLast="1"/>
            <w:bookmarkStart w:id="8" w:name="dblank" w:colFirst="0" w:colLast="0"/>
            <w:bookmarkEnd w:id="3"/>
            <w:bookmarkEnd w:id="4"/>
          </w:p>
        </w:tc>
        <w:tc>
          <w:tcPr>
            <w:tcW w:w="3227" w:type="dxa"/>
          </w:tcPr>
          <w:p w14:paraId="102D2703" w14:textId="4B10950B" w:rsidR="0086560B" w:rsidRPr="00957B6C" w:rsidRDefault="00906823" w:rsidP="00BF5283">
            <w:pPr>
              <w:spacing w:before="0" w:line="240" w:lineRule="atLeast"/>
              <w:rPr>
                <w:rFonts w:cstheme="minorBidi"/>
                <w:color w:val="000000" w:themeColor="text1"/>
              </w:rPr>
            </w:pPr>
            <w:r>
              <w:rPr>
                <w:b/>
                <w:bCs/>
                <w:szCs w:val="28"/>
              </w:rPr>
              <w:t>9</w:t>
            </w:r>
            <w:r w:rsidR="008B07CE">
              <w:rPr>
                <w:b/>
                <w:bCs/>
                <w:szCs w:val="28"/>
              </w:rPr>
              <w:t xml:space="preserve"> </w:t>
            </w:r>
            <w:r w:rsidR="00BF5283">
              <w:rPr>
                <w:b/>
                <w:bCs/>
                <w:szCs w:val="28"/>
              </w:rPr>
              <w:t>May</w:t>
            </w:r>
            <w:r w:rsidR="0086560B" w:rsidRPr="00957B6C">
              <w:rPr>
                <w:b/>
                <w:bCs/>
                <w:szCs w:val="28"/>
              </w:rPr>
              <w:t xml:space="preserve"> 2019</w:t>
            </w:r>
          </w:p>
        </w:tc>
      </w:tr>
      <w:bookmarkEnd w:id="7"/>
      <w:bookmarkEnd w:id="8"/>
      <w:tr w:rsidR="0086560B" w:rsidRPr="00957B6C" w14:paraId="64D73A37" w14:textId="77777777" w:rsidTr="2D9C0B70">
        <w:trPr>
          <w:cantSplit/>
          <w:trHeight w:val="23"/>
        </w:trPr>
        <w:tc>
          <w:tcPr>
            <w:tcW w:w="6804" w:type="dxa"/>
            <w:shd w:val="clear" w:color="auto" w:fill="auto"/>
          </w:tcPr>
          <w:p w14:paraId="04BABA21" w14:textId="77777777" w:rsidR="0086560B" w:rsidRPr="00957B6C" w:rsidRDefault="0086560B" w:rsidP="0086560B">
            <w:pPr>
              <w:tabs>
                <w:tab w:val="left" w:pos="851"/>
              </w:tabs>
              <w:spacing w:before="0" w:line="240" w:lineRule="atLeast"/>
              <w:rPr>
                <w:rFonts w:cstheme="minorHAnsi"/>
                <w:color w:val="000000" w:themeColor="text1"/>
                <w:szCs w:val="24"/>
              </w:rPr>
            </w:pPr>
          </w:p>
        </w:tc>
        <w:tc>
          <w:tcPr>
            <w:tcW w:w="3227" w:type="dxa"/>
          </w:tcPr>
          <w:p w14:paraId="0A832962" w14:textId="77777777" w:rsidR="0086560B" w:rsidRPr="00957B6C" w:rsidRDefault="0086560B" w:rsidP="0086560B">
            <w:pPr>
              <w:tabs>
                <w:tab w:val="left" w:pos="993"/>
              </w:tabs>
              <w:spacing w:before="0"/>
              <w:rPr>
                <w:rFonts w:cstheme="minorBidi"/>
                <w:b/>
                <w:bCs/>
                <w:color w:val="000000" w:themeColor="text1"/>
              </w:rPr>
            </w:pPr>
            <w:r w:rsidRPr="00957B6C">
              <w:rPr>
                <w:b/>
              </w:rPr>
              <w:t>English only</w:t>
            </w:r>
          </w:p>
        </w:tc>
      </w:tr>
      <w:tr w:rsidR="00FF74DD" w:rsidRPr="00957B6C" w14:paraId="6D1C62CD" w14:textId="77777777" w:rsidTr="007709CE">
        <w:trPr>
          <w:cantSplit/>
          <w:trHeight w:val="23"/>
        </w:trPr>
        <w:tc>
          <w:tcPr>
            <w:tcW w:w="10031" w:type="dxa"/>
            <w:gridSpan w:val="2"/>
            <w:shd w:val="clear" w:color="auto" w:fill="auto"/>
          </w:tcPr>
          <w:p w14:paraId="2FE130DD" w14:textId="77777777" w:rsidR="00EB5336" w:rsidRPr="00957B6C" w:rsidRDefault="25A7936B" w:rsidP="007709CE">
            <w:pPr>
              <w:pStyle w:val="Source"/>
              <w:spacing w:before="240" w:after="240"/>
              <w:rPr>
                <w:rFonts w:cstheme="minorBidi"/>
                <w:color w:val="000000" w:themeColor="text1"/>
              </w:rPr>
            </w:pPr>
            <w:bookmarkStart w:id="9" w:name="dbluepink" w:colFirst="0" w:colLast="0"/>
            <w:bookmarkStart w:id="10" w:name="dorlang" w:colFirst="1" w:colLast="1"/>
            <w:r w:rsidRPr="00957B6C">
              <w:rPr>
                <w:rFonts w:cstheme="minorBidi"/>
                <w:color w:val="000000" w:themeColor="text1"/>
              </w:rPr>
              <w:t>Chairman, Telecommunication Development Advisory Group (TDAG)</w:t>
            </w:r>
          </w:p>
        </w:tc>
      </w:tr>
      <w:tr w:rsidR="00FF74DD" w:rsidRPr="00957B6C" w14:paraId="345A8FD6" w14:textId="77777777" w:rsidTr="0086560B">
        <w:trPr>
          <w:cantSplit/>
          <w:trHeight w:val="281"/>
        </w:trPr>
        <w:tc>
          <w:tcPr>
            <w:tcW w:w="10031" w:type="dxa"/>
            <w:gridSpan w:val="2"/>
            <w:shd w:val="clear" w:color="auto" w:fill="auto"/>
          </w:tcPr>
          <w:p w14:paraId="75074E7A" w14:textId="77777777" w:rsidR="00EB5336" w:rsidRPr="00957B6C" w:rsidRDefault="0085653B" w:rsidP="0085653B">
            <w:pPr>
              <w:pStyle w:val="Title1"/>
              <w:spacing w:before="120" w:after="120"/>
              <w:rPr>
                <w:rFonts w:cstheme="minorBidi"/>
                <w:color w:val="000000" w:themeColor="text1"/>
              </w:rPr>
            </w:pPr>
            <w:r w:rsidRPr="00957B6C">
              <w:rPr>
                <w:rFonts w:cstheme="minorBidi"/>
                <w:color w:val="000000" w:themeColor="text1"/>
              </w:rPr>
              <w:t>DRAFT</w:t>
            </w:r>
            <w:r w:rsidR="25A7936B" w:rsidRPr="00957B6C">
              <w:rPr>
                <w:rFonts w:cstheme="minorBidi"/>
                <w:color w:val="000000" w:themeColor="text1"/>
              </w:rPr>
              <w:t xml:space="preserve"> REPORT OF THE 2</w:t>
            </w:r>
            <w:r w:rsidR="0086560B" w:rsidRPr="00957B6C">
              <w:rPr>
                <w:rFonts w:cstheme="minorBidi"/>
                <w:color w:val="000000" w:themeColor="text1"/>
              </w:rPr>
              <w:t>4TH</w:t>
            </w:r>
            <w:r w:rsidR="25A7936B" w:rsidRPr="00957B6C">
              <w:rPr>
                <w:rFonts w:cstheme="minorBidi"/>
                <w:color w:val="000000" w:themeColor="text1"/>
              </w:rPr>
              <w:t xml:space="preserve"> TDAG MEETING</w:t>
            </w:r>
          </w:p>
        </w:tc>
      </w:tr>
      <w:bookmarkEnd w:id="9"/>
      <w:bookmarkEnd w:id="10"/>
    </w:tbl>
    <w:p w14:paraId="406231AD" w14:textId="77777777" w:rsidR="00A23775" w:rsidRPr="004D22C2" w:rsidRDefault="00A23775" w:rsidP="004D22C2">
      <w:pPr>
        <w:keepNext/>
        <w:jc w:val="both"/>
        <w:rPr>
          <w:rFonts w:cstheme="minorBidi"/>
          <w:color w:val="000000" w:themeColor="text1"/>
          <w:szCs w:val="24"/>
        </w:rPr>
      </w:pPr>
    </w:p>
    <w:p w14:paraId="114CE5C7" w14:textId="77777777" w:rsidR="00EB5336" w:rsidRDefault="25A7936B" w:rsidP="004D22C2">
      <w:pPr>
        <w:keepNext/>
        <w:jc w:val="both"/>
        <w:rPr>
          <w:rFonts w:cstheme="minorBidi"/>
          <w:b/>
          <w:bCs/>
          <w:color w:val="000000" w:themeColor="text1"/>
          <w:szCs w:val="24"/>
        </w:rPr>
      </w:pPr>
      <w:r w:rsidRPr="00D25C0F">
        <w:rPr>
          <w:rFonts w:cstheme="minorBidi"/>
          <w:b/>
          <w:bCs/>
          <w:color w:val="000000" w:themeColor="text1"/>
          <w:szCs w:val="24"/>
        </w:rPr>
        <w:t>Introduction</w:t>
      </w:r>
    </w:p>
    <w:p w14:paraId="122929F7" w14:textId="6D8C7CFF" w:rsidR="002B0955" w:rsidRDefault="002B0955" w:rsidP="00CE01ED">
      <w:pPr>
        <w:keepNext/>
        <w:jc w:val="both"/>
        <w:rPr>
          <w:rFonts w:cstheme="minorBidi"/>
        </w:rPr>
      </w:pPr>
      <w:r w:rsidRPr="2D9C0B70">
        <w:rPr>
          <w:rFonts w:cstheme="minorBidi"/>
          <w:color w:val="000000" w:themeColor="text1"/>
          <w:lang w:val="en-US"/>
        </w:rPr>
        <w:t>The 2</w:t>
      </w:r>
      <w:r>
        <w:rPr>
          <w:rFonts w:cstheme="minorBidi"/>
          <w:color w:val="000000" w:themeColor="text1"/>
          <w:lang w:val="en-US"/>
        </w:rPr>
        <w:t>4</w:t>
      </w:r>
      <w:r w:rsidR="00333762">
        <w:rPr>
          <w:rFonts w:cstheme="minorBidi"/>
          <w:color w:val="000000" w:themeColor="text1"/>
          <w:lang w:val="en-US"/>
        </w:rPr>
        <w:t>th</w:t>
      </w:r>
      <w:r w:rsidRPr="2D9C0B70">
        <w:rPr>
          <w:rFonts w:cstheme="minorBidi"/>
          <w:color w:val="000000" w:themeColor="text1"/>
          <w:lang w:val="en-US"/>
        </w:rPr>
        <w:t xml:space="preserve"> meeting of the Telecommunication Development Advisory Group (TDAG) was held at ITU headquarters in Geneva, from </w:t>
      </w:r>
      <w:r>
        <w:rPr>
          <w:rFonts w:cstheme="minorBidi"/>
          <w:color w:val="000000" w:themeColor="text1"/>
          <w:lang w:val="en-US"/>
        </w:rPr>
        <w:t>3</w:t>
      </w:r>
      <w:r w:rsidRPr="2D9C0B70">
        <w:rPr>
          <w:rFonts w:cstheme="minorBidi"/>
          <w:color w:val="000000" w:themeColor="text1"/>
          <w:lang w:val="en-US"/>
        </w:rPr>
        <w:t xml:space="preserve"> to </w:t>
      </w:r>
      <w:r>
        <w:rPr>
          <w:rFonts w:cstheme="minorBidi"/>
          <w:color w:val="000000" w:themeColor="text1"/>
          <w:lang w:val="en-US"/>
        </w:rPr>
        <w:t>5</w:t>
      </w:r>
      <w:r w:rsidRPr="2D9C0B70">
        <w:rPr>
          <w:rFonts w:cstheme="minorBidi"/>
          <w:color w:val="000000" w:themeColor="text1"/>
          <w:lang w:val="en-US"/>
        </w:rPr>
        <w:t xml:space="preserve"> April 201</w:t>
      </w:r>
      <w:r>
        <w:rPr>
          <w:rFonts w:cstheme="minorBidi"/>
          <w:color w:val="000000" w:themeColor="text1"/>
          <w:lang w:val="en-US"/>
        </w:rPr>
        <w:t>9</w:t>
      </w:r>
      <w:r w:rsidRPr="2D9C0B70">
        <w:rPr>
          <w:rFonts w:cstheme="minorBidi"/>
          <w:color w:val="000000" w:themeColor="text1"/>
          <w:lang w:val="en-US"/>
        </w:rPr>
        <w:t xml:space="preserve">, under the chairmanship of </w:t>
      </w:r>
      <w:r w:rsidRPr="2D9C0B70">
        <w:rPr>
          <w:rFonts w:eastAsiaTheme="minorEastAsia" w:cstheme="minorBidi"/>
          <w:color w:val="000000" w:themeColor="text1"/>
          <w:lang w:val="en-US"/>
        </w:rPr>
        <w:t>Ms</w:t>
      </w:r>
      <w:r>
        <w:rPr>
          <w:rFonts w:eastAsiaTheme="minorEastAsia" w:cstheme="minorBidi"/>
          <w:color w:val="000000" w:themeColor="text1"/>
          <w:lang w:val="en-US"/>
        </w:rPr>
        <w:t xml:space="preserve"> </w:t>
      </w:r>
      <w:r w:rsidRPr="2D9C0B70">
        <w:rPr>
          <w:rFonts w:eastAsiaTheme="minorEastAsia" w:cstheme="minorBidi"/>
          <w:color w:val="000000" w:themeColor="text1"/>
          <w:lang w:val="en-US"/>
        </w:rPr>
        <w:t>Roxanne McElvane Webber.</w:t>
      </w:r>
      <w:r>
        <w:rPr>
          <w:rFonts w:eastAsiaTheme="minorEastAsia" w:cstheme="minorBidi"/>
          <w:color w:val="000000" w:themeColor="text1"/>
          <w:lang w:val="en-US"/>
        </w:rPr>
        <w:t xml:space="preserve"> </w:t>
      </w:r>
      <w:r w:rsidR="006A0B32">
        <w:rPr>
          <w:rFonts w:eastAsiaTheme="minorEastAsia" w:cstheme="minorBidi"/>
          <w:color w:val="000000" w:themeColor="text1"/>
          <w:lang w:val="en-US"/>
        </w:rPr>
        <w:t xml:space="preserve">It attracted 111 participants </w:t>
      </w:r>
      <w:r w:rsidRPr="00DD4A53">
        <w:rPr>
          <w:rFonts w:eastAsiaTheme="minorEastAsia" w:cstheme="minorBidi"/>
          <w:color w:val="000000" w:themeColor="text1"/>
          <w:lang w:val="en-US"/>
        </w:rPr>
        <w:t xml:space="preserve">representing </w:t>
      </w:r>
      <w:r w:rsidR="006A0B32">
        <w:rPr>
          <w:rFonts w:eastAsiaTheme="minorEastAsia" w:cstheme="minorBidi"/>
          <w:color w:val="000000" w:themeColor="text1"/>
          <w:lang w:val="en-US"/>
        </w:rPr>
        <w:t>56 Member States</w:t>
      </w:r>
      <w:r w:rsidRPr="00DD4A53">
        <w:rPr>
          <w:rFonts w:eastAsiaTheme="minorEastAsia" w:cstheme="minorBidi"/>
          <w:color w:val="000000" w:themeColor="text1"/>
          <w:lang w:val="en-US"/>
        </w:rPr>
        <w:t xml:space="preserve">, </w:t>
      </w:r>
      <w:r w:rsidR="006A0B32">
        <w:rPr>
          <w:rFonts w:eastAsiaTheme="minorEastAsia" w:cstheme="minorBidi"/>
          <w:color w:val="000000" w:themeColor="text1"/>
          <w:lang w:val="en-US"/>
        </w:rPr>
        <w:t xml:space="preserve">22 ITU-D </w:t>
      </w:r>
      <w:r w:rsidRPr="00DD4A53">
        <w:rPr>
          <w:rFonts w:eastAsiaTheme="minorEastAsia" w:cstheme="minorBidi"/>
          <w:color w:val="000000" w:themeColor="text1"/>
          <w:lang w:val="en-US"/>
        </w:rPr>
        <w:t xml:space="preserve">Sector Members, </w:t>
      </w:r>
      <w:r w:rsidR="006A0B32">
        <w:rPr>
          <w:rFonts w:eastAsiaTheme="minorEastAsia" w:cstheme="minorBidi"/>
          <w:color w:val="000000" w:themeColor="text1"/>
          <w:lang w:val="en-US"/>
        </w:rPr>
        <w:t>2 A</w:t>
      </w:r>
      <w:r w:rsidRPr="00DD4A53">
        <w:rPr>
          <w:rFonts w:eastAsiaTheme="minorEastAsia" w:cstheme="minorBidi"/>
          <w:color w:val="000000" w:themeColor="text1"/>
          <w:lang w:val="en-US"/>
        </w:rPr>
        <w:t xml:space="preserve">cademia </w:t>
      </w:r>
      <w:r w:rsidR="00BA4719">
        <w:rPr>
          <w:rFonts w:eastAsiaTheme="minorEastAsia" w:cstheme="minorBidi"/>
          <w:color w:val="000000" w:themeColor="text1"/>
          <w:lang w:val="en-US"/>
        </w:rPr>
        <w:t>and 1 Associate.</w:t>
      </w:r>
      <w:r w:rsidRPr="00DD4A53">
        <w:rPr>
          <w:rFonts w:eastAsiaTheme="minorEastAsia" w:cstheme="minorBidi"/>
          <w:color w:val="000000" w:themeColor="text1"/>
          <w:lang w:val="en-US"/>
        </w:rPr>
        <w:t xml:space="preserve"> </w:t>
      </w:r>
      <w:r>
        <w:rPr>
          <w:rFonts w:eastAsiaTheme="minorEastAsia" w:cstheme="minorBidi"/>
          <w:color w:val="000000" w:themeColor="text1"/>
          <w:lang w:val="en-US"/>
        </w:rPr>
        <w:t>Participants considered</w:t>
      </w:r>
      <w:r w:rsidRPr="00DD4A53">
        <w:rPr>
          <w:rFonts w:cstheme="minorBidi"/>
        </w:rPr>
        <w:t xml:space="preserve"> </w:t>
      </w:r>
      <w:r w:rsidR="008A5B1F">
        <w:rPr>
          <w:rFonts w:cstheme="minorBidi"/>
        </w:rPr>
        <w:t>4</w:t>
      </w:r>
      <w:r w:rsidR="00CE01ED">
        <w:rPr>
          <w:rFonts w:cstheme="minorBidi"/>
        </w:rPr>
        <w:t>1</w:t>
      </w:r>
      <w:r w:rsidRPr="00DD4A53">
        <w:rPr>
          <w:rFonts w:cstheme="minorBidi"/>
        </w:rPr>
        <w:t xml:space="preserve"> contributions, of which </w:t>
      </w:r>
      <w:r w:rsidR="008A5B1F">
        <w:rPr>
          <w:rFonts w:cstheme="minorBidi"/>
        </w:rPr>
        <w:t>5</w:t>
      </w:r>
      <w:r w:rsidRPr="00DD4A53">
        <w:rPr>
          <w:rFonts w:cstheme="minorBidi"/>
        </w:rPr>
        <w:t xml:space="preserve"> were </w:t>
      </w:r>
      <w:r>
        <w:rPr>
          <w:rFonts w:cstheme="minorBidi"/>
        </w:rPr>
        <w:t>submitted by</w:t>
      </w:r>
      <w:r w:rsidRPr="00DD4A53">
        <w:rPr>
          <w:rFonts w:cstheme="minorBidi"/>
        </w:rPr>
        <w:t xml:space="preserve"> membership.</w:t>
      </w:r>
    </w:p>
    <w:p w14:paraId="0B5A4EBB" w14:textId="41A42864" w:rsidR="002B0955" w:rsidRPr="006052D5" w:rsidRDefault="002B0955" w:rsidP="00BA4719">
      <w:pPr>
        <w:rPr>
          <w:rFonts w:cstheme="minorBidi"/>
          <w:color w:val="000000" w:themeColor="text1"/>
          <w:lang w:val="en-US"/>
        </w:rPr>
      </w:pPr>
      <w:r>
        <w:rPr>
          <w:rFonts w:eastAsia="Calibri" w:cs="Calibri"/>
        </w:rPr>
        <w:t>Among other things, TDAG-1</w:t>
      </w:r>
      <w:r w:rsidR="00BA4719">
        <w:rPr>
          <w:rFonts w:eastAsia="Calibri" w:cs="Calibri"/>
        </w:rPr>
        <w:t>9</w:t>
      </w:r>
      <w:r>
        <w:rPr>
          <w:rFonts w:eastAsia="Calibri" w:cs="Calibri"/>
        </w:rPr>
        <w:t>:</w:t>
      </w:r>
    </w:p>
    <w:p w14:paraId="228B02E6" w14:textId="50B21002" w:rsidR="002B0955" w:rsidRDefault="00920758" w:rsidP="00810998">
      <w:pPr>
        <w:pStyle w:val="ListParagraph"/>
        <w:numPr>
          <w:ilvl w:val="0"/>
          <w:numId w:val="22"/>
        </w:numPr>
        <w:spacing w:before="40" w:after="40"/>
        <w:ind w:left="567" w:hanging="567"/>
        <w:contextualSpacing w:val="0"/>
        <w:rPr>
          <w:rFonts w:cstheme="minorBidi"/>
          <w:color w:val="000000" w:themeColor="text1"/>
          <w:lang w:val="en-US"/>
        </w:rPr>
      </w:pPr>
      <w:r>
        <w:rPr>
          <w:rFonts w:eastAsia="Calibri" w:cs="Calibri"/>
        </w:rPr>
        <w:t>Endors</w:t>
      </w:r>
      <w:r w:rsidR="002B0955" w:rsidRPr="000B129C">
        <w:rPr>
          <w:rFonts w:eastAsia="Calibri" w:cs="Calibri"/>
        </w:rPr>
        <w:t xml:space="preserve">ed the </w:t>
      </w:r>
      <w:r w:rsidR="002B0955" w:rsidRPr="000B129C">
        <w:rPr>
          <w:rFonts w:cstheme="minorBidi"/>
          <w:color w:val="000000" w:themeColor="text1"/>
          <w:lang w:val="en-US"/>
        </w:rPr>
        <w:t>ITU-D four-year rolling Operational Plan 20</w:t>
      </w:r>
      <w:r w:rsidR="002B0955">
        <w:rPr>
          <w:rFonts w:cstheme="minorBidi"/>
          <w:color w:val="000000" w:themeColor="text1"/>
          <w:lang w:val="en-US"/>
        </w:rPr>
        <w:t>20</w:t>
      </w:r>
      <w:r w:rsidR="002B0955" w:rsidRPr="000B129C">
        <w:rPr>
          <w:rFonts w:cstheme="minorBidi"/>
          <w:color w:val="000000" w:themeColor="text1"/>
          <w:lang w:val="en-US"/>
        </w:rPr>
        <w:t>-202</w:t>
      </w:r>
      <w:r w:rsidR="002B0955">
        <w:rPr>
          <w:rFonts w:cstheme="minorBidi"/>
          <w:color w:val="000000" w:themeColor="text1"/>
          <w:lang w:val="en-US"/>
        </w:rPr>
        <w:t>3</w:t>
      </w:r>
      <w:r w:rsidR="002B0955" w:rsidRPr="000B129C">
        <w:rPr>
          <w:rFonts w:cstheme="minorBidi"/>
          <w:color w:val="000000" w:themeColor="text1"/>
          <w:lang w:val="en-US"/>
        </w:rPr>
        <w:t>.</w:t>
      </w:r>
    </w:p>
    <w:p w14:paraId="6F20DD94" w14:textId="51AE5194" w:rsidR="00333762" w:rsidRPr="004D22C2" w:rsidRDefault="00333762" w:rsidP="00810998">
      <w:pPr>
        <w:pStyle w:val="ListParagraph"/>
        <w:numPr>
          <w:ilvl w:val="0"/>
          <w:numId w:val="22"/>
        </w:numPr>
        <w:spacing w:before="40" w:after="40"/>
        <w:ind w:left="567" w:hanging="567"/>
        <w:contextualSpacing w:val="0"/>
        <w:rPr>
          <w:rFonts w:cstheme="minorBidi"/>
          <w:color w:val="000000" w:themeColor="text1"/>
          <w:lang w:val="en-US"/>
        </w:rPr>
      </w:pPr>
      <w:r>
        <w:rPr>
          <w:rFonts w:ascii="Calibri" w:eastAsia="Calibri" w:hAnsi="Calibri"/>
          <w:color w:val="000000" w:themeColor="text1"/>
          <w:lang w:val="en-US"/>
        </w:rPr>
        <w:t>A</w:t>
      </w:r>
      <w:r w:rsidRPr="000B129C">
        <w:rPr>
          <w:rFonts w:ascii="Calibri" w:eastAsia="Calibri" w:hAnsi="Calibri"/>
          <w:color w:val="000000" w:themeColor="text1"/>
          <w:lang w:val="en-US"/>
        </w:rPr>
        <w:t>ppointed</w:t>
      </w:r>
      <w:r>
        <w:rPr>
          <w:rFonts w:ascii="Calibri" w:eastAsia="Calibri" w:hAnsi="Calibri"/>
          <w:color w:val="000000" w:themeColor="text1"/>
          <w:lang w:val="en-US"/>
        </w:rPr>
        <w:t xml:space="preserve"> </w:t>
      </w:r>
      <w:r w:rsidR="00A819EB" w:rsidRPr="005E7D25">
        <w:rPr>
          <w:szCs w:val="24"/>
        </w:rPr>
        <w:t>Ms</w:t>
      </w:r>
      <w:r w:rsidR="00A819EB">
        <w:rPr>
          <w:szCs w:val="24"/>
        </w:rPr>
        <w:t xml:space="preserve"> </w:t>
      </w:r>
      <w:r w:rsidR="00A819EB" w:rsidRPr="005E7D25">
        <w:rPr>
          <w:szCs w:val="24"/>
        </w:rPr>
        <w:t>Amparo Arango Echeverri</w:t>
      </w:r>
      <w:r w:rsidR="003F186F">
        <w:rPr>
          <w:rFonts w:ascii="Calibri" w:eastAsia="Calibri" w:hAnsi="Calibri"/>
          <w:color w:val="000000" w:themeColor="text1"/>
          <w:lang w:val="en-US"/>
        </w:rPr>
        <w:t xml:space="preserve"> </w:t>
      </w:r>
      <w:r w:rsidRPr="006052D5">
        <w:rPr>
          <w:rFonts w:cstheme="minorHAnsi"/>
          <w:color w:val="000000"/>
          <w:szCs w:val="24"/>
          <w:shd w:val="clear" w:color="auto" w:fill="FFFFFF"/>
          <w:lang w:val="en-US"/>
        </w:rPr>
        <w:t>(</w:t>
      </w:r>
      <w:r w:rsidR="00A819EB">
        <w:rPr>
          <w:rFonts w:cstheme="minorHAnsi"/>
          <w:b/>
          <w:color w:val="000000"/>
          <w:szCs w:val="24"/>
          <w:shd w:val="clear" w:color="auto" w:fill="FFFFFF"/>
          <w:lang w:val="en-US"/>
        </w:rPr>
        <w:t>Dominican Republic</w:t>
      </w:r>
      <w:r w:rsidRPr="006052D5">
        <w:rPr>
          <w:rFonts w:cstheme="minorHAnsi"/>
          <w:color w:val="000000"/>
          <w:szCs w:val="24"/>
          <w:shd w:val="clear" w:color="auto" w:fill="FFFFFF"/>
          <w:lang w:val="en-US"/>
        </w:rPr>
        <w:t>)</w:t>
      </w:r>
      <w:r w:rsidR="00BA4719">
        <w:rPr>
          <w:rFonts w:ascii="Calibri" w:eastAsia="Calibri" w:hAnsi="Calibri"/>
          <w:color w:val="000000" w:themeColor="text1"/>
          <w:lang w:val="en-US"/>
        </w:rPr>
        <w:t xml:space="preserve"> as</w:t>
      </w:r>
      <w:r>
        <w:rPr>
          <w:rFonts w:ascii="Calibri" w:eastAsia="Calibri" w:hAnsi="Calibri"/>
          <w:color w:val="000000" w:themeColor="text1"/>
          <w:lang w:val="en-US"/>
        </w:rPr>
        <w:t xml:space="preserve"> </w:t>
      </w:r>
      <w:r w:rsidR="00A819EB">
        <w:rPr>
          <w:rFonts w:ascii="Calibri" w:eastAsia="Calibri" w:hAnsi="Calibri"/>
          <w:color w:val="000000" w:themeColor="text1"/>
          <w:lang w:val="en-US"/>
        </w:rPr>
        <w:t>a</w:t>
      </w:r>
      <w:r>
        <w:rPr>
          <w:rFonts w:ascii="Calibri" w:eastAsia="Calibri" w:hAnsi="Calibri"/>
          <w:color w:val="000000" w:themeColor="text1"/>
          <w:lang w:val="en-US"/>
        </w:rPr>
        <w:t xml:space="preserve"> Vice</w:t>
      </w:r>
      <w:r w:rsidR="00A819EB">
        <w:rPr>
          <w:rFonts w:ascii="Calibri" w:eastAsia="Calibri" w:hAnsi="Calibri"/>
          <w:color w:val="000000" w:themeColor="text1"/>
          <w:lang w:val="en-US"/>
        </w:rPr>
        <w:t>-</w:t>
      </w:r>
      <w:r>
        <w:rPr>
          <w:rFonts w:ascii="Calibri" w:eastAsia="Calibri" w:hAnsi="Calibri"/>
          <w:color w:val="000000" w:themeColor="text1"/>
          <w:lang w:val="en-US"/>
        </w:rPr>
        <w:t>Chair</w:t>
      </w:r>
      <w:r w:rsidR="00A819EB">
        <w:rPr>
          <w:rFonts w:ascii="Calibri" w:eastAsia="Calibri" w:hAnsi="Calibri"/>
          <w:color w:val="000000" w:themeColor="text1"/>
          <w:lang w:val="en-US"/>
        </w:rPr>
        <w:t>man</w:t>
      </w:r>
      <w:r>
        <w:rPr>
          <w:rFonts w:ascii="Calibri" w:eastAsia="Calibri" w:hAnsi="Calibri"/>
          <w:color w:val="000000" w:themeColor="text1"/>
          <w:lang w:val="en-US"/>
        </w:rPr>
        <w:t xml:space="preserve"> of TDAG</w:t>
      </w:r>
      <w:r w:rsidR="00A819EB" w:rsidRPr="00A819EB">
        <w:rPr>
          <w:szCs w:val="24"/>
        </w:rPr>
        <w:t>, replacing Ms Katrina Naut</w:t>
      </w:r>
      <w:r>
        <w:rPr>
          <w:rFonts w:ascii="Calibri" w:eastAsia="Calibri" w:hAnsi="Calibri"/>
          <w:color w:val="000000" w:themeColor="text1"/>
          <w:lang w:val="en-US"/>
        </w:rPr>
        <w:t>.</w:t>
      </w:r>
    </w:p>
    <w:p w14:paraId="61DC310D" w14:textId="6E21BE00" w:rsidR="00A819EB" w:rsidRPr="00A819EB" w:rsidRDefault="00A819EB" w:rsidP="00810998">
      <w:pPr>
        <w:pStyle w:val="ListParagraph"/>
        <w:numPr>
          <w:ilvl w:val="0"/>
          <w:numId w:val="22"/>
        </w:numPr>
        <w:spacing w:before="40" w:after="40"/>
        <w:ind w:left="567" w:hanging="567"/>
        <w:contextualSpacing w:val="0"/>
        <w:rPr>
          <w:rFonts w:cstheme="minorBidi"/>
          <w:b/>
          <w:bCs/>
          <w:color w:val="000000" w:themeColor="text1"/>
          <w:lang w:val="en-US"/>
        </w:rPr>
      </w:pPr>
      <w:r>
        <w:rPr>
          <w:szCs w:val="24"/>
        </w:rPr>
        <w:t>A</w:t>
      </w:r>
      <w:r w:rsidRPr="00A819EB">
        <w:rPr>
          <w:szCs w:val="24"/>
        </w:rPr>
        <w:t xml:space="preserve">ppointed </w:t>
      </w:r>
      <w:r w:rsidRPr="004D22C2">
        <w:rPr>
          <w:szCs w:val="24"/>
        </w:rPr>
        <w:t>Ms Aichurok Maralbek Kyzy</w:t>
      </w:r>
      <w:r>
        <w:rPr>
          <w:szCs w:val="24"/>
        </w:rPr>
        <w:t xml:space="preserve"> (</w:t>
      </w:r>
      <w:r w:rsidRPr="004D22C2">
        <w:rPr>
          <w:b/>
          <w:bCs/>
          <w:szCs w:val="24"/>
        </w:rPr>
        <w:t>Kyrgyz Republic</w:t>
      </w:r>
      <w:r>
        <w:rPr>
          <w:szCs w:val="24"/>
        </w:rPr>
        <w:t>)</w:t>
      </w:r>
      <w:r w:rsidRPr="00A819EB">
        <w:rPr>
          <w:szCs w:val="24"/>
        </w:rPr>
        <w:t xml:space="preserve"> </w:t>
      </w:r>
      <w:r w:rsidR="00BA4719">
        <w:rPr>
          <w:szCs w:val="24"/>
        </w:rPr>
        <w:t xml:space="preserve">as </w:t>
      </w:r>
      <w:r w:rsidRPr="00A819EB">
        <w:rPr>
          <w:szCs w:val="24"/>
        </w:rPr>
        <w:t>a Vice</w:t>
      </w:r>
      <w:r w:rsidRPr="00A819EB">
        <w:rPr>
          <w:szCs w:val="24"/>
        </w:rPr>
        <w:noBreakHyphen/>
        <w:t>Chairman</w:t>
      </w:r>
      <w:r>
        <w:rPr>
          <w:szCs w:val="24"/>
        </w:rPr>
        <w:t xml:space="preserve"> of </w:t>
      </w:r>
      <w:r w:rsidRPr="00A819EB">
        <w:rPr>
          <w:szCs w:val="24"/>
        </w:rPr>
        <w:t>TDAG, replacing Ms Nurzat Boljobekova</w:t>
      </w:r>
      <w:r w:rsidR="007B7216">
        <w:rPr>
          <w:szCs w:val="24"/>
        </w:rPr>
        <w:t>.</w:t>
      </w:r>
    </w:p>
    <w:p w14:paraId="3BCC1793" w14:textId="110C030C" w:rsidR="002B0955" w:rsidRPr="000B129C" w:rsidRDefault="002B0955" w:rsidP="00810998">
      <w:pPr>
        <w:pStyle w:val="ListParagraph"/>
        <w:numPr>
          <w:ilvl w:val="0"/>
          <w:numId w:val="22"/>
        </w:numPr>
        <w:spacing w:before="40" w:after="40"/>
        <w:ind w:left="567" w:hanging="567"/>
        <w:contextualSpacing w:val="0"/>
        <w:rPr>
          <w:rFonts w:eastAsia="Calibri" w:cs="Calibri"/>
        </w:rPr>
      </w:pPr>
      <w:r>
        <w:rPr>
          <w:rFonts w:eastAsia="Calibri" w:cs="Calibri"/>
        </w:rPr>
        <w:t xml:space="preserve">Appointed </w:t>
      </w:r>
      <w:r w:rsidRPr="000B129C">
        <w:rPr>
          <w:rFonts w:eastAsia="Calibri" w:cs="Calibri"/>
        </w:rPr>
        <w:t xml:space="preserve">Mr </w:t>
      </w:r>
      <w:r w:rsidR="00333762">
        <w:rPr>
          <w:rFonts w:eastAsia="Calibri" w:cs="Calibri"/>
        </w:rPr>
        <w:t xml:space="preserve">Al-ansari </w:t>
      </w:r>
      <w:r w:rsidR="003F186F" w:rsidRPr="006052D5">
        <w:rPr>
          <w:rFonts w:cstheme="minorHAnsi"/>
          <w:color w:val="000000"/>
          <w:szCs w:val="24"/>
          <w:shd w:val="clear" w:color="auto" w:fill="FFFFFF"/>
          <w:lang w:val="en-US"/>
        </w:rPr>
        <w:t>Almashakbeh</w:t>
      </w:r>
      <w:r w:rsidR="003F186F" w:rsidRPr="000B129C">
        <w:rPr>
          <w:rFonts w:eastAsia="Calibri" w:cs="Calibri"/>
        </w:rPr>
        <w:t xml:space="preserve"> </w:t>
      </w:r>
      <w:r w:rsidRPr="000B129C">
        <w:rPr>
          <w:rFonts w:eastAsia="Calibri" w:cs="Calibri"/>
        </w:rPr>
        <w:t>(</w:t>
      </w:r>
      <w:r w:rsidR="00333762">
        <w:rPr>
          <w:rFonts w:eastAsia="Calibri" w:cs="Calibri"/>
          <w:b/>
        </w:rPr>
        <w:t>Jordan</w:t>
      </w:r>
      <w:r w:rsidRPr="000B129C">
        <w:rPr>
          <w:rFonts w:eastAsia="Calibri" w:cs="Calibri"/>
        </w:rPr>
        <w:t xml:space="preserve">) </w:t>
      </w:r>
      <w:r>
        <w:rPr>
          <w:rFonts w:eastAsia="Calibri" w:cs="Calibri"/>
        </w:rPr>
        <w:t xml:space="preserve">to be </w:t>
      </w:r>
      <w:r w:rsidR="00A819EB">
        <w:rPr>
          <w:rFonts w:eastAsia="Calibri" w:cs="Calibri"/>
        </w:rPr>
        <w:t>a</w:t>
      </w:r>
      <w:r>
        <w:rPr>
          <w:rFonts w:eastAsia="Calibri" w:cs="Calibri"/>
        </w:rPr>
        <w:t xml:space="preserve"> </w:t>
      </w:r>
      <w:r w:rsidRPr="000B129C">
        <w:rPr>
          <w:rFonts w:eastAsia="Calibri" w:cs="Calibri"/>
        </w:rPr>
        <w:t xml:space="preserve">TDAG representative to </w:t>
      </w:r>
      <w:r>
        <w:rPr>
          <w:rFonts w:eastAsia="Calibri" w:cs="Calibri"/>
        </w:rPr>
        <w:t>the</w:t>
      </w:r>
      <w:r w:rsidRPr="000B129C">
        <w:rPr>
          <w:rFonts w:eastAsia="Calibri" w:cs="Calibri"/>
        </w:rPr>
        <w:t xml:space="preserve"> ISC</w:t>
      </w:r>
      <w:r w:rsidR="00A819EB">
        <w:rPr>
          <w:rFonts w:eastAsia="Calibri" w:cs="Calibri"/>
        </w:rPr>
        <w:t xml:space="preserve">G, </w:t>
      </w:r>
      <w:r w:rsidR="00A819EB" w:rsidRPr="00A819EB">
        <w:rPr>
          <w:szCs w:val="24"/>
        </w:rPr>
        <w:t>replacing Ms Nurzat Boljobekova</w:t>
      </w:r>
      <w:r w:rsidRPr="000B129C">
        <w:rPr>
          <w:rFonts w:eastAsia="Calibri" w:cs="Calibri"/>
        </w:rPr>
        <w:t>.</w:t>
      </w:r>
    </w:p>
    <w:p w14:paraId="1FB13ECB" w14:textId="1F830861" w:rsidR="002B0955" w:rsidRPr="004D22C2" w:rsidRDefault="002B0955" w:rsidP="00810998">
      <w:pPr>
        <w:pStyle w:val="ListParagraph"/>
        <w:numPr>
          <w:ilvl w:val="0"/>
          <w:numId w:val="22"/>
        </w:numPr>
        <w:spacing w:before="40" w:after="40"/>
        <w:ind w:left="567" w:hanging="567"/>
        <w:contextualSpacing w:val="0"/>
        <w:rPr>
          <w:rFonts w:ascii="Calibri" w:eastAsia="Calibri" w:hAnsi="Calibri" w:cs="Calibri"/>
        </w:rPr>
      </w:pPr>
      <w:r>
        <w:rPr>
          <w:rFonts w:ascii="Calibri" w:eastAsia="Calibri" w:hAnsi="Calibri"/>
          <w:color w:val="000000" w:themeColor="text1"/>
          <w:lang w:val="en-US"/>
        </w:rPr>
        <w:t>A</w:t>
      </w:r>
      <w:r w:rsidRPr="000B129C">
        <w:rPr>
          <w:rFonts w:ascii="Calibri" w:eastAsia="Calibri" w:hAnsi="Calibri"/>
          <w:color w:val="000000" w:themeColor="text1"/>
          <w:lang w:val="en-US"/>
        </w:rPr>
        <w:t xml:space="preserve">ppointed </w:t>
      </w:r>
      <w:r w:rsidR="002415A3" w:rsidRPr="004D22C2">
        <w:t>Ms Anastasia Sergeyevna Konukhova</w:t>
      </w:r>
      <w:r w:rsidR="00333762">
        <w:rPr>
          <w:rFonts w:ascii="Calibri" w:eastAsia="Calibri" w:hAnsi="Calibri"/>
          <w:color w:val="000000" w:themeColor="text1"/>
          <w:lang w:val="en-US"/>
        </w:rPr>
        <w:t xml:space="preserve"> </w:t>
      </w:r>
      <w:r w:rsidR="002415A3">
        <w:rPr>
          <w:rFonts w:ascii="Calibri" w:eastAsia="Calibri" w:hAnsi="Calibri"/>
          <w:color w:val="000000" w:themeColor="text1"/>
          <w:lang w:val="en-US"/>
        </w:rPr>
        <w:t>(</w:t>
      </w:r>
      <w:r w:rsidR="002415A3" w:rsidRPr="004D22C2">
        <w:rPr>
          <w:b/>
          <w:bCs/>
        </w:rPr>
        <w:t>Russian Federation</w:t>
      </w:r>
      <w:r w:rsidR="002415A3">
        <w:rPr>
          <w:rFonts w:ascii="Calibri" w:eastAsia="Calibri" w:hAnsi="Calibri"/>
          <w:color w:val="000000" w:themeColor="text1"/>
          <w:lang w:val="en-US"/>
        </w:rPr>
        <w:t xml:space="preserve">) </w:t>
      </w:r>
      <w:r w:rsidR="00BA4719">
        <w:rPr>
          <w:rFonts w:ascii="Calibri" w:eastAsia="Calibri" w:hAnsi="Calibri"/>
          <w:color w:val="000000" w:themeColor="text1"/>
          <w:lang w:val="en-US"/>
        </w:rPr>
        <w:t>as</w:t>
      </w:r>
      <w:r w:rsidR="00333762">
        <w:rPr>
          <w:rFonts w:ascii="Calibri" w:eastAsia="Calibri" w:hAnsi="Calibri"/>
          <w:color w:val="000000" w:themeColor="text1"/>
          <w:lang w:val="en-US"/>
        </w:rPr>
        <w:t xml:space="preserve"> </w:t>
      </w:r>
      <w:r w:rsidR="002415A3">
        <w:rPr>
          <w:rFonts w:ascii="Calibri" w:eastAsia="Calibri" w:hAnsi="Calibri"/>
          <w:color w:val="000000" w:themeColor="text1"/>
          <w:lang w:val="en-US"/>
        </w:rPr>
        <w:t xml:space="preserve">a </w:t>
      </w:r>
      <w:r w:rsidRPr="000B129C">
        <w:rPr>
          <w:rFonts w:ascii="Calibri" w:eastAsia="Calibri" w:hAnsi="Calibri"/>
          <w:color w:val="000000" w:themeColor="text1"/>
          <w:lang w:val="en-US"/>
        </w:rPr>
        <w:t>Vice</w:t>
      </w:r>
      <w:r w:rsidR="00F11DA9">
        <w:rPr>
          <w:rFonts w:ascii="Calibri" w:eastAsia="Calibri" w:hAnsi="Calibri"/>
          <w:color w:val="000000" w:themeColor="text1"/>
          <w:lang w:val="en-US"/>
        </w:rPr>
        <w:t>-</w:t>
      </w:r>
      <w:r w:rsidRPr="000B129C">
        <w:rPr>
          <w:rFonts w:ascii="Calibri" w:eastAsia="Calibri" w:hAnsi="Calibri"/>
          <w:color w:val="000000" w:themeColor="text1"/>
          <w:lang w:val="en-US"/>
        </w:rPr>
        <w:t>Chair</w:t>
      </w:r>
      <w:r w:rsidR="002415A3">
        <w:rPr>
          <w:rFonts w:ascii="Calibri" w:eastAsia="Calibri" w:hAnsi="Calibri"/>
          <w:color w:val="000000" w:themeColor="text1"/>
          <w:lang w:val="en-US"/>
        </w:rPr>
        <w:t xml:space="preserve">man of </w:t>
      </w:r>
      <w:r w:rsidR="002415A3" w:rsidRPr="000B129C">
        <w:rPr>
          <w:rFonts w:ascii="Calibri" w:eastAsia="Calibri" w:hAnsi="Calibri"/>
          <w:color w:val="000000" w:themeColor="text1"/>
          <w:lang w:val="en-US"/>
        </w:rPr>
        <w:t>S</w:t>
      </w:r>
      <w:r w:rsidR="002415A3">
        <w:rPr>
          <w:rFonts w:ascii="Calibri" w:eastAsia="Calibri" w:hAnsi="Calibri"/>
          <w:color w:val="000000" w:themeColor="text1"/>
          <w:lang w:val="en-US"/>
        </w:rPr>
        <w:t xml:space="preserve">tudy </w:t>
      </w:r>
      <w:r w:rsidR="002415A3" w:rsidRPr="000B129C">
        <w:rPr>
          <w:rFonts w:ascii="Calibri" w:eastAsia="Calibri" w:hAnsi="Calibri"/>
          <w:color w:val="000000" w:themeColor="text1"/>
          <w:lang w:val="en-US"/>
        </w:rPr>
        <w:t>G</w:t>
      </w:r>
      <w:r w:rsidR="002415A3">
        <w:rPr>
          <w:rFonts w:ascii="Calibri" w:eastAsia="Calibri" w:hAnsi="Calibri"/>
          <w:color w:val="000000" w:themeColor="text1"/>
          <w:lang w:val="en-US"/>
        </w:rPr>
        <w:t xml:space="preserve">roup </w:t>
      </w:r>
      <w:r w:rsidR="002415A3" w:rsidRPr="000B129C">
        <w:rPr>
          <w:rFonts w:ascii="Calibri" w:eastAsia="Calibri" w:hAnsi="Calibri"/>
          <w:color w:val="000000" w:themeColor="text1"/>
          <w:lang w:val="en-US"/>
        </w:rPr>
        <w:t>1</w:t>
      </w:r>
      <w:r w:rsidR="002415A3">
        <w:rPr>
          <w:rFonts w:ascii="Calibri" w:eastAsia="Calibri" w:hAnsi="Calibri"/>
          <w:color w:val="000000" w:themeColor="text1"/>
          <w:lang w:val="en-US"/>
        </w:rPr>
        <w:t>, replacing</w:t>
      </w:r>
      <w:r w:rsidR="00F11DA9">
        <w:rPr>
          <w:rFonts w:ascii="Calibri" w:eastAsia="Calibri" w:hAnsi="Calibri"/>
          <w:color w:val="000000" w:themeColor="text1"/>
          <w:lang w:val="en-US"/>
        </w:rPr>
        <w:t xml:space="preserve"> one Vice-Chairman</w:t>
      </w:r>
      <w:r w:rsidR="00B67BF4">
        <w:rPr>
          <w:rFonts w:ascii="Calibri" w:eastAsia="Calibri" w:hAnsi="Calibri"/>
          <w:color w:val="000000" w:themeColor="text1"/>
          <w:lang w:val="en-US"/>
        </w:rPr>
        <w:t>,</w:t>
      </w:r>
      <w:r w:rsidR="00F11DA9">
        <w:rPr>
          <w:rFonts w:ascii="Calibri" w:eastAsia="Calibri" w:hAnsi="Calibri"/>
          <w:color w:val="000000" w:themeColor="text1"/>
          <w:lang w:val="en-US"/>
        </w:rPr>
        <w:t xml:space="preserve"> </w:t>
      </w:r>
      <w:r w:rsidR="00B67BF4">
        <w:rPr>
          <w:rFonts w:ascii="Calibri" w:eastAsia="Calibri" w:hAnsi="Calibri"/>
          <w:color w:val="000000" w:themeColor="text1"/>
          <w:lang w:val="en-US"/>
        </w:rPr>
        <w:t xml:space="preserve">who </w:t>
      </w:r>
      <w:r w:rsidR="00F11DA9">
        <w:rPr>
          <w:rFonts w:ascii="Calibri" w:eastAsia="Calibri" w:hAnsi="Calibri"/>
          <w:color w:val="000000" w:themeColor="text1"/>
          <w:lang w:val="en-US"/>
        </w:rPr>
        <w:t>stepped down</w:t>
      </w:r>
      <w:r w:rsidR="003F186F">
        <w:rPr>
          <w:rFonts w:ascii="Calibri" w:eastAsia="Calibri" w:hAnsi="Calibri"/>
          <w:color w:val="000000" w:themeColor="text1"/>
          <w:lang w:val="en-US"/>
        </w:rPr>
        <w:t>.</w:t>
      </w:r>
    </w:p>
    <w:p w14:paraId="28849364" w14:textId="2E42AB04" w:rsidR="003F186F" w:rsidRPr="00F11DA9" w:rsidRDefault="00A819EB" w:rsidP="00810998">
      <w:pPr>
        <w:pStyle w:val="ListParagraph"/>
        <w:numPr>
          <w:ilvl w:val="0"/>
          <w:numId w:val="22"/>
        </w:numPr>
        <w:spacing w:before="40" w:after="40"/>
        <w:ind w:left="567" w:hanging="567"/>
        <w:contextualSpacing w:val="0"/>
        <w:rPr>
          <w:rFonts w:cstheme="minorBidi"/>
          <w:b/>
          <w:bCs/>
          <w:color w:val="000000" w:themeColor="text1"/>
          <w:lang w:val="en-US"/>
        </w:rPr>
      </w:pPr>
      <w:r w:rsidRPr="00F11DA9">
        <w:rPr>
          <w:rFonts w:ascii="Calibri" w:eastAsia="Calibri" w:hAnsi="Calibri"/>
          <w:color w:val="000000" w:themeColor="text1"/>
          <w:lang w:val="en-US"/>
        </w:rPr>
        <w:t>Appointed</w:t>
      </w:r>
      <w:r w:rsidR="002415A3" w:rsidRPr="00F11DA9">
        <w:rPr>
          <w:rFonts w:ascii="Calibri" w:eastAsia="Calibri" w:hAnsi="Calibri"/>
          <w:color w:val="000000" w:themeColor="text1"/>
          <w:lang w:val="en-US"/>
        </w:rPr>
        <w:t xml:space="preserve"> </w:t>
      </w:r>
      <w:r w:rsidR="002415A3" w:rsidRPr="004D22C2">
        <w:rPr>
          <w:szCs w:val="24"/>
        </w:rPr>
        <w:t>Mr Abdelaziz Alzarooni</w:t>
      </w:r>
      <w:r w:rsidR="002415A3" w:rsidRPr="00F11DA9">
        <w:rPr>
          <w:rFonts w:ascii="Calibri" w:eastAsia="Calibri" w:hAnsi="Calibri"/>
          <w:color w:val="000000" w:themeColor="text1"/>
          <w:lang w:val="en-US"/>
        </w:rPr>
        <w:t xml:space="preserve"> (</w:t>
      </w:r>
      <w:r w:rsidR="002415A3" w:rsidRPr="004D22C2">
        <w:rPr>
          <w:rFonts w:cstheme="minorBidi"/>
          <w:b/>
          <w:bCs/>
        </w:rPr>
        <w:t>United Arab Emirates</w:t>
      </w:r>
      <w:r w:rsidR="002415A3" w:rsidRPr="00F11DA9">
        <w:rPr>
          <w:rFonts w:ascii="Calibri" w:eastAsia="Calibri" w:hAnsi="Calibri"/>
          <w:color w:val="000000" w:themeColor="text1"/>
          <w:lang w:val="en-US"/>
        </w:rPr>
        <w:t>) to be Vice</w:t>
      </w:r>
      <w:r w:rsidR="00F11DA9" w:rsidRPr="00F11DA9">
        <w:rPr>
          <w:rFonts w:ascii="Calibri" w:eastAsia="Calibri" w:hAnsi="Calibri"/>
          <w:color w:val="000000" w:themeColor="text1"/>
          <w:lang w:val="en-US"/>
        </w:rPr>
        <w:t>-</w:t>
      </w:r>
      <w:r w:rsidR="002415A3" w:rsidRPr="00F11DA9">
        <w:rPr>
          <w:rFonts w:ascii="Calibri" w:eastAsia="Calibri" w:hAnsi="Calibri"/>
          <w:color w:val="000000" w:themeColor="text1"/>
          <w:lang w:val="en-US"/>
        </w:rPr>
        <w:t>Chairman of Study Group 2, replacing</w:t>
      </w:r>
      <w:r w:rsidR="00F11DA9" w:rsidRPr="00F11DA9">
        <w:rPr>
          <w:rFonts w:ascii="Calibri" w:eastAsia="Calibri" w:hAnsi="Calibri"/>
          <w:color w:val="000000" w:themeColor="text1"/>
          <w:lang w:val="en-US"/>
        </w:rPr>
        <w:t xml:space="preserve"> one Vice-Chairman</w:t>
      </w:r>
      <w:r w:rsidR="00B67BF4">
        <w:rPr>
          <w:rFonts w:ascii="Calibri" w:eastAsia="Calibri" w:hAnsi="Calibri"/>
          <w:color w:val="000000" w:themeColor="text1"/>
          <w:lang w:val="en-US"/>
        </w:rPr>
        <w:t>,</w:t>
      </w:r>
      <w:r w:rsidR="00F11DA9" w:rsidRPr="00F11DA9">
        <w:rPr>
          <w:rFonts w:ascii="Calibri" w:eastAsia="Calibri" w:hAnsi="Calibri"/>
          <w:color w:val="000000" w:themeColor="text1"/>
          <w:lang w:val="en-US"/>
        </w:rPr>
        <w:t xml:space="preserve"> </w:t>
      </w:r>
      <w:r w:rsidR="00B67BF4">
        <w:rPr>
          <w:rFonts w:ascii="Calibri" w:eastAsia="Calibri" w:hAnsi="Calibri"/>
          <w:color w:val="000000" w:themeColor="text1"/>
          <w:lang w:val="en-US"/>
        </w:rPr>
        <w:t xml:space="preserve">who </w:t>
      </w:r>
      <w:r w:rsidR="00F11DA9" w:rsidRPr="00F11DA9">
        <w:rPr>
          <w:rFonts w:ascii="Calibri" w:eastAsia="Calibri" w:hAnsi="Calibri"/>
          <w:color w:val="000000" w:themeColor="text1"/>
          <w:lang w:val="en-US"/>
        </w:rPr>
        <w:t>stepped down</w:t>
      </w:r>
      <w:r w:rsidR="002415A3" w:rsidRPr="00F11DA9">
        <w:rPr>
          <w:rFonts w:ascii="Calibri" w:eastAsia="Calibri" w:hAnsi="Calibri"/>
          <w:color w:val="000000" w:themeColor="text1"/>
          <w:lang w:val="en-US"/>
        </w:rPr>
        <w:t>.</w:t>
      </w:r>
    </w:p>
    <w:p w14:paraId="3C4691E4" w14:textId="79859F48" w:rsidR="001B2718" w:rsidRDefault="000B3322" w:rsidP="001B2718">
      <w:r w:rsidRPr="000B3322">
        <w:rPr>
          <w:rFonts w:cstheme="minorBidi"/>
          <w:color w:val="000000" w:themeColor="text1"/>
          <w:lang w:val="en-US"/>
        </w:rPr>
        <w:t>During TDAG, breakout sessions on four process</w:t>
      </w:r>
      <w:r w:rsidR="00BA4719">
        <w:rPr>
          <w:rFonts w:cstheme="minorBidi"/>
          <w:color w:val="000000" w:themeColor="text1"/>
          <w:lang w:val="en-US"/>
        </w:rPr>
        <w:t xml:space="preserve"> and </w:t>
      </w:r>
      <w:r w:rsidRPr="000B3322">
        <w:rPr>
          <w:rFonts w:cstheme="minorBidi"/>
          <w:color w:val="000000" w:themeColor="text1"/>
          <w:lang w:val="en-US"/>
        </w:rPr>
        <w:t xml:space="preserve">governance topics and four programme topics, and informal sessions on regional initiatives </w:t>
      </w:r>
      <w:r w:rsidR="001B2718">
        <w:rPr>
          <w:rFonts w:cstheme="minorBidi"/>
          <w:color w:val="000000" w:themeColor="text1"/>
          <w:lang w:val="en-US"/>
        </w:rPr>
        <w:t xml:space="preserve">of the six ITU-D regions </w:t>
      </w:r>
      <w:r w:rsidRPr="000B3322">
        <w:rPr>
          <w:rFonts w:cstheme="minorBidi"/>
          <w:color w:val="000000" w:themeColor="text1"/>
          <w:lang w:val="en-US"/>
        </w:rPr>
        <w:t xml:space="preserve">were organized to foster fruitful discussions and </w:t>
      </w:r>
      <w:r w:rsidR="001B2718">
        <w:rPr>
          <w:rFonts w:cstheme="minorBidi"/>
          <w:color w:val="000000" w:themeColor="text1"/>
          <w:lang w:val="en-US"/>
        </w:rPr>
        <w:t xml:space="preserve">an </w:t>
      </w:r>
      <w:r w:rsidRPr="000B3322">
        <w:rPr>
          <w:rFonts w:cstheme="minorBidi"/>
          <w:color w:val="000000" w:themeColor="text1"/>
          <w:lang w:val="en-US"/>
        </w:rPr>
        <w:t>exchange of views.</w:t>
      </w:r>
      <w:r>
        <w:rPr>
          <w:rFonts w:cstheme="minorBidi"/>
          <w:color w:val="000000" w:themeColor="text1"/>
          <w:lang w:val="en-US"/>
        </w:rPr>
        <w:t xml:space="preserve"> </w:t>
      </w:r>
      <w:r w:rsidR="00AE6930">
        <w:rPr>
          <w:rFonts w:cstheme="minorBidi"/>
          <w:color w:val="000000" w:themeColor="text1"/>
          <w:lang w:val="en-US"/>
        </w:rPr>
        <w:t>A brief</w:t>
      </w:r>
      <w:r>
        <w:rPr>
          <w:rFonts w:cstheme="minorBidi"/>
          <w:color w:val="000000" w:themeColor="text1"/>
          <w:lang w:val="en-US"/>
        </w:rPr>
        <w:t xml:space="preserve"> summar</w:t>
      </w:r>
      <w:r w:rsidR="00AE6930">
        <w:rPr>
          <w:rFonts w:cstheme="minorBidi"/>
          <w:color w:val="000000" w:themeColor="text1"/>
          <w:lang w:val="en-US"/>
        </w:rPr>
        <w:t>y</w:t>
      </w:r>
      <w:r>
        <w:rPr>
          <w:rFonts w:cstheme="minorBidi"/>
          <w:color w:val="000000" w:themeColor="text1"/>
          <w:lang w:val="en-US"/>
        </w:rPr>
        <w:t xml:space="preserve"> of </w:t>
      </w:r>
      <w:r w:rsidR="001B2718">
        <w:rPr>
          <w:rFonts w:cstheme="minorBidi"/>
          <w:color w:val="000000" w:themeColor="text1"/>
          <w:lang w:val="en-US"/>
        </w:rPr>
        <w:t xml:space="preserve">each </w:t>
      </w:r>
      <w:r w:rsidRPr="000B3322">
        <w:rPr>
          <w:rFonts w:cstheme="minorBidi"/>
          <w:color w:val="000000" w:themeColor="text1"/>
          <w:lang w:val="en-US"/>
        </w:rPr>
        <w:t xml:space="preserve">breakout session </w:t>
      </w:r>
      <w:r w:rsidR="00AE6930">
        <w:rPr>
          <w:rFonts w:cstheme="minorBidi"/>
          <w:color w:val="000000" w:themeColor="text1"/>
          <w:lang w:val="en-US"/>
        </w:rPr>
        <w:t>is</w:t>
      </w:r>
      <w:r>
        <w:rPr>
          <w:rFonts w:cstheme="minorBidi"/>
          <w:color w:val="000000" w:themeColor="text1"/>
          <w:lang w:val="en-US"/>
        </w:rPr>
        <w:t xml:space="preserve"> described </w:t>
      </w:r>
      <w:r w:rsidR="001B2718">
        <w:rPr>
          <w:rFonts w:cstheme="minorBidi"/>
          <w:color w:val="000000" w:themeColor="text1"/>
          <w:lang w:val="en-US"/>
        </w:rPr>
        <w:t xml:space="preserve">under each corresponding </w:t>
      </w:r>
      <w:r>
        <w:rPr>
          <w:rFonts w:cstheme="minorBidi"/>
          <w:color w:val="000000" w:themeColor="text1"/>
          <w:lang w:val="en-US"/>
        </w:rPr>
        <w:t xml:space="preserve">agenda item. </w:t>
      </w:r>
      <w:r w:rsidR="001B2718">
        <w:rPr>
          <w:rFonts w:cstheme="minorBidi"/>
          <w:color w:val="000000" w:themeColor="text1"/>
          <w:lang w:val="en-US"/>
        </w:rPr>
        <w:t>Full s</w:t>
      </w:r>
      <w:r>
        <w:rPr>
          <w:rFonts w:cstheme="minorBidi"/>
          <w:color w:val="000000" w:themeColor="text1"/>
          <w:lang w:val="en-US"/>
        </w:rPr>
        <w:t>ummar</w:t>
      </w:r>
      <w:r w:rsidR="00AE6930">
        <w:rPr>
          <w:rFonts w:cstheme="minorBidi"/>
          <w:color w:val="000000" w:themeColor="text1"/>
          <w:lang w:val="en-US"/>
        </w:rPr>
        <w:t>ies</w:t>
      </w:r>
      <w:r>
        <w:rPr>
          <w:rFonts w:cstheme="minorBidi"/>
          <w:color w:val="000000" w:themeColor="text1"/>
          <w:lang w:val="en-US"/>
        </w:rPr>
        <w:t xml:space="preserve"> of discussions </w:t>
      </w:r>
      <w:r w:rsidR="00AE6930">
        <w:rPr>
          <w:rFonts w:cstheme="minorBidi"/>
          <w:color w:val="000000" w:themeColor="text1"/>
          <w:lang w:val="en-US"/>
        </w:rPr>
        <w:t xml:space="preserve">of </w:t>
      </w:r>
      <w:r w:rsidR="007B7216">
        <w:rPr>
          <w:rFonts w:cstheme="minorBidi"/>
          <w:color w:val="000000" w:themeColor="text1"/>
          <w:lang w:val="en-US"/>
        </w:rPr>
        <w:t xml:space="preserve">the </w:t>
      </w:r>
      <w:r w:rsidR="00AE6930" w:rsidRPr="000B3322">
        <w:rPr>
          <w:rFonts w:cstheme="minorBidi"/>
          <w:color w:val="000000" w:themeColor="text1"/>
          <w:lang w:val="en-US"/>
        </w:rPr>
        <w:t>breakout sessions</w:t>
      </w:r>
      <w:r w:rsidR="00AE6930">
        <w:rPr>
          <w:rFonts w:cstheme="minorBidi"/>
          <w:color w:val="000000" w:themeColor="text1"/>
          <w:lang w:val="en-US"/>
        </w:rPr>
        <w:t xml:space="preserve"> </w:t>
      </w:r>
      <w:r>
        <w:rPr>
          <w:rFonts w:cstheme="minorBidi"/>
          <w:color w:val="000000" w:themeColor="text1"/>
          <w:lang w:val="en-US"/>
        </w:rPr>
        <w:t xml:space="preserve">are provided in </w:t>
      </w:r>
      <w:r w:rsidRPr="004D22C2">
        <w:rPr>
          <w:rFonts w:cstheme="minorBidi"/>
          <w:b/>
          <w:bCs/>
          <w:color w:val="000000" w:themeColor="text1"/>
          <w:lang w:val="en-US"/>
        </w:rPr>
        <w:t>Annex 2</w:t>
      </w:r>
      <w:r w:rsidR="001B2718">
        <w:rPr>
          <w:rFonts w:cstheme="minorBidi"/>
          <w:color w:val="000000" w:themeColor="text1"/>
          <w:lang w:val="en-US"/>
        </w:rPr>
        <w:t>. A d</w:t>
      </w:r>
      <w:r w:rsidR="001B2718">
        <w:t>ebriefing on informal sessions on regional initiatives can be found in d</w:t>
      </w:r>
      <w:r w:rsidR="001B2718" w:rsidRPr="00934A02">
        <w:t xml:space="preserve">ocument </w:t>
      </w:r>
      <w:hyperlink r:id="rId9" w:history="1">
        <w:r w:rsidR="001B2718" w:rsidRPr="00934A02">
          <w:rPr>
            <w:rStyle w:val="Hyperlink"/>
          </w:rPr>
          <w:t>TDAG-19/DT/11</w:t>
        </w:r>
      </w:hyperlink>
      <w:r w:rsidR="007B7216">
        <w:rPr>
          <w:rStyle w:val="Hyperlink"/>
        </w:rPr>
        <w:t>.</w:t>
      </w:r>
    </w:p>
    <w:p w14:paraId="56369AFB" w14:textId="4447C5BD" w:rsidR="002B0955" w:rsidRPr="007709CE" w:rsidRDefault="002B0955" w:rsidP="00810998">
      <w:pPr>
        <w:keepNext/>
        <w:spacing w:before="240" w:after="120"/>
        <w:ind w:left="357" w:hanging="357"/>
        <w:rPr>
          <w:rFonts w:cstheme="minorBidi"/>
          <w:b/>
          <w:bCs/>
          <w:color w:val="000000" w:themeColor="text1"/>
          <w:lang w:val="en-US"/>
        </w:rPr>
      </w:pPr>
      <w:r w:rsidRPr="4BA30F97">
        <w:rPr>
          <w:rFonts w:cstheme="minorBidi"/>
          <w:b/>
          <w:bCs/>
          <w:color w:val="000000" w:themeColor="text1"/>
          <w:lang w:val="en-US"/>
        </w:rPr>
        <w:t>Opening</w:t>
      </w:r>
    </w:p>
    <w:p w14:paraId="1241E508" w14:textId="2F3BAF40" w:rsidR="002B0955" w:rsidRPr="00D25C0F" w:rsidRDefault="002B0955" w:rsidP="00E51996">
      <w:pPr>
        <w:tabs>
          <w:tab w:val="clear" w:pos="1134"/>
          <w:tab w:val="clear" w:pos="1871"/>
          <w:tab w:val="clear" w:pos="2268"/>
        </w:tabs>
        <w:overflowPunct/>
        <w:autoSpaceDE/>
        <w:autoSpaceDN/>
        <w:adjustRightInd/>
        <w:textAlignment w:val="auto"/>
        <w:rPr>
          <w:rFonts w:cstheme="minorBidi"/>
          <w:b/>
          <w:bCs/>
          <w:color w:val="000000" w:themeColor="text1"/>
          <w:szCs w:val="24"/>
        </w:rPr>
      </w:pPr>
      <w:r w:rsidRPr="2D9C0B70">
        <w:rPr>
          <w:rFonts w:cstheme="minorBidi"/>
          <w:color w:val="000000" w:themeColor="text1"/>
          <w:lang w:val="en-US"/>
        </w:rPr>
        <w:t xml:space="preserve">The Chairman of TDAG, </w:t>
      </w:r>
      <w:r w:rsidRPr="2D9C0B70">
        <w:rPr>
          <w:rFonts w:eastAsiaTheme="minorEastAsia" w:cstheme="minorBidi"/>
          <w:color w:val="000000" w:themeColor="text1"/>
          <w:lang w:val="en-US"/>
        </w:rPr>
        <w:t>Ms Roxanne McElvane Webber</w:t>
      </w:r>
      <w:r>
        <w:rPr>
          <w:rFonts w:eastAsiaTheme="minorEastAsia" w:cstheme="minorBidi"/>
          <w:color w:val="000000" w:themeColor="text1"/>
          <w:lang w:val="en-US"/>
        </w:rPr>
        <w:t xml:space="preserve"> (</w:t>
      </w:r>
      <w:r w:rsidRPr="006052D5">
        <w:rPr>
          <w:rFonts w:eastAsiaTheme="minorEastAsia" w:cstheme="minorBidi"/>
          <w:b/>
          <w:color w:val="000000" w:themeColor="text1"/>
          <w:lang w:val="en-US"/>
        </w:rPr>
        <w:t>United States</w:t>
      </w:r>
      <w:r>
        <w:rPr>
          <w:rFonts w:eastAsiaTheme="minorEastAsia" w:cstheme="minorBidi"/>
          <w:color w:val="000000" w:themeColor="text1"/>
          <w:lang w:val="en-US"/>
        </w:rPr>
        <w:t>)</w:t>
      </w:r>
      <w:r w:rsidRPr="2D9C0B70">
        <w:rPr>
          <w:rFonts w:cstheme="minorBidi"/>
          <w:color w:val="000000" w:themeColor="text1"/>
          <w:lang w:val="en-US"/>
        </w:rPr>
        <w:t>, opened the 2</w:t>
      </w:r>
      <w:r w:rsidR="00333762">
        <w:rPr>
          <w:rFonts w:cstheme="minorBidi"/>
          <w:color w:val="000000" w:themeColor="text1"/>
          <w:lang w:val="en-US"/>
        </w:rPr>
        <w:t>4th</w:t>
      </w:r>
      <w:r w:rsidRPr="2D9C0B70">
        <w:rPr>
          <w:rFonts w:cstheme="minorBidi"/>
          <w:color w:val="000000" w:themeColor="text1"/>
          <w:lang w:val="en-US"/>
        </w:rPr>
        <w:t xml:space="preserve"> meeting on </w:t>
      </w:r>
      <w:r w:rsidR="00333762">
        <w:rPr>
          <w:rFonts w:cstheme="minorBidi"/>
          <w:color w:val="000000" w:themeColor="text1"/>
          <w:lang w:val="en-US"/>
        </w:rPr>
        <w:t xml:space="preserve">3 </w:t>
      </w:r>
      <w:r w:rsidRPr="2D9C0B70">
        <w:rPr>
          <w:rFonts w:cstheme="minorBidi"/>
          <w:color w:val="000000" w:themeColor="text1"/>
          <w:lang w:val="en-US"/>
        </w:rPr>
        <w:t>April 201</w:t>
      </w:r>
      <w:r w:rsidR="007B7216">
        <w:rPr>
          <w:rFonts w:cstheme="minorBidi"/>
          <w:color w:val="000000" w:themeColor="text1"/>
          <w:lang w:val="en-US"/>
        </w:rPr>
        <w:t>9</w:t>
      </w:r>
      <w:r>
        <w:rPr>
          <w:rFonts w:cstheme="minorBidi"/>
          <w:color w:val="000000" w:themeColor="text1"/>
          <w:lang w:val="en-US"/>
        </w:rPr>
        <w:t xml:space="preserve">, </w:t>
      </w:r>
      <w:r w:rsidRPr="2D9C0B70">
        <w:rPr>
          <w:rFonts w:cstheme="minorBidi"/>
          <w:color w:val="000000" w:themeColor="text1"/>
          <w:lang w:val="en-US"/>
        </w:rPr>
        <w:t>welcom</w:t>
      </w:r>
      <w:r>
        <w:rPr>
          <w:rFonts w:cstheme="minorBidi"/>
          <w:color w:val="000000" w:themeColor="text1"/>
          <w:lang w:val="en-US"/>
        </w:rPr>
        <w:t>ing</w:t>
      </w:r>
      <w:r w:rsidRPr="2D9C0B70">
        <w:rPr>
          <w:rFonts w:cstheme="minorBidi"/>
          <w:color w:val="000000" w:themeColor="text1"/>
          <w:lang w:val="en-US"/>
        </w:rPr>
        <w:t xml:space="preserve"> </w:t>
      </w:r>
      <w:r>
        <w:rPr>
          <w:rFonts w:cstheme="minorBidi"/>
          <w:color w:val="000000" w:themeColor="text1"/>
          <w:lang w:val="en-US"/>
        </w:rPr>
        <w:t xml:space="preserve">the </w:t>
      </w:r>
      <w:r w:rsidRPr="2D9C0B70">
        <w:rPr>
          <w:rFonts w:cstheme="minorBidi"/>
          <w:color w:val="000000" w:themeColor="text1"/>
          <w:lang w:val="en-US"/>
        </w:rPr>
        <w:t>participants and elected officials. With her on the podium were Mr Houlin Zhao, ITU Secret</w:t>
      </w:r>
      <w:r>
        <w:rPr>
          <w:rFonts w:cstheme="minorBidi"/>
          <w:color w:val="000000" w:themeColor="text1"/>
          <w:lang w:val="en-US"/>
        </w:rPr>
        <w:t>ary-General</w:t>
      </w:r>
      <w:r w:rsidR="00AD0D25">
        <w:rPr>
          <w:rFonts w:cstheme="minorBidi"/>
          <w:color w:val="000000" w:themeColor="text1"/>
          <w:lang w:val="en-US"/>
        </w:rPr>
        <w:t>;</w:t>
      </w:r>
      <w:r>
        <w:rPr>
          <w:rFonts w:cstheme="minorBidi"/>
          <w:color w:val="000000" w:themeColor="text1"/>
          <w:lang w:val="en-US"/>
        </w:rPr>
        <w:t xml:space="preserve"> </w:t>
      </w:r>
      <w:r w:rsidRPr="2D9C0B70">
        <w:rPr>
          <w:rFonts w:cstheme="minorBidi"/>
          <w:color w:val="000000" w:themeColor="text1"/>
          <w:lang w:val="en-US"/>
        </w:rPr>
        <w:t>Mr Malcolm Johnson, ITU Deputy Secretary-General</w:t>
      </w:r>
      <w:r w:rsidR="00AD0D25">
        <w:rPr>
          <w:rFonts w:cstheme="minorBidi"/>
          <w:color w:val="000000" w:themeColor="text1"/>
          <w:lang w:val="en-US"/>
        </w:rPr>
        <w:t>;</w:t>
      </w:r>
      <w:r w:rsidRPr="2D9C0B70">
        <w:rPr>
          <w:rFonts w:cstheme="minorBidi"/>
          <w:color w:val="000000" w:themeColor="text1"/>
          <w:lang w:val="en-US"/>
        </w:rPr>
        <w:t xml:space="preserve"> M</w:t>
      </w:r>
      <w:r w:rsidR="00333762">
        <w:rPr>
          <w:rFonts w:cstheme="minorBidi"/>
          <w:color w:val="000000" w:themeColor="text1"/>
          <w:lang w:val="en-US"/>
        </w:rPr>
        <w:t>s</w:t>
      </w:r>
      <w:r w:rsidRPr="2D9C0B70">
        <w:rPr>
          <w:rFonts w:cstheme="minorBidi"/>
          <w:color w:val="000000" w:themeColor="text1"/>
          <w:lang w:val="en-US"/>
        </w:rPr>
        <w:t xml:space="preserve"> </w:t>
      </w:r>
      <w:r w:rsidR="00333762">
        <w:rPr>
          <w:rFonts w:cstheme="minorBidi"/>
          <w:color w:val="000000" w:themeColor="text1"/>
          <w:lang w:val="en-US"/>
        </w:rPr>
        <w:t>Doreen Bogdan</w:t>
      </w:r>
      <w:r w:rsidR="005C2359">
        <w:rPr>
          <w:rFonts w:cstheme="minorBidi"/>
          <w:color w:val="000000" w:themeColor="text1"/>
          <w:lang w:val="en-US"/>
        </w:rPr>
        <w:t>-Martin</w:t>
      </w:r>
      <w:r w:rsidRPr="2D9C0B70">
        <w:rPr>
          <w:rFonts w:cstheme="minorBidi"/>
          <w:color w:val="000000" w:themeColor="text1"/>
          <w:lang w:val="en-US"/>
        </w:rPr>
        <w:t>, Director of the ITU Telecommunication Development Bureau (BDT)</w:t>
      </w:r>
      <w:r w:rsidR="00AD0D25">
        <w:rPr>
          <w:rFonts w:cstheme="minorBidi"/>
          <w:color w:val="000000" w:themeColor="text1"/>
          <w:lang w:val="en-US"/>
        </w:rPr>
        <w:t>;</w:t>
      </w:r>
      <w:r w:rsidRPr="2D9C0B70">
        <w:rPr>
          <w:rFonts w:cstheme="minorBidi"/>
          <w:color w:val="000000" w:themeColor="text1"/>
          <w:lang w:val="en-US"/>
        </w:rPr>
        <w:t xml:space="preserve"> </w:t>
      </w:r>
      <w:r w:rsidR="00333762">
        <w:rPr>
          <w:rFonts w:cstheme="minorBidi"/>
          <w:color w:val="000000" w:themeColor="text1"/>
          <w:lang w:val="en-US"/>
        </w:rPr>
        <w:t xml:space="preserve">Mr </w:t>
      </w:r>
      <w:r w:rsidR="00333762">
        <w:rPr>
          <w:rFonts w:cstheme="minorBidi"/>
          <w:color w:val="000000" w:themeColor="text1"/>
          <w:lang w:val="en-US"/>
        </w:rPr>
        <w:lastRenderedPageBreak/>
        <w:t>Chaesub Lee</w:t>
      </w:r>
      <w:r w:rsidR="00333762" w:rsidRPr="2D9C0B70">
        <w:rPr>
          <w:rFonts w:cstheme="minorBidi"/>
          <w:color w:val="000000" w:themeColor="text1"/>
          <w:lang w:val="en-US"/>
        </w:rPr>
        <w:t xml:space="preserve">, Director of the ITU Telecommunication </w:t>
      </w:r>
      <w:r w:rsidR="007B7216">
        <w:rPr>
          <w:rFonts w:cstheme="minorBidi"/>
          <w:color w:val="000000" w:themeColor="text1"/>
          <w:lang w:val="en-US"/>
        </w:rPr>
        <w:t xml:space="preserve">Standardization </w:t>
      </w:r>
      <w:r w:rsidR="00333762" w:rsidRPr="2D9C0B70">
        <w:rPr>
          <w:rFonts w:cstheme="minorBidi"/>
          <w:color w:val="000000" w:themeColor="text1"/>
          <w:lang w:val="en-US"/>
        </w:rPr>
        <w:t>Bureau</w:t>
      </w:r>
      <w:r w:rsidR="005D7383">
        <w:rPr>
          <w:rFonts w:cstheme="minorBidi"/>
          <w:color w:val="000000" w:themeColor="text1"/>
          <w:lang w:val="en-US"/>
        </w:rPr>
        <w:t>;</w:t>
      </w:r>
      <w:r w:rsidR="00333762">
        <w:rPr>
          <w:rFonts w:cstheme="minorBidi"/>
          <w:color w:val="000000" w:themeColor="text1"/>
          <w:lang w:val="en-US"/>
        </w:rPr>
        <w:t xml:space="preserve"> </w:t>
      </w:r>
      <w:r w:rsidRPr="2D9C0B70">
        <w:rPr>
          <w:rFonts w:cstheme="minorBidi"/>
          <w:color w:val="000000" w:themeColor="text1"/>
          <w:lang w:val="en-US"/>
        </w:rPr>
        <w:t xml:space="preserve">and Mr Yushi Torigoe, Deputy to the Director </w:t>
      </w:r>
      <w:r w:rsidR="005D7383">
        <w:rPr>
          <w:rFonts w:cstheme="minorBidi"/>
          <w:color w:val="000000" w:themeColor="text1"/>
          <w:lang w:val="en-US"/>
        </w:rPr>
        <w:t xml:space="preserve">of BDT </w:t>
      </w:r>
      <w:r w:rsidRPr="2D9C0B70">
        <w:rPr>
          <w:rFonts w:cstheme="minorBidi"/>
          <w:color w:val="000000" w:themeColor="text1"/>
          <w:lang w:val="en-US"/>
        </w:rPr>
        <w:t>and Secretary of the meeting.</w:t>
      </w:r>
      <w:r>
        <w:rPr>
          <w:rFonts w:cstheme="minorBidi"/>
          <w:color w:val="000000" w:themeColor="text1"/>
          <w:lang w:val="en-US"/>
        </w:rPr>
        <w:t xml:space="preserve"> Ms Webber introduced the TDAG Vice Chairmen by </w:t>
      </w:r>
      <w:r w:rsidR="00023645">
        <w:rPr>
          <w:rFonts w:cstheme="minorBidi"/>
          <w:color w:val="000000" w:themeColor="text1"/>
          <w:lang w:val="en-US"/>
        </w:rPr>
        <w:t xml:space="preserve">study group and </w:t>
      </w:r>
      <w:r>
        <w:rPr>
          <w:rFonts w:cstheme="minorBidi"/>
          <w:color w:val="000000" w:themeColor="text1"/>
          <w:lang w:val="en-US"/>
        </w:rPr>
        <w:t>region:</w:t>
      </w:r>
      <w:r w:rsidR="00023645" w:rsidRPr="00023645">
        <w:t xml:space="preserve"> </w:t>
      </w:r>
      <w:r w:rsidR="00023645" w:rsidRPr="00023645">
        <w:rPr>
          <w:rFonts w:cstheme="minorBidi"/>
          <w:color w:val="000000" w:themeColor="text1"/>
          <w:lang w:val="en-US"/>
        </w:rPr>
        <w:t>Ms Regina Fleur Assoumou Bessou</w:t>
      </w:r>
      <w:r w:rsidR="00023645">
        <w:rPr>
          <w:rFonts w:cstheme="minorBidi"/>
          <w:color w:val="000000" w:themeColor="text1"/>
          <w:lang w:val="en-US"/>
        </w:rPr>
        <w:t xml:space="preserve"> (</w:t>
      </w:r>
      <w:r w:rsidR="00023645" w:rsidRPr="004D22C2">
        <w:rPr>
          <w:rFonts w:cstheme="minorBidi"/>
          <w:b/>
          <w:bCs/>
          <w:color w:val="000000" w:themeColor="text1"/>
          <w:lang w:val="en-US"/>
        </w:rPr>
        <w:t>Study Group 1</w:t>
      </w:r>
      <w:r w:rsidR="00023645">
        <w:rPr>
          <w:rFonts w:cstheme="minorBidi"/>
          <w:color w:val="000000" w:themeColor="text1"/>
          <w:lang w:val="en-US"/>
        </w:rPr>
        <w:t>),</w:t>
      </w:r>
      <w:r w:rsidR="00023645" w:rsidRPr="00023645">
        <w:t xml:space="preserve"> </w:t>
      </w:r>
      <w:r w:rsidR="00023645" w:rsidRPr="00023645">
        <w:rPr>
          <w:rFonts w:cstheme="minorBidi"/>
          <w:color w:val="000000" w:themeColor="text1"/>
          <w:lang w:val="en-US"/>
        </w:rPr>
        <w:t>Mr Ahmad Reza Sharafat</w:t>
      </w:r>
      <w:r w:rsidR="00023645">
        <w:rPr>
          <w:rFonts w:cstheme="minorBidi"/>
          <w:color w:val="000000" w:themeColor="text1"/>
          <w:lang w:val="en-US"/>
        </w:rPr>
        <w:t xml:space="preserve"> (</w:t>
      </w:r>
      <w:r w:rsidR="00023645" w:rsidRPr="004D22C2">
        <w:rPr>
          <w:rFonts w:cstheme="minorBidi"/>
          <w:b/>
          <w:bCs/>
          <w:color w:val="000000" w:themeColor="text1"/>
          <w:lang w:val="en-US"/>
        </w:rPr>
        <w:t>Study Group 2</w:t>
      </w:r>
      <w:r w:rsidR="00023645">
        <w:rPr>
          <w:rFonts w:cstheme="minorBidi"/>
          <w:color w:val="000000" w:themeColor="text1"/>
          <w:lang w:val="en-US"/>
        </w:rPr>
        <w:t>),</w:t>
      </w:r>
      <w:r>
        <w:rPr>
          <w:rFonts w:cstheme="minorBidi"/>
          <w:color w:val="000000" w:themeColor="text1"/>
          <w:lang w:val="en-US"/>
        </w:rPr>
        <w:t xml:space="preserve"> </w:t>
      </w:r>
      <w:r w:rsidRPr="006052D5">
        <w:rPr>
          <w:rFonts w:cstheme="minorHAnsi"/>
          <w:color w:val="000000"/>
          <w:szCs w:val="24"/>
          <w:shd w:val="clear" w:color="auto" w:fill="FFFFFF"/>
          <w:lang w:val="en-US"/>
        </w:rPr>
        <w:t>Mr Christopher Kemei (</w:t>
      </w:r>
      <w:r w:rsidRPr="006052D5">
        <w:rPr>
          <w:rFonts w:cstheme="minorHAnsi"/>
          <w:b/>
          <w:color w:val="000000"/>
          <w:szCs w:val="24"/>
          <w:shd w:val="clear" w:color="auto" w:fill="FFFFFF"/>
          <w:lang w:val="en-US"/>
        </w:rPr>
        <w:t>Kenya</w:t>
      </w:r>
      <w:r w:rsidRPr="006052D5">
        <w:rPr>
          <w:rFonts w:cstheme="minorHAnsi"/>
          <w:color w:val="000000"/>
          <w:szCs w:val="24"/>
          <w:shd w:val="clear" w:color="auto" w:fill="FFFFFF"/>
          <w:lang w:val="en-US"/>
        </w:rPr>
        <w:t>), Mr Abdulkarim Oloyede (</w:t>
      </w:r>
      <w:r w:rsidRPr="006052D5">
        <w:rPr>
          <w:rFonts w:cstheme="minorHAnsi"/>
          <w:b/>
          <w:color w:val="000000"/>
          <w:szCs w:val="24"/>
          <w:shd w:val="clear" w:color="auto" w:fill="FFFFFF"/>
          <w:lang w:val="en-US"/>
        </w:rPr>
        <w:t>Nigeria</w:t>
      </w:r>
      <w:r w:rsidRPr="006052D5">
        <w:rPr>
          <w:rFonts w:cstheme="minorHAnsi"/>
          <w:color w:val="000000"/>
          <w:szCs w:val="24"/>
          <w:shd w:val="clear" w:color="auto" w:fill="FFFFFF"/>
          <w:lang w:val="en-US"/>
        </w:rPr>
        <w:t>), Mr Al-</w:t>
      </w:r>
      <w:r w:rsidR="00E51996">
        <w:rPr>
          <w:rFonts w:cstheme="minorHAnsi"/>
          <w:color w:val="000000"/>
          <w:szCs w:val="24"/>
          <w:shd w:val="clear" w:color="auto" w:fill="FFFFFF"/>
          <w:lang w:val="en-US"/>
        </w:rPr>
        <w:t>a</w:t>
      </w:r>
      <w:r w:rsidRPr="006052D5">
        <w:rPr>
          <w:rFonts w:cstheme="minorHAnsi"/>
          <w:color w:val="000000"/>
          <w:szCs w:val="24"/>
          <w:shd w:val="clear" w:color="auto" w:fill="FFFFFF"/>
          <w:lang w:val="en-US"/>
        </w:rPr>
        <w:t>nsari Almashakbeh (</w:t>
      </w:r>
      <w:r w:rsidRPr="006052D5">
        <w:rPr>
          <w:rFonts w:cstheme="minorHAnsi"/>
          <w:b/>
          <w:color w:val="000000"/>
          <w:szCs w:val="24"/>
          <w:shd w:val="clear" w:color="auto" w:fill="FFFFFF"/>
          <w:lang w:val="en-US"/>
        </w:rPr>
        <w:t>Jordan</w:t>
      </w:r>
      <w:r w:rsidRPr="006052D5">
        <w:rPr>
          <w:rFonts w:cstheme="minorHAnsi"/>
          <w:color w:val="000000"/>
          <w:szCs w:val="24"/>
          <w:shd w:val="clear" w:color="auto" w:fill="FFFFFF"/>
          <w:lang w:val="en-US"/>
        </w:rPr>
        <w:t>), Mr Arseny Plossky (</w:t>
      </w:r>
      <w:r w:rsidRPr="006052D5">
        <w:rPr>
          <w:rFonts w:cstheme="minorHAnsi"/>
          <w:b/>
          <w:color w:val="000000"/>
          <w:szCs w:val="24"/>
          <w:shd w:val="clear" w:color="auto" w:fill="FFFFFF"/>
          <w:lang w:val="en-US"/>
        </w:rPr>
        <w:t>Russian Federation</w:t>
      </w:r>
      <w:r w:rsidRPr="006052D5">
        <w:rPr>
          <w:rFonts w:cstheme="minorHAnsi"/>
          <w:color w:val="000000"/>
          <w:szCs w:val="24"/>
          <w:shd w:val="clear" w:color="auto" w:fill="FFFFFF"/>
          <w:lang w:val="en-US"/>
        </w:rPr>
        <w:t>), Mr Wim Rullens (</w:t>
      </w:r>
      <w:r w:rsidRPr="006052D5">
        <w:rPr>
          <w:rFonts w:cstheme="minorHAnsi"/>
          <w:b/>
          <w:color w:val="000000"/>
          <w:szCs w:val="24"/>
          <w:shd w:val="clear" w:color="auto" w:fill="FFFFFF"/>
          <w:lang w:val="en-US"/>
        </w:rPr>
        <w:t>Netherlands</w:t>
      </w:r>
      <w:r w:rsidRPr="006052D5">
        <w:rPr>
          <w:rFonts w:cstheme="minorHAnsi"/>
          <w:color w:val="000000"/>
          <w:szCs w:val="24"/>
          <w:shd w:val="clear" w:color="auto" w:fill="FFFFFF"/>
          <w:lang w:val="en-US"/>
        </w:rPr>
        <w:t xml:space="preserve">), </w:t>
      </w:r>
      <w:r>
        <w:rPr>
          <w:rFonts w:cstheme="minorHAnsi"/>
          <w:color w:val="000000"/>
          <w:szCs w:val="24"/>
          <w:shd w:val="clear" w:color="auto" w:fill="FFFFFF"/>
          <w:lang w:val="en-US"/>
        </w:rPr>
        <w:t xml:space="preserve">and </w:t>
      </w:r>
      <w:r w:rsidRPr="006052D5">
        <w:rPr>
          <w:rFonts w:cstheme="minorHAnsi"/>
          <w:color w:val="000000"/>
          <w:szCs w:val="24"/>
          <w:shd w:val="clear" w:color="auto" w:fill="FFFFFF"/>
          <w:lang w:val="en-US"/>
        </w:rPr>
        <w:t>Ms Blanca Gonzalez (</w:t>
      </w:r>
      <w:r w:rsidRPr="006052D5">
        <w:rPr>
          <w:rFonts w:cstheme="minorHAnsi"/>
          <w:b/>
          <w:color w:val="000000"/>
          <w:szCs w:val="24"/>
          <w:shd w:val="clear" w:color="auto" w:fill="FFFFFF"/>
          <w:lang w:val="en-US"/>
        </w:rPr>
        <w:t>Spain</w:t>
      </w:r>
      <w:r w:rsidRPr="006052D5">
        <w:rPr>
          <w:rFonts w:cstheme="minorHAnsi"/>
          <w:color w:val="000000"/>
          <w:sz w:val="27"/>
          <w:szCs w:val="27"/>
          <w:shd w:val="clear" w:color="auto" w:fill="FFFFFF"/>
          <w:lang w:val="en-US"/>
        </w:rPr>
        <w:t>)</w:t>
      </w:r>
      <w:r>
        <w:rPr>
          <w:rFonts w:cstheme="minorHAnsi"/>
          <w:color w:val="000000"/>
          <w:sz w:val="27"/>
          <w:szCs w:val="27"/>
          <w:shd w:val="clear" w:color="auto" w:fill="FFFFFF"/>
          <w:lang w:val="en-US"/>
        </w:rPr>
        <w:t>.</w:t>
      </w:r>
      <w:r>
        <w:rPr>
          <w:rFonts w:cstheme="minorHAnsi"/>
          <w:color w:val="000000"/>
          <w:szCs w:val="24"/>
          <w:vertAlign w:val="superscript"/>
          <w:lang w:val="en-US"/>
        </w:rPr>
        <w:t>.</w:t>
      </w:r>
      <w:r>
        <w:rPr>
          <w:rStyle w:val="FootnoteReference"/>
          <w:rFonts w:cstheme="minorHAnsi"/>
          <w:color w:val="000000"/>
          <w:szCs w:val="24"/>
          <w:vertAlign w:val="superscript"/>
          <w:lang w:val="en-US"/>
        </w:rPr>
        <w:footnoteReference w:id="2"/>
      </w:r>
    </w:p>
    <w:p w14:paraId="5252682C" w14:textId="73592D62" w:rsidR="003F186F" w:rsidRDefault="00BD73B5" w:rsidP="00810998">
      <w:pPr>
        <w:pStyle w:val="ListParagraph"/>
        <w:keepNext/>
        <w:numPr>
          <w:ilvl w:val="0"/>
          <w:numId w:val="1"/>
        </w:numPr>
        <w:spacing w:before="240" w:after="120"/>
        <w:ind w:left="357" w:hanging="357"/>
        <w:contextualSpacing w:val="0"/>
        <w:rPr>
          <w:rStyle w:val="StyleComplex12pt"/>
          <w:rFonts w:cstheme="minorHAnsi"/>
          <w:b/>
          <w:bCs/>
        </w:rPr>
      </w:pPr>
      <w:r w:rsidRPr="003F186F">
        <w:rPr>
          <w:rStyle w:val="StyleComplex12pt"/>
          <w:rFonts w:cstheme="minorHAnsi"/>
          <w:b/>
          <w:bCs/>
        </w:rPr>
        <w:t>Address by the Secretary-General</w:t>
      </w:r>
      <w:r w:rsidR="3E5B1B58" w:rsidRPr="003F186F">
        <w:rPr>
          <w:rStyle w:val="StyleComplex12pt"/>
          <w:rFonts w:cstheme="minorHAnsi"/>
          <w:b/>
          <w:bCs/>
        </w:rPr>
        <w:t xml:space="preserve"> </w:t>
      </w:r>
    </w:p>
    <w:p w14:paraId="72471EAB" w14:textId="77777777" w:rsidR="003F186F" w:rsidRPr="004C0883" w:rsidRDefault="003F186F" w:rsidP="004D22C2">
      <w:pPr>
        <w:rPr>
          <w:rFonts w:eastAsia="Calibri" w:cs="Calibri"/>
          <w:szCs w:val="24"/>
        </w:rPr>
      </w:pPr>
      <w:r w:rsidRPr="004C0883">
        <w:rPr>
          <w:rFonts w:eastAsia="Calibri" w:cs="Calibri"/>
          <w:szCs w:val="24"/>
        </w:rPr>
        <w:t>Mr Houlin Zhao, ITU Secretary-General opened the 24th meeting of the Telecommunication Development Advisory Group and called on participants to observe a minute of silence: “ITU suffered a big loss in last month’s Airline crash. Today, we remember our dear colleagues from the Development Bureau, who worked in our Africa Regional Office, and who perished in this tragedy. Marcelino Tayob and Maygenet Abebe exemplified the best of ITU.”</w:t>
      </w:r>
    </w:p>
    <w:p w14:paraId="2D706BBA" w14:textId="77777777" w:rsidR="003F186F" w:rsidRPr="004C0883" w:rsidRDefault="003F186F" w:rsidP="004D22C2">
      <w:pPr>
        <w:rPr>
          <w:rFonts w:eastAsia="Calibri" w:cs="Calibri"/>
          <w:szCs w:val="24"/>
        </w:rPr>
      </w:pPr>
      <w:r w:rsidRPr="004C0883">
        <w:rPr>
          <w:rFonts w:eastAsia="Calibri" w:cs="Calibri"/>
          <w:szCs w:val="24"/>
        </w:rPr>
        <w:t>As this was the first TDAG meeting since the Plenipotentiary Conference in October-November 2018 (PP</w:t>
      </w:r>
      <w:r w:rsidRPr="004C0883">
        <w:rPr>
          <w:rFonts w:eastAsia="Calibri" w:cs="Calibri"/>
          <w:szCs w:val="24"/>
        </w:rPr>
        <w:noBreakHyphen/>
        <w:t>18), in Dubai, United Arab Emirates, the Secretary-General congratulated Ms Doreen Bogdan-Martin on her election as Director of BDT.</w:t>
      </w:r>
    </w:p>
    <w:p w14:paraId="4CE17DBC" w14:textId="260D331C" w:rsidR="003F186F" w:rsidRPr="004C0883" w:rsidRDefault="003F186F" w:rsidP="00AD0D25">
      <w:pPr>
        <w:rPr>
          <w:rFonts w:eastAsia="Calibri" w:cs="Calibri"/>
          <w:szCs w:val="24"/>
        </w:rPr>
      </w:pPr>
      <w:r w:rsidRPr="004C0883">
        <w:rPr>
          <w:rFonts w:eastAsia="Calibri" w:cs="Calibri"/>
          <w:szCs w:val="24"/>
        </w:rPr>
        <w:t>Highlighting the main conclusions of PP-18, including a new Strategic Plan for ITU for 2020-2023, with bold and ambitious targets, and a reinforced role of ITU in areas ranging from deploying future networks in developing countries to strengthening ITU regional presence to building security and confidence in the use of ICTs, the Secretary-General also noted the new areas of work for ITU, approved in Dubai, including bridging the financial inclusion gap, fostering innovation to support the digital economy and society, and encouraging the participation of small and medium-sized enterprises in the activities of the Union.</w:t>
      </w:r>
    </w:p>
    <w:p w14:paraId="01A173DC" w14:textId="3BB40474" w:rsidR="003F186F" w:rsidRPr="004C0883" w:rsidRDefault="003F186F" w:rsidP="00AD0D25">
      <w:pPr>
        <w:rPr>
          <w:szCs w:val="24"/>
        </w:rPr>
      </w:pPr>
      <w:r w:rsidRPr="004C0883">
        <w:rPr>
          <w:rFonts w:cs="Arial"/>
          <w:color w:val="000000"/>
          <w:szCs w:val="24"/>
        </w:rPr>
        <w:t xml:space="preserve">The Secretary-General </w:t>
      </w:r>
      <w:r w:rsidRPr="004C0883">
        <w:rPr>
          <w:szCs w:val="24"/>
        </w:rPr>
        <w:t>urged TDAG to increase efforts to encourage investments in ICT development. “</w:t>
      </w:r>
      <w:r w:rsidRPr="004C0883">
        <w:rPr>
          <w:szCs w:val="24"/>
          <w:lang w:val="en-US"/>
        </w:rPr>
        <w:t>What you do here during the course of this meeting will help us continue to leverage technology to accelerate progress toward</w:t>
      </w:r>
      <w:r w:rsidR="00AD0D25">
        <w:rPr>
          <w:szCs w:val="24"/>
          <w:lang w:val="en-US"/>
        </w:rPr>
        <w:t>s</w:t>
      </w:r>
      <w:r w:rsidRPr="004C0883">
        <w:rPr>
          <w:szCs w:val="24"/>
          <w:lang w:val="en-US"/>
        </w:rPr>
        <w:t xml:space="preserve"> the Sustainable Development Goals and deliver on the promise of the digital economy.” He then highlighted some of the upcoming events and invited TDAG participants to attend:  </w:t>
      </w:r>
      <w:r w:rsidRPr="004C0883">
        <w:rPr>
          <w:szCs w:val="24"/>
        </w:rPr>
        <w:t>WSIS Forum 2019 in Geneva, Switzerland (8 to 12 April 2019)</w:t>
      </w:r>
      <w:r w:rsidR="00AD0D25">
        <w:rPr>
          <w:szCs w:val="24"/>
        </w:rPr>
        <w:t>;</w:t>
      </w:r>
      <w:r w:rsidRPr="004C0883">
        <w:rPr>
          <w:szCs w:val="24"/>
        </w:rPr>
        <w:t xml:space="preserve"> AI for Good Global Summit in Geneva, Switzerland (28 to 31 May 2019)</w:t>
      </w:r>
      <w:r w:rsidR="00AD0D25">
        <w:rPr>
          <w:szCs w:val="24"/>
        </w:rPr>
        <w:t>;</w:t>
      </w:r>
      <w:r w:rsidRPr="004C0883">
        <w:rPr>
          <w:szCs w:val="24"/>
        </w:rPr>
        <w:t xml:space="preserve"> the 19th edition of </w:t>
      </w:r>
      <w:r w:rsidR="00AD0D25">
        <w:rPr>
          <w:szCs w:val="24"/>
        </w:rPr>
        <w:t xml:space="preserve">the </w:t>
      </w:r>
      <w:r w:rsidRPr="004C0883">
        <w:rPr>
          <w:szCs w:val="24"/>
        </w:rPr>
        <w:t>Global Symposium for Regulators in Port Vila, Vanuatu (9 to 12 July 2019)</w:t>
      </w:r>
      <w:r w:rsidR="00AD0D25">
        <w:rPr>
          <w:szCs w:val="24"/>
        </w:rPr>
        <w:t>;</w:t>
      </w:r>
      <w:r w:rsidRPr="004C0883">
        <w:rPr>
          <w:szCs w:val="24"/>
        </w:rPr>
        <w:t xml:space="preserve"> ITU Telecom World 2019 in Budapest, Hungary</w:t>
      </w:r>
      <w:r w:rsidRPr="004C0883">
        <w:rPr>
          <w:rFonts w:ascii="Calibri" w:hAnsi="Calibri"/>
          <w:szCs w:val="24"/>
        </w:rPr>
        <w:t xml:space="preserve"> </w:t>
      </w:r>
      <w:r w:rsidRPr="004C0883">
        <w:rPr>
          <w:szCs w:val="24"/>
        </w:rPr>
        <w:t>(</w:t>
      </w:r>
      <w:r w:rsidRPr="004C0883">
        <w:rPr>
          <w:rFonts w:ascii="Calibri" w:hAnsi="Calibri"/>
          <w:szCs w:val="24"/>
        </w:rPr>
        <w:t>9</w:t>
      </w:r>
      <w:r w:rsidRPr="004C0883">
        <w:rPr>
          <w:szCs w:val="24"/>
        </w:rPr>
        <w:t xml:space="preserve"> to </w:t>
      </w:r>
      <w:r w:rsidRPr="004C0883">
        <w:rPr>
          <w:rFonts w:ascii="Calibri" w:hAnsi="Calibri"/>
          <w:szCs w:val="24"/>
        </w:rPr>
        <w:t>12 September</w:t>
      </w:r>
      <w:r w:rsidRPr="004C0883">
        <w:rPr>
          <w:szCs w:val="24"/>
        </w:rPr>
        <w:t xml:space="preserve"> 2019)</w:t>
      </w:r>
      <w:r w:rsidR="00AD0D25">
        <w:rPr>
          <w:szCs w:val="24"/>
        </w:rPr>
        <w:t>;</w:t>
      </w:r>
      <w:r w:rsidRPr="004C0883">
        <w:rPr>
          <w:szCs w:val="24"/>
        </w:rPr>
        <w:t xml:space="preserve"> and the World Radiocommunication Conference 2019 in Sharm el-Sheikh, Egypt (28 October to 22 November 2019).</w:t>
      </w:r>
    </w:p>
    <w:p w14:paraId="363F2E80" w14:textId="4A6B7A3F" w:rsidR="003F186F" w:rsidRPr="004C0883" w:rsidRDefault="003F186F" w:rsidP="004D22C2">
      <w:pPr>
        <w:pStyle w:val="Heading2"/>
        <w:spacing w:before="120"/>
        <w:ind w:left="0" w:firstLine="0"/>
        <w:rPr>
          <w:b w:val="0"/>
          <w:szCs w:val="24"/>
        </w:rPr>
      </w:pPr>
      <w:r w:rsidRPr="004C0883">
        <w:rPr>
          <w:b w:val="0"/>
          <w:szCs w:val="24"/>
        </w:rPr>
        <w:t>The Secretary-General</w:t>
      </w:r>
      <w:r w:rsidRPr="004C0883">
        <w:rPr>
          <w:szCs w:val="24"/>
        </w:rPr>
        <w:t xml:space="preserve"> </w:t>
      </w:r>
      <w:r w:rsidRPr="004C0883">
        <w:rPr>
          <w:b w:val="0"/>
          <w:szCs w:val="24"/>
        </w:rPr>
        <w:t xml:space="preserve">also highlighted a </w:t>
      </w:r>
      <w:r w:rsidR="005C2359">
        <w:rPr>
          <w:b w:val="0"/>
          <w:szCs w:val="24"/>
        </w:rPr>
        <w:t xml:space="preserve">recent </w:t>
      </w:r>
      <w:r w:rsidRPr="004C0883">
        <w:rPr>
          <w:b w:val="0"/>
          <w:szCs w:val="24"/>
        </w:rPr>
        <w:t xml:space="preserve">meeting </w:t>
      </w:r>
      <w:r w:rsidR="00AD0D25">
        <w:rPr>
          <w:b w:val="0"/>
          <w:szCs w:val="24"/>
        </w:rPr>
        <w:t xml:space="preserve">he had held </w:t>
      </w:r>
      <w:r w:rsidRPr="004C0883">
        <w:rPr>
          <w:b w:val="0"/>
          <w:szCs w:val="24"/>
        </w:rPr>
        <w:t>with ICT ministers from the Africa region to discuss how to help Africa boost development efforts, how to attract and encourage further investment in the continent, and how to work together to facilitate new opportunities of partnership in Africa’s best interests.</w:t>
      </w:r>
    </w:p>
    <w:p w14:paraId="5A6A0C16" w14:textId="77777777" w:rsidR="00B41642" w:rsidRPr="00D25C0F" w:rsidRDefault="00BD73B5" w:rsidP="00810998">
      <w:pPr>
        <w:pStyle w:val="ListParagraph"/>
        <w:keepNext/>
        <w:numPr>
          <w:ilvl w:val="0"/>
          <w:numId w:val="1"/>
        </w:numPr>
        <w:spacing w:before="240" w:after="120"/>
        <w:ind w:left="357" w:hanging="357"/>
        <w:contextualSpacing w:val="0"/>
        <w:rPr>
          <w:rStyle w:val="StyleComplex12pt"/>
          <w:rFonts w:cstheme="minorHAnsi"/>
          <w:b/>
          <w:bCs/>
        </w:rPr>
      </w:pPr>
      <w:r w:rsidRPr="00D25C0F">
        <w:rPr>
          <w:rStyle w:val="StyleComplex12pt"/>
          <w:rFonts w:cstheme="minorHAnsi"/>
          <w:b/>
          <w:bCs/>
        </w:rPr>
        <w:t>Address by the Director of the Telecommunication Development Bureau</w:t>
      </w:r>
      <w:r w:rsidR="000C3365" w:rsidRPr="00D25C0F">
        <w:rPr>
          <w:rStyle w:val="StyleComplex12pt"/>
          <w:rFonts w:cstheme="minorHAnsi"/>
          <w:b/>
          <w:bCs/>
        </w:rPr>
        <w:t xml:space="preserve"> (BDT)</w:t>
      </w:r>
    </w:p>
    <w:p w14:paraId="0063AE7F" w14:textId="0ABA4CA6" w:rsidR="003F186F" w:rsidRPr="004C0883" w:rsidRDefault="003F186F" w:rsidP="005D7383">
      <w:pPr>
        <w:rPr>
          <w:szCs w:val="24"/>
        </w:rPr>
      </w:pPr>
      <w:r w:rsidRPr="004C0883">
        <w:rPr>
          <w:rFonts w:eastAsia="Calibri" w:cs="Calibri"/>
          <w:szCs w:val="24"/>
        </w:rPr>
        <w:t xml:space="preserve">Ms Doreen Bogdan-Martin, Director of BDT, joined the Secretary-General in paying tribute to Marcelino and Maygenet. </w:t>
      </w:r>
      <w:r>
        <w:rPr>
          <w:rFonts w:eastAsia="Calibri" w:cs="Calibri"/>
          <w:szCs w:val="24"/>
        </w:rPr>
        <w:t>R</w:t>
      </w:r>
      <w:r w:rsidRPr="004C0883">
        <w:rPr>
          <w:rFonts w:eastAsia="Calibri" w:cs="Calibri"/>
          <w:szCs w:val="24"/>
        </w:rPr>
        <w:t>ecogniz</w:t>
      </w:r>
      <w:r>
        <w:rPr>
          <w:rFonts w:eastAsia="Calibri" w:cs="Calibri"/>
          <w:szCs w:val="24"/>
        </w:rPr>
        <w:t xml:space="preserve">ing </w:t>
      </w:r>
      <w:r w:rsidRPr="004C0883">
        <w:rPr>
          <w:rFonts w:eastAsia="Calibri" w:cs="Calibri"/>
          <w:szCs w:val="24"/>
        </w:rPr>
        <w:t xml:space="preserve">the dedication and outstanding work </w:t>
      </w:r>
      <w:r>
        <w:rPr>
          <w:rFonts w:eastAsia="Calibri" w:cs="Calibri"/>
          <w:szCs w:val="24"/>
        </w:rPr>
        <w:t xml:space="preserve">they </w:t>
      </w:r>
      <w:r w:rsidRPr="004C0883">
        <w:rPr>
          <w:rFonts w:eastAsia="Calibri" w:cs="Calibri"/>
          <w:szCs w:val="24"/>
        </w:rPr>
        <w:t xml:space="preserve">carried out </w:t>
      </w:r>
      <w:r>
        <w:rPr>
          <w:rFonts w:eastAsia="Calibri" w:cs="Calibri"/>
          <w:szCs w:val="24"/>
        </w:rPr>
        <w:t xml:space="preserve">the Director </w:t>
      </w:r>
      <w:r w:rsidRPr="004C0883">
        <w:rPr>
          <w:rFonts w:eastAsia="Calibri" w:cs="Calibri"/>
          <w:szCs w:val="24"/>
        </w:rPr>
        <w:t>announc</w:t>
      </w:r>
      <w:r>
        <w:rPr>
          <w:rFonts w:eastAsia="Calibri" w:cs="Calibri"/>
          <w:szCs w:val="24"/>
        </w:rPr>
        <w:t xml:space="preserve">ed </w:t>
      </w:r>
      <w:r w:rsidRPr="004C0883">
        <w:rPr>
          <w:rFonts w:eastAsia="Calibri" w:cs="Calibri"/>
          <w:szCs w:val="24"/>
        </w:rPr>
        <w:t xml:space="preserve">an ITU Solidarity Fund to continue to support the bereaved families. In addition, and in memory of their outstanding work for ITU, a number of fellowships are being </w:t>
      </w:r>
      <w:r w:rsidRPr="004C0883">
        <w:rPr>
          <w:rFonts w:eastAsia="Calibri" w:cs="Calibri"/>
          <w:szCs w:val="24"/>
        </w:rPr>
        <w:lastRenderedPageBreak/>
        <w:t>considered in the name of Marcelino, and a sponsored Girls in ICT Prize in the name of Maygenet that will honour aspects of their work for which they were passionate. “</w:t>
      </w:r>
      <w:r w:rsidRPr="004C0883">
        <w:rPr>
          <w:rFonts w:ascii="Calibri" w:hAnsi="Calibri" w:cs="Calibri"/>
          <w:szCs w:val="24"/>
        </w:rPr>
        <w:t>We hope that this might serve as a way for their names to live on and continue to inspire us all, as they always did when they were with us,”</w:t>
      </w:r>
      <w:r w:rsidR="005D7383" w:rsidRPr="005D7383">
        <w:rPr>
          <w:rFonts w:eastAsia="Calibri" w:cs="Calibri"/>
          <w:szCs w:val="24"/>
        </w:rPr>
        <w:t xml:space="preserve"> </w:t>
      </w:r>
      <w:r w:rsidR="005D7383" w:rsidRPr="004C0883">
        <w:rPr>
          <w:rFonts w:eastAsia="Calibri" w:cs="Calibri"/>
          <w:szCs w:val="24"/>
        </w:rPr>
        <w:t>Ms Bogdan-Martin</w:t>
      </w:r>
      <w:r w:rsidRPr="004C0883">
        <w:rPr>
          <w:rFonts w:ascii="Calibri" w:hAnsi="Calibri" w:cs="Calibri"/>
          <w:szCs w:val="24"/>
        </w:rPr>
        <w:t xml:space="preserve"> said.</w:t>
      </w:r>
    </w:p>
    <w:p w14:paraId="0B29E82D" w14:textId="7B85835F" w:rsidR="003F186F" w:rsidRPr="004C0883" w:rsidRDefault="003F186F" w:rsidP="005D7383">
      <w:pPr>
        <w:rPr>
          <w:rFonts w:eastAsia="Calibri" w:cs="Calibri"/>
          <w:szCs w:val="24"/>
        </w:rPr>
      </w:pPr>
      <w:r w:rsidRPr="004C0883">
        <w:rPr>
          <w:rFonts w:eastAsia="Calibri" w:cs="Calibri"/>
          <w:szCs w:val="24"/>
        </w:rPr>
        <w:t>Welcoming participants to her first TDAG meeting as Director of BDT, Ms Bogdan-Martin said: “</w:t>
      </w:r>
      <w:r w:rsidRPr="004C0883">
        <w:rPr>
          <w:rFonts w:ascii="Calibri" w:eastAsiaTheme="minorEastAsia" w:hAnsi="Calibri" w:cs="Calibri"/>
          <w:szCs w:val="24"/>
          <w:lang w:eastAsia="zh-CN"/>
        </w:rPr>
        <w:t xml:space="preserve">I am delighted to see the faces of so many long-standing and valued colleagues, and also to welcome those delegates who are new to the </w:t>
      </w:r>
      <w:r w:rsidRPr="004C0883">
        <w:rPr>
          <w:rFonts w:eastAsiaTheme="minorEastAsia" w:cs="Calibri"/>
          <w:szCs w:val="24"/>
          <w:lang w:eastAsia="zh-CN"/>
        </w:rPr>
        <w:t xml:space="preserve">Telecommunication </w:t>
      </w:r>
      <w:r w:rsidRPr="004C0883">
        <w:rPr>
          <w:rFonts w:eastAsiaTheme="minorEastAsia" w:cs="Calibri"/>
          <w:szCs w:val="24"/>
          <w:lang w:eastAsia="zh-CN" w:bidi="he-IL"/>
        </w:rPr>
        <w:t>Development Advisory Group.”</w:t>
      </w:r>
      <w:r w:rsidRPr="004C0883">
        <w:rPr>
          <w:rFonts w:eastAsia="Calibri" w:cs="Calibri"/>
          <w:szCs w:val="24"/>
        </w:rPr>
        <w:t xml:space="preserve"> She thanked the TDAG </w:t>
      </w:r>
      <w:r w:rsidR="005D7383">
        <w:rPr>
          <w:rFonts w:eastAsia="Calibri" w:cs="Calibri"/>
          <w:szCs w:val="24"/>
        </w:rPr>
        <w:t>b</w:t>
      </w:r>
      <w:r w:rsidRPr="004C0883">
        <w:rPr>
          <w:rFonts w:eastAsia="Calibri" w:cs="Calibri"/>
          <w:szCs w:val="24"/>
        </w:rPr>
        <w:t xml:space="preserve">ureau for having participated in the 2019 BDT </w:t>
      </w:r>
      <w:r w:rsidR="005D7383">
        <w:rPr>
          <w:rFonts w:eastAsia="Calibri" w:cs="Calibri"/>
          <w:szCs w:val="24"/>
        </w:rPr>
        <w:t>M</w:t>
      </w:r>
      <w:r w:rsidRPr="004C0883">
        <w:rPr>
          <w:rFonts w:eastAsia="Calibri" w:cs="Calibri"/>
          <w:szCs w:val="24"/>
        </w:rPr>
        <w:t xml:space="preserve">anagement </w:t>
      </w:r>
      <w:r w:rsidR="005D7383">
        <w:rPr>
          <w:rFonts w:eastAsia="Calibri" w:cs="Calibri"/>
          <w:szCs w:val="24"/>
        </w:rPr>
        <w:t>R</w:t>
      </w:r>
      <w:r w:rsidRPr="004C0883">
        <w:rPr>
          <w:rFonts w:eastAsia="Calibri" w:cs="Calibri"/>
          <w:szCs w:val="24"/>
        </w:rPr>
        <w:t>etreat, which assessed working methods and identified clear and concrete actions for reform.</w:t>
      </w:r>
    </w:p>
    <w:p w14:paraId="61BCB600" w14:textId="77777777" w:rsidR="003F186F" w:rsidRPr="004C0883" w:rsidRDefault="003F186F" w:rsidP="004D22C2">
      <w:pPr>
        <w:pStyle w:val="Default"/>
        <w:spacing w:before="120"/>
        <w:rPr>
          <w:rFonts w:eastAsia="Calibri"/>
        </w:rPr>
      </w:pPr>
      <w:r w:rsidRPr="004C0883">
        <w:rPr>
          <w:rFonts w:eastAsia="Calibri"/>
        </w:rPr>
        <w:t xml:space="preserve">The Director outlined her strategic priorities, which include </w:t>
      </w:r>
      <w:r w:rsidRPr="004C0883">
        <w:rPr>
          <w:rFonts w:asciiTheme="minorHAnsi" w:hAnsiTheme="minorHAnsi" w:cs="Arial"/>
        </w:rPr>
        <w:t xml:space="preserve">improved efficiency, </w:t>
      </w:r>
      <w:r w:rsidRPr="004C0883">
        <w:rPr>
          <w:rFonts w:cs="Arial"/>
        </w:rPr>
        <w:t xml:space="preserve">achieving </w:t>
      </w:r>
      <w:r w:rsidRPr="004C0883">
        <w:rPr>
          <w:rFonts w:asciiTheme="minorHAnsi" w:hAnsiTheme="minorHAnsi" w:cs="Arial"/>
        </w:rPr>
        <w:t xml:space="preserve">regional relevance, a greater focus on partnerships, more effective capacity building </w:t>
      </w:r>
      <w:r w:rsidRPr="004C0883">
        <w:rPr>
          <w:rFonts w:asciiTheme="minorHAnsi" w:hAnsiTheme="minorHAnsi"/>
        </w:rPr>
        <w:t xml:space="preserve">and data-driven thought leadership based on strengthening statistic-gathering and analysis capabilities. </w:t>
      </w:r>
      <w:r w:rsidRPr="004C0883">
        <w:t xml:space="preserve">Our goal, she said, is to succeed in implementing the outcomes of WTDC-17 and </w:t>
      </w:r>
      <w:r w:rsidRPr="004C0883">
        <w:rPr>
          <w:rFonts w:eastAsia="Calibri"/>
        </w:rPr>
        <w:t xml:space="preserve">connect the remaining 50 per cent of the world population through the work of a BDT that is fit for purpose. </w:t>
      </w:r>
    </w:p>
    <w:p w14:paraId="1F9F1A4D" w14:textId="4C0DCD58" w:rsidR="003F186F" w:rsidRPr="004C0883" w:rsidRDefault="003F186F" w:rsidP="00260955">
      <w:pPr>
        <w:pStyle w:val="Default"/>
        <w:spacing w:before="120"/>
        <w:rPr>
          <w:rFonts w:asciiTheme="minorHAnsi" w:hAnsiTheme="minorHAnsi"/>
        </w:rPr>
      </w:pPr>
      <w:r w:rsidRPr="004C0883">
        <w:rPr>
          <w:rFonts w:asciiTheme="minorHAnsi" w:hAnsiTheme="minorHAnsi" w:cs="Arial"/>
        </w:rPr>
        <w:t>As she put it: “C</w:t>
      </w:r>
      <w:r w:rsidRPr="004C0883">
        <w:rPr>
          <w:rFonts w:asciiTheme="minorHAnsi" w:hAnsiTheme="minorHAnsi"/>
        </w:rPr>
        <w:t>onnecting the remaining half of the world’s population is a new type of challenge. These people and communities have different needs, and face different barriers − some of which are considerable. We need to work differently, to be much more innovative and creative in our approach to policy-making and ICT regulation, and to be more proactive in our efforts to identify new types of hybrid partnership models that can bring connectivity to where it</w:t>
      </w:r>
      <w:r w:rsidR="00260955">
        <w:rPr>
          <w:rFonts w:asciiTheme="minorHAnsi" w:hAnsiTheme="minorHAnsi"/>
        </w:rPr>
        <w:t xml:space="preserve"> is</w:t>
      </w:r>
      <w:r w:rsidRPr="004C0883">
        <w:rPr>
          <w:rFonts w:asciiTheme="minorHAnsi" w:hAnsiTheme="minorHAnsi"/>
        </w:rPr>
        <w:t xml:space="preserve"> most needed.”</w:t>
      </w:r>
    </w:p>
    <w:p w14:paraId="35C0AD47" w14:textId="6E2939CF" w:rsidR="003F186F" w:rsidRPr="004C0883" w:rsidRDefault="003F186F" w:rsidP="00E51996">
      <w:pPr>
        <w:pStyle w:val="Default"/>
        <w:spacing w:before="120"/>
        <w:rPr>
          <w:rFonts w:eastAsia="Calibri"/>
        </w:rPr>
      </w:pPr>
      <w:r w:rsidRPr="004C0883">
        <w:rPr>
          <w:rFonts w:eastAsia="Calibri"/>
        </w:rPr>
        <w:t>The Director underlined the need to reinforce collaboration with membership and within BDT to build on internal strengths, and where needed, to reform and streamline BDT priorities and processes. This means leveraging the skills of BDT staff and encouraging team work to be able to connect with and support the Member States.</w:t>
      </w:r>
    </w:p>
    <w:p w14:paraId="3BC44433" w14:textId="2D2B7998" w:rsidR="003F186F" w:rsidRPr="004C0883" w:rsidRDefault="003F186F" w:rsidP="00260955">
      <w:pPr>
        <w:rPr>
          <w:rFonts w:eastAsia="Calibri" w:cs="Calibri"/>
          <w:szCs w:val="24"/>
        </w:rPr>
      </w:pPr>
      <w:r w:rsidRPr="004C0883">
        <w:rPr>
          <w:rFonts w:eastAsia="Calibri" w:cs="Calibri"/>
          <w:szCs w:val="24"/>
        </w:rPr>
        <w:t>The Director also emphasized the importance of creating inter-</w:t>
      </w:r>
      <w:r w:rsidR="00260955">
        <w:rPr>
          <w:rFonts w:eastAsia="Calibri" w:cs="Calibri"/>
          <w:szCs w:val="24"/>
        </w:rPr>
        <w:t>S</w:t>
      </w:r>
      <w:r w:rsidRPr="004C0883">
        <w:rPr>
          <w:rFonts w:eastAsia="Calibri" w:cs="Calibri"/>
          <w:szCs w:val="24"/>
        </w:rPr>
        <w:t xml:space="preserve">ectoral synergies and leveraging ITU-wide skills and expertise. She also announced future actions and initiatives that will engage young people including </w:t>
      </w:r>
      <w:r w:rsidR="005C2359">
        <w:rPr>
          <w:rFonts w:eastAsia="Calibri" w:cs="Calibri"/>
          <w:szCs w:val="24"/>
        </w:rPr>
        <w:t xml:space="preserve">creating </w:t>
      </w:r>
      <w:r w:rsidRPr="004C0883">
        <w:rPr>
          <w:rFonts w:eastAsia="Calibri" w:cs="Calibri"/>
          <w:szCs w:val="24"/>
        </w:rPr>
        <w:t xml:space="preserve">a new youth development advisory group, and working towards </w:t>
      </w:r>
      <w:r w:rsidR="005C2359">
        <w:rPr>
          <w:rFonts w:eastAsia="Calibri" w:cs="Calibri"/>
          <w:szCs w:val="24"/>
        </w:rPr>
        <w:t xml:space="preserve">more </w:t>
      </w:r>
      <w:r w:rsidRPr="004C0883">
        <w:rPr>
          <w:rFonts w:eastAsia="Calibri" w:cs="Calibri"/>
          <w:szCs w:val="24"/>
        </w:rPr>
        <w:t xml:space="preserve">youth </w:t>
      </w:r>
      <w:r w:rsidR="005C2359">
        <w:rPr>
          <w:rFonts w:eastAsia="Calibri" w:cs="Calibri"/>
          <w:szCs w:val="24"/>
        </w:rPr>
        <w:t xml:space="preserve">engagement in </w:t>
      </w:r>
      <w:r w:rsidRPr="004C0883">
        <w:rPr>
          <w:rFonts w:eastAsia="Calibri" w:cs="Calibri"/>
          <w:szCs w:val="24"/>
        </w:rPr>
        <w:t>WTDC-21.</w:t>
      </w:r>
      <w:r>
        <w:rPr>
          <w:rFonts w:eastAsia="Calibri" w:cs="Calibri"/>
          <w:szCs w:val="24"/>
        </w:rPr>
        <w:t xml:space="preserve"> </w:t>
      </w:r>
      <w:r w:rsidRPr="004C0883">
        <w:rPr>
          <w:rFonts w:eastAsia="Calibri" w:cs="Calibri"/>
          <w:bCs/>
          <w:szCs w:val="24"/>
        </w:rPr>
        <w:t xml:space="preserve">Innovations to the workings of the TDAG were also announced, and the Director underlined the unique opportunity TDAG offered for discussion </w:t>
      </w:r>
      <w:r w:rsidR="005C2359">
        <w:rPr>
          <w:rFonts w:eastAsia="Calibri" w:cs="Calibri"/>
          <w:bCs/>
          <w:szCs w:val="24"/>
        </w:rPr>
        <w:t>and strategic advice</w:t>
      </w:r>
      <w:r w:rsidRPr="004C0883">
        <w:rPr>
          <w:rFonts w:eastAsia="Calibri" w:cs="Calibri"/>
          <w:szCs w:val="24"/>
        </w:rPr>
        <w:t>.</w:t>
      </w:r>
    </w:p>
    <w:p w14:paraId="067F19AB" w14:textId="77777777" w:rsidR="00B41642" w:rsidRDefault="00BD73B5" w:rsidP="00810998">
      <w:pPr>
        <w:pStyle w:val="ListParagraph"/>
        <w:keepNext/>
        <w:numPr>
          <w:ilvl w:val="0"/>
          <w:numId w:val="1"/>
        </w:numPr>
        <w:spacing w:before="240" w:after="120"/>
        <w:ind w:left="357" w:hanging="357"/>
        <w:contextualSpacing w:val="0"/>
        <w:rPr>
          <w:rStyle w:val="StyleComplex12pt"/>
          <w:rFonts w:cstheme="minorHAnsi"/>
          <w:b/>
          <w:bCs/>
        </w:rPr>
      </w:pPr>
      <w:r w:rsidRPr="00D25C0F">
        <w:rPr>
          <w:rStyle w:val="StyleComplex12pt"/>
          <w:rFonts w:cstheme="minorHAnsi"/>
          <w:b/>
          <w:bCs/>
        </w:rPr>
        <w:t>Opening remarks by the Chairman of TDAG</w:t>
      </w:r>
    </w:p>
    <w:p w14:paraId="78A81615" w14:textId="77E488B8" w:rsidR="004A7616" w:rsidRDefault="004A7616" w:rsidP="00260955">
      <w:pPr>
        <w:rPr>
          <w:rFonts w:eastAsia="Calibri" w:cs="Calibri"/>
          <w:szCs w:val="24"/>
        </w:rPr>
      </w:pPr>
      <w:r w:rsidRPr="004A7616">
        <w:rPr>
          <w:rFonts w:eastAsia="Calibri" w:cs="Calibri"/>
          <w:szCs w:val="24"/>
        </w:rPr>
        <w:t xml:space="preserve">The TDAG Chairman extended a warm welcome to the former Chairman and stated that TDAG will build on the tremendous work already achieved. She noted that the Secretary-General and the new BDT Director are committed to connecting the unconnected and to taking actions that will make a difference. This, she </w:t>
      </w:r>
      <w:r w:rsidR="00260955">
        <w:rPr>
          <w:rFonts w:eastAsia="Calibri" w:cs="Calibri"/>
          <w:szCs w:val="24"/>
        </w:rPr>
        <w:t>stated</w:t>
      </w:r>
      <w:r w:rsidRPr="004A7616">
        <w:rPr>
          <w:rFonts w:eastAsia="Calibri" w:cs="Calibri"/>
          <w:szCs w:val="24"/>
        </w:rPr>
        <w:t>, is the essence of the Development Sector, keeping mindful of those that are continuing to grow, emerge and thrive. She added that this simple and impactful message is important and can guide activities.</w:t>
      </w:r>
      <w:r w:rsidR="00260955">
        <w:rPr>
          <w:rFonts w:eastAsia="Calibri" w:cs="Calibri"/>
          <w:szCs w:val="24"/>
        </w:rPr>
        <w:t xml:space="preserve"> In her words:</w:t>
      </w:r>
      <w:r w:rsidRPr="004A7616">
        <w:rPr>
          <w:rFonts w:eastAsia="Calibri" w:cs="Calibri"/>
          <w:szCs w:val="24"/>
        </w:rPr>
        <w:t xml:space="preserve"> “It is something very concrete through which we can measure whether we are achieving our goals.</w:t>
      </w:r>
      <w:r w:rsidR="00260955">
        <w:rPr>
          <w:rFonts w:eastAsia="Calibri" w:cs="Calibri"/>
          <w:szCs w:val="24"/>
        </w:rPr>
        <w:t>”</w:t>
      </w:r>
    </w:p>
    <w:p w14:paraId="277C823D" w14:textId="77777777" w:rsidR="003F186F" w:rsidRPr="004C0883" w:rsidRDefault="003F186F" w:rsidP="004D22C2">
      <w:pPr>
        <w:rPr>
          <w:rFonts w:eastAsia="Calibri" w:cs="Calibri"/>
          <w:szCs w:val="24"/>
        </w:rPr>
      </w:pPr>
      <w:r w:rsidRPr="004C0883">
        <w:rPr>
          <w:rFonts w:eastAsia="Calibri" w:cs="Calibri"/>
          <w:szCs w:val="24"/>
        </w:rPr>
        <w:t>The TDAG Chairman highlighted that by supporting the work ITU elected officials are doing, the world will be changed in a way that cannot be achieved in isolation, nor as individual countries, companies, or academia. ITU-D is able to impact the world in so many ways: in youth, health and social economic development.</w:t>
      </w:r>
    </w:p>
    <w:p w14:paraId="6E9D1395" w14:textId="77777777" w:rsidR="003F186F" w:rsidRPr="004C0883" w:rsidRDefault="003F186F" w:rsidP="004D22C2">
      <w:pPr>
        <w:rPr>
          <w:rFonts w:eastAsia="Calibri" w:cs="Calibri"/>
          <w:szCs w:val="24"/>
        </w:rPr>
      </w:pPr>
      <w:r w:rsidRPr="004C0883">
        <w:rPr>
          <w:rFonts w:eastAsia="Calibri" w:cs="Calibri"/>
          <w:szCs w:val="24"/>
        </w:rPr>
        <w:t>The TDAG Chairman was confident that the new leadership will continue to refine, improve and innovate “… we must always be prepared for endless transformation.”</w:t>
      </w:r>
    </w:p>
    <w:p w14:paraId="1D94E1FB" w14:textId="77777777" w:rsidR="00B41642" w:rsidRPr="00957B6C" w:rsidRDefault="00403A52" w:rsidP="00810998">
      <w:pPr>
        <w:pStyle w:val="ListParagraph"/>
        <w:keepNext/>
        <w:numPr>
          <w:ilvl w:val="0"/>
          <w:numId w:val="1"/>
        </w:numPr>
        <w:spacing w:before="240" w:after="120"/>
        <w:ind w:left="357" w:hanging="357"/>
        <w:contextualSpacing w:val="0"/>
        <w:rPr>
          <w:rStyle w:val="StyleComplex12pt"/>
          <w:rFonts w:cstheme="minorHAnsi"/>
          <w:b/>
          <w:bCs/>
        </w:rPr>
      </w:pPr>
      <w:r w:rsidRPr="00957B6C">
        <w:rPr>
          <w:rStyle w:val="StyleComplex12pt"/>
          <w:rFonts w:cstheme="minorHAnsi"/>
          <w:b/>
          <w:bCs/>
        </w:rPr>
        <w:lastRenderedPageBreak/>
        <w:t>Adoption of the agenda and Time Management Plan</w:t>
      </w:r>
    </w:p>
    <w:p w14:paraId="73AE2D6D" w14:textId="77777777" w:rsidR="00B41642" w:rsidRPr="00957B6C" w:rsidRDefault="25A7936B" w:rsidP="009B5B24">
      <w:pPr>
        <w:spacing w:after="120"/>
        <w:rPr>
          <w:rFonts w:cstheme="minorBidi"/>
          <w:color w:val="000000" w:themeColor="text1"/>
          <w:szCs w:val="24"/>
        </w:rPr>
      </w:pPr>
      <w:r w:rsidRPr="00C53029">
        <w:rPr>
          <w:rFonts w:cstheme="minorBidi"/>
          <w:b/>
          <w:bCs/>
          <w:color w:val="000000" w:themeColor="text1"/>
          <w:szCs w:val="24"/>
        </w:rPr>
        <w:t xml:space="preserve">Documents </w:t>
      </w:r>
      <w:hyperlink r:id="rId10" w:history="1">
        <w:r w:rsidR="00BD73B5" w:rsidRPr="00C53029">
          <w:rPr>
            <w:rStyle w:val="Hyperlink"/>
            <w:rFonts w:cs="Calibri"/>
            <w:b/>
            <w:bCs/>
            <w:szCs w:val="24"/>
          </w:rPr>
          <w:t>1</w:t>
        </w:r>
      </w:hyperlink>
      <w:r w:rsidRPr="00957B6C">
        <w:rPr>
          <w:rFonts w:cstheme="minorBidi"/>
          <w:color w:val="000000" w:themeColor="text1"/>
          <w:szCs w:val="24"/>
        </w:rPr>
        <w:t xml:space="preserve"> and </w:t>
      </w:r>
      <w:r w:rsidR="00BD73B5" w:rsidRPr="00C53029">
        <w:rPr>
          <w:rStyle w:val="Hyperlink"/>
          <w:rFonts w:cs="Calibri"/>
          <w:b/>
          <w:bCs/>
          <w:szCs w:val="24"/>
        </w:rPr>
        <w:t>DT/1</w:t>
      </w:r>
      <w:r w:rsidRPr="00957B6C">
        <w:rPr>
          <w:rFonts w:cstheme="minorBidi"/>
          <w:color w:val="000000" w:themeColor="text1"/>
          <w:szCs w:val="24"/>
        </w:rPr>
        <w:t xml:space="preserve"> were considered together. </w:t>
      </w:r>
    </w:p>
    <w:p w14:paraId="7C11A73B" w14:textId="77777777" w:rsidR="006D48A6" w:rsidRPr="00957B6C" w:rsidRDefault="006D48A6" w:rsidP="009B5B24">
      <w:pPr>
        <w:spacing w:after="120"/>
        <w:rPr>
          <w:rFonts w:cstheme="minorBidi"/>
          <w:color w:val="000000" w:themeColor="text1"/>
          <w:szCs w:val="24"/>
        </w:rPr>
      </w:pPr>
      <w:r w:rsidRPr="00957B6C">
        <w:rPr>
          <w:rFonts w:cstheme="minorBidi"/>
          <w:color w:val="000000" w:themeColor="text1"/>
          <w:szCs w:val="24"/>
        </w:rPr>
        <w:t xml:space="preserve">All </w:t>
      </w:r>
      <w:r w:rsidR="00CF0FE5" w:rsidRPr="00957B6C">
        <w:rPr>
          <w:rFonts w:cstheme="minorBidi"/>
          <w:color w:val="000000" w:themeColor="text1"/>
          <w:szCs w:val="24"/>
        </w:rPr>
        <w:t xml:space="preserve">meeting </w:t>
      </w:r>
      <w:r w:rsidRPr="00957B6C">
        <w:rPr>
          <w:rFonts w:cstheme="minorBidi"/>
          <w:color w:val="000000" w:themeColor="text1"/>
          <w:szCs w:val="24"/>
        </w:rPr>
        <w:t xml:space="preserve">documents cited in this report were </w:t>
      </w:r>
      <w:r w:rsidRPr="00957B6C">
        <w:rPr>
          <w:rFonts w:cstheme="minorBidi"/>
          <w:color w:val="000000" w:themeColor="text1"/>
        </w:rPr>
        <w:t>introduced on behalf of the BDT Director</w:t>
      </w:r>
      <w:r w:rsidR="00CF0FE5" w:rsidRPr="00957B6C">
        <w:rPr>
          <w:rFonts w:cstheme="minorBidi"/>
          <w:color w:val="000000" w:themeColor="text1"/>
          <w:szCs w:val="24"/>
        </w:rPr>
        <w:t>, unless stated otherwise.</w:t>
      </w:r>
    </w:p>
    <w:tbl>
      <w:tblPr>
        <w:tblStyle w:val="TableGrid"/>
        <w:tblW w:w="0" w:type="auto"/>
        <w:tblLook w:val="04A0" w:firstRow="1" w:lastRow="0" w:firstColumn="1" w:lastColumn="0" w:noHBand="0" w:noVBand="1"/>
      </w:tblPr>
      <w:tblGrid>
        <w:gridCol w:w="9629"/>
      </w:tblGrid>
      <w:tr w:rsidR="00F21C52" w:rsidRPr="00616F42" w14:paraId="5180DCC7" w14:textId="77777777" w:rsidTr="4BA30F97">
        <w:tc>
          <w:tcPr>
            <w:tcW w:w="9629" w:type="dxa"/>
          </w:tcPr>
          <w:p w14:paraId="4C496D5B" w14:textId="77777777" w:rsidR="00783772" w:rsidRPr="00616F42" w:rsidRDefault="00783772" w:rsidP="009B5B24">
            <w:pPr>
              <w:spacing w:after="120"/>
              <w:rPr>
                <w:rFonts w:eastAsia="Calibri" w:cs="Calibri"/>
                <w:szCs w:val="24"/>
              </w:rPr>
            </w:pPr>
            <w:r w:rsidRPr="00616F42">
              <w:rPr>
                <w:rFonts w:eastAsia="Calibri" w:cs="Calibri"/>
                <w:szCs w:val="24"/>
              </w:rPr>
              <w:t>The agenda was adopted without modification.</w:t>
            </w:r>
          </w:p>
          <w:p w14:paraId="37F51DB1" w14:textId="77777777" w:rsidR="00F21C52" w:rsidRPr="00616F42" w:rsidRDefault="00783772" w:rsidP="009B5B24">
            <w:pPr>
              <w:spacing w:after="120"/>
              <w:rPr>
                <w:rFonts w:cstheme="minorBidi"/>
                <w:color w:val="000000" w:themeColor="text1"/>
                <w:szCs w:val="24"/>
              </w:rPr>
            </w:pPr>
            <w:r w:rsidRPr="00616F42">
              <w:rPr>
                <w:rFonts w:eastAsia="Calibri" w:cs="Calibri"/>
                <w:szCs w:val="24"/>
              </w:rPr>
              <w:t>The Time Management Plan was adopted following modification.</w:t>
            </w:r>
          </w:p>
        </w:tc>
      </w:tr>
    </w:tbl>
    <w:p w14:paraId="57A29116" w14:textId="31B3179F" w:rsidR="00062D6A" w:rsidRPr="003B551C" w:rsidRDefault="003B551C" w:rsidP="00C62728">
      <w:pPr>
        <w:keepNext/>
        <w:spacing w:before="240" w:after="120"/>
        <w:ind w:left="505" w:hanging="505"/>
        <w:rPr>
          <w:rStyle w:val="StyleComplex12pt"/>
          <w:rFonts w:cstheme="minorHAnsi"/>
          <w:b/>
          <w:bCs/>
        </w:rPr>
      </w:pPr>
      <w:r>
        <w:rPr>
          <w:rStyle w:val="StyleComplex12pt"/>
          <w:rFonts w:cstheme="minorHAnsi"/>
          <w:b/>
          <w:bCs/>
        </w:rPr>
        <w:t>4.1</w:t>
      </w:r>
      <w:r>
        <w:rPr>
          <w:rStyle w:val="StyleComplex12pt"/>
          <w:rFonts w:cstheme="minorHAnsi"/>
          <w:b/>
          <w:bCs/>
        </w:rPr>
        <w:tab/>
      </w:r>
      <w:r w:rsidR="001D7DAE">
        <w:rPr>
          <w:rStyle w:val="StyleComplex12pt"/>
          <w:rFonts w:cstheme="minorHAnsi"/>
          <w:b/>
          <w:bCs/>
        </w:rPr>
        <w:t xml:space="preserve">Appointment </w:t>
      </w:r>
      <w:r w:rsidR="00720F35" w:rsidRPr="003B551C">
        <w:rPr>
          <w:rStyle w:val="StyleComplex12pt"/>
          <w:rFonts w:cstheme="minorHAnsi"/>
          <w:b/>
          <w:bCs/>
        </w:rPr>
        <w:t>of two new TDAG Vice-Chairm</w:t>
      </w:r>
      <w:r w:rsidR="00783772" w:rsidRPr="003B551C">
        <w:rPr>
          <w:rStyle w:val="StyleComplex12pt"/>
          <w:rFonts w:cstheme="minorHAnsi"/>
          <w:b/>
          <w:bCs/>
        </w:rPr>
        <w:t>e</w:t>
      </w:r>
      <w:r w:rsidR="00720F35" w:rsidRPr="003B551C">
        <w:rPr>
          <w:rStyle w:val="StyleComplex12pt"/>
          <w:rFonts w:cstheme="minorHAnsi"/>
          <w:b/>
          <w:bCs/>
        </w:rPr>
        <w:t>n to vacant positions</w:t>
      </w:r>
    </w:p>
    <w:p w14:paraId="12A4EE2F" w14:textId="77777777" w:rsidR="00642F8F" w:rsidRPr="00957B6C" w:rsidRDefault="00B8346F" w:rsidP="009B5B24">
      <w:pPr>
        <w:spacing w:after="120"/>
        <w:rPr>
          <w:szCs w:val="24"/>
        </w:rPr>
      </w:pPr>
      <w:hyperlink r:id="rId11">
        <w:r w:rsidR="00062D6A" w:rsidRPr="00957B6C">
          <w:rPr>
            <w:rStyle w:val="Hyperlink"/>
            <w:rFonts w:cstheme="minorBidi"/>
            <w:b/>
            <w:bCs/>
            <w:szCs w:val="24"/>
          </w:rPr>
          <w:t>Document 7</w:t>
        </w:r>
      </w:hyperlink>
      <w:r w:rsidR="00062D6A" w:rsidRPr="00957B6C">
        <w:rPr>
          <w:rFonts w:cstheme="minorBidi"/>
          <w:color w:val="000000" w:themeColor="text1"/>
          <w:szCs w:val="24"/>
        </w:rPr>
        <w:t>: “</w:t>
      </w:r>
      <w:r w:rsidR="00DC4121" w:rsidRPr="00957B6C">
        <w:rPr>
          <w:rFonts w:cstheme="minorBidi"/>
          <w:color w:val="000000" w:themeColor="text1"/>
          <w:szCs w:val="24"/>
        </w:rPr>
        <w:t>Appointment of two Vice-Chairmen of TDAG</w:t>
      </w:r>
      <w:r w:rsidR="00642F8F" w:rsidRPr="00957B6C">
        <w:rPr>
          <w:rFonts w:cstheme="minorBidi"/>
          <w:color w:val="000000" w:themeColor="text1"/>
          <w:szCs w:val="24"/>
        </w:rPr>
        <w:t xml:space="preserve">” </w:t>
      </w:r>
      <w:r w:rsidR="00642F8F" w:rsidRPr="00957B6C">
        <w:rPr>
          <w:szCs w:val="24"/>
        </w:rPr>
        <w:t>contains</w:t>
      </w:r>
      <w:r w:rsidR="00CF0FE5" w:rsidRPr="00957B6C">
        <w:rPr>
          <w:szCs w:val="24"/>
        </w:rPr>
        <w:t xml:space="preserve"> </w:t>
      </w:r>
      <w:r w:rsidR="00642F8F" w:rsidRPr="00957B6C">
        <w:rPr>
          <w:szCs w:val="24"/>
        </w:rPr>
        <w:t>letters from</w:t>
      </w:r>
      <w:r w:rsidR="00CD46D2" w:rsidRPr="00957B6C">
        <w:rPr>
          <w:szCs w:val="24"/>
        </w:rPr>
        <w:t xml:space="preserve"> </w:t>
      </w:r>
      <w:r w:rsidR="0090375C" w:rsidRPr="00957B6C">
        <w:rPr>
          <w:szCs w:val="24"/>
        </w:rPr>
        <w:t xml:space="preserve">the </w:t>
      </w:r>
      <w:r w:rsidR="00642F8F" w:rsidRPr="00957B6C">
        <w:rPr>
          <w:szCs w:val="24"/>
        </w:rPr>
        <w:t xml:space="preserve">administrations </w:t>
      </w:r>
      <w:r w:rsidR="00F953C1" w:rsidRPr="00957B6C">
        <w:rPr>
          <w:szCs w:val="24"/>
        </w:rPr>
        <w:t xml:space="preserve">of the Dominican Republic and </w:t>
      </w:r>
      <w:r w:rsidR="00E353F3" w:rsidRPr="00957B6C">
        <w:rPr>
          <w:szCs w:val="24"/>
        </w:rPr>
        <w:t>Kyrgyz Republic</w:t>
      </w:r>
      <w:r w:rsidR="00E353F3" w:rsidRPr="00957B6C" w:rsidDel="00E353F3">
        <w:rPr>
          <w:szCs w:val="24"/>
        </w:rPr>
        <w:t xml:space="preserve"> </w:t>
      </w:r>
      <w:r w:rsidR="00642F8F" w:rsidRPr="00957B6C">
        <w:rPr>
          <w:szCs w:val="24"/>
        </w:rPr>
        <w:t xml:space="preserve">submitting </w:t>
      </w:r>
      <w:r w:rsidR="00CD46D2" w:rsidRPr="00957B6C">
        <w:rPr>
          <w:szCs w:val="24"/>
        </w:rPr>
        <w:t xml:space="preserve">their candidates </w:t>
      </w:r>
      <w:r w:rsidR="00BA54A8" w:rsidRPr="00957B6C">
        <w:rPr>
          <w:szCs w:val="24"/>
        </w:rPr>
        <w:t xml:space="preserve">for these </w:t>
      </w:r>
      <w:r w:rsidR="00642F8F" w:rsidRPr="00957B6C">
        <w:rPr>
          <w:szCs w:val="24"/>
        </w:rPr>
        <w:t>position</w:t>
      </w:r>
      <w:r w:rsidR="00BA54A8" w:rsidRPr="00957B6C">
        <w:rPr>
          <w:szCs w:val="24"/>
        </w:rPr>
        <w:t>s</w:t>
      </w:r>
      <w:r w:rsidR="00642F8F" w:rsidRPr="00957B6C">
        <w:rPr>
          <w:szCs w:val="24"/>
        </w:rPr>
        <w:t xml:space="preserve">. </w:t>
      </w:r>
    </w:p>
    <w:p w14:paraId="5C5237D8" w14:textId="3572B4F9" w:rsidR="004C75FD" w:rsidRPr="00957B6C" w:rsidRDefault="004C75FD" w:rsidP="009B5B24">
      <w:pPr>
        <w:spacing w:after="120"/>
        <w:rPr>
          <w:szCs w:val="24"/>
        </w:rPr>
      </w:pPr>
      <w:r w:rsidRPr="00957B6C">
        <w:rPr>
          <w:szCs w:val="24"/>
        </w:rPr>
        <w:t xml:space="preserve">TDAG </w:t>
      </w:r>
      <w:r w:rsidR="00E353F3" w:rsidRPr="00957B6C">
        <w:rPr>
          <w:szCs w:val="24"/>
        </w:rPr>
        <w:t>expressed gratitude to</w:t>
      </w:r>
      <w:r w:rsidRPr="00957B6C">
        <w:rPr>
          <w:szCs w:val="24"/>
        </w:rPr>
        <w:t xml:space="preserve"> two of its vice-chairmen</w:t>
      </w:r>
      <w:r w:rsidR="00E353F3" w:rsidRPr="00957B6C">
        <w:rPr>
          <w:szCs w:val="24"/>
        </w:rPr>
        <w:t>,</w:t>
      </w:r>
      <w:r w:rsidRPr="00957B6C">
        <w:rPr>
          <w:szCs w:val="24"/>
        </w:rPr>
        <w:t xml:space="preserve"> from the Americas </w:t>
      </w:r>
      <w:r w:rsidR="00E353F3" w:rsidRPr="00957B6C">
        <w:rPr>
          <w:szCs w:val="24"/>
        </w:rPr>
        <w:t xml:space="preserve">region </w:t>
      </w:r>
      <w:r w:rsidRPr="00957B6C">
        <w:rPr>
          <w:szCs w:val="24"/>
        </w:rPr>
        <w:t xml:space="preserve">and the </w:t>
      </w:r>
      <w:r w:rsidR="008A0D8D" w:rsidRPr="00957B6C">
        <w:rPr>
          <w:szCs w:val="24"/>
        </w:rPr>
        <w:t>Commonwealth</w:t>
      </w:r>
      <w:r w:rsidRPr="00957B6C">
        <w:rPr>
          <w:szCs w:val="24"/>
        </w:rPr>
        <w:t xml:space="preserve"> of Independent States (CIS)</w:t>
      </w:r>
      <w:r w:rsidR="00E353F3" w:rsidRPr="00957B6C">
        <w:rPr>
          <w:szCs w:val="24"/>
        </w:rPr>
        <w:t xml:space="preserve"> region</w:t>
      </w:r>
      <w:r w:rsidRPr="00957B6C">
        <w:rPr>
          <w:szCs w:val="24"/>
        </w:rPr>
        <w:t>,</w:t>
      </w:r>
      <w:r w:rsidR="00B25599" w:rsidRPr="00957B6C">
        <w:rPr>
          <w:szCs w:val="24"/>
        </w:rPr>
        <w:t xml:space="preserve"> respectively,</w:t>
      </w:r>
      <w:r w:rsidRPr="00957B6C">
        <w:rPr>
          <w:szCs w:val="24"/>
        </w:rPr>
        <w:t xml:space="preserve"> who had served admirably for the first year </w:t>
      </w:r>
      <w:r w:rsidR="00B25599" w:rsidRPr="00957B6C">
        <w:rPr>
          <w:szCs w:val="24"/>
        </w:rPr>
        <w:t xml:space="preserve">of the </w:t>
      </w:r>
      <w:r w:rsidRPr="00957B6C">
        <w:rPr>
          <w:szCs w:val="24"/>
        </w:rPr>
        <w:t xml:space="preserve">2018-2021 </w:t>
      </w:r>
      <w:r w:rsidR="00B25599" w:rsidRPr="00957B6C">
        <w:rPr>
          <w:szCs w:val="24"/>
        </w:rPr>
        <w:t>period.</w:t>
      </w:r>
    </w:p>
    <w:tbl>
      <w:tblPr>
        <w:tblStyle w:val="TableGrid"/>
        <w:tblW w:w="0" w:type="auto"/>
        <w:tblLook w:val="04A0" w:firstRow="1" w:lastRow="0" w:firstColumn="1" w:lastColumn="0" w:noHBand="0" w:noVBand="1"/>
      </w:tblPr>
      <w:tblGrid>
        <w:gridCol w:w="9629"/>
      </w:tblGrid>
      <w:tr w:rsidR="00062D6A" w:rsidRPr="00957B6C" w14:paraId="5A2B3346" w14:textId="77777777" w:rsidTr="00661D2E">
        <w:trPr>
          <w:trHeight w:val="699"/>
        </w:trPr>
        <w:tc>
          <w:tcPr>
            <w:tcW w:w="9629" w:type="dxa"/>
          </w:tcPr>
          <w:p w14:paraId="59355134" w14:textId="77777777" w:rsidR="005445AD" w:rsidRPr="00957B6C" w:rsidRDefault="005445AD" w:rsidP="009B5B24">
            <w:pPr>
              <w:spacing w:after="120"/>
              <w:rPr>
                <w:szCs w:val="24"/>
              </w:rPr>
            </w:pPr>
            <w:r w:rsidRPr="00957B6C">
              <w:rPr>
                <w:szCs w:val="24"/>
              </w:rPr>
              <w:t xml:space="preserve">TDAG appointed by acclamation </w:t>
            </w:r>
            <w:r w:rsidRPr="00957B6C">
              <w:rPr>
                <w:b/>
                <w:bCs/>
                <w:szCs w:val="24"/>
              </w:rPr>
              <w:t>Ms Amparo Arango Echeverri</w:t>
            </w:r>
            <w:r w:rsidRPr="00957B6C">
              <w:rPr>
                <w:szCs w:val="24"/>
              </w:rPr>
              <w:t>, Manager of International Relations of the Dominican Institute of Telecommunications (INDOTEL), as a TDAG Vice</w:t>
            </w:r>
            <w:r w:rsidRPr="00957B6C">
              <w:rPr>
                <w:szCs w:val="24"/>
              </w:rPr>
              <w:noBreakHyphen/>
              <w:t>Chairman, replacing Ms</w:t>
            </w:r>
            <w:r w:rsidR="004C75FD" w:rsidRPr="00957B6C">
              <w:rPr>
                <w:szCs w:val="24"/>
              </w:rPr>
              <w:t xml:space="preserve"> </w:t>
            </w:r>
            <w:r w:rsidRPr="00957B6C">
              <w:rPr>
                <w:szCs w:val="24"/>
              </w:rPr>
              <w:t>Katrina Naut.</w:t>
            </w:r>
          </w:p>
          <w:p w14:paraId="6D791BC5" w14:textId="50DB0A87" w:rsidR="00062D6A" w:rsidRPr="00957B6C" w:rsidRDefault="005445AD" w:rsidP="008B1511">
            <w:pPr>
              <w:spacing w:after="120"/>
              <w:rPr>
                <w:rFonts w:cstheme="minorBidi"/>
                <w:color w:val="000000" w:themeColor="text1"/>
                <w:szCs w:val="24"/>
              </w:rPr>
            </w:pPr>
            <w:r w:rsidRPr="00957B6C">
              <w:rPr>
                <w:szCs w:val="24"/>
              </w:rPr>
              <w:t xml:space="preserve">TDAG </w:t>
            </w:r>
            <w:r w:rsidR="00F953C1" w:rsidRPr="00957B6C">
              <w:rPr>
                <w:szCs w:val="24"/>
              </w:rPr>
              <w:t xml:space="preserve">also </w:t>
            </w:r>
            <w:r w:rsidRPr="00957B6C">
              <w:rPr>
                <w:szCs w:val="24"/>
              </w:rPr>
              <w:t>appointed by acclamation</w:t>
            </w:r>
            <w:r w:rsidRPr="00957B6C">
              <w:rPr>
                <w:b/>
                <w:bCs/>
                <w:szCs w:val="24"/>
              </w:rPr>
              <w:t xml:space="preserve"> Ms Aichurok Maralbek Kyzy</w:t>
            </w:r>
            <w:r w:rsidRPr="00957B6C">
              <w:rPr>
                <w:szCs w:val="24"/>
              </w:rPr>
              <w:t>, Chief Expert of the Radio Spectrum Management Department of the State Communications Agency in the State Committee of Information Technologies and Communications of the Kyrgyz Republic, as a TDAG Vice</w:t>
            </w:r>
            <w:r w:rsidRPr="00957B6C">
              <w:rPr>
                <w:szCs w:val="24"/>
              </w:rPr>
              <w:noBreakHyphen/>
              <w:t>Chairman, replacing Ms Nurzat Boljobekova.</w:t>
            </w:r>
          </w:p>
        </w:tc>
      </w:tr>
    </w:tbl>
    <w:p w14:paraId="465AF50C" w14:textId="3E9DFC8A" w:rsidR="00EB5336" w:rsidRPr="00CA2F79" w:rsidRDefault="00153505" w:rsidP="00810998">
      <w:pPr>
        <w:pStyle w:val="ListParagraph"/>
        <w:keepNext/>
        <w:numPr>
          <w:ilvl w:val="0"/>
          <w:numId w:val="1"/>
        </w:numPr>
        <w:spacing w:before="240" w:after="120"/>
        <w:ind w:left="357" w:hanging="357"/>
        <w:contextualSpacing w:val="0"/>
        <w:rPr>
          <w:rStyle w:val="StyleComplex12pt"/>
          <w:rFonts w:cstheme="minorHAnsi"/>
          <w:b/>
          <w:bCs/>
        </w:rPr>
      </w:pPr>
      <w:r w:rsidRPr="00CA2F79">
        <w:rPr>
          <w:rStyle w:val="StyleComplex12pt"/>
          <w:rFonts w:cstheme="minorHAnsi"/>
          <w:b/>
          <w:bCs/>
        </w:rPr>
        <w:t>Outcomes of</w:t>
      </w:r>
      <w:r w:rsidR="003C5C8E" w:rsidRPr="00CA2F79">
        <w:rPr>
          <w:rStyle w:val="StyleComplex12pt"/>
          <w:rFonts w:cstheme="minorHAnsi"/>
          <w:b/>
          <w:bCs/>
        </w:rPr>
        <w:t xml:space="preserve"> </w:t>
      </w:r>
      <w:r w:rsidR="003C5C8E" w:rsidRPr="00CA2F79">
        <w:rPr>
          <w:b/>
          <w:szCs w:val="24"/>
        </w:rPr>
        <w:t>the Plenipotentiary Conference</w:t>
      </w:r>
      <w:r w:rsidRPr="00CA2F79">
        <w:rPr>
          <w:rStyle w:val="StyleComplex12pt"/>
          <w:rFonts w:cstheme="minorHAnsi"/>
          <w:b/>
          <w:bCs/>
        </w:rPr>
        <w:t xml:space="preserve"> </w:t>
      </w:r>
      <w:r w:rsidR="0047517E">
        <w:rPr>
          <w:rStyle w:val="StyleComplex12pt"/>
          <w:rFonts w:cstheme="minorHAnsi"/>
          <w:b/>
          <w:bCs/>
        </w:rPr>
        <w:t xml:space="preserve">in </w:t>
      </w:r>
      <w:r w:rsidR="001D7DAE">
        <w:rPr>
          <w:rStyle w:val="StyleComplex12pt"/>
          <w:rFonts w:cstheme="minorHAnsi"/>
          <w:b/>
          <w:bCs/>
        </w:rPr>
        <w:t xml:space="preserve">2018 </w:t>
      </w:r>
      <w:r w:rsidR="003C5C8E" w:rsidRPr="00CA2F79">
        <w:rPr>
          <w:rStyle w:val="StyleComplex12pt"/>
          <w:rFonts w:cstheme="minorHAnsi"/>
          <w:b/>
          <w:bCs/>
        </w:rPr>
        <w:t>(</w:t>
      </w:r>
      <w:r w:rsidRPr="00CA2F79">
        <w:rPr>
          <w:rStyle w:val="StyleComplex12pt"/>
          <w:rFonts w:cstheme="minorHAnsi"/>
          <w:b/>
          <w:bCs/>
        </w:rPr>
        <w:t>PP-18</w:t>
      </w:r>
      <w:r w:rsidR="003C5C8E" w:rsidRPr="00CA2F79">
        <w:rPr>
          <w:rStyle w:val="StyleComplex12pt"/>
          <w:rFonts w:cstheme="minorHAnsi"/>
          <w:b/>
          <w:bCs/>
        </w:rPr>
        <w:t>)</w:t>
      </w:r>
      <w:r w:rsidRPr="00CA2F79">
        <w:rPr>
          <w:rStyle w:val="StyleComplex12pt"/>
          <w:rFonts w:cstheme="minorHAnsi"/>
          <w:b/>
          <w:bCs/>
        </w:rPr>
        <w:t xml:space="preserve"> related to the work of ITU-D</w:t>
      </w:r>
    </w:p>
    <w:p w14:paraId="2A77A76D" w14:textId="77777777" w:rsidR="00AF11BB" w:rsidRPr="00CA2F79" w:rsidRDefault="00B8346F" w:rsidP="009B5B24">
      <w:pPr>
        <w:keepNext/>
        <w:spacing w:after="120"/>
        <w:rPr>
          <w:rFonts w:cstheme="minorBidi"/>
          <w:color w:val="000000" w:themeColor="text1"/>
          <w:szCs w:val="24"/>
        </w:rPr>
      </w:pPr>
      <w:hyperlink r:id="rId12">
        <w:r w:rsidR="00062D6A" w:rsidRPr="00CA2F79">
          <w:rPr>
            <w:rStyle w:val="Hyperlink"/>
            <w:rFonts w:cstheme="minorBidi"/>
            <w:b/>
            <w:bCs/>
            <w:szCs w:val="24"/>
          </w:rPr>
          <w:t>Document 4</w:t>
        </w:r>
      </w:hyperlink>
      <w:r w:rsidR="004F6937" w:rsidRPr="00CA2F79">
        <w:rPr>
          <w:rFonts w:cstheme="minorBidi"/>
          <w:color w:val="000000" w:themeColor="text1"/>
          <w:szCs w:val="24"/>
        </w:rPr>
        <w:t xml:space="preserve">: </w:t>
      </w:r>
      <w:r w:rsidR="00062D6A" w:rsidRPr="00CA2F79">
        <w:rPr>
          <w:rFonts w:cstheme="minorBidi"/>
          <w:color w:val="000000" w:themeColor="text1"/>
          <w:szCs w:val="24"/>
        </w:rPr>
        <w:t>“</w:t>
      </w:r>
      <w:r w:rsidR="00DC4121" w:rsidRPr="00CA2F79">
        <w:rPr>
          <w:rFonts w:cstheme="minorBidi"/>
          <w:color w:val="000000" w:themeColor="text1"/>
          <w:szCs w:val="24"/>
        </w:rPr>
        <w:t>Outcomes of the 20th ITU Plenipotentiary Conference in 2018 with implications for the work of ITU-D</w:t>
      </w:r>
      <w:r w:rsidR="00062D6A" w:rsidRPr="00CA2F79">
        <w:rPr>
          <w:rFonts w:cstheme="minorBidi"/>
          <w:color w:val="000000" w:themeColor="text1"/>
          <w:szCs w:val="24"/>
        </w:rPr>
        <w:t>” summarizes</w:t>
      </w:r>
      <w:r w:rsidR="001F3540" w:rsidRPr="00CA2F79">
        <w:rPr>
          <w:szCs w:val="24"/>
        </w:rPr>
        <w:t xml:space="preserve"> new and revised resolutions, decisions and recommendations providing guidance to the </w:t>
      </w:r>
      <w:r w:rsidR="004C75FD" w:rsidRPr="00CA2F79">
        <w:rPr>
          <w:szCs w:val="24"/>
        </w:rPr>
        <w:t xml:space="preserve">ITU </w:t>
      </w:r>
      <w:r w:rsidR="001F3540" w:rsidRPr="00CA2F79">
        <w:rPr>
          <w:rFonts w:cstheme="minorBidi"/>
          <w:color w:val="000000" w:themeColor="text1"/>
          <w:szCs w:val="24"/>
        </w:rPr>
        <w:t xml:space="preserve">Telecommunication Development Sector </w:t>
      </w:r>
      <w:r w:rsidR="001F3540" w:rsidRPr="00CA2F79">
        <w:rPr>
          <w:szCs w:val="24"/>
        </w:rPr>
        <w:t>on harnessing new technologies for the benefit of humanity.</w:t>
      </w:r>
      <w:r w:rsidR="00062D6A" w:rsidRPr="00CA2F79">
        <w:rPr>
          <w:rFonts w:cstheme="minorBidi"/>
          <w:color w:val="000000" w:themeColor="text1"/>
          <w:szCs w:val="24"/>
        </w:rPr>
        <w:t xml:space="preserve"> </w:t>
      </w:r>
    </w:p>
    <w:p w14:paraId="4B5EC0D0" w14:textId="155DE625" w:rsidR="00920EB4" w:rsidRPr="00CA2F79" w:rsidRDefault="00EC1B1E" w:rsidP="008A18F2">
      <w:pPr>
        <w:keepNext/>
        <w:spacing w:after="120"/>
        <w:rPr>
          <w:rFonts w:cstheme="minorBidi"/>
          <w:color w:val="000000" w:themeColor="text1"/>
          <w:szCs w:val="24"/>
        </w:rPr>
      </w:pPr>
      <w:r w:rsidRPr="00CA2F79">
        <w:rPr>
          <w:rFonts w:cstheme="minorBidi"/>
          <w:color w:val="000000" w:themeColor="text1"/>
          <w:szCs w:val="24"/>
        </w:rPr>
        <w:t xml:space="preserve">These outcomes </w:t>
      </w:r>
      <w:r w:rsidR="00AF3065" w:rsidRPr="00CA2F79">
        <w:rPr>
          <w:szCs w:val="24"/>
        </w:rPr>
        <w:t xml:space="preserve">are contained in the </w:t>
      </w:r>
      <w:r w:rsidR="006D48A6" w:rsidRPr="00CA2F79">
        <w:rPr>
          <w:szCs w:val="24"/>
        </w:rPr>
        <w:t>Final Acts</w:t>
      </w:r>
      <w:r w:rsidR="00AF11BB" w:rsidRPr="00CA2F79">
        <w:rPr>
          <w:szCs w:val="24"/>
        </w:rPr>
        <w:t xml:space="preserve"> signed by Member States at the end of PP-18,</w:t>
      </w:r>
      <w:r w:rsidR="006D48A6" w:rsidRPr="00CA2F79">
        <w:rPr>
          <w:szCs w:val="24"/>
        </w:rPr>
        <w:t xml:space="preserve"> reaffirm</w:t>
      </w:r>
      <w:r w:rsidR="005D6DF6" w:rsidRPr="00CA2F79">
        <w:rPr>
          <w:szCs w:val="24"/>
        </w:rPr>
        <w:t xml:space="preserve">ing </w:t>
      </w:r>
      <w:r w:rsidR="006D48A6" w:rsidRPr="00CA2F79">
        <w:rPr>
          <w:szCs w:val="24"/>
        </w:rPr>
        <w:t>their commitment to the common vision of a connected world, where information and communication technolog</w:t>
      </w:r>
      <w:r w:rsidR="008A18F2">
        <w:rPr>
          <w:szCs w:val="24"/>
        </w:rPr>
        <w:t>ies are</w:t>
      </w:r>
      <w:r w:rsidR="006D48A6" w:rsidRPr="00CA2F79">
        <w:rPr>
          <w:szCs w:val="24"/>
        </w:rPr>
        <w:t xml:space="preserve"> a source for good for everyone, everywhere.</w:t>
      </w:r>
      <w:r w:rsidR="005D6DF6" w:rsidRPr="00CA2F79">
        <w:rPr>
          <w:szCs w:val="24"/>
        </w:rPr>
        <w:t xml:space="preserve"> </w:t>
      </w:r>
      <w:r w:rsidRPr="00CA2F79">
        <w:rPr>
          <w:szCs w:val="24"/>
        </w:rPr>
        <w:t>Of particular note are:</w:t>
      </w:r>
    </w:p>
    <w:p w14:paraId="0D17B898" w14:textId="0DBC15FF" w:rsidR="00F9789D" w:rsidRPr="00CA2F79" w:rsidRDefault="00C86369" w:rsidP="00810998">
      <w:pPr>
        <w:pStyle w:val="ListParagraph"/>
        <w:numPr>
          <w:ilvl w:val="0"/>
          <w:numId w:val="6"/>
        </w:numPr>
        <w:spacing w:before="40" w:after="40"/>
        <w:ind w:left="567" w:hanging="567"/>
        <w:contextualSpacing w:val="0"/>
        <w:rPr>
          <w:szCs w:val="24"/>
        </w:rPr>
      </w:pPr>
      <w:r w:rsidRPr="00CA2F79">
        <w:rPr>
          <w:szCs w:val="24"/>
        </w:rPr>
        <w:t>Resolution 71 (Rev. Dubai, 2018) on</w:t>
      </w:r>
      <w:r w:rsidR="00A406FE" w:rsidRPr="00CA2F79">
        <w:rPr>
          <w:szCs w:val="24"/>
        </w:rPr>
        <w:t xml:space="preserve"> the</w:t>
      </w:r>
      <w:r w:rsidR="00A40016" w:rsidRPr="00CA2F79">
        <w:rPr>
          <w:szCs w:val="24"/>
        </w:rPr>
        <w:t xml:space="preserve"> s</w:t>
      </w:r>
      <w:r w:rsidR="00A406FE" w:rsidRPr="00CA2F79">
        <w:rPr>
          <w:szCs w:val="24"/>
        </w:rPr>
        <w:t xml:space="preserve">trategic </w:t>
      </w:r>
      <w:r w:rsidR="00EC1B1E" w:rsidRPr="00CA2F79">
        <w:rPr>
          <w:szCs w:val="24"/>
        </w:rPr>
        <w:t xml:space="preserve">plan for the Union for 2020-2023. This </w:t>
      </w:r>
      <w:r w:rsidR="00A406FE" w:rsidRPr="00CA2F79">
        <w:rPr>
          <w:szCs w:val="24"/>
        </w:rPr>
        <w:t>plan contains the vision</w:t>
      </w:r>
      <w:r w:rsidR="0032798C" w:rsidRPr="00CA2F79">
        <w:rPr>
          <w:szCs w:val="24"/>
        </w:rPr>
        <w:t>,</w:t>
      </w:r>
      <w:r w:rsidR="00A406FE" w:rsidRPr="00CA2F79">
        <w:rPr>
          <w:szCs w:val="24"/>
        </w:rPr>
        <w:t xml:space="preserve"> mission</w:t>
      </w:r>
      <w:r w:rsidR="0032798C" w:rsidRPr="00CA2F79">
        <w:rPr>
          <w:szCs w:val="24"/>
        </w:rPr>
        <w:t>,</w:t>
      </w:r>
      <w:r w:rsidR="00A406FE" w:rsidRPr="00CA2F79">
        <w:rPr>
          <w:szCs w:val="24"/>
        </w:rPr>
        <w:t xml:space="preserve"> values, and five strategic goals for the Union; a set of common targets;</w:t>
      </w:r>
      <w:r w:rsidR="00523D14" w:rsidRPr="00CA2F79">
        <w:rPr>
          <w:szCs w:val="24"/>
        </w:rPr>
        <w:t xml:space="preserve"> the</w:t>
      </w:r>
      <w:r w:rsidR="00A406FE" w:rsidRPr="00CA2F79">
        <w:rPr>
          <w:szCs w:val="24"/>
        </w:rPr>
        <w:t xml:space="preserve"> ITU results framework, including </w:t>
      </w:r>
      <w:r w:rsidR="00984E5D" w:rsidRPr="00CA2F79">
        <w:rPr>
          <w:szCs w:val="24"/>
        </w:rPr>
        <w:t xml:space="preserve">the </w:t>
      </w:r>
      <w:r w:rsidR="00233EEB" w:rsidRPr="00CA2F79">
        <w:rPr>
          <w:szCs w:val="24"/>
        </w:rPr>
        <w:t xml:space="preserve">four </w:t>
      </w:r>
      <w:r w:rsidR="00A406FE" w:rsidRPr="00CA2F79">
        <w:rPr>
          <w:szCs w:val="24"/>
        </w:rPr>
        <w:t>ITU-D</w:t>
      </w:r>
      <w:r w:rsidR="00BE016B">
        <w:rPr>
          <w:szCs w:val="24"/>
        </w:rPr>
        <w:t xml:space="preserve"> </w:t>
      </w:r>
      <w:r w:rsidR="00295071" w:rsidRPr="00CA2F79">
        <w:rPr>
          <w:szCs w:val="24"/>
        </w:rPr>
        <w:t>objectives adopted by</w:t>
      </w:r>
      <w:r w:rsidR="00523D14" w:rsidRPr="00CA2F79">
        <w:rPr>
          <w:szCs w:val="24"/>
        </w:rPr>
        <w:t xml:space="preserve"> </w:t>
      </w:r>
      <w:r w:rsidR="00445BE1" w:rsidRPr="00CA2F79">
        <w:rPr>
          <w:szCs w:val="24"/>
        </w:rPr>
        <w:t>World Telecommunication Development Conference</w:t>
      </w:r>
      <w:r w:rsidR="000437AB" w:rsidRPr="00CA2F79">
        <w:rPr>
          <w:szCs w:val="24"/>
        </w:rPr>
        <w:t xml:space="preserve"> </w:t>
      </w:r>
      <w:r w:rsidR="00622E99" w:rsidRPr="00CA2F79">
        <w:rPr>
          <w:szCs w:val="24"/>
        </w:rPr>
        <w:t xml:space="preserve">2017 </w:t>
      </w:r>
      <w:r w:rsidR="000437AB" w:rsidRPr="00CA2F79">
        <w:rPr>
          <w:szCs w:val="24"/>
        </w:rPr>
        <w:t>(WTDC</w:t>
      </w:r>
      <w:r w:rsidR="00622E99" w:rsidRPr="00CA2F79">
        <w:rPr>
          <w:szCs w:val="24"/>
        </w:rPr>
        <w:t>-17</w:t>
      </w:r>
      <w:r w:rsidR="000437AB" w:rsidRPr="00CA2F79">
        <w:rPr>
          <w:szCs w:val="24"/>
        </w:rPr>
        <w:t>)</w:t>
      </w:r>
      <w:r w:rsidR="00A406FE" w:rsidRPr="00CA2F79">
        <w:rPr>
          <w:szCs w:val="24"/>
        </w:rPr>
        <w:t>; linkages with the 2030 Agenda for Sustainable Development and the Sustainable Development Goals (SDGs); and linkages with the financial plan, including allocation of resources to goals, objectives and outputs.</w:t>
      </w:r>
    </w:p>
    <w:p w14:paraId="62114834" w14:textId="0ED8D05A" w:rsidR="00F9789D" w:rsidRPr="00CA2F79" w:rsidRDefault="00C86369" w:rsidP="00810998">
      <w:pPr>
        <w:pStyle w:val="ListParagraph"/>
        <w:numPr>
          <w:ilvl w:val="0"/>
          <w:numId w:val="6"/>
        </w:numPr>
        <w:spacing w:before="40" w:after="40"/>
        <w:ind w:left="567" w:hanging="567"/>
        <w:contextualSpacing w:val="0"/>
        <w:rPr>
          <w:szCs w:val="24"/>
        </w:rPr>
      </w:pPr>
      <w:r w:rsidRPr="00CA2F79">
        <w:rPr>
          <w:szCs w:val="24"/>
        </w:rPr>
        <w:t xml:space="preserve">Decision 5 (Rev. Dubai, 2018) on </w:t>
      </w:r>
      <w:r w:rsidR="00A40016" w:rsidRPr="00CA2F79">
        <w:rPr>
          <w:szCs w:val="24"/>
        </w:rPr>
        <w:t>r</w:t>
      </w:r>
      <w:r w:rsidRPr="00CA2F79">
        <w:rPr>
          <w:szCs w:val="24"/>
        </w:rPr>
        <w:t>evenue and expenses for the Union for the period 2020-2023</w:t>
      </w:r>
      <w:r w:rsidR="00F9789D" w:rsidRPr="00CA2F79">
        <w:rPr>
          <w:szCs w:val="24"/>
        </w:rPr>
        <w:t>,</w:t>
      </w:r>
      <w:r w:rsidR="008A0D8D">
        <w:rPr>
          <w:szCs w:val="24"/>
        </w:rPr>
        <w:t xml:space="preserve"> </w:t>
      </w:r>
      <w:r w:rsidR="00F9789D" w:rsidRPr="00CA2F79">
        <w:rPr>
          <w:szCs w:val="24"/>
        </w:rPr>
        <w:t>which includes the financial plan of the Union for 2020-2023</w:t>
      </w:r>
      <w:r w:rsidR="00A406FE" w:rsidRPr="00CA2F79">
        <w:rPr>
          <w:szCs w:val="24"/>
        </w:rPr>
        <w:t>.</w:t>
      </w:r>
      <w:r w:rsidR="008A0D8D">
        <w:rPr>
          <w:szCs w:val="24"/>
        </w:rPr>
        <w:t xml:space="preserve"> </w:t>
      </w:r>
      <w:r w:rsidR="00F9789D" w:rsidRPr="00CA2F79">
        <w:rPr>
          <w:szCs w:val="24"/>
        </w:rPr>
        <w:t>TDAG underlined the need to balance the budget for those years.</w:t>
      </w:r>
    </w:p>
    <w:p w14:paraId="4C0BDA71" w14:textId="77777777" w:rsidR="00F9789D" w:rsidRPr="00CA2F79" w:rsidRDefault="00C86369" w:rsidP="00810998">
      <w:pPr>
        <w:pStyle w:val="CEONormal"/>
        <w:numPr>
          <w:ilvl w:val="0"/>
          <w:numId w:val="6"/>
        </w:numPr>
        <w:overflowPunct w:val="0"/>
        <w:autoSpaceDE w:val="0"/>
        <w:autoSpaceDN w:val="0"/>
        <w:adjustRightInd w:val="0"/>
        <w:spacing w:before="40" w:after="40"/>
        <w:ind w:left="567" w:hanging="567"/>
        <w:textAlignment w:val="baseline"/>
        <w:rPr>
          <w:rFonts w:asciiTheme="minorHAnsi" w:hAnsiTheme="minorHAnsi"/>
          <w:sz w:val="24"/>
          <w:szCs w:val="24"/>
        </w:rPr>
      </w:pPr>
      <w:r w:rsidRPr="00CA2F79">
        <w:rPr>
          <w:rFonts w:asciiTheme="minorHAnsi" w:hAnsiTheme="minorHAnsi"/>
          <w:sz w:val="24"/>
          <w:szCs w:val="24"/>
        </w:rPr>
        <w:lastRenderedPageBreak/>
        <w:t>Resolution 25 (Rev. Dubai, 2018) on</w:t>
      </w:r>
      <w:r w:rsidR="00A406FE" w:rsidRPr="00CA2F79">
        <w:rPr>
          <w:rFonts w:asciiTheme="minorHAnsi" w:hAnsiTheme="minorHAnsi"/>
          <w:sz w:val="24"/>
          <w:szCs w:val="24"/>
        </w:rPr>
        <w:t xml:space="preserve"> s</w:t>
      </w:r>
      <w:r w:rsidRPr="00CA2F79">
        <w:rPr>
          <w:rFonts w:asciiTheme="minorHAnsi" w:hAnsiTheme="minorHAnsi"/>
          <w:sz w:val="24"/>
          <w:szCs w:val="24"/>
        </w:rPr>
        <w:t>trengthening the regional presence</w:t>
      </w:r>
      <w:r w:rsidR="00A406FE" w:rsidRPr="00CA2F79">
        <w:rPr>
          <w:rFonts w:asciiTheme="minorHAnsi" w:hAnsiTheme="minorHAnsi"/>
          <w:sz w:val="24"/>
          <w:szCs w:val="24"/>
        </w:rPr>
        <w:t>.</w:t>
      </w:r>
    </w:p>
    <w:p w14:paraId="7DC7FBEF" w14:textId="77777777" w:rsidR="00C86369" w:rsidRPr="00CA2F79" w:rsidRDefault="00C86369" w:rsidP="00810998">
      <w:pPr>
        <w:pStyle w:val="CEONormal"/>
        <w:numPr>
          <w:ilvl w:val="0"/>
          <w:numId w:val="6"/>
        </w:numPr>
        <w:overflowPunct w:val="0"/>
        <w:autoSpaceDE w:val="0"/>
        <w:autoSpaceDN w:val="0"/>
        <w:adjustRightInd w:val="0"/>
        <w:spacing w:before="40" w:after="40"/>
        <w:ind w:left="567" w:hanging="567"/>
        <w:textAlignment w:val="baseline"/>
        <w:rPr>
          <w:rFonts w:asciiTheme="minorHAnsi" w:hAnsiTheme="minorHAnsi"/>
          <w:sz w:val="24"/>
          <w:szCs w:val="24"/>
        </w:rPr>
      </w:pPr>
      <w:r w:rsidRPr="00CA2F79">
        <w:rPr>
          <w:rFonts w:asciiTheme="minorHAnsi" w:hAnsiTheme="minorHAnsi"/>
          <w:sz w:val="24"/>
          <w:szCs w:val="24"/>
        </w:rPr>
        <w:t xml:space="preserve">New </w:t>
      </w:r>
      <w:r w:rsidR="00A406FE" w:rsidRPr="00CA2F79">
        <w:rPr>
          <w:rFonts w:asciiTheme="minorHAnsi" w:hAnsiTheme="minorHAnsi"/>
          <w:sz w:val="24"/>
          <w:szCs w:val="24"/>
        </w:rPr>
        <w:t>R</w:t>
      </w:r>
      <w:r w:rsidRPr="00CA2F79">
        <w:rPr>
          <w:rFonts w:asciiTheme="minorHAnsi" w:hAnsiTheme="minorHAnsi"/>
          <w:sz w:val="24"/>
          <w:szCs w:val="24"/>
        </w:rPr>
        <w:t xml:space="preserve">esolution 209 </w:t>
      </w:r>
      <w:r w:rsidR="00A406FE" w:rsidRPr="00CA2F79">
        <w:rPr>
          <w:rFonts w:asciiTheme="minorHAnsi" w:hAnsiTheme="minorHAnsi"/>
          <w:sz w:val="24"/>
          <w:szCs w:val="24"/>
        </w:rPr>
        <w:t>on e</w:t>
      </w:r>
      <w:r w:rsidRPr="00CA2F79">
        <w:rPr>
          <w:rFonts w:asciiTheme="minorHAnsi" w:hAnsiTheme="minorHAnsi"/>
          <w:sz w:val="24"/>
          <w:szCs w:val="24"/>
        </w:rPr>
        <w:t>ncouraging the p</w:t>
      </w:r>
      <w:r w:rsidR="00A406FE" w:rsidRPr="00CA2F79">
        <w:rPr>
          <w:rFonts w:asciiTheme="minorHAnsi" w:hAnsiTheme="minorHAnsi"/>
          <w:sz w:val="24"/>
          <w:szCs w:val="24"/>
        </w:rPr>
        <w:t>articipation of small and medium-sized</w:t>
      </w:r>
      <w:r w:rsidRPr="00CA2F79">
        <w:rPr>
          <w:rFonts w:asciiTheme="minorHAnsi" w:hAnsiTheme="minorHAnsi"/>
          <w:sz w:val="24"/>
          <w:szCs w:val="24"/>
        </w:rPr>
        <w:t xml:space="preserve"> enterprises </w:t>
      </w:r>
      <w:r w:rsidR="00A406FE" w:rsidRPr="00CA2F79">
        <w:rPr>
          <w:rFonts w:asciiTheme="minorHAnsi" w:hAnsiTheme="minorHAnsi"/>
          <w:sz w:val="24"/>
          <w:szCs w:val="24"/>
        </w:rPr>
        <w:t xml:space="preserve">(SMEs) </w:t>
      </w:r>
      <w:r w:rsidRPr="00CA2F79">
        <w:rPr>
          <w:rFonts w:asciiTheme="minorHAnsi" w:hAnsiTheme="minorHAnsi"/>
          <w:sz w:val="24"/>
          <w:szCs w:val="24"/>
        </w:rPr>
        <w:t>in the work of the Union</w:t>
      </w:r>
      <w:r w:rsidR="00A406FE" w:rsidRPr="00CA2F79">
        <w:rPr>
          <w:rFonts w:asciiTheme="minorHAnsi" w:hAnsiTheme="minorHAnsi"/>
          <w:sz w:val="24"/>
          <w:szCs w:val="24"/>
        </w:rPr>
        <w:t>.</w:t>
      </w:r>
    </w:p>
    <w:p w14:paraId="7C190CB0" w14:textId="77777777" w:rsidR="00F9789D" w:rsidRPr="00CA2F79" w:rsidRDefault="00F9789D" w:rsidP="00810998">
      <w:pPr>
        <w:pStyle w:val="CEONormal"/>
        <w:numPr>
          <w:ilvl w:val="0"/>
          <w:numId w:val="6"/>
        </w:numPr>
        <w:overflowPunct w:val="0"/>
        <w:autoSpaceDE w:val="0"/>
        <w:autoSpaceDN w:val="0"/>
        <w:adjustRightInd w:val="0"/>
        <w:spacing w:before="40"/>
        <w:ind w:left="567" w:hanging="567"/>
        <w:textAlignment w:val="baseline"/>
        <w:rPr>
          <w:rFonts w:asciiTheme="minorHAnsi" w:hAnsiTheme="minorHAnsi"/>
          <w:sz w:val="24"/>
          <w:szCs w:val="24"/>
        </w:rPr>
      </w:pPr>
      <w:r w:rsidRPr="00CA2F79">
        <w:rPr>
          <w:rFonts w:asciiTheme="minorHAnsi" w:hAnsiTheme="minorHAnsi"/>
          <w:sz w:val="24"/>
          <w:szCs w:val="24"/>
        </w:rPr>
        <w:t xml:space="preserve">New Resolution 213 on measures to improve, promote and strengthen ITU fellowships. </w:t>
      </w:r>
      <w:r w:rsidRPr="00CA2F79">
        <w:rPr>
          <w:rFonts w:asciiTheme="minorHAnsi" w:eastAsia="Calibri" w:hAnsiTheme="minorHAnsi" w:cs="Calibri"/>
          <w:bCs/>
          <w:sz w:val="24"/>
          <w:szCs w:val="24"/>
        </w:rPr>
        <w:t>Commenting on this resolution</w:t>
      </w:r>
      <w:r w:rsidRPr="00CA2F79">
        <w:rPr>
          <w:rFonts w:asciiTheme="minorHAnsi" w:hAnsiTheme="minorHAnsi"/>
          <w:sz w:val="24"/>
          <w:szCs w:val="24"/>
        </w:rPr>
        <w:t xml:space="preserve">, TDAG </w:t>
      </w:r>
      <w:r w:rsidRPr="00CA2F79">
        <w:rPr>
          <w:rFonts w:asciiTheme="minorHAnsi" w:eastAsia="Calibri" w:hAnsiTheme="minorHAnsi" w:cs="Calibri"/>
          <w:sz w:val="24"/>
          <w:szCs w:val="24"/>
        </w:rPr>
        <w:t>requested a detailed breakdown o</w:t>
      </w:r>
      <w:r w:rsidR="00984E5D" w:rsidRPr="00CA2F79">
        <w:rPr>
          <w:rFonts w:asciiTheme="minorHAnsi" w:eastAsia="Calibri" w:hAnsiTheme="minorHAnsi" w:cs="Calibri"/>
          <w:sz w:val="24"/>
          <w:szCs w:val="24"/>
        </w:rPr>
        <w:t>f</w:t>
      </w:r>
      <w:r w:rsidRPr="00CA2F79">
        <w:rPr>
          <w:rFonts w:asciiTheme="minorHAnsi" w:eastAsia="Calibri" w:hAnsiTheme="minorHAnsi" w:cs="Calibri"/>
          <w:sz w:val="24"/>
          <w:szCs w:val="24"/>
        </w:rPr>
        <w:t xml:space="preserve"> statistics regarding fellows</w:t>
      </w:r>
      <w:r w:rsidR="00984E5D" w:rsidRPr="00CA2F79">
        <w:rPr>
          <w:rFonts w:asciiTheme="minorHAnsi" w:eastAsia="Calibri" w:hAnsiTheme="minorHAnsi" w:cs="Calibri"/>
          <w:sz w:val="24"/>
          <w:szCs w:val="24"/>
        </w:rPr>
        <w:t>hips</w:t>
      </w:r>
      <w:r w:rsidRPr="00CA2F79">
        <w:rPr>
          <w:rFonts w:asciiTheme="minorHAnsi" w:eastAsia="Calibri" w:hAnsiTheme="minorHAnsi" w:cs="Calibri"/>
          <w:sz w:val="24"/>
          <w:szCs w:val="24"/>
        </w:rPr>
        <w:t xml:space="preserve"> by gender, age and area of expertise. The secretariat clarified that a separate document providing these details will be submitted to Council-19, which will make recommendations to the ITU Secretary-General, in line with Resolution 213. </w:t>
      </w:r>
    </w:p>
    <w:tbl>
      <w:tblPr>
        <w:tblStyle w:val="TableGrid"/>
        <w:tblW w:w="0" w:type="auto"/>
        <w:tblLook w:val="04A0" w:firstRow="1" w:lastRow="0" w:firstColumn="1" w:lastColumn="0" w:noHBand="0" w:noVBand="1"/>
      </w:tblPr>
      <w:tblGrid>
        <w:gridCol w:w="9629"/>
      </w:tblGrid>
      <w:tr w:rsidR="00062D6A" w:rsidRPr="00CA2F79" w14:paraId="01B5049B" w14:textId="77777777" w:rsidTr="00660D9E">
        <w:tc>
          <w:tcPr>
            <w:tcW w:w="9629" w:type="dxa"/>
          </w:tcPr>
          <w:p w14:paraId="2F2FA4F8" w14:textId="77777777" w:rsidR="00004F04" w:rsidRPr="00CA2F79" w:rsidRDefault="00004F04" w:rsidP="00CA2F79">
            <w:pPr>
              <w:keepNext/>
              <w:spacing w:after="120"/>
              <w:rPr>
                <w:rFonts w:eastAsia="Calibri" w:cs="Calibri"/>
                <w:szCs w:val="24"/>
              </w:rPr>
            </w:pPr>
            <w:r w:rsidRPr="00CA2F79">
              <w:rPr>
                <w:rFonts w:eastAsia="Calibri" w:cs="Calibri"/>
                <w:szCs w:val="24"/>
              </w:rPr>
              <w:t xml:space="preserve">TDAG requested the secretariat to update the document to include: </w:t>
            </w:r>
          </w:p>
          <w:p w14:paraId="51D885E0" w14:textId="14D4E37C" w:rsidR="00004F04" w:rsidRPr="00343542" w:rsidRDefault="00004F04" w:rsidP="00343542">
            <w:pPr>
              <w:pStyle w:val="ListParagraph"/>
              <w:numPr>
                <w:ilvl w:val="0"/>
                <w:numId w:val="21"/>
              </w:numPr>
              <w:spacing w:before="40" w:after="40"/>
              <w:ind w:left="357" w:hanging="357"/>
              <w:contextualSpacing w:val="0"/>
              <w:rPr>
                <w:rFonts w:eastAsia="Calibri" w:cs="Calibri"/>
                <w:szCs w:val="24"/>
              </w:rPr>
            </w:pPr>
            <w:r w:rsidRPr="00343542">
              <w:rPr>
                <w:b/>
                <w:szCs w:val="24"/>
              </w:rPr>
              <w:t>Resolution 70</w:t>
            </w:r>
            <w:r w:rsidRPr="00343542">
              <w:rPr>
                <w:szCs w:val="24"/>
              </w:rPr>
              <w:t xml:space="preserve"> on mainstreaming a gender perspective in ITU and promotion of gender equality and the empowerment of women through </w:t>
            </w:r>
            <w:r w:rsidR="00984E5D" w:rsidRPr="00343542">
              <w:rPr>
                <w:szCs w:val="24"/>
              </w:rPr>
              <w:t>telecommunications/information and communication technologies</w:t>
            </w:r>
            <w:r w:rsidRPr="00343542">
              <w:rPr>
                <w:szCs w:val="24"/>
              </w:rPr>
              <w:t>.</w:t>
            </w:r>
          </w:p>
          <w:p w14:paraId="7A94BCA9" w14:textId="51B823AC" w:rsidR="00004F04" w:rsidRPr="00343542" w:rsidRDefault="00004F04" w:rsidP="00343542">
            <w:pPr>
              <w:pStyle w:val="ListParagraph"/>
              <w:numPr>
                <w:ilvl w:val="0"/>
                <w:numId w:val="21"/>
              </w:numPr>
              <w:spacing w:before="40" w:after="40"/>
              <w:ind w:left="357" w:hanging="357"/>
              <w:contextualSpacing w:val="0"/>
              <w:rPr>
                <w:rFonts w:eastAsia="Calibri" w:cs="Calibri"/>
                <w:szCs w:val="24"/>
              </w:rPr>
            </w:pPr>
            <w:r w:rsidRPr="00343542">
              <w:rPr>
                <w:b/>
                <w:szCs w:val="24"/>
              </w:rPr>
              <w:t xml:space="preserve">Resolution </w:t>
            </w:r>
            <w:r w:rsidRPr="00343542">
              <w:rPr>
                <w:rFonts w:eastAsia="Calibri" w:cs="Calibri"/>
                <w:b/>
                <w:szCs w:val="24"/>
              </w:rPr>
              <w:t>136</w:t>
            </w:r>
            <w:r w:rsidRPr="00343542">
              <w:rPr>
                <w:rFonts w:eastAsia="Calibri" w:cs="Calibri"/>
                <w:szCs w:val="24"/>
              </w:rPr>
              <w:t xml:space="preserve"> on the use of telecommunications/</w:t>
            </w:r>
            <w:r w:rsidR="00984E5D" w:rsidRPr="00343542">
              <w:rPr>
                <w:rFonts w:eastAsia="Calibri" w:cs="Calibri"/>
                <w:szCs w:val="24"/>
              </w:rPr>
              <w:t xml:space="preserve">information and communication technologies </w:t>
            </w:r>
            <w:r w:rsidRPr="00343542">
              <w:rPr>
                <w:rFonts w:eastAsia="Calibri" w:cs="Calibri"/>
                <w:szCs w:val="24"/>
              </w:rPr>
              <w:t>for humanitarian assistance and for monitoring and management in emergency and disaster situations, including health-related emergencies, for early warning, prevention, mitigation and relief.</w:t>
            </w:r>
          </w:p>
          <w:p w14:paraId="37169AE1" w14:textId="1EB30D53" w:rsidR="00004F04" w:rsidRPr="00343542" w:rsidRDefault="00004F04" w:rsidP="00343542">
            <w:pPr>
              <w:pStyle w:val="ListParagraph"/>
              <w:numPr>
                <w:ilvl w:val="0"/>
                <w:numId w:val="21"/>
              </w:numPr>
              <w:spacing w:before="40" w:after="40"/>
              <w:ind w:left="357" w:hanging="357"/>
              <w:contextualSpacing w:val="0"/>
              <w:rPr>
                <w:rFonts w:eastAsia="Calibri" w:cs="Calibri"/>
                <w:szCs w:val="24"/>
              </w:rPr>
            </w:pPr>
            <w:r w:rsidRPr="00343542">
              <w:rPr>
                <w:b/>
                <w:szCs w:val="24"/>
              </w:rPr>
              <w:t>Resolution 169</w:t>
            </w:r>
            <w:r w:rsidRPr="00343542">
              <w:rPr>
                <w:szCs w:val="24"/>
              </w:rPr>
              <w:t xml:space="preserve"> on the admission of academia to participate in the work of the Union.</w:t>
            </w:r>
          </w:p>
          <w:p w14:paraId="79406A66" w14:textId="040891DB" w:rsidR="00004F04" w:rsidRPr="00343542" w:rsidRDefault="00004F04" w:rsidP="00343542">
            <w:pPr>
              <w:pStyle w:val="ListParagraph"/>
              <w:numPr>
                <w:ilvl w:val="0"/>
                <w:numId w:val="21"/>
              </w:numPr>
              <w:spacing w:before="40" w:after="40"/>
              <w:ind w:left="357" w:hanging="357"/>
              <w:contextualSpacing w:val="0"/>
              <w:rPr>
                <w:rFonts w:eastAsia="Calibri" w:cs="Calibri"/>
                <w:szCs w:val="24"/>
              </w:rPr>
            </w:pPr>
            <w:r w:rsidRPr="00343542">
              <w:rPr>
                <w:rFonts w:eastAsia="Calibri" w:cs="Calibri"/>
                <w:b/>
                <w:szCs w:val="24"/>
              </w:rPr>
              <w:t>Resolution 175</w:t>
            </w:r>
            <w:r w:rsidRPr="00343542">
              <w:rPr>
                <w:rFonts w:eastAsia="Calibri" w:cs="Calibri"/>
                <w:szCs w:val="24"/>
              </w:rPr>
              <w:t xml:space="preserve"> on telecommunication/</w:t>
            </w:r>
            <w:r w:rsidR="00984E5D" w:rsidRPr="00343542">
              <w:rPr>
                <w:rFonts w:eastAsia="Calibri" w:cs="Calibri"/>
                <w:szCs w:val="24"/>
              </w:rPr>
              <w:t>information and communication technology</w:t>
            </w:r>
            <w:r w:rsidRPr="00343542">
              <w:rPr>
                <w:rFonts w:eastAsia="Calibri" w:cs="Calibri"/>
                <w:szCs w:val="24"/>
              </w:rPr>
              <w:t xml:space="preserve"> accessibility for persons with disabilities</w:t>
            </w:r>
            <w:r w:rsidR="00984E5D" w:rsidRPr="00343542">
              <w:rPr>
                <w:rFonts w:eastAsia="Calibri" w:cs="Calibri"/>
                <w:szCs w:val="24"/>
              </w:rPr>
              <w:t xml:space="preserve"> and</w:t>
            </w:r>
            <w:r w:rsidRPr="00343542">
              <w:rPr>
                <w:rFonts w:eastAsia="Calibri" w:cs="Calibri"/>
                <w:szCs w:val="24"/>
              </w:rPr>
              <w:t xml:space="preserve"> persons with specific needs. </w:t>
            </w:r>
          </w:p>
          <w:p w14:paraId="373EC1E4" w14:textId="6DC791F4" w:rsidR="00004F04" w:rsidRPr="00343542" w:rsidRDefault="00004F04" w:rsidP="00343542">
            <w:pPr>
              <w:pStyle w:val="ListParagraph"/>
              <w:numPr>
                <w:ilvl w:val="0"/>
                <w:numId w:val="21"/>
              </w:numPr>
              <w:spacing w:before="40" w:after="40"/>
              <w:ind w:left="357" w:hanging="357"/>
              <w:contextualSpacing w:val="0"/>
              <w:rPr>
                <w:rFonts w:eastAsia="Calibri" w:cs="Calibri"/>
                <w:szCs w:val="24"/>
              </w:rPr>
            </w:pPr>
            <w:r w:rsidRPr="00343542">
              <w:rPr>
                <w:b/>
                <w:szCs w:val="24"/>
              </w:rPr>
              <w:t xml:space="preserve">Resolution </w:t>
            </w:r>
            <w:r w:rsidRPr="00343542">
              <w:rPr>
                <w:rFonts w:eastAsia="Calibri" w:cs="Calibri"/>
                <w:b/>
                <w:szCs w:val="24"/>
              </w:rPr>
              <w:t>179</w:t>
            </w:r>
            <w:r w:rsidRPr="00343542">
              <w:rPr>
                <w:rFonts w:eastAsia="Calibri" w:cs="Calibri"/>
                <w:szCs w:val="24"/>
              </w:rPr>
              <w:t xml:space="preserve"> on</w:t>
            </w:r>
            <w:r w:rsidR="00984E5D" w:rsidRPr="00343542">
              <w:rPr>
                <w:rFonts w:eastAsia="Calibri" w:cs="Calibri"/>
                <w:szCs w:val="24"/>
              </w:rPr>
              <w:t xml:space="preserve"> the</w:t>
            </w:r>
            <w:r w:rsidRPr="00343542">
              <w:rPr>
                <w:rFonts w:eastAsia="Calibri" w:cs="Calibri"/>
                <w:szCs w:val="24"/>
              </w:rPr>
              <w:t xml:space="preserve"> ITU role in child online protection.</w:t>
            </w:r>
          </w:p>
          <w:p w14:paraId="7DA124F6" w14:textId="6D563B99" w:rsidR="00004F04" w:rsidRPr="00343542" w:rsidRDefault="00004F04" w:rsidP="00343542">
            <w:pPr>
              <w:pStyle w:val="ListParagraph"/>
              <w:numPr>
                <w:ilvl w:val="0"/>
                <w:numId w:val="21"/>
              </w:numPr>
              <w:spacing w:before="40" w:after="40"/>
              <w:ind w:left="357" w:hanging="357"/>
              <w:contextualSpacing w:val="0"/>
              <w:rPr>
                <w:rFonts w:eastAsia="Calibri" w:cs="Calibri"/>
                <w:szCs w:val="24"/>
              </w:rPr>
            </w:pPr>
            <w:r w:rsidRPr="00343542">
              <w:rPr>
                <w:b/>
                <w:szCs w:val="24"/>
              </w:rPr>
              <w:t xml:space="preserve">Resolution </w:t>
            </w:r>
            <w:r w:rsidRPr="00343542">
              <w:rPr>
                <w:rFonts w:eastAsia="Calibri" w:cs="Calibri"/>
                <w:b/>
                <w:szCs w:val="24"/>
              </w:rPr>
              <w:t>196</w:t>
            </w:r>
            <w:r w:rsidRPr="00343542">
              <w:rPr>
                <w:rFonts w:eastAsia="Calibri" w:cs="Calibri"/>
                <w:szCs w:val="24"/>
              </w:rPr>
              <w:t xml:space="preserve"> on protecting telecommunication service users/consumers.</w:t>
            </w:r>
          </w:p>
          <w:p w14:paraId="58E26E79" w14:textId="6C176891" w:rsidR="005C2359" w:rsidRPr="004D22C2" w:rsidRDefault="00004F04" w:rsidP="00ED7519">
            <w:pPr>
              <w:pStyle w:val="ListParagraph"/>
              <w:numPr>
                <w:ilvl w:val="0"/>
                <w:numId w:val="21"/>
              </w:numPr>
              <w:spacing w:before="40" w:after="120"/>
              <w:ind w:left="357" w:hanging="357"/>
              <w:contextualSpacing w:val="0"/>
              <w:rPr>
                <w:rFonts w:cstheme="minorBidi"/>
                <w:color w:val="000000" w:themeColor="text1"/>
                <w:szCs w:val="24"/>
              </w:rPr>
            </w:pPr>
            <w:r w:rsidRPr="00343542">
              <w:rPr>
                <w:b/>
                <w:szCs w:val="24"/>
              </w:rPr>
              <w:t xml:space="preserve">Resolution </w:t>
            </w:r>
            <w:r w:rsidRPr="00343542">
              <w:rPr>
                <w:rFonts w:eastAsia="Calibri" w:cs="Calibri"/>
                <w:b/>
                <w:szCs w:val="24"/>
              </w:rPr>
              <w:t>198</w:t>
            </w:r>
            <w:r w:rsidRPr="00343542">
              <w:rPr>
                <w:rFonts w:eastAsia="Calibri" w:cs="Calibri"/>
                <w:szCs w:val="24"/>
              </w:rPr>
              <w:t xml:space="preserve"> on empowerment of youth through telecommunication/information and communication technology</w:t>
            </w:r>
            <w:r w:rsidR="00CA2F79" w:rsidRPr="00343542">
              <w:rPr>
                <w:rFonts w:eastAsia="Calibri" w:cs="Calibri"/>
                <w:szCs w:val="24"/>
              </w:rPr>
              <w:t>.</w:t>
            </w:r>
          </w:p>
        </w:tc>
      </w:tr>
    </w:tbl>
    <w:p w14:paraId="187E7053" w14:textId="77777777" w:rsidR="00C4216D" w:rsidRPr="00957B6C" w:rsidRDefault="00692A97" w:rsidP="00810998">
      <w:pPr>
        <w:pStyle w:val="ListParagraph"/>
        <w:keepNext/>
        <w:numPr>
          <w:ilvl w:val="0"/>
          <w:numId w:val="1"/>
        </w:numPr>
        <w:spacing w:before="240" w:after="120"/>
        <w:ind w:left="357" w:hanging="357"/>
        <w:contextualSpacing w:val="0"/>
        <w:rPr>
          <w:rStyle w:val="StyleComplex12pt"/>
          <w:rFonts w:cstheme="minorHAnsi"/>
          <w:b/>
          <w:bCs/>
        </w:rPr>
      </w:pPr>
      <w:r w:rsidRPr="00957B6C">
        <w:rPr>
          <w:rStyle w:val="StyleComplex12pt"/>
          <w:rFonts w:cstheme="minorHAnsi"/>
          <w:b/>
          <w:bCs/>
        </w:rPr>
        <w:t>ITU-D four-year rolling Operational Plan 2020-2023</w:t>
      </w:r>
    </w:p>
    <w:p w14:paraId="45A7D49B" w14:textId="77777777" w:rsidR="00FD7150" w:rsidRPr="00957B6C" w:rsidRDefault="00B8346F" w:rsidP="009B5B24">
      <w:pPr>
        <w:spacing w:after="120"/>
        <w:rPr>
          <w:szCs w:val="24"/>
        </w:rPr>
      </w:pPr>
      <w:hyperlink r:id="rId13">
        <w:r w:rsidR="25A7936B" w:rsidRPr="00957B6C">
          <w:rPr>
            <w:rStyle w:val="Hyperlink"/>
            <w:rFonts w:cstheme="minorBidi"/>
            <w:b/>
            <w:bCs/>
          </w:rPr>
          <w:t xml:space="preserve">Document </w:t>
        </w:r>
        <w:r w:rsidR="00EC4E9B" w:rsidRPr="00957B6C">
          <w:rPr>
            <w:rStyle w:val="Hyperlink"/>
            <w:rFonts w:cstheme="minorBidi"/>
            <w:b/>
            <w:bCs/>
          </w:rPr>
          <w:t>6</w:t>
        </w:r>
      </w:hyperlink>
      <w:r w:rsidR="25A7936B" w:rsidRPr="00957B6C">
        <w:rPr>
          <w:rFonts w:cstheme="minorBidi"/>
          <w:b/>
          <w:bCs/>
          <w:color w:val="000000" w:themeColor="text1"/>
        </w:rPr>
        <w:t xml:space="preserve">: </w:t>
      </w:r>
      <w:r w:rsidR="25A7936B" w:rsidRPr="00957B6C">
        <w:rPr>
          <w:rFonts w:cstheme="minorBidi"/>
          <w:color w:val="000000" w:themeColor="text1"/>
        </w:rPr>
        <w:t>“</w:t>
      </w:r>
      <w:r w:rsidR="008F1D07" w:rsidRPr="00957B6C">
        <w:rPr>
          <w:rFonts w:cstheme="minorBidi"/>
          <w:color w:val="000000" w:themeColor="text1"/>
        </w:rPr>
        <w:t>ITU-D four-year rolling Operational Plan 2020-2023</w:t>
      </w:r>
      <w:r w:rsidR="25A7936B" w:rsidRPr="00957B6C">
        <w:rPr>
          <w:rFonts w:cstheme="minorBidi"/>
          <w:color w:val="000000" w:themeColor="text1"/>
        </w:rPr>
        <w:t>”</w:t>
      </w:r>
      <w:r w:rsidR="00EA20A1" w:rsidRPr="00957B6C">
        <w:rPr>
          <w:rFonts w:cstheme="minorBidi"/>
          <w:color w:val="000000" w:themeColor="text1"/>
        </w:rPr>
        <w:t xml:space="preserve"> </w:t>
      </w:r>
      <w:r w:rsidR="002C1A73" w:rsidRPr="00957B6C">
        <w:rPr>
          <w:rFonts w:ascii="Calibri" w:hAnsi="Calibri"/>
          <w:szCs w:val="24"/>
        </w:rPr>
        <w:t xml:space="preserve">outlines </w:t>
      </w:r>
      <w:r w:rsidR="0026038D" w:rsidRPr="00957B6C">
        <w:t xml:space="preserve">the </w:t>
      </w:r>
      <w:r w:rsidR="0026038D" w:rsidRPr="00957B6C">
        <w:rPr>
          <w:rFonts w:cstheme="minorBidi"/>
          <w:color w:val="000000" w:themeColor="text1"/>
        </w:rPr>
        <w:t>Telecommunication Development Sector</w:t>
      </w:r>
      <w:r w:rsidR="002C1A73" w:rsidRPr="00957B6C">
        <w:rPr>
          <w:rFonts w:ascii="Calibri" w:hAnsi="Calibri"/>
          <w:szCs w:val="24"/>
        </w:rPr>
        <w:t xml:space="preserve"> objectives</w:t>
      </w:r>
      <w:r w:rsidR="0026038D" w:rsidRPr="00957B6C">
        <w:rPr>
          <w:rFonts w:ascii="Calibri" w:hAnsi="Calibri"/>
          <w:szCs w:val="24"/>
        </w:rPr>
        <w:t xml:space="preserve">, their </w:t>
      </w:r>
      <w:r w:rsidR="002C1A73" w:rsidRPr="00957B6C">
        <w:rPr>
          <w:rFonts w:ascii="Calibri" w:hAnsi="Calibri"/>
          <w:szCs w:val="24"/>
        </w:rPr>
        <w:t>corresponding outcomes,</w:t>
      </w:r>
      <w:r w:rsidR="0026038D" w:rsidRPr="00957B6C">
        <w:rPr>
          <w:rFonts w:ascii="Calibri" w:hAnsi="Calibri"/>
          <w:szCs w:val="24"/>
        </w:rPr>
        <w:t xml:space="preserve"> along with </w:t>
      </w:r>
      <w:r w:rsidR="002C1A73" w:rsidRPr="00957B6C">
        <w:rPr>
          <w:rFonts w:ascii="Calibri" w:hAnsi="Calibri"/>
          <w:szCs w:val="24"/>
        </w:rPr>
        <w:t xml:space="preserve">outcome indicators to measure </w:t>
      </w:r>
      <w:r w:rsidR="0026038D" w:rsidRPr="00957B6C">
        <w:rPr>
          <w:rFonts w:ascii="Calibri" w:hAnsi="Calibri"/>
          <w:szCs w:val="24"/>
        </w:rPr>
        <w:t xml:space="preserve">the level of </w:t>
      </w:r>
      <w:r w:rsidR="002C1A73" w:rsidRPr="00957B6C">
        <w:rPr>
          <w:rFonts w:ascii="Calibri" w:hAnsi="Calibri"/>
          <w:szCs w:val="24"/>
        </w:rPr>
        <w:t xml:space="preserve">achievement, </w:t>
      </w:r>
      <w:r w:rsidR="0026038D" w:rsidRPr="00957B6C">
        <w:rPr>
          <w:rFonts w:ascii="Calibri" w:hAnsi="Calibri"/>
          <w:szCs w:val="24"/>
        </w:rPr>
        <w:t xml:space="preserve">and </w:t>
      </w:r>
      <w:r w:rsidR="002C1A73" w:rsidRPr="00957B6C">
        <w:rPr>
          <w:rFonts w:ascii="Calibri" w:hAnsi="Calibri"/>
          <w:szCs w:val="24"/>
        </w:rPr>
        <w:t>products and services</w:t>
      </w:r>
      <w:r w:rsidR="00AF3065" w:rsidRPr="00957B6C">
        <w:rPr>
          <w:rFonts w:ascii="Calibri" w:hAnsi="Calibri"/>
          <w:szCs w:val="24"/>
        </w:rPr>
        <w:t xml:space="preserve"> (outputs</w:t>
      </w:r>
      <w:r w:rsidR="002C1A73" w:rsidRPr="00957B6C">
        <w:rPr>
          <w:rFonts w:ascii="Calibri" w:hAnsi="Calibri"/>
          <w:szCs w:val="24"/>
        </w:rPr>
        <w:t>)</w:t>
      </w:r>
      <w:r w:rsidR="00FD7150" w:rsidRPr="00957B6C">
        <w:rPr>
          <w:rFonts w:ascii="Calibri" w:hAnsi="Calibri"/>
          <w:szCs w:val="24"/>
        </w:rPr>
        <w:t xml:space="preserve"> for members</w:t>
      </w:r>
      <w:r w:rsidR="00FD7150" w:rsidRPr="00957B6C">
        <w:t>.</w:t>
      </w:r>
      <w:r w:rsidR="00FD7150" w:rsidRPr="00957B6C">
        <w:rPr>
          <w:szCs w:val="24"/>
        </w:rPr>
        <w:t xml:space="preserve"> </w:t>
      </w:r>
    </w:p>
    <w:p w14:paraId="52940E7B" w14:textId="588E1F52" w:rsidR="00FD7150" w:rsidRPr="00957B6C" w:rsidRDefault="007C7763" w:rsidP="009B5B24">
      <w:pPr>
        <w:pStyle w:val="CEONormal"/>
        <w:rPr>
          <w:rFonts w:ascii="Calibri" w:hAnsi="Calibri"/>
          <w:sz w:val="24"/>
          <w:szCs w:val="24"/>
        </w:rPr>
      </w:pPr>
      <w:r w:rsidRPr="00957B6C">
        <w:rPr>
          <w:rFonts w:ascii="Calibri" w:hAnsi="Calibri"/>
          <w:sz w:val="24"/>
          <w:szCs w:val="24"/>
        </w:rPr>
        <w:t xml:space="preserve">TDAG discussed </w:t>
      </w:r>
      <w:r w:rsidR="00FD7150" w:rsidRPr="00957B6C">
        <w:rPr>
          <w:rFonts w:ascii="Calibri" w:hAnsi="Calibri"/>
          <w:sz w:val="24"/>
          <w:szCs w:val="24"/>
        </w:rPr>
        <w:t>the key elements of the 2020-2023 rolling operational plan presented in five parts. Part 1 is the executive summary. Part 2 provides detailed descriptions of (i) outputs by objectives and policy issues related to outputs; (ii) outcomes and outcome indicators; (iii) annual expected results and performance indicators; and (iv) the risk analysis. Parts 3 and 4 provide d</w:t>
      </w:r>
      <w:r w:rsidR="00FD7150" w:rsidRPr="00957B6C">
        <w:rPr>
          <w:rFonts w:ascii="Calibri" w:hAnsi="Calibri"/>
          <w:bCs/>
          <w:sz w:val="24"/>
          <w:szCs w:val="24"/>
        </w:rPr>
        <w:t>escription</w:t>
      </w:r>
      <w:r w:rsidR="00FD7150" w:rsidRPr="00957B6C">
        <w:rPr>
          <w:rFonts w:ascii="Calibri" w:hAnsi="Calibri"/>
          <w:sz w:val="24"/>
          <w:szCs w:val="24"/>
        </w:rPr>
        <w:t>s</w:t>
      </w:r>
      <w:r w:rsidR="00FD7150" w:rsidRPr="00957B6C">
        <w:rPr>
          <w:rFonts w:ascii="Calibri" w:hAnsi="Calibri"/>
          <w:bCs/>
          <w:sz w:val="24"/>
          <w:szCs w:val="24"/>
        </w:rPr>
        <w:t xml:space="preserve"> of departments, and regional and area offices, including human </w:t>
      </w:r>
      <w:r w:rsidR="00FD7150" w:rsidRPr="00957B6C">
        <w:rPr>
          <w:rFonts w:ascii="Calibri" w:hAnsi="Calibri"/>
          <w:sz w:val="24"/>
          <w:szCs w:val="24"/>
        </w:rPr>
        <w:t>resource allocations for the period 2020-2023. Part 5 provides details of regional initiatives per region premised on results-based management.</w:t>
      </w:r>
      <w:r w:rsidR="00BE016B">
        <w:rPr>
          <w:rFonts w:ascii="Calibri" w:hAnsi="Calibri"/>
          <w:sz w:val="24"/>
          <w:szCs w:val="24"/>
        </w:rPr>
        <w:t xml:space="preserve"> </w:t>
      </w:r>
    </w:p>
    <w:p w14:paraId="14FC6C2A" w14:textId="0FDD1A44" w:rsidR="00F46BE0" w:rsidRPr="00957B6C" w:rsidRDefault="0032798C" w:rsidP="008A18F2">
      <w:pPr>
        <w:pStyle w:val="CEONormal"/>
        <w:rPr>
          <w:rFonts w:asciiTheme="minorHAnsi" w:hAnsiTheme="minorHAnsi"/>
          <w:sz w:val="24"/>
          <w:szCs w:val="24"/>
        </w:rPr>
      </w:pPr>
      <w:r w:rsidRPr="00957B6C">
        <w:rPr>
          <w:rFonts w:asciiTheme="minorHAnsi" w:hAnsiTheme="minorHAnsi" w:cstheme="minorBidi"/>
          <w:color w:val="000000" w:themeColor="text1"/>
          <w:sz w:val="24"/>
          <w:szCs w:val="24"/>
        </w:rPr>
        <w:t>The ITU-D four-year rolling operational plan</w:t>
      </w:r>
      <w:r w:rsidRPr="00957B6C">
        <w:rPr>
          <w:rFonts w:asciiTheme="minorHAnsi" w:hAnsiTheme="minorHAnsi"/>
          <w:sz w:val="24"/>
          <w:szCs w:val="24"/>
        </w:rPr>
        <w:t xml:space="preserve"> is aligned with the structure of the overall strategic plan for the Union for 2020-2023</w:t>
      </w:r>
      <w:r w:rsidR="006E6E93" w:rsidRPr="00957B6C">
        <w:rPr>
          <w:rFonts w:asciiTheme="minorHAnsi" w:hAnsiTheme="minorHAnsi"/>
          <w:sz w:val="24"/>
          <w:szCs w:val="24"/>
        </w:rPr>
        <w:t>,</w:t>
      </w:r>
      <w:r w:rsidR="00975459" w:rsidRPr="00957B6C">
        <w:rPr>
          <w:rFonts w:asciiTheme="minorHAnsi" w:hAnsiTheme="minorHAnsi"/>
          <w:sz w:val="24"/>
          <w:szCs w:val="24"/>
        </w:rPr>
        <w:t xml:space="preserve"> and with</w:t>
      </w:r>
      <w:r w:rsidR="003C5C8E" w:rsidRPr="00957B6C">
        <w:rPr>
          <w:rFonts w:asciiTheme="minorHAnsi" w:hAnsiTheme="minorHAnsi"/>
          <w:sz w:val="24"/>
          <w:szCs w:val="24"/>
        </w:rPr>
        <w:t xml:space="preserve"> </w:t>
      </w:r>
      <w:r w:rsidR="00975459" w:rsidRPr="00957B6C">
        <w:rPr>
          <w:rFonts w:asciiTheme="minorHAnsi" w:hAnsiTheme="minorHAnsi"/>
          <w:sz w:val="24"/>
          <w:szCs w:val="24"/>
        </w:rPr>
        <w:t xml:space="preserve">the limits set in the financial plans for these years. </w:t>
      </w:r>
      <w:r w:rsidR="00CE13E9" w:rsidRPr="00957B6C">
        <w:rPr>
          <w:rFonts w:asciiTheme="minorHAnsi" w:hAnsiTheme="minorHAnsi"/>
          <w:sz w:val="24"/>
          <w:szCs w:val="24"/>
        </w:rPr>
        <w:t>The plan</w:t>
      </w:r>
      <w:r w:rsidR="0010476A" w:rsidRPr="00957B6C">
        <w:rPr>
          <w:rFonts w:asciiTheme="minorHAnsi" w:hAnsiTheme="minorHAnsi"/>
          <w:sz w:val="24"/>
          <w:szCs w:val="24"/>
        </w:rPr>
        <w:t xml:space="preserve"> highlights a period dominated by the implementation of WTDC-17 outcomes and PP-18 decisions and resolutions </w:t>
      </w:r>
      <w:r w:rsidR="006E6E93" w:rsidRPr="00957B6C">
        <w:rPr>
          <w:rFonts w:asciiTheme="minorHAnsi" w:hAnsiTheme="minorHAnsi"/>
          <w:sz w:val="24"/>
          <w:szCs w:val="24"/>
        </w:rPr>
        <w:t xml:space="preserve">with </w:t>
      </w:r>
      <w:r w:rsidR="0010476A" w:rsidRPr="00957B6C">
        <w:rPr>
          <w:rFonts w:asciiTheme="minorHAnsi" w:hAnsiTheme="minorHAnsi"/>
          <w:sz w:val="24"/>
          <w:szCs w:val="24"/>
        </w:rPr>
        <w:t xml:space="preserve">implications </w:t>
      </w:r>
      <w:r w:rsidR="008A18F2">
        <w:rPr>
          <w:rFonts w:asciiTheme="minorHAnsi" w:hAnsiTheme="minorHAnsi"/>
          <w:sz w:val="24"/>
          <w:szCs w:val="24"/>
        </w:rPr>
        <w:t>for</w:t>
      </w:r>
      <w:r w:rsidR="006E6E93" w:rsidRPr="00957B6C">
        <w:rPr>
          <w:rFonts w:asciiTheme="minorHAnsi" w:hAnsiTheme="minorHAnsi"/>
          <w:sz w:val="24"/>
          <w:szCs w:val="24"/>
        </w:rPr>
        <w:t xml:space="preserve"> </w:t>
      </w:r>
      <w:r w:rsidR="0010476A" w:rsidRPr="00957B6C">
        <w:rPr>
          <w:rFonts w:asciiTheme="minorHAnsi" w:hAnsiTheme="minorHAnsi"/>
          <w:sz w:val="24"/>
          <w:szCs w:val="24"/>
        </w:rPr>
        <w:t>the work of ITU-D</w:t>
      </w:r>
      <w:r w:rsidR="00F63655" w:rsidRPr="00957B6C">
        <w:rPr>
          <w:rFonts w:asciiTheme="minorHAnsi" w:hAnsiTheme="minorHAnsi"/>
          <w:sz w:val="24"/>
          <w:szCs w:val="24"/>
        </w:rPr>
        <w:t xml:space="preserve"> and the </w:t>
      </w:r>
      <w:r w:rsidR="00975459" w:rsidRPr="00957B6C">
        <w:rPr>
          <w:rFonts w:asciiTheme="minorHAnsi" w:hAnsiTheme="minorHAnsi"/>
          <w:sz w:val="24"/>
          <w:szCs w:val="24"/>
        </w:rPr>
        <w:t>p</w:t>
      </w:r>
      <w:r w:rsidR="00F46BE0" w:rsidRPr="00957B6C">
        <w:rPr>
          <w:rFonts w:asciiTheme="minorHAnsi" w:hAnsiTheme="minorHAnsi"/>
          <w:sz w:val="24"/>
          <w:szCs w:val="24"/>
        </w:rPr>
        <w:t xml:space="preserve">reparations </w:t>
      </w:r>
      <w:r w:rsidR="00975459" w:rsidRPr="00957B6C">
        <w:rPr>
          <w:rFonts w:asciiTheme="minorHAnsi" w:hAnsiTheme="minorHAnsi"/>
          <w:sz w:val="24"/>
          <w:szCs w:val="24"/>
        </w:rPr>
        <w:t xml:space="preserve">for </w:t>
      </w:r>
      <w:r w:rsidR="00F46BE0" w:rsidRPr="00957B6C">
        <w:rPr>
          <w:rFonts w:asciiTheme="minorHAnsi" w:hAnsiTheme="minorHAnsi"/>
          <w:sz w:val="24"/>
          <w:szCs w:val="24"/>
        </w:rPr>
        <w:t xml:space="preserve">the next </w:t>
      </w:r>
      <w:r w:rsidR="000437AB" w:rsidRPr="00957B6C">
        <w:rPr>
          <w:rFonts w:asciiTheme="minorHAnsi" w:hAnsiTheme="minorHAnsi"/>
          <w:sz w:val="24"/>
          <w:szCs w:val="24"/>
        </w:rPr>
        <w:t>WTDC</w:t>
      </w:r>
      <w:r w:rsidR="00F46BE0" w:rsidRPr="00957B6C">
        <w:rPr>
          <w:rFonts w:asciiTheme="minorHAnsi" w:hAnsiTheme="minorHAnsi"/>
          <w:sz w:val="24"/>
          <w:szCs w:val="24"/>
        </w:rPr>
        <w:t xml:space="preserve"> in the last quarter of 2021</w:t>
      </w:r>
      <w:r w:rsidR="003C5C8E" w:rsidRPr="00957B6C">
        <w:rPr>
          <w:rFonts w:asciiTheme="minorHAnsi" w:hAnsiTheme="minorHAnsi"/>
          <w:sz w:val="24"/>
          <w:szCs w:val="24"/>
        </w:rPr>
        <w:t>.</w:t>
      </w:r>
      <w:r w:rsidR="00F63655" w:rsidRPr="00957B6C">
        <w:rPr>
          <w:rFonts w:asciiTheme="minorHAnsi" w:hAnsiTheme="minorHAnsi"/>
          <w:sz w:val="24"/>
          <w:szCs w:val="24"/>
        </w:rPr>
        <w:t xml:space="preserve"> </w:t>
      </w:r>
    </w:p>
    <w:p w14:paraId="32CE34D1" w14:textId="61CC848E" w:rsidR="000E6467" w:rsidRPr="00957B6C" w:rsidRDefault="004A7616" w:rsidP="009B5B24">
      <w:pPr>
        <w:pStyle w:val="CEONormal"/>
        <w:rPr>
          <w:rFonts w:asciiTheme="minorHAnsi" w:hAnsiTheme="minorHAnsi"/>
          <w:sz w:val="24"/>
          <w:szCs w:val="24"/>
        </w:rPr>
      </w:pPr>
      <w:r w:rsidRPr="004A7616">
        <w:rPr>
          <w:rFonts w:asciiTheme="minorHAnsi" w:hAnsiTheme="minorHAnsi"/>
          <w:sz w:val="24"/>
          <w:szCs w:val="24"/>
        </w:rPr>
        <w:t xml:space="preserve">TDAG endorsed by acclamation the four-year rolling operational plan and expressed support for the Director’s vision, drawn up as a milestone for her first 100 days in office. One of the first </w:t>
      </w:r>
      <w:r w:rsidRPr="004A7616">
        <w:rPr>
          <w:rFonts w:asciiTheme="minorHAnsi" w:hAnsiTheme="minorHAnsi"/>
          <w:sz w:val="24"/>
          <w:szCs w:val="24"/>
        </w:rPr>
        <w:lastRenderedPageBreak/>
        <w:t>elements of the Director’s 100-day plan was the establishment of thematic clusters organized around the 11 programmes defined in the Buenos Aires Action Plan adopted by WTDC-17. This new cluster approach is designed to better deliver the Buenos Aires Action Plan, reinforce collaboration within BDT and the other ITU Sectors, and leverage expertise from both headquarters and the regional and area offices in order to improve the quality and timeliness of ITU-D deliverables.</w:t>
      </w:r>
    </w:p>
    <w:tbl>
      <w:tblPr>
        <w:tblStyle w:val="TableGrid"/>
        <w:tblW w:w="0" w:type="auto"/>
        <w:tblLook w:val="04A0" w:firstRow="1" w:lastRow="0" w:firstColumn="1" w:lastColumn="0" w:noHBand="0" w:noVBand="1"/>
      </w:tblPr>
      <w:tblGrid>
        <w:gridCol w:w="9629"/>
      </w:tblGrid>
      <w:tr w:rsidR="00004F04" w:rsidRPr="00957B6C" w14:paraId="267E8141" w14:textId="77777777" w:rsidTr="00004F04">
        <w:tc>
          <w:tcPr>
            <w:tcW w:w="9629" w:type="dxa"/>
          </w:tcPr>
          <w:p w14:paraId="71A6C91E" w14:textId="41EB45F6" w:rsidR="00004F04" w:rsidRPr="00957B6C" w:rsidRDefault="00004F04">
            <w:pPr>
              <w:tabs>
                <w:tab w:val="clear" w:pos="1134"/>
                <w:tab w:val="clear" w:pos="1871"/>
                <w:tab w:val="clear" w:pos="2268"/>
                <w:tab w:val="left" w:pos="794"/>
                <w:tab w:val="left" w:pos="1191"/>
                <w:tab w:val="left" w:pos="1588"/>
                <w:tab w:val="left" w:pos="1985"/>
              </w:tabs>
              <w:spacing w:after="120"/>
              <w:rPr>
                <w:rFonts w:cstheme="minorBidi"/>
                <w:color w:val="000000" w:themeColor="text1"/>
              </w:rPr>
            </w:pPr>
            <w:r w:rsidRPr="00957B6C">
              <w:rPr>
                <w:rFonts w:eastAsia="Calibri" w:cs="Calibri"/>
              </w:rPr>
              <w:t xml:space="preserve">TDAG </w:t>
            </w:r>
            <w:r w:rsidR="005C2359">
              <w:rPr>
                <w:rFonts w:eastAsia="Calibri" w:cs="Calibri"/>
              </w:rPr>
              <w:t>endorsed</w:t>
            </w:r>
            <w:r w:rsidRPr="00957B6C">
              <w:rPr>
                <w:rFonts w:eastAsia="Calibri" w:cs="Calibri"/>
              </w:rPr>
              <w:t xml:space="preserve"> the document and </w:t>
            </w:r>
            <w:r w:rsidR="005C2359">
              <w:rPr>
                <w:rFonts w:eastAsia="Calibri" w:cs="Calibri"/>
              </w:rPr>
              <w:t>supported</w:t>
            </w:r>
            <w:r w:rsidRPr="00957B6C">
              <w:rPr>
                <w:rFonts w:eastAsia="Calibri" w:cs="Calibri"/>
              </w:rPr>
              <w:t xml:space="preserve"> the BDT Director’s strategy for improving delivery of services through the clustering of topics, based on the outcomes of WTDC-17 and PP-18.</w:t>
            </w:r>
          </w:p>
        </w:tc>
      </w:tr>
    </w:tbl>
    <w:p w14:paraId="29A69F51" w14:textId="03B5874B" w:rsidR="00004F04" w:rsidRPr="003B551C" w:rsidRDefault="003B551C" w:rsidP="00810998">
      <w:pPr>
        <w:keepNext/>
        <w:spacing w:before="240" w:after="120"/>
        <w:ind w:left="357" w:hanging="357"/>
        <w:rPr>
          <w:rStyle w:val="StyleComplex12pt"/>
          <w:rFonts w:cstheme="minorHAnsi"/>
          <w:b/>
          <w:bCs/>
        </w:rPr>
      </w:pPr>
      <w:r>
        <w:rPr>
          <w:rFonts w:cstheme="minorBidi"/>
          <w:b/>
          <w:bCs/>
          <w:color w:val="000000" w:themeColor="text1"/>
        </w:rPr>
        <w:t>6.1</w:t>
      </w:r>
      <w:r>
        <w:rPr>
          <w:rFonts w:cstheme="minorBidi"/>
          <w:b/>
          <w:bCs/>
          <w:color w:val="000000" w:themeColor="text1"/>
        </w:rPr>
        <w:tab/>
      </w:r>
      <w:r w:rsidR="00BD2A33" w:rsidRPr="003B551C">
        <w:rPr>
          <w:rFonts w:cstheme="minorBidi"/>
          <w:b/>
          <w:bCs/>
          <w:color w:val="000000" w:themeColor="text1"/>
        </w:rPr>
        <w:t xml:space="preserve">General Secretariat </w:t>
      </w:r>
      <w:r w:rsidR="00BD2A33" w:rsidRPr="00957B6C">
        <w:rPr>
          <w:rStyle w:val="StyleComplex12pt"/>
          <w:rFonts w:cstheme="minorHAnsi"/>
          <w:b/>
          <w:bCs/>
        </w:rPr>
        <w:t xml:space="preserve">four-year rolling </w:t>
      </w:r>
      <w:r w:rsidR="00FD1E59" w:rsidRPr="003B551C">
        <w:rPr>
          <w:rFonts w:cstheme="minorBidi"/>
          <w:b/>
          <w:bCs/>
          <w:color w:val="000000" w:themeColor="text1"/>
        </w:rPr>
        <w:t>operational plan 2020-2023</w:t>
      </w:r>
    </w:p>
    <w:p w14:paraId="783AA24A" w14:textId="661401B7" w:rsidR="003220C6" w:rsidRPr="004A7616" w:rsidRDefault="00B8346F">
      <w:pPr>
        <w:keepNext/>
        <w:spacing w:after="120"/>
        <w:rPr>
          <w:rFonts w:cstheme="minorBidi"/>
          <w:color w:val="000000" w:themeColor="text1"/>
        </w:rPr>
      </w:pPr>
      <w:hyperlink r:id="rId14">
        <w:r w:rsidR="25A7936B" w:rsidRPr="004A7616">
          <w:rPr>
            <w:rStyle w:val="Hyperlink"/>
            <w:rFonts w:cstheme="minorBidi"/>
            <w:b/>
            <w:bCs/>
          </w:rPr>
          <w:t xml:space="preserve">Document </w:t>
        </w:r>
        <w:r w:rsidR="00D24898" w:rsidRPr="004A7616">
          <w:rPr>
            <w:rStyle w:val="Hyperlink"/>
            <w:rFonts w:cstheme="minorBidi"/>
            <w:b/>
            <w:bCs/>
          </w:rPr>
          <w:t>25</w:t>
        </w:r>
      </w:hyperlink>
      <w:r w:rsidR="25A7936B" w:rsidRPr="004A7616">
        <w:rPr>
          <w:rFonts w:cstheme="minorBidi"/>
          <w:b/>
          <w:bCs/>
          <w:color w:val="000000" w:themeColor="text1"/>
        </w:rPr>
        <w:t>:</w:t>
      </w:r>
      <w:r w:rsidR="25A7936B" w:rsidRPr="004A7616">
        <w:rPr>
          <w:rFonts w:cstheme="minorBidi"/>
          <w:color w:val="000000" w:themeColor="text1"/>
        </w:rPr>
        <w:t xml:space="preserve"> “</w:t>
      </w:r>
      <w:r w:rsidR="003C05DA" w:rsidRPr="004A7616">
        <w:rPr>
          <w:rFonts w:cstheme="minorBidi"/>
          <w:color w:val="000000" w:themeColor="text1"/>
        </w:rPr>
        <w:t>Draft operational plan for the General Secretariat for 2020-2023</w:t>
      </w:r>
      <w:r w:rsidR="00E76468" w:rsidRPr="004A7616">
        <w:rPr>
          <w:rFonts w:cstheme="minorBidi"/>
          <w:color w:val="000000" w:themeColor="text1"/>
        </w:rPr>
        <w:t>,</w:t>
      </w:r>
      <w:r w:rsidR="25A7936B" w:rsidRPr="004A7616">
        <w:rPr>
          <w:rFonts w:cstheme="minorBidi"/>
          <w:color w:val="000000" w:themeColor="text1"/>
        </w:rPr>
        <w:t>”</w:t>
      </w:r>
      <w:r w:rsidR="25A7936B" w:rsidRPr="004A7616">
        <w:rPr>
          <w:rFonts w:cstheme="minorBidi"/>
          <w:b/>
          <w:bCs/>
          <w:color w:val="000000" w:themeColor="text1"/>
        </w:rPr>
        <w:t xml:space="preserve"> </w:t>
      </w:r>
      <w:r w:rsidR="25A7936B" w:rsidRPr="004A7616">
        <w:rPr>
          <w:rFonts w:cstheme="minorBidi"/>
          <w:color w:val="000000" w:themeColor="text1"/>
        </w:rPr>
        <w:t>introduced on behalf of the</w:t>
      </w:r>
      <w:r w:rsidR="00FA5FA0" w:rsidRPr="004A7616">
        <w:rPr>
          <w:rFonts w:cstheme="minorBidi"/>
          <w:color w:val="000000" w:themeColor="text1"/>
        </w:rPr>
        <w:t xml:space="preserve"> Secretary-General</w:t>
      </w:r>
      <w:r w:rsidR="00DE5381" w:rsidRPr="004A7616">
        <w:rPr>
          <w:rFonts w:cstheme="minorBidi"/>
          <w:color w:val="000000" w:themeColor="text1"/>
        </w:rPr>
        <w:t>,</w:t>
      </w:r>
      <w:r w:rsidR="00FA5FA0" w:rsidRPr="004A7616">
        <w:rPr>
          <w:rFonts w:cstheme="minorBidi"/>
          <w:color w:val="000000" w:themeColor="text1"/>
        </w:rPr>
        <w:t xml:space="preserve"> </w:t>
      </w:r>
      <w:r w:rsidR="003220C6" w:rsidRPr="004A7616">
        <w:rPr>
          <w:rFonts w:cstheme="minorBidi"/>
          <w:color w:val="000000" w:themeColor="text1"/>
        </w:rPr>
        <w:t xml:space="preserve">will be presented to the ITU Council session in June 2019 for approval. The Plan is published pursuant to No. 87A of Article 5 of the ITU Convention, which provides that the operational plan of activities to be undertaken by the </w:t>
      </w:r>
      <w:r w:rsidR="00D21658" w:rsidRPr="004A7616">
        <w:rPr>
          <w:rFonts w:cstheme="minorBidi"/>
          <w:color w:val="000000" w:themeColor="text1"/>
        </w:rPr>
        <w:t xml:space="preserve">ITU </w:t>
      </w:r>
      <w:r w:rsidR="003220C6" w:rsidRPr="004A7616">
        <w:rPr>
          <w:rFonts w:cstheme="minorBidi"/>
          <w:color w:val="000000" w:themeColor="text1"/>
        </w:rPr>
        <w:t>General Secretariat shall be prepared annually, on a four-year rolling basis.</w:t>
      </w:r>
    </w:p>
    <w:tbl>
      <w:tblPr>
        <w:tblStyle w:val="TableGrid"/>
        <w:tblW w:w="0" w:type="auto"/>
        <w:tblLook w:val="04A0" w:firstRow="1" w:lastRow="0" w:firstColumn="1" w:lastColumn="0" w:noHBand="0" w:noVBand="1"/>
      </w:tblPr>
      <w:tblGrid>
        <w:gridCol w:w="9629"/>
      </w:tblGrid>
      <w:tr w:rsidR="00F21C52" w:rsidRPr="00957B6C" w14:paraId="165C8BA4" w14:textId="77777777" w:rsidTr="2D9C0B70">
        <w:tc>
          <w:tcPr>
            <w:tcW w:w="9629" w:type="dxa"/>
          </w:tcPr>
          <w:p w14:paraId="149E4227" w14:textId="77777777" w:rsidR="00F21C52" w:rsidRPr="00957B6C" w:rsidRDefault="00FD1E59" w:rsidP="009B5B24">
            <w:pPr>
              <w:tabs>
                <w:tab w:val="clear" w:pos="1134"/>
                <w:tab w:val="clear" w:pos="1871"/>
                <w:tab w:val="clear" w:pos="2268"/>
                <w:tab w:val="left" w:pos="794"/>
                <w:tab w:val="left" w:pos="1191"/>
                <w:tab w:val="left" w:pos="1588"/>
                <w:tab w:val="left" w:pos="1985"/>
              </w:tabs>
              <w:spacing w:after="120"/>
              <w:rPr>
                <w:rFonts w:cstheme="minorBidi"/>
                <w:color w:val="000000" w:themeColor="text1"/>
              </w:rPr>
            </w:pPr>
            <w:r w:rsidRPr="00957B6C">
              <w:rPr>
                <w:rFonts w:eastAsia="Calibri" w:cs="Calibri"/>
              </w:rPr>
              <w:t>TDAG noted the document.</w:t>
            </w:r>
          </w:p>
        </w:tc>
      </w:tr>
    </w:tbl>
    <w:p w14:paraId="7765D244" w14:textId="2892AF89" w:rsidR="00EB5336" w:rsidRPr="00957B6C" w:rsidRDefault="00A31006" w:rsidP="00810998">
      <w:pPr>
        <w:pStyle w:val="ListParagraph"/>
        <w:keepNext/>
        <w:numPr>
          <w:ilvl w:val="0"/>
          <w:numId w:val="1"/>
        </w:numPr>
        <w:spacing w:before="240" w:after="120"/>
        <w:ind w:left="357" w:hanging="357"/>
        <w:contextualSpacing w:val="0"/>
        <w:rPr>
          <w:rStyle w:val="StyleComplex12pt"/>
          <w:rFonts w:cstheme="minorHAnsi"/>
          <w:b/>
          <w:bCs/>
        </w:rPr>
      </w:pPr>
      <w:r w:rsidRPr="00957B6C">
        <w:rPr>
          <w:rStyle w:val="StyleComplex12pt"/>
          <w:rFonts w:cstheme="minorHAnsi"/>
          <w:b/>
          <w:bCs/>
        </w:rPr>
        <w:t xml:space="preserve">Report on the implementation of the ITU Strategic Plan and </w:t>
      </w:r>
      <w:r w:rsidR="0047517E">
        <w:rPr>
          <w:rStyle w:val="StyleComplex12pt"/>
          <w:rFonts w:cstheme="minorHAnsi"/>
          <w:b/>
          <w:bCs/>
        </w:rPr>
        <w:t xml:space="preserve">ITU-D </w:t>
      </w:r>
      <w:r w:rsidRPr="00957B6C">
        <w:rPr>
          <w:rStyle w:val="StyleComplex12pt"/>
          <w:rFonts w:cstheme="minorHAnsi"/>
          <w:b/>
          <w:bCs/>
        </w:rPr>
        <w:t>Operational Plan 2018, including regional trends and activities</w:t>
      </w:r>
    </w:p>
    <w:p w14:paraId="184063AE" w14:textId="77777777" w:rsidR="00720527" w:rsidRPr="00957B6C" w:rsidRDefault="00B8346F" w:rsidP="009B5B24">
      <w:pPr>
        <w:spacing w:after="120"/>
        <w:rPr>
          <w:rFonts w:ascii="Calibri" w:hAnsi="Calibri"/>
          <w:szCs w:val="24"/>
        </w:rPr>
      </w:pPr>
      <w:hyperlink r:id="rId15">
        <w:r w:rsidR="2D9C0B70" w:rsidRPr="004A7616">
          <w:rPr>
            <w:rStyle w:val="Hyperlink"/>
            <w:rFonts w:cstheme="minorBidi"/>
            <w:b/>
            <w:bCs/>
            <w:szCs w:val="24"/>
          </w:rPr>
          <w:t xml:space="preserve">Document </w:t>
        </w:r>
        <w:r w:rsidR="00E27C47" w:rsidRPr="004A7616">
          <w:rPr>
            <w:rStyle w:val="Hyperlink"/>
            <w:rFonts w:cstheme="minorBidi"/>
            <w:b/>
            <w:bCs/>
            <w:szCs w:val="24"/>
          </w:rPr>
          <w:t>2</w:t>
        </w:r>
        <w:r w:rsidR="00201975" w:rsidRPr="004A7616">
          <w:rPr>
            <w:rStyle w:val="Hyperlink"/>
            <w:rFonts w:cstheme="minorBidi"/>
            <w:b/>
            <w:bCs/>
            <w:szCs w:val="24"/>
          </w:rPr>
          <w:t xml:space="preserve"> (</w:t>
        </w:r>
        <w:r w:rsidR="003C5C8E" w:rsidRPr="004A7616">
          <w:rPr>
            <w:rStyle w:val="Hyperlink"/>
            <w:rFonts w:cstheme="minorBidi"/>
            <w:b/>
            <w:bCs/>
            <w:szCs w:val="24"/>
          </w:rPr>
          <w:t xml:space="preserve">including </w:t>
        </w:r>
        <w:r w:rsidR="00201975" w:rsidRPr="004A7616">
          <w:rPr>
            <w:rStyle w:val="Hyperlink"/>
            <w:rFonts w:cstheme="minorBidi"/>
            <w:b/>
            <w:bCs/>
            <w:szCs w:val="24"/>
          </w:rPr>
          <w:t>Ann</w:t>
        </w:r>
        <w:r w:rsidR="001D471F" w:rsidRPr="004A7616">
          <w:rPr>
            <w:rStyle w:val="Hyperlink"/>
            <w:rFonts w:cstheme="minorBidi"/>
            <w:b/>
            <w:bCs/>
            <w:szCs w:val="24"/>
          </w:rPr>
          <w:t xml:space="preserve">exes </w:t>
        </w:r>
        <w:r w:rsidR="00201975" w:rsidRPr="004A7616">
          <w:rPr>
            <w:rStyle w:val="Hyperlink"/>
            <w:rFonts w:cstheme="minorBidi"/>
            <w:b/>
            <w:bCs/>
            <w:szCs w:val="24"/>
          </w:rPr>
          <w:t>1</w:t>
        </w:r>
        <w:r w:rsidR="001D471F" w:rsidRPr="004A7616">
          <w:rPr>
            <w:rStyle w:val="Hyperlink"/>
            <w:rFonts w:cstheme="minorBidi"/>
            <w:b/>
            <w:bCs/>
            <w:szCs w:val="24"/>
          </w:rPr>
          <w:t xml:space="preserve"> and </w:t>
        </w:r>
        <w:r w:rsidR="00201975" w:rsidRPr="004A7616">
          <w:rPr>
            <w:rStyle w:val="Hyperlink"/>
            <w:rFonts w:cstheme="minorBidi"/>
            <w:b/>
            <w:bCs/>
            <w:szCs w:val="24"/>
          </w:rPr>
          <w:t>2)</w:t>
        </w:r>
        <w:r w:rsidR="2D9C0B70" w:rsidRPr="004A7616">
          <w:rPr>
            <w:rStyle w:val="Hyperlink"/>
            <w:rFonts w:cstheme="minorBidi"/>
            <w:b/>
            <w:bCs/>
            <w:szCs w:val="24"/>
          </w:rPr>
          <w:t>:</w:t>
        </w:r>
      </w:hyperlink>
      <w:r w:rsidR="2D9C0B70" w:rsidRPr="00957B6C">
        <w:rPr>
          <w:rFonts w:cstheme="minorBidi"/>
          <w:b/>
          <w:bCs/>
          <w:color w:val="000000" w:themeColor="text1"/>
        </w:rPr>
        <w:t xml:space="preserve"> </w:t>
      </w:r>
      <w:r w:rsidR="2D9C0B70" w:rsidRPr="00957B6C">
        <w:rPr>
          <w:rFonts w:cstheme="minorBidi"/>
          <w:color w:val="000000" w:themeColor="text1"/>
          <w:szCs w:val="24"/>
        </w:rPr>
        <w:t>“</w:t>
      </w:r>
      <w:r w:rsidR="000E6467" w:rsidRPr="00957B6C">
        <w:rPr>
          <w:rFonts w:cstheme="minorBidi"/>
          <w:color w:val="000000" w:themeColor="text1"/>
          <w:szCs w:val="24"/>
        </w:rPr>
        <w:t>Performance R</w:t>
      </w:r>
      <w:r w:rsidR="00660A4A" w:rsidRPr="00957B6C">
        <w:rPr>
          <w:rFonts w:cstheme="minorBidi"/>
          <w:color w:val="000000" w:themeColor="text1"/>
          <w:szCs w:val="24"/>
        </w:rPr>
        <w:t>eport 2018</w:t>
      </w:r>
      <w:r w:rsidR="2D9C0B70" w:rsidRPr="00957B6C">
        <w:rPr>
          <w:rFonts w:cstheme="minorBidi"/>
          <w:color w:val="000000" w:themeColor="text1"/>
          <w:szCs w:val="24"/>
        </w:rPr>
        <w:t xml:space="preserve">” </w:t>
      </w:r>
      <w:r w:rsidR="004E205D" w:rsidRPr="00957B6C">
        <w:rPr>
          <w:szCs w:val="24"/>
        </w:rPr>
        <w:t xml:space="preserve">provides the status of implementation </w:t>
      </w:r>
      <w:r w:rsidR="00720527" w:rsidRPr="00957B6C">
        <w:rPr>
          <w:rFonts w:ascii="Calibri" w:hAnsi="Calibri"/>
          <w:szCs w:val="24"/>
        </w:rPr>
        <w:t xml:space="preserve">of the objectives, outcomes and outputs defined in the ITU-D </w:t>
      </w:r>
      <w:r w:rsidR="000E6467" w:rsidRPr="00957B6C">
        <w:rPr>
          <w:rFonts w:ascii="Calibri" w:hAnsi="Calibri"/>
          <w:szCs w:val="24"/>
        </w:rPr>
        <w:t>o</w:t>
      </w:r>
      <w:r w:rsidR="00720527" w:rsidRPr="00957B6C">
        <w:rPr>
          <w:rFonts w:ascii="Calibri" w:hAnsi="Calibri"/>
          <w:szCs w:val="24"/>
        </w:rPr>
        <w:t xml:space="preserve">perational </w:t>
      </w:r>
      <w:r w:rsidR="000E6467" w:rsidRPr="00957B6C">
        <w:rPr>
          <w:rFonts w:ascii="Calibri" w:hAnsi="Calibri"/>
          <w:szCs w:val="24"/>
        </w:rPr>
        <w:t>p</w:t>
      </w:r>
      <w:r w:rsidR="00720527" w:rsidRPr="00957B6C">
        <w:rPr>
          <w:rFonts w:ascii="Calibri" w:hAnsi="Calibri"/>
          <w:szCs w:val="24"/>
        </w:rPr>
        <w:t xml:space="preserve">lan </w:t>
      </w:r>
      <w:r w:rsidR="00D0334A" w:rsidRPr="00957B6C">
        <w:rPr>
          <w:rFonts w:ascii="Calibri" w:hAnsi="Calibri"/>
          <w:szCs w:val="24"/>
        </w:rPr>
        <w:t>for 2018</w:t>
      </w:r>
      <w:r w:rsidR="00720527" w:rsidRPr="00957B6C">
        <w:rPr>
          <w:rFonts w:ascii="Calibri" w:hAnsi="Calibri"/>
          <w:szCs w:val="24"/>
        </w:rPr>
        <w:t>. The report is structured around the five objectives adopted by WTDC-14.</w:t>
      </w:r>
      <w:r w:rsidR="00873DBB" w:rsidRPr="00957B6C">
        <w:rPr>
          <w:rFonts w:ascii="Calibri" w:hAnsi="Calibri"/>
          <w:szCs w:val="24"/>
        </w:rPr>
        <w:t xml:space="preserve"> </w:t>
      </w:r>
    </w:p>
    <w:p w14:paraId="793CD01E" w14:textId="77777777" w:rsidR="00720527" w:rsidRPr="00957B6C" w:rsidRDefault="00720527" w:rsidP="009B5B24">
      <w:pPr>
        <w:pStyle w:val="CEONormal"/>
        <w:rPr>
          <w:rFonts w:ascii="Calibri" w:hAnsi="Calibri"/>
          <w:sz w:val="24"/>
          <w:szCs w:val="24"/>
        </w:rPr>
      </w:pPr>
      <w:r w:rsidRPr="00957B6C">
        <w:rPr>
          <w:rFonts w:ascii="Calibri" w:hAnsi="Calibri"/>
          <w:sz w:val="24"/>
          <w:szCs w:val="24"/>
        </w:rPr>
        <w:t xml:space="preserve">Under </w:t>
      </w:r>
      <w:r w:rsidR="003C1E35" w:rsidRPr="00957B6C">
        <w:rPr>
          <w:rFonts w:ascii="Calibri" w:hAnsi="Calibri"/>
          <w:sz w:val="24"/>
          <w:szCs w:val="24"/>
        </w:rPr>
        <w:t>these objectives</w:t>
      </w:r>
      <w:r w:rsidRPr="00957B6C">
        <w:rPr>
          <w:rFonts w:ascii="Calibri" w:hAnsi="Calibri"/>
          <w:sz w:val="24"/>
          <w:szCs w:val="24"/>
        </w:rPr>
        <w:t xml:space="preserve">, </w:t>
      </w:r>
      <w:r w:rsidR="00873DBB" w:rsidRPr="00957B6C">
        <w:rPr>
          <w:rFonts w:ascii="Calibri" w:hAnsi="Calibri"/>
          <w:sz w:val="24"/>
          <w:szCs w:val="24"/>
        </w:rPr>
        <w:t>severa</w:t>
      </w:r>
      <w:r w:rsidR="00D0334A" w:rsidRPr="00957B6C">
        <w:rPr>
          <w:rFonts w:ascii="Calibri" w:hAnsi="Calibri"/>
          <w:sz w:val="24"/>
          <w:szCs w:val="24"/>
        </w:rPr>
        <w:t>l events were held successfully:</w:t>
      </w:r>
      <w:r w:rsidR="00873DBB" w:rsidRPr="00957B6C">
        <w:rPr>
          <w:rFonts w:ascii="Calibri" w:hAnsi="Calibri"/>
          <w:sz w:val="24"/>
          <w:szCs w:val="24"/>
        </w:rPr>
        <w:t xml:space="preserve"> TDAG-18</w:t>
      </w:r>
      <w:r w:rsidRPr="00957B6C">
        <w:rPr>
          <w:rFonts w:ascii="Calibri" w:hAnsi="Calibri"/>
          <w:sz w:val="24"/>
          <w:szCs w:val="24"/>
        </w:rPr>
        <w:t xml:space="preserve"> was organized in April</w:t>
      </w:r>
      <w:r w:rsidR="000C3365" w:rsidRPr="00957B6C">
        <w:rPr>
          <w:rFonts w:ascii="Calibri" w:hAnsi="Calibri"/>
          <w:sz w:val="24"/>
          <w:szCs w:val="24"/>
        </w:rPr>
        <w:t xml:space="preserve"> 2018</w:t>
      </w:r>
      <w:r w:rsidR="001D471F" w:rsidRPr="00957B6C">
        <w:rPr>
          <w:rFonts w:ascii="Calibri" w:hAnsi="Calibri"/>
          <w:sz w:val="24"/>
          <w:szCs w:val="24"/>
        </w:rPr>
        <w:t>,</w:t>
      </w:r>
      <w:r w:rsidRPr="00957B6C">
        <w:rPr>
          <w:rFonts w:ascii="Calibri" w:hAnsi="Calibri"/>
          <w:sz w:val="24"/>
          <w:szCs w:val="24"/>
        </w:rPr>
        <w:t xml:space="preserve"> </w:t>
      </w:r>
      <w:r w:rsidR="00873DBB" w:rsidRPr="00957B6C">
        <w:rPr>
          <w:rFonts w:ascii="Calibri" w:hAnsi="Calibri"/>
          <w:sz w:val="24"/>
          <w:szCs w:val="24"/>
        </w:rPr>
        <w:t xml:space="preserve">in Geneva. </w:t>
      </w:r>
      <w:r w:rsidRPr="00957B6C">
        <w:rPr>
          <w:rFonts w:ascii="Calibri" w:hAnsi="Calibri"/>
          <w:sz w:val="24"/>
          <w:szCs w:val="24"/>
        </w:rPr>
        <w:t xml:space="preserve">A </w:t>
      </w:r>
      <w:r w:rsidR="00873DBB" w:rsidRPr="00957B6C">
        <w:rPr>
          <w:rFonts w:ascii="Calibri" w:hAnsi="Calibri"/>
          <w:sz w:val="24"/>
          <w:szCs w:val="24"/>
        </w:rPr>
        <w:t>series of r</w:t>
      </w:r>
      <w:r w:rsidRPr="00957B6C">
        <w:rPr>
          <w:rFonts w:ascii="Calibri" w:hAnsi="Calibri"/>
          <w:sz w:val="24"/>
          <w:szCs w:val="24"/>
        </w:rPr>
        <w:t xml:space="preserve">egional </w:t>
      </w:r>
      <w:r w:rsidR="00873DBB" w:rsidRPr="00957B6C">
        <w:rPr>
          <w:rFonts w:ascii="Calibri" w:hAnsi="Calibri"/>
          <w:sz w:val="24"/>
          <w:szCs w:val="24"/>
        </w:rPr>
        <w:t>d</w:t>
      </w:r>
      <w:r w:rsidRPr="00957B6C">
        <w:rPr>
          <w:rFonts w:ascii="Calibri" w:hAnsi="Calibri"/>
          <w:sz w:val="24"/>
          <w:szCs w:val="24"/>
        </w:rPr>
        <w:t xml:space="preserve">evelopment </w:t>
      </w:r>
      <w:r w:rsidR="00873DBB" w:rsidRPr="00957B6C">
        <w:rPr>
          <w:rFonts w:ascii="Calibri" w:hAnsi="Calibri"/>
          <w:sz w:val="24"/>
          <w:szCs w:val="24"/>
        </w:rPr>
        <w:t>f</w:t>
      </w:r>
      <w:r w:rsidR="00D0334A" w:rsidRPr="00957B6C">
        <w:rPr>
          <w:rFonts w:ascii="Calibri" w:hAnsi="Calibri"/>
          <w:sz w:val="24"/>
          <w:szCs w:val="24"/>
        </w:rPr>
        <w:t>orum</w:t>
      </w:r>
      <w:r w:rsidRPr="00957B6C">
        <w:rPr>
          <w:rFonts w:ascii="Calibri" w:hAnsi="Calibri"/>
          <w:sz w:val="24"/>
          <w:szCs w:val="24"/>
        </w:rPr>
        <w:t xml:space="preserve">s </w:t>
      </w:r>
      <w:r w:rsidR="000C3365" w:rsidRPr="00957B6C">
        <w:rPr>
          <w:rFonts w:ascii="Calibri" w:hAnsi="Calibri"/>
          <w:sz w:val="24"/>
          <w:szCs w:val="24"/>
        </w:rPr>
        <w:t>were held</w:t>
      </w:r>
      <w:r w:rsidR="00873DBB" w:rsidRPr="00957B6C">
        <w:rPr>
          <w:rFonts w:ascii="Calibri" w:hAnsi="Calibri"/>
          <w:sz w:val="24"/>
          <w:szCs w:val="24"/>
        </w:rPr>
        <w:t xml:space="preserve">, as </w:t>
      </w:r>
      <w:r w:rsidR="001D471F" w:rsidRPr="00957B6C">
        <w:rPr>
          <w:rFonts w:ascii="Calibri" w:hAnsi="Calibri"/>
          <w:sz w:val="24"/>
          <w:szCs w:val="24"/>
        </w:rPr>
        <w:t>well as</w:t>
      </w:r>
      <w:r w:rsidR="00873DBB" w:rsidRPr="00957B6C">
        <w:rPr>
          <w:rFonts w:ascii="Calibri" w:hAnsi="Calibri"/>
          <w:sz w:val="24"/>
          <w:szCs w:val="24"/>
        </w:rPr>
        <w:t xml:space="preserve"> m</w:t>
      </w:r>
      <w:r w:rsidRPr="00957B6C">
        <w:rPr>
          <w:rFonts w:ascii="Calibri" w:hAnsi="Calibri"/>
          <w:sz w:val="24"/>
          <w:szCs w:val="24"/>
        </w:rPr>
        <w:t>eetings of stu</w:t>
      </w:r>
      <w:r w:rsidR="00873DBB" w:rsidRPr="00957B6C">
        <w:rPr>
          <w:rFonts w:ascii="Calibri" w:hAnsi="Calibri"/>
          <w:sz w:val="24"/>
          <w:szCs w:val="24"/>
        </w:rPr>
        <w:t>dy groups and rapporteur groups</w:t>
      </w:r>
      <w:r w:rsidRPr="00957B6C">
        <w:rPr>
          <w:rFonts w:ascii="Calibri" w:hAnsi="Calibri"/>
          <w:sz w:val="24"/>
          <w:szCs w:val="24"/>
        </w:rPr>
        <w:t xml:space="preserve">. </w:t>
      </w:r>
    </w:p>
    <w:p w14:paraId="2D08FACC" w14:textId="77777777" w:rsidR="00720527" w:rsidRPr="00957B6C" w:rsidRDefault="0021287C" w:rsidP="009B5B24">
      <w:pPr>
        <w:pStyle w:val="CEONormal"/>
        <w:rPr>
          <w:rFonts w:ascii="Calibri" w:hAnsi="Calibri"/>
          <w:sz w:val="24"/>
          <w:szCs w:val="24"/>
        </w:rPr>
      </w:pPr>
      <w:r w:rsidRPr="00957B6C">
        <w:rPr>
          <w:rFonts w:ascii="Calibri" w:hAnsi="Calibri"/>
          <w:sz w:val="24"/>
          <w:szCs w:val="24"/>
        </w:rPr>
        <w:t>BDT</w:t>
      </w:r>
      <w:r w:rsidR="00720527" w:rsidRPr="00957B6C">
        <w:rPr>
          <w:rFonts w:ascii="Calibri" w:hAnsi="Calibri"/>
          <w:sz w:val="24"/>
          <w:szCs w:val="24"/>
        </w:rPr>
        <w:t xml:space="preserve"> continued to </w:t>
      </w:r>
      <w:r w:rsidR="004F3A09" w:rsidRPr="00957B6C">
        <w:rPr>
          <w:rFonts w:ascii="Calibri" w:hAnsi="Calibri"/>
          <w:sz w:val="24"/>
          <w:szCs w:val="24"/>
        </w:rPr>
        <w:t xml:space="preserve">provide </w:t>
      </w:r>
      <w:r w:rsidR="00720527" w:rsidRPr="00957B6C">
        <w:rPr>
          <w:rFonts w:ascii="Calibri" w:hAnsi="Calibri"/>
          <w:sz w:val="24"/>
          <w:szCs w:val="24"/>
        </w:rPr>
        <w:t xml:space="preserve">direct assistance to many countries, </w:t>
      </w:r>
      <w:r w:rsidR="001D471F" w:rsidRPr="00957B6C">
        <w:rPr>
          <w:rFonts w:ascii="Calibri" w:hAnsi="Calibri"/>
          <w:sz w:val="24"/>
          <w:szCs w:val="24"/>
        </w:rPr>
        <w:t xml:space="preserve">by </w:t>
      </w:r>
      <w:r w:rsidR="00720527" w:rsidRPr="00957B6C">
        <w:rPr>
          <w:rFonts w:ascii="Calibri" w:hAnsi="Calibri"/>
          <w:sz w:val="24"/>
          <w:szCs w:val="24"/>
        </w:rPr>
        <w:t>rais</w:t>
      </w:r>
      <w:r w:rsidR="001D471F" w:rsidRPr="00957B6C">
        <w:rPr>
          <w:rFonts w:ascii="Calibri" w:hAnsi="Calibri"/>
          <w:sz w:val="24"/>
          <w:szCs w:val="24"/>
        </w:rPr>
        <w:t>ing</w:t>
      </w:r>
      <w:r w:rsidR="00720527" w:rsidRPr="00957B6C">
        <w:rPr>
          <w:rFonts w:ascii="Calibri" w:hAnsi="Calibri"/>
          <w:sz w:val="24"/>
          <w:szCs w:val="24"/>
        </w:rPr>
        <w:t xml:space="preserve"> awareness</w:t>
      </w:r>
      <w:r w:rsidR="001D471F" w:rsidRPr="00957B6C">
        <w:rPr>
          <w:rFonts w:ascii="Calibri" w:hAnsi="Calibri"/>
          <w:sz w:val="24"/>
          <w:szCs w:val="24"/>
        </w:rPr>
        <w:t xml:space="preserve">, </w:t>
      </w:r>
      <w:r w:rsidR="00720527" w:rsidRPr="00957B6C">
        <w:rPr>
          <w:rFonts w:ascii="Calibri" w:hAnsi="Calibri"/>
          <w:sz w:val="24"/>
          <w:szCs w:val="24"/>
        </w:rPr>
        <w:t>buil</w:t>
      </w:r>
      <w:r w:rsidR="001D471F" w:rsidRPr="00957B6C">
        <w:rPr>
          <w:rFonts w:ascii="Calibri" w:hAnsi="Calibri"/>
          <w:sz w:val="24"/>
          <w:szCs w:val="24"/>
        </w:rPr>
        <w:t>ding</w:t>
      </w:r>
      <w:r w:rsidR="00720527" w:rsidRPr="00957B6C">
        <w:rPr>
          <w:rFonts w:ascii="Calibri" w:hAnsi="Calibri"/>
          <w:sz w:val="24"/>
          <w:szCs w:val="24"/>
        </w:rPr>
        <w:t xml:space="preserve"> capacity,</w:t>
      </w:r>
      <w:r w:rsidR="001D471F" w:rsidRPr="00957B6C">
        <w:rPr>
          <w:rFonts w:ascii="Calibri" w:hAnsi="Calibri"/>
          <w:sz w:val="24"/>
          <w:szCs w:val="24"/>
        </w:rPr>
        <w:t xml:space="preserve"> and</w:t>
      </w:r>
      <w:r w:rsidR="00720527" w:rsidRPr="00957B6C">
        <w:rPr>
          <w:rFonts w:ascii="Calibri" w:hAnsi="Calibri"/>
          <w:sz w:val="24"/>
          <w:szCs w:val="24"/>
        </w:rPr>
        <w:t xml:space="preserve"> provid</w:t>
      </w:r>
      <w:r w:rsidR="001D471F" w:rsidRPr="00957B6C">
        <w:rPr>
          <w:rFonts w:ascii="Calibri" w:hAnsi="Calibri"/>
          <w:sz w:val="24"/>
          <w:szCs w:val="24"/>
        </w:rPr>
        <w:t>ing</w:t>
      </w:r>
      <w:r w:rsidR="00720527" w:rsidRPr="00957B6C">
        <w:rPr>
          <w:rFonts w:ascii="Calibri" w:hAnsi="Calibri"/>
          <w:sz w:val="24"/>
          <w:szCs w:val="24"/>
        </w:rPr>
        <w:t xml:space="preserve"> knowledge exchange tools and platforms. </w:t>
      </w:r>
      <w:r w:rsidR="001809DF" w:rsidRPr="00957B6C">
        <w:rPr>
          <w:rFonts w:ascii="Calibri" w:hAnsi="Calibri"/>
          <w:sz w:val="24"/>
          <w:szCs w:val="24"/>
        </w:rPr>
        <w:t xml:space="preserve">Some </w:t>
      </w:r>
      <w:r w:rsidR="009D09B5" w:rsidRPr="004A7616">
        <w:rPr>
          <w:rFonts w:ascii="Calibri" w:hAnsi="Calibri"/>
          <w:sz w:val="24"/>
          <w:szCs w:val="24"/>
        </w:rPr>
        <w:t>43</w:t>
      </w:r>
      <w:r w:rsidR="00720527" w:rsidRPr="00957B6C">
        <w:rPr>
          <w:rFonts w:ascii="Calibri" w:hAnsi="Calibri"/>
          <w:sz w:val="24"/>
          <w:szCs w:val="24"/>
        </w:rPr>
        <w:t xml:space="preserve"> new partnership agreements were signed with various stakeholders. </w:t>
      </w:r>
    </w:p>
    <w:p w14:paraId="4C8A2D2A" w14:textId="30455F8C" w:rsidR="00720527" w:rsidRPr="00957B6C" w:rsidRDefault="0021287C" w:rsidP="00BD1A73">
      <w:pPr>
        <w:spacing w:after="120"/>
        <w:rPr>
          <w:rFonts w:ascii="Calibri" w:hAnsi="Calibri"/>
          <w:szCs w:val="24"/>
        </w:rPr>
      </w:pPr>
      <w:r w:rsidRPr="00957B6C">
        <w:rPr>
          <w:rFonts w:ascii="Calibri" w:hAnsi="Calibri"/>
          <w:szCs w:val="24"/>
        </w:rPr>
        <w:t xml:space="preserve">BDT </w:t>
      </w:r>
      <w:r w:rsidR="00720527" w:rsidRPr="00957B6C">
        <w:rPr>
          <w:rFonts w:ascii="Calibri" w:hAnsi="Calibri"/>
          <w:szCs w:val="24"/>
        </w:rPr>
        <w:t xml:space="preserve">continued to assist </w:t>
      </w:r>
      <w:r w:rsidR="001809DF" w:rsidRPr="00957B6C">
        <w:rPr>
          <w:rFonts w:ascii="Calibri" w:hAnsi="Calibri"/>
          <w:szCs w:val="24"/>
        </w:rPr>
        <w:t xml:space="preserve">countries </w:t>
      </w:r>
      <w:r w:rsidR="00720527" w:rsidRPr="00957B6C">
        <w:rPr>
          <w:rFonts w:ascii="Calibri" w:hAnsi="Calibri"/>
          <w:szCs w:val="24"/>
        </w:rPr>
        <w:t xml:space="preserve">in establishing and strengthening </w:t>
      </w:r>
      <w:r w:rsidR="001809DF" w:rsidRPr="00957B6C">
        <w:rPr>
          <w:rFonts w:ascii="Calibri" w:hAnsi="Calibri"/>
          <w:szCs w:val="24"/>
        </w:rPr>
        <w:t xml:space="preserve">their </w:t>
      </w:r>
      <w:r w:rsidR="00720527" w:rsidRPr="00957B6C">
        <w:rPr>
          <w:rFonts w:ascii="Calibri" w:hAnsi="Calibri"/>
          <w:szCs w:val="24"/>
        </w:rPr>
        <w:t xml:space="preserve">national </w:t>
      </w:r>
      <w:r w:rsidR="001809DF" w:rsidRPr="00957B6C">
        <w:rPr>
          <w:rFonts w:ascii="Calibri" w:hAnsi="Calibri"/>
          <w:szCs w:val="24"/>
        </w:rPr>
        <w:t>computer incident response t</w:t>
      </w:r>
      <w:r w:rsidR="00720527" w:rsidRPr="00957B6C">
        <w:rPr>
          <w:rFonts w:ascii="Calibri" w:hAnsi="Calibri"/>
          <w:szCs w:val="24"/>
        </w:rPr>
        <w:t>eams</w:t>
      </w:r>
      <w:r w:rsidR="00BD1A73">
        <w:rPr>
          <w:rFonts w:ascii="Calibri" w:hAnsi="Calibri"/>
          <w:szCs w:val="24"/>
        </w:rPr>
        <w:t xml:space="preserve"> and </w:t>
      </w:r>
      <w:r w:rsidR="00865AA5" w:rsidRPr="00957B6C">
        <w:rPr>
          <w:rFonts w:ascii="Calibri" w:hAnsi="Calibri"/>
          <w:szCs w:val="24"/>
        </w:rPr>
        <w:t>in</w:t>
      </w:r>
      <w:r w:rsidR="00720527" w:rsidRPr="00957B6C">
        <w:rPr>
          <w:rFonts w:ascii="Calibri" w:hAnsi="Calibri"/>
          <w:szCs w:val="24"/>
        </w:rPr>
        <w:t xml:space="preserve"> organiz</w:t>
      </w:r>
      <w:r w:rsidR="00865AA5" w:rsidRPr="00957B6C">
        <w:rPr>
          <w:rFonts w:ascii="Calibri" w:hAnsi="Calibri"/>
          <w:szCs w:val="24"/>
        </w:rPr>
        <w:t>ing</w:t>
      </w:r>
      <w:r w:rsidR="00720527" w:rsidRPr="00957B6C">
        <w:rPr>
          <w:rFonts w:ascii="Calibri" w:hAnsi="Calibri"/>
          <w:szCs w:val="24"/>
        </w:rPr>
        <w:t xml:space="preserve"> cyberdrills</w:t>
      </w:r>
      <w:r w:rsidR="001D471F" w:rsidRPr="00957B6C">
        <w:rPr>
          <w:rFonts w:ascii="Calibri" w:hAnsi="Calibri"/>
          <w:szCs w:val="24"/>
        </w:rPr>
        <w:t xml:space="preserve"> and</w:t>
      </w:r>
      <w:r w:rsidR="00720527" w:rsidRPr="00957B6C">
        <w:rPr>
          <w:rFonts w:ascii="Calibri" w:hAnsi="Calibri"/>
          <w:szCs w:val="24"/>
        </w:rPr>
        <w:t xml:space="preserve"> activities </w:t>
      </w:r>
      <w:r w:rsidR="001809DF" w:rsidRPr="00957B6C">
        <w:rPr>
          <w:rFonts w:ascii="Calibri" w:hAnsi="Calibri"/>
          <w:szCs w:val="24"/>
        </w:rPr>
        <w:t xml:space="preserve">on </w:t>
      </w:r>
      <w:r w:rsidR="00720527" w:rsidRPr="00957B6C">
        <w:rPr>
          <w:rFonts w:ascii="Calibri" w:hAnsi="Calibri"/>
          <w:szCs w:val="24"/>
        </w:rPr>
        <w:t xml:space="preserve">child </w:t>
      </w:r>
      <w:r w:rsidR="00873DBB" w:rsidRPr="00957B6C">
        <w:rPr>
          <w:rFonts w:ascii="Calibri" w:hAnsi="Calibri"/>
          <w:szCs w:val="24"/>
        </w:rPr>
        <w:t>online protection.</w:t>
      </w:r>
      <w:r w:rsidR="00720527" w:rsidRPr="00957B6C">
        <w:rPr>
          <w:rFonts w:ascii="Calibri" w:hAnsi="Calibri"/>
          <w:szCs w:val="24"/>
        </w:rPr>
        <w:t xml:space="preserve"> </w:t>
      </w:r>
    </w:p>
    <w:p w14:paraId="6BF381EA" w14:textId="77777777" w:rsidR="00EA09FB" w:rsidRPr="00957B6C" w:rsidRDefault="003C1E35" w:rsidP="009B5B24">
      <w:pPr>
        <w:spacing w:after="120"/>
        <w:rPr>
          <w:rFonts w:cstheme="minorHAnsi"/>
          <w:szCs w:val="24"/>
        </w:rPr>
      </w:pPr>
      <w:r w:rsidRPr="00957B6C">
        <w:rPr>
          <w:rFonts w:ascii="Calibri" w:hAnsi="Calibri"/>
          <w:szCs w:val="24"/>
        </w:rPr>
        <w:t>C</w:t>
      </w:r>
      <w:r w:rsidR="00720527" w:rsidRPr="00957B6C">
        <w:rPr>
          <w:rFonts w:ascii="Calibri" w:hAnsi="Calibri"/>
          <w:szCs w:val="24"/>
        </w:rPr>
        <w:t xml:space="preserve">ooperation </w:t>
      </w:r>
      <w:r w:rsidR="00D0334A" w:rsidRPr="00957B6C">
        <w:rPr>
          <w:rFonts w:ascii="Calibri" w:hAnsi="Calibri"/>
          <w:szCs w:val="24"/>
        </w:rPr>
        <w:t xml:space="preserve">was enhanced </w:t>
      </w:r>
      <w:r w:rsidR="00720527" w:rsidRPr="00957B6C">
        <w:rPr>
          <w:rFonts w:ascii="Calibri" w:hAnsi="Calibri"/>
          <w:szCs w:val="24"/>
        </w:rPr>
        <w:t xml:space="preserve">between ITU and </w:t>
      </w:r>
      <w:r w:rsidR="0021287C" w:rsidRPr="00957B6C">
        <w:rPr>
          <w:rFonts w:ascii="Calibri" w:hAnsi="Calibri"/>
          <w:szCs w:val="24"/>
        </w:rPr>
        <w:t xml:space="preserve">a number of </w:t>
      </w:r>
      <w:r w:rsidR="00720527" w:rsidRPr="00957B6C">
        <w:rPr>
          <w:rFonts w:ascii="Calibri" w:hAnsi="Calibri"/>
          <w:szCs w:val="24"/>
        </w:rPr>
        <w:t xml:space="preserve">partners </w:t>
      </w:r>
      <w:r w:rsidR="000C3365" w:rsidRPr="00957B6C">
        <w:rPr>
          <w:rFonts w:ascii="Calibri" w:hAnsi="Calibri"/>
          <w:szCs w:val="24"/>
        </w:rPr>
        <w:t>working in</w:t>
      </w:r>
      <w:r w:rsidR="00720527" w:rsidRPr="00957B6C">
        <w:rPr>
          <w:rFonts w:ascii="Calibri" w:hAnsi="Calibri"/>
          <w:szCs w:val="24"/>
        </w:rPr>
        <w:t xml:space="preserve"> capacity building.</w:t>
      </w:r>
      <w:r w:rsidR="00873DBB" w:rsidRPr="00957B6C">
        <w:rPr>
          <w:rFonts w:ascii="Calibri" w:hAnsi="Calibri"/>
          <w:szCs w:val="24"/>
        </w:rPr>
        <w:t xml:space="preserve"> </w:t>
      </w:r>
      <w:r w:rsidR="00EA09FB" w:rsidRPr="00957B6C">
        <w:rPr>
          <w:rFonts w:cstheme="minorHAnsi"/>
          <w:szCs w:val="24"/>
        </w:rPr>
        <w:t xml:space="preserve">Some 131 countries organized International Girls in ICT Day events in 2018, encouraging the </w:t>
      </w:r>
      <w:r w:rsidR="00FF6C5E" w:rsidRPr="00957B6C">
        <w:rPr>
          <w:rFonts w:cstheme="minorHAnsi"/>
          <w:szCs w:val="24"/>
        </w:rPr>
        <w:t>57 </w:t>
      </w:r>
      <w:r w:rsidR="00EA09FB" w:rsidRPr="00957B6C">
        <w:rPr>
          <w:rFonts w:cstheme="minorHAnsi"/>
          <w:szCs w:val="24"/>
        </w:rPr>
        <w:t xml:space="preserve">748 girls participating in 2186 events to take up careers and studies in ICTs. </w:t>
      </w:r>
    </w:p>
    <w:p w14:paraId="77CBF028" w14:textId="77777777" w:rsidR="00720527" w:rsidRPr="00957B6C" w:rsidRDefault="0021287C" w:rsidP="009B5B24">
      <w:pPr>
        <w:pStyle w:val="CEONormal"/>
        <w:rPr>
          <w:rFonts w:ascii="Calibri" w:hAnsi="Calibri"/>
          <w:sz w:val="24"/>
          <w:szCs w:val="24"/>
        </w:rPr>
      </w:pPr>
      <w:r w:rsidRPr="00957B6C">
        <w:rPr>
          <w:rFonts w:ascii="Calibri" w:hAnsi="Calibri"/>
          <w:sz w:val="24"/>
          <w:szCs w:val="24"/>
        </w:rPr>
        <w:t xml:space="preserve">BDT </w:t>
      </w:r>
      <w:r w:rsidR="00720527" w:rsidRPr="00957B6C">
        <w:rPr>
          <w:rFonts w:ascii="Calibri" w:hAnsi="Calibri"/>
          <w:sz w:val="24"/>
          <w:szCs w:val="24"/>
        </w:rPr>
        <w:t>continued to provide assistance to developing countries in the use of ICTs to mitigate and address the effects of climate change</w:t>
      </w:r>
      <w:r w:rsidR="001D471F" w:rsidRPr="00957B6C">
        <w:rPr>
          <w:rFonts w:ascii="Calibri" w:hAnsi="Calibri"/>
          <w:sz w:val="24"/>
          <w:szCs w:val="24"/>
        </w:rPr>
        <w:t>,</w:t>
      </w:r>
      <w:r w:rsidR="00720527" w:rsidRPr="00957B6C">
        <w:rPr>
          <w:rFonts w:ascii="Calibri" w:hAnsi="Calibri"/>
          <w:sz w:val="24"/>
          <w:szCs w:val="24"/>
        </w:rPr>
        <w:t xml:space="preserve"> develop e-waste strateg</w:t>
      </w:r>
      <w:r w:rsidR="001D471F" w:rsidRPr="00957B6C">
        <w:rPr>
          <w:rFonts w:ascii="Calibri" w:hAnsi="Calibri"/>
          <w:sz w:val="24"/>
          <w:szCs w:val="24"/>
        </w:rPr>
        <w:t>ies</w:t>
      </w:r>
      <w:r w:rsidR="00720527" w:rsidRPr="00957B6C">
        <w:rPr>
          <w:rFonts w:ascii="Calibri" w:hAnsi="Calibri"/>
          <w:sz w:val="24"/>
          <w:szCs w:val="24"/>
        </w:rPr>
        <w:t>, polic</w:t>
      </w:r>
      <w:r w:rsidR="001D471F" w:rsidRPr="00957B6C">
        <w:rPr>
          <w:rFonts w:ascii="Calibri" w:hAnsi="Calibri"/>
          <w:sz w:val="24"/>
          <w:szCs w:val="24"/>
        </w:rPr>
        <w:t>ies</w:t>
      </w:r>
      <w:r w:rsidR="00B25599" w:rsidRPr="00957B6C">
        <w:rPr>
          <w:rFonts w:ascii="Calibri" w:hAnsi="Calibri"/>
          <w:sz w:val="24"/>
          <w:szCs w:val="24"/>
        </w:rPr>
        <w:t xml:space="preserve"> and regulatory frameworks</w:t>
      </w:r>
      <w:r w:rsidR="004F3A09" w:rsidRPr="00957B6C">
        <w:rPr>
          <w:rFonts w:ascii="Calibri" w:hAnsi="Calibri"/>
          <w:sz w:val="24"/>
          <w:szCs w:val="24"/>
        </w:rPr>
        <w:t xml:space="preserve">; </w:t>
      </w:r>
      <w:r w:rsidR="00720527" w:rsidRPr="00957B6C">
        <w:rPr>
          <w:rFonts w:ascii="Calibri" w:hAnsi="Calibri"/>
          <w:sz w:val="24"/>
          <w:szCs w:val="24"/>
        </w:rPr>
        <w:t>facilit</w:t>
      </w:r>
      <w:r w:rsidR="0055180A" w:rsidRPr="00957B6C">
        <w:rPr>
          <w:rFonts w:ascii="Calibri" w:hAnsi="Calibri"/>
          <w:sz w:val="24"/>
          <w:szCs w:val="24"/>
        </w:rPr>
        <w:t>ate emergency disaster response</w:t>
      </w:r>
      <w:r w:rsidR="00720527" w:rsidRPr="00957B6C">
        <w:rPr>
          <w:rFonts w:ascii="Calibri" w:hAnsi="Calibri"/>
          <w:sz w:val="24"/>
          <w:szCs w:val="24"/>
        </w:rPr>
        <w:t xml:space="preserve"> and</w:t>
      </w:r>
      <w:r w:rsidR="0055180A" w:rsidRPr="00957B6C">
        <w:rPr>
          <w:rFonts w:ascii="Calibri" w:hAnsi="Calibri"/>
          <w:sz w:val="24"/>
          <w:szCs w:val="24"/>
        </w:rPr>
        <w:t>, in particular,</w:t>
      </w:r>
      <w:r w:rsidR="00720527" w:rsidRPr="00957B6C">
        <w:rPr>
          <w:rFonts w:ascii="Calibri" w:hAnsi="Calibri"/>
          <w:sz w:val="24"/>
          <w:szCs w:val="24"/>
        </w:rPr>
        <w:t xml:space="preserve"> improve communications for disaster relief.</w:t>
      </w:r>
    </w:p>
    <w:tbl>
      <w:tblPr>
        <w:tblStyle w:val="TableGrid"/>
        <w:tblW w:w="0" w:type="auto"/>
        <w:tblLook w:val="04A0" w:firstRow="1" w:lastRow="0" w:firstColumn="1" w:lastColumn="0" w:noHBand="0" w:noVBand="1"/>
      </w:tblPr>
      <w:tblGrid>
        <w:gridCol w:w="9629"/>
      </w:tblGrid>
      <w:tr w:rsidR="00506B7F" w:rsidRPr="00957B6C" w14:paraId="6F44145F" w14:textId="77777777" w:rsidTr="00F9789D">
        <w:tc>
          <w:tcPr>
            <w:tcW w:w="9629" w:type="dxa"/>
          </w:tcPr>
          <w:p w14:paraId="65C91C00" w14:textId="77777777" w:rsidR="00506B7F" w:rsidRPr="00957B6C" w:rsidRDefault="00506B7F" w:rsidP="009B5B24">
            <w:pPr>
              <w:spacing w:after="120"/>
              <w:rPr>
                <w:rFonts w:cstheme="minorBidi"/>
                <w:color w:val="000000" w:themeColor="text1"/>
              </w:rPr>
            </w:pPr>
            <w:r w:rsidRPr="00957B6C">
              <w:rPr>
                <w:rFonts w:eastAsia="Calibri" w:cs="Calibri"/>
              </w:rPr>
              <w:t>TDAG noted the document.</w:t>
            </w:r>
          </w:p>
        </w:tc>
      </w:tr>
    </w:tbl>
    <w:p w14:paraId="21CE81B1" w14:textId="77777777" w:rsidR="00506B7F" w:rsidRPr="00957B6C" w:rsidRDefault="00506B7F" w:rsidP="00810998">
      <w:pPr>
        <w:keepNext/>
        <w:spacing w:after="120"/>
        <w:rPr>
          <w:rStyle w:val="StyleComplex12pt"/>
          <w:rFonts w:cstheme="minorHAnsi"/>
          <w:b/>
          <w:bCs/>
        </w:rPr>
      </w:pPr>
      <w:r w:rsidRPr="00957B6C">
        <w:rPr>
          <w:rStyle w:val="StyleComplex12pt"/>
          <w:rFonts w:cstheme="minorHAnsi"/>
          <w:b/>
          <w:bCs/>
        </w:rPr>
        <w:lastRenderedPageBreak/>
        <w:t>Regional trends and activities</w:t>
      </w:r>
    </w:p>
    <w:p w14:paraId="0A521C7A" w14:textId="1E8DBE70" w:rsidR="00FE2D30" w:rsidRPr="00957B6C" w:rsidRDefault="00B8346F">
      <w:pPr>
        <w:pStyle w:val="CEONormal"/>
        <w:rPr>
          <w:rFonts w:ascii="Calibri" w:hAnsi="Calibri"/>
          <w:sz w:val="24"/>
          <w:szCs w:val="24"/>
        </w:rPr>
      </w:pPr>
      <w:hyperlink r:id="rId16" w:history="1">
        <w:r w:rsidR="003745A9" w:rsidRPr="003745A9">
          <w:rPr>
            <w:rStyle w:val="Hyperlink"/>
            <w:rFonts w:ascii="Calibri" w:hAnsi="Calibri"/>
            <w:sz w:val="24"/>
            <w:szCs w:val="24"/>
          </w:rPr>
          <w:t xml:space="preserve">Annex 1 to </w:t>
        </w:r>
        <w:r w:rsidR="00506B7F" w:rsidRPr="003745A9">
          <w:rPr>
            <w:rStyle w:val="Hyperlink"/>
            <w:rFonts w:ascii="Calibri" w:hAnsi="Calibri"/>
            <w:sz w:val="24"/>
            <w:szCs w:val="24"/>
          </w:rPr>
          <w:t>Performance R</w:t>
        </w:r>
        <w:r w:rsidR="00720527" w:rsidRPr="003745A9">
          <w:rPr>
            <w:rStyle w:val="Hyperlink"/>
            <w:rFonts w:ascii="Calibri" w:hAnsi="Calibri"/>
            <w:sz w:val="24"/>
            <w:szCs w:val="24"/>
          </w:rPr>
          <w:t>eport 2018</w:t>
        </w:r>
      </w:hyperlink>
      <w:r w:rsidR="007D618D" w:rsidRPr="00957B6C">
        <w:rPr>
          <w:rFonts w:ascii="Calibri" w:hAnsi="Calibri"/>
          <w:sz w:val="24"/>
          <w:szCs w:val="24"/>
        </w:rPr>
        <w:t xml:space="preserve"> </w:t>
      </w:r>
      <w:r w:rsidR="00720527" w:rsidRPr="00957B6C">
        <w:rPr>
          <w:rFonts w:ascii="Calibri" w:hAnsi="Calibri"/>
          <w:sz w:val="24"/>
          <w:szCs w:val="24"/>
        </w:rPr>
        <w:t>features world and regional trends in access to and use of ICTs from 2005 to 2018</w:t>
      </w:r>
      <w:r w:rsidR="001D471F" w:rsidRPr="00957B6C">
        <w:rPr>
          <w:rFonts w:ascii="Calibri" w:hAnsi="Calibri"/>
          <w:sz w:val="24"/>
          <w:szCs w:val="24"/>
        </w:rPr>
        <w:t>,</w:t>
      </w:r>
      <w:r w:rsidR="00720527" w:rsidRPr="00957B6C">
        <w:rPr>
          <w:rFonts w:ascii="Calibri" w:hAnsi="Calibri"/>
          <w:sz w:val="24"/>
          <w:szCs w:val="24"/>
        </w:rPr>
        <w:t xml:space="preserve"> </w:t>
      </w:r>
      <w:r w:rsidR="00720527" w:rsidRPr="00957B6C">
        <w:rPr>
          <w:rFonts w:asciiTheme="minorHAnsi" w:hAnsiTheme="minorHAnsi" w:cs="Calibri Light"/>
          <w:color w:val="000000"/>
          <w:sz w:val="24"/>
          <w:szCs w:val="24"/>
        </w:rPr>
        <w:t>and information on the</w:t>
      </w:r>
      <w:r w:rsidR="00720527" w:rsidRPr="00957B6C">
        <w:rPr>
          <w:rFonts w:ascii="Calibri" w:hAnsi="Calibri"/>
          <w:sz w:val="24"/>
          <w:szCs w:val="24"/>
        </w:rPr>
        <w:t xml:space="preserve"> implementation of regional initiatives </w:t>
      </w:r>
      <w:r w:rsidR="003C5C8E" w:rsidRPr="00957B6C">
        <w:rPr>
          <w:rFonts w:ascii="Calibri" w:hAnsi="Calibri"/>
          <w:sz w:val="24"/>
          <w:szCs w:val="24"/>
        </w:rPr>
        <w:t xml:space="preserve">in </w:t>
      </w:r>
      <w:r w:rsidR="00720527" w:rsidRPr="00957B6C">
        <w:rPr>
          <w:rFonts w:ascii="Calibri" w:hAnsi="Calibri"/>
          <w:sz w:val="24"/>
          <w:szCs w:val="24"/>
        </w:rPr>
        <w:t>2018</w:t>
      </w:r>
      <w:r w:rsidR="00720527" w:rsidRPr="00957B6C">
        <w:rPr>
          <w:rFonts w:asciiTheme="minorHAnsi" w:hAnsiTheme="minorHAnsi"/>
          <w:sz w:val="24"/>
          <w:szCs w:val="24"/>
        </w:rPr>
        <w:t xml:space="preserve">. </w:t>
      </w:r>
      <w:r w:rsidR="00720527" w:rsidRPr="00957B6C">
        <w:rPr>
          <w:rFonts w:asciiTheme="minorHAnsi" w:hAnsiTheme="minorHAnsi" w:cs="Calibri Light"/>
          <w:color w:val="000000"/>
          <w:sz w:val="24"/>
          <w:szCs w:val="24"/>
        </w:rPr>
        <w:t>A general upward trend continues in the access to and use of ICTs. With the exception of fixed-</w:t>
      </w:r>
      <w:r w:rsidR="00720527" w:rsidRPr="00957B6C">
        <w:rPr>
          <w:rFonts w:ascii="Calibri" w:hAnsi="Calibri"/>
          <w:sz w:val="24"/>
          <w:szCs w:val="24"/>
        </w:rPr>
        <w:t xml:space="preserve">telephone subscriptions, all indicators have been increasing steadily. </w:t>
      </w:r>
      <w:r w:rsidR="00B930CB" w:rsidRPr="00957B6C">
        <w:rPr>
          <w:rFonts w:ascii="Calibri" w:hAnsi="Calibri"/>
          <w:sz w:val="24"/>
          <w:szCs w:val="24"/>
        </w:rPr>
        <w:t>The world crossed the halfway line in 2018 in terms of Internet use, with 51.2 per cent of the world population using the Internet.</w:t>
      </w:r>
    </w:p>
    <w:p w14:paraId="0B1B1824" w14:textId="77777777" w:rsidR="00B31F6A" w:rsidRPr="00512A66" w:rsidRDefault="00B31F6A" w:rsidP="009B5B24">
      <w:pPr>
        <w:pStyle w:val="CEONormal"/>
        <w:rPr>
          <w:rFonts w:asciiTheme="minorHAnsi" w:eastAsia="Calibri" w:hAnsiTheme="minorHAnsi" w:cs="Calibri"/>
          <w:color w:val="000000" w:themeColor="text1"/>
          <w:sz w:val="24"/>
          <w:szCs w:val="24"/>
        </w:rPr>
      </w:pPr>
      <w:r w:rsidRPr="00512A66">
        <w:rPr>
          <w:rFonts w:asciiTheme="minorHAnsi" w:eastAsia="Calibri" w:hAnsiTheme="minorHAnsi" w:cs="Calibri"/>
          <w:color w:val="000000" w:themeColor="text1"/>
          <w:sz w:val="24"/>
          <w:szCs w:val="24"/>
        </w:rPr>
        <w:t>Regional Directors gave brief summaries of regional activities</w:t>
      </w:r>
      <w:r w:rsidR="007D1EF4" w:rsidRPr="00512A66">
        <w:rPr>
          <w:rFonts w:asciiTheme="minorHAnsi" w:eastAsia="Calibri" w:hAnsiTheme="minorHAnsi" w:cs="Calibri"/>
          <w:color w:val="000000" w:themeColor="text1"/>
          <w:sz w:val="24"/>
          <w:szCs w:val="24"/>
        </w:rPr>
        <w:t xml:space="preserve"> undertaken during 2018</w:t>
      </w:r>
      <w:r w:rsidRPr="00512A66">
        <w:rPr>
          <w:rFonts w:asciiTheme="minorHAnsi" w:eastAsia="Calibri" w:hAnsiTheme="minorHAnsi" w:cs="Calibri"/>
          <w:color w:val="000000" w:themeColor="text1"/>
          <w:sz w:val="24"/>
          <w:szCs w:val="24"/>
        </w:rPr>
        <w:t>. They emphasized the importance of partnerships and mobilizing additional funding from ITU membership and beyond for the implementation of the regional initiatives. Ways of collaboration and coordination among the regions and between regional and global activities of the three ITU Sectors were discussed.</w:t>
      </w:r>
    </w:p>
    <w:p w14:paraId="1E8B9C0F" w14:textId="77777777" w:rsidR="00BB5BFB" w:rsidRDefault="00056D1A" w:rsidP="00BB5BFB">
      <w:pPr>
        <w:spacing w:after="120"/>
      </w:pPr>
      <w:r w:rsidRPr="00957B6C">
        <w:t>In the</w:t>
      </w:r>
      <w:r w:rsidR="00B930CB" w:rsidRPr="00957B6C">
        <w:t xml:space="preserve"> </w:t>
      </w:r>
      <w:r w:rsidR="00B930CB" w:rsidRPr="00957B6C">
        <w:rPr>
          <w:b/>
          <w:bCs/>
        </w:rPr>
        <w:t>Africa</w:t>
      </w:r>
      <w:r w:rsidRPr="00957B6C">
        <w:rPr>
          <w:b/>
          <w:bCs/>
        </w:rPr>
        <w:t xml:space="preserve"> region</w:t>
      </w:r>
      <w:r w:rsidR="00B930CB" w:rsidRPr="00957B6C">
        <w:rPr>
          <w:b/>
          <w:bCs/>
        </w:rPr>
        <w:t>,</w:t>
      </w:r>
      <w:r w:rsidR="00CD22A7" w:rsidRPr="00957B6C">
        <w:t xml:space="preserve"> </w:t>
      </w:r>
      <w:r w:rsidR="00CD22A7" w:rsidRPr="00957B6C">
        <w:rPr>
          <w:rFonts w:eastAsia="Calibri" w:cs="Calibri"/>
        </w:rPr>
        <w:t>project activities were implemented under</w:t>
      </w:r>
      <w:r w:rsidR="00B930CB" w:rsidRPr="00957B6C">
        <w:t xml:space="preserve"> 13 technical cooperation projects </w:t>
      </w:r>
      <w:r w:rsidR="00AA631F" w:rsidRPr="00957B6C">
        <w:t>with an overall cost</w:t>
      </w:r>
      <w:r w:rsidR="007D1EF4" w:rsidRPr="00957B6C">
        <w:t xml:space="preserve"> of USD </w:t>
      </w:r>
      <w:r w:rsidR="00B930CB" w:rsidRPr="00957B6C">
        <w:t>2.8 million</w:t>
      </w:r>
      <w:r w:rsidR="00505271" w:rsidRPr="00516433">
        <w:t>, in collaboration with Member States</w:t>
      </w:r>
      <w:r w:rsidR="00B930CB" w:rsidRPr="00957B6C">
        <w:t xml:space="preserve">. In addition, activities on 41 actions of the BDT </w:t>
      </w:r>
      <w:r w:rsidR="00512A66">
        <w:t>o</w:t>
      </w:r>
      <w:r w:rsidR="00B930CB" w:rsidRPr="00957B6C">
        <w:t xml:space="preserve">perational </w:t>
      </w:r>
      <w:r w:rsidR="00512A66">
        <w:t>p</w:t>
      </w:r>
      <w:r w:rsidR="00B930CB" w:rsidRPr="00957B6C">
        <w:t xml:space="preserve">lan were implemented for an amount of </w:t>
      </w:r>
      <w:r w:rsidR="007D1EF4" w:rsidRPr="00957B6C">
        <w:t xml:space="preserve">CHF </w:t>
      </w:r>
      <w:r w:rsidR="00B930CB" w:rsidRPr="00957B6C">
        <w:t>850</w:t>
      </w:r>
      <w:r w:rsidR="004137CB" w:rsidRPr="00957B6C">
        <w:t xml:space="preserve"> </w:t>
      </w:r>
      <w:r w:rsidR="007D1EF4" w:rsidRPr="00957B6C">
        <w:t>000</w:t>
      </w:r>
      <w:r w:rsidR="00B930CB" w:rsidRPr="00957B6C">
        <w:t xml:space="preserve">. </w:t>
      </w:r>
    </w:p>
    <w:p w14:paraId="2979C9D0" w14:textId="5B1A098B" w:rsidR="00B930CB" w:rsidRPr="00957B6C" w:rsidRDefault="00B930CB">
      <w:pPr>
        <w:spacing w:after="120"/>
      </w:pPr>
      <w:r w:rsidRPr="00957B6C">
        <w:t xml:space="preserve">ITU provided support to </w:t>
      </w:r>
      <w:r w:rsidR="00512A66">
        <w:t xml:space="preserve">the </w:t>
      </w:r>
      <w:r w:rsidRPr="00957B6C">
        <w:t xml:space="preserve">Africa Telecommunications Union (ATU) in organizing the preparatory meetings </w:t>
      </w:r>
      <w:r w:rsidR="00776A1E">
        <w:t>for</w:t>
      </w:r>
      <w:r w:rsidR="003508E2" w:rsidRPr="00957B6C">
        <w:t xml:space="preserve"> the </w:t>
      </w:r>
      <w:r w:rsidR="00512A66" w:rsidRPr="004C0883">
        <w:rPr>
          <w:szCs w:val="24"/>
        </w:rPr>
        <w:t xml:space="preserve">World Radiocommunication Conference </w:t>
      </w:r>
      <w:r w:rsidR="00512A66">
        <w:rPr>
          <w:szCs w:val="24"/>
        </w:rPr>
        <w:t>(</w:t>
      </w:r>
      <w:r w:rsidR="003508E2" w:rsidRPr="00957B6C">
        <w:t>WRC</w:t>
      </w:r>
      <w:r w:rsidR="004137CB" w:rsidRPr="00957B6C">
        <w:t>-</w:t>
      </w:r>
      <w:r w:rsidR="003508E2" w:rsidRPr="00957B6C">
        <w:t>19</w:t>
      </w:r>
      <w:r w:rsidR="00512A66">
        <w:t>)</w:t>
      </w:r>
      <w:r w:rsidR="00AD4EF3">
        <w:t xml:space="preserve"> </w:t>
      </w:r>
      <w:r w:rsidR="00AD4EF3" w:rsidRPr="00516433">
        <w:t>and other global events</w:t>
      </w:r>
      <w:r w:rsidRPr="00957B6C">
        <w:t xml:space="preserve">. </w:t>
      </w:r>
      <w:r w:rsidR="00776A1E" w:rsidRPr="00516433">
        <w:t xml:space="preserve">ITU </w:t>
      </w:r>
      <w:r w:rsidR="00776A1E">
        <w:t xml:space="preserve">also </w:t>
      </w:r>
      <w:r w:rsidR="00776A1E" w:rsidRPr="00516433">
        <w:t>facilitated the harmonization of policies and regulatory frameworks in the region</w:t>
      </w:r>
      <w:r w:rsidR="00776A1E">
        <w:t>.</w:t>
      </w:r>
      <w:r w:rsidR="00776A1E" w:rsidRPr="00516433">
        <w:t xml:space="preserve"> Assistance was provided to </w:t>
      </w:r>
      <w:r w:rsidR="00793AF3">
        <w:t xml:space="preserve">different </w:t>
      </w:r>
      <w:r w:rsidR="00776A1E" w:rsidRPr="00516433">
        <w:t xml:space="preserve">countries in </w:t>
      </w:r>
      <w:r w:rsidR="00793AF3">
        <w:t xml:space="preserve">various </w:t>
      </w:r>
      <w:r w:rsidR="00776A1E" w:rsidRPr="00516433">
        <w:t>areas</w:t>
      </w:r>
      <w:r w:rsidR="00776A1E">
        <w:t>.</w:t>
      </w:r>
      <w:r w:rsidR="00776A1E" w:rsidRPr="00957B6C">
        <w:t xml:space="preserve"> </w:t>
      </w:r>
      <w:r w:rsidRPr="00957B6C">
        <w:t xml:space="preserve">A number of projects are ongoing in areas </w:t>
      </w:r>
      <w:r w:rsidR="007D1EF4" w:rsidRPr="00957B6C">
        <w:t xml:space="preserve">of </w:t>
      </w:r>
      <w:r w:rsidRPr="00957B6C">
        <w:t xml:space="preserve">institutional reform, telemedicine, wireless broadband, judiciary training, computer incident response team (CIRT), m-diabetes, and m-cervical cancer. Several regional workshops were organized in </w:t>
      </w:r>
      <w:r w:rsidR="007D1EF4" w:rsidRPr="00957B6C">
        <w:t xml:space="preserve">the </w:t>
      </w:r>
      <w:r w:rsidRPr="00957B6C">
        <w:t xml:space="preserve">areas </w:t>
      </w:r>
      <w:r w:rsidR="007D1EF4" w:rsidRPr="00957B6C">
        <w:t xml:space="preserve">of </w:t>
      </w:r>
      <w:r w:rsidRPr="00957B6C">
        <w:t>conformance and interoperability, IP</w:t>
      </w:r>
      <w:r w:rsidR="00512A66">
        <w:t>v</w:t>
      </w:r>
      <w:r w:rsidRPr="00957B6C">
        <w:t>6, cybersecurity, Internet of Things (I</w:t>
      </w:r>
      <w:r w:rsidR="007D1EF4" w:rsidRPr="00957B6C">
        <w:t>o</w:t>
      </w:r>
      <w:r w:rsidRPr="00957B6C">
        <w:t>T), ICT economics and finance, quality of service, international roaming, and ICT accessibility and digital inclusion.</w:t>
      </w:r>
      <w:r w:rsidR="00776A1E">
        <w:t xml:space="preserve"> </w:t>
      </w:r>
      <w:r w:rsidR="00776A1E" w:rsidRPr="00516433">
        <w:t xml:space="preserve">Several national workshops were </w:t>
      </w:r>
      <w:r w:rsidR="00793AF3">
        <w:t xml:space="preserve">also </w:t>
      </w:r>
      <w:r w:rsidR="00776A1E" w:rsidRPr="00516433">
        <w:t>organized</w:t>
      </w:r>
      <w:r w:rsidR="00776A1E">
        <w:t>.</w:t>
      </w:r>
    </w:p>
    <w:p w14:paraId="0A7E5E92" w14:textId="7798E152" w:rsidR="00BB5BFB" w:rsidRDefault="00B930CB" w:rsidP="00BD1A73">
      <w:pPr>
        <w:spacing w:after="120"/>
      </w:pPr>
      <w:r w:rsidRPr="00957B6C">
        <w:t xml:space="preserve">In the </w:t>
      </w:r>
      <w:r w:rsidRPr="00957B6C">
        <w:rPr>
          <w:b/>
          <w:bCs/>
        </w:rPr>
        <w:t>Americas</w:t>
      </w:r>
      <w:r w:rsidR="00ED042F" w:rsidRPr="00957B6C">
        <w:rPr>
          <w:b/>
          <w:bCs/>
        </w:rPr>
        <w:t xml:space="preserve"> region</w:t>
      </w:r>
      <w:r w:rsidRPr="00957B6C">
        <w:t xml:space="preserve">, </w:t>
      </w:r>
      <w:r w:rsidR="00505271" w:rsidRPr="00957B6C">
        <w:rPr>
          <w:rFonts w:eastAsia="Calibri" w:cs="Calibri"/>
        </w:rPr>
        <w:t xml:space="preserve">project </w:t>
      </w:r>
      <w:r w:rsidRPr="00957B6C">
        <w:t xml:space="preserve">activities </w:t>
      </w:r>
      <w:r w:rsidR="00BD1A73">
        <w:t xml:space="preserve">were </w:t>
      </w:r>
      <w:r w:rsidR="003508E2" w:rsidRPr="00957B6C">
        <w:t xml:space="preserve">implemented </w:t>
      </w:r>
      <w:r w:rsidRPr="00957B6C">
        <w:t>under 12 technical cooperation projects</w:t>
      </w:r>
      <w:r w:rsidR="00505271">
        <w:t xml:space="preserve"> </w:t>
      </w:r>
      <w:r w:rsidR="00696F2C">
        <w:t xml:space="preserve">for </w:t>
      </w:r>
      <w:r w:rsidR="00505271">
        <w:t xml:space="preserve">an </w:t>
      </w:r>
      <w:r w:rsidR="00696F2C">
        <w:t xml:space="preserve">amount </w:t>
      </w:r>
      <w:r w:rsidR="00505271">
        <w:t xml:space="preserve">of </w:t>
      </w:r>
      <w:r w:rsidR="00505271" w:rsidRPr="00957B6C">
        <w:t>USD 1 million</w:t>
      </w:r>
      <w:r w:rsidR="00505271" w:rsidRPr="00516433">
        <w:t>, in collaboration with Member States</w:t>
      </w:r>
      <w:r w:rsidR="003508E2" w:rsidRPr="00957B6C">
        <w:t>. In</w:t>
      </w:r>
      <w:r w:rsidRPr="00957B6C">
        <w:t xml:space="preserve"> addition, activities under 35 actions of the BDT </w:t>
      </w:r>
      <w:r w:rsidR="00BD1A73">
        <w:t>o</w:t>
      </w:r>
      <w:r w:rsidRPr="00957B6C">
        <w:t xml:space="preserve">perational </w:t>
      </w:r>
      <w:r w:rsidR="00BD1A73">
        <w:t>p</w:t>
      </w:r>
      <w:r w:rsidRPr="00957B6C">
        <w:t xml:space="preserve">lan were implemented for a total amount of </w:t>
      </w:r>
      <w:r w:rsidR="00ED042F" w:rsidRPr="00957B6C">
        <w:t>USD 589 </w:t>
      </w:r>
      <w:r w:rsidR="003508E2" w:rsidRPr="00957B6C">
        <w:t>000</w:t>
      </w:r>
      <w:r w:rsidRPr="00957B6C">
        <w:t xml:space="preserve">. </w:t>
      </w:r>
    </w:p>
    <w:p w14:paraId="403FF4E6" w14:textId="3484B058" w:rsidR="00B930CB" w:rsidRPr="00957B6C" w:rsidRDefault="00BD1A73" w:rsidP="003B5BCE">
      <w:pPr>
        <w:spacing w:after="120"/>
        <w:rPr>
          <w:sz w:val="22"/>
          <w:lang w:eastAsia="zh-CN"/>
        </w:rPr>
      </w:pPr>
      <w:r>
        <w:t xml:space="preserve">Twenty-two </w:t>
      </w:r>
      <w:r w:rsidR="00B930CB" w:rsidRPr="00957B6C">
        <w:t xml:space="preserve">additional </w:t>
      </w:r>
      <w:r w:rsidR="00793AF3" w:rsidRPr="00957B6C">
        <w:t xml:space="preserve">capacity building </w:t>
      </w:r>
      <w:r w:rsidR="00B930CB" w:rsidRPr="00957B6C">
        <w:t xml:space="preserve">activities were implemented </w:t>
      </w:r>
      <w:r w:rsidR="003508E2" w:rsidRPr="00957B6C">
        <w:t>in the areas of</w:t>
      </w:r>
      <w:r w:rsidR="00B930CB" w:rsidRPr="00957B6C">
        <w:t xml:space="preserve"> ICT policy and regulation, IoT communication protocols, LTE radio access technologies, radio</w:t>
      </w:r>
      <w:r w:rsidR="003B5BCE">
        <w:t>-frequency</w:t>
      </w:r>
      <w:r w:rsidR="00B930CB" w:rsidRPr="00957B6C">
        <w:t xml:space="preserve"> spectrum, cybersecurity, emergency communications, satellite communications, digital </w:t>
      </w:r>
      <w:r w:rsidR="00056D1A" w:rsidRPr="00957B6C">
        <w:t>television</w:t>
      </w:r>
      <w:r w:rsidR="003508E2" w:rsidRPr="00957B6C">
        <w:t xml:space="preserve">, ICTs and climate change, </w:t>
      </w:r>
      <w:r w:rsidR="00056D1A" w:rsidRPr="00957B6C">
        <w:t>Internet exchange points (</w:t>
      </w:r>
      <w:r w:rsidR="003508E2" w:rsidRPr="00957B6C">
        <w:t>IXPs</w:t>
      </w:r>
      <w:r w:rsidR="00056D1A" w:rsidRPr="00957B6C">
        <w:t>)</w:t>
      </w:r>
      <w:r w:rsidR="003508E2" w:rsidRPr="00957B6C">
        <w:t xml:space="preserve"> and</w:t>
      </w:r>
      <w:r w:rsidR="00B930CB" w:rsidRPr="00957B6C">
        <w:t xml:space="preserve"> optical access in network communications. </w:t>
      </w:r>
      <w:r w:rsidR="00AD4EF3">
        <w:t xml:space="preserve">Direct assistance </w:t>
      </w:r>
      <w:r w:rsidR="003B5BCE">
        <w:t xml:space="preserve">was </w:t>
      </w:r>
      <w:r w:rsidR="00AD4EF3">
        <w:t xml:space="preserve">provided to different countries </w:t>
      </w:r>
      <w:r w:rsidR="009B5BEF">
        <w:t>in areas of e-waste management, national ICT plans, transition from analogue to digital broadcasting, infrastructure deployment and web accessibility</w:t>
      </w:r>
      <w:r w:rsidR="00AD4EF3">
        <w:t xml:space="preserve">. </w:t>
      </w:r>
      <w:r w:rsidR="009B5BEF">
        <w:t>Several regional workshops and forums on conformance and interoperability, Internet governance, cyberbullying, ICT accessibility and digital inclusion, cybersecurity and cyberdrills, emergency telecommunications, and I</w:t>
      </w:r>
      <w:r w:rsidR="004D65C8">
        <w:t>o</w:t>
      </w:r>
      <w:r w:rsidR="009B5BEF">
        <w:t>T were organized.</w:t>
      </w:r>
      <w:r w:rsidR="009B5BEF" w:rsidRPr="00957B6C" w:rsidDel="005E34CF">
        <w:t xml:space="preserve"> </w:t>
      </w:r>
    </w:p>
    <w:p w14:paraId="4BF11CBF" w14:textId="77777777" w:rsidR="005E34CF" w:rsidRDefault="00A81044" w:rsidP="00BB5BFB">
      <w:pPr>
        <w:spacing w:after="120"/>
        <w:rPr>
          <w:rFonts w:eastAsia="Calibri" w:cs="Calibri"/>
        </w:rPr>
      </w:pPr>
      <w:r w:rsidRPr="00957B6C">
        <w:rPr>
          <w:rFonts w:eastAsia="Calibri" w:cs="Calibri"/>
        </w:rPr>
        <w:t xml:space="preserve">In </w:t>
      </w:r>
      <w:r w:rsidR="003508E2" w:rsidRPr="00957B6C">
        <w:rPr>
          <w:rFonts w:eastAsia="Calibri" w:cs="Calibri"/>
        </w:rPr>
        <w:t xml:space="preserve">the </w:t>
      </w:r>
      <w:r w:rsidR="003508E2" w:rsidRPr="00957B6C">
        <w:rPr>
          <w:rFonts w:eastAsia="Calibri" w:cs="Calibri"/>
          <w:b/>
          <w:bCs/>
        </w:rPr>
        <w:t>Arab States</w:t>
      </w:r>
      <w:r w:rsidR="00056D1A" w:rsidRPr="00957B6C">
        <w:rPr>
          <w:rFonts w:eastAsia="Calibri" w:cs="Calibri"/>
          <w:b/>
          <w:bCs/>
        </w:rPr>
        <w:t xml:space="preserve"> region</w:t>
      </w:r>
      <w:r w:rsidRPr="00957B6C">
        <w:rPr>
          <w:rFonts w:eastAsia="Calibri" w:cs="Calibri"/>
        </w:rPr>
        <w:t xml:space="preserve">, </w:t>
      </w:r>
      <w:r w:rsidR="00D56F21" w:rsidRPr="00957B6C">
        <w:rPr>
          <w:rFonts w:eastAsia="Calibri" w:cs="Calibri"/>
        </w:rPr>
        <w:t>pr</w:t>
      </w:r>
      <w:r w:rsidRPr="00957B6C">
        <w:rPr>
          <w:rFonts w:eastAsia="Calibri" w:cs="Calibri"/>
        </w:rPr>
        <w:t xml:space="preserve">oject activities </w:t>
      </w:r>
      <w:r w:rsidR="00D56F21" w:rsidRPr="00957B6C">
        <w:rPr>
          <w:rFonts w:eastAsia="Calibri" w:cs="Calibri"/>
        </w:rPr>
        <w:t xml:space="preserve">were implemented </w:t>
      </w:r>
      <w:r w:rsidRPr="00957B6C">
        <w:rPr>
          <w:rFonts w:eastAsia="Calibri" w:cs="Calibri"/>
        </w:rPr>
        <w:t xml:space="preserve">under five technical cooperation projects for </w:t>
      </w:r>
      <w:r w:rsidR="00056D1A" w:rsidRPr="00957B6C">
        <w:rPr>
          <w:rFonts w:eastAsia="Calibri" w:cs="Calibri"/>
        </w:rPr>
        <w:t>USD 872 </w:t>
      </w:r>
      <w:r w:rsidR="00D56F21" w:rsidRPr="00957B6C">
        <w:rPr>
          <w:rFonts w:eastAsia="Calibri" w:cs="Calibri"/>
        </w:rPr>
        <w:t>000</w:t>
      </w:r>
      <w:r w:rsidR="00BB5BFB" w:rsidRPr="00516433">
        <w:rPr>
          <w:rFonts w:eastAsia="Calibri" w:cs="Calibri"/>
        </w:rPr>
        <w:t>, in collaboration with Member States</w:t>
      </w:r>
      <w:r w:rsidRPr="00957B6C">
        <w:rPr>
          <w:rFonts w:eastAsia="Calibri" w:cs="Calibri"/>
        </w:rPr>
        <w:t xml:space="preserve">. In addition, activities on 29 actions were implemented for an amount of </w:t>
      </w:r>
      <w:r w:rsidR="00056D1A" w:rsidRPr="00957B6C">
        <w:rPr>
          <w:rFonts w:eastAsia="Calibri" w:cs="Calibri"/>
        </w:rPr>
        <w:t>CHF 404 </w:t>
      </w:r>
      <w:r w:rsidR="00D56F21" w:rsidRPr="00957B6C">
        <w:rPr>
          <w:rFonts w:eastAsia="Calibri" w:cs="Calibri"/>
        </w:rPr>
        <w:t>000</w:t>
      </w:r>
      <w:r w:rsidRPr="00957B6C">
        <w:rPr>
          <w:rFonts w:eastAsia="Calibri" w:cs="Calibri"/>
        </w:rPr>
        <w:t xml:space="preserve">. </w:t>
      </w:r>
    </w:p>
    <w:p w14:paraId="34B30C20" w14:textId="75A9FE1C" w:rsidR="00A81044" w:rsidRPr="00957B6C" w:rsidRDefault="00A81044">
      <w:pPr>
        <w:spacing w:after="120"/>
        <w:rPr>
          <w:rFonts w:eastAsia="Calibri" w:cs="Calibri"/>
        </w:rPr>
      </w:pPr>
      <w:r w:rsidRPr="00957B6C">
        <w:rPr>
          <w:rFonts w:eastAsia="Calibri" w:cs="Calibri"/>
        </w:rPr>
        <w:t xml:space="preserve">Through the ITU Arab States region centres of excellence network, 13 capacity building courses were implemented in different aspects of ICT applications and services, new technologies and broadband. A cooperation agreement was signed for the organization of Girls in ICT Day events until 2019. Assistance was provided to the Arab Incubators and Technoparks Network, and a study </w:t>
      </w:r>
      <w:r w:rsidRPr="00957B6C">
        <w:rPr>
          <w:rFonts w:eastAsia="Calibri" w:cs="Calibri"/>
        </w:rPr>
        <w:lastRenderedPageBreak/>
        <w:t xml:space="preserve">was conducted on Internet networks and IXPs development in the region. </w:t>
      </w:r>
      <w:r w:rsidR="00C07ECF" w:rsidRPr="00C07ECF">
        <w:rPr>
          <w:rFonts w:eastAsia="Calibri" w:cs="Calibri"/>
        </w:rPr>
        <w:t>Capacity building activities on</w:t>
      </w:r>
      <w:r w:rsidR="00C07ECF">
        <w:rPr>
          <w:rFonts w:eastAsia="Calibri" w:cs="Calibri"/>
        </w:rPr>
        <w:t xml:space="preserve"> </w:t>
      </w:r>
      <w:r w:rsidR="004F5DF7">
        <w:rPr>
          <w:rFonts w:eastAsia="Calibri" w:cs="Calibri"/>
        </w:rPr>
        <w:t>different topic</w:t>
      </w:r>
      <w:r w:rsidR="00C07ECF">
        <w:rPr>
          <w:rFonts w:eastAsia="Calibri" w:cs="Calibri"/>
        </w:rPr>
        <w:t xml:space="preserve">s </w:t>
      </w:r>
      <w:r w:rsidR="00C07ECF" w:rsidRPr="00516433">
        <w:rPr>
          <w:rFonts w:eastAsia="Calibri" w:cs="Calibri"/>
        </w:rPr>
        <w:t>were organized</w:t>
      </w:r>
      <w:r w:rsidR="00C07ECF">
        <w:rPr>
          <w:rFonts w:eastAsia="Calibri" w:cs="Calibri"/>
        </w:rPr>
        <w:t xml:space="preserve">. </w:t>
      </w:r>
      <w:r w:rsidR="00C07ECF" w:rsidRPr="00516433">
        <w:rPr>
          <w:rFonts w:eastAsia="Calibri" w:cs="Calibri"/>
        </w:rPr>
        <w:t>Direct assistance was provided to</w:t>
      </w:r>
      <w:r w:rsidR="00C07ECF">
        <w:rPr>
          <w:rFonts w:eastAsia="Calibri" w:cs="Calibri"/>
        </w:rPr>
        <w:t xml:space="preserve"> </w:t>
      </w:r>
      <w:r w:rsidR="00C15835">
        <w:rPr>
          <w:rFonts w:eastAsia="Calibri" w:cs="Calibri"/>
        </w:rPr>
        <w:t xml:space="preserve">a few </w:t>
      </w:r>
      <w:r w:rsidR="00C07ECF">
        <w:rPr>
          <w:rFonts w:eastAsia="Calibri" w:cs="Calibri"/>
        </w:rPr>
        <w:t>countries</w:t>
      </w:r>
      <w:r w:rsidR="003D113B">
        <w:rPr>
          <w:rFonts w:eastAsia="Calibri" w:cs="Calibri"/>
        </w:rPr>
        <w:t xml:space="preserve"> in </w:t>
      </w:r>
      <w:r w:rsidR="00C15835">
        <w:rPr>
          <w:rFonts w:eastAsia="Calibri" w:cs="Calibri"/>
        </w:rPr>
        <w:t>different</w:t>
      </w:r>
      <w:r w:rsidR="003D113B">
        <w:rPr>
          <w:rFonts w:eastAsia="Calibri" w:cs="Calibri"/>
        </w:rPr>
        <w:t xml:space="preserve"> areas</w:t>
      </w:r>
      <w:r w:rsidR="00C07ECF">
        <w:rPr>
          <w:rFonts w:eastAsia="Calibri" w:cs="Calibri"/>
        </w:rPr>
        <w:t xml:space="preserve">. </w:t>
      </w:r>
      <w:r w:rsidR="00C07ECF" w:rsidRPr="00516433">
        <w:rPr>
          <w:rFonts w:eastAsia="Calibri" w:cs="Calibri"/>
        </w:rPr>
        <w:t>Efforts were continued in relation to cybersecurity through</w:t>
      </w:r>
      <w:r w:rsidR="00C07ECF">
        <w:rPr>
          <w:rFonts w:eastAsia="Calibri" w:cs="Calibri"/>
        </w:rPr>
        <w:t xml:space="preserve"> the organization of the regional Cybersecurity Week </w:t>
      </w:r>
      <w:r w:rsidR="00C07ECF" w:rsidRPr="00516433">
        <w:rPr>
          <w:rFonts w:eastAsia="Calibri" w:cs="Calibri"/>
        </w:rPr>
        <w:t>as well as child online protection and cybersecurity activities.</w:t>
      </w:r>
      <w:r w:rsidR="003D113B">
        <w:rPr>
          <w:rFonts w:eastAsia="Calibri" w:cs="Calibri"/>
        </w:rPr>
        <w:t xml:space="preserve"> </w:t>
      </w:r>
      <w:r w:rsidR="003D113B" w:rsidRPr="00516433">
        <w:rPr>
          <w:rFonts w:eastAsia="Calibri" w:cs="Calibri"/>
        </w:rPr>
        <w:t xml:space="preserve">ICT </w:t>
      </w:r>
      <w:r w:rsidR="003D113B">
        <w:rPr>
          <w:rFonts w:eastAsia="Calibri" w:cs="Calibri"/>
        </w:rPr>
        <w:t>a</w:t>
      </w:r>
      <w:r w:rsidR="003D113B" w:rsidRPr="00516433">
        <w:rPr>
          <w:rFonts w:eastAsia="Calibri" w:cs="Calibri"/>
        </w:rPr>
        <w:t xml:space="preserve">ccessibility was promoted through the organization of </w:t>
      </w:r>
      <w:r w:rsidR="003D113B">
        <w:rPr>
          <w:rFonts w:eastAsia="Calibri" w:cs="Calibri"/>
        </w:rPr>
        <w:t>r</w:t>
      </w:r>
      <w:r w:rsidR="003D113B" w:rsidRPr="00516433">
        <w:rPr>
          <w:rFonts w:eastAsia="Calibri" w:cs="Calibri"/>
        </w:rPr>
        <w:t>egional ICT Accessibility Week.</w:t>
      </w:r>
    </w:p>
    <w:p w14:paraId="12E08AA1" w14:textId="56F621E5" w:rsidR="00A81044" w:rsidRPr="00957B6C" w:rsidRDefault="00A81044">
      <w:pPr>
        <w:spacing w:after="120"/>
      </w:pPr>
      <w:r w:rsidRPr="00957B6C">
        <w:t xml:space="preserve">In </w:t>
      </w:r>
      <w:r w:rsidR="00B860DF" w:rsidRPr="00957B6C">
        <w:t xml:space="preserve">the </w:t>
      </w:r>
      <w:r w:rsidRPr="00957B6C">
        <w:rPr>
          <w:b/>
          <w:bCs/>
        </w:rPr>
        <w:t>Asia and the Pacific</w:t>
      </w:r>
      <w:r w:rsidR="00056D1A" w:rsidRPr="00957B6C">
        <w:rPr>
          <w:b/>
          <w:bCs/>
        </w:rPr>
        <w:t xml:space="preserve"> region</w:t>
      </w:r>
      <w:r w:rsidRPr="00957B6C">
        <w:t>,</w:t>
      </w:r>
      <w:r w:rsidR="00D56F21" w:rsidRPr="00957B6C">
        <w:t xml:space="preserve"> pr</w:t>
      </w:r>
      <w:r w:rsidRPr="00957B6C">
        <w:t xml:space="preserve">oject activities </w:t>
      </w:r>
      <w:r w:rsidR="00D56F21" w:rsidRPr="00957B6C">
        <w:t>were implem</w:t>
      </w:r>
      <w:r w:rsidR="00B765A9" w:rsidRPr="00957B6C">
        <w:t>ented</w:t>
      </w:r>
      <w:r w:rsidR="00D56F21" w:rsidRPr="00957B6C">
        <w:t xml:space="preserve"> </w:t>
      </w:r>
      <w:r w:rsidRPr="00957B6C">
        <w:t xml:space="preserve">under ten technical cooperation projects for a total amount of </w:t>
      </w:r>
      <w:r w:rsidR="00056D1A" w:rsidRPr="00957B6C">
        <w:t>USD</w:t>
      </w:r>
      <w:r w:rsidR="00B765A9" w:rsidRPr="00957B6C">
        <w:t xml:space="preserve"> </w:t>
      </w:r>
      <w:r w:rsidR="00056D1A" w:rsidRPr="00957B6C">
        <w:t>668 </w:t>
      </w:r>
      <w:r w:rsidR="00D56F21" w:rsidRPr="00957B6C">
        <w:t>000</w:t>
      </w:r>
      <w:r w:rsidR="00BB5BFB" w:rsidRPr="00516433">
        <w:t>, in collaboration with Member States and partners</w:t>
      </w:r>
      <w:r w:rsidRPr="00957B6C">
        <w:t xml:space="preserve">. In addition, activities on 35 actions were implemented for an amount of </w:t>
      </w:r>
      <w:r w:rsidR="00056D1A" w:rsidRPr="00957B6C">
        <w:t>CHF </w:t>
      </w:r>
      <w:r w:rsidRPr="00957B6C">
        <w:t>402 </w:t>
      </w:r>
      <w:r w:rsidR="00D56F21" w:rsidRPr="00957B6C">
        <w:t>000</w:t>
      </w:r>
      <w:r w:rsidRPr="00957B6C">
        <w:t>.</w:t>
      </w:r>
    </w:p>
    <w:p w14:paraId="61E34F4E" w14:textId="616DDF95" w:rsidR="005E34CF" w:rsidRDefault="005E34CF" w:rsidP="003B5BCE">
      <w:pPr>
        <w:spacing w:after="120"/>
      </w:pPr>
      <w:r w:rsidRPr="005E34CF">
        <w:t>The key emphasis was on specialized assistance and capacity building in the areas of radio spectrum management and monitoring, spectrum master plans, policy and regulatory frameworks, cybersecurity, CIRT, national cybersecurity strategies and child online protecti</w:t>
      </w:r>
      <w:r>
        <w:t xml:space="preserve">on, broadband, conformance and </w:t>
      </w:r>
      <w:r w:rsidRPr="005E34CF">
        <w:t>interoperability, ICT applications, telecommunication sector road</w:t>
      </w:r>
      <w:r w:rsidR="003B5BCE">
        <w:t xml:space="preserve"> </w:t>
      </w:r>
      <w:r w:rsidRPr="005E34CF">
        <w:t xml:space="preserve">maps and e-applications for Pacific Islands, quality of service, ICT indicators and statistics, Internet of Things, implementation of IPv6, ICTs for promoting innovation, ICTs for the empowerment of women, e-governance, smart and sustainable cities, e-agriculture, </w:t>
      </w:r>
      <w:r w:rsidR="00503D3F">
        <w:t xml:space="preserve">and </w:t>
      </w:r>
      <w:r w:rsidRPr="005E34CF">
        <w:t>emergency telecommunications.</w:t>
      </w:r>
      <w:r w:rsidR="00503D3F">
        <w:t xml:space="preserve"> </w:t>
      </w:r>
      <w:r w:rsidR="00503D3F" w:rsidRPr="00516433">
        <w:t xml:space="preserve">In </w:t>
      </w:r>
      <w:r w:rsidR="003B5BCE">
        <w:t xml:space="preserve">terms </w:t>
      </w:r>
      <w:r w:rsidR="00503D3F" w:rsidRPr="00516433">
        <w:t>of training, the focus was</w:t>
      </w:r>
      <w:r w:rsidR="00503D3F">
        <w:t xml:space="preserve"> </w:t>
      </w:r>
      <w:r w:rsidR="00503D3F" w:rsidRPr="00516433">
        <w:t>on</w:t>
      </w:r>
      <w:r w:rsidR="00503D3F">
        <w:t xml:space="preserve"> </w:t>
      </w:r>
      <w:r w:rsidR="00A4351E">
        <w:t xml:space="preserve">the areas above and </w:t>
      </w:r>
      <w:r w:rsidR="00AD25E0">
        <w:t xml:space="preserve">on </w:t>
      </w:r>
      <w:r w:rsidR="00503D3F" w:rsidRPr="00503D3F">
        <w:t xml:space="preserve">QoS, </w:t>
      </w:r>
      <w:r w:rsidR="00503D3F">
        <w:t>blockchain</w:t>
      </w:r>
      <w:r w:rsidR="00503D3F" w:rsidRPr="00503D3F">
        <w:t>, GIS for agriculture, digital financial services, digital skills for job creation</w:t>
      </w:r>
      <w:r w:rsidR="00A4351E">
        <w:t>, among others</w:t>
      </w:r>
      <w:r w:rsidR="00503D3F" w:rsidRPr="00503D3F">
        <w:t>.</w:t>
      </w:r>
    </w:p>
    <w:p w14:paraId="0421C44A" w14:textId="77777777" w:rsidR="002910A0" w:rsidRDefault="00D132D1" w:rsidP="005E34CF">
      <w:pPr>
        <w:spacing w:after="120"/>
        <w:rPr>
          <w:rFonts w:eastAsia="Calibri" w:cs="Calibri"/>
        </w:rPr>
      </w:pPr>
      <w:r w:rsidRPr="00957B6C">
        <w:rPr>
          <w:rFonts w:eastAsia="Calibri" w:cs="Calibri"/>
        </w:rPr>
        <w:t>In</w:t>
      </w:r>
      <w:r w:rsidR="0052435B" w:rsidRPr="00957B6C">
        <w:rPr>
          <w:rFonts w:eastAsia="Calibri" w:cs="Calibri"/>
        </w:rPr>
        <w:t xml:space="preserve"> the </w:t>
      </w:r>
      <w:r w:rsidR="0052435B" w:rsidRPr="00957B6C">
        <w:rPr>
          <w:rFonts w:eastAsia="Calibri" w:cs="Calibri"/>
          <w:b/>
          <w:bCs/>
        </w:rPr>
        <w:t>Commonwealth</w:t>
      </w:r>
      <w:r w:rsidRPr="00957B6C">
        <w:rPr>
          <w:rFonts w:eastAsia="Calibri" w:cs="Calibri"/>
          <w:b/>
          <w:bCs/>
        </w:rPr>
        <w:t xml:space="preserve"> of Independent States (CIS)</w:t>
      </w:r>
      <w:r w:rsidR="00B860DF" w:rsidRPr="00957B6C">
        <w:rPr>
          <w:rFonts w:eastAsia="Calibri" w:cs="Calibri"/>
          <w:b/>
          <w:bCs/>
        </w:rPr>
        <w:t xml:space="preserve"> region</w:t>
      </w:r>
      <w:r w:rsidRPr="00957B6C">
        <w:rPr>
          <w:rFonts w:eastAsia="Calibri" w:cs="Calibri"/>
        </w:rPr>
        <w:t xml:space="preserve">, BDT implemented activities on 20 actions for an amount of </w:t>
      </w:r>
      <w:r w:rsidR="00852A91" w:rsidRPr="00957B6C">
        <w:rPr>
          <w:rFonts w:eastAsia="Calibri" w:cs="Calibri"/>
        </w:rPr>
        <w:t>CHF</w:t>
      </w:r>
      <w:r w:rsidR="00852A91">
        <w:rPr>
          <w:rFonts w:eastAsia="Calibri" w:cs="Calibri"/>
        </w:rPr>
        <w:t> </w:t>
      </w:r>
      <w:r w:rsidR="00852A91" w:rsidRPr="00957B6C">
        <w:rPr>
          <w:rFonts w:eastAsia="Calibri" w:cs="Calibri"/>
        </w:rPr>
        <w:t>292</w:t>
      </w:r>
      <w:r w:rsidR="00852A91">
        <w:rPr>
          <w:rFonts w:eastAsia="Calibri" w:cs="Calibri"/>
        </w:rPr>
        <w:t> </w:t>
      </w:r>
      <w:r w:rsidR="00B860DF" w:rsidRPr="00957B6C">
        <w:rPr>
          <w:rFonts w:eastAsia="Calibri" w:cs="Calibri"/>
        </w:rPr>
        <w:t>000</w:t>
      </w:r>
      <w:r w:rsidRPr="00957B6C">
        <w:rPr>
          <w:rFonts w:eastAsia="Calibri" w:cs="Calibri"/>
        </w:rPr>
        <w:t xml:space="preserve">. </w:t>
      </w:r>
    </w:p>
    <w:p w14:paraId="005FF062" w14:textId="4F273922" w:rsidR="00D132D1" w:rsidRPr="00957B6C" w:rsidRDefault="00D132D1" w:rsidP="00AD25E0">
      <w:pPr>
        <w:spacing w:after="120"/>
        <w:rPr>
          <w:rFonts w:eastAsia="Calibri" w:cs="Calibri"/>
        </w:rPr>
      </w:pPr>
      <w:r w:rsidRPr="00957B6C">
        <w:t>To raise awareness of membership and facilitate dissemination of best practices, regional events</w:t>
      </w:r>
      <w:r w:rsidR="00B765A9" w:rsidRPr="00957B6C">
        <w:t xml:space="preserve"> were organized</w:t>
      </w:r>
      <w:r w:rsidRPr="00957B6C">
        <w:t xml:space="preserve"> on e-health, cybersecurity and </w:t>
      </w:r>
      <w:r w:rsidR="00B765A9" w:rsidRPr="00957B6C">
        <w:t>child online protection</w:t>
      </w:r>
      <w:r w:rsidRPr="00957B6C">
        <w:t xml:space="preserve">, digital transformation, mobile number portability and </w:t>
      </w:r>
      <w:r w:rsidR="00B860DF" w:rsidRPr="00957B6C">
        <w:rPr>
          <w:rStyle w:val="Emphasis"/>
          <w:i w:val="0"/>
          <w:iCs w:val="0"/>
        </w:rPr>
        <w:t>conform</w:t>
      </w:r>
      <w:r w:rsidR="00C41140">
        <w:rPr>
          <w:rStyle w:val="Emphasis"/>
          <w:i w:val="0"/>
          <w:iCs w:val="0"/>
        </w:rPr>
        <w:t>ance</w:t>
      </w:r>
      <w:r w:rsidR="00B860DF" w:rsidRPr="00957B6C">
        <w:rPr>
          <w:rStyle w:val="Emphasis"/>
          <w:i w:val="0"/>
          <w:iCs w:val="0"/>
        </w:rPr>
        <w:t xml:space="preserve"> and interoperability</w:t>
      </w:r>
      <w:r w:rsidRPr="00957B6C">
        <w:t xml:space="preserve">, </w:t>
      </w:r>
      <w:r w:rsidR="00C41140">
        <w:t>b</w:t>
      </w:r>
      <w:r w:rsidRPr="00957B6C">
        <w:t xml:space="preserve">ig </w:t>
      </w:r>
      <w:r w:rsidR="00C41140">
        <w:t>d</w:t>
      </w:r>
      <w:r w:rsidRPr="00957B6C">
        <w:t>ata and cloud computing, IoT and future n</w:t>
      </w:r>
      <w:r w:rsidR="00F54BA7" w:rsidRPr="00957B6C">
        <w:t>etworks, spectrum management</w:t>
      </w:r>
      <w:r w:rsidR="00B860DF" w:rsidRPr="00957B6C">
        <w:t>,</w:t>
      </w:r>
      <w:r w:rsidR="00F54BA7" w:rsidRPr="00957B6C">
        <w:t xml:space="preserve"> and</w:t>
      </w:r>
      <w:r w:rsidRPr="00957B6C">
        <w:t xml:space="preserve"> IMT-2020/5G. </w:t>
      </w:r>
      <w:r w:rsidR="00AD4EF3">
        <w:t xml:space="preserve">Other </w:t>
      </w:r>
      <w:r w:rsidR="00C41140">
        <w:t>activities</w:t>
      </w:r>
      <w:r w:rsidR="00AD4EF3">
        <w:t xml:space="preserve"> include online training courses on e-health for students, doctors and IT professionals</w:t>
      </w:r>
      <w:r w:rsidR="0048666F">
        <w:t>,</w:t>
      </w:r>
      <w:r w:rsidR="00AD4EF3">
        <w:t xml:space="preserve"> </w:t>
      </w:r>
      <w:r w:rsidR="00C41140">
        <w:t>i</w:t>
      </w:r>
      <w:r w:rsidR="00AD4EF3">
        <w:t xml:space="preserve">mplementing ITU-T </w:t>
      </w:r>
      <w:r w:rsidR="00C41140">
        <w:t>i</w:t>
      </w:r>
      <w:r w:rsidR="00AD4EF3">
        <w:t xml:space="preserve">nternational </w:t>
      </w:r>
      <w:r w:rsidR="00C41140">
        <w:t>s</w:t>
      </w:r>
      <w:r w:rsidR="00AD4EF3">
        <w:t xml:space="preserve">tandards to </w:t>
      </w:r>
      <w:r w:rsidR="00C41140">
        <w:t>s</w:t>
      </w:r>
      <w:r w:rsidR="00AD4EF3">
        <w:t xml:space="preserve">hape </w:t>
      </w:r>
      <w:r w:rsidR="00C41140">
        <w:t>s</w:t>
      </w:r>
      <w:r w:rsidR="00AD4EF3">
        <w:t xml:space="preserve">mart </w:t>
      </w:r>
      <w:r w:rsidR="00C41140">
        <w:t>s</w:t>
      </w:r>
      <w:r w:rsidR="00AD4EF3">
        <w:t xml:space="preserve">ustainable </w:t>
      </w:r>
      <w:r w:rsidR="00C41140">
        <w:t>c</w:t>
      </w:r>
      <w:r w:rsidR="00AD4EF3">
        <w:t>ities</w:t>
      </w:r>
      <w:r w:rsidR="00C41140">
        <w:t>, country a</w:t>
      </w:r>
      <w:r w:rsidR="00AD4EF3">
        <w:t xml:space="preserve">ssistance </w:t>
      </w:r>
      <w:r w:rsidR="00C41140">
        <w:t>o</w:t>
      </w:r>
      <w:r w:rsidR="00AD4EF3">
        <w:t>n redistributing digital dividend frequencies for new technologies including IoT</w:t>
      </w:r>
      <w:r w:rsidR="00C41140">
        <w:t>,</w:t>
      </w:r>
      <w:r w:rsidR="00AD25E0">
        <w:t xml:space="preserve"> as well as</w:t>
      </w:r>
      <w:r w:rsidR="00C41140">
        <w:t xml:space="preserve"> </w:t>
      </w:r>
      <w:r w:rsidR="00AD25E0">
        <w:t>a</w:t>
      </w:r>
      <w:r w:rsidR="00AD4EF3">
        <w:t>ssessment of readiness to implement a national CIRT.</w:t>
      </w:r>
    </w:p>
    <w:p w14:paraId="04FCE33A" w14:textId="2EC7BDAC" w:rsidR="0052435B" w:rsidRPr="00957B6C" w:rsidRDefault="0052435B" w:rsidP="00AD25E0">
      <w:pPr>
        <w:spacing w:after="120"/>
      </w:pPr>
      <w:r w:rsidRPr="00957B6C">
        <w:t>In</w:t>
      </w:r>
      <w:r w:rsidR="00B860DF" w:rsidRPr="00957B6C">
        <w:t xml:space="preserve"> the</w:t>
      </w:r>
      <w:r w:rsidRPr="00957B6C">
        <w:t xml:space="preserve"> </w:t>
      </w:r>
      <w:r w:rsidRPr="00957B6C">
        <w:rPr>
          <w:b/>
          <w:bCs/>
        </w:rPr>
        <w:t>Europe</w:t>
      </w:r>
      <w:r w:rsidR="00B860DF" w:rsidRPr="00957B6C">
        <w:rPr>
          <w:b/>
          <w:bCs/>
        </w:rPr>
        <w:t xml:space="preserve"> region</w:t>
      </w:r>
      <w:r w:rsidRPr="00957B6C">
        <w:t>, BDT implemented activities under two technical cooperation project</w:t>
      </w:r>
      <w:r w:rsidR="00B860DF" w:rsidRPr="00957B6C">
        <w:t>s</w:t>
      </w:r>
      <w:r w:rsidRPr="00957B6C">
        <w:t xml:space="preserve"> for a total amount of </w:t>
      </w:r>
      <w:r w:rsidR="00B765A9" w:rsidRPr="00957B6C">
        <w:t xml:space="preserve">USD </w:t>
      </w:r>
      <w:r w:rsidRPr="00957B6C">
        <w:t>493</w:t>
      </w:r>
      <w:r w:rsidR="00B765A9" w:rsidRPr="00957B6C">
        <w:t xml:space="preserve"> </w:t>
      </w:r>
      <w:r w:rsidR="00B860DF" w:rsidRPr="00957B6C">
        <w:t>000</w:t>
      </w:r>
      <w:r w:rsidR="00B765A9" w:rsidRPr="00957B6C">
        <w:t xml:space="preserve"> </w:t>
      </w:r>
      <w:r w:rsidRPr="00957B6C">
        <w:t xml:space="preserve">in collaboration with Member States. In addition, activities on 26 actions were implemented for an amount of </w:t>
      </w:r>
      <w:r w:rsidR="00B765A9" w:rsidRPr="00957B6C">
        <w:t xml:space="preserve">CHF </w:t>
      </w:r>
      <w:r w:rsidRPr="00957B6C">
        <w:t>257</w:t>
      </w:r>
      <w:r w:rsidR="00B765A9" w:rsidRPr="00957B6C">
        <w:t xml:space="preserve"> </w:t>
      </w:r>
      <w:r w:rsidR="00B860DF" w:rsidRPr="00957B6C">
        <w:t>000 </w:t>
      </w:r>
      <w:r w:rsidRPr="00957B6C">
        <w:t>.</w:t>
      </w:r>
    </w:p>
    <w:p w14:paraId="76C25210" w14:textId="371E214D" w:rsidR="0052435B" w:rsidRPr="00957B6C" w:rsidRDefault="0052435B" w:rsidP="00AD25E0">
      <w:pPr>
        <w:spacing w:after="120"/>
      </w:pPr>
      <w:r w:rsidRPr="00957B6C">
        <w:t>Efforts to strengthen the implementation mechanism for the region were continued, including the coordination of actions with relevant organizations and UN</w:t>
      </w:r>
      <w:r w:rsidR="00B860DF" w:rsidRPr="00957B6C">
        <w:t xml:space="preserve"> bodies in the region</w:t>
      </w:r>
      <w:r w:rsidRPr="00957B6C">
        <w:t xml:space="preserve">. </w:t>
      </w:r>
      <w:r w:rsidR="00836DA0">
        <w:t>M</w:t>
      </w:r>
      <w:r w:rsidRPr="00957B6C">
        <w:t>ore than 32</w:t>
      </w:r>
      <w:r w:rsidR="00AD25E0">
        <w:t xml:space="preserve"> </w:t>
      </w:r>
      <w:r w:rsidRPr="00957B6C">
        <w:t>workshops, seminars, expert group meetings on broadcasting, broadband, accessibility, cybersecurity, innovation, human capacity building were organized</w:t>
      </w:r>
      <w:r w:rsidR="00836DA0">
        <w:t xml:space="preserve"> in 2018</w:t>
      </w:r>
      <w:r w:rsidRPr="00957B6C">
        <w:t>. In addition, human capacity of more than 660</w:t>
      </w:r>
      <w:r w:rsidR="00AD25E0">
        <w:t xml:space="preserve"> </w:t>
      </w:r>
      <w:r w:rsidRPr="00957B6C">
        <w:t xml:space="preserve">professionals was built through the Europe region network of centres of excellence that offered more than 17 training opportunities in 2018. Direct assistance was provided to several countries in the fields of innovation, broadcasting, broadband, cybersecurity, and ICT applications. </w:t>
      </w:r>
      <w:r w:rsidR="00836DA0" w:rsidRPr="00836DA0">
        <w:t xml:space="preserve">More than 10 publications and reports </w:t>
      </w:r>
      <w:r w:rsidR="00AD25E0">
        <w:t xml:space="preserve">were written </w:t>
      </w:r>
      <w:r w:rsidR="00836DA0">
        <w:t>during the year.</w:t>
      </w:r>
    </w:p>
    <w:p w14:paraId="17D32C0C" w14:textId="522922B2" w:rsidR="00B31F6A" w:rsidRPr="00957B6C" w:rsidRDefault="00FE2D30" w:rsidP="008A0D8D">
      <w:pPr>
        <w:spacing w:after="120"/>
      </w:pPr>
      <w:r w:rsidRPr="00957B6C">
        <w:t xml:space="preserve">TDAG welcomed </w:t>
      </w:r>
      <w:r w:rsidRPr="004D22C2">
        <w:rPr>
          <w:b/>
          <w:bCs/>
        </w:rPr>
        <w:t xml:space="preserve">this open dialogue and interaction with </w:t>
      </w:r>
      <w:r w:rsidR="00512A66" w:rsidRPr="004D22C2">
        <w:rPr>
          <w:b/>
          <w:bCs/>
        </w:rPr>
        <w:t>Regional Directors</w:t>
      </w:r>
      <w:r w:rsidRPr="00957B6C">
        <w:t xml:space="preserve"> </w:t>
      </w:r>
      <w:r w:rsidR="00860F2E" w:rsidRPr="00957B6C">
        <w:t>as a source of first-hand infor</w:t>
      </w:r>
      <w:r w:rsidRPr="00957B6C">
        <w:t xml:space="preserve">mation allowing TDAG to provide guidance and advice where needed. </w:t>
      </w:r>
      <w:r w:rsidR="005B1CAD" w:rsidRPr="00957B6C">
        <w:t xml:space="preserve">With so many activities implemented, TDAG </w:t>
      </w:r>
      <w:r w:rsidR="008A0D8D">
        <w:t xml:space="preserve">sought to know </w:t>
      </w:r>
      <w:r w:rsidR="005B1CAD" w:rsidRPr="00957B6C">
        <w:t>how</w:t>
      </w:r>
      <w:r w:rsidR="00B31F6A" w:rsidRPr="00957B6C">
        <w:t xml:space="preserve"> </w:t>
      </w:r>
      <w:r w:rsidR="005B1CAD" w:rsidRPr="00957B6C">
        <w:t>the impact could be</w:t>
      </w:r>
      <w:r w:rsidR="00FF3AEA" w:rsidRPr="00957B6C">
        <w:t xml:space="preserve"> best</w:t>
      </w:r>
      <w:r w:rsidR="005B1CAD" w:rsidRPr="00957B6C">
        <w:t xml:space="preserve"> measured</w:t>
      </w:r>
      <w:r w:rsidR="00B860DF" w:rsidRPr="00957B6C">
        <w:t xml:space="preserve">, </w:t>
      </w:r>
      <w:r w:rsidR="008A0D8D" w:rsidRPr="00957B6C">
        <w:t>suggesting</w:t>
      </w:r>
      <w:r w:rsidR="00B860DF" w:rsidRPr="00957B6C">
        <w:t xml:space="preserve"> that</w:t>
      </w:r>
      <w:r w:rsidR="005B1CAD" w:rsidRPr="00957B6C">
        <w:t xml:space="preserve"> all success stories be widely shared, </w:t>
      </w:r>
      <w:r w:rsidR="00FF3AEA" w:rsidRPr="00957B6C">
        <w:t>and any</w:t>
      </w:r>
      <w:r w:rsidR="005B1CAD" w:rsidRPr="00957B6C">
        <w:t xml:space="preserve"> </w:t>
      </w:r>
      <w:r w:rsidR="008A0D8D" w:rsidRPr="00957B6C">
        <w:t>challenges</w:t>
      </w:r>
      <w:r w:rsidR="005B1CAD" w:rsidRPr="00957B6C">
        <w:t xml:space="preserve"> faced in </w:t>
      </w:r>
      <w:r w:rsidR="008A0D8D" w:rsidRPr="00957B6C">
        <w:t>implementing</w:t>
      </w:r>
      <w:r w:rsidR="005B1CAD" w:rsidRPr="00957B6C">
        <w:t xml:space="preserve"> planned activities</w:t>
      </w:r>
      <w:r w:rsidR="00FF3AEA" w:rsidRPr="00957B6C">
        <w:t xml:space="preserve"> be </w:t>
      </w:r>
      <w:r w:rsidR="008A0D8D">
        <w:t>documented as lessons learned</w:t>
      </w:r>
      <w:r w:rsidR="005B1CAD" w:rsidRPr="00957B6C">
        <w:t>.</w:t>
      </w:r>
    </w:p>
    <w:tbl>
      <w:tblPr>
        <w:tblStyle w:val="TableGrid"/>
        <w:tblW w:w="0" w:type="auto"/>
        <w:tblLook w:val="04A0" w:firstRow="1" w:lastRow="0" w:firstColumn="1" w:lastColumn="0" w:noHBand="0" w:noVBand="1"/>
      </w:tblPr>
      <w:tblGrid>
        <w:gridCol w:w="9629"/>
      </w:tblGrid>
      <w:tr w:rsidR="00237BB0" w:rsidRPr="00957B6C" w14:paraId="0786078E" w14:textId="77777777" w:rsidTr="4BA30F97">
        <w:tc>
          <w:tcPr>
            <w:tcW w:w="9629" w:type="dxa"/>
          </w:tcPr>
          <w:p w14:paraId="1B4D8222" w14:textId="77777777" w:rsidR="00237BB0" w:rsidRPr="00957B6C" w:rsidRDefault="00FD1E59" w:rsidP="009B5B24">
            <w:pPr>
              <w:spacing w:after="120"/>
              <w:rPr>
                <w:rFonts w:cstheme="minorBidi"/>
                <w:color w:val="000000" w:themeColor="text1"/>
              </w:rPr>
            </w:pPr>
            <w:r w:rsidRPr="00957B6C">
              <w:rPr>
                <w:rFonts w:eastAsia="Calibri" w:cs="Calibri"/>
              </w:rPr>
              <w:lastRenderedPageBreak/>
              <w:t>TDAG noted the document.</w:t>
            </w:r>
          </w:p>
        </w:tc>
      </w:tr>
    </w:tbl>
    <w:p w14:paraId="3BDC84B7" w14:textId="30F34CF9" w:rsidR="00735F7F" w:rsidRDefault="00855A13" w:rsidP="00810998">
      <w:pPr>
        <w:keepNext/>
        <w:spacing w:after="120"/>
        <w:rPr>
          <w:b/>
          <w:bCs/>
          <w:lang w:val="en-US"/>
        </w:rPr>
      </w:pPr>
      <w:r>
        <w:rPr>
          <w:b/>
          <w:bCs/>
          <w:lang w:val="en-US"/>
        </w:rPr>
        <w:t>Breakout session:</w:t>
      </w:r>
      <w:r w:rsidRPr="00B54FD0">
        <w:rPr>
          <w:b/>
          <w:bCs/>
          <w:lang w:val="en-US"/>
        </w:rPr>
        <w:t xml:space="preserve"> </w:t>
      </w:r>
      <w:r w:rsidR="00735F7F" w:rsidRPr="00B54FD0">
        <w:rPr>
          <w:b/>
          <w:bCs/>
          <w:lang w:val="en-US"/>
        </w:rPr>
        <w:t>The role of regional presence</w:t>
      </w:r>
    </w:p>
    <w:p w14:paraId="15DC27D1" w14:textId="7B63F77E" w:rsidR="00735F7F" w:rsidRDefault="008A0D8D" w:rsidP="00BA06BF">
      <w:pPr>
        <w:rPr>
          <w:lang w:val="en-US"/>
        </w:rPr>
      </w:pPr>
      <w:r>
        <w:rPr>
          <w:lang w:val="en-US"/>
        </w:rPr>
        <w:t>During a b</w:t>
      </w:r>
      <w:r w:rsidR="00735F7F" w:rsidRPr="00DA258C">
        <w:rPr>
          <w:lang w:val="en-US"/>
        </w:rPr>
        <w:t xml:space="preserve">reakout </w:t>
      </w:r>
      <w:r>
        <w:rPr>
          <w:lang w:val="en-US"/>
        </w:rPr>
        <w:t xml:space="preserve">session on the role of regional presence, </w:t>
      </w:r>
      <w:r w:rsidR="00735F7F" w:rsidRPr="00DA258C">
        <w:rPr>
          <w:lang w:val="en-US"/>
        </w:rPr>
        <w:t xml:space="preserve">discussions included suggestions </w:t>
      </w:r>
      <w:r w:rsidR="002E1227" w:rsidRPr="004D22C2">
        <w:rPr>
          <w:rStyle w:val="Hyperlink"/>
          <w:color w:val="auto"/>
          <w:szCs w:val="24"/>
          <w:u w:val="none"/>
          <w:lang w:val="en-US"/>
        </w:rPr>
        <w:t xml:space="preserve">on ways the </w:t>
      </w:r>
      <w:r w:rsidR="002E1227" w:rsidRPr="008F20E8">
        <w:rPr>
          <w:lang w:val="en-US"/>
        </w:rPr>
        <w:t xml:space="preserve">regional and area </w:t>
      </w:r>
      <w:r w:rsidR="00735F7F" w:rsidRPr="008F20E8">
        <w:rPr>
          <w:lang w:val="en-US"/>
        </w:rPr>
        <w:t>office</w:t>
      </w:r>
      <w:r w:rsidR="002E1227" w:rsidRPr="008F20E8">
        <w:rPr>
          <w:lang w:val="en-US"/>
        </w:rPr>
        <w:t>s</w:t>
      </w:r>
      <w:r w:rsidR="00735F7F" w:rsidRPr="008F20E8">
        <w:rPr>
          <w:lang w:val="en-US"/>
        </w:rPr>
        <w:t xml:space="preserve"> </w:t>
      </w:r>
      <w:r w:rsidR="002E1227" w:rsidRPr="004D22C2">
        <w:rPr>
          <w:rStyle w:val="Hyperlink"/>
          <w:color w:val="auto"/>
          <w:szCs w:val="24"/>
          <w:u w:val="none"/>
          <w:lang w:val="en-US"/>
        </w:rPr>
        <w:t xml:space="preserve">can better respond to the needs of the members, represent the ITU as a whole, and leverage ITU’s membership in the wider </w:t>
      </w:r>
      <w:r w:rsidR="00AD25E0">
        <w:rPr>
          <w:rStyle w:val="Hyperlink"/>
          <w:color w:val="auto"/>
          <w:szCs w:val="24"/>
          <w:u w:val="none"/>
          <w:lang w:val="en-US"/>
        </w:rPr>
        <w:t xml:space="preserve">United Nations </w:t>
      </w:r>
      <w:r w:rsidR="002E1227" w:rsidRPr="004D22C2">
        <w:rPr>
          <w:rStyle w:val="Hyperlink"/>
          <w:color w:val="auto"/>
          <w:szCs w:val="24"/>
          <w:u w:val="none"/>
          <w:lang w:val="en-US"/>
        </w:rPr>
        <w:t>family by working with UN Resident Coordinators</w:t>
      </w:r>
      <w:r w:rsidR="00735F7F" w:rsidRPr="008F20E8">
        <w:rPr>
          <w:lang w:val="en-US"/>
        </w:rPr>
        <w:t xml:space="preserve">. </w:t>
      </w:r>
      <w:r w:rsidR="002E1227" w:rsidRPr="004D22C2">
        <w:rPr>
          <w:rStyle w:val="Hyperlink"/>
          <w:color w:val="auto"/>
          <w:szCs w:val="24"/>
          <w:u w:val="none"/>
          <w:lang w:val="en-US"/>
        </w:rPr>
        <w:t xml:space="preserve">The need to ensure that regional and area </w:t>
      </w:r>
      <w:r w:rsidR="00735F7F" w:rsidRPr="008F20E8">
        <w:rPr>
          <w:lang w:val="en-US"/>
        </w:rPr>
        <w:t xml:space="preserve">offices </w:t>
      </w:r>
      <w:r w:rsidR="002E1227" w:rsidRPr="004D22C2">
        <w:rPr>
          <w:rStyle w:val="Hyperlink"/>
          <w:color w:val="auto"/>
          <w:szCs w:val="24"/>
          <w:u w:val="none"/>
          <w:lang w:val="en-US"/>
        </w:rPr>
        <w:t>possess the right skill sets in order to be able to provide direct assistance to members was also stressed. Bringing the work of the study groups close</w:t>
      </w:r>
      <w:r w:rsidR="0077718C">
        <w:rPr>
          <w:rStyle w:val="Hyperlink"/>
          <w:color w:val="auto"/>
          <w:szCs w:val="24"/>
          <w:u w:val="none"/>
          <w:lang w:val="en-US"/>
        </w:rPr>
        <w:t>r</w:t>
      </w:r>
      <w:r w:rsidR="002E1227" w:rsidRPr="004D22C2">
        <w:rPr>
          <w:rStyle w:val="Hyperlink"/>
          <w:color w:val="auto"/>
          <w:szCs w:val="24"/>
          <w:u w:val="none"/>
          <w:lang w:val="en-US"/>
        </w:rPr>
        <w:t xml:space="preserve"> to the countries was also noted. </w:t>
      </w:r>
      <w:r w:rsidR="00735F7F" w:rsidRPr="00DA258C">
        <w:rPr>
          <w:lang w:val="en-US"/>
        </w:rPr>
        <w:t xml:space="preserve">Roles and relationships </w:t>
      </w:r>
      <w:r w:rsidR="008F0ADB">
        <w:rPr>
          <w:lang w:val="en-US"/>
        </w:rPr>
        <w:t xml:space="preserve">of </w:t>
      </w:r>
      <w:r w:rsidR="00BA06BF">
        <w:rPr>
          <w:lang w:val="en-US"/>
        </w:rPr>
        <w:t>ITU S</w:t>
      </w:r>
      <w:r w:rsidR="00735F7F">
        <w:rPr>
          <w:lang w:val="en-US"/>
        </w:rPr>
        <w:t xml:space="preserve">ectors and </w:t>
      </w:r>
      <w:r w:rsidR="008F0ADB">
        <w:rPr>
          <w:lang w:val="en-US"/>
        </w:rPr>
        <w:t>regional</w:t>
      </w:r>
      <w:r w:rsidR="00BA06BF">
        <w:rPr>
          <w:lang w:val="en-US"/>
        </w:rPr>
        <w:t xml:space="preserve"> and </w:t>
      </w:r>
      <w:r w:rsidR="008F0ADB">
        <w:rPr>
          <w:lang w:val="en-US"/>
        </w:rPr>
        <w:t xml:space="preserve">area </w:t>
      </w:r>
      <w:r w:rsidR="00735F7F">
        <w:rPr>
          <w:lang w:val="en-US"/>
        </w:rPr>
        <w:t>offices</w:t>
      </w:r>
      <w:r w:rsidR="00735F7F" w:rsidRPr="00DA258C">
        <w:rPr>
          <w:lang w:val="en-US"/>
        </w:rPr>
        <w:t xml:space="preserve"> should be </w:t>
      </w:r>
      <w:r w:rsidR="008F0ADB">
        <w:rPr>
          <w:lang w:val="en-US"/>
        </w:rPr>
        <w:t xml:space="preserve">further </w:t>
      </w:r>
      <w:r w:rsidR="00735F7F" w:rsidRPr="00DA258C">
        <w:rPr>
          <w:lang w:val="en-US"/>
        </w:rPr>
        <w:t xml:space="preserve">clarified to strengthen collaboration and synergies. The </w:t>
      </w:r>
      <w:r w:rsidR="008F0ADB">
        <w:rPr>
          <w:lang w:val="en-US"/>
        </w:rPr>
        <w:t xml:space="preserve">breakout session </w:t>
      </w:r>
      <w:r w:rsidR="00735F7F" w:rsidRPr="00DA258C">
        <w:rPr>
          <w:lang w:val="en-US"/>
        </w:rPr>
        <w:t xml:space="preserve">also emphasized the need to comply with </w:t>
      </w:r>
      <w:r w:rsidR="00735F7F" w:rsidRPr="004154AE">
        <w:t>Joint Inspection Unit</w:t>
      </w:r>
      <w:r w:rsidR="00735F7F" w:rsidRPr="00DA258C">
        <w:rPr>
          <w:lang w:val="en-US"/>
        </w:rPr>
        <w:t xml:space="preserve"> recommendations.</w:t>
      </w:r>
    </w:p>
    <w:p w14:paraId="39F02D68" w14:textId="77777777" w:rsidR="00EB5336" w:rsidRPr="00957B6C" w:rsidRDefault="00663DA1" w:rsidP="00810998">
      <w:pPr>
        <w:pStyle w:val="ListParagraph"/>
        <w:keepNext/>
        <w:numPr>
          <w:ilvl w:val="0"/>
          <w:numId w:val="1"/>
        </w:numPr>
        <w:spacing w:before="240" w:after="120"/>
        <w:ind w:left="357" w:hanging="357"/>
        <w:contextualSpacing w:val="0"/>
        <w:rPr>
          <w:rStyle w:val="StyleComplex12pt"/>
          <w:rFonts w:cstheme="minorHAnsi"/>
          <w:b/>
          <w:bCs/>
        </w:rPr>
      </w:pPr>
      <w:r w:rsidRPr="00957B6C">
        <w:rPr>
          <w:rStyle w:val="StyleComplex12pt"/>
          <w:rFonts w:cstheme="minorHAnsi"/>
          <w:b/>
          <w:bCs/>
        </w:rPr>
        <w:t xml:space="preserve">ITU-D contribution to the implementation of the </w:t>
      </w:r>
      <w:r w:rsidR="000C3365" w:rsidRPr="00957B6C">
        <w:rPr>
          <w:b/>
          <w:szCs w:val="24"/>
        </w:rPr>
        <w:t>World Summit on the Information Society</w:t>
      </w:r>
      <w:r w:rsidR="000C3365" w:rsidRPr="00957B6C">
        <w:rPr>
          <w:szCs w:val="24"/>
        </w:rPr>
        <w:t xml:space="preserve"> (</w:t>
      </w:r>
      <w:r w:rsidRPr="00957B6C">
        <w:rPr>
          <w:rStyle w:val="StyleComplex12pt"/>
          <w:rFonts w:cstheme="minorHAnsi"/>
          <w:b/>
          <w:bCs/>
        </w:rPr>
        <w:t>WSIS</w:t>
      </w:r>
      <w:r w:rsidR="000C3365" w:rsidRPr="00957B6C">
        <w:rPr>
          <w:rStyle w:val="StyleComplex12pt"/>
          <w:rFonts w:cstheme="minorHAnsi"/>
          <w:b/>
          <w:bCs/>
        </w:rPr>
        <w:t>)</w:t>
      </w:r>
      <w:r w:rsidRPr="00957B6C">
        <w:rPr>
          <w:rStyle w:val="StyleComplex12pt"/>
          <w:rFonts w:cstheme="minorHAnsi"/>
          <w:b/>
          <w:bCs/>
        </w:rPr>
        <w:t xml:space="preserve"> Plan of Action and the 2030 Agenda for Sustainable Development</w:t>
      </w:r>
    </w:p>
    <w:p w14:paraId="4E0AB643" w14:textId="77777777" w:rsidR="00365A32" w:rsidRPr="00957B6C" w:rsidRDefault="00B8346F" w:rsidP="009B5B24">
      <w:pPr>
        <w:keepNext/>
        <w:tabs>
          <w:tab w:val="clear" w:pos="1134"/>
          <w:tab w:val="clear" w:pos="1871"/>
          <w:tab w:val="clear" w:pos="2268"/>
          <w:tab w:val="left" w:pos="794"/>
          <w:tab w:val="left" w:pos="1191"/>
          <w:tab w:val="left" w:pos="1588"/>
          <w:tab w:val="left" w:pos="1985"/>
        </w:tabs>
        <w:spacing w:after="120"/>
        <w:rPr>
          <w:rFonts w:cstheme="minorBidi"/>
          <w:color w:val="000000" w:themeColor="text1"/>
        </w:rPr>
      </w:pPr>
      <w:hyperlink r:id="rId17">
        <w:r w:rsidR="679FFC7F" w:rsidRPr="00957B6C">
          <w:rPr>
            <w:rStyle w:val="Hyperlink"/>
            <w:rFonts w:cstheme="minorBidi"/>
            <w:b/>
            <w:bCs/>
          </w:rPr>
          <w:t>Document 3</w:t>
        </w:r>
      </w:hyperlink>
      <w:r w:rsidR="679FFC7F" w:rsidRPr="00957B6C">
        <w:rPr>
          <w:rFonts w:cstheme="minorBidi"/>
          <w:b/>
          <w:bCs/>
          <w:color w:val="000000" w:themeColor="text1"/>
        </w:rPr>
        <w:t xml:space="preserve">: </w:t>
      </w:r>
      <w:r w:rsidR="679FFC7F" w:rsidRPr="00957B6C">
        <w:rPr>
          <w:rFonts w:cstheme="minorBidi"/>
          <w:color w:val="000000" w:themeColor="text1"/>
        </w:rPr>
        <w:t>“</w:t>
      </w:r>
      <w:r w:rsidR="00072711" w:rsidRPr="00957B6C">
        <w:rPr>
          <w:rFonts w:cstheme="minorBidi"/>
          <w:color w:val="000000" w:themeColor="text1"/>
        </w:rPr>
        <w:t>ITU-D Contribution to the Implementation of WSIS Outcomes and the 2030 Agenda for Sustainable Development</w:t>
      </w:r>
      <w:r w:rsidR="679FFC7F" w:rsidRPr="00957B6C">
        <w:rPr>
          <w:rFonts w:cstheme="minorBidi"/>
          <w:color w:val="000000" w:themeColor="text1"/>
        </w:rPr>
        <w:t xml:space="preserve">” </w:t>
      </w:r>
      <w:r w:rsidR="004F0157" w:rsidRPr="00957B6C">
        <w:rPr>
          <w:rFonts w:cstheme="minorBidi"/>
          <w:color w:val="000000" w:themeColor="text1"/>
        </w:rPr>
        <w:t>highlights</w:t>
      </w:r>
      <w:r w:rsidR="004F0157" w:rsidRPr="00957B6C">
        <w:rPr>
          <w:rFonts w:cstheme="minorBidi"/>
          <w:b/>
          <w:bCs/>
          <w:color w:val="000000" w:themeColor="text1"/>
        </w:rPr>
        <w:t xml:space="preserve"> </w:t>
      </w:r>
      <w:r w:rsidR="004F0157" w:rsidRPr="00957B6C">
        <w:rPr>
          <w:szCs w:val="24"/>
        </w:rPr>
        <w:t xml:space="preserve">important milestones in the global discussion </w:t>
      </w:r>
      <w:r w:rsidR="00966525" w:rsidRPr="00957B6C">
        <w:rPr>
          <w:szCs w:val="24"/>
        </w:rPr>
        <w:t>on</w:t>
      </w:r>
      <w:r w:rsidR="004F0157" w:rsidRPr="00957B6C">
        <w:rPr>
          <w:szCs w:val="24"/>
        </w:rPr>
        <w:t xml:space="preserve"> this </w:t>
      </w:r>
      <w:r w:rsidR="00966525" w:rsidRPr="00957B6C">
        <w:rPr>
          <w:szCs w:val="24"/>
        </w:rPr>
        <w:t>topic</w:t>
      </w:r>
      <w:r w:rsidR="004F0157" w:rsidRPr="00957B6C">
        <w:rPr>
          <w:szCs w:val="24"/>
        </w:rPr>
        <w:t>.</w:t>
      </w:r>
      <w:r w:rsidR="00C10F70" w:rsidRPr="00957B6C">
        <w:rPr>
          <w:rFonts w:cstheme="minorBidi"/>
          <w:color w:val="000000" w:themeColor="text1"/>
        </w:rPr>
        <w:t xml:space="preserve"> </w:t>
      </w:r>
    </w:p>
    <w:p w14:paraId="0BFF0D1F" w14:textId="77777777" w:rsidR="00C322F5" w:rsidRPr="00957B6C" w:rsidRDefault="005809CA" w:rsidP="009B5B24">
      <w:pPr>
        <w:keepNext/>
        <w:tabs>
          <w:tab w:val="clear" w:pos="1134"/>
          <w:tab w:val="clear" w:pos="1871"/>
          <w:tab w:val="clear" w:pos="2268"/>
          <w:tab w:val="left" w:pos="794"/>
          <w:tab w:val="left" w:pos="1191"/>
          <w:tab w:val="left" w:pos="1588"/>
          <w:tab w:val="left" w:pos="1985"/>
        </w:tabs>
        <w:spacing w:after="120"/>
        <w:rPr>
          <w:rFonts w:cstheme="minorBidi"/>
          <w:color w:val="000000" w:themeColor="text1"/>
        </w:rPr>
      </w:pPr>
      <w:r w:rsidRPr="00957B6C">
        <w:rPr>
          <w:szCs w:val="24"/>
        </w:rPr>
        <w:t>PP-</w:t>
      </w:r>
      <w:r w:rsidR="004F0157" w:rsidRPr="00957B6C">
        <w:rPr>
          <w:szCs w:val="24"/>
        </w:rPr>
        <w:t>18</w:t>
      </w:r>
      <w:r w:rsidR="00C322F5" w:rsidRPr="00957B6C">
        <w:rPr>
          <w:szCs w:val="24"/>
        </w:rPr>
        <w:t xml:space="preserve"> reconfirmed </w:t>
      </w:r>
      <w:r w:rsidR="00FF3AEA" w:rsidRPr="00957B6C">
        <w:rPr>
          <w:szCs w:val="24"/>
        </w:rPr>
        <w:t xml:space="preserve">the </w:t>
      </w:r>
      <w:r w:rsidR="00DE5381" w:rsidRPr="00957B6C">
        <w:rPr>
          <w:szCs w:val="24"/>
        </w:rPr>
        <w:t xml:space="preserve">ITU </w:t>
      </w:r>
      <w:r w:rsidR="00C322F5" w:rsidRPr="00957B6C">
        <w:rPr>
          <w:szCs w:val="24"/>
        </w:rPr>
        <w:t xml:space="preserve">mandate and contribution to the implementation of the </w:t>
      </w:r>
      <w:r w:rsidR="004F0157" w:rsidRPr="00957B6C">
        <w:rPr>
          <w:szCs w:val="24"/>
        </w:rPr>
        <w:t>WSIS</w:t>
      </w:r>
      <w:r w:rsidR="0043797D" w:rsidRPr="00957B6C">
        <w:rPr>
          <w:szCs w:val="24"/>
        </w:rPr>
        <w:t xml:space="preserve"> outcomes</w:t>
      </w:r>
      <w:r w:rsidR="00C322F5" w:rsidRPr="00957B6C">
        <w:rPr>
          <w:szCs w:val="24"/>
        </w:rPr>
        <w:t xml:space="preserve"> and </w:t>
      </w:r>
      <w:r w:rsidR="00445BE1" w:rsidRPr="00957B6C">
        <w:rPr>
          <w:szCs w:val="24"/>
        </w:rPr>
        <w:t>the</w:t>
      </w:r>
      <w:r w:rsidR="00C322F5" w:rsidRPr="00957B6C">
        <w:rPr>
          <w:szCs w:val="24"/>
        </w:rPr>
        <w:t xml:space="preserve"> SDGs, </w:t>
      </w:r>
      <w:r w:rsidR="00445BE1" w:rsidRPr="00957B6C">
        <w:rPr>
          <w:szCs w:val="24"/>
        </w:rPr>
        <w:t xml:space="preserve">while </w:t>
      </w:r>
      <w:r w:rsidR="00C322F5" w:rsidRPr="00957B6C">
        <w:rPr>
          <w:szCs w:val="24"/>
        </w:rPr>
        <w:t>drawing attention to the need to ensure that ITU activities relat</w:t>
      </w:r>
      <w:r w:rsidR="00445BE1" w:rsidRPr="00957B6C">
        <w:rPr>
          <w:szCs w:val="24"/>
        </w:rPr>
        <w:t>ing</w:t>
      </w:r>
      <w:r w:rsidR="00C322F5" w:rsidRPr="00957B6C">
        <w:rPr>
          <w:szCs w:val="24"/>
        </w:rPr>
        <w:t xml:space="preserve"> to the 2030 Agenda for Sustainable Development are implemented </w:t>
      </w:r>
      <w:r w:rsidR="00445BE1" w:rsidRPr="00957B6C">
        <w:rPr>
          <w:szCs w:val="24"/>
        </w:rPr>
        <w:t xml:space="preserve">in </w:t>
      </w:r>
      <w:r w:rsidR="00C322F5" w:rsidRPr="00957B6C">
        <w:rPr>
          <w:szCs w:val="24"/>
        </w:rPr>
        <w:t xml:space="preserve">close alignment with the WSIS process. </w:t>
      </w:r>
    </w:p>
    <w:p w14:paraId="52A71D80" w14:textId="2A3DC8CF" w:rsidR="00E46DD0" w:rsidRPr="00957B6C" w:rsidRDefault="00C322F5" w:rsidP="00BA06BF">
      <w:pPr>
        <w:tabs>
          <w:tab w:val="left" w:pos="567"/>
        </w:tabs>
        <w:spacing w:after="120"/>
        <w:rPr>
          <w:szCs w:val="24"/>
        </w:rPr>
      </w:pPr>
      <w:r w:rsidRPr="00957B6C">
        <w:rPr>
          <w:szCs w:val="24"/>
        </w:rPr>
        <w:t xml:space="preserve">WTDC-17 established clear links between ITU-D objectives, outcomes and outputs, and relevant WSIS </w:t>
      </w:r>
      <w:r w:rsidR="0055180A" w:rsidRPr="00957B6C">
        <w:rPr>
          <w:szCs w:val="24"/>
        </w:rPr>
        <w:t>action l</w:t>
      </w:r>
      <w:r w:rsidRPr="00957B6C">
        <w:rPr>
          <w:szCs w:val="24"/>
        </w:rPr>
        <w:t>ines and SDG</w:t>
      </w:r>
      <w:r w:rsidR="00BA06BF">
        <w:rPr>
          <w:szCs w:val="24"/>
        </w:rPr>
        <w:t>s</w:t>
      </w:r>
      <w:r w:rsidRPr="00957B6C">
        <w:rPr>
          <w:szCs w:val="24"/>
        </w:rPr>
        <w:t xml:space="preserve"> and </w:t>
      </w:r>
      <w:r w:rsidR="00BA06BF">
        <w:rPr>
          <w:szCs w:val="24"/>
        </w:rPr>
        <w:t xml:space="preserve">their associated </w:t>
      </w:r>
      <w:r w:rsidRPr="00957B6C">
        <w:rPr>
          <w:szCs w:val="24"/>
        </w:rPr>
        <w:t>targets (</w:t>
      </w:r>
      <w:r w:rsidR="00365A32" w:rsidRPr="00957B6C">
        <w:rPr>
          <w:szCs w:val="24"/>
        </w:rPr>
        <w:t>p</w:t>
      </w:r>
      <w:r w:rsidRPr="00957B6C">
        <w:rPr>
          <w:szCs w:val="24"/>
        </w:rPr>
        <w:t>resented in Annex</w:t>
      </w:r>
      <w:r w:rsidR="00365A32" w:rsidRPr="00957B6C">
        <w:rPr>
          <w:szCs w:val="24"/>
        </w:rPr>
        <w:t xml:space="preserve"> 1</w:t>
      </w:r>
      <w:r w:rsidRPr="00957B6C">
        <w:rPr>
          <w:szCs w:val="24"/>
        </w:rPr>
        <w:t xml:space="preserve">). The mapping of ITU-D </w:t>
      </w:r>
      <w:r w:rsidR="00BA06BF">
        <w:rPr>
          <w:szCs w:val="24"/>
        </w:rPr>
        <w:t>s</w:t>
      </w:r>
      <w:r w:rsidRPr="00957B6C">
        <w:rPr>
          <w:szCs w:val="24"/>
        </w:rPr>
        <w:t>tudy</w:t>
      </w:r>
      <w:r w:rsidR="00BA06BF">
        <w:rPr>
          <w:szCs w:val="24"/>
        </w:rPr>
        <w:t xml:space="preserve"> g</w:t>
      </w:r>
      <w:r w:rsidRPr="00957B6C">
        <w:rPr>
          <w:szCs w:val="24"/>
        </w:rPr>
        <w:t xml:space="preserve">roup Questions </w:t>
      </w:r>
      <w:r w:rsidR="0043797D" w:rsidRPr="00957B6C">
        <w:rPr>
          <w:szCs w:val="24"/>
        </w:rPr>
        <w:t xml:space="preserve">against </w:t>
      </w:r>
      <w:r w:rsidRPr="00957B6C">
        <w:rPr>
          <w:szCs w:val="24"/>
        </w:rPr>
        <w:t xml:space="preserve">WSIS </w:t>
      </w:r>
      <w:r w:rsidR="0055180A" w:rsidRPr="00957B6C">
        <w:rPr>
          <w:szCs w:val="24"/>
        </w:rPr>
        <w:t>a</w:t>
      </w:r>
      <w:r w:rsidRPr="00957B6C">
        <w:rPr>
          <w:szCs w:val="24"/>
        </w:rPr>
        <w:t xml:space="preserve">ction </w:t>
      </w:r>
      <w:r w:rsidR="0055180A" w:rsidRPr="00957B6C">
        <w:rPr>
          <w:szCs w:val="24"/>
        </w:rPr>
        <w:t>l</w:t>
      </w:r>
      <w:r w:rsidRPr="00957B6C">
        <w:rPr>
          <w:szCs w:val="24"/>
        </w:rPr>
        <w:t xml:space="preserve">ines and SDGs provides additional guidance on the contribution of </w:t>
      </w:r>
      <w:r w:rsidR="0043797D" w:rsidRPr="00957B6C">
        <w:rPr>
          <w:szCs w:val="24"/>
        </w:rPr>
        <w:t xml:space="preserve">the </w:t>
      </w:r>
      <w:r w:rsidR="0002269B" w:rsidRPr="00957B6C">
        <w:rPr>
          <w:szCs w:val="24"/>
        </w:rPr>
        <w:t xml:space="preserve">study groups </w:t>
      </w:r>
      <w:r w:rsidRPr="00957B6C">
        <w:rPr>
          <w:szCs w:val="24"/>
        </w:rPr>
        <w:t xml:space="preserve">to both processes (Annex </w:t>
      </w:r>
      <w:r w:rsidR="00365A32" w:rsidRPr="00957B6C">
        <w:rPr>
          <w:szCs w:val="24"/>
        </w:rPr>
        <w:t>2</w:t>
      </w:r>
      <w:r w:rsidRPr="00957B6C">
        <w:rPr>
          <w:szCs w:val="24"/>
        </w:rPr>
        <w:t xml:space="preserve">). </w:t>
      </w:r>
    </w:p>
    <w:p w14:paraId="70239D06" w14:textId="77777777" w:rsidR="00C322F5" w:rsidRPr="00957B6C" w:rsidRDefault="00E46DD0" w:rsidP="009B5B24">
      <w:pPr>
        <w:tabs>
          <w:tab w:val="left" w:pos="567"/>
        </w:tabs>
        <w:spacing w:after="120"/>
        <w:rPr>
          <w:szCs w:val="24"/>
        </w:rPr>
      </w:pPr>
      <w:r w:rsidRPr="00957B6C">
        <w:rPr>
          <w:szCs w:val="24"/>
        </w:rPr>
        <w:t>A</w:t>
      </w:r>
      <w:r w:rsidR="009D2DC8" w:rsidRPr="00957B6C">
        <w:rPr>
          <w:szCs w:val="24"/>
        </w:rPr>
        <w:t xml:space="preserve">ll </w:t>
      </w:r>
      <w:r w:rsidR="00C322F5" w:rsidRPr="00957B6C">
        <w:rPr>
          <w:szCs w:val="24"/>
        </w:rPr>
        <w:t xml:space="preserve">actions carried out by ITU-D </w:t>
      </w:r>
      <w:r w:rsidR="009D2DC8" w:rsidRPr="00957B6C">
        <w:rPr>
          <w:szCs w:val="24"/>
        </w:rPr>
        <w:t>on the basis of</w:t>
      </w:r>
      <w:r w:rsidRPr="00957B6C">
        <w:rPr>
          <w:szCs w:val="24"/>
        </w:rPr>
        <w:t xml:space="preserve"> this</w:t>
      </w:r>
      <w:r w:rsidR="009D2DC8" w:rsidRPr="00957B6C">
        <w:rPr>
          <w:szCs w:val="24"/>
        </w:rPr>
        <w:t xml:space="preserve"> guidance </w:t>
      </w:r>
      <w:r w:rsidR="00C10F70" w:rsidRPr="00957B6C">
        <w:rPr>
          <w:szCs w:val="24"/>
        </w:rPr>
        <w:t>are reported to the ITU m</w:t>
      </w:r>
      <w:r w:rsidR="00C322F5" w:rsidRPr="00957B6C">
        <w:rPr>
          <w:szCs w:val="24"/>
        </w:rPr>
        <w:t xml:space="preserve">embership through </w:t>
      </w:r>
      <w:r w:rsidR="00C10F70" w:rsidRPr="00957B6C">
        <w:rPr>
          <w:szCs w:val="24"/>
        </w:rPr>
        <w:t>regional development forums</w:t>
      </w:r>
      <w:r w:rsidR="00C322F5" w:rsidRPr="00957B6C">
        <w:rPr>
          <w:szCs w:val="24"/>
        </w:rPr>
        <w:t xml:space="preserve">, TDAG, </w:t>
      </w:r>
      <w:r w:rsidR="00C10F70" w:rsidRPr="00957B6C">
        <w:rPr>
          <w:szCs w:val="24"/>
        </w:rPr>
        <w:t>and</w:t>
      </w:r>
      <w:r w:rsidR="009D2DC8" w:rsidRPr="00957B6C">
        <w:rPr>
          <w:szCs w:val="24"/>
        </w:rPr>
        <w:t xml:space="preserve"> the Council Working Group on WSIS</w:t>
      </w:r>
      <w:r w:rsidR="00C322F5" w:rsidRPr="00957B6C">
        <w:rPr>
          <w:szCs w:val="24"/>
        </w:rPr>
        <w:t>.</w:t>
      </w:r>
      <w:r w:rsidRPr="00957B6C">
        <w:rPr>
          <w:szCs w:val="24"/>
        </w:rPr>
        <w:t xml:space="preserve"> </w:t>
      </w:r>
      <w:r w:rsidR="00C322F5" w:rsidRPr="00957B6C">
        <w:rPr>
          <w:szCs w:val="24"/>
        </w:rPr>
        <w:t xml:space="preserve">In addition, flagship activities undertaken by BDT constitute a substantive part of the annual </w:t>
      </w:r>
      <w:r w:rsidR="0055180A" w:rsidRPr="00957B6C">
        <w:rPr>
          <w:szCs w:val="24"/>
        </w:rPr>
        <w:t xml:space="preserve">report on </w:t>
      </w:r>
      <w:r w:rsidR="00C322F5" w:rsidRPr="00957B6C">
        <w:rPr>
          <w:iCs/>
          <w:szCs w:val="24"/>
        </w:rPr>
        <w:t xml:space="preserve">ITU </w:t>
      </w:r>
      <w:r w:rsidR="00FC2A63" w:rsidRPr="00957B6C">
        <w:rPr>
          <w:iCs/>
          <w:szCs w:val="24"/>
        </w:rPr>
        <w:t xml:space="preserve">contribution </w:t>
      </w:r>
      <w:r w:rsidR="00C322F5" w:rsidRPr="00957B6C">
        <w:rPr>
          <w:iCs/>
          <w:szCs w:val="24"/>
        </w:rPr>
        <w:t xml:space="preserve">to the </w:t>
      </w:r>
      <w:r w:rsidR="00FC2A63" w:rsidRPr="00957B6C">
        <w:rPr>
          <w:iCs/>
          <w:szCs w:val="24"/>
        </w:rPr>
        <w:t>i</w:t>
      </w:r>
      <w:r w:rsidR="00C322F5" w:rsidRPr="00957B6C">
        <w:rPr>
          <w:iCs/>
          <w:szCs w:val="24"/>
        </w:rPr>
        <w:t>mplementation of the WSIS outcomes</w:t>
      </w:r>
      <w:r w:rsidR="00C322F5" w:rsidRPr="00957B6C">
        <w:rPr>
          <w:szCs w:val="24"/>
        </w:rPr>
        <w:t xml:space="preserve">. </w:t>
      </w:r>
    </w:p>
    <w:tbl>
      <w:tblPr>
        <w:tblStyle w:val="TableGrid"/>
        <w:tblW w:w="0" w:type="auto"/>
        <w:tblLook w:val="04A0" w:firstRow="1" w:lastRow="0" w:firstColumn="1" w:lastColumn="0" w:noHBand="0" w:noVBand="1"/>
      </w:tblPr>
      <w:tblGrid>
        <w:gridCol w:w="9629"/>
      </w:tblGrid>
      <w:tr w:rsidR="00237BB0" w:rsidRPr="00957B6C" w14:paraId="31A6A9AC" w14:textId="77777777" w:rsidTr="4BA30F97">
        <w:tc>
          <w:tcPr>
            <w:tcW w:w="9629" w:type="dxa"/>
          </w:tcPr>
          <w:p w14:paraId="79E06C46" w14:textId="793CE48A" w:rsidR="00237BB0" w:rsidRPr="00957B6C" w:rsidRDefault="0011382E" w:rsidP="009B5B24">
            <w:pPr>
              <w:spacing w:after="120"/>
              <w:rPr>
                <w:rFonts w:cstheme="minorBidi"/>
                <w:color w:val="000000" w:themeColor="text1"/>
                <w:szCs w:val="24"/>
              </w:rPr>
            </w:pPr>
            <w:r w:rsidRPr="0011382E">
              <w:rPr>
                <w:rFonts w:eastAsia="Calibri" w:cs="Calibri"/>
              </w:rPr>
              <w:t>TDAG agreed that a segment on WSIS and SDGs should be included as a regular agenda item in the regional development forums. It was also proposed to consider the possibility of holding regional development forums (RDFs) back to back with WSIS and SDG regional forums and with the UN Regional Commissions Regional Forums on Sustainable Development.</w:t>
            </w:r>
            <w:r w:rsidR="00BE016B">
              <w:rPr>
                <w:rFonts w:eastAsia="Calibri" w:cs="Calibri"/>
              </w:rPr>
              <w:t xml:space="preserve"> </w:t>
            </w:r>
          </w:p>
        </w:tc>
      </w:tr>
    </w:tbl>
    <w:p w14:paraId="61C80938" w14:textId="77777777" w:rsidR="00EB5336" w:rsidRPr="00957B6C" w:rsidRDefault="00F3581A" w:rsidP="00810998">
      <w:pPr>
        <w:pStyle w:val="ListParagraph"/>
        <w:keepNext/>
        <w:numPr>
          <w:ilvl w:val="0"/>
          <w:numId w:val="1"/>
        </w:numPr>
        <w:spacing w:before="240" w:after="120"/>
        <w:ind w:left="357" w:hanging="357"/>
        <w:contextualSpacing w:val="0"/>
        <w:rPr>
          <w:rStyle w:val="StyleComplex12pt"/>
          <w:rFonts w:cstheme="minorHAnsi"/>
          <w:b/>
          <w:bCs/>
        </w:rPr>
      </w:pPr>
      <w:r w:rsidRPr="00957B6C">
        <w:rPr>
          <w:rStyle w:val="StyleComplex12pt"/>
          <w:rFonts w:cstheme="minorHAnsi"/>
          <w:b/>
          <w:bCs/>
        </w:rPr>
        <w:t xml:space="preserve">ITU-D </w:t>
      </w:r>
      <w:r w:rsidR="00F71863" w:rsidRPr="00957B6C">
        <w:rPr>
          <w:rStyle w:val="StyleComplex12pt"/>
          <w:rFonts w:cstheme="minorHAnsi"/>
          <w:b/>
          <w:bCs/>
        </w:rPr>
        <w:t>s</w:t>
      </w:r>
      <w:r w:rsidRPr="00957B6C">
        <w:rPr>
          <w:rStyle w:val="StyleComplex12pt"/>
          <w:rFonts w:cstheme="minorHAnsi"/>
          <w:b/>
          <w:bCs/>
        </w:rPr>
        <w:t xml:space="preserve">tudy </w:t>
      </w:r>
      <w:r w:rsidR="00F71863" w:rsidRPr="00957B6C">
        <w:rPr>
          <w:rStyle w:val="StyleComplex12pt"/>
          <w:rFonts w:cstheme="minorHAnsi"/>
          <w:b/>
          <w:bCs/>
        </w:rPr>
        <w:t>g</w:t>
      </w:r>
      <w:r w:rsidRPr="00957B6C">
        <w:rPr>
          <w:rStyle w:val="StyleComplex12pt"/>
          <w:rFonts w:cstheme="minorHAnsi"/>
          <w:b/>
          <w:bCs/>
        </w:rPr>
        <w:t>roup-related matters</w:t>
      </w:r>
    </w:p>
    <w:p w14:paraId="52168C19" w14:textId="77777777" w:rsidR="00C4216D" w:rsidRPr="00957B6C" w:rsidRDefault="25A7936B" w:rsidP="009B5B24">
      <w:pPr>
        <w:spacing w:after="120"/>
        <w:rPr>
          <w:rFonts w:cstheme="minorBidi"/>
          <w:color w:val="000000" w:themeColor="text1"/>
        </w:rPr>
      </w:pPr>
      <w:r w:rsidRPr="00957B6C">
        <w:rPr>
          <w:rFonts w:cstheme="minorBidi"/>
          <w:color w:val="000000" w:themeColor="text1"/>
        </w:rPr>
        <w:t>Documents 12 and 13 were considered together.</w:t>
      </w:r>
    </w:p>
    <w:p w14:paraId="4609845B" w14:textId="77777777" w:rsidR="001353F2" w:rsidRPr="00957B6C" w:rsidRDefault="00B8346F" w:rsidP="009B5B24">
      <w:pPr>
        <w:spacing w:after="120"/>
        <w:rPr>
          <w:rFonts w:ascii="Calibri" w:hAnsi="Calibri"/>
          <w:szCs w:val="24"/>
        </w:rPr>
      </w:pPr>
      <w:hyperlink r:id="rId18">
        <w:r w:rsidR="679FFC7F" w:rsidRPr="00957B6C">
          <w:rPr>
            <w:rStyle w:val="Hyperlink"/>
            <w:rFonts w:cstheme="minorBidi"/>
            <w:b/>
            <w:bCs/>
          </w:rPr>
          <w:t>Document 12</w:t>
        </w:r>
      </w:hyperlink>
      <w:r w:rsidR="679FFC7F" w:rsidRPr="00957B6C">
        <w:rPr>
          <w:rFonts w:cstheme="minorBidi"/>
          <w:b/>
          <w:bCs/>
          <w:color w:val="000000" w:themeColor="text1"/>
        </w:rPr>
        <w:t xml:space="preserve">: </w:t>
      </w:r>
      <w:r w:rsidR="679FFC7F" w:rsidRPr="00957B6C">
        <w:rPr>
          <w:rFonts w:cstheme="minorBidi"/>
          <w:color w:val="000000" w:themeColor="text1"/>
        </w:rPr>
        <w:t>“</w:t>
      </w:r>
      <w:r w:rsidR="001C77A7" w:rsidRPr="00957B6C">
        <w:rPr>
          <w:rFonts w:cstheme="minorBidi"/>
          <w:color w:val="000000" w:themeColor="text1"/>
        </w:rPr>
        <w:t>ITU-D Study Group 1 – Activities and progress</w:t>
      </w:r>
      <w:r w:rsidR="00981393" w:rsidRPr="00957B6C">
        <w:rPr>
          <w:rFonts w:cstheme="minorBidi"/>
          <w:color w:val="000000" w:themeColor="text1"/>
        </w:rPr>
        <w:t>,</w:t>
      </w:r>
      <w:r w:rsidR="679FFC7F" w:rsidRPr="00957B6C">
        <w:rPr>
          <w:rFonts w:cstheme="minorBidi"/>
          <w:color w:val="000000" w:themeColor="text1"/>
        </w:rPr>
        <w:t xml:space="preserve">” introduced by </w:t>
      </w:r>
      <w:r w:rsidR="001D451B" w:rsidRPr="00957B6C">
        <w:rPr>
          <w:rFonts w:cstheme="minorBidi"/>
          <w:color w:val="000000" w:themeColor="text1"/>
        </w:rPr>
        <w:t xml:space="preserve">the </w:t>
      </w:r>
      <w:r w:rsidR="00FC2A63" w:rsidRPr="00957B6C">
        <w:rPr>
          <w:rFonts w:cstheme="minorBidi"/>
          <w:color w:val="000000" w:themeColor="text1"/>
        </w:rPr>
        <w:t xml:space="preserve">study </w:t>
      </w:r>
      <w:r w:rsidR="00CE6D21" w:rsidRPr="00957B6C">
        <w:rPr>
          <w:rFonts w:cstheme="minorBidi"/>
          <w:color w:val="000000" w:themeColor="text1"/>
        </w:rPr>
        <w:t xml:space="preserve">group </w:t>
      </w:r>
      <w:r w:rsidR="679FFC7F" w:rsidRPr="00957B6C">
        <w:rPr>
          <w:rFonts w:cstheme="minorBidi"/>
          <w:color w:val="000000" w:themeColor="text1"/>
        </w:rPr>
        <w:t>Chairman, Ms Regina Fleur Assoumou Bessou</w:t>
      </w:r>
      <w:r w:rsidR="00981393" w:rsidRPr="00957B6C">
        <w:rPr>
          <w:rFonts w:cstheme="minorBidi"/>
          <w:color w:val="000000" w:themeColor="text1"/>
        </w:rPr>
        <w:t>,</w:t>
      </w:r>
      <w:r w:rsidR="00FA7338" w:rsidRPr="00957B6C">
        <w:rPr>
          <w:rFonts w:cstheme="minorBidi"/>
          <w:color w:val="000000" w:themeColor="text1"/>
        </w:rPr>
        <w:t xml:space="preserve"> pr</w:t>
      </w:r>
      <w:r w:rsidR="002943EA" w:rsidRPr="00957B6C">
        <w:rPr>
          <w:rFonts w:ascii="Calibri" w:hAnsi="Calibri"/>
          <w:szCs w:val="24"/>
        </w:rPr>
        <w:t>esents the status of</w:t>
      </w:r>
      <w:r w:rsidR="00FA7338" w:rsidRPr="00957B6C">
        <w:rPr>
          <w:rFonts w:ascii="Calibri" w:hAnsi="Calibri"/>
          <w:szCs w:val="24"/>
        </w:rPr>
        <w:t xml:space="preserve"> work</w:t>
      </w:r>
      <w:r w:rsidR="00CE6D21" w:rsidRPr="00957B6C">
        <w:rPr>
          <w:rFonts w:ascii="Calibri" w:hAnsi="Calibri"/>
          <w:szCs w:val="24"/>
        </w:rPr>
        <w:t xml:space="preserve"> </w:t>
      </w:r>
      <w:r w:rsidR="001353F2" w:rsidRPr="00957B6C">
        <w:rPr>
          <w:rFonts w:ascii="Calibri" w:hAnsi="Calibri"/>
          <w:szCs w:val="24"/>
        </w:rPr>
        <w:t xml:space="preserve">since the </w:t>
      </w:r>
      <w:r w:rsidR="00C638AC" w:rsidRPr="00957B6C">
        <w:rPr>
          <w:rFonts w:ascii="Calibri" w:hAnsi="Calibri"/>
          <w:szCs w:val="24"/>
        </w:rPr>
        <w:t xml:space="preserve">start of the </w:t>
      </w:r>
      <w:r w:rsidR="001353F2" w:rsidRPr="00957B6C">
        <w:rPr>
          <w:rFonts w:ascii="Calibri" w:hAnsi="Calibri"/>
          <w:szCs w:val="24"/>
        </w:rPr>
        <w:t xml:space="preserve">new study period </w:t>
      </w:r>
      <w:r w:rsidR="00C638AC" w:rsidRPr="00957B6C">
        <w:rPr>
          <w:rFonts w:ascii="Calibri" w:hAnsi="Calibri"/>
          <w:szCs w:val="24"/>
        </w:rPr>
        <w:t>(</w:t>
      </w:r>
      <w:r w:rsidR="001353F2" w:rsidRPr="00957B6C">
        <w:rPr>
          <w:rFonts w:ascii="Calibri" w:hAnsi="Calibri"/>
          <w:szCs w:val="24"/>
        </w:rPr>
        <w:t>2018-2021</w:t>
      </w:r>
      <w:r w:rsidR="00C638AC" w:rsidRPr="00957B6C">
        <w:rPr>
          <w:rFonts w:ascii="Calibri" w:hAnsi="Calibri"/>
          <w:szCs w:val="24"/>
        </w:rPr>
        <w:t>)</w:t>
      </w:r>
      <w:r w:rsidR="001353F2" w:rsidRPr="00957B6C">
        <w:rPr>
          <w:rFonts w:ascii="Calibri" w:hAnsi="Calibri"/>
          <w:szCs w:val="24"/>
        </w:rPr>
        <w:t>.</w:t>
      </w:r>
    </w:p>
    <w:p w14:paraId="762778C3" w14:textId="77777777" w:rsidR="00FE7EFB" w:rsidRPr="00957B6C" w:rsidRDefault="001353F2" w:rsidP="009B5B24">
      <w:pPr>
        <w:spacing w:after="120"/>
        <w:rPr>
          <w:rFonts w:cs="Arial"/>
        </w:rPr>
      </w:pPr>
      <w:r w:rsidRPr="00957B6C">
        <w:rPr>
          <w:rFonts w:cs="Arial"/>
        </w:rPr>
        <w:t xml:space="preserve">Study Group </w:t>
      </w:r>
      <w:r w:rsidR="00A03938" w:rsidRPr="00957B6C">
        <w:rPr>
          <w:rFonts w:cs="Arial"/>
        </w:rPr>
        <w:t xml:space="preserve">1 </w:t>
      </w:r>
      <w:r w:rsidR="00D65E55" w:rsidRPr="00957B6C">
        <w:rPr>
          <w:rFonts w:cs="Arial"/>
        </w:rPr>
        <w:t xml:space="preserve">which covers </w:t>
      </w:r>
      <w:r w:rsidRPr="00957B6C">
        <w:rPr>
          <w:rFonts w:cs="Arial"/>
        </w:rPr>
        <w:t>“</w:t>
      </w:r>
      <w:r w:rsidR="000B3816" w:rsidRPr="00957B6C">
        <w:rPr>
          <w:rFonts w:cs="Arial"/>
        </w:rPr>
        <w:t>the enabling environment for the development of</w:t>
      </w:r>
      <w:r w:rsidR="002205CD" w:rsidRPr="00957B6C">
        <w:rPr>
          <w:rFonts w:cs="Arial"/>
        </w:rPr>
        <w:t xml:space="preserve"> </w:t>
      </w:r>
      <w:r w:rsidR="000B3816" w:rsidRPr="00957B6C">
        <w:rPr>
          <w:rFonts w:cs="Arial"/>
        </w:rPr>
        <w:t>telecommunications/</w:t>
      </w:r>
      <w:r w:rsidR="0043797D" w:rsidRPr="00957B6C">
        <w:rPr>
          <w:bCs/>
        </w:rPr>
        <w:t>ICTs</w:t>
      </w:r>
      <w:r w:rsidRPr="00957B6C">
        <w:rPr>
          <w:bCs/>
        </w:rPr>
        <w:t>”</w:t>
      </w:r>
      <w:r w:rsidR="000B3816" w:rsidRPr="00957B6C" w:rsidDel="00A046CB">
        <w:rPr>
          <w:rFonts w:cs="Arial"/>
        </w:rPr>
        <w:t xml:space="preserve"> </w:t>
      </w:r>
      <w:r w:rsidR="00A03938" w:rsidRPr="00957B6C">
        <w:rPr>
          <w:rFonts w:cs="Arial"/>
        </w:rPr>
        <w:t xml:space="preserve">and </w:t>
      </w:r>
      <w:r w:rsidR="00D65E55" w:rsidRPr="00957B6C">
        <w:rPr>
          <w:rFonts w:cs="Arial"/>
        </w:rPr>
        <w:t xml:space="preserve">deals with seven Questions held its first </w:t>
      </w:r>
      <w:r w:rsidR="00D65E55" w:rsidRPr="00957B6C">
        <w:rPr>
          <w:szCs w:val="24"/>
        </w:rPr>
        <w:t xml:space="preserve">meeting of the 2018-2021 study period at the ITU headquarters in Geneva, from </w:t>
      </w:r>
      <w:r w:rsidR="007A6140" w:rsidRPr="00957B6C">
        <w:rPr>
          <w:rFonts w:ascii="Calibri" w:hAnsi="Calibri"/>
          <w:szCs w:val="24"/>
        </w:rPr>
        <w:t>30 April to 4 May 2018</w:t>
      </w:r>
      <w:r w:rsidR="00D65E55" w:rsidRPr="00957B6C">
        <w:rPr>
          <w:rFonts w:ascii="Calibri" w:hAnsi="Calibri"/>
          <w:szCs w:val="24"/>
        </w:rPr>
        <w:t>,</w:t>
      </w:r>
      <w:r w:rsidR="00492025" w:rsidRPr="00957B6C">
        <w:rPr>
          <w:szCs w:val="24"/>
        </w:rPr>
        <w:t xml:space="preserve"> </w:t>
      </w:r>
      <w:r w:rsidR="00993676" w:rsidRPr="00957B6C">
        <w:rPr>
          <w:szCs w:val="24"/>
        </w:rPr>
        <w:t xml:space="preserve">attended </w:t>
      </w:r>
      <w:r w:rsidR="00931EE9" w:rsidRPr="00957B6C">
        <w:rPr>
          <w:rFonts w:ascii="Calibri" w:hAnsi="Calibri"/>
          <w:szCs w:val="24"/>
        </w:rPr>
        <w:t xml:space="preserve">by </w:t>
      </w:r>
      <w:r w:rsidR="00931EE9" w:rsidRPr="00957B6C">
        <w:rPr>
          <w:bCs/>
          <w:szCs w:val="24"/>
        </w:rPr>
        <w:t xml:space="preserve">131 </w:t>
      </w:r>
      <w:r w:rsidR="00931EE9" w:rsidRPr="00957B6C">
        <w:rPr>
          <w:bCs/>
          <w:szCs w:val="24"/>
        </w:rPr>
        <w:lastRenderedPageBreak/>
        <w:t>participants from 57 Member States</w:t>
      </w:r>
      <w:r w:rsidR="00993676" w:rsidRPr="00957B6C">
        <w:rPr>
          <w:bCs/>
          <w:szCs w:val="24"/>
        </w:rPr>
        <w:t xml:space="preserve">. Highlights </w:t>
      </w:r>
      <w:r w:rsidR="007A6140" w:rsidRPr="00957B6C">
        <w:rPr>
          <w:bCs/>
          <w:szCs w:val="24"/>
        </w:rPr>
        <w:t>fro</w:t>
      </w:r>
      <w:r w:rsidR="0043797D" w:rsidRPr="00957B6C">
        <w:rPr>
          <w:bCs/>
          <w:szCs w:val="24"/>
        </w:rPr>
        <w:t>m</w:t>
      </w:r>
      <w:r w:rsidR="007A6140" w:rsidRPr="00957B6C">
        <w:rPr>
          <w:bCs/>
          <w:szCs w:val="24"/>
        </w:rPr>
        <w:t xml:space="preserve"> this meeting </w:t>
      </w:r>
      <w:r w:rsidR="005F3123" w:rsidRPr="00957B6C">
        <w:rPr>
          <w:rFonts w:ascii="Calibri" w:hAnsi="Calibri"/>
          <w:szCs w:val="24"/>
        </w:rPr>
        <w:t xml:space="preserve">include </w:t>
      </w:r>
      <w:r w:rsidR="001F5057" w:rsidRPr="00957B6C">
        <w:rPr>
          <w:rFonts w:ascii="Calibri" w:hAnsi="Calibri"/>
          <w:szCs w:val="24"/>
        </w:rPr>
        <w:t xml:space="preserve">the </w:t>
      </w:r>
      <w:r w:rsidR="005F3123" w:rsidRPr="00957B6C">
        <w:rPr>
          <w:bCs/>
          <w:szCs w:val="24"/>
        </w:rPr>
        <w:t xml:space="preserve">appointment of </w:t>
      </w:r>
      <w:r w:rsidR="00FD787E" w:rsidRPr="00957B6C">
        <w:rPr>
          <w:bCs/>
          <w:szCs w:val="24"/>
        </w:rPr>
        <w:t xml:space="preserve">9 </w:t>
      </w:r>
      <w:r w:rsidR="005F3123" w:rsidRPr="00957B6C">
        <w:rPr>
          <w:bCs/>
          <w:szCs w:val="24"/>
        </w:rPr>
        <w:t>r</w:t>
      </w:r>
      <w:r w:rsidR="00FD787E" w:rsidRPr="00957B6C">
        <w:rPr>
          <w:bCs/>
          <w:szCs w:val="24"/>
        </w:rPr>
        <w:t>apporteurs/co-</w:t>
      </w:r>
      <w:r w:rsidR="005F3123" w:rsidRPr="00957B6C">
        <w:rPr>
          <w:bCs/>
          <w:szCs w:val="24"/>
        </w:rPr>
        <w:t>rapporteurs and 71 v</w:t>
      </w:r>
      <w:r w:rsidR="00FD787E" w:rsidRPr="00957B6C">
        <w:rPr>
          <w:bCs/>
          <w:szCs w:val="24"/>
        </w:rPr>
        <w:t>ice-</w:t>
      </w:r>
      <w:r w:rsidR="005F3123" w:rsidRPr="00957B6C">
        <w:rPr>
          <w:bCs/>
          <w:szCs w:val="24"/>
        </w:rPr>
        <w:t>r</w:t>
      </w:r>
      <w:r w:rsidR="00FD787E" w:rsidRPr="00957B6C">
        <w:rPr>
          <w:bCs/>
          <w:szCs w:val="24"/>
        </w:rPr>
        <w:t>apporteurs to lead the Questions under study</w:t>
      </w:r>
      <w:r w:rsidR="00993676" w:rsidRPr="00957B6C">
        <w:rPr>
          <w:bCs/>
          <w:szCs w:val="24"/>
        </w:rPr>
        <w:t xml:space="preserve">; </w:t>
      </w:r>
      <w:r w:rsidR="00163931" w:rsidRPr="00957B6C">
        <w:rPr>
          <w:bCs/>
          <w:szCs w:val="24"/>
        </w:rPr>
        <w:t xml:space="preserve">the </w:t>
      </w:r>
      <w:r w:rsidR="00FD787E" w:rsidRPr="00957B6C">
        <w:rPr>
          <w:bCs/>
          <w:szCs w:val="24"/>
        </w:rPr>
        <w:t>93</w:t>
      </w:r>
      <w:r w:rsidR="00C8426E" w:rsidRPr="00957B6C">
        <w:rPr>
          <w:bCs/>
          <w:szCs w:val="24"/>
        </w:rPr>
        <w:t xml:space="preserve"> </w:t>
      </w:r>
      <w:r w:rsidR="00FD787E" w:rsidRPr="00957B6C">
        <w:rPr>
          <w:bCs/>
          <w:szCs w:val="24"/>
        </w:rPr>
        <w:t xml:space="preserve">contributions received to start the work </w:t>
      </w:r>
      <w:r w:rsidR="00492025" w:rsidRPr="00957B6C">
        <w:rPr>
          <w:bCs/>
          <w:szCs w:val="24"/>
        </w:rPr>
        <w:t xml:space="preserve">of </w:t>
      </w:r>
      <w:r w:rsidR="00FD787E" w:rsidRPr="00957B6C">
        <w:rPr>
          <w:bCs/>
          <w:szCs w:val="24"/>
        </w:rPr>
        <w:t>the 2018-2021 study period</w:t>
      </w:r>
      <w:r w:rsidR="003C5C8E" w:rsidRPr="00957B6C">
        <w:rPr>
          <w:bCs/>
          <w:szCs w:val="24"/>
        </w:rPr>
        <w:t>; the receipt of</w:t>
      </w:r>
      <w:r w:rsidR="00FD787E" w:rsidRPr="00957B6C">
        <w:rPr>
          <w:bCs/>
          <w:szCs w:val="24"/>
        </w:rPr>
        <w:t xml:space="preserve"> 29 incoming liaison statements</w:t>
      </w:r>
      <w:r w:rsidR="003C5C8E" w:rsidRPr="00957B6C">
        <w:rPr>
          <w:bCs/>
          <w:szCs w:val="24"/>
        </w:rPr>
        <w:t xml:space="preserve">; the agreement on and dispatch of </w:t>
      </w:r>
      <w:r w:rsidR="00FD787E" w:rsidRPr="00957B6C">
        <w:rPr>
          <w:bCs/>
          <w:szCs w:val="24"/>
        </w:rPr>
        <w:t>13 outgoing liaison statements</w:t>
      </w:r>
      <w:r w:rsidR="00FE7EFB" w:rsidRPr="00957B6C">
        <w:rPr>
          <w:bCs/>
          <w:szCs w:val="24"/>
        </w:rPr>
        <w:t xml:space="preserve">; </w:t>
      </w:r>
      <w:r w:rsidR="00C856FA" w:rsidRPr="00957B6C">
        <w:rPr>
          <w:bCs/>
          <w:szCs w:val="24"/>
        </w:rPr>
        <w:t xml:space="preserve">the approval of </w:t>
      </w:r>
      <w:r w:rsidR="00FE7EFB" w:rsidRPr="00957B6C">
        <w:rPr>
          <w:bCs/>
          <w:szCs w:val="24"/>
        </w:rPr>
        <w:t>draft work plans</w:t>
      </w:r>
      <w:r w:rsidR="003C5C8E" w:rsidRPr="00957B6C">
        <w:rPr>
          <w:bCs/>
          <w:szCs w:val="24"/>
        </w:rPr>
        <w:t>;</w:t>
      </w:r>
      <w:r w:rsidR="00FE7EFB" w:rsidRPr="00957B6C">
        <w:rPr>
          <w:bCs/>
          <w:szCs w:val="24"/>
        </w:rPr>
        <w:t xml:space="preserve"> </w:t>
      </w:r>
      <w:r w:rsidR="00C856FA" w:rsidRPr="00957B6C">
        <w:rPr>
          <w:bCs/>
          <w:szCs w:val="24"/>
        </w:rPr>
        <w:t xml:space="preserve">and </w:t>
      </w:r>
      <w:r w:rsidR="003C5C8E" w:rsidRPr="00957B6C">
        <w:rPr>
          <w:bCs/>
          <w:szCs w:val="24"/>
        </w:rPr>
        <w:t xml:space="preserve">the </w:t>
      </w:r>
      <w:r w:rsidR="00C856FA" w:rsidRPr="00957B6C">
        <w:rPr>
          <w:bCs/>
          <w:szCs w:val="24"/>
        </w:rPr>
        <w:t xml:space="preserve">preparation of </w:t>
      </w:r>
      <w:r w:rsidR="00FE7EFB" w:rsidRPr="00957B6C">
        <w:rPr>
          <w:bCs/>
          <w:szCs w:val="24"/>
        </w:rPr>
        <w:t>draft initial outlines/tables of contents of the expected outputs for all Questions and detailed lists of responsibilities.</w:t>
      </w:r>
    </w:p>
    <w:p w14:paraId="6350CBA5" w14:textId="77777777" w:rsidR="001353F2" w:rsidRPr="00957B6C" w:rsidRDefault="00860C54" w:rsidP="009B5B24">
      <w:pPr>
        <w:spacing w:after="120"/>
        <w:rPr>
          <w:bCs/>
          <w:szCs w:val="24"/>
        </w:rPr>
      </w:pPr>
      <w:r w:rsidRPr="00957B6C">
        <w:rPr>
          <w:rFonts w:ascii="Calibri" w:hAnsi="Calibri"/>
          <w:szCs w:val="24"/>
        </w:rPr>
        <w:t>T</w:t>
      </w:r>
      <w:r w:rsidR="00FD787E" w:rsidRPr="00957B6C">
        <w:rPr>
          <w:rFonts w:ascii="Calibri" w:hAnsi="Calibri"/>
          <w:szCs w:val="24"/>
        </w:rPr>
        <w:t xml:space="preserve">he </w:t>
      </w:r>
      <w:r w:rsidR="002205CD" w:rsidRPr="00957B6C">
        <w:rPr>
          <w:rFonts w:ascii="Calibri" w:hAnsi="Calibri"/>
          <w:szCs w:val="24"/>
        </w:rPr>
        <w:t xml:space="preserve">rapporteur group </w:t>
      </w:r>
      <w:r w:rsidR="00FD787E" w:rsidRPr="00957B6C">
        <w:rPr>
          <w:rFonts w:ascii="Calibri" w:hAnsi="Calibri"/>
          <w:szCs w:val="24"/>
        </w:rPr>
        <w:t xml:space="preserve">meetings </w:t>
      </w:r>
      <w:r w:rsidR="00931EE9" w:rsidRPr="00957B6C">
        <w:rPr>
          <w:rFonts w:ascii="Calibri" w:hAnsi="Calibri"/>
          <w:szCs w:val="24"/>
        </w:rPr>
        <w:t xml:space="preserve">of </w:t>
      </w:r>
      <w:r w:rsidR="001F5057" w:rsidRPr="00957B6C">
        <w:rPr>
          <w:rFonts w:ascii="Calibri" w:hAnsi="Calibri"/>
          <w:szCs w:val="24"/>
        </w:rPr>
        <w:t xml:space="preserve">ITU-D Study Group 1, held from </w:t>
      </w:r>
      <w:r w:rsidR="00FD787E" w:rsidRPr="00957B6C">
        <w:rPr>
          <w:rFonts w:ascii="Calibri" w:hAnsi="Calibri"/>
          <w:szCs w:val="24"/>
        </w:rPr>
        <w:t>17 to 28 September 2018</w:t>
      </w:r>
      <w:r w:rsidR="00354CAF" w:rsidRPr="00957B6C">
        <w:rPr>
          <w:rFonts w:ascii="Calibri" w:hAnsi="Calibri"/>
          <w:szCs w:val="24"/>
        </w:rPr>
        <w:t>,</w:t>
      </w:r>
      <w:r w:rsidRPr="00957B6C">
        <w:rPr>
          <w:bCs/>
          <w:szCs w:val="24"/>
        </w:rPr>
        <w:t xml:space="preserve"> refined the </w:t>
      </w:r>
      <w:r w:rsidR="00740481" w:rsidRPr="00957B6C">
        <w:rPr>
          <w:bCs/>
          <w:szCs w:val="24"/>
        </w:rPr>
        <w:t xml:space="preserve">outlines of study group Question deliverables and </w:t>
      </w:r>
      <w:r w:rsidRPr="00957B6C">
        <w:rPr>
          <w:bCs/>
          <w:szCs w:val="24"/>
        </w:rPr>
        <w:t xml:space="preserve">continued </w:t>
      </w:r>
      <w:r w:rsidR="00C856FA" w:rsidRPr="00957B6C">
        <w:rPr>
          <w:bCs/>
          <w:szCs w:val="24"/>
        </w:rPr>
        <w:t xml:space="preserve">the </w:t>
      </w:r>
      <w:r w:rsidRPr="00957B6C">
        <w:rPr>
          <w:bCs/>
          <w:szCs w:val="24"/>
        </w:rPr>
        <w:t>drafting and exchanging</w:t>
      </w:r>
      <w:r w:rsidR="00C856FA" w:rsidRPr="00957B6C">
        <w:rPr>
          <w:bCs/>
          <w:szCs w:val="24"/>
        </w:rPr>
        <w:t xml:space="preserve"> of</w:t>
      </w:r>
      <w:r w:rsidRPr="00957B6C">
        <w:rPr>
          <w:bCs/>
          <w:szCs w:val="24"/>
        </w:rPr>
        <w:t xml:space="preserve"> </w:t>
      </w:r>
      <w:r w:rsidR="00163931" w:rsidRPr="00957B6C">
        <w:rPr>
          <w:bCs/>
          <w:szCs w:val="24"/>
        </w:rPr>
        <w:t xml:space="preserve">information </w:t>
      </w:r>
      <w:r w:rsidRPr="00957B6C">
        <w:rPr>
          <w:bCs/>
          <w:szCs w:val="24"/>
        </w:rPr>
        <w:t xml:space="preserve">on chapters of the reports, guidelines and case studies. </w:t>
      </w:r>
    </w:p>
    <w:p w14:paraId="2DA16E0E" w14:textId="77777777" w:rsidR="00064E76" w:rsidRPr="00957B6C" w:rsidRDefault="00064E76" w:rsidP="009B5B24">
      <w:pPr>
        <w:spacing w:after="120"/>
        <w:rPr>
          <w:bCs/>
          <w:szCs w:val="24"/>
        </w:rPr>
      </w:pPr>
      <w:r w:rsidRPr="00957B6C">
        <w:rPr>
          <w:bCs/>
          <w:szCs w:val="24"/>
        </w:rPr>
        <w:t>The second meeting of Study Group</w:t>
      </w:r>
      <w:r w:rsidR="005B1CAD" w:rsidRPr="00957B6C">
        <w:rPr>
          <w:bCs/>
          <w:szCs w:val="24"/>
        </w:rPr>
        <w:t xml:space="preserve"> </w:t>
      </w:r>
      <w:r w:rsidR="00124DAF" w:rsidRPr="00957B6C">
        <w:rPr>
          <w:bCs/>
          <w:szCs w:val="24"/>
        </w:rPr>
        <w:t>1</w:t>
      </w:r>
      <w:r w:rsidRPr="00957B6C">
        <w:rPr>
          <w:bCs/>
          <w:szCs w:val="24"/>
        </w:rPr>
        <w:t xml:space="preserve"> in the 2018-2021 study period</w:t>
      </w:r>
      <w:r w:rsidR="005B1CAD" w:rsidRPr="00957B6C">
        <w:rPr>
          <w:bCs/>
          <w:szCs w:val="24"/>
        </w:rPr>
        <w:t>, held fro</w:t>
      </w:r>
      <w:r w:rsidR="00124DAF" w:rsidRPr="00957B6C">
        <w:rPr>
          <w:bCs/>
          <w:szCs w:val="24"/>
        </w:rPr>
        <w:t>m</w:t>
      </w:r>
      <w:r w:rsidR="005B1CAD" w:rsidRPr="00957B6C">
        <w:rPr>
          <w:bCs/>
          <w:szCs w:val="24"/>
        </w:rPr>
        <w:t xml:space="preserve"> </w:t>
      </w:r>
      <w:r w:rsidR="00124DAF" w:rsidRPr="00957B6C">
        <w:rPr>
          <w:bCs/>
          <w:szCs w:val="24"/>
        </w:rPr>
        <w:t>18 to 22 March 2019,</w:t>
      </w:r>
      <w:r w:rsidRPr="00957B6C">
        <w:rPr>
          <w:bCs/>
          <w:szCs w:val="24"/>
        </w:rPr>
        <w:t xml:space="preserve"> attracted 160 participants from 57 Member States. </w:t>
      </w:r>
      <w:r w:rsidR="00124DAF" w:rsidRPr="00957B6C">
        <w:rPr>
          <w:bCs/>
          <w:szCs w:val="24"/>
        </w:rPr>
        <w:t>This meeting appointed n</w:t>
      </w:r>
      <w:r w:rsidRPr="00957B6C">
        <w:rPr>
          <w:bCs/>
          <w:szCs w:val="24"/>
        </w:rPr>
        <w:t>ine additional vice-rapporteurs to support the Questions under study</w:t>
      </w:r>
      <w:r w:rsidR="00124DAF" w:rsidRPr="00957B6C">
        <w:rPr>
          <w:bCs/>
          <w:szCs w:val="24"/>
        </w:rPr>
        <w:t xml:space="preserve">; received </w:t>
      </w:r>
      <w:r w:rsidRPr="00957B6C">
        <w:rPr>
          <w:bCs/>
          <w:szCs w:val="24"/>
        </w:rPr>
        <w:t>152 contributions to advance the work;</w:t>
      </w:r>
      <w:r w:rsidR="00124DAF" w:rsidRPr="00957B6C">
        <w:rPr>
          <w:bCs/>
          <w:szCs w:val="24"/>
        </w:rPr>
        <w:t xml:space="preserve"> received </w:t>
      </w:r>
      <w:r w:rsidRPr="00957B6C">
        <w:rPr>
          <w:bCs/>
          <w:szCs w:val="24"/>
        </w:rPr>
        <w:t xml:space="preserve">23 incoming liaison statements and </w:t>
      </w:r>
      <w:r w:rsidR="00124DAF" w:rsidRPr="00957B6C">
        <w:rPr>
          <w:bCs/>
          <w:szCs w:val="24"/>
        </w:rPr>
        <w:t xml:space="preserve">agreed on and dispatched </w:t>
      </w:r>
      <w:r w:rsidR="00D8267D" w:rsidRPr="00957B6C">
        <w:rPr>
          <w:bCs/>
          <w:szCs w:val="24"/>
        </w:rPr>
        <w:t xml:space="preserve">five </w:t>
      </w:r>
      <w:r w:rsidRPr="00957B6C">
        <w:rPr>
          <w:bCs/>
          <w:szCs w:val="24"/>
        </w:rPr>
        <w:t>outgoing liaison statements.</w:t>
      </w:r>
    </w:p>
    <w:p w14:paraId="2507E541" w14:textId="77777777" w:rsidR="00F84914" w:rsidRPr="00957B6C" w:rsidRDefault="00D41907" w:rsidP="009B5B24">
      <w:pPr>
        <w:spacing w:after="120"/>
        <w:rPr>
          <w:bCs/>
          <w:szCs w:val="24"/>
        </w:rPr>
      </w:pPr>
      <w:r w:rsidRPr="00957B6C">
        <w:rPr>
          <w:bCs/>
          <w:szCs w:val="24"/>
        </w:rPr>
        <w:t xml:space="preserve">A highlight from </w:t>
      </w:r>
      <w:r w:rsidR="004C368B" w:rsidRPr="00957B6C">
        <w:rPr>
          <w:bCs/>
          <w:szCs w:val="24"/>
        </w:rPr>
        <w:t xml:space="preserve">this </w:t>
      </w:r>
      <w:r w:rsidRPr="00957B6C">
        <w:rPr>
          <w:bCs/>
          <w:szCs w:val="24"/>
        </w:rPr>
        <w:t xml:space="preserve">meeting is the release of </w:t>
      </w:r>
      <w:r w:rsidR="00124DAF" w:rsidRPr="00957B6C">
        <w:rPr>
          <w:bCs/>
          <w:szCs w:val="24"/>
        </w:rPr>
        <w:t xml:space="preserve">the first </w:t>
      </w:r>
      <w:r w:rsidRPr="00957B6C">
        <w:rPr>
          <w:bCs/>
          <w:szCs w:val="24"/>
        </w:rPr>
        <w:t xml:space="preserve">annual deliverable </w:t>
      </w:r>
      <w:r w:rsidR="00F84914" w:rsidRPr="00957B6C">
        <w:rPr>
          <w:bCs/>
          <w:szCs w:val="24"/>
        </w:rPr>
        <w:t xml:space="preserve">related to the work of Question 2/1 on </w:t>
      </w:r>
      <w:r w:rsidRPr="00957B6C">
        <w:rPr>
          <w:bCs/>
          <w:szCs w:val="24"/>
        </w:rPr>
        <w:t xml:space="preserve">“Trends in new broadcasting technologies, services and applications” </w:t>
      </w:r>
      <w:r w:rsidR="00B31A42" w:rsidRPr="00957B6C">
        <w:rPr>
          <w:bCs/>
          <w:szCs w:val="24"/>
        </w:rPr>
        <w:t xml:space="preserve">. This annual deliverable was released </w:t>
      </w:r>
      <w:r w:rsidR="00F84914" w:rsidRPr="00957B6C">
        <w:rPr>
          <w:bCs/>
          <w:szCs w:val="24"/>
        </w:rPr>
        <w:t>under the auspices of the Chairman of Study Group 1 to inform the public of the work and to stimulate and encourage further contributions.</w:t>
      </w:r>
    </w:p>
    <w:tbl>
      <w:tblPr>
        <w:tblStyle w:val="TableGrid"/>
        <w:tblW w:w="0" w:type="auto"/>
        <w:tblLook w:val="04A0" w:firstRow="1" w:lastRow="0" w:firstColumn="1" w:lastColumn="0" w:noHBand="0" w:noVBand="1"/>
      </w:tblPr>
      <w:tblGrid>
        <w:gridCol w:w="9629"/>
      </w:tblGrid>
      <w:tr w:rsidR="009D1EB3" w:rsidRPr="00957B6C" w14:paraId="3309964B" w14:textId="77777777" w:rsidTr="00F9789D">
        <w:tc>
          <w:tcPr>
            <w:tcW w:w="9629" w:type="dxa"/>
          </w:tcPr>
          <w:p w14:paraId="0E5A2351" w14:textId="77777777" w:rsidR="009D1EB3" w:rsidRPr="00957B6C" w:rsidRDefault="009D1EB3" w:rsidP="009B5B24">
            <w:pPr>
              <w:spacing w:after="120"/>
              <w:rPr>
                <w:rFonts w:ascii="Calibri" w:hAnsi="Calibri"/>
                <w:szCs w:val="24"/>
                <w:lang w:eastAsia="zh-CN"/>
              </w:rPr>
            </w:pPr>
            <w:r w:rsidRPr="00957B6C">
              <w:rPr>
                <w:szCs w:val="24"/>
              </w:rPr>
              <w:t xml:space="preserve">TDAG commended the Chairman of ITU-D Study Group 1, Ms Regina Fleur Assoumou Bessou, for the </w:t>
            </w:r>
            <w:r w:rsidR="00D8267D" w:rsidRPr="00957B6C">
              <w:rPr>
                <w:szCs w:val="24"/>
              </w:rPr>
              <w:t xml:space="preserve">study </w:t>
            </w:r>
            <w:r w:rsidRPr="00957B6C">
              <w:rPr>
                <w:szCs w:val="24"/>
              </w:rPr>
              <w:t xml:space="preserve">group achievements since the </w:t>
            </w:r>
            <w:r w:rsidR="00D8267D" w:rsidRPr="00957B6C">
              <w:rPr>
                <w:szCs w:val="24"/>
              </w:rPr>
              <w:t xml:space="preserve">start of the </w:t>
            </w:r>
            <w:r w:rsidRPr="00957B6C">
              <w:rPr>
                <w:szCs w:val="24"/>
              </w:rPr>
              <w:t xml:space="preserve">new study period 2018-2021. </w:t>
            </w:r>
          </w:p>
        </w:tc>
      </w:tr>
    </w:tbl>
    <w:p w14:paraId="11D79A1C" w14:textId="77777777" w:rsidR="007A6140" w:rsidRPr="00957B6C" w:rsidRDefault="00B8346F" w:rsidP="009B5B24">
      <w:pPr>
        <w:spacing w:after="120"/>
        <w:rPr>
          <w:rFonts w:ascii="Calibri" w:hAnsi="Calibri"/>
          <w:szCs w:val="24"/>
        </w:rPr>
      </w:pPr>
      <w:hyperlink r:id="rId19">
        <w:r w:rsidR="2D9C0B70" w:rsidRPr="00957B6C">
          <w:rPr>
            <w:rStyle w:val="Hyperlink"/>
            <w:rFonts w:cstheme="minorBidi"/>
            <w:b/>
            <w:bCs/>
          </w:rPr>
          <w:t>Document 13</w:t>
        </w:r>
      </w:hyperlink>
      <w:r w:rsidR="2D9C0B70" w:rsidRPr="00957B6C">
        <w:rPr>
          <w:rFonts w:cstheme="minorBidi"/>
          <w:b/>
          <w:bCs/>
          <w:color w:val="000000" w:themeColor="text1"/>
        </w:rPr>
        <w:t>:</w:t>
      </w:r>
      <w:r w:rsidR="2D9C0B70" w:rsidRPr="00957B6C">
        <w:rPr>
          <w:rFonts w:cstheme="minorBidi"/>
          <w:color w:val="000000" w:themeColor="text1"/>
        </w:rPr>
        <w:t xml:space="preserve"> “</w:t>
      </w:r>
      <w:r w:rsidR="006471E1" w:rsidRPr="00957B6C">
        <w:rPr>
          <w:rFonts w:cstheme="minorBidi"/>
          <w:color w:val="000000" w:themeColor="text1"/>
        </w:rPr>
        <w:t>ITU-D Study Group 2 – Activities and progress</w:t>
      </w:r>
      <w:r w:rsidR="002D1ED3" w:rsidRPr="00957B6C">
        <w:rPr>
          <w:rFonts w:cstheme="minorBidi"/>
          <w:color w:val="000000" w:themeColor="text1"/>
        </w:rPr>
        <w:t>,</w:t>
      </w:r>
      <w:r w:rsidR="2D9C0B70" w:rsidRPr="00957B6C">
        <w:rPr>
          <w:rFonts w:cstheme="minorBidi"/>
          <w:color w:val="000000" w:themeColor="text1"/>
        </w:rPr>
        <w:t xml:space="preserve">” introduced </w:t>
      </w:r>
      <w:r w:rsidR="00424DA6" w:rsidRPr="00957B6C">
        <w:rPr>
          <w:rFonts w:cstheme="minorBidi"/>
          <w:color w:val="000000" w:themeColor="text1"/>
        </w:rPr>
        <w:t xml:space="preserve">by the </w:t>
      </w:r>
      <w:r w:rsidR="00C638AC" w:rsidRPr="00957B6C">
        <w:rPr>
          <w:rFonts w:cstheme="minorBidi"/>
          <w:color w:val="000000" w:themeColor="text1"/>
        </w:rPr>
        <w:t xml:space="preserve">study </w:t>
      </w:r>
      <w:r w:rsidR="00424DA6" w:rsidRPr="00957B6C">
        <w:rPr>
          <w:rFonts w:cstheme="minorBidi"/>
          <w:color w:val="000000" w:themeColor="text1"/>
        </w:rPr>
        <w:t xml:space="preserve">group </w:t>
      </w:r>
      <w:r w:rsidR="2D9C0B70" w:rsidRPr="00957B6C">
        <w:rPr>
          <w:rFonts w:cstheme="minorBidi"/>
          <w:color w:val="000000" w:themeColor="text1"/>
        </w:rPr>
        <w:t>Chairman</w:t>
      </w:r>
      <w:r w:rsidR="00424DA6" w:rsidRPr="00957B6C">
        <w:rPr>
          <w:rFonts w:cstheme="minorBidi"/>
          <w:color w:val="000000" w:themeColor="text1"/>
        </w:rPr>
        <w:t xml:space="preserve">, </w:t>
      </w:r>
      <w:r w:rsidR="00FA7338" w:rsidRPr="00957B6C">
        <w:rPr>
          <w:rFonts w:cstheme="minorBidi"/>
          <w:color w:val="000000" w:themeColor="text1"/>
        </w:rPr>
        <w:t>Dr Ahmad Reza Sharafa</w:t>
      </w:r>
      <w:r w:rsidR="008421E5" w:rsidRPr="00957B6C">
        <w:rPr>
          <w:rFonts w:cstheme="minorBidi"/>
          <w:color w:val="000000" w:themeColor="text1"/>
        </w:rPr>
        <w:t>t</w:t>
      </w:r>
      <w:r w:rsidR="007A6140" w:rsidRPr="00957B6C">
        <w:rPr>
          <w:rFonts w:cstheme="minorBidi"/>
          <w:color w:val="000000" w:themeColor="text1"/>
        </w:rPr>
        <w:t>,</w:t>
      </w:r>
      <w:r w:rsidR="001353F2" w:rsidRPr="00957B6C">
        <w:rPr>
          <w:rFonts w:cstheme="minorBidi"/>
          <w:color w:val="000000" w:themeColor="text1"/>
        </w:rPr>
        <w:t xml:space="preserve"> </w:t>
      </w:r>
      <w:r w:rsidR="007A6140" w:rsidRPr="00957B6C">
        <w:rPr>
          <w:rFonts w:cstheme="minorBidi"/>
          <w:color w:val="000000" w:themeColor="text1"/>
        </w:rPr>
        <w:t>pr</w:t>
      </w:r>
      <w:r w:rsidR="007A6140" w:rsidRPr="00957B6C">
        <w:rPr>
          <w:rFonts w:ascii="Calibri" w:hAnsi="Calibri"/>
          <w:szCs w:val="24"/>
        </w:rPr>
        <w:t xml:space="preserve">esents the status of work since the new study period </w:t>
      </w:r>
      <w:r w:rsidR="00C638AC" w:rsidRPr="00957B6C">
        <w:rPr>
          <w:rFonts w:ascii="Calibri" w:hAnsi="Calibri"/>
          <w:szCs w:val="24"/>
        </w:rPr>
        <w:t>(</w:t>
      </w:r>
      <w:r w:rsidR="007A6140" w:rsidRPr="00957B6C">
        <w:rPr>
          <w:rFonts w:ascii="Calibri" w:hAnsi="Calibri"/>
          <w:szCs w:val="24"/>
        </w:rPr>
        <w:t>2018-2021</w:t>
      </w:r>
      <w:r w:rsidR="00C638AC" w:rsidRPr="00957B6C">
        <w:rPr>
          <w:rFonts w:ascii="Calibri" w:hAnsi="Calibri"/>
          <w:szCs w:val="24"/>
        </w:rPr>
        <w:t>)</w:t>
      </w:r>
      <w:r w:rsidR="007A6140" w:rsidRPr="00957B6C">
        <w:rPr>
          <w:rFonts w:ascii="Calibri" w:hAnsi="Calibri"/>
          <w:szCs w:val="24"/>
        </w:rPr>
        <w:t>.</w:t>
      </w:r>
    </w:p>
    <w:p w14:paraId="173FD601" w14:textId="77777777" w:rsidR="00FE7EFB" w:rsidRPr="00957B6C" w:rsidRDefault="000B3816" w:rsidP="009B5B24">
      <w:pPr>
        <w:keepNext/>
        <w:spacing w:after="120"/>
        <w:rPr>
          <w:szCs w:val="24"/>
        </w:rPr>
      </w:pPr>
      <w:r w:rsidRPr="00957B6C">
        <w:rPr>
          <w:rFonts w:cs="Arial"/>
        </w:rPr>
        <w:t>Study Group 2</w:t>
      </w:r>
      <w:r w:rsidRPr="00957B6C">
        <w:rPr>
          <w:rFonts w:cs="Arial"/>
          <w:b/>
          <w:bCs/>
        </w:rPr>
        <w:t xml:space="preserve"> </w:t>
      </w:r>
      <w:r w:rsidR="00CC01DC" w:rsidRPr="00957B6C">
        <w:rPr>
          <w:szCs w:val="24"/>
        </w:rPr>
        <w:t xml:space="preserve">covers </w:t>
      </w:r>
      <w:r w:rsidR="00793ACF" w:rsidRPr="00957B6C">
        <w:rPr>
          <w:szCs w:val="24"/>
        </w:rPr>
        <w:t>“</w:t>
      </w:r>
      <w:r w:rsidR="00CC01DC" w:rsidRPr="00957B6C">
        <w:rPr>
          <w:szCs w:val="24"/>
        </w:rPr>
        <w:t>ICT services and applications to promote sustainable development</w:t>
      </w:r>
      <w:r w:rsidR="00793ACF" w:rsidRPr="00957B6C">
        <w:rPr>
          <w:szCs w:val="24"/>
        </w:rPr>
        <w:t>”</w:t>
      </w:r>
      <w:r w:rsidR="007F047F" w:rsidRPr="00957B6C">
        <w:rPr>
          <w:szCs w:val="24"/>
        </w:rPr>
        <w:t xml:space="preserve"> </w:t>
      </w:r>
      <w:r w:rsidR="00EC73BB" w:rsidRPr="00957B6C">
        <w:rPr>
          <w:rFonts w:cs="Arial"/>
        </w:rPr>
        <w:t xml:space="preserve">and </w:t>
      </w:r>
      <w:r w:rsidR="004C368B" w:rsidRPr="00957B6C">
        <w:rPr>
          <w:rFonts w:cs="Arial"/>
        </w:rPr>
        <w:t>deals with s</w:t>
      </w:r>
      <w:r w:rsidR="00EC73BB" w:rsidRPr="00957B6C">
        <w:rPr>
          <w:rFonts w:cs="Arial"/>
        </w:rPr>
        <w:t>even Questions.</w:t>
      </w:r>
      <w:r w:rsidR="001F5057" w:rsidRPr="00957B6C">
        <w:rPr>
          <w:rFonts w:cs="Arial"/>
        </w:rPr>
        <w:t xml:space="preserve"> </w:t>
      </w:r>
      <w:r w:rsidR="00EC73BB" w:rsidRPr="00957B6C">
        <w:rPr>
          <w:rFonts w:cs="Arial"/>
        </w:rPr>
        <w:t xml:space="preserve">Study Group 2 held its first </w:t>
      </w:r>
      <w:r w:rsidR="00EC73BB" w:rsidRPr="00957B6C">
        <w:rPr>
          <w:szCs w:val="24"/>
        </w:rPr>
        <w:t xml:space="preserve">meeting </w:t>
      </w:r>
      <w:r w:rsidR="00492025" w:rsidRPr="00957B6C">
        <w:rPr>
          <w:szCs w:val="24"/>
        </w:rPr>
        <w:t xml:space="preserve">of the </w:t>
      </w:r>
      <w:r w:rsidR="00EC73BB" w:rsidRPr="00957B6C">
        <w:rPr>
          <w:szCs w:val="24"/>
        </w:rPr>
        <w:t>2018-2021</w:t>
      </w:r>
      <w:r w:rsidR="00492025" w:rsidRPr="00957B6C">
        <w:rPr>
          <w:szCs w:val="24"/>
        </w:rPr>
        <w:t xml:space="preserve"> study </w:t>
      </w:r>
      <w:r w:rsidR="00695B65" w:rsidRPr="00957B6C">
        <w:rPr>
          <w:szCs w:val="24"/>
        </w:rPr>
        <w:t>period</w:t>
      </w:r>
      <w:r w:rsidR="00C638AC" w:rsidRPr="00957B6C">
        <w:rPr>
          <w:rFonts w:cs="Arial"/>
        </w:rPr>
        <w:t xml:space="preserve"> from 7 to 11 </w:t>
      </w:r>
      <w:r w:rsidR="00C638AC" w:rsidRPr="00957B6C">
        <w:rPr>
          <w:rFonts w:ascii="Calibri" w:hAnsi="Calibri"/>
          <w:szCs w:val="24"/>
        </w:rPr>
        <w:t>May 2018</w:t>
      </w:r>
      <w:r w:rsidR="00C638AC" w:rsidRPr="00957B6C">
        <w:rPr>
          <w:szCs w:val="24"/>
        </w:rPr>
        <w:t>,</w:t>
      </w:r>
      <w:r w:rsidR="001F5057" w:rsidRPr="00957B6C">
        <w:rPr>
          <w:szCs w:val="24"/>
        </w:rPr>
        <w:t xml:space="preserve"> </w:t>
      </w:r>
      <w:r w:rsidR="00931EE9" w:rsidRPr="00957B6C">
        <w:rPr>
          <w:szCs w:val="24"/>
        </w:rPr>
        <w:t xml:space="preserve">attended by </w:t>
      </w:r>
      <w:r w:rsidR="00931EE9" w:rsidRPr="00957B6C">
        <w:rPr>
          <w:bCs/>
          <w:szCs w:val="24"/>
        </w:rPr>
        <w:t>125 participants from 49 countries</w:t>
      </w:r>
      <w:r w:rsidR="00993676" w:rsidRPr="00957B6C">
        <w:rPr>
          <w:szCs w:val="24"/>
        </w:rPr>
        <w:t xml:space="preserve">. Highlights </w:t>
      </w:r>
      <w:r w:rsidR="00EC73BB" w:rsidRPr="00957B6C">
        <w:rPr>
          <w:szCs w:val="24"/>
        </w:rPr>
        <w:t xml:space="preserve">from this meeting </w:t>
      </w:r>
      <w:r w:rsidR="007F047F" w:rsidRPr="00957B6C">
        <w:rPr>
          <w:szCs w:val="24"/>
        </w:rPr>
        <w:t>include</w:t>
      </w:r>
      <w:r w:rsidR="00931EE9" w:rsidRPr="00957B6C">
        <w:rPr>
          <w:szCs w:val="24"/>
        </w:rPr>
        <w:t xml:space="preserve"> </w:t>
      </w:r>
      <w:r w:rsidR="001F5057" w:rsidRPr="00957B6C">
        <w:rPr>
          <w:szCs w:val="24"/>
        </w:rPr>
        <w:t xml:space="preserve">the </w:t>
      </w:r>
      <w:r w:rsidR="008A6805" w:rsidRPr="00957B6C">
        <w:rPr>
          <w:szCs w:val="24"/>
        </w:rPr>
        <w:t>a</w:t>
      </w:r>
      <w:r w:rsidR="007F047F" w:rsidRPr="00957B6C">
        <w:rPr>
          <w:bCs/>
          <w:szCs w:val="24"/>
        </w:rPr>
        <w:t xml:space="preserve">ppointment of 12 </w:t>
      </w:r>
      <w:r w:rsidR="00931EE9" w:rsidRPr="00957B6C">
        <w:rPr>
          <w:bCs/>
          <w:szCs w:val="24"/>
        </w:rPr>
        <w:t>r</w:t>
      </w:r>
      <w:r w:rsidR="007F047F" w:rsidRPr="00957B6C">
        <w:rPr>
          <w:bCs/>
          <w:szCs w:val="24"/>
        </w:rPr>
        <w:t>apporteurs/co-</w:t>
      </w:r>
      <w:r w:rsidR="00931EE9" w:rsidRPr="00957B6C">
        <w:rPr>
          <w:bCs/>
          <w:szCs w:val="24"/>
        </w:rPr>
        <w:t>r</w:t>
      </w:r>
      <w:r w:rsidR="007F047F" w:rsidRPr="00957B6C">
        <w:rPr>
          <w:bCs/>
          <w:szCs w:val="24"/>
        </w:rPr>
        <w:t xml:space="preserve">apporteurs and 47 </w:t>
      </w:r>
      <w:r w:rsidR="00931EE9" w:rsidRPr="00957B6C">
        <w:rPr>
          <w:bCs/>
          <w:szCs w:val="24"/>
        </w:rPr>
        <w:t>v</w:t>
      </w:r>
      <w:r w:rsidR="007F047F" w:rsidRPr="00957B6C">
        <w:rPr>
          <w:bCs/>
          <w:szCs w:val="24"/>
        </w:rPr>
        <w:t>ice-</w:t>
      </w:r>
      <w:r w:rsidR="00931EE9" w:rsidRPr="00957B6C">
        <w:rPr>
          <w:bCs/>
          <w:szCs w:val="24"/>
        </w:rPr>
        <w:t>r</w:t>
      </w:r>
      <w:r w:rsidR="007F047F" w:rsidRPr="00957B6C">
        <w:rPr>
          <w:bCs/>
          <w:szCs w:val="24"/>
        </w:rPr>
        <w:t>apporteurs to lead the Questions under study;</w:t>
      </w:r>
      <w:r w:rsidR="007F047F" w:rsidRPr="00957B6C">
        <w:rPr>
          <w:szCs w:val="24"/>
        </w:rPr>
        <w:t xml:space="preserve"> </w:t>
      </w:r>
      <w:r w:rsidR="001F5057" w:rsidRPr="00957B6C">
        <w:rPr>
          <w:szCs w:val="24"/>
        </w:rPr>
        <w:t xml:space="preserve">the </w:t>
      </w:r>
      <w:r w:rsidR="0002269B" w:rsidRPr="00957B6C">
        <w:rPr>
          <w:szCs w:val="24"/>
        </w:rPr>
        <w:t xml:space="preserve">receipt of </w:t>
      </w:r>
      <w:r w:rsidR="007F047F" w:rsidRPr="00957B6C">
        <w:rPr>
          <w:bCs/>
          <w:szCs w:val="24"/>
        </w:rPr>
        <w:t xml:space="preserve">99 contributions to start the work </w:t>
      </w:r>
      <w:r w:rsidR="00492025" w:rsidRPr="00957B6C">
        <w:rPr>
          <w:bCs/>
          <w:szCs w:val="24"/>
        </w:rPr>
        <w:t>of</w:t>
      </w:r>
      <w:r w:rsidR="007F047F" w:rsidRPr="00957B6C">
        <w:rPr>
          <w:bCs/>
          <w:szCs w:val="24"/>
        </w:rPr>
        <w:t xml:space="preserve"> the 2018-2021 study period;</w:t>
      </w:r>
      <w:r w:rsidR="007F047F" w:rsidRPr="00957B6C">
        <w:rPr>
          <w:szCs w:val="24"/>
        </w:rPr>
        <w:t xml:space="preserve"> </w:t>
      </w:r>
      <w:r w:rsidR="0002269B" w:rsidRPr="00957B6C">
        <w:rPr>
          <w:szCs w:val="24"/>
        </w:rPr>
        <w:t xml:space="preserve">the </w:t>
      </w:r>
      <w:r w:rsidR="003C5C8E" w:rsidRPr="00957B6C">
        <w:rPr>
          <w:szCs w:val="24"/>
        </w:rPr>
        <w:t>receipt of</w:t>
      </w:r>
      <w:r w:rsidR="0002269B" w:rsidRPr="00957B6C">
        <w:rPr>
          <w:szCs w:val="24"/>
        </w:rPr>
        <w:t xml:space="preserve"> </w:t>
      </w:r>
      <w:r w:rsidR="007F047F" w:rsidRPr="00957B6C">
        <w:rPr>
          <w:bCs/>
          <w:szCs w:val="24"/>
        </w:rPr>
        <w:t>40 incoming liaison statements</w:t>
      </w:r>
      <w:r w:rsidR="003C5C8E" w:rsidRPr="00957B6C">
        <w:rPr>
          <w:bCs/>
          <w:szCs w:val="24"/>
        </w:rPr>
        <w:t xml:space="preserve">; the </w:t>
      </w:r>
      <w:r w:rsidR="003C5C8E" w:rsidRPr="00957B6C">
        <w:rPr>
          <w:szCs w:val="24"/>
        </w:rPr>
        <w:t xml:space="preserve">agreement on and dispatch of </w:t>
      </w:r>
      <w:r w:rsidR="007F047F" w:rsidRPr="00957B6C">
        <w:rPr>
          <w:bCs/>
          <w:szCs w:val="24"/>
        </w:rPr>
        <w:t>18 outgoing liaison statements</w:t>
      </w:r>
      <w:r w:rsidR="00FE7EFB" w:rsidRPr="00957B6C">
        <w:rPr>
          <w:bCs/>
          <w:szCs w:val="24"/>
        </w:rPr>
        <w:t xml:space="preserve">; </w:t>
      </w:r>
      <w:r w:rsidR="0002269B" w:rsidRPr="00957B6C">
        <w:rPr>
          <w:bCs/>
          <w:szCs w:val="24"/>
        </w:rPr>
        <w:t xml:space="preserve">the approval of </w:t>
      </w:r>
      <w:r w:rsidR="00FE7EFB" w:rsidRPr="00957B6C">
        <w:rPr>
          <w:bCs/>
          <w:szCs w:val="24"/>
        </w:rPr>
        <w:t>draft work plans</w:t>
      </w:r>
      <w:r w:rsidR="003C5C8E" w:rsidRPr="00957B6C">
        <w:rPr>
          <w:bCs/>
          <w:szCs w:val="24"/>
        </w:rPr>
        <w:t>;</w:t>
      </w:r>
      <w:r w:rsidR="00FE7EFB" w:rsidRPr="00957B6C">
        <w:rPr>
          <w:bCs/>
          <w:szCs w:val="24"/>
        </w:rPr>
        <w:t xml:space="preserve"> </w:t>
      </w:r>
      <w:r w:rsidR="0002269B" w:rsidRPr="00957B6C">
        <w:rPr>
          <w:bCs/>
          <w:szCs w:val="24"/>
        </w:rPr>
        <w:t xml:space="preserve">and </w:t>
      </w:r>
      <w:r w:rsidR="003C5C8E" w:rsidRPr="00957B6C">
        <w:rPr>
          <w:bCs/>
          <w:szCs w:val="24"/>
        </w:rPr>
        <w:t xml:space="preserve">the </w:t>
      </w:r>
      <w:r w:rsidR="0002269B" w:rsidRPr="00957B6C">
        <w:rPr>
          <w:bCs/>
          <w:szCs w:val="24"/>
        </w:rPr>
        <w:t xml:space="preserve">preparation of </w:t>
      </w:r>
      <w:r w:rsidR="00FE7EFB" w:rsidRPr="00957B6C">
        <w:rPr>
          <w:bCs/>
          <w:szCs w:val="24"/>
        </w:rPr>
        <w:t>draft initial outlines/tables of contents of the expected outputs for all Questions and detailed lists of responsibilities.</w:t>
      </w:r>
    </w:p>
    <w:p w14:paraId="07018FD3" w14:textId="77777777" w:rsidR="00F84914" w:rsidRPr="00957B6C" w:rsidRDefault="005F3123" w:rsidP="009B5B24">
      <w:pPr>
        <w:spacing w:after="120"/>
        <w:rPr>
          <w:rFonts w:ascii="Calibri" w:hAnsi="Calibri"/>
          <w:szCs w:val="24"/>
        </w:rPr>
      </w:pPr>
      <w:r w:rsidRPr="00957B6C">
        <w:rPr>
          <w:szCs w:val="24"/>
        </w:rPr>
        <w:t xml:space="preserve">The </w:t>
      </w:r>
      <w:r w:rsidR="000A3CE0" w:rsidRPr="00957B6C">
        <w:rPr>
          <w:rFonts w:ascii="Calibri" w:hAnsi="Calibri"/>
          <w:szCs w:val="24"/>
        </w:rPr>
        <w:t xml:space="preserve">rapporteur group </w:t>
      </w:r>
      <w:r w:rsidR="002943EA" w:rsidRPr="00957B6C">
        <w:rPr>
          <w:rFonts w:ascii="Calibri" w:hAnsi="Calibri"/>
          <w:szCs w:val="24"/>
        </w:rPr>
        <w:t xml:space="preserve">meetings </w:t>
      </w:r>
      <w:r w:rsidR="001500A3" w:rsidRPr="00957B6C">
        <w:rPr>
          <w:rFonts w:ascii="Calibri" w:hAnsi="Calibri"/>
          <w:szCs w:val="24"/>
        </w:rPr>
        <w:t>of ITU</w:t>
      </w:r>
      <w:r w:rsidR="00931EE9" w:rsidRPr="00957B6C">
        <w:rPr>
          <w:rFonts w:ascii="Calibri" w:hAnsi="Calibri"/>
          <w:szCs w:val="24"/>
        </w:rPr>
        <w:t>-D Study Group 2</w:t>
      </w:r>
      <w:r w:rsidR="001F5057" w:rsidRPr="00957B6C">
        <w:rPr>
          <w:rFonts w:ascii="Calibri" w:hAnsi="Calibri"/>
          <w:szCs w:val="24"/>
        </w:rPr>
        <w:t>, held from 1 to 1</w:t>
      </w:r>
      <w:r w:rsidR="002943EA" w:rsidRPr="00957B6C">
        <w:rPr>
          <w:rFonts w:ascii="Calibri" w:hAnsi="Calibri"/>
          <w:szCs w:val="24"/>
        </w:rPr>
        <w:t>1 October 2</w:t>
      </w:r>
      <w:r w:rsidR="00740481" w:rsidRPr="00957B6C">
        <w:rPr>
          <w:rFonts w:ascii="Calibri" w:hAnsi="Calibri"/>
          <w:szCs w:val="24"/>
        </w:rPr>
        <w:t>018</w:t>
      </w:r>
      <w:r w:rsidR="001F5057" w:rsidRPr="00957B6C">
        <w:rPr>
          <w:rFonts w:ascii="Calibri" w:hAnsi="Calibri"/>
          <w:szCs w:val="24"/>
        </w:rPr>
        <w:t>,</w:t>
      </w:r>
      <w:r w:rsidR="008421E5" w:rsidRPr="00957B6C">
        <w:rPr>
          <w:rFonts w:ascii="Calibri" w:hAnsi="Calibri"/>
          <w:szCs w:val="24"/>
        </w:rPr>
        <w:t xml:space="preserve"> </w:t>
      </w:r>
      <w:r w:rsidR="00740481" w:rsidRPr="00957B6C">
        <w:rPr>
          <w:bCs/>
          <w:szCs w:val="24"/>
        </w:rPr>
        <w:t xml:space="preserve">refined the outlines of study group Question deliverables and continued </w:t>
      </w:r>
      <w:r w:rsidR="0002269B" w:rsidRPr="00957B6C">
        <w:rPr>
          <w:bCs/>
          <w:szCs w:val="24"/>
        </w:rPr>
        <w:t xml:space="preserve">the </w:t>
      </w:r>
      <w:r w:rsidR="00740481" w:rsidRPr="00957B6C">
        <w:rPr>
          <w:bCs/>
          <w:szCs w:val="24"/>
        </w:rPr>
        <w:t xml:space="preserve">drafting and exchanging </w:t>
      </w:r>
      <w:r w:rsidR="0002269B" w:rsidRPr="00957B6C">
        <w:rPr>
          <w:bCs/>
          <w:szCs w:val="24"/>
        </w:rPr>
        <w:t xml:space="preserve">of </w:t>
      </w:r>
      <w:r w:rsidR="00163931" w:rsidRPr="00957B6C">
        <w:rPr>
          <w:bCs/>
          <w:szCs w:val="24"/>
        </w:rPr>
        <w:t xml:space="preserve">information </w:t>
      </w:r>
      <w:r w:rsidR="00740481" w:rsidRPr="00957B6C">
        <w:rPr>
          <w:bCs/>
          <w:szCs w:val="24"/>
        </w:rPr>
        <w:t>on chapters of the reports, guidelines and case studies.</w:t>
      </w:r>
      <w:r w:rsidR="00740481" w:rsidRPr="00957B6C">
        <w:rPr>
          <w:rFonts w:ascii="Calibri" w:hAnsi="Calibri"/>
          <w:szCs w:val="24"/>
        </w:rPr>
        <w:t xml:space="preserve"> </w:t>
      </w:r>
    </w:p>
    <w:p w14:paraId="61F7529D" w14:textId="57DD73D1" w:rsidR="009D1EB3" w:rsidRPr="00957B6C" w:rsidRDefault="00CA46E1" w:rsidP="009B5B24">
      <w:pPr>
        <w:tabs>
          <w:tab w:val="clear" w:pos="1134"/>
          <w:tab w:val="clear" w:pos="1871"/>
          <w:tab w:val="clear" w:pos="2268"/>
          <w:tab w:val="left" w:pos="794"/>
          <w:tab w:val="left" w:pos="1191"/>
          <w:tab w:val="left" w:pos="1588"/>
          <w:tab w:val="left" w:pos="1985"/>
        </w:tabs>
        <w:spacing w:after="120"/>
        <w:textAlignment w:val="auto"/>
        <w:rPr>
          <w:bCs/>
        </w:rPr>
      </w:pPr>
      <w:r w:rsidRPr="00957B6C">
        <w:rPr>
          <w:rFonts w:ascii="Calibri" w:hAnsi="Calibri"/>
          <w:szCs w:val="24"/>
        </w:rPr>
        <w:t xml:space="preserve">The second meeting of </w:t>
      </w:r>
      <w:r w:rsidR="004C368B" w:rsidRPr="00957B6C">
        <w:rPr>
          <w:rFonts w:ascii="Calibri" w:hAnsi="Calibri"/>
          <w:szCs w:val="24"/>
        </w:rPr>
        <w:t>Study Group 2</w:t>
      </w:r>
      <w:r w:rsidRPr="00957B6C">
        <w:rPr>
          <w:rFonts w:ascii="Calibri" w:hAnsi="Calibri"/>
          <w:szCs w:val="24"/>
        </w:rPr>
        <w:t xml:space="preserve"> in </w:t>
      </w:r>
      <w:r w:rsidRPr="00957B6C">
        <w:rPr>
          <w:bCs/>
          <w:szCs w:val="24"/>
        </w:rPr>
        <w:t xml:space="preserve">the 2018-2021 study period was </w:t>
      </w:r>
      <w:r w:rsidR="004C368B" w:rsidRPr="00957B6C">
        <w:rPr>
          <w:szCs w:val="24"/>
        </w:rPr>
        <w:t>held from 25 to 29 March 2019</w:t>
      </w:r>
      <w:r w:rsidRPr="00957B6C">
        <w:rPr>
          <w:szCs w:val="24"/>
        </w:rPr>
        <w:t xml:space="preserve"> and brought together</w:t>
      </w:r>
      <w:r w:rsidR="00B31A42" w:rsidRPr="00957B6C">
        <w:rPr>
          <w:szCs w:val="24"/>
        </w:rPr>
        <w:t xml:space="preserve"> </w:t>
      </w:r>
      <w:r w:rsidRPr="00957B6C">
        <w:rPr>
          <w:bCs/>
          <w:szCs w:val="24"/>
        </w:rPr>
        <w:t xml:space="preserve">133 participants from 49 countries. This meeting appointed </w:t>
      </w:r>
      <w:r w:rsidRPr="00957B6C">
        <w:rPr>
          <w:szCs w:val="24"/>
        </w:rPr>
        <w:t xml:space="preserve">two </w:t>
      </w:r>
      <w:r w:rsidRPr="00957B6C">
        <w:rPr>
          <w:bCs/>
          <w:szCs w:val="24"/>
        </w:rPr>
        <w:t>additional co-rapporteurs and seven additional vice-rapporteurs to support the Questions under study;</w:t>
      </w:r>
      <w:r w:rsidRPr="00957B6C">
        <w:rPr>
          <w:szCs w:val="24"/>
        </w:rPr>
        <w:t xml:space="preserve"> received </w:t>
      </w:r>
      <w:r w:rsidRPr="00957B6C">
        <w:rPr>
          <w:bCs/>
          <w:szCs w:val="24"/>
        </w:rPr>
        <w:t>101 contributions to advance the work, including draft chapters for final output reports and annual deliverables;</w:t>
      </w:r>
      <w:r w:rsidRPr="00957B6C">
        <w:rPr>
          <w:szCs w:val="24"/>
        </w:rPr>
        <w:t xml:space="preserve"> received </w:t>
      </w:r>
      <w:r w:rsidRPr="00957B6C">
        <w:rPr>
          <w:bCs/>
          <w:szCs w:val="24"/>
        </w:rPr>
        <w:t xml:space="preserve">27 incoming liaison statements and agreed on and </w:t>
      </w:r>
      <w:r w:rsidR="008A0D8D" w:rsidRPr="00957B6C">
        <w:rPr>
          <w:bCs/>
          <w:szCs w:val="24"/>
        </w:rPr>
        <w:t>dispatched</w:t>
      </w:r>
      <w:r w:rsidRPr="00957B6C">
        <w:rPr>
          <w:bCs/>
          <w:szCs w:val="24"/>
        </w:rPr>
        <w:t xml:space="preserve"> 15 outgoing liaison statements.</w:t>
      </w:r>
      <w:r w:rsidR="00760C4A" w:rsidRPr="00957B6C">
        <w:rPr>
          <w:szCs w:val="24"/>
        </w:rPr>
        <w:t xml:space="preserve"> </w:t>
      </w:r>
    </w:p>
    <w:p w14:paraId="68293D61" w14:textId="1F4D756F" w:rsidR="009D1EB3" w:rsidRPr="00957B6C" w:rsidRDefault="00B31A42" w:rsidP="00C2145C">
      <w:pPr>
        <w:tabs>
          <w:tab w:val="clear" w:pos="1134"/>
          <w:tab w:val="clear" w:pos="1871"/>
          <w:tab w:val="clear" w:pos="2268"/>
          <w:tab w:val="left" w:pos="794"/>
          <w:tab w:val="left" w:pos="1191"/>
          <w:tab w:val="left" w:pos="1588"/>
          <w:tab w:val="left" w:pos="1985"/>
        </w:tabs>
        <w:spacing w:after="120"/>
        <w:textAlignment w:val="auto"/>
      </w:pPr>
      <w:r w:rsidRPr="00957B6C">
        <w:t xml:space="preserve">Study Group 2 </w:t>
      </w:r>
      <w:r w:rsidR="009D1EB3" w:rsidRPr="00957B6C">
        <w:t xml:space="preserve">considered one annual deliverable, entitled “A holistic approach to creating smart societies” submitted by the Rapporteur Group for Question 1/2 for release. The deliverable </w:t>
      </w:r>
      <w:r w:rsidR="009D1EB3" w:rsidRPr="00957B6C">
        <w:rPr>
          <w:szCs w:val="24"/>
          <w:lang w:eastAsia="fr-FR"/>
        </w:rPr>
        <w:t xml:space="preserve">seeks </w:t>
      </w:r>
      <w:r w:rsidR="009D1EB3" w:rsidRPr="00957B6C">
        <w:rPr>
          <w:szCs w:val="24"/>
          <w:lang w:eastAsia="fr-FR"/>
        </w:rPr>
        <w:lastRenderedPageBreak/>
        <w:t>to provide</w:t>
      </w:r>
      <w:r w:rsidRPr="00957B6C">
        <w:rPr>
          <w:szCs w:val="24"/>
          <w:lang w:eastAsia="fr-FR"/>
        </w:rPr>
        <w:t xml:space="preserve"> </w:t>
      </w:r>
      <w:r w:rsidR="009D1EB3" w:rsidRPr="00957B6C">
        <w:rPr>
          <w:szCs w:val="24"/>
          <w:lang w:eastAsia="fr-FR"/>
        </w:rPr>
        <w:t>key principles of</w:t>
      </w:r>
      <w:r w:rsidRPr="00957B6C">
        <w:rPr>
          <w:szCs w:val="24"/>
          <w:lang w:eastAsia="fr-FR"/>
        </w:rPr>
        <w:t xml:space="preserve"> a holistic approach to creating</w:t>
      </w:r>
      <w:r w:rsidR="009D1EB3" w:rsidRPr="00957B6C">
        <w:rPr>
          <w:szCs w:val="24"/>
          <w:lang w:eastAsia="fr-FR"/>
        </w:rPr>
        <w:t xml:space="preserve"> smart societies, describe</w:t>
      </w:r>
      <w:r w:rsidRPr="00957B6C">
        <w:rPr>
          <w:szCs w:val="24"/>
          <w:lang w:eastAsia="fr-FR"/>
        </w:rPr>
        <w:t>s</w:t>
      </w:r>
      <w:r w:rsidR="009D1EB3" w:rsidRPr="00957B6C">
        <w:rPr>
          <w:szCs w:val="24"/>
          <w:lang w:eastAsia="fr-FR"/>
        </w:rPr>
        <w:t xml:space="preserve"> components of a layered architecture of a smart city and society</w:t>
      </w:r>
      <w:r w:rsidRPr="00957B6C">
        <w:rPr>
          <w:szCs w:val="24"/>
          <w:lang w:eastAsia="fr-FR"/>
        </w:rPr>
        <w:t xml:space="preserve"> and features </w:t>
      </w:r>
      <w:r w:rsidR="009D1EB3" w:rsidRPr="00957B6C">
        <w:rPr>
          <w:szCs w:val="24"/>
          <w:lang w:eastAsia="fr-FR"/>
        </w:rPr>
        <w:t xml:space="preserve">some related case studies. </w:t>
      </w:r>
      <w:r w:rsidR="009D1EB3" w:rsidRPr="00957B6C">
        <w:t xml:space="preserve">A panel session was also held to present the deliverable and debate </w:t>
      </w:r>
      <w:r w:rsidR="00C2145C">
        <w:t>on</w:t>
      </w:r>
      <w:r w:rsidR="009D1EB3" w:rsidRPr="00957B6C">
        <w:t xml:space="preserve"> these topics. </w:t>
      </w:r>
      <w:r w:rsidR="0013724A" w:rsidRPr="00957B6C">
        <w:t>T</w:t>
      </w:r>
      <w:r w:rsidR="009D1EB3" w:rsidRPr="00957B6C">
        <w:t xml:space="preserve">his annual deliverable </w:t>
      </w:r>
      <w:r w:rsidR="0013724A" w:rsidRPr="00957B6C">
        <w:t xml:space="preserve">has been released </w:t>
      </w:r>
      <w:r w:rsidR="009D1EB3" w:rsidRPr="00957B6C">
        <w:t xml:space="preserve">under the auspices of the </w:t>
      </w:r>
      <w:r w:rsidR="009D1EB3" w:rsidRPr="00957B6C">
        <w:rPr>
          <w:bCs/>
          <w:szCs w:val="24"/>
        </w:rPr>
        <w:t>Chairman of Study Group 2</w:t>
      </w:r>
      <w:r w:rsidR="009D1EB3" w:rsidRPr="00957B6C">
        <w:t xml:space="preserve"> in order to provide the membership with timely information as well as to </w:t>
      </w:r>
      <w:r w:rsidR="008A0D8D" w:rsidRPr="00957B6C">
        <w:t>encourage</w:t>
      </w:r>
      <w:r w:rsidR="009D1EB3" w:rsidRPr="00957B6C">
        <w:t xml:space="preserve"> and </w:t>
      </w:r>
      <w:r w:rsidR="008A0D8D" w:rsidRPr="00957B6C">
        <w:t>facilitate</w:t>
      </w:r>
      <w:r w:rsidR="009D1EB3" w:rsidRPr="00957B6C">
        <w:t xml:space="preserve"> further contributions on this topic.</w:t>
      </w:r>
    </w:p>
    <w:p w14:paraId="1124A51B" w14:textId="5E38C16B" w:rsidR="002943EA" w:rsidRPr="00957B6C" w:rsidRDefault="00B765A9" w:rsidP="00C2145C">
      <w:pPr>
        <w:tabs>
          <w:tab w:val="clear" w:pos="1134"/>
          <w:tab w:val="clear" w:pos="1871"/>
          <w:tab w:val="clear" w:pos="2268"/>
          <w:tab w:val="left" w:pos="794"/>
          <w:tab w:val="left" w:pos="1191"/>
          <w:tab w:val="left" w:pos="1588"/>
          <w:tab w:val="left" w:pos="1985"/>
        </w:tabs>
        <w:spacing w:after="120"/>
        <w:textAlignment w:val="auto"/>
      </w:pPr>
      <w:r w:rsidRPr="00957B6C">
        <w:t>TDAG noted from the presentations that b</w:t>
      </w:r>
      <w:r w:rsidR="00F84914" w:rsidRPr="00957B6C">
        <w:t xml:space="preserve">oth study groups </w:t>
      </w:r>
      <w:r w:rsidRPr="00957B6C">
        <w:t>had also b</w:t>
      </w:r>
      <w:r w:rsidR="00F84914" w:rsidRPr="00957B6C">
        <w:t xml:space="preserve">een </w:t>
      </w:r>
      <w:r w:rsidR="00A5372D" w:rsidRPr="00957B6C">
        <w:t>building synergies between the work undertaken in the study Questions and the activities in the region</w:t>
      </w:r>
      <w:r w:rsidR="00F9789D" w:rsidRPr="00957B6C">
        <w:t>s</w:t>
      </w:r>
      <w:r w:rsidR="00C638AC" w:rsidRPr="00957B6C">
        <w:t>.</w:t>
      </w:r>
      <w:r w:rsidR="00A5372D" w:rsidRPr="00957B6C">
        <w:t xml:space="preserve"> Expert </w:t>
      </w:r>
      <w:r w:rsidR="00B31C9D" w:rsidRPr="00957B6C">
        <w:t xml:space="preserve">knowledge exchanges </w:t>
      </w:r>
      <w:r w:rsidR="00A5372D" w:rsidRPr="00957B6C">
        <w:t xml:space="preserve">on specific study topics </w:t>
      </w:r>
      <w:r w:rsidRPr="00957B6C">
        <w:t xml:space="preserve">were </w:t>
      </w:r>
      <w:r w:rsidR="00A5372D" w:rsidRPr="00957B6C">
        <w:t xml:space="preserve">conducted in several countries in 2018. Good progress has also been made on identifying possible linkages between ITU-D study Questions with ITU projects, ITU capacity building activities, and WSIS activities, as well as with the work in the other </w:t>
      </w:r>
      <w:r w:rsidR="00C638AC" w:rsidRPr="00957B6C">
        <w:t xml:space="preserve">ITU </w:t>
      </w:r>
      <w:r w:rsidR="00A5372D" w:rsidRPr="00957B6C">
        <w:t>Sectors. The value of topical panel sessions during the study group and rapporteur group meetings was acknowledged</w:t>
      </w:r>
      <w:r w:rsidR="00C2145C">
        <w:t>, as were the</w:t>
      </w:r>
      <w:r w:rsidR="00A5372D" w:rsidRPr="00957B6C">
        <w:t xml:space="preserve"> additional sessions planned for the </w:t>
      </w:r>
      <w:r w:rsidR="0081047D" w:rsidRPr="00957B6C">
        <w:t>upc</w:t>
      </w:r>
      <w:r w:rsidRPr="00957B6C">
        <w:t>o</w:t>
      </w:r>
      <w:r w:rsidR="0081047D" w:rsidRPr="00957B6C">
        <w:t xml:space="preserve">ming </w:t>
      </w:r>
      <w:r w:rsidR="00A5372D" w:rsidRPr="00957B6C">
        <w:t>rapporteur group meetings</w:t>
      </w:r>
      <w:r w:rsidR="0081047D" w:rsidRPr="00957B6C">
        <w:t xml:space="preserve"> in October 2019</w:t>
      </w:r>
      <w:r w:rsidR="00A5372D" w:rsidRPr="00957B6C">
        <w:t>.</w:t>
      </w:r>
      <w:r w:rsidR="009D1EB3" w:rsidRPr="00957B6C">
        <w:t xml:space="preserve"> </w:t>
      </w:r>
    </w:p>
    <w:tbl>
      <w:tblPr>
        <w:tblStyle w:val="TableGrid"/>
        <w:tblW w:w="0" w:type="auto"/>
        <w:tblLook w:val="04A0" w:firstRow="1" w:lastRow="0" w:firstColumn="1" w:lastColumn="0" w:noHBand="0" w:noVBand="1"/>
      </w:tblPr>
      <w:tblGrid>
        <w:gridCol w:w="9629"/>
      </w:tblGrid>
      <w:tr w:rsidR="00B80F70" w:rsidRPr="00957B6C" w14:paraId="65DFB445" w14:textId="77777777" w:rsidTr="2D9C0B70">
        <w:tc>
          <w:tcPr>
            <w:tcW w:w="9629" w:type="dxa"/>
          </w:tcPr>
          <w:p w14:paraId="45DEC1BE" w14:textId="77777777" w:rsidR="00FD1E59" w:rsidRPr="00957B6C" w:rsidRDefault="00FD1E59" w:rsidP="009B5B24">
            <w:pPr>
              <w:spacing w:after="120"/>
              <w:rPr>
                <w:szCs w:val="24"/>
              </w:rPr>
            </w:pPr>
            <w:r w:rsidRPr="00957B6C">
              <w:rPr>
                <w:szCs w:val="24"/>
              </w:rPr>
              <w:t xml:space="preserve">TDAG commended the Chairman of ITU-D Study Group 2, Dr Ahmad Reza Sharafat, for the </w:t>
            </w:r>
            <w:r w:rsidR="00C638AC" w:rsidRPr="00957B6C">
              <w:rPr>
                <w:szCs w:val="24"/>
              </w:rPr>
              <w:t xml:space="preserve">study </w:t>
            </w:r>
            <w:r w:rsidRPr="00957B6C">
              <w:rPr>
                <w:szCs w:val="24"/>
              </w:rPr>
              <w:t xml:space="preserve">group achievements made since the new study period 2018-2021. </w:t>
            </w:r>
          </w:p>
          <w:p w14:paraId="6B603BB6" w14:textId="3C920A84" w:rsidR="00B80F70" w:rsidRPr="00957B6C" w:rsidRDefault="00E150E9" w:rsidP="008B7452">
            <w:pPr>
              <w:spacing w:after="120"/>
              <w:rPr>
                <w:rFonts w:ascii="Calibri" w:hAnsi="Calibri"/>
                <w:szCs w:val="24"/>
                <w:lang w:eastAsia="zh-CN"/>
              </w:rPr>
            </w:pPr>
            <w:r w:rsidRPr="00E150E9">
              <w:rPr>
                <w:szCs w:val="24"/>
              </w:rPr>
              <w:t>TDAG noted that the ITU-D study group website will feature a new area that showcases ongoing work</w:t>
            </w:r>
            <w:r>
              <w:rPr>
                <w:szCs w:val="24"/>
              </w:rPr>
              <w:t xml:space="preserve">. </w:t>
            </w:r>
            <w:r w:rsidR="00F80EA8" w:rsidRPr="00957B6C">
              <w:rPr>
                <w:szCs w:val="24"/>
              </w:rPr>
              <w:t>TDAG also addressed the question of involving possible external publishing companies to showcase quality work, and noted that this is something to be discussed further.</w:t>
            </w:r>
          </w:p>
        </w:tc>
      </w:tr>
    </w:tbl>
    <w:p w14:paraId="52139E58" w14:textId="1C3370CA" w:rsidR="00EC4DCA" w:rsidRPr="00D35C6B" w:rsidRDefault="00855A13" w:rsidP="00810998">
      <w:pPr>
        <w:keepNext/>
        <w:rPr>
          <w:b/>
          <w:bCs/>
          <w:lang w:val="en-US"/>
        </w:rPr>
      </w:pPr>
      <w:r>
        <w:rPr>
          <w:b/>
          <w:bCs/>
          <w:lang w:val="en-US"/>
        </w:rPr>
        <w:t xml:space="preserve">Breakout session: </w:t>
      </w:r>
      <w:r w:rsidR="00EC4DCA" w:rsidRPr="00D35C6B">
        <w:rPr>
          <w:b/>
          <w:bCs/>
          <w:lang w:val="en-US"/>
        </w:rPr>
        <w:t xml:space="preserve">ITU-D study groups - </w:t>
      </w:r>
      <w:r w:rsidR="00EC4DCA">
        <w:rPr>
          <w:b/>
          <w:bCs/>
          <w:lang w:val="en-US"/>
        </w:rPr>
        <w:t>increasing efficiency</w:t>
      </w:r>
    </w:p>
    <w:p w14:paraId="55AE89A8" w14:textId="62DB9454" w:rsidR="00EC4DCA" w:rsidRDefault="00EC4DCA">
      <w:pPr>
        <w:rPr>
          <w:lang w:val="en-US"/>
        </w:rPr>
      </w:pPr>
      <w:r w:rsidRPr="00D35C6B">
        <w:rPr>
          <w:lang w:val="en-US"/>
        </w:rPr>
        <w:t xml:space="preserve">The breakout session on ITU-D study groups considered three main issues to identify approaches and mechanisms to </w:t>
      </w:r>
      <w:r>
        <w:rPr>
          <w:lang w:val="en-US"/>
        </w:rPr>
        <w:t>increase the efficiency and meaningfulness of</w:t>
      </w:r>
      <w:r w:rsidRPr="00D35C6B">
        <w:rPr>
          <w:lang w:val="en-US"/>
        </w:rPr>
        <w:t xml:space="preserve"> ITU-D study group activities and outputs: </w:t>
      </w:r>
      <w:r>
        <w:rPr>
          <w:lang w:val="en-US"/>
        </w:rPr>
        <w:t>(</w:t>
      </w:r>
      <w:r w:rsidRPr="00D35C6B">
        <w:rPr>
          <w:lang w:val="en-US"/>
        </w:rPr>
        <w:t xml:space="preserve">1) ITU-D </w:t>
      </w:r>
      <w:r>
        <w:rPr>
          <w:lang w:val="en-US"/>
        </w:rPr>
        <w:t>study group</w:t>
      </w:r>
      <w:r w:rsidRPr="00D35C6B">
        <w:rPr>
          <w:lang w:val="en-US"/>
        </w:rPr>
        <w:t xml:space="preserve">s as a platform, </w:t>
      </w:r>
      <w:r>
        <w:rPr>
          <w:lang w:val="en-US"/>
        </w:rPr>
        <w:t>(</w:t>
      </w:r>
      <w:r w:rsidRPr="00D35C6B">
        <w:rPr>
          <w:lang w:val="en-US"/>
        </w:rPr>
        <w:t xml:space="preserve">2) ITU-D </w:t>
      </w:r>
      <w:r>
        <w:rPr>
          <w:lang w:val="en-US"/>
        </w:rPr>
        <w:t>study group</w:t>
      </w:r>
      <w:r w:rsidRPr="00D35C6B">
        <w:rPr>
          <w:lang w:val="en-US"/>
        </w:rPr>
        <w:t xml:space="preserve"> deliverables and </w:t>
      </w:r>
      <w:r>
        <w:rPr>
          <w:lang w:val="en-US"/>
        </w:rPr>
        <w:t>(</w:t>
      </w:r>
      <w:r w:rsidRPr="00D35C6B">
        <w:rPr>
          <w:lang w:val="en-US"/>
        </w:rPr>
        <w:t xml:space="preserve">3) </w:t>
      </w:r>
      <w:r>
        <w:rPr>
          <w:lang w:val="en-US"/>
        </w:rPr>
        <w:t>the</w:t>
      </w:r>
      <w:r w:rsidRPr="00D35C6B">
        <w:rPr>
          <w:lang w:val="en-US"/>
        </w:rPr>
        <w:t xml:space="preserve"> generat</w:t>
      </w:r>
      <w:r>
        <w:rPr>
          <w:lang w:val="en-US"/>
        </w:rPr>
        <w:t xml:space="preserve">ion by members of </w:t>
      </w:r>
      <w:r w:rsidRPr="00D35C6B">
        <w:rPr>
          <w:lang w:val="en-US"/>
        </w:rPr>
        <w:t xml:space="preserve">great inputs for excellent outputs of ITU-D </w:t>
      </w:r>
      <w:r>
        <w:rPr>
          <w:lang w:val="en-US"/>
        </w:rPr>
        <w:t>study groups</w:t>
      </w:r>
      <w:r w:rsidRPr="00D35C6B">
        <w:rPr>
          <w:lang w:val="en-US"/>
        </w:rPr>
        <w:t xml:space="preserve">. To allow for in-depth discussions in ITU-D </w:t>
      </w:r>
      <w:r>
        <w:rPr>
          <w:lang w:val="en-US"/>
        </w:rPr>
        <w:t>study group</w:t>
      </w:r>
      <w:r w:rsidRPr="00D35C6B">
        <w:rPr>
          <w:lang w:val="en-US"/>
        </w:rPr>
        <w:t xml:space="preserve"> meetings, the </w:t>
      </w:r>
      <w:r>
        <w:rPr>
          <w:lang w:val="en-US"/>
        </w:rPr>
        <w:t>participation</w:t>
      </w:r>
      <w:r w:rsidRPr="00D35C6B">
        <w:rPr>
          <w:lang w:val="en-US"/>
        </w:rPr>
        <w:t xml:space="preserve"> of experts should be ensured. Alternative mechanisms could be further explored (</w:t>
      </w:r>
      <w:r w:rsidR="000A0585">
        <w:rPr>
          <w:lang w:val="en-US"/>
        </w:rPr>
        <w:t xml:space="preserve">including </w:t>
      </w:r>
      <w:r w:rsidRPr="00D35C6B">
        <w:rPr>
          <w:lang w:val="en-US"/>
        </w:rPr>
        <w:t xml:space="preserve">1-1 matchmaking </w:t>
      </w:r>
      <w:r w:rsidR="000A0585">
        <w:rPr>
          <w:lang w:val="en-US"/>
        </w:rPr>
        <w:t xml:space="preserve">and </w:t>
      </w:r>
      <w:r w:rsidRPr="00D35C6B">
        <w:rPr>
          <w:lang w:val="en-US"/>
        </w:rPr>
        <w:t xml:space="preserve">online collaboration and exchange) to provide stakeholders with opportunities to exchange </w:t>
      </w:r>
      <w:r>
        <w:rPr>
          <w:lang w:val="en-US"/>
        </w:rPr>
        <w:t>experiences</w:t>
      </w:r>
      <w:r w:rsidRPr="00D35C6B">
        <w:rPr>
          <w:lang w:val="en-US"/>
        </w:rPr>
        <w:t xml:space="preserve">. While the content of the deliverables was </w:t>
      </w:r>
      <w:r>
        <w:rPr>
          <w:lang w:val="en-US"/>
        </w:rPr>
        <w:t>satisfactory overall</w:t>
      </w:r>
      <w:r w:rsidRPr="00D35C6B">
        <w:rPr>
          <w:lang w:val="en-US"/>
        </w:rPr>
        <w:t>, more efforts are needed to raise awareness, present and share such reports and guidelines</w:t>
      </w:r>
      <w:r w:rsidR="00F312C2">
        <w:rPr>
          <w:lang w:val="en-US"/>
        </w:rPr>
        <w:t xml:space="preserve"> to a wider audience</w:t>
      </w:r>
      <w:r w:rsidRPr="00D35C6B">
        <w:rPr>
          <w:lang w:val="en-US"/>
        </w:rPr>
        <w:t xml:space="preserve">. Consolidated topical reports and the revision of existing reports to ensure that they reflect the changing digital environment was encouraged. Countries in particular regions would further benefit from deliverables that are customized to specific needs of the regions. Such a regional focus and additional in-depth input from the countries could be achieved through closer collaboration with regional and area offices. As for the meetings of ITU-D </w:t>
      </w:r>
      <w:r>
        <w:rPr>
          <w:lang w:val="en-US"/>
        </w:rPr>
        <w:t>study groups</w:t>
      </w:r>
      <w:r w:rsidRPr="00D35C6B">
        <w:rPr>
          <w:lang w:val="en-US"/>
        </w:rPr>
        <w:t xml:space="preserve">, it is necessary to reconsider the structure and schedule of work to balance the allocated time and associated workload of each </w:t>
      </w:r>
      <w:r w:rsidR="00C2145C">
        <w:rPr>
          <w:lang w:val="en-US"/>
        </w:rPr>
        <w:t>r</w:t>
      </w:r>
      <w:r w:rsidRPr="00D35C6B">
        <w:rPr>
          <w:lang w:val="en-US"/>
        </w:rPr>
        <w:t xml:space="preserve">apporteur </w:t>
      </w:r>
      <w:r w:rsidR="00C2145C">
        <w:rPr>
          <w:lang w:val="en-US"/>
        </w:rPr>
        <w:t>g</w:t>
      </w:r>
      <w:r w:rsidRPr="00D35C6B">
        <w:rPr>
          <w:lang w:val="en-US"/>
        </w:rPr>
        <w:t>roup.</w:t>
      </w:r>
    </w:p>
    <w:p w14:paraId="23E3DD41" w14:textId="7C7AC0D5" w:rsidR="0075515D" w:rsidRPr="003B551C" w:rsidRDefault="003B551C" w:rsidP="00810998">
      <w:pPr>
        <w:keepNext/>
        <w:spacing w:before="240" w:after="120"/>
        <w:ind w:left="505" w:hanging="505"/>
        <w:rPr>
          <w:rStyle w:val="StyleComplex12pt"/>
          <w:rFonts w:cstheme="minorHAnsi"/>
          <w:b/>
          <w:bCs/>
        </w:rPr>
      </w:pPr>
      <w:r>
        <w:rPr>
          <w:rStyle w:val="StyleComplex12pt"/>
          <w:rFonts w:cstheme="minorHAnsi"/>
          <w:b/>
          <w:bCs/>
        </w:rPr>
        <w:t>9.1</w:t>
      </w:r>
      <w:r>
        <w:rPr>
          <w:rStyle w:val="StyleComplex12pt"/>
          <w:rFonts w:cstheme="minorHAnsi"/>
          <w:b/>
          <w:bCs/>
        </w:rPr>
        <w:tab/>
      </w:r>
      <w:r w:rsidR="001D7DAE">
        <w:rPr>
          <w:rStyle w:val="StyleComplex12pt"/>
          <w:rFonts w:cstheme="minorHAnsi"/>
          <w:b/>
          <w:bCs/>
        </w:rPr>
        <w:t xml:space="preserve">Appointment </w:t>
      </w:r>
      <w:r w:rsidR="0075515D" w:rsidRPr="003B551C">
        <w:rPr>
          <w:rStyle w:val="StyleComplex12pt"/>
          <w:rFonts w:cstheme="minorHAnsi"/>
          <w:b/>
          <w:bCs/>
        </w:rPr>
        <w:t xml:space="preserve">of </w:t>
      </w:r>
      <w:r w:rsidR="006B0198" w:rsidRPr="003B551C">
        <w:rPr>
          <w:rStyle w:val="StyleComplex12pt"/>
          <w:rFonts w:cstheme="minorHAnsi"/>
          <w:b/>
          <w:bCs/>
        </w:rPr>
        <w:t xml:space="preserve">two </w:t>
      </w:r>
      <w:r w:rsidR="0075515D" w:rsidRPr="003B551C">
        <w:rPr>
          <w:rStyle w:val="StyleComplex12pt"/>
          <w:rFonts w:cstheme="minorHAnsi"/>
          <w:b/>
          <w:bCs/>
        </w:rPr>
        <w:t>new Study Group Vice-</w:t>
      </w:r>
      <w:r w:rsidR="006B0198" w:rsidRPr="003B551C">
        <w:rPr>
          <w:rStyle w:val="StyleComplex12pt"/>
          <w:rFonts w:cstheme="minorHAnsi"/>
          <w:b/>
          <w:bCs/>
        </w:rPr>
        <w:t xml:space="preserve">Chairmen </w:t>
      </w:r>
      <w:r w:rsidR="0075515D" w:rsidRPr="003B551C">
        <w:rPr>
          <w:rStyle w:val="StyleComplex12pt"/>
          <w:rFonts w:cstheme="minorHAnsi"/>
          <w:b/>
          <w:bCs/>
        </w:rPr>
        <w:t>to vacant position</w:t>
      </w:r>
      <w:r w:rsidR="006B0198" w:rsidRPr="003B551C">
        <w:rPr>
          <w:rStyle w:val="StyleComplex12pt"/>
          <w:rFonts w:cstheme="minorHAnsi"/>
          <w:b/>
          <w:bCs/>
        </w:rPr>
        <w:t>s</w:t>
      </w:r>
    </w:p>
    <w:p w14:paraId="77ABDDAD" w14:textId="5B31CD5C" w:rsidR="00F76C66" w:rsidRPr="00957B6C" w:rsidRDefault="00B8346F" w:rsidP="00C2145C">
      <w:pPr>
        <w:spacing w:after="120"/>
        <w:rPr>
          <w:szCs w:val="24"/>
        </w:rPr>
      </w:pPr>
      <w:hyperlink r:id="rId20" w:history="1">
        <w:r w:rsidR="00C72C8F" w:rsidRPr="00957B6C">
          <w:rPr>
            <w:rStyle w:val="Hyperlink"/>
            <w:rFonts w:cstheme="minorBidi"/>
            <w:b/>
            <w:bCs/>
          </w:rPr>
          <w:t>Document 8</w:t>
        </w:r>
      </w:hyperlink>
      <w:r w:rsidR="00C72C8F" w:rsidRPr="00957B6C">
        <w:rPr>
          <w:rFonts w:cstheme="minorBidi"/>
          <w:b/>
          <w:bCs/>
          <w:color w:val="000000" w:themeColor="text1"/>
        </w:rPr>
        <w:t>:</w:t>
      </w:r>
      <w:r w:rsidR="00C72C8F" w:rsidRPr="00957B6C">
        <w:rPr>
          <w:rFonts w:cstheme="minorBidi"/>
          <w:color w:val="000000" w:themeColor="text1"/>
        </w:rPr>
        <w:t xml:space="preserve"> </w:t>
      </w:r>
      <w:r w:rsidR="00C72C8F" w:rsidRPr="00957B6C">
        <w:rPr>
          <w:rFonts w:cstheme="minorBidi"/>
        </w:rPr>
        <w:t>“</w:t>
      </w:r>
      <w:r w:rsidR="001B1D4B" w:rsidRPr="00957B6C">
        <w:rPr>
          <w:rFonts w:cstheme="minorBidi"/>
        </w:rPr>
        <w:t xml:space="preserve">Appointment of </w:t>
      </w:r>
      <w:r w:rsidR="00F76C66" w:rsidRPr="00957B6C">
        <w:rPr>
          <w:rFonts w:cstheme="minorBidi"/>
        </w:rPr>
        <w:t>two</w:t>
      </w:r>
      <w:r w:rsidR="001B1D4B" w:rsidRPr="00957B6C">
        <w:rPr>
          <w:rFonts w:cstheme="minorBidi"/>
        </w:rPr>
        <w:t xml:space="preserve"> new Vice-Chairm</w:t>
      </w:r>
      <w:r w:rsidR="00F76C66" w:rsidRPr="00957B6C">
        <w:rPr>
          <w:rFonts w:cstheme="minorBidi"/>
        </w:rPr>
        <w:t>en of ITU-D Study Groups</w:t>
      </w:r>
      <w:r w:rsidR="00C72C8F" w:rsidRPr="00957B6C">
        <w:rPr>
          <w:rFonts w:cstheme="minorBidi"/>
        </w:rPr>
        <w:t>”</w:t>
      </w:r>
      <w:r w:rsidR="00C72C8F" w:rsidRPr="00957B6C">
        <w:rPr>
          <w:rFonts w:cstheme="minorBidi"/>
          <w:b/>
          <w:bCs/>
        </w:rPr>
        <w:t xml:space="preserve"> </w:t>
      </w:r>
      <w:r w:rsidR="00E002F6" w:rsidRPr="00957B6C">
        <w:t xml:space="preserve">contains </w:t>
      </w:r>
      <w:r w:rsidR="00CA65F5" w:rsidRPr="00957B6C">
        <w:t xml:space="preserve">nomination </w:t>
      </w:r>
      <w:r w:rsidR="00E002F6" w:rsidRPr="00957B6C">
        <w:t>letter</w:t>
      </w:r>
      <w:r w:rsidR="00CA65F5" w:rsidRPr="00957B6C">
        <w:t>s</w:t>
      </w:r>
      <w:r w:rsidR="00E002F6" w:rsidRPr="00957B6C">
        <w:t xml:space="preserve"> from the </w:t>
      </w:r>
      <w:r w:rsidR="00B31C9D" w:rsidRPr="00957B6C">
        <w:t xml:space="preserve">administrations </w:t>
      </w:r>
      <w:r w:rsidR="00CA65F5" w:rsidRPr="00957B6C">
        <w:t xml:space="preserve">of the </w:t>
      </w:r>
      <w:r w:rsidR="007B5299" w:rsidRPr="00957B6C">
        <w:t xml:space="preserve">Russian Federation </w:t>
      </w:r>
      <w:r w:rsidR="00CA65F5" w:rsidRPr="00957B6C">
        <w:t>and the</w:t>
      </w:r>
      <w:r w:rsidR="00CA65F5" w:rsidRPr="00957B6C">
        <w:rPr>
          <w:rFonts w:cstheme="minorBidi"/>
        </w:rPr>
        <w:t xml:space="preserve"> United Arab Emirates</w:t>
      </w:r>
      <w:r w:rsidR="00CA65F5" w:rsidRPr="00957B6C">
        <w:t xml:space="preserve"> </w:t>
      </w:r>
      <w:r w:rsidR="007B5299" w:rsidRPr="00957B6C">
        <w:t>putting forward</w:t>
      </w:r>
      <w:r w:rsidR="002725A9" w:rsidRPr="00957B6C">
        <w:t>, respectively,</w:t>
      </w:r>
      <w:r w:rsidR="007B5299" w:rsidRPr="00957B6C">
        <w:t xml:space="preserve"> the candidature</w:t>
      </w:r>
      <w:r w:rsidR="00CA65F5" w:rsidRPr="00957B6C">
        <w:t>s</w:t>
      </w:r>
      <w:r w:rsidR="007B5299" w:rsidRPr="00957B6C">
        <w:t xml:space="preserve"> of Ms</w:t>
      </w:r>
      <w:r w:rsidR="00F76C66" w:rsidRPr="00957B6C">
        <w:t xml:space="preserve"> Anastasia Sergeyevna Konukhova, </w:t>
      </w:r>
      <w:r w:rsidR="007B5299" w:rsidRPr="00957B6C">
        <w:t xml:space="preserve">an international legal protection specialist at </w:t>
      </w:r>
      <w:r w:rsidR="00EA49BF" w:rsidRPr="00957B6C">
        <w:t>the Analysis Center of the Federal State Unitary Enterprise Radio Research and Development Institute</w:t>
      </w:r>
      <w:r w:rsidR="00C2145C">
        <w:t xml:space="preserve"> </w:t>
      </w:r>
      <w:r w:rsidR="007B5299" w:rsidRPr="00957B6C">
        <w:t xml:space="preserve">for </w:t>
      </w:r>
      <w:r w:rsidR="00F76C66" w:rsidRPr="00957B6C">
        <w:t xml:space="preserve">the post of </w:t>
      </w:r>
      <w:r w:rsidR="00F76C66" w:rsidRPr="00957B6C">
        <w:rPr>
          <w:rFonts w:cstheme="minorBidi"/>
        </w:rPr>
        <w:t>V</w:t>
      </w:r>
      <w:r w:rsidR="00F76C66" w:rsidRPr="00957B6C">
        <w:rPr>
          <w:rFonts w:cstheme="minorBidi"/>
          <w:color w:val="000000" w:themeColor="text1"/>
        </w:rPr>
        <w:t xml:space="preserve">ice-Chairman of ITU-D Study </w:t>
      </w:r>
      <w:r w:rsidR="00F76C66" w:rsidRPr="00957B6C">
        <w:rPr>
          <w:rFonts w:cstheme="minorBidi"/>
          <w:color w:val="000000" w:themeColor="text1"/>
        </w:rPr>
        <w:lastRenderedPageBreak/>
        <w:t>Group 1; and</w:t>
      </w:r>
      <w:r w:rsidR="00CA65F5" w:rsidRPr="00957B6C">
        <w:rPr>
          <w:rFonts w:cstheme="minorBidi"/>
          <w:color w:val="000000" w:themeColor="text1"/>
        </w:rPr>
        <w:t xml:space="preserve"> Mr</w:t>
      </w:r>
      <w:r w:rsidR="00CA65F5" w:rsidRPr="00957B6C">
        <w:t xml:space="preserve"> Abdelaziz Alzarooni, Information Security Engineer,</w:t>
      </w:r>
      <w:r w:rsidR="00F76C66" w:rsidRPr="00957B6C">
        <w:rPr>
          <w:rFonts w:cstheme="minorBidi"/>
          <w:color w:val="000000" w:themeColor="text1"/>
        </w:rPr>
        <w:t xml:space="preserve"> </w:t>
      </w:r>
      <w:r w:rsidR="00C2145C">
        <w:rPr>
          <w:rFonts w:cstheme="minorBidi"/>
          <w:color w:val="000000" w:themeColor="text1"/>
        </w:rPr>
        <w:t xml:space="preserve">for the post of </w:t>
      </w:r>
      <w:r w:rsidR="00F76C66" w:rsidRPr="00957B6C">
        <w:rPr>
          <w:szCs w:val="24"/>
        </w:rPr>
        <w:t xml:space="preserve">Vice-Chairman of </w:t>
      </w:r>
      <w:r w:rsidR="00CA65F5" w:rsidRPr="00957B6C">
        <w:rPr>
          <w:szCs w:val="24"/>
        </w:rPr>
        <w:t xml:space="preserve">ITU-D </w:t>
      </w:r>
      <w:r w:rsidR="00F76C66" w:rsidRPr="00957B6C">
        <w:rPr>
          <w:szCs w:val="24"/>
        </w:rPr>
        <w:t>Study Group 2.</w:t>
      </w:r>
    </w:p>
    <w:tbl>
      <w:tblPr>
        <w:tblStyle w:val="TableGrid"/>
        <w:tblW w:w="0" w:type="auto"/>
        <w:tblLook w:val="04A0" w:firstRow="1" w:lastRow="0" w:firstColumn="1" w:lastColumn="0" w:noHBand="0" w:noVBand="1"/>
      </w:tblPr>
      <w:tblGrid>
        <w:gridCol w:w="9629"/>
      </w:tblGrid>
      <w:tr w:rsidR="00C72C8F" w:rsidRPr="00957B6C" w14:paraId="6FAC950F" w14:textId="77777777" w:rsidTr="00660D9E">
        <w:tc>
          <w:tcPr>
            <w:tcW w:w="9629" w:type="dxa"/>
          </w:tcPr>
          <w:p w14:paraId="7ADC1E12" w14:textId="77777777" w:rsidR="00F80EA8" w:rsidRPr="00957B6C" w:rsidRDefault="00F80EA8" w:rsidP="009B5B24">
            <w:pPr>
              <w:spacing w:after="120"/>
              <w:rPr>
                <w:rFonts w:cstheme="minorBidi"/>
                <w:color w:val="000000" w:themeColor="text1"/>
              </w:rPr>
            </w:pPr>
            <w:r w:rsidRPr="00957B6C">
              <w:rPr>
                <w:rFonts w:cstheme="minorHAnsi"/>
                <w:szCs w:val="24"/>
              </w:rPr>
              <w:t xml:space="preserve">TDAG appointed by acclamation </w:t>
            </w:r>
            <w:r w:rsidRPr="00957B6C">
              <w:rPr>
                <w:b/>
                <w:bCs/>
              </w:rPr>
              <w:t>Ms Anastasia Sergeyevna Konukhova</w:t>
            </w:r>
            <w:r w:rsidRPr="00957B6C">
              <w:rPr>
                <w:b/>
                <w:bCs/>
                <w:szCs w:val="24"/>
              </w:rPr>
              <w:t xml:space="preserve"> </w:t>
            </w:r>
            <w:r w:rsidRPr="00957B6C">
              <w:rPr>
                <w:rFonts w:cstheme="minorBidi"/>
                <w:color w:val="000000" w:themeColor="text1"/>
              </w:rPr>
              <w:t>as a Vice-Chairman of ITU-D Study Group 1.</w:t>
            </w:r>
          </w:p>
          <w:p w14:paraId="1C7C82A4" w14:textId="3C1ADD8A" w:rsidR="00C72C8F" w:rsidRPr="00957B6C" w:rsidRDefault="00F80EA8" w:rsidP="004D3BE3">
            <w:pPr>
              <w:spacing w:after="120"/>
              <w:rPr>
                <w:rFonts w:cstheme="minorBidi"/>
                <w:color w:val="000000" w:themeColor="text1"/>
              </w:rPr>
            </w:pPr>
            <w:r w:rsidRPr="00957B6C">
              <w:rPr>
                <w:rFonts w:cstheme="minorHAnsi"/>
                <w:szCs w:val="24"/>
              </w:rPr>
              <w:t xml:space="preserve">TDAG appointed by acclamation </w:t>
            </w:r>
            <w:r w:rsidRPr="00957B6C">
              <w:rPr>
                <w:b/>
                <w:bCs/>
                <w:szCs w:val="24"/>
              </w:rPr>
              <w:t>Mr Abdelaziz Alzarooni</w:t>
            </w:r>
            <w:r w:rsidRPr="00957B6C">
              <w:rPr>
                <w:szCs w:val="24"/>
              </w:rPr>
              <w:t xml:space="preserve"> as a Vice-Chairman of </w:t>
            </w:r>
            <w:r w:rsidR="00497A8F" w:rsidRPr="00957B6C">
              <w:rPr>
                <w:szCs w:val="24"/>
              </w:rPr>
              <w:t xml:space="preserve">ITU-D </w:t>
            </w:r>
            <w:r w:rsidRPr="00957B6C">
              <w:rPr>
                <w:szCs w:val="24"/>
              </w:rPr>
              <w:t>Study Group 2.</w:t>
            </w:r>
          </w:p>
        </w:tc>
      </w:tr>
    </w:tbl>
    <w:p w14:paraId="4ADF453A" w14:textId="77777777" w:rsidR="00EB5336" w:rsidRPr="00957B6C" w:rsidRDefault="007621F7" w:rsidP="004D3BE3">
      <w:pPr>
        <w:pStyle w:val="ListParagraph"/>
        <w:keepNext/>
        <w:numPr>
          <w:ilvl w:val="0"/>
          <w:numId w:val="1"/>
        </w:numPr>
        <w:spacing w:before="240" w:after="120"/>
        <w:ind w:left="357" w:hanging="357"/>
        <w:contextualSpacing w:val="0"/>
        <w:rPr>
          <w:rStyle w:val="StyleComplex12pt"/>
          <w:rFonts w:cstheme="minorHAnsi"/>
          <w:b/>
          <w:bCs/>
        </w:rPr>
      </w:pPr>
      <w:r w:rsidRPr="00957B6C">
        <w:rPr>
          <w:rStyle w:val="StyleComplex12pt"/>
          <w:rFonts w:cstheme="minorHAnsi"/>
          <w:b/>
          <w:bCs/>
        </w:rPr>
        <w:t>Collaboration with the other Sectors</w:t>
      </w:r>
    </w:p>
    <w:p w14:paraId="726FA7BF" w14:textId="77777777" w:rsidR="00240545" w:rsidRPr="00957B6C" w:rsidRDefault="00240545" w:rsidP="009B5B24">
      <w:pPr>
        <w:keepLines/>
        <w:spacing w:after="120"/>
        <w:rPr>
          <w:sz w:val="22"/>
          <w:szCs w:val="22"/>
        </w:rPr>
      </w:pPr>
      <w:r w:rsidRPr="00957B6C">
        <w:rPr>
          <w:sz w:val="22"/>
          <w:szCs w:val="22"/>
        </w:rPr>
        <w:t xml:space="preserve">Documents 5, 9, 10, 11, 24, 28, 38 and 41 were considered together. </w:t>
      </w:r>
    </w:p>
    <w:p w14:paraId="408336E2" w14:textId="3929CADC" w:rsidR="000572AB" w:rsidRPr="002F42F5" w:rsidRDefault="00B8346F">
      <w:pPr>
        <w:spacing w:after="120"/>
        <w:rPr>
          <w:rFonts w:eastAsia="MS Mincho" w:cs="Segoe UI"/>
          <w:szCs w:val="24"/>
          <w:lang w:eastAsia="zh-CN"/>
        </w:rPr>
      </w:pPr>
      <w:hyperlink r:id="rId21" w:history="1">
        <w:r w:rsidR="25A7936B" w:rsidRPr="00957B6C">
          <w:rPr>
            <w:rStyle w:val="Hyperlink"/>
            <w:rFonts w:cstheme="minorBidi"/>
            <w:b/>
            <w:bCs/>
          </w:rPr>
          <w:t xml:space="preserve">Document </w:t>
        </w:r>
        <w:r w:rsidR="0020482A" w:rsidRPr="00957B6C">
          <w:rPr>
            <w:rStyle w:val="Hyperlink"/>
            <w:rFonts w:cstheme="minorBidi"/>
            <w:b/>
            <w:bCs/>
          </w:rPr>
          <w:t>5</w:t>
        </w:r>
      </w:hyperlink>
      <w:r w:rsidR="25A7936B" w:rsidRPr="00957B6C">
        <w:rPr>
          <w:rFonts w:cstheme="minorBidi"/>
          <w:b/>
          <w:bCs/>
          <w:color w:val="000000" w:themeColor="text1"/>
        </w:rPr>
        <w:t>:</w:t>
      </w:r>
      <w:r w:rsidR="25A7936B" w:rsidRPr="00957B6C">
        <w:rPr>
          <w:rFonts w:cstheme="minorBidi"/>
          <w:color w:val="000000" w:themeColor="text1"/>
        </w:rPr>
        <w:t xml:space="preserve"> “</w:t>
      </w:r>
      <w:r w:rsidR="00497A8F" w:rsidRPr="002F42F5">
        <w:rPr>
          <w:rFonts w:eastAsia="MS Mincho" w:cs="Segoe UI"/>
          <w:szCs w:val="24"/>
          <w:lang w:eastAsia="zh-CN"/>
        </w:rPr>
        <w:t>Progress report by the Inter-Sector Coordination Group (ISCG) on issues of mutual interest</w:t>
      </w:r>
      <w:r w:rsidR="25A7936B" w:rsidRPr="002F42F5">
        <w:rPr>
          <w:rFonts w:eastAsia="MS Mincho" w:cs="Segoe UI"/>
          <w:szCs w:val="24"/>
          <w:lang w:eastAsia="zh-CN"/>
        </w:rPr>
        <w:t>”</w:t>
      </w:r>
      <w:r w:rsidR="00471D40" w:rsidRPr="002F42F5">
        <w:rPr>
          <w:rFonts w:eastAsia="MS Mincho" w:cs="Segoe UI"/>
          <w:szCs w:val="24"/>
          <w:lang w:eastAsia="zh-CN"/>
        </w:rPr>
        <w:t xml:space="preserve">, </w:t>
      </w:r>
      <w:r w:rsidR="000E4933" w:rsidRPr="002F42F5">
        <w:rPr>
          <w:rFonts w:eastAsia="MS Mincho" w:cs="Segoe UI"/>
          <w:szCs w:val="24"/>
          <w:lang w:eastAsia="zh-CN"/>
        </w:rPr>
        <w:t xml:space="preserve">introduced by the ISCG Chairman, </w:t>
      </w:r>
      <w:r w:rsidR="007A23B0">
        <w:rPr>
          <w:rFonts w:eastAsia="MS Mincho" w:cs="Segoe UI"/>
          <w:szCs w:val="24"/>
          <w:lang w:eastAsia="zh-CN"/>
        </w:rPr>
        <w:t>M</w:t>
      </w:r>
      <w:r w:rsidR="000E4933" w:rsidRPr="002F42F5">
        <w:rPr>
          <w:rFonts w:eastAsia="MS Mincho" w:cs="Segoe UI"/>
          <w:szCs w:val="24"/>
          <w:lang w:eastAsia="zh-CN"/>
        </w:rPr>
        <w:t xml:space="preserve">r Fabio Bigi, </w:t>
      </w:r>
      <w:r w:rsidR="00CB5E3F" w:rsidRPr="002F42F5">
        <w:rPr>
          <w:rFonts w:eastAsia="MS Mincho" w:cs="Segoe UI"/>
          <w:szCs w:val="24"/>
          <w:lang w:eastAsia="zh-CN"/>
        </w:rPr>
        <w:t>highlights</w:t>
      </w:r>
      <w:r w:rsidR="000C4E83" w:rsidRPr="002F42F5">
        <w:rPr>
          <w:rFonts w:eastAsia="MS Mincho" w:cs="Segoe UI"/>
          <w:szCs w:val="24"/>
          <w:lang w:eastAsia="zh-CN"/>
        </w:rPr>
        <w:t xml:space="preserve"> </w:t>
      </w:r>
      <w:r w:rsidR="000E4933" w:rsidRPr="002F42F5">
        <w:rPr>
          <w:rFonts w:eastAsia="MS Mincho" w:cs="Segoe UI"/>
          <w:szCs w:val="24"/>
          <w:lang w:eastAsia="zh-CN"/>
        </w:rPr>
        <w:t xml:space="preserve">recent achievements and </w:t>
      </w:r>
      <w:r w:rsidR="000C4E83" w:rsidRPr="002F42F5">
        <w:rPr>
          <w:rFonts w:eastAsia="MS Mincho" w:cs="Segoe UI"/>
          <w:szCs w:val="24"/>
          <w:lang w:eastAsia="zh-CN"/>
        </w:rPr>
        <w:t xml:space="preserve">the </w:t>
      </w:r>
      <w:r w:rsidR="0032718C" w:rsidRPr="002F42F5">
        <w:rPr>
          <w:rFonts w:eastAsia="MS Mincho" w:cs="Segoe UI"/>
          <w:szCs w:val="24"/>
          <w:lang w:eastAsia="zh-CN"/>
        </w:rPr>
        <w:t>way forward</w:t>
      </w:r>
      <w:r w:rsidR="000C4E83" w:rsidRPr="002F42F5">
        <w:rPr>
          <w:rFonts w:eastAsia="MS Mincho" w:cs="Segoe UI"/>
          <w:szCs w:val="24"/>
          <w:lang w:eastAsia="zh-CN"/>
        </w:rPr>
        <w:t xml:space="preserve"> on </w:t>
      </w:r>
      <w:r w:rsidR="000E4933" w:rsidRPr="002F42F5">
        <w:rPr>
          <w:rFonts w:eastAsia="MS Mincho" w:cs="Segoe UI"/>
          <w:szCs w:val="24"/>
          <w:lang w:eastAsia="zh-CN"/>
        </w:rPr>
        <w:t xml:space="preserve">inter-Sector collaboration and coordination. </w:t>
      </w:r>
    </w:p>
    <w:p w14:paraId="04DD568B" w14:textId="77777777" w:rsidR="000572AB" w:rsidRPr="00957B6C" w:rsidRDefault="000572AB" w:rsidP="009B5B24">
      <w:pPr>
        <w:pStyle w:val="NormalWeb"/>
        <w:shd w:val="clear" w:color="auto" w:fill="FFFFFF"/>
        <w:spacing w:before="120" w:beforeAutospacing="0" w:after="120" w:afterAutospacing="0"/>
        <w:rPr>
          <w:rFonts w:asciiTheme="minorHAnsi" w:hAnsiTheme="minorHAnsi" w:cs="Segoe UI"/>
        </w:rPr>
      </w:pPr>
      <w:r w:rsidRPr="00957B6C">
        <w:rPr>
          <w:rFonts w:asciiTheme="minorHAnsi" w:hAnsiTheme="minorHAnsi" w:cs="Segoe UI"/>
        </w:rPr>
        <w:t>The Inter-Sector Coordination Group (ISCG) on issues of mutual interest</w:t>
      </w:r>
      <w:r w:rsidR="00EA49BF" w:rsidRPr="00957B6C">
        <w:rPr>
          <w:rFonts w:asciiTheme="minorHAnsi" w:hAnsiTheme="minorHAnsi" w:cs="Segoe UI"/>
        </w:rPr>
        <w:t xml:space="preserve"> (</w:t>
      </w:r>
      <w:r w:rsidR="00E5217B" w:rsidRPr="00957B6C">
        <w:rPr>
          <w:rFonts w:asciiTheme="minorHAnsi" w:hAnsiTheme="minorHAnsi"/>
        </w:rPr>
        <w:t xml:space="preserve">initially established as </w:t>
      </w:r>
      <w:r w:rsidR="00E5217B" w:rsidRPr="00957B6C">
        <w:rPr>
          <w:rFonts w:asciiTheme="minorHAnsi" w:hAnsiTheme="minorHAnsi" w:cs="Segoe UI"/>
        </w:rPr>
        <w:t>the Inter-Sector Coordination Team on Issues of Mutual Interest</w:t>
      </w:r>
      <w:r w:rsidR="00EA49BF" w:rsidRPr="00957B6C">
        <w:rPr>
          <w:rFonts w:asciiTheme="minorHAnsi" w:hAnsiTheme="minorHAnsi" w:cs="Segoe UI"/>
        </w:rPr>
        <w:t>)</w:t>
      </w:r>
      <w:r w:rsidR="00AA5B01" w:rsidRPr="00957B6C">
        <w:rPr>
          <w:rFonts w:asciiTheme="minorHAnsi" w:hAnsiTheme="minorHAnsi"/>
        </w:rPr>
        <w:t xml:space="preserve"> </w:t>
      </w:r>
      <w:r w:rsidRPr="00957B6C">
        <w:rPr>
          <w:rFonts w:asciiTheme="minorHAnsi" w:hAnsiTheme="minorHAnsi" w:cs="Segoe UI"/>
        </w:rPr>
        <w:t>was set up under decisions</w:t>
      </w:r>
      <w:r w:rsidR="004017F3" w:rsidRPr="00957B6C">
        <w:rPr>
          <w:rFonts w:asciiTheme="minorHAnsi" w:hAnsiTheme="minorHAnsi" w:cs="Segoe UI"/>
        </w:rPr>
        <w:t xml:space="preserve"> of the </w:t>
      </w:r>
      <w:r w:rsidR="00C20229">
        <w:rPr>
          <w:rFonts w:asciiTheme="minorHAnsi" w:hAnsiTheme="minorHAnsi" w:cs="Segoe UI"/>
        </w:rPr>
        <w:t>S</w:t>
      </w:r>
      <w:r w:rsidR="00B31C9D" w:rsidRPr="00957B6C">
        <w:rPr>
          <w:rFonts w:asciiTheme="minorHAnsi" w:hAnsiTheme="minorHAnsi" w:cs="Segoe UI"/>
        </w:rPr>
        <w:t xml:space="preserve">ector </w:t>
      </w:r>
      <w:r w:rsidR="004017F3" w:rsidRPr="00957B6C">
        <w:rPr>
          <w:rFonts w:asciiTheme="minorHAnsi" w:hAnsiTheme="minorHAnsi" w:cs="Segoe UI"/>
        </w:rPr>
        <w:t xml:space="preserve">advisory groups </w:t>
      </w:r>
      <w:r w:rsidRPr="00957B6C">
        <w:rPr>
          <w:rFonts w:asciiTheme="minorHAnsi" w:hAnsiTheme="minorHAnsi" w:cs="Segoe UI"/>
        </w:rPr>
        <w:t>in order to eliminate duplication of effort</w:t>
      </w:r>
      <w:r w:rsidR="003C5C8E" w:rsidRPr="00957B6C">
        <w:rPr>
          <w:rFonts w:asciiTheme="minorHAnsi" w:hAnsiTheme="minorHAnsi" w:cs="Segoe UI"/>
        </w:rPr>
        <w:t>s</w:t>
      </w:r>
      <w:r w:rsidRPr="00957B6C">
        <w:rPr>
          <w:rFonts w:asciiTheme="minorHAnsi" w:hAnsiTheme="minorHAnsi" w:cs="Segoe UI"/>
        </w:rPr>
        <w:t xml:space="preserve"> and optimize the use of resources. </w:t>
      </w:r>
    </w:p>
    <w:p w14:paraId="3A4DCF30" w14:textId="77777777" w:rsidR="00050E08" w:rsidRPr="00957B6C" w:rsidRDefault="00050E08" w:rsidP="009B5B24">
      <w:pPr>
        <w:tabs>
          <w:tab w:val="left" w:pos="567"/>
          <w:tab w:val="left" w:pos="851"/>
        </w:tabs>
        <w:spacing w:after="120"/>
      </w:pPr>
      <w:r w:rsidRPr="00957B6C">
        <w:rPr>
          <w:rFonts w:cs="Arial"/>
          <w:szCs w:val="24"/>
        </w:rPr>
        <w:t xml:space="preserve">Following </w:t>
      </w:r>
      <w:r w:rsidR="001274C1" w:rsidRPr="00957B6C">
        <w:rPr>
          <w:rFonts w:cs="Arial"/>
          <w:szCs w:val="24"/>
        </w:rPr>
        <w:t xml:space="preserve">revisions </w:t>
      </w:r>
      <w:r w:rsidRPr="00957B6C">
        <w:rPr>
          <w:rFonts w:cs="Arial"/>
          <w:szCs w:val="24"/>
        </w:rPr>
        <w:t xml:space="preserve">to Resolution 191 (Rev. Dubai, 2018) of the Plenipotentiary Conference </w:t>
      </w:r>
      <w:r w:rsidRPr="00957B6C">
        <w:t xml:space="preserve">on the strategy for the coordination of efforts among the three Sectors of the Union, </w:t>
      </w:r>
      <w:r w:rsidR="001274C1" w:rsidRPr="00957B6C">
        <w:t>the “Team” has be</w:t>
      </w:r>
      <w:r w:rsidR="00471D40" w:rsidRPr="00957B6C">
        <w:t xml:space="preserve">come a </w:t>
      </w:r>
      <w:r w:rsidR="001274C1" w:rsidRPr="00957B6C">
        <w:t>“Group”</w:t>
      </w:r>
      <w:r w:rsidR="00471D40" w:rsidRPr="00957B6C">
        <w:t xml:space="preserve"> with a broader mandate</w:t>
      </w:r>
      <w:r w:rsidR="001274C1" w:rsidRPr="00957B6C">
        <w:t>. I</w:t>
      </w:r>
      <w:r w:rsidRPr="00957B6C">
        <w:t xml:space="preserve">SCG now identifies mechanisms to strengthen cooperation and joint activity on issues of mutual interest not only among the three Sectors but also of the General Secretariat, paying particular attention to the interests of the developing countries and taking into </w:t>
      </w:r>
      <w:r w:rsidR="0032718C" w:rsidRPr="00957B6C">
        <w:t>a</w:t>
      </w:r>
      <w:r w:rsidRPr="00957B6C">
        <w:t>ccount the activities of the regional offices, including their role in the organization of events (workshops, seminars, symposia).</w:t>
      </w:r>
      <w:r w:rsidRPr="00957B6C">
        <w:rPr>
          <w:szCs w:val="24"/>
        </w:rPr>
        <w:t xml:space="preserve"> </w:t>
      </w:r>
    </w:p>
    <w:p w14:paraId="56124339" w14:textId="77777777" w:rsidR="00913E56" w:rsidRPr="00957B6C" w:rsidRDefault="00E44A93" w:rsidP="009B5B24">
      <w:pPr>
        <w:shd w:val="clear" w:color="auto" w:fill="FFFFFF"/>
        <w:spacing w:after="120"/>
        <w:rPr>
          <w:szCs w:val="24"/>
        </w:rPr>
      </w:pPr>
      <w:r w:rsidRPr="00957B6C">
        <w:rPr>
          <w:szCs w:val="24"/>
        </w:rPr>
        <w:t>At its meeting on 4 April</w:t>
      </w:r>
      <w:r w:rsidR="001274C1" w:rsidRPr="00957B6C">
        <w:rPr>
          <w:szCs w:val="24"/>
        </w:rPr>
        <w:t xml:space="preserve"> 2019</w:t>
      </w:r>
      <w:r w:rsidR="0081545B" w:rsidRPr="00957B6C">
        <w:rPr>
          <w:szCs w:val="24"/>
        </w:rPr>
        <w:t>, held</w:t>
      </w:r>
      <w:r w:rsidRPr="00957B6C">
        <w:rPr>
          <w:szCs w:val="24"/>
        </w:rPr>
        <w:t xml:space="preserve"> in conjunction with the TDAG-19 meeting (3-5 April), </w:t>
      </w:r>
      <w:r w:rsidRPr="00957B6C">
        <w:rPr>
          <w:rFonts w:cs="Segoe UI"/>
        </w:rPr>
        <w:t>ISCG</w:t>
      </w:r>
      <w:r w:rsidR="001274C1" w:rsidRPr="00957B6C">
        <w:rPr>
          <w:szCs w:val="24"/>
        </w:rPr>
        <w:t xml:space="preserve"> </w:t>
      </w:r>
      <w:r w:rsidR="00471D40" w:rsidRPr="00957B6C">
        <w:rPr>
          <w:szCs w:val="24"/>
        </w:rPr>
        <w:t xml:space="preserve">took </w:t>
      </w:r>
      <w:r w:rsidR="00EA682C" w:rsidRPr="00957B6C">
        <w:rPr>
          <w:szCs w:val="24"/>
        </w:rPr>
        <w:t xml:space="preserve">several </w:t>
      </w:r>
      <w:r w:rsidR="00471D40" w:rsidRPr="00957B6C">
        <w:rPr>
          <w:szCs w:val="24"/>
        </w:rPr>
        <w:t>decision</w:t>
      </w:r>
      <w:r w:rsidR="00EA682C" w:rsidRPr="00957B6C">
        <w:rPr>
          <w:szCs w:val="24"/>
        </w:rPr>
        <w:t>s</w:t>
      </w:r>
      <w:r w:rsidR="0081545B" w:rsidRPr="00957B6C">
        <w:rPr>
          <w:szCs w:val="24"/>
        </w:rPr>
        <w:t>.</w:t>
      </w:r>
      <w:r w:rsidR="00EA682C" w:rsidRPr="00957B6C">
        <w:rPr>
          <w:szCs w:val="24"/>
        </w:rPr>
        <w:t xml:space="preserve"> Firstly, </w:t>
      </w:r>
      <w:r w:rsidR="00EA682C" w:rsidRPr="00957B6C">
        <w:rPr>
          <w:rFonts w:cs="Segoe UI"/>
        </w:rPr>
        <w:t xml:space="preserve">ISCG </w:t>
      </w:r>
      <w:r w:rsidRPr="00957B6C">
        <w:rPr>
          <w:szCs w:val="24"/>
        </w:rPr>
        <w:t xml:space="preserve">agreed to </w:t>
      </w:r>
      <w:r w:rsidR="001274C1" w:rsidRPr="00957B6C">
        <w:rPr>
          <w:szCs w:val="24"/>
        </w:rPr>
        <w:t>a</w:t>
      </w:r>
      <w:r w:rsidRPr="00957B6C">
        <w:rPr>
          <w:szCs w:val="24"/>
        </w:rPr>
        <w:t xml:space="preserve"> revised list of areas of mutual interest</w:t>
      </w:r>
      <w:r w:rsidR="001274C1" w:rsidRPr="00957B6C">
        <w:rPr>
          <w:szCs w:val="24"/>
        </w:rPr>
        <w:t xml:space="preserve">. </w:t>
      </w:r>
    </w:p>
    <w:p w14:paraId="15A9B2EF" w14:textId="360C3C73" w:rsidR="00E44A93" w:rsidRPr="00957B6C" w:rsidRDefault="00EA682C">
      <w:pPr>
        <w:shd w:val="clear" w:color="auto" w:fill="FFFFFF"/>
        <w:spacing w:after="120"/>
        <w:rPr>
          <w:szCs w:val="24"/>
        </w:rPr>
      </w:pPr>
      <w:r w:rsidRPr="00957B6C">
        <w:rPr>
          <w:rFonts w:cs="Segoe UI"/>
        </w:rPr>
        <w:t xml:space="preserve">Secondly, ISCG </w:t>
      </w:r>
      <w:r w:rsidR="00E44A93" w:rsidRPr="00957B6C">
        <w:rPr>
          <w:szCs w:val="24"/>
        </w:rPr>
        <w:t xml:space="preserve">agreed to </w:t>
      </w:r>
      <w:r w:rsidR="001274C1" w:rsidRPr="00957B6C">
        <w:rPr>
          <w:szCs w:val="24"/>
        </w:rPr>
        <w:t xml:space="preserve">its </w:t>
      </w:r>
      <w:r w:rsidR="00E44A93" w:rsidRPr="00957B6C">
        <w:rPr>
          <w:szCs w:val="24"/>
        </w:rPr>
        <w:t>revised terms of reference</w:t>
      </w:r>
      <w:r w:rsidR="00A6539E" w:rsidRPr="00957B6C">
        <w:rPr>
          <w:szCs w:val="24"/>
        </w:rPr>
        <w:t xml:space="preserve">, which it had submitted to RAG, TSAG and TDAG through a </w:t>
      </w:r>
      <w:r w:rsidR="00A6539E" w:rsidRPr="00957B6C">
        <w:t>liaison statement of 3 December 2018,</w:t>
      </w:r>
      <w:r w:rsidR="00A6539E" w:rsidRPr="00957B6C">
        <w:rPr>
          <w:szCs w:val="24"/>
        </w:rPr>
        <w:t xml:space="preserve"> for review, comment and approval. The revised terms of reference also </w:t>
      </w:r>
      <w:r w:rsidR="00E44A93" w:rsidRPr="00957B6C">
        <w:rPr>
          <w:szCs w:val="24"/>
        </w:rPr>
        <w:t>include a change in the names of the representatives</w:t>
      </w:r>
      <w:r w:rsidR="00A6539E" w:rsidRPr="00957B6C">
        <w:rPr>
          <w:szCs w:val="24"/>
        </w:rPr>
        <w:t xml:space="preserve"> of TDAG to ISCG, with </w:t>
      </w:r>
      <w:r w:rsidR="00A6539E" w:rsidRPr="00957B6C">
        <w:rPr>
          <w:rFonts w:ascii="Calibri" w:hAnsi="Calibri"/>
          <w:szCs w:val="24"/>
        </w:rPr>
        <w:t>Mr Al</w:t>
      </w:r>
      <w:r w:rsidR="00071376">
        <w:rPr>
          <w:rFonts w:ascii="Calibri" w:hAnsi="Calibri"/>
          <w:szCs w:val="24"/>
        </w:rPr>
        <w:t>-</w:t>
      </w:r>
      <w:r w:rsidR="007A23B0">
        <w:rPr>
          <w:rFonts w:ascii="Calibri" w:hAnsi="Calibri"/>
          <w:szCs w:val="24"/>
        </w:rPr>
        <w:t>a</w:t>
      </w:r>
      <w:r w:rsidR="00A6539E" w:rsidRPr="00957B6C">
        <w:rPr>
          <w:rFonts w:ascii="Calibri" w:hAnsi="Calibri"/>
          <w:szCs w:val="24"/>
        </w:rPr>
        <w:t>nsari Almashakbeh</w:t>
      </w:r>
      <w:r w:rsidR="00A6539E" w:rsidRPr="00957B6C">
        <w:rPr>
          <w:szCs w:val="24"/>
        </w:rPr>
        <w:t xml:space="preserve"> replacing </w:t>
      </w:r>
      <w:r w:rsidR="00A6539E" w:rsidRPr="00957B6C">
        <w:rPr>
          <w:rFonts w:ascii="Calibri" w:hAnsi="Calibri"/>
          <w:szCs w:val="24"/>
        </w:rPr>
        <w:t>Ms Nurzat Boljobekova</w:t>
      </w:r>
      <w:r w:rsidR="0032718C" w:rsidRPr="00957B6C">
        <w:rPr>
          <w:rFonts w:ascii="Calibri" w:hAnsi="Calibri"/>
          <w:szCs w:val="24"/>
        </w:rPr>
        <w:t>.</w:t>
      </w:r>
    </w:p>
    <w:p w14:paraId="2A422A68" w14:textId="77777777" w:rsidR="00557DCB" w:rsidRPr="00957B6C" w:rsidRDefault="00EA682C" w:rsidP="009B5B24">
      <w:pPr>
        <w:spacing w:after="120"/>
      </w:pPr>
      <w:r w:rsidRPr="00957B6C">
        <w:rPr>
          <w:rFonts w:cs="Segoe UI"/>
        </w:rPr>
        <w:t xml:space="preserve">Thirdly, ISCG </w:t>
      </w:r>
      <w:r w:rsidR="00E44A93" w:rsidRPr="00957B6C">
        <w:rPr>
          <w:szCs w:val="24"/>
        </w:rPr>
        <w:t xml:space="preserve">decided to post a mapping table of study group Questions on the </w:t>
      </w:r>
      <w:hyperlink r:id="rId22" w:history="1">
        <w:r w:rsidR="00E44A93" w:rsidRPr="00957B6C">
          <w:rPr>
            <w:rStyle w:val="Hyperlink"/>
            <w:szCs w:val="24"/>
          </w:rPr>
          <w:t>ISCG website</w:t>
        </w:r>
      </w:hyperlink>
      <w:r w:rsidR="00E44A93" w:rsidRPr="00957B6C">
        <w:rPr>
          <w:szCs w:val="24"/>
        </w:rPr>
        <w:t xml:space="preserve"> and to keep updated this table as a living document. For this purpose, </w:t>
      </w:r>
      <w:r w:rsidR="00913E56" w:rsidRPr="00957B6C">
        <w:rPr>
          <w:rFonts w:cs="Segoe UI"/>
        </w:rPr>
        <w:t>ISCG</w:t>
      </w:r>
      <w:r w:rsidR="00E44A93" w:rsidRPr="00957B6C">
        <w:rPr>
          <w:szCs w:val="24"/>
        </w:rPr>
        <w:t xml:space="preserve"> </w:t>
      </w:r>
      <w:r w:rsidR="00913E56" w:rsidRPr="00957B6C">
        <w:rPr>
          <w:szCs w:val="24"/>
        </w:rPr>
        <w:t xml:space="preserve">also </w:t>
      </w:r>
      <w:r w:rsidR="00E44A93" w:rsidRPr="00957B6C">
        <w:rPr>
          <w:szCs w:val="24"/>
        </w:rPr>
        <w:t xml:space="preserve">agreed to send a liaison statement to RAG, TSAG and TDAG requesting this mapping table </w:t>
      </w:r>
      <w:r w:rsidR="00913E56" w:rsidRPr="00957B6C">
        <w:rPr>
          <w:szCs w:val="24"/>
        </w:rPr>
        <w:t xml:space="preserve">to </w:t>
      </w:r>
      <w:r w:rsidR="00E44A93" w:rsidRPr="00957B6C">
        <w:rPr>
          <w:szCs w:val="24"/>
        </w:rPr>
        <w:t>be updated</w:t>
      </w:r>
      <w:r w:rsidR="00913E56" w:rsidRPr="00957B6C">
        <w:rPr>
          <w:szCs w:val="24"/>
        </w:rPr>
        <w:t xml:space="preserve"> regularly</w:t>
      </w:r>
      <w:r w:rsidR="00E44A93" w:rsidRPr="00957B6C">
        <w:rPr>
          <w:szCs w:val="24"/>
        </w:rPr>
        <w:t>.</w:t>
      </w:r>
      <w:r w:rsidR="00557DCB" w:rsidRPr="00957B6C">
        <w:rPr>
          <w:szCs w:val="24"/>
        </w:rPr>
        <w:t xml:space="preserve"> </w:t>
      </w:r>
      <w:r w:rsidR="00557DCB" w:rsidRPr="00957B6C">
        <w:t xml:space="preserve">The Inter-Sector Coordination Task Force (ISC-TF) </w:t>
      </w:r>
      <w:r w:rsidR="0081545B" w:rsidRPr="00957B6C">
        <w:t xml:space="preserve">was also </w:t>
      </w:r>
      <w:r w:rsidR="00557DCB" w:rsidRPr="00957B6C">
        <w:t>requested to note this liaison statement and review this mapping table with a view to eliminating possible overlaps of activities.</w:t>
      </w:r>
    </w:p>
    <w:p w14:paraId="6D346C8F" w14:textId="0E77D448" w:rsidR="00BF152D" w:rsidRPr="00957B6C" w:rsidRDefault="00EA682C">
      <w:pPr>
        <w:tabs>
          <w:tab w:val="left" w:pos="567"/>
          <w:tab w:val="left" w:pos="851"/>
        </w:tabs>
        <w:spacing w:after="120"/>
        <w:rPr>
          <w:szCs w:val="24"/>
        </w:rPr>
      </w:pPr>
      <w:r w:rsidRPr="00957B6C">
        <w:rPr>
          <w:szCs w:val="24"/>
        </w:rPr>
        <w:t>Fourthly, ISCG</w:t>
      </w:r>
      <w:r w:rsidR="0081545B" w:rsidRPr="00957B6C">
        <w:rPr>
          <w:szCs w:val="24"/>
        </w:rPr>
        <w:t xml:space="preserve"> </w:t>
      </w:r>
      <w:r w:rsidR="00A442BF" w:rsidRPr="00957B6C">
        <w:rPr>
          <w:szCs w:val="24"/>
        </w:rPr>
        <w:t xml:space="preserve">decided to post the mapping table of resolutions of </w:t>
      </w:r>
      <w:r w:rsidR="00BF152D">
        <w:rPr>
          <w:szCs w:val="24"/>
        </w:rPr>
        <w:t xml:space="preserve">the </w:t>
      </w:r>
      <w:r w:rsidR="00BF152D" w:rsidRPr="00957B6C">
        <w:rPr>
          <w:szCs w:val="24"/>
        </w:rPr>
        <w:t xml:space="preserve">Plenipotentiary Conference </w:t>
      </w:r>
      <w:r w:rsidR="00BF152D">
        <w:rPr>
          <w:szCs w:val="24"/>
        </w:rPr>
        <w:t>(</w:t>
      </w:r>
      <w:r w:rsidR="00A442BF" w:rsidRPr="00957B6C">
        <w:rPr>
          <w:szCs w:val="24"/>
        </w:rPr>
        <w:t>PP</w:t>
      </w:r>
      <w:r w:rsidR="00BF152D">
        <w:rPr>
          <w:szCs w:val="24"/>
        </w:rPr>
        <w:t>)</w:t>
      </w:r>
      <w:r w:rsidR="00A442BF" w:rsidRPr="00957B6C">
        <w:rPr>
          <w:szCs w:val="24"/>
        </w:rPr>
        <w:t xml:space="preserve">, </w:t>
      </w:r>
      <w:r w:rsidR="00BF152D" w:rsidRPr="00957B6C">
        <w:t>Radiocommunication Assembly (RA)</w:t>
      </w:r>
      <w:r w:rsidR="00BF152D">
        <w:t xml:space="preserve">, World </w:t>
      </w:r>
      <w:r w:rsidR="00BF152D" w:rsidRPr="00957B6C">
        <w:t xml:space="preserve">Radiocommunication </w:t>
      </w:r>
      <w:r w:rsidR="00BF152D" w:rsidRPr="00957B6C">
        <w:rPr>
          <w:szCs w:val="24"/>
        </w:rPr>
        <w:t>Conference</w:t>
      </w:r>
      <w:r w:rsidR="00BF152D">
        <w:rPr>
          <w:szCs w:val="24"/>
        </w:rPr>
        <w:t xml:space="preserve"> (</w:t>
      </w:r>
      <w:r w:rsidR="00A442BF" w:rsidRPr="00957B6C">
        <w:rPr>
          <w:szCs w:val="24"/>
        </w:rPr>
        <w:t>WRC</w:t>
      </w:r>
      <w:r w:rsidR="00BF152D">
        <w:rPr>
          <w:szCs w:val="24"/>
        </w:rPr>
        <w:t>)</w:t>
      </w:r>
      <w:r w:rsidR="00A442BF" w:rsidRPr="00957B6C">
        <w:rPr>
          <w:szCs w:val="24"/>
        </w:rPr>
        <w:t xml:space="preserve">, </w:t>
      </w:r>
      <w:r w:rsidR="00BF152D" w:rsidRPr="00957B6C">
        <w:t>World Telecommunication Standardization Assembly</w:t>
      </w:r>
      <w:r w:rsidR="00BF152D" w:rsidRPr="00957B6C">
        <w:rPr>
          <w:szCs w:val="24"/>
        </w:rPr>
        <w:t xml:space="preserve"> </w:t>
      </w:r>
      <w:r w:rsidR="00BF152D">
        <w:rPr>
          <w:szCs w:val="24"/>
        </w:rPr>
        <w:t>(</w:t>
      </w:r>
      <w:r w:rsidR="00A442BF" w:rsidRPr="00957B6C">
        <w:rPr>
          <w:szCs w:val="24"/>
        </w:rPr>
        <w:t>WTSA</w:t>
      </w:r>
      <w:r w:rsidR="00BF152D">
        <w:rPr>
          <w:szCs w:val="24"/>
        </w:rPr>
        <w:t>)</w:t>
      </w:r>
      <w:r w:rsidR="00A442BF" w:rsidRPr="00957B6C">
        <w:rPr>
          <w:szCs w:val="24"/>
        </w:rPr>
        <w:t xml:space="preserve"> and WTDC on the </w:t>
      </w:r>
      <w:hyperlink r:id="rId23" w:history="1">
        <w:r w:rsidR="00A442BF" w:rsidRPr="00957B6C">
          <w:rPr>
            <w:rStyle w:val="Hyperlink"/>
            <w:szCs w:val="24"/>
          </w:rPr>
          <w:t>ISCG website</w:t>
        </w:r>
      </w:hyperlink>
      <w:r w:rsidR="00A442BF" w:rsidRPr="00957B6C">
        <w:rPr>
          <w:szCs w:val="24"/>
        </w:rPr>
        <w:t>. Each Sector is invited to review, provide comments and make use of this mapping table with a view to streamlining resolutions.</w:t>
      </w:r>
      <w:r w:rsidR="00BF152D">
        <w:rPr>
          <w:szCs w:val="24"/>
        </w:rPr>
        <w:t xml:space="preserve"> </w:t>
      </w:r>
    </w:p>
    <w:p w14:paraId="061F3E05" w14:textId="62E45328" w:rsidR="00A442BF" w:rsidRPr="00957B6C" w:rsidRDefault="000A0585">
      <w:pPr>
        <w:spacing w:after="120"/>
        <w:rPr>
          <w:szCs w:val="24"/>
        </w:rPr>
      </w:pPr>
      <w:r>
        <w:rPr>
          <w:szCs w:val="24"/>
        </w:rPr>
        <w:t xml:space="preserve">Lastly, </w:t>
      </w:r>
      <w:r w:rsidR="00EA682C" w:rsidRPr="00957B6C">
        <w:rPr>
          <w:szCs w:val="24"/>
        </w:rPr>
        <w:t xml:space="preserve">ISCG </w:t>
      </w:r>
      <w:r w:rsidR="00A442BF" w:rsidRPr="00957B6C">
        <w:rPr>
          <w:szCs w:val="24"/>
        </w:rPr>
        <w:t xml:space="preserve">agreed to request RAG and TSAG to add a hyperlink </w:t>
      </w:r>
      <w:r w:rsidR="00BF152D">
        <w:rPr>
          <w:szCs w:val="24"/>
        </w:rPr>
        <w:t xml:space="preserve">of </w:t>
      </w:r>
      <w:r w:rsidR="00B31C9D" w:rsidRPr="00957B6C">
        <w:rPr>
          <w:szCs w:val="24"/>
        </w:rPr>
        <w:t>the</w:t>
      </w:r>
      <w:r w:rsidR="00A442BF" w:rsidRPr="00957B6C">
        <w:rPr>
          <w:szCs w:val="24"/>
        </w:rPr>
        <w:t xml:space="preserve"> </w:t>
      </w:r>
      <w:hyperlink r:id="rId24" w:history="1">
        <w:r w:rsidR="00A442BF" w:rsidRPr="00957B6C">
          <w:rPr>
            <w:rStyle w:val="Hyperlink"/>
            <w:szCs w:val="24"/>
          </w:rPr>
          <w:t>ISCG website</w:t>
        </w:r>
      </w:hyperlink>
      <w:r w:rsidR="00A442BF" w:rsidRPr="00957B6C">
        <w:rPr>
          <w:szCs w:val="24"/>
        </w:rPr>
        <w:t xml:space="preserve"> </w:t>
      </w:r>
      <w:r w:rsidR="00BF152D">
        <w:rPr>
          <w:szCs w:val="24"/>
        </w:rPr>
        <w:t xml:space="preserve">to </w:t>
      </w:r>
      <w:r w:rsidR="00A442BF" w:rsidRPr="00957B6C">
        <w:rPr>
          <w:szCs w:val="24"/>
        </w:rPr>
        <w:t xml:space="preserve">their </w:t>
      </w:r>
      <w:r w:rsidR="00CD6966" w:rsidRPr="00957B6C">
        <w:rPr>
          <w:szCs w:val="24"/>
        </w:rPr>
        <w:t>own</w:t>
      </w:r>
      <w:r w:rsidR="00A442BF" w:rsidRPr="00957B6C">
        <w:rPr>
          <w:szCs w:val="24"/>
        </w:rPr>
        <w:t xml:space="preserve"> website</w:t>
      </w:r>
      <w:r w:rsidR="00EA682C" w:rsidRPr="00957B6C">
        <w:rPr>
          <w:szCs w:val="24"/>
        </w:rPr>
        <w:t>s</w:t>
      </w:r>
      <w:r w:rsidR="00A442BF" w:rsidRPr="00957B6C">
        <w:rPr>
          <w:szCs w:val="24"/>
        </w:rPr>
        <w:t xml:space="preserve"> </w:t>
      </w:r>
      <w:r w:rsidR="0081545B" w:rsidRPr="00957B6C">
        <w:rPr>
          <w:szCs w:val="24"/>
        </w:rPr>
        <w:t xml:space="preserve">in order </w:t>
      </w:r>
      <w:r w:rsidR="00A442BF" w:rsidRPr="00957B6C">
        <w:rPr>
          <w:szCs w:val="24"/>
        </w:rPr>
        <w:t>to make available</w:t>
      </w:r>
      <w:r w:rsidR="00CD6966" w:rsidRPr="00957B6C">
        <w:rPr>
          <w:szCs w:val="24"/>
        </w:rPr>
        <w:t xml:space="preserve"> </w:t>
      </w:r>
      <w:r w:rsidR="00A442BF" w:rsidRPr="00957B6C">
        <w:rPr>
          <w:szCs w:val="24"/>
        </w:rPr>
        <w:t>relevant information</w:t>
      </w:r>
      <w:r w:rsidR="0081545B" w:rsidRPr="00957B6C">
        <w:rPr>
          <w:szCs w:val="24"/>
        </w:rPr>
        <w:t xml:space="preserve"> to their participants</w:t>
      </w:r>
      <w:r w:rsidR="00A442BF" w:rsidRPr="00957B6C">
        <w:rPr>
          <w:szCs w:val="24"/>
        </w:rPr>
        <w:t>.</w:t>
      </w:r>
    </w:p>
    <w:p w14:paraId="779B008F" w14:textId="77777777" w:rsidR="00A442BF" w:rsidRPr="004D3BE3" w:rsidRDefault="00CD6966" w:rsidP="009B5B24">
      <w:pPr>
        <w:spacing w:after="120"/>
        <w:rPr>
          <w:szCs w:val="24"/>
        </w:rPr>
      </w:pPr>
      <w:r w:rsidRPr="004D3BE3">
        <w:rPr>
          <w:szCs w:val="24"/>
        </w:rPr>
        <w:lastRenderedPageBreak/>
        <w:t xml:space="preserve">As a next step, ISCG </w:t>
      </w:r>
      <w:r w:rsidR="00A442BF" w:rsidRPr="004D3BE3">
        <w:rPr>
          <w:szCs w:val="24"/>
        </w:rPr>
        <w:t>proposed to start a practical trial of cooperation among the three Sectors and the General Secretariat on two or three specific topics. Possible topics will be discussed at the next meeting of ISCG</w:t>
      </w:r>
      <w:r w:rsidRPr="004D3BE3">
        <w:rPr>
          <w:szCs w:val="24"/>
        </w:rPr>
        <w:t xml:space="preserve">, to be </w:t>
      </w:r>
      <w:r w:rsidR="00A442BF" w:rsidRPr="004D3BE3">
        <w:rPr>
          <w:szCs w:val="24"/>
        </w:rPr>
        <w:t>held in conjunction with TDAG-20 meeting (24-27 March 2020). If necessary, an e-meeting of ISCG may be sought in conjunction with the TSAG-19 meeting (23-27 September 2019).</w:t>
      </w:r>
    </w:p>
    <w:p w14:paraId="10715760" w14:textId="4AA9CF5D" w:rsidR="00A442BF" w:rsidRPr="004D3BE3" w:rsidRDefault="00A442BF">
      <w:pPr>
        <w:keepLines/>
        <w:spacing w:after="120"/>
        <w:rPr>
          <w:szCs w:val="24"/>
        </w:rPr>
      </w:pPr>
      <w:r w:rsidRPr="004D3BE3">
        <w:rPr>
          <w:szCs w:val="24"/>
        </w:rPr>
        <w:t>TDAG welcomed th</w:t>
      </w:r>
      <w:r w:rsidR="00CD6966" w:rsidRPr="004D3BE3">
        <w:rPr>
          <w:szCs w:val="24"/>
        </w:rPr>
        <w:t xml:space="preserve">e progress </w:t>
      </w:r>
      <w:r w:rsidRPr="004D3BE3">
        <w:rPr>
          <w:szCs w:val="24"/>
        </w:rPr>
        <w:t xml:space="preserve">report and commended Mr Bigi </w:t>
      </w:r>
      <w:r w:rsidR="00CD6966" w:rsidRPr="004D3BE3">
        <w:rPr>
          <w:szCs w:val="24"/>
        </w:rPr>
        <w:t xml:space="preserve">for </w:t>
      </w:r>
      <w:r w:rsidRPr="004D3BE3">
        <w:rPr>
          <w:szCs w:val="24"/>
        </w:rPr>
        <w:t xml:space="preserve">the groups’ achievements. </w:t>
      </w:r>
    </w:p>
    <w:tbl>
      <w:tblPr>
        <w:tblStyle w:val="TableGrid"/>
        <w:tblW w:w="0" w:type="auto"/>
        <w:tblLook w:val="04A0" w:firstRow="1" w:lastRow="0" w:firstColumn="1" w:lastColumn="0" w:noHBand="0" w:noVBand="1"/>
      </w:tblPr>
      <w:tblGrid>
        <w:gridCol w:w="9629"/>
      </w:tblGrid>
      <w:tr w:rsidR="00A442BF" w:rsidRPr="00957B6C" w14:paraId="683F069C" w14:textId="77777777" w:rsidTr="00F9789D">
        <w:tc>
          <w:tcPr>
            <w:tcW w:w="9629" w:type="dxa"/>
          </w:tcPr>
          <w:p w14:paraId="7BB4F59A" w14:textId="14DD9F74" w:rsidR="00A442BF" w:rsidRPr="00957B6C" w:rsidRDefault="00A442BF" w:rsidP="00071376">
            <w:pPr>
              <w:spacing w:after="120"/>
              <w:rPr>
                <w:rFonts w:cstheme="minorBidi"/>
                <w:color w:val="000000" w:themeColor="text1"/>
              </w:rPr>
            </w:pPr>
            <w:r w:rsidRPr="00957B6C">
              <w:rPr>
                <w:rFonts w:eastAsia="Calibri"/>
              </w:rPr>
              <w:t>TDAG approved the way forward and the appointment of Mr Al</w:t>
            </w:r>
            <w:r w:rsidR="006B6987">
              <w:rPr>
                <w:rFonts w:eastAsia="Calibri"/>
              </w:rPr>
              <w:t>-a</w:t>
            </w:r>
            <w:r w:rsidRPr="00957B6C">
              <w:rPr>
                <w:rFonts w:eastAsia="Calibri"/>
              </w:rPr>
              <w:t xml:space="preserve">nsari </w:t>
            </w:r>
            <w:r w:rsidR="006B6987" w:rsidRPr="006B6987">
              <w:rPr>
                <w:rFonts w:eastAsia="Calibri"/>
              </w:rPr>
              <w:t xml:space="preserve">Almashakbeh </w:t>
            </w:r>
            <w:r w:rsidRPr="00957B6C">
              <w:rPr>
                <w:rFonts w:eastAsia="Calibri"/>
              </w:rPr>
              <w:t>as</w:t>
            </w:r>
            <w:r w:rsidR="006A16A1">
              <w:rPr>
                <w:rFonts w:eastAsia="Calibri"/>
              </w:rPr>
              <w:t xml:space="preserve"> a</w:t>
            </w:r>
            <w:r w:rsidRPr="00957B6C">
              <w:rPr>
                <w:rFonts w:eastAsia="Calibri"/>
              </w:rPr>
              <w:t xml:space="preserve"> TDAG representative</w:t>
            </w:r>
            <w:r w:rsidR="004D3BE3">
              <w:rPr>
                <w:rFonts w:eastAsia="Calibri"/>
              </w:rPr>
              <w:t xml:space="preserve"> </w:t>
            </w:r>
            <w:r w:rsidR="004D3BE3" w:rsidRPr="004D3BE3">
              <w:rPr>
                <w:rFonts w:eastAsia="Calibri"/>
              </w:rPr>
              <w:t>to the ISCG</w:t>
            </w:r>
            <w:r w:rsidRPr="00957B6C">
              <w:rPr>
                <w:rFonts w:eastAsia="Calibri"/>
              </w:rPr>
              <w:t>.</w:t>
            </w:r>
          </w:p>
        </w:tc>
      </w:tr>
    </w:tbl>
    <w:p w14:paraId="35F9D6CB" w14:textId="77777777" w:rsidR="0090377A" w:rsidRPr="00957B6C" w:rsidRDefault="00B8346F" w:rsidP="009B5B24">
      <w:pPr>
        <w:tabs>
          <w:tab w:val="left" w:pos="567"/>
          <w:tab w:val="left" w:pos="851"/>
        </w:tabs>
        <w:spacing w:after="120"/>
      </w:pPr>
      <w:hyperlink r:id="rId25" w:history="1">
        <w:r w:rsidR="00102DD4" w:rsidRPr="00957B6C">
          <w:rPr>
            <w:rStyle w:val="Hyperlink"/>
            <w:b/>
            <w:bCs/>
          </w:rPr>
          <w:t>Document 9</w:t>
        </w:r>
      </w:hyperlink>
      <w:r w:rsidR="00102DD4" w:rsidRPr="00957B6C">
        <w:t>: “</w:t>
      </w:r>
      <w:r w:rsidR="00EF4A90" w:rsidRPr="00957B6C">
        <w:t>Outgoing liaison statement</w:t>
      </w:r>
      <w:r w:rsidR="00462919" w:rsidRPr="00957B6C">
        <w:t>:</w:t>
      </w:r>
      <w:r w:rsidR="00EF4A90" w:rsidRPr="00957B6C">
        <w:t xml:space="preserve"> Coordination with the other Sectors</w:t>
      </w:r>
      <w:r w:rsidR="00102DD4" w:rsidRPr="00957B6C">
        <w:t>”</w:t>
      </w:r>
      <w:r w:rsidR="002B7F3A" w:rsidRPr="00957B6C">
        <w:t xml:space="preserve"> </w:t>
      </w:r>
      <w:r w:rsidR="00102DD4" w:rsidRPr="00957B6C">
        <w:rPr>
          <w:szCs w:val="24"/>
        </w:rPr>
        <w:t>presents updates to three tables linking ITU-D study Questions to related ITU-T work items and study Questions</w:t>
      </w:r>
      <w:r w:rsidR="009B3BB7" w:rsidRPr="00957B6C">
        <w:rPr>
          <w:szCs w:val="24"/>
        </w:rPr>
        <w:t xml:space="preserve"> </w:t>
      </w:r>
      <w:r w:rsidR="0090377A" w:rsidRPr="00957B6C">
        <w:t xml:space="preserve">submitted </w:t>
      </w:r>
      <w:r w:rsidR="002E1947" w:rsidRPr="00957B6C">
        <w:t xml:space="preserve">by </w:t>
      </w:r>
      <w:r w:rsidR="009B3BB7" w:rsidRPr="00957B6C">
        <w:t xml:space="preserve">TDAG </w:t>
      </w:r>
      <w:r w:rsidR="0090377A" w:rsidRPr="00957B6C">
        <w:t xml:space="preserve">to TSAG </w:t>
      </w:r>
      <w:r w:rsidR="002E1947" w:rsidRPr="00957B6C">
        <w:t xml:space="preserve">on 5 December 2018 </w:t>
      </w:r>
      <w:r w:rsidR="0090377A" w:rsidRPr="00957B6C">
        <w:t>for comment and any further action</w:t>
      </w:r>
      <w:r w:rsidR="002E1947" w:rsidRPr="00957B6C">
        <w:t xml:space="preserve"> </w:t>
      </w:r>
      <w:r w:rsidR="0090377A" w:rsidRPr="00957B6C">
        <w:t>deem</w:t>
      </w:r>
      <w:r w:rsidR="002E1947" w:rsidRPr="00957B6C">
        <w:t>ed</w:t>
      </w:r>
      <w:r w:rsidR="0090377A" w:rsidRPr="00957B6C">
        <w:t xml:space="preserve"> appropriate</w:t>
      </w:r>
      <w:r w:rsidR="00FC4ED1" w:rsidRPr="00957B6C">
        <w:t>.</w:t>
      </w:r>
    </w:p>
    <w:p w14:paraId="4CB1F7E5" w14:textId="77777777" w:rsidR="002B7F3A" w:rsidRPr="001E0B05" w:rsidRDefault="009B3BB7" w:rsidP="009B5B24">
      <w:pPr>
        <w:spacing w:after="120"/>
        <w:rPr>
          <w:rFonts w:eastAsia="Batang" w:cs="Calibri"/>
        </w:rPr>
      </w:pPr>
      <w:r w:rsidRPr="00957B6C">
        <w:rPr>
          <w:rFonts w:eastAsia="Batang" w:cs="Calibri"/>
          <w:bCs/>
        </w:rPr>
        <w:t xml:space="preserve">The mapping </w:t>
      </w:r>
      <w:r w:rsidRPr="001E0B05">
        <w:rPr>
          <w:rFonts w:eastAsia="Batang" w:cs="Calibri"/>
          <w:bCs/>
        </w:rPr>
        <w:t>between ITU-T study groups, working</w:t>
      </w:r>
      <w:r w:rsidRPr="00957B6C">
        <w:rPr>
          <w:rFonts w:eastAsia="Batang" w:cs="Calibri"/>
          <w:bCs/>
        </w:rPr>
        <w:t xml:space="preserve"> parties and work items, and ITU-D study Questions started in the 2014-2017 study period</w:t>
      </w:r>
      <w:r w:rsidR="00A52A78" w:rsidRPr="00957B6C">
        <w:rPr>
          <w:rFonts w:eastAsia="Batang" w:cs="Calibri"/>
          <w:bCs/>
        </w:rPr>
        <w:t xml:space="preserve">. </w:t>
      </w:r>
      <w:r w:rsidR="004A471E" w:rsidRPr="00957B6C">
        <w:rPr>
          <w:szCs w:val="24"/>
        </w:rPr>
        <w:t xml:space="preserve">ITU-D Study Groups 1 and 2 </w:t>
      </w:r>
      <w:r w:rsidR="002B7F3A" w:rsidRPr="00957B6C">
        <w:rPr>
          <w:bCs/>
          <w:szCs w:val="24"/>
        </w:rPr>
        <w:t>reviewed and updated</w:t>
      </w:r>
      <w:r w:rsidR="003A2AEB" w:rsidRPr="00957B6C">
        <w:rPr>
          <w:bCs/>
          <w:szCs w:val="24"/>
        </w:rPr>
        <w:t xml:space="preserve"> </w:t>
      </w:r>
      <w:r w:rsidR="002B7F3A" w:rsidRPr="00957B6C">
        <w:rPr>
          <w:bCs/>
          <w:szCs w:val="24"/>
        </w:rPr>
        <w:t xml:space="preserve">three </w:t>
      </w:r>
      <w:r w:rsidR="00BF002E" w:rsidRPr="00957B6C">
        <w:rPr>
          <w:bCs/>
          <w:szCs w:val="24"/>
        </w:rPr>
        <w:t xml:space="preserve">mapping </w:t>
      </w:r>
      <w:r w:rsidR="002B7F3A" w:rsidRPr="00957B6C">
        <w:rPr>
          <w:bCs/>
          <w:szCs w:val="24"/>
        </w:rPr>
        <w:t>tables</w:t>
      </w:r>
      <w:r w:rsidR="00A52A78" w:rsidRPr="00957B6C">
        <w:rPr>
          <w:bCs/>
          <w:szCs w:val="24"/>
        </w:rPr>
        <w:t xml:space="preserve"> a</w:t>
      </w:r>
      <w:r w:rsidR="00A52A78" w:rsidRPr="00957B6C">
        <w:rPr>
          <w:szCs w:val="24"/>
        </w:rPr>
        <w:t>t their first meetings of the</w:t>
      </w:r>
      <w:r w:rsidR="00A52A78" w:rsidRPr="00957B6C">
        <w:rPr>
          <w:bCs/>
          <w:szCs w:val="24"/>
        </w:rPr>
        <w:t xml:space="preserve"> 2018-2021 study period, held in April-May 2018</w:t>
      </w:r>
      <w:r w:rsidR="003A2AEB" w:rsidRPr="00957B6C">
        <w:rPr>
          <w:bCs/>
          <w:szCs w:val="24"/>
        </w:rPr>
        <w:t>:</w:t>
      </w:r>
      <w:r w:rsidR="00285B1E" w:rsidRPr="00957B6C">
        <w:rPr>
          <w:szCs w:val="24"/>
        </w:rPr>
        <w:t xml:space="preserve"> </w:t>
      </w:r>
      <w:r w:rsidR="002B7F3A" w:rsidRPr="001E0B05">
        <w:t>Table 1</w:t>
      </w:r>
      <w:r w:rsidR="003A2AEB" w:rsidRPr="001E0B05">
        <w:t>:</w:t>
      </w:r>
      <w:r w:rsidR="004D6280" w:rsidRPr="001E0B05">
        <w:t xml:space="preserve"> </w:t>
      </w:r>
      <w:r w:rsidR="002B7F3A" w:rsidRPr="001E0B05">
        <w:t>ITU-D Questions vis-à-vis ITU-T Questions, including relevant w</w:t>
      </w:r>
      <w:r w:rsidR="00285B1E" w:rsidRPr="001E0B05">
        <w:t xml:space="preserve">ork items (constantly evolving); </w:t>
      </w:r>
      <w:r w:rsidR="002B7F3A" w:rsidRPr="001E0B05">
        <w:t>Table 2</w:t>
      </w:r>
      <w:r w:rsidR="003A2AEB" w:rsidRPr="001E0B05">
        <w:t>:</w:t>
      </w:r>
      <w:r w:rsidR="002B7F3A" w:rsidRPr="001E0B05">
        <w:t xml:space="preserve"> Matrix of ITU-D and ITU-T Questions</w:t>
      </w:r>
      <w:r w:rsidR="00285B1E" w:rsidRPr="001E0B05">
        <w:t xml:space="preserve">; and </w:t>
      </w:r>
      <w:r w:rsidR="002B7F3A" w:rsidRPr="001E0B05">
        <w:t>Table 3</w:t>
      </w:r>
      <w:r w:rsidR="003A2AEB" w:rsidRPr="001E0B05">
        <w:t xml:space="preserve">: </w:t>
      </w:r>
      <w:r w:rsidR="002B7F3A" w:rsidRPr="001E0B05">
        <w:t>List of ITU-T Questions which could be related to ITU-D Questions even in the absence of relevant ITU-T work items.</w:t>
      </w:r>
    </w:p>
    <w:p w14:paraId="627FF756" w14:textId="77777777" w:rsidR="00C11EC8" w:rsidRDefault="00BF002E" w:rsidP="009B5B24">
      <w:pPr>
        <w:spacing w:after="120"/>
      </w:pPr>
      <w:r w:rsidRPr="00957B6C">
        <w:rPr>
          <w:rFonts w:eastAsia="Batang" w:cs="Calibri"/>
          <w:bCs/>
          <w:szCs w:val="24"/>
        </w:rPr>
        <w:t xml:space="preserve">To facilitate coordination and further strengthen collaboration between the two ITU-D study groups </w:t>
      </w:r>
      <w:r w:rsidRPr="00957B6C">
        <w:rPr>
          <w:szCs w:val="24"/>
        </w:rPr>
        <w:t xml:space="preserve">and the study groups in the other </w:t>
      </w:r>
      <w:r w:rsidR="003A2AEB" w:rsidRPr="00957B6C">
        <w:rPr>
          <w:szCs w:val="24"/>
        </w:rPr>
        <w:t xml:space="preserve">ITU </w:t>
      </w:r>
      <w:r w:rsidRPr="00957B6C">
        <w:rPr>
          <w:szCs w:val="24"/>
        </w:rPr>
        <w:t>Sectors, work on the three mapping tables evolved during the ITU-D rapporteur group meetings in</w:t>
      </w:r>
      <w:r w:rsidR="002B7F3A" w:rsidRPr="00957B6C">
        <w:rPr>
          <w:bCs/>
          <w:szCs w:val="24"/>
        </w:rPr>
        <w:t xml:space="preserve"> September </w:t>
      </w:r>
      <w:r w:rsidRPr="00957B6C">
        <w:rPr>
          <w:bCs/>
          <w:szCs w:val="24"/>
        </w:rPr>
        <w:t>and</w:t>
      </w:r>
      <w:r w:rsidR="002B7F3A" w:rsidRPr="00957B6C">
        <w:rPr>
          <w:bCs/>
          <w:szCs w:val="24"/>
        </w:rPr>
        <w:t xml:space="preserve"> October 2018.</w:t>
      </w:r>
      <w:r w:rsidR="002B7F3A" w:rsidRPr="00957B6C">
        <w:rPr>
          <w:color w:val="00B050"/>
          <w:szCs w:val="24"/>
        </w:rPr>
        <w:t xml:space="preserve"> </w:t>
      </w:r>
      <w:r w:rsidR="002B7F3A" w:rsidRPr="00957B6C">
        <w:rPr>
          <w:szCs w:val="24"/>
        </w:rPr>
        <w:t xml:space="preserve">TDAG, working </w:t>
      </w:r>
      <w:r w:rsidR="003C5C8E" w:rsidRPr="00957B6C">
        <w:rPr>
          <w:szCs w:val="24"/>
        </w:rPr>
        <w:t>remotely</w:t>
      </w:r>
      <w:r w:rsidR="002B7F3A" w:rsidRPr="00957B6C">
        <w:rPr>
          <w:szCs w:val="24"/>
        </w:rPr>
        <w:t xml:space="preserve">, thanked the chairmen of the ITU-D study groups for updating the three </w:t>
      </w:r>
      <w:r w:rsidR="0042155B" w:rsidRPr="00957B6C">
        <w:rPr>
          <w:szCs w:val="24"/>
        </w:rPr>
        <w:t xml:space="preserve">mapping </w:t>
      </w:r>
      <w:r w:rsidR="002B7F3A" w:rsidRPr="00957B6C">
        <w:rPr>
          <w:szCs w:val="24"/>
        </w:rPr>
        <w:t>tables so comprehensively to support coordination between the Sectors.</w:t>
      </w:r>
      <w:r w:rsidR="002E1947" w:rsidRPr="00957B6C">
        <w:rPr>
          <w:szCs w:val="24"/>
        </w:rPr>
        <w:t xml:space="preserve"> </w:t>
      </w:r>
      <w:r w:rsidR="009003A4" w:rsidRPr="00957B6C">
        <w:t>TDAG</w:t>
      </w:r>
      <w:r w:rsidR="00C11EC8" w:rsidRPr="00957B6C">
        <w:t xml:space="preserve"> submitted </w:t>
      </w:r>
      <w:r w:rsidR="009003A4" w:rsidRPr="00957B6C">
        <w:t>the three</w:t>
      </w:r>
      <w:r w:rsidR="00C11EC8" w:rsidRPr="00957B6C">
        <w:t xml:space="preserve"> updated</w:t>
      </w:r>
      <w:r w:rsidR="009003A4" w:rsidRPr="00957B6C">
        <w:t xml:space="preserve"> </w:t>
      </w:r>
      <w:r w:rsidR="00C11EC8" w:rsidRPr="00957B6C">
        <w:t xml:space="preserve">mapping tables to </w:t>
      </w:r>
      <w:r w:rsidR="002E1947" w:rsidRPr="00957B6C">
        <w:t xml:space="preserve">the </w:t>
      </w:r>
      <w:r w:rsidR="00C11EC8" w:rsidRPr="00957B6C">
        <w:t>TSAG</w:t>
      </w:r>
      <w:r w:rsidR="009003A4" w:rsidRPr="00957B6C">
        <w:t xml:space="preserve"> meeting in December 2018 </w:t>
      </w:r>
      <w:r w:rsidR="00C11EC8" w:rsidRPr="00957B6C">
        <w:t>for comment and any further action deemed appropriate</w:t>
      </w:r>
      <w:r w:rsidR="009003A4" w:rsidRPr="00957B6C">
        <w:t>.</w:t>
      </w:r>
    </w:p>
    <w:tbl>
      <w:tblPr>
        <w:tblStyle w:val="TableGrid"/>
        <w:tblW w:w="0" w:type="auto"/>
        <w:tblLook w:val="04A0" w:firstRow="1" w:lastRow="0" w:firstColumn="1" w:lastColumn="0" w:noHBand="0" w:noVBand="1"/>
      </w:tblPr>
      <w:tblGrid>
        <w:gridCol w:w="9629"/>
      </w:tblGrid>
      <w:tr w:rsidR="008830BC" w:rsidRPr="00957B6C" w14:paraId="53BAE2BA" w14:textId="77777777" w:rsidTr="004C0883">
        <w:tc>
          <w:tcPr>
            <w:tcW w:w="9629" w:type="dxa"/>
          </w:tcPr>
          <w:p w14:paraId="6333C289" w14:textId="77777777" w:rsidR="008830BC" w:rsidRPr="00957B6C" w:rsidRDefault="008830BC" w:rsidP="004C0883">
            <w:pPr>
              <w:spacing w:after="120"/>
              <w:rPr>
                <w:rFonts w:cstheme="minorBidi"/>
                <w:color w:val="000000" w:themeColor="text1"/>
              </w:rPr>
            </w:pPr>
            <w:r w:rsidRPr="00957B6C">
              <w:rPr>
                <w:rFonts w:eastAsia="Calibri"/>
              </w:rPr>
              <w:t>TDAG noted the document.</w:t>
            </w:r>
          </w:p>
        </w:tc>
      </w:tr>
    </w:tbl>
    <w:p w14:paraId="624094B4" w14:textId="640DA8F6" w:rsidR="00137C23" w:rsidRPr="00957B6C" w:rsidRDefault="00B8346F">
      <w:pPr>
        <w:tabs>
          <w:tab w:val="left" w:pos="567"/>
          <w:tab w:val="left" w:pos="851"/>
        </w:tabs>
        <w:spacing w:after="120"/>
        <w:rPr>
          <w:szCs w:val="24"/>
        </w:rPr>
      </w:pPr>
      <w:hyperlink r:id="rId26" w:history="1">
        <w:r w:rsidR="00863D37" w:rsidRPr="00957B6C">
          <w:rPr>
            <w:rStyle w:val="Hyperlink"/>
            <w:b/>
            <w:bCs/>
            <w:szCs w:val="24"/>
          </w:rPr>
          <w:t>Document 10</w:t>
        </w:r>
      </w:hyperlink>
      <w:r w:rsidR="00863D37" w:rsidRPr="00957B6C">
        <w:rPr>
          <w:szCs w:val="24"/>
        </w:rPr>
        <w:t xml:space="preserve">: </w:t>
      </w:r>
      <w:r w:rsidR="00137C23" w:rsidRPr="00957B6C">
        <w:rPr>
          <w:szCs w:val="24"/>
        </w:rPr>
        <w:t>“Incoming liaison statement</w:t>
      </w:r>
      <w:r w:rsidR="003C5C8E" w:rsidRPr="00957B6C">
        <w:rPr>
          <w:szCs w:val="24"/>
        </w:rPr>
        <w:t>:</w:t>
      </w:r>
      <w:r w:rsidR="00137C23" w:rsidRPr="00957B6C">
        <w:rPr>
          <w:szCs w:val="24"/>
        </w:rPr>
        <w:t xml:space="preserve"> Liaison statement on coordination among the Sectors”</w:t>
      </w:r>
      <w:r w:rsidR="00A74629" w:rsidRPr="00957B6C">
        <w:rPr>
          <w:szCs w:val="24"/>
        </w:rPr>
        <w:t xml:space="preserve"> </w:t>
      </w:r>
      <w:r w:rsidR="00137C23" w:rsidRPr="00957B6C">
        <w:rPr>
          <w:szCs w:val="24"/>
        </w:rPr>
        <w:t xml:space="preserve">contains proposed revised </w:t>
      </w:r>
      <w:r w:rsidR="006A16A1">
        <w:rPr>
          <w:szCs w:val="24"/>
        </w:rPr>
        <w:t>t</w:t>
      </w:r>
      <w:r w:rsidR="00137C23" w:rsidRPr="00957B6C">
        <w:rPr>
          <w:szCs w:val="24"/>
        </w:rPr>
        <w:t xml:space="preserve">erms of </w:t>
      </w:r>
      <w:r w:rsidR="006A16A1">
        <w:rPr>
          <w:szCs w:val="24"/>
        </w:rPr>
        <w:t>r</w:t>
      </w:r>
      <w:r w:rsidR="00137C23" w:rsidRPr="00957B6C">
        <w:rPr>
          <w:szCs w:val="24"/>
        </w:rPr>
        <w:t>eference of the ISCG on issues of mutual interest</w:t>
      </w:r>
      <w:r w:rsidR="00FA7579" w:rsidRPr="00957B6C">
        <w:rPr>
          <w:szCs w:val="24"/>
        </w:rPr>
        <w:t>.</w:t>
      </w:r>
    </w:p>
    <w:p w14:paraId="62959DE5" w14:textId="77777777" w:rsidR="00691943" w:rsidRPr="00957B6C" w:rsidRDefault="00691943" w:rsidP="009B5B24">
      <w:pPr>
        <w:tabs>
          <w:tab w:val="left" w:pos="567"/>
          <w:tab w:val="left" w:pos="851"/>
        </w:tabs>
        <w:spacing w:after="120"/>
        <w:rPr>
          <w:szCs w:val="24"/>
        </w:rPr>
      </w:pPr>
      <w:r w:rsidRPr="00957B6C">
        <w:rPr>
          <w:szCs w:val="24"/>
        </w:rPr>
        <w:t xml:space="preserve">Through this </w:t>
      </w:r>
      <w:r w:rsidRPr="00957B6C">
        <w:t>liaison statement of 3 December 2018,</w:t>
      </w:r>
      <w:r w:rsidRPr="00957B6C">
        <w:rPr>
          <w:szCs w:val="24"/>
        </w:rPr>
        <w:t xml:space="preserve"> the </w:t>
      </w:r>
      <w:r w:rsidRPr="00957B6C">
        <w:rPr>
          <w:rFonts w:cs="Segoe UI"/>
        </w:rPr>
        <w:t>Inter-Sector Coordination Group (ISCG) on issues of mutual interest</w:t>
      </w:r>
      <w:r w:rsidRPr="00957B6C">
        <w:rPr>
          <w:szCs w:val="24"/>
        </w:rPr>
        <w:t xml:space="preserve"> submitted its proposed revised terms of reference to RAG, TSAG and TDAG for review, comment and approval. </w:t>
      </w:r>
    </w:p>
    <w:p w14:paraId="20D75899" w14:textId="77777777" w:rsidR="00A74629" w:rsidRPr="00957B6C" w:rsidRDefault="0069311E" w:rsidP="009B5B24">
      <w:pPr>
        <w:tabs>
          <w:tab w:val="left" w:pos="567"/>
          <w:tab w:val="left" w:pos="851"/>
        </w:tabs>
        <w:spacing w:after="120"/>
      </w:pPr>
      <w:r w:rsidRPr="00957B6C">
        <w:rPr>
          <w:szCs w:val="24"/>
        </w:rPr>
        <w:t>The ISCG on issues of mutual interest first proposed revisions to its t</w:t>
      </w:r>
      <w:r w:rsidRPr="00957B6C">
        <w:t>erms of reference</w:t>
      </w:r>
      <w:r w:rsidR="003B2AC9" w:rsidRPr="00957B6C">
        <w:t xml:space="preserve"> at its meeting </w:t>
      </w:r>
      <w:r w:rsidRPr="00957B6C">
        <w:t xml:space="preserve">in April 2018. </w:t>
      </w:r>
      <w:r w:rsidR="003B2AC9" w:rsidRPr="00957B6C">
        <w:t>No decision was taken</w:t>
      </w:r>
      <w:r w:rsidR="00FA7579" w:rsidRPr="00957B6C">
        <w:t xml:space="preserve"> at that time</w:t>
      </w:r>
      <w:r w:rsidR="003B2AC9" w:rsidRPr="00957B6C">
        <w:t xml:space="preserve">. </w:t>
      </w:r>
      <w:r w:rsidRPr="00957B6C">
        <w:t xml:space="preserve">The </w:t>
      </w:r>
      <w:r w:rsidR="00A52A78" w:rsidRPr="00957B6C">
        <w:t xml:space="preserve">revised terms of reference circulated to the Sector advisory groups </w:t>
      </w:r>
      <w:r w:rsidR="00605CEB" w:rsidRPr="00957B6C">
        <w:t xml:space="preserve">in December 2018 </w:t>
      </w:r>
      <w:r w:rsidRPr="00957B6C">
        <w:t xml:space="preserve">are </w:t>
      </w:r>
      <w:r w:rsidR="00A74629" w:rsidRPr="00957B6C">
        <w:rPr>
          <w:szCs w:val="24"/>
        </w:rPr>
        <w:t xml:space="preserve">based on the discussions that took place during </w:t>
      </w:r>
      <w:r w:rsidR="00FA7579" w:rsidRPr="00957B6C">
        <w:rPr>
          <w:szCs w:val="24"/>
        </w:rPr>
        <w:t xml:space="preserve">the </w:t>
      </w:r>
      <w:r w:rsidR="00A74629" w:rsidRPr="00957B6C">
        <w:rPr>
          <w:szCs w:val="24"/>
        </w:rPr>
        <w:t>TDAG</w:t>
      </w:r>
      <w:r w:rsidR="006D4B10" w:rsidRPr="00957B6C">
        <w:rPr>
          <w:szCs w:val="24"/>
        </w:rPr>
        <w:t xml:space="preserve"> </w:t>
      </w:r>
      <w:r w:rsidR="00FA7579" w:rsidRPr="00957B6C">
        <w:rPr>
          <w:szCs w:val="24"/>
        </w:rPr>
        <w:t xml:space="preserve">meeting </w:t>
      </w:r>
      <w:r w:rsidR="003B2AC9" w:rsidRPr="00957B6C">
        <w:rPr>
          <w:szCs w:val="24"/>
        </w:rPr>
        <w:t xml:space="preserve">and </w:t>
      </w:r>
      <w:r w:rsidR="00A74629" w:rsidRPr="00957B6C">
        <w:rPr>
          <w:szCs w:val="24"/>
        </w:rPr>
        <w:t>Council</w:t>
      </w:r>
      <w:r w:rsidR="007167A9" w:rsidRPr="00957B6C">
        <w:rPr>
          <w:szCs w:val="24"/>
        </w:rPr>
        <w:t xml:space="preserve"> meeting</w:t>
      </w:r>
      <w:r w:rsidR="00A74629" w:rsidRPr="00957B6C">
        <w:rPr>
          <w:szCs w:val="24"/>
        </w:rPr>
        <w:t xml:space="preserve"> in April</w:t>
      </w:r>
      <w:r w:rsidR="006D4B10" w:rsidRPr="00957B6C">
        <w:rPr>
          <w:szCs w:val="24"/>
        </w:rPr>
        <w:t xml:space="preserve"> 2018</w:t>
      </w:r>
      <w:r w:rsidR="00A74629" w:rsidRPr="00957B6C">
        <w:rPr>
          <w:szCs w:val="24"/>
        </w:rPr>
        <w:t xml:space="preserve">, as well as on </w:t>
      </w:r>
      <w:r w:rsidR="00FA7579" w:rsidRPr="00957B6C">
        <w:rPr>
          <w:szCs w:val="24"/>
        </w:rPr>
        <w:t>revision</w:t>
      </w:r>
      <w:r w:rsidR="00691943" w:rsidRPr="00957B6C">
        <w:rPr>
          <w:szCs w:val="24"/>
        </w:rPr>
        <w:t xml:space="preserve">s to </w:t>
      </w:r>
      <w:r w:rsidR="00691943" w:rsidRPr="00957B6C">
        <w:rPr>
          <w:rFonts w:cs="Arial"/>
          <w:szCs w:val="24"/>
        </w:rPr>
        <w:t xml:space="preserve">Resolution 191 (Rev. Dubai, 2018) of the Plenipotentiary Conference </w:t>
      </w:r>
      <w:r w:rsidR="00691943" w:rsidRPr="00957B6C">
        <w:t>on the strategy for the coordination of efforts among the three Sectors of the Union.</w:t>
      </w:r>
    </w:p>
    <w:tbl>
      <w:tblPr>
        <w:tblStyle w:val="TableGrid"/>
        <w:tblW w:w="0" w:type="auto"/>
        <w:tblLook w:val="04A0" w:firstRow="1" w:lastRow="0" w:firstColumn="1" w:lastColumn="0" w:noHBand="0" w:noVBand="1"/>
      </w:tblPr>
      <w:tblGrid>
        <w:gridCol w:w="9629"/>
      </w:tblGrid>
      <w:tr w:rsidR="00F80EA8" w:rsidRPr="00957B6C" w14:paraId="271862B6" w14:textId="77777777" w:rsidTr="00A943E7">
        <w:tc>
          <w:tcPr>
            <w:tcW w:w="9629" w:type="dxa"/>
          </w:tcPr>
          <w:p w14:paraId="306829CD" w14:textId="77777777" w:rsidR="00F80EA8" w:rsidRPr="00957B6C" w:rsidRDefault="00F80EA8" w:rsidP="009B5B24">
            <w:pPr>
              <w:spacing w:after="120"/>
              <w:rPr>
                <w:rFonts w:cstheme="minorBidi"/>
                <w:color w:val="000000" w:themeColor="text1"/>
              </w:rPr>
            </w:pPr>
            <w:r w:rsidRPr="00957B6C">
              <w:rPr>
                <w:rFonts w:eastAsia="Calibri"/>
              </w:rPr>
              <w:t>TDAG noted the document.</w:t>
            </w:r>
          </w:p>
        </w:tc>
      </w:tr>
    </w:tbl>
    <w:p w14:paraId="38E5C6E7" w14:textId="7B17D588" w:rsidR="00145F20" w:rsidRPr="00957B6C" w:rsidRDefault="00B8346F">
      <w:pPr>
        <w:tabs>
          <w:tab w:val="left" w:pos="567"/>
          <w:tab w:val="left" w:pos="851"/>
        </w:tabs>
        <w:spacing w:after="120"/>
        <w:rPr>
          <w:szCs w:val="24"/>
        </w:rPr>
      </w:pPr>
      <w:hyperlink r:id="rId27" w:history="1">
        <w:r w:rsidR="004A212E" w:rsidRPr="00957B6C">
          <w:rPr>
            <w:rStyle w:val="Hyperlink"/>
            <w:b/>
            <w:bCs/>
            <w:szCs w:val="24"/>
          </w:rPr>
          <w:t>Document 11:</w:t>
        </w:r>
      </w:hyperlink>
      <w:r w:rsidR="004A212E" w:rsidRPr="00957B6C">
        <w:rPr>
          <w:szCs w:val="24"/>
        </w:rPr>
        <w:t xml:space="preserve"> “</w:t>
      </w:r>
      <w:r w:rsidR="00EF4A90" w:rsidRPr="00957B6C">
        <w:rPr>
          <w:szCs w:val="24"/>
        </w:rPr>
        <w:t>Incoming liaison statement</w:t>
      </w:r>
      <w:r w:rsidR="003C5C8E" w:rsidRPr="00957B6C">
        <w:rPr>
          <w:szCs w:val="24"/>
        </w:rPr>
        <w:t>:</w:t>
      </w:r>
      <w:r w:rsidR="00EF4A90" w:rsidRPr="00957B6C">
        <w:rPr>
          <w:szCs w:val="24"/>
        </w:rPr>
        <w:t xml:space="preserve"> </w:t>
      </w:r>
      <w:r w:rsidR="00811F77" w:rsidRPr="00957B6C">
        <w:rPr>
          <w:szCs w:val="24"/>
        </w:rPr>
        <w:t>Liaison statement</w:t>
      </w:r>
      <w:r w:rsidR="00EF4A90" w:rsidRPr="00957B6C">
        <w:rPr>
          <w:szCs w:val="24"/>
        </w:rPr>
        <w:t xml:space="preserve"> on ITU inter-Sector coordination</w:t>
      </w:r>
      <w:r w:rsidR="00145F20" w:rsidRPr="00957B6C">
        <w:rPr>
          <w:szCs w:val="24"/>
        </w:rPr>
        <w:t>” provides updated mappings of common interest areas of work between the ITU-D and ITU-T study groups and between the ITU-R and ITU-T study groups for ITU inter-Sector coordination.</w:t>
      </w:r>
    </w:p>
    <w:p w14:paraId="620C66A8" w14:textId="74BDC01A" w:rsidR="00145F20" w:rsidRPr="00957B6C" w:rsidRDefault="00273821" w:rsidP="009B5B24">
      <w:pPr>
        <w:tabs>
          <w:tab w:val="left" w:pos="567"/>
          <w:tab w:val="left" w:pos="851"/>
        </w:tabs>
        <w:spacing w:after="120"/>
        <w:rPr>
          <w:szCs w:val="24"/>
          <w:highlight w:val="yellow"/>
        </w:rPr>
      </w:pPr>
      <w:r w:rsidRPr="00957B6C">
        <w:t>At its meeting in Geneva on 10-14 December 2018,</w:t>
      </w:r>
      <w:r w:rsidRPr="00957B6C">
        <w:rPr>
          <w:szCs w:val="24"/>
        </w:rPr>
        <w:t xml:space="preserve"> </w:t>
      </w:r>
      <w:r w:rsidR="00145F20" w:rsidRPr="00957B6C">
        <w:rPr>
          <w:szCs w:val="24"/>
        </w:rPr>
        <w:t xml:space="preserve">TSAG </w:t>
      </w:r>
      <w:r w:rsidR="00CD6A46" w:rsidRPr="00957B6C">
        <w:rPr>
          <w:szCs w:val="24"/>
        </w:rPr>
        <w:t xml:space="preserve">reviewed and </w:t>
      </w:r>
      <w:r w:rsidR="00821C39" w:rsidRPr="00957B6C">
        <w:t>accepted all amendments</w:t>
      </w:r>
      <w:r w:rsidR="003520E3" w:rsidRPr="00957B6C">
        <w:t xml:space="preserve"> </w:t>
      </w:r>
      <w:r w:rsidR="00285B1E" w:rsidRPr="00957B6C">
        <w:t xml:space="preserve">to </w:t>
      </w:r>
      <w:r w:rsidR="005F4489" w:rsidRPr="00957B6C">
        <w:t>the</w:t>
      </w:r>
      <w:r w:rsidR="00285B1E" w:rsidRPr="00957B6C">
        <w:t xml:space="preserve"> </w:t>
      </w:r>
      <w:r w:rsidR="00821C39" w:rsidRPr="00957B6C">
        <w:t>mappings in Attachments 1 and 2</w:t>
      </w:r>
      <w:r w:rsidR="003520E3" w:rsidRPr="00957B6C">
        <w:t xml:space="preserve"> </w:t>
      </w:r>
      <w:r w:rsidR="005F4489" w:rsidRPr="00957B6C">
        <w:t xml:space="preserve">received through </w:t>
      </w:r>
      <w:r w:rsidR="006A16A1">
        <w:t xml:space="preserve">a </w:t>
      </w:r>
      <w:r w:rsidR="00715351" w:rsidRPr="00957B6C">
        <w:rPr>
          <w:szCs w:val="24"/>
        </w:rPr>
        <w:t>liaison statement</w:t>
      </w:r>
      <w:r w:rsidR="00715351" w:rsidRPr="00957B6C">
        <w:t xml:space="preserve"> </w:t>
      </w:r>
      <w:r w:rsidR="00715351">
        <w:t>of 3 December 2018 from</w:t>
      </w:r>
      <w:r w:rsidR="00371B06">
        <w:t xml:space="preserve"> </w:t>
      </w:r>
      <w:r w:rsidR="005F4489" w:rsidRPr="00957B6C">
        <w:t xml:space="preserve">TDAG </w:t>
      </w:r>
      <w:r w:rsidR="00285B1E" w:rsidRPr="00957B6C">
        <w:t xml:space="preserve">and updated them </w:t>
      </w:r>
      <w:r w:rsidR="003520E3" w:rsidRPr="00957B6C">
        <w:t>accordingly:</w:t>
      </w:r>
    </w:p>
    <w:p w14:paraId="10CB139A" w14:textId="77777777" w:rsidR="008928EE" w:rsidRPr="00957B6C" w:rsidRDefault="008928EE" w:rsidP="00810998">
      <w:pPr>
        <w:numPr>
          <w:ilvl w:val="0"/>
          <w:numId w:val="3"/>
        </w:numPr>
        <w:tabs>
          <w:tab w:val="clear" w:pos="1134"/>
          <w:tab w:val="clear" w:pos="1871"/>
          <w:tab w:val="clear" w:pos="2268"/>
          <w:tab w:val="left" w:pos="0"/>
        </w:tabs>
        <w:spacing w:before="40" w:after="40"/>
        <w:ind w:left="567" w:hanging="567"/>
      </w:pPr>
      <w:r w:rsidRPr="00957B6C">
        <w:t>Attachment 1 – Matching of ITU-D SG 1 and 2 Questions of interest to ITU-T study groups.</w:t>
      </w:r>
    </w:p>
    <w:p w14:paraId="59BBA2E1" w14:textId="77777777" w:rsidR="008928EE" w:rsidRPr="00957B6C" w:rsidRDefault="008928EE" w:rsidP="00810998">
      <w:pPr>
        <w:numPr>
          <w:ilvl w:val="0"/>
          <w:numId w:val="3"/>
        </w:numPr>
        <w:tabs>
          <w:tab w:val="clear" w:pos="1134"/>
          <w:tab w:val="clear" w:pos="1871"/>
          <w:tab w:val="clear" w:pos="2268"/>
          <w:tab w:val="left" w:pos="0"/>
        </w:tabs>
        <w:spacing w:before="40" w:after="40"/>
        <w:ind w:left="567" w:hanging="567"/>
      </w:pPr>
      <w:r w:rsidRPr="00957B6C">
        <w:t>Attachment 2 – Matching of ITU-R W</w:t>
      </w:r>
      <w:r w:rsidR="00A170EA" w:rsidRPr="00957B6C">
        <w:t xml:space="preserve">orking </w:t>
      </w:r>
      <w:r w:rsidRPr="00957B6C">
        <w:t>P</w:t>
      </w:r>
      <w:r w:rsidR="00A170EA" w:rsidRPr="00957B6C">
        <w:t>artie</w:t>
      </w:r>
      <w:r w:rsidRPr="00957B6C">
        <w:t>s of interest to ITU-T study groups.</w:t>
      </w:r>
    </w:p>
    <w:p w14:paraId="0E648AD3" w14:textId="77777777" w:rsidR="008928EE" w:rsidRPr="00957B6C" w:rsidRDefault="008928EE" w:rsidP="009B5B24">
      <w:pPr>
        <w:tabs>
          <w:tab w:val="left" w:pos="0"/>
        </w:tabs>
        <w:spacing w:after="120"/>
      </w:pPr>
      <w:r w:rsidRPr="00957B6C">
        <w:t xml:space="preserve">The mappings </w:t>
      </w:r>
      <w:r w:rsidR="009131D0" w:rsidRPr="00957B6C">
        <w:t xml:space="preserve">indicate </w:t>
      </w:r>
      <w:r w:rsidRPr="00957B6C">
        <w:t>either ongoing ITU inter-Sector cooperation or possibilities for new inter-Sector cooperation</w:t>
      </w:r>
      <w:r w:rsidR="00CD6A46" w:rsidRPr="00957B6C">
        <w:t xml:space="preserve"> and are expected to help the three Sectors avoid overlap.</w:t>
      </w:r>
      <w:r w:rsidRPr="00957B6C">
        <w:t xml:space="preserve"> TSAG</w:t>
      </w:r>
      <w:r w:rsidR="005F4489" w:rsidRPr="00957B6C">
        <w:t xml:space="preserve">, through this </w:t>
      </w:r>
      <w:r w:rsidR="005F4489" w:rsidRPr="00957B6C">
        <w:rPr>
          <w:szCs w:val="24"/>
        </w:rPr>
        <w:t xml:space="preserve">liaison statement, </w:t>
      </w:r>
      <w:r w:rsidRPr="00957B6C">
        <w:t>encourage</w:t>
      </w:r>
      <w:r w:rsidR="005F4489" w:rsidRPr="00957B6C">
        <w:t>d</w:t>
      </w:r>
      <w:r w:rsidRPr="00957B6C">
        <w:t xml:space="preserve"> the groups to take the next steps in engaging in bilateral inter-Sector coordination.</w:t>
      </w:r>
      <w:r w:rsidR="00CD6A46" w:rsidRPr="00957B6C">
        <w:t xml:space="preserve"> </w:t>
      </w:r>
      <w:r w:rsidRPr="00957B6C">
        <w:t xml:space="preserve">TSAG </w:t>
      </w:r>
      <w:r w:rsidR="005F4489" w:rsidRPr="00957B6C">
        <w:t>further i</w:t>
      </w:r>
      <w:r w:rsidRPr="00957B6C">
        <w:t>nvit</w:t>
      </w:r>
      <w:r w:rsidR="005F4489" w:rsidRPr="00957B6C">
        <w:t>ed</w:t>
      </w:r>
      <w:r w:rsidRPr="00957B6C">
        <w:t xml:space="preserve"> any suggestions that would improve the collaboration and cooperation between the ITU Sectors and </w:t>
      </w:r>
      <w:r w:rsidR="005F4489" w:rsidRPr="00957B6C">
        <w:t xml:space="preserve">requested </w:t>
      </w:r>
      <w:r w:rsidRPr="00957B6C">
        <w:t>to be informed of any overlaps or possible duplication of work.</w:t>
      </w:r>
    </w:p>
    <w:tbl>
      <w:tblPr>
        <w:tblStyle w:val="TableGrid"/>
        <w:tblW w:w="0" w:type="auto"/>
        <w:tblLook w:val="04A0" w:firstRow="1" w:lastRow="0" w:firstColumn="1" w:lastColumn="0" w:noHBand="0" w:noVBand="1"/>
      </w:tblPr>
      <w:tblGrid>
        <w:gridCol w:w="9629"/>
      </w:tblGrid>
      <w:tr w:rsidR="00B467EC" w:rsidRPr="00957B6C" w14:paraId="0C799A0C" w14:textId="77777777" w:rsidTr="00A943E7">
        <w:tc>
          <w:tcPr>
            <w:tcW w:w="9629" w:type="dxa"/>
          </w:tcPr>
          <w:p w14:paraId="0E37C47D" w14:textId="77777777" w:rsidR="00B467EC" w:rsidRPr="00957B6C" w:rsidRDefault="00B467EC" w:rsidP="009B5B24">
            <w:pPr>
              <w:spacing w:after="120"/>
              <w:rPr>
                <w:rFonts w:cstheme="minorBidi"/>
                <w:color w:val="000000" w:themeColor="text1"/>
              </w:rPr>
            </w:pPr>
            <w:r w:rsidRPr="00957B6C">
              <w:rPr>
                <w:rFonts w:eastAsia="Calibri"/>
              </w:rPr>
              <w:t>TDAG noted the document.</w:t>
            </w:r>
          </w:p>
        </w:tc>
      </w:tr>
    </w:tbl>
    <w:p w14:paraId="107F3902" w14:textId="77777777" w:rsidR="00903D75" w:rsidRPr="00957B6C" w:rsidRDefault="00B8346F" w:rsidP="009B5B24">
      <w:pPr>
        <w:tabs>
          <w:tab w:val="left" w:pos="567"/>
          <w:tab w:val="left" w:pos="851"/>
        </w:tabs>
        <w:spacing w:after="120"/>
        <w:rPr>
          <w:szCs w:val="24"/>
        </w:rPr>
      </w:pPr>
      <w:hyperlink r:id="rId28" w:history="1">
        <w:r w:rsidR="00903D75" w:rsidRPr="00957B6C">
          <w:rPr>
            <w:rStyle w:val="Hyperlink"/>
            <w:b/>
            <w:bCs/>
            <w:szCs w:val="24"/>
          </w:rPr>
          <w:t>Document 24</w:t>
        </w:r>
      </w:hyperlink>
      <w:r w:rsidR="00903D75" w:rsidRPr="00957B6C">
        <w:rPr>
          <w:szCs w:val="24"/>
        </w:rPr>
        <w:t>: “Incoming liaison statement</w:t>
      </w:r>
      <w:r w:rsidR="003C5C8E" w:rsidRPr="00957B6C">
        <w:rPr>
          <w:szCs w:val="24"/>
        </w:rPr>
        <w:t>:</w:t>
      </w:r>
      <w:r w:rsidR="00903D75" w:rsidRPr="00957B6C">
        <w:rPr>
          <w:szCs w:val="24"/>
        </w:rPr>
        <w:t xml:space="preserve"> </w:t>
      </w:r>
      <w:r w:rsidR="00C21CB9" w:rsidRPr="00957B6C">
        <w:rPr>
          <w:szCs w:val="24"/>
        </w:rPr>
        <w:t>Liaison statement on</w:t>
      </w:r>
      <w:r w:rsidR="00903D75" w:rsidRPr="00957B6C">
        <w:rPr>
          <w:szCs w:val="24"/>
        </w:rPr>
        <w:t xml:space="preserve"> ITU inter-Sector coordination"</w:t>
      </w:r>
      <w:r w:rsidR="009126EC" w:rsidRPr="00957B6C">
        <w:rPr>
          <w:szCs w:val="24"/>
        </w:rPr>
        <w:t xml:space="preserve"> </w:t>
      </w:r>
      <w:r w:rsidR="006D4B10" w:rsidRPr="00957B6C">
        <w:rPr>
          <w:szCs w:val="24"/>
        </w:rPr>
        <w:t>reports</w:t>
      </w:r>
      <w:r w:rsidR="009126EC" w:rsidRPr="00957B6C">
        <w:rPr>
          <w:szCs w:val="24"/>
        </w:rPr>
        <w:t xml:space="preserve"> </w:t>
      </w:r>
      <w:r w:rsidR="000F7C70" w:rsidRPr="00957B6C">
        <w:rPr>
          <w:szCs w:val="24"/>
        </w:rPr>
        <w:t xml:space="preserve">that </w:t>
      </w:r>
      <w:r w:rsidR="00C93261" w:rsidRPr="00957B6C">
        <w:rPr>
          <w:szCs w:val="24"/>
        </w:rPr>
        <w:t xml:space="preserve">TSAG </w:t>
      </w:r>
      <w:r w:rsidR="00C21CB9" w:rsidRPr="00957B6C">
        <w:rPr>
          <w:szCs w:val="24"/>
        </w:rPr>
        <w:t xml:space="preserve">has </w:t>
      </w:r>
      <w:r w:rsidR="00C93261" w:rsidRPr="00957B6C">
        <w:rPr>
          <w:szCs w:val="24"/>
        </w:rPr>
        <w:t xml:space="preserve">approved the proposed revised </w:t>
      </w:r>
      <w:r w:rsidR="009C4203" w:rsidRPr="00957B6C">
        <w:rPr>
          <w:szCs w:val="24"/>
        </w:rPr>
        <w:t>t</w:t>
      </w:r>
      <w:r w:rsidR="00C93261" w:rsidRPr="00957B6C">
        <w:rPr>
          <w:szCs w:val="24"/>
        </w:rPr>
        <w:t xml:space="preserve">erms of </w:t>
      </w:r>
      <w:r w:rsidR="009C4203" w:rsidRPr="00957B6C">
        <w:rPr>
          <w:szCs w:val="24"/>
        </w:rPr>
        <w:t>r</w:t>
      </w:r>
      <w:r w:rsidR="00C93261" w:rsidRPr="00957B6C">
        <w:rPr>
          <w:szCs w:val="24"/>
        </w:rPr>
        <w:t xml:space="preserve">eference of the </w:t>
      </w:r>
      <w:r w:rsidR="009C4203" w:rsidRPr="00957B6C">
        <w:t>Inter-Sector Coordination Group (ISCG) on issues of mutual interest</w:t>
      </w:r>
      <w:r w:rsidR="00C93261" w:rsidRPr="00957B6C">
        <w:rPr>
          <w:szCs w:val="24"/>
        </w:rPr>
        <w:t>.</w:t>
      </w:r>
    </w:p>
    <w:p w14:paraId="7BBACA1B" w14:textId="77777777" w:rsidR="00B467EC" w:rsidRPr="00957B6C" w:rsidRDefault="009126EC" w:rsidP="009B5B24">
      <w:pPr>
        <w:tabs>
          <w:tab w:val="left" w:pos="567"/>
          <w:tab w:val="left" w:pos="851"/>
        </w:tabs>
        <w:spacing w:after="120"/>
      </w:pPr>
      <w:r w:rsidRPr="00957B6C">
        <w:t xml:space="preserve">At its meeting in Geneva </w:t>
      </w:r>
      <w:r w:rsidR="00AE3E85" w:rsidRPr="00957B6C">
        <w:t xml:space="preserve">from </w:t>
      </w:r>
      <w:r w:rsidRPr="00957B6C">
        <w:t>10</w:t>
      </w:r>
      <w:r w:rsidR="00AE3E85" w:rsidRPr="00957B6C">
        <w:t xml:space="preserve"> to </w:t>
      </w:r>
      <w:r w:rsidRPr="00957B6C">
        <w:t>14 December 2018,</w:t>
      </w:r>
      <w:r w:rsidRPr="00957B6C">
        <w:rPr>
          <w:szCs w:val="24"/>
        </w:rPr>
        <w:t xml:space="preserve"> </w:t>
      </w:r>
      <w:r w:rsidR="00A50014" w:rsidRPr="00957B6C">
        <w:t>TSAG reviewed the proposed</w:t>
      </w:r>
      <w:r w:rsidR="00C257B3" w:rsidRPr="00957B6C">
        <w:t xml:space="preserve"> revised terms of reference received </w:t>
      </w:r>
      <w:r w:rsidR="00C257B3" w:rsidRPr="00957B6C">
        <w:rPr>
          <w:szCs w:val="24"/>
        </w:rPr>
        <w:t xml:space="preserve">through a </w:t>
      </w:r>
      <w:r w:rsidR="00C257B3" w:rsidRPr="00957B6C">
        <w:t xml:space="preserve">liaison statement of 3 December 2018 from the Chairman of the </w:t>
      </w:r>
      <w:r w:rsidR="00A50014" w:rsidRPr="00957B6C">
        <w:t>Inter-Sector Coordination Group on issues of mutual interest</w:t>
      </w:r>
      <w:r w:rsidR="00C257B3" w:rsidRPr="00957B6C">
        <w:t>. TSAG</w:t>
      </w:r>
      <w:r w:rsidR="004A693F" w:rsidRPr="00957B6C">
        <w:t xml:space="preserve"> added </w:t>
      </w:r>
      <w:r w:rsidR="00C257B3" w:rsidRPr="00957B6C">
        <w:t xml:space="preserve">to these terms of reference </w:t>
      </w:r>
      <w:r w:rsidR="004A693F" w:rsidRPr="00957B6C">
        <w:t xml:space="preserve">the </w:t>
      </w:r>
      <w:r w:rsidR="00627AEB" w:rsidRPr="00957B6C">
        <w:t>words “General Secretariat”</w:t>
      </w:r>
      <w:r w:rsidR="00C257B3" w:rsidRPr="00957B6C">
        <w:t xml:space="preserve">, </w:t>
      </w:r>
      <w:r w:rsidR="004A693F" w:rsidRPr="00957B6C">
        <w:t xml:space="preserve">approved </w:t>
      </w:r>
      <w:r w:rsidR="00627AEB" w:rsidRPr="00957B6C">
        <w:t>the</w:t>
      </w:r>
      <w:r w:rsidR="00C257B3" w:rsidRPr="00957B6C">
        <w:t>m</w:t>
      </w:r>
      <w:r w:rsidR="005F4489" w:rsidRPr="00957B6C">
        <w:t xml:space="preserve"> </w:t>
      </w:r>
      <w:r w:rsidR="00627AEB" w:rsidRPr="00957B6C">
        <w:t>and sent them</w:t>
      </w:r>
      <w:r w:rsidR="005F4489" w:rsidRPr="00957B6C">
        <w:t xml:space="preserve"> </w:t>
      </w:r>
      <w:r w:rsidR="00627AEB" w:rsidRPr="00957B6C">
        <w:t>to ISCG</w:t>
      </w:r>
      <w:r w:rsidR="00C257B3" w:rsidRPr="00957B6C">
        <w:t xml:space="preserve">, and to </w:t>
      </w:r>
      <w:r w:rsidR="00627AEB" w:rsidRPr="00957B6C">
        <w:t>TDAG and RAG for information</w:t>
      </w:r>
      <w:r w:rsidR="004A693F" w:rsidRPr="00957B6C">
        <w:t>.</w:t>
      </w:r>
      <w:r w:rsidR="00627AEB" w:rsidRPr="00957B6C">
        <w:t xml:space="preserve"> TSAG stated that it is looking forward to fruitful cooperation with ISCG. </w:t>
      </w:r>
    </w:p>
    <w:tbl>
      <w:tblPr>
        <w:tblStyle w:val="TableGrid"/>
        <w:tblW w:w="0" w:type="auto"/>
        <w:tblLook w:val="04A0" w:firstRow="1" w:lastRow="0" w:firstColumn="1" w:lastColumn="0" w:noHBand="0" w:noVBand="1"/>
      </w:tblPr>
      <w:tblGrid>
        <w:gridCol w:w="9629"/>
      </w:tblGrid>
      <w:tr w:rsidR="00B467EC" w:rsidRPr="00957B6C" w14:paraId="006DAE10" w14:textId="77777777" w:rsidTr="00A943E7">
        <w:tc>
          <w:tcPr>
            <w:tcW w:w="9629" w:type="dxa"/>
          </w:tcPr>
          <w:p w14:paraId="37BD9E46" w14:textId="77777777" w:rsidR="00B467EC" w:rsidRPr="00957B6C" w:rsidRDefault="00B467EC" w:rsidP="009B5B24">
            <w:pPr>
              <w:spacing w:after="120"/>
              <w:rPr>
                <w:rFonts w:cstheme="minorBidi"/>
                <w:color w:val="000000" w:themeColor="text1"/>
              </w:rPr>
            </w:pPr>
            <w:r w:rsidRPr="00957B6C">
              <w:rPr>
                <w:rFonts w:eastAsia="Calibri"/>
              </w:rPr>
              <w:t>TDAG noted the document.</w:t>
            </w:r>
          </w:p>
        </w:tc>
      </w:tr>
    </w:tbl>
    <w:p w14:paraId="4E5F213F" w14:textId="16D2CA63" w:rsidR="00CC736E" w:rsidRPr="00957B6C" w:rsidRDefault="00B8346F" w:rsidP="009B5B24">
      <w:pPr>
        <w:tabs>
          <w:tab w:val="left" w:pos="567"/>
          <w:tab w:val="left" w:pos="851"/>
        </w:tabs>
        <w:spacing w:after="120"/>
        <w:rPr>
          <w:szCs w:val="24"/>
        </w:rPr>
      </w:pPr>
      <w:hyperlink r:id="rId29" w:history="1">
        <w:r w:rsidR="00C93261" w:rsidRPr="00957B6C">
          <w:rPr>
            <w:rStyle w:val="Hyperlink"/>
            <w:b/>
            <w:bCs/>
            <w:szCs w:val="24"/>
          </w:rPr>
          <w:t>Document 28</w:t>
        </w:r>
      </w:hyperlink>
      <w:r w:rsidR="00C93261" w:rsidRPr="00957B6C">
        <w:rPr>
          <w:szCs w:val="24"/>
        </w:rPr>
        <w:t>: “</w:t>
      </w:r>
      <w:r w:rsidR="00CC736E" w:rsidRPr="00957B6C">
        <w:rPr>
          <w:szCs w:val="24"/>
        </w:rPr>
        <w:t>Incoming liaison statement</w:t>
      </w:r>
      <w:r w:rsidR="003C5C8E" w:rsidRPr="00957B6C">
        <w:rPr>
          <w:szCs w:val="24"/>
        </w:rPr>
        <w:t>:</w:t>
      </w:r>
      <w:r w:rsidR="00CC736E" w:rsidRPr="00957B6C">
        <w:rPr>
          <w:szCs w:val="24"/>
        </w:rPr>
        <w:t xml:space="preserve"> </w:t>
      </w:r>
      <w:r w:rsidR="00811F77" w:rsidRPr="00957B6C">
        <w:rPr>
          <w:szCs w:val="24"/>
        </w:rPr>
        <w:t xml:space="preserve">Liaison statement </w:t>
      </w:r>
      <w:r w:rsidR="00CC736E" w:rsidRPr="00957B6C">
        <w:rPr>
          <w:szCs w:val="24"/>
        </w:rPr>
        <w:t>on streamlining resolutions”</w:t>
      </w:r>
      <w:r w:rsidR="00C445F2" w:rsidRPr="00957B6C">
        <w:rPr>
          <w:szCs w:val="24"/>
        </w:rPr>
        <w:t xml:space="preserve"> </w:t>
      </w:r>
      <w:r w:rsidR="00845C28" w:rsidRPr="00957B6C">
        <w:rPr>
          <w:szCs w:val="24"/>
        </w:rPr>
        <w:t xml:space="preserve">provides a mapping of the ITU </w:t>
      </w:r>
      <w:r w:rsidR="001E0B05" w:rsidRPr="00957B6C">
        <w:rPr>
          <w:szCs w:val="24"/>
        </w:rPr>
        <w:t>Plenipotentiary</w:t>
      </w:r>
      <w:r w:rsidR="00516DF8" w:rsidRPr="00957B6C">
        <w:rPr>
          <w:szCs w:val="24"/>
        </w:rPr>
        <w:t xml:space="preserve"> Conf</w:t>
      </w:r>
      <w:r w:rsidR="004B06A5" w:rsidRPr="00957B6C">
        <w:rPr>
          <w:szCs w:val="24"/>
        </w:rPr>
        <w:t>e</w:t>
      </w:r>
      <w:r w:rsidR="00516DF8" w:rsidRPr="00957B6C">
        <w:rPr>
          <w:szCs w:val="24"/>
        </w:rPr>
        <w:t xml:space="preserve">rence </w:t>
      </w:r>
      <w:r w:rsidR="00845C28" w:rsidRPr="00957B6C">
        <w:rPr>
          <w:szCs w:val="24"/>
        </w:rPr>
        <w:t xml:space="preserve">and ITU Sector </w:t>
      </w:r>
      <w:r w:rsidR="00DB0554" w:rsidRPr="00957B6C">
        <w:rPr>
          <w:szCs w:val="24"/>
        </w:rPr>
        <w:t>r</w:t>
      </w:r>
      <w:r w:rsidR="00845C28" w:rsidRPr="00957B6C">
        <w:rPr>
          <w:szCs w:val="24"/>
        </w:rPr>
        <w:t>esolutions</w:t>
      </w:r>
      <w:r w:rsidR="00DB0554" w:rsidRPr="00957B6C">
        <w:rPr>
          <w:szCs w:val="24"/>
        </w:rPr>
        <w:t xml:space="preserve"> aim</w:t>
      </w:r>
      <w:r w:rsidR="0020267D" w:rsidRPr="00957B6C">
        <w:rPr>
          <w:szCs w:val="24"/>
        </w:rPr>
        <w:t>ed at</w:t>
      </w:r>
      <w:r w:rsidR="00DB0554" w:rsidRPr="00957B6C">
        <w:rPr>
          <w:szCs w:val="24"/>
        </w:rPr>
        <w:t xml:space="preserve"> </w:t>
      </w:r>
      <w:r w:rsidR="00845C28" w:rsidRPr="00957B6C">
        <w:rPr>
          <w:szCs w:val="24"/>
        </w:rPr>
        <w:t>identify</w:t>
      </w:r>
      <w:r w:rsidR="0020267D" w:rsidRPr="00957B6C">
        <w:rPr>
          <w:szCs w:val="24"/>
        </w:rPr>
        <w:t>ing</w:t>
      </w:r>
      <w:r w:rsidR="00DB0554" w:rsidRPr="00957B6C">
        <w:rPr>
          <w:szCs w:val="24"/>
        </w:rPr>
        <w:t xml:space="preserve"> candidate r</w:t>
      </w:r>
      <w:r w:rsidR="00845C28" w:rsidRPr="00957B6C">
        <w:rPr>
          <w:szCs w:val="24"/>
        </w:rPr>
        <w:t>esolutions for streamlining.</w:t>
      </w:r>
    </w:p>
    <w:p w14:paraId="328B484A" w14:textId="55307273" w:rsidR="00C11EC8" w:rsidRPr="00957B6C" w:rsidRDefault="00123F1D">
      <w:pPr>
        <w:tabs>
          <w:tab w:val="left" w:pos="567"/>
          <w:tab w:val="left" w:pos="851"/>
        </w:tabs>
        <w:spacing w:after="120"/>
        <w:rPr>
          <w:szCs w:val="24"/>
        </w:rPr>
      </w:pPr>
      <w:r w:rsidRPr="00957B6C">
        <w:rPr>
          <w:szCs w:val="24"/>
        </w:rPr>
        <w:t>TSAG, t</w:t>
      </w:r>
      <w:r w:rsidR="00E35548" w:rsidRPr="00957B6C">
        <w:rPr>
          <w:szCs w:val="24"/>
        </w:rPr>
        <w:t xml:space="preserve">hrough </w:t>
      </w:r>
      <w:r w:rsidR="00516DF8" w:rsidRPr="00957B6C">
        <w:rPr>
          <w:szCs w:val="24"/>
        </w:rPr>
        <w:t xml:space="preserve">this liaison statement, </w:t>
      </w:r>
      <w:r w:rsidR="00C445F2" w:rsidRPr="00957B6C">
        <w:t xml:space="preserve">provided a mapping of resolutions of </w:t>
      </w:r>
      <w:r w:rsidR="00516DF8" w:rsidRPr="00957B6C">
        <w:rPr>
          <w:szCs w:val="24"/>
        </w:rPr>
        <w:t>WTSA</w:t>
      </w:r>
      <w:r w:rsidR="00C445F2" w:rsidRPr="00957B6C">
        <w:t>, WTDC and RA onto those of the</w:t>
      </w:r>
      <w:r w:rsidR="00516DF8" w:rsidRPr="00957B6C">
        <w:t xml:space="preserve"> </w:t>
      </w:r>
      <w:r w:rsidR="00516DF8" w:rsidRPr="00957B6C">
        <w:rPr>
          <w:szCs w:val="24"/>
        </w:rPr>
        <w:t>Plenip</w:t>
      </w:r>
      <w:r w:rsidR="00B11997" w:rsidRPr="00957B6C">
        <w:rPr>
          <w:szCs w:val="24"/>
        </w:rPr>
        <w:t>o</w:t>
      </w:r>
      <w:r w:rsidR="00516DF8" w:rsidRPr="00957B6C">
        <w:rPr>
          <w:szCs w:val="24"/>
        </w:rPr>
        <w:t>tentiary Conf</w:t>
      </w:r>
      <w:r w:rsidR="00B11997" w:rsidRPr="00957B6C">
        <w:rPr>
          <w:szCs w:val="24"/>
        </w:rPr>
        <w:t>e</w:t>
      </w:r>
      <w:r w:rsidR="00516DF8" w:rsidRPr="00957B6C">
        <w:rPr>
          <w:szCs w:val="24"/>
        </w:rPr>
        <w:t>rence</w:t>
      </w:r>
      <w:r w:rsidR="00C11EC8" w:rsidRPr="00957B6C">
        <w:t>.</w:t>
      </w:r>
    </w:p>
    <w:p w14:paraId="24610B50" w14:textId="77777777" w:rsidR="00C445F2" w:rsidRPr="00957B6C" w:rsidRDefault="00C445F2" w:rsidP="009B5B24">
      <w:pPr>
        <w:spacing w:after="120"/>
      </w:pPr>
      <w:r w:rsidRPr="00957B6C">
        <w:t xml:space="preserve">The mapping is presented in </w:t>
      </w:r>
      <w:r w:rsidR="0073381C" w:rsidRPr="00957B6C">
        <w:t xml:space="preserve">an attachment </w:t>
      </w:r>
      <w:r w:rsidR="00462919" w:rsidRPr="00957B6C">
        <w:t>en</w:t>
      </w:r>
      <w:r w:rsidR="00DB0554" w:rsidRPr="00957B6C">
        <w:t xml:space="preserve">titled </w:t>
      </w:r>
      <w:r w:rsidRPr="00957B6C">
        <w:t>“Mapping of WTSA, WTDC, and RA Resolutions onto PP Resolutions with the purpose of identifying candidate Resolutions for streamlining”. TSAG would welcome any comments</w:t>
      </w:r>
      <w:r w:rsidR="00DB0554" w:rsidRPr="00957B6C">
        <w:t xml:space="preserve"> </w:t>
      </w:r>
      <w:r w:rsidR="0073381C" w:rsidRPr="00957B6C">
        <w:t xml:space="preserve">on its mapping </w:t>
      </w:r>
      <w:r w:rsidR="00DB0554" w:rsidRPr="00957B6C">
        <w:t xml:space="preserve">from </w:t>
      </w:r>
      <w:r w:rsidR="00516DF8" w:rsidRPr="00957B6C">
        <w:t xml:space="preserve">TDAG, RAG, </w:t>
      </w:r>
      <w:r w:rsidR="00DB0554" w:rsidRPr="00957B6C">
        <w:t xml:space="preserve">ISCG, </w:t>
      </w:r>
      <w:r w:rsidR="00E35548" w:rsidRPr="00957B6C">
        <w:t>the Inter-Sector Coordination Task Force (</w:t>
      </w:r>
      <w:r w:rsidR="00DB0554" w:rsidRPr="00957B6C">
        <w:t>ISC-TF</w:t>
      </w:r>
      <w:r w:rsidR="00E35548" w:rsidRPr="00957B6C">
        <w:t>)</w:t>
      </w:r>
      <w:r w:rsidR="00DB0554" w:rsidRPr="00957B6C">
        <w:t xml:space="preserve"> </w:t>
      </w:r>
      <w:r w:rsidR="00516DF8" w:rsidRPr="00957B6C">
        <w:t>a</w:t>
      </w:r>
      <w:r w:rsidR="00DB0554" w:rsidRPr="00957B6C">
        <w:t xml:space="preserve">nd </w:t>
      </w:r>
      <w:r w:rsidRPr="00957B6C">
        <w:t>all ITU-T study groups by 31 August 2019.</w:t>
      </w:r>
    </w:p>
    <w:tbl>
      <w:tblPr>
        <w:tblStyle w:val="TableGrid"/>
        <w:tblW w:w="0" w:type="auto"/>
        <w:tblLook w:val="04A0" w:firstRow="1" w:lastRow="0" w:firstColumn="1" w:lastColumn="0" w:noHBand="0" w:noVBand="1"/>
      </w:tblPr>
      <w:tblGrid>
        <w:gridCol w:w="9629"/>
      </w:tblGrid>
      <w:tr w:rsidR="00B467EC" w:rsidRPr="00957B6C" w14:paraId="25822AEC" w14:textId="77777777" w:rsidTr="00A943E7">
        <w:tc>
          <w:tcPr>
            <w:tcW w:w="9629" w:type="dxa"/>
          </w:tcPr>
          <w:p w14:paraId="091C80B4" w14:textId="77777777" w:rsidR="00B467EC" w:rsidRPr="00957B6C" w:rsidRDefault="00B467EC" w:rsidP="009B5B24">
            <w:pPr>
              <w:spacing w:after="120"/>
              <w:rPr>
                <w:rFonts w:cstheme="minorBidi"/>
                <w:color w:val="000000" w:themeColor="text1"/>
              </w:rPr>
            </w:pPr>
            <w:r w:rsidRPr="00957B6C">
              <w:rPr>
                <w:rFonts w:eastAsia="Calibri"/>
              </w:rPr>
              <w:t>TDAG noted the document.</w:t>
            </w:r>
          </w:p>
        </w:tc>
      </w:tr>
    </w:tbl>
    <w:p w14:paraId="00A4EC07" w14:textId="4682E123" w:rsidR="007B3487" w:rsidRPr="004A016D" w:rsidRDefault="009D4066" w:rsidP="004A016D">
      <w:pPr>
        <w:tabs>
          <w:tab w:val="clear" w:pos="1134"/>
          <w:tab w:val="clear" w:pos="1871"/>
          <w:tab w:val="clear" w:pos="2268"/>
          <w:tab w:val="left" w:pos="0"/>
        </w:tabs>
        <w:spacing w:after="120"/>
        <w:rPr>
          <w:szCs w:val="24"/>
        </w:rPr>
      </w:pPr>
      <w:r w:rsidRPr="00FB2701">
        <w:rPr>
          <w:rStyle w:val="Hyperlink"/>
          <w:rFonts w:cs="Calibri"/>
          <w:b/>
          <w:bCs/>
          <w:szCs w:val="24"/>
        </w:rPr>
        <w:t xml:space="preserve">Document </w:t>
      </w:r>
      <w:hyperlink r:id="rId30" w:history="1">
        <w:r w:rsidRPr="00FB2701">
          <w:rPr>
            <w:rStyle w:val="Hyperlink"/>
            <w:rFonts w:cs="Calibri"/>
            <w:b/>
            <w:bCs/>
            <w:szCs w:val="24"/>
          </w:rPr>
          <w:t>38</w:t>
        </w:r>
      </w:hyperlink>
      <w:r w:rsidR="00FB2701">
        <w:rPr>
          <w:rFonts w:cstheme="minorBidi"/>
          <w:szCs w:val="24"/>
        </w:rPr>
        <w:t>:</w:t>
      </w:r>
      <w:r w:rsidR="004A016D">
        <w:rPr>
          <w:rFonts w:cstheme="minorBidi"/>
          <w:szCs w:val="24"/>
        </w:rPr>
        <w:t xml:space="preserve"> “I</w:t>
      </w:r>
      <w:r w:rsidRPr="004A016D">
        <w:rPr>
          <w:rFonts w:cstheme="minorBidi"/>
          <w:szCs w:val="24"/>
        </w:rPr>
        <w:t>ncoming liaison statement - LS/r on ITU inter-Sector coordination (reply to TSAG LS13</w:t>
      </w:r>
      <w:r w:rsidR="00767AFD">
        <w:rPr>
          <w:rFonts w:cstheme="minorBidi"/>
          <w:szCs w:val="24"/>
        </w:rPr>
        <w:t>)</w:t>
      </w:r>
      <w:r w:rsidRPr="004A016D">
        <w:rPr>
          <w:rFonts w:cstheme="minorBidi"/>
          <w:szCs w:val="24"/>
        </w:rPr>
        <w:t>”</w:t>
      </w:r>
      <w:r w:rsidR="007B3487" w:rsidRPr="004A016D">
        <w:rPr>
          <w:rFonts w:cstheme="minorBidi"/>
          <w:szCs w:val="24"/>
        </w:rPr>
        <w:t xml:space="preserve"> is a decision from ITU-T Study Group 11 responding to </w:t>
      </w:r>
      <w:r w:rsidR="00F81ECE" w:rsidRPr="004A016D">
        <w:rPr>
          <w:rFonts w:cstheme="minorBidi"/>
          <w:szCs w:val="24"/>
        </w:rPr>
        <w:t>Inter-Sector coordination matters.</w:t>
      </w:r>
    </w:p>
    <w:p w14:paraId="51FF66AA" w14:textId="3968A23D" w:rsidR="00F81ECE" w:rsidRPr="004A016D" w:rsidRDefault="00F81ECE" w:rsidP="00857FD5">
      <w:pPr>
        <w:tabs>
          <w:tab w:val="left" w:pos="0"/>
        </w:tabs>
        <w:spacing w:after="120"/>
        <w:rPr>
          <w:szCs w:val="24"/>
        </w:rPr>
      </w:pPr>
      <w:r w:rsidRPr="004A016D">
        <w:rPr>
          <w:szCs w:val="24"/>
        </w:rPr>
        <w:t xml:space="preserve">TSAG had sought views </w:t>
      </w:r>
      <w:r w:rsidR="00715351">
        <w:rPr>
          <w:szCs w:val="24"/>
        </w:rPr>
        <w:t xml:space="preserve">at its meeting on </w:t>
      </w:r>
      <w:r w:rsidR="00715351" w:rsidRPr="00957B6C">
        <w:t>10</w:t>
      </w:r>
      <w:r w:rsidR="00715351">
        <w:t>-</w:t>
      </w:r>
      <w:r w:rsidR="00715351" w:rsidRPr="00957B6C">
        <w:t>14</w:t>
      </w:r>
      <w:r w:rsidRPr="004A016D">
        <w:rPr>
          <w:szCs w:val="24"/>
        </w:rPr>
        <w:t xml:space="preserve"> December 2018 on whether the inclusion of rapidly evolving work items </w:t>
      </w:r>
      <w:r w:rsidR="00857FD5">
        <w:rPr>
          <w:szCs w:val="24"/>
        </w:rPr>
        <w:t xml:space="preserve">in the mapping tables </w:t>
      </w:r>
      <w:r w:rsidRPr="004A016D">
        <w:rPr>
          <w:szCs w:val="24"/>
        </w:rPr>
        <w:t xml:space="preserve">is an appropriate way to support collaboration </w:t>
      </w:r>
      <w:r w:rsidRPr="004A016D">
        <w:rPr>
          <w:szCs w:val="24"/>
        </w:rPr>
        <w:lastRenderedPageBreak/>
        <w:t>and cooperation across the Sectors. The question is therefore</w:t>
      </w:r>
      <w:r w:rsidR="00857FD5">
        <w:rPr>
          <w:szCs w:val="24"/>
        </w:rPr>
        <w:t xml:space="preserve">: </w:t>
      </w:r>
      <w:r w:rsidRPr="004A016D">
        <w:rPr>
          <w:szCs w:val="24"/>
        </w:rPr>
        <w:t xml:space="preserve"> is </w:t>
      </w:r>
      <w:r w:rsidR="00857FD5">
        <w:rPr>
          <w:szCs w:val="24"/>
        </w:rPr>
        <w:t xml:space="preserve">it </w:t>
      </w:r>
      <w:r w:rsidRPr="004A016D">
        <w:rPr>
          <w:szCs w:val="24"/>
        </w:rPr>
        <w:t>worthwhile maintaining work items in future tables, or it is sufficient to focus in the tables on the study group Questions alone</w:t>
      </w:r>
      <w:r w:rsidR="00857FD5">
        <w:rPr>
          <w:szCs w:val="24"/>
        </w:rPr>
        <w:t>?</w:t>
      </w:r>
      <w:r w:rsidRPr="004A016D">
        <w:rPr>
          <w:szCs w:val="24"/>
        </w:rPr>
        <w:t xml:space="preserve"> </w:t>
      </w:r>
    </w:p>
    <w:p w14:paraId="4E126259" w14:textId="6DF65EE8" w:rsidR="005816BF" w:rsidRPr="004A016D" w:rsidRDefault="005218B2" w:rsidP="001E0B05">
      <w:pPr>
        <w:spacing w:after="120"/>
        <w:rPr>
          <w:rFonts w:eastAsiaTheme="minorEastAsia"/>
          <w:szCs w:val="24"/>
          <w:u w:val="single"/>
          <w:lang w:eastAsia="ja-JP"/>
        </w:rPr>
      </w:pPr>
      <w:r w:rsidRPr="004A016D">
        <w:rPr>
          <w:rFonts w:cstheme="minorBidi"/>
          <w:szCs w:val="24"/>
        </w:rPr>
        <w:t xml:space="preserve">At its meeting </w:t>
      </w:r>
      <w:r w:rsidR="006B3E2B" w:rsidRPr="004A016D">
        <w:rPr>
          <w:rFonts w:eastAsia="SimSun" w:cstheme="majorBidi"/>
          <w:szCs w:val="24"/>
          <w:lang w:eastAsia="zh-CN"/>
        </w:rPr>
        <w:t xml:space="preserve">held in Geneva </w:t>
      </w:r>
      <w:r w:rsidR="00AE3E85" w:rsidRPr="004A016D">
        <w:rPr>
          <w:rFonts w:eastAsia="SimSun" w:cstheme="majorBidi"/>
          <w:szCs w:val="24"/>
          <w:lang w:eastAsia="zh-CN"/>
        </w:rPr>
        <w:t xml:space="preserve">from </w:t>
      </w:r>
      <w:r w:rsidR="006B3E2B" w:rsidRPr="004A016D">
        <w:rPr>
          <w:rFonts w:eastAsia="SimSun" w:cstheme="majorBidi"/>
          <w:szCs w:val="24"/>
          <w:lang w:eastAsia="zh-CN"/>
        </w:rPr>
        <w:t>6</w:t>
      </w:r>
      <w:r w:rsidR="00AE3E85" w:rsidRPr="004A016D">
        <w:rPr>
          <w:rFonts w:eastAsia="SimSun" w:cstheme="majorBidi"/>
          <w:szCs w:val="24"/>
          <w:lang w:eastAsia="zh-CN"/>
        </w:rPr>
        <w:t xml:space="preserve"> to </w:t>
      </w:r>
      <w:r w:rsidR="006B3E2B" w:rsidRPr="004A016D">
        <w:rPr>
          <w:rFonts w:eastAsia="SimSun" w:cstheme="majorBidi"/>
          <w:szCs w:val="24"/>
          <w:lang w:eastAsia="zh-CN"/>
        </w:rPr>
        <w:t xml:space="preserve">15 March 2019, </w:t>
      </w:r>
      <w:r w:rsidR="006B3E2B" w:rsidRPr="004A016D">
        <w:rPr>
          <w:szCs w:val="24"/>
        </w:rPr>
        <w:t xml:space="preserve">ITU-T </w:t>
      </w:r>
      <w:r w:rsidR="006B3E2B" w:rsidRPr="004A016D">
        <w:rPr>
          <w:rFonts w:cstheme="minorBidi"/>
          <w:szCs w:val="24"/>
        </w:rPr>
        <w:t xml:space="preserve">Study Group 11 </w:t>
      </w:r>
      <w:r w:rsidR="006B3E2B" w:rsidRPr="004A016D">
        <w:rPr>
          <w:rFonts w:eastAsia="SimSun" w:cstheme="majorBidi"/>
          <w:szCs w:val="24"/>
          <w:lang w:eastAsia="zh-CN"/>
        </w:rPr>
        <w:t>reviewed</w:t>
      </w:r>
      <w:r w:rsidRPr="004A016D">
        <w:rPr>
          <w:rFonts w:cstheme="minorBidi"/>
          <w:szCs w:val="24"/>
        </w:rPr>
        <w:t xml:space="preserve"> </w:t>
      </w:r>
      <w:r w:rsidR="006B3E2B" w:rsidRPr="004A016D">
        <w:rPr>
          <w:rFonts w:eastAsia="SimSun" w:cstheme="majorBidi"/>
          <w:szCs w:val="24"/>
          <w:lang w:eastAsia="zh-CN"/>
        </w:rPr>
        <w:t>liaison statements from TDAG on “</w:t>
      </w:r>
      <w:r w:rsidR="006B3E2B" w:rsidRPr="004A016D">
        <w:rPr>
          <w:szCs w:val="24"/>
        </w:rPr>
        <w:t xml:space="preserve">Coordination with the other </w:t>
      </w:r>
      <w:r w:rsidR="001E0B05">
        <w:rPr>
          <w:szCs w:val="24"/>
        </w:rPr>
        <w:t>S</w:t>
      </w:r>
      <w:r w:rsidR="006B3E2B" w:rsidRPr="004A016D">
        <w:rPr>
          <w:szCs w:val="24"/>
        </w:rPr>
        <w:t>ectors”</w:t>
      </w:r>
      <w:r w:rsidR="001E0B05">
        <w:rPr>
          <w:szCs w:val="24"/>
        </w:rPr>
        <w:t xml:space="preserve"> </w:t>
      </w:r>
      <w:r w:rsidR="006B3E2B" w:rsidRPr="004A016D">
        <w:rPr>
          <w:rFonts w:eastAsia="SimSun" w:cstheme="majorBidi"/>
          <w:szCs w:val="24"/>
          <w:lang w:eastAsia="zh-CN"/>
        </w:rPr>
        <w:t xml:space="preserve">and from ITU-D </w:t>
      </w:r>
      <w:r w:rsidR="00F81ECE" w:rsidRPr="004A016D">
        <w:rPr>
          <w:rFonts w:eastAsia="SimSun" w:cstheme="majorBidi"/>
          <w:szCs w:val="24"/>
          <w:lang w:eastAsia="zh-CN"/>
        </w:rPr>
        <w:t xml:space="preserve">Study Group 1 </w:t>
      </w:r>
      <w:r w:rsidR="006B3E2B" w:rsidRPr="004A016D">
        <w:rPr>
          <w:rFonts w:eastAsia="SimSun" w:cstheme="majorBidi"/>
          <w:szCs w:val="24"/>
          <w:lang w:eastAsia="zh-CN"/>
        </w:rPr>
        <w:t>on</w:t>
      </w:r>
      <w:r w:rsidR="006B3E2B" w:rsidRPr="004A016D">
        <w:rPr>
          <w:szCs w:val="24"/>
        </w:rPr>
        <w:t xml:space="preserve"> “matching of ITU-D SG1 and SG2 Questions of interest to ITU-T </w:t>
      </w:r>
      <w:r w:rsidR="00F81ECE" w:rsidRPr="004A016D">
        <w:rPr>
          <w:szCs w:val="24"/>
        </w:rPr>
        <w:t>s</w:t>
      </w:r>
      <w:r w:rsidR="006B3E2B" w:rsidRPr="004A016D">
        <w:rPr>
          <w:szCs w:val="24"/>
        </w:rPr>
        <w:t xml:space="preserve">tudy </w:t>
      </w:r>
      <w:r w:rsidR="00F81ECE" w:rsidRPr="004A016D">
        <w:rPr>
          <w:szCs w:val="24"/>
        </w:rPr>
        <w:t>g</w:t>
      </w:r>
      <w:r w:rsidR="006B3E2B" w:rsidRPr="004A016D">
        <w:rPr>
          <w:szCs w:val="24"/>
        </w:rPr>
        <w:t>roups”</w:t>
      </w:r>
      <w:r w:rsidR="00F81ECE" w:rsidRPr="004A016D">
        <w:rPr>
          <w:szCs w:val="24"/>
        </w:rPr>
        <w:t xml:space="preserve">. </w:t>
      </w:r>
      <w:r w:rsidR="005816BF" w:rsidRPr="004A016D">
        <w:rPr>
          <w:szCs w:val="24"/>
        </w:rPr>
        <w:t xml:space="preserve">ITU-T </w:t>
      </w:r>
      <w:r w:rsidRPr="004A016D">
        <w:rPr>
          <w:rFonts w:cstheme="minorBidi"/>
          <w:szCs w:val="24"/>
        </w:rPr>
        <w:t>Study Group</w:t>
      </w:r>
      <w:r w:rsidR="001E0B05">
        <w:rPr>
          <w:rFonts w:cstheme="minorBidi"/>
          <w:szCs w:val="24"/>
        </w:rPr>
        <w:t> </w:t>
      </w:r>
      <w:r w:rsidRPr="004A016D">
        <w:rPr>
          <w:rFonts w:cstheme="minorBidi"/>
          <w:szCs w:val="24"/>
        </w:rPr>
        <w:t xml:space="preserve">11 </w:t>
      </w:r>
      <w:r w:rsidR="005816BF" w:rsidRPr="004A016D">
        <w:rPr>
          <w:szCs w:val="24"/>
        </w:rPr>
        <w:t xml:space="preserve">decided that </w:t>
      </w:r>
      <w:r w:rsidR="005816BF" w:rsidRPr="004A016D">
        <w:rPr>
          <w:rFonts w:eastAsia="SimSun" w:cstheme="majorBidi"/>
          <w:szCs w:val="24"/>
          <w:lang w:eastAsia="zh-CN"/>
        </w:rPr>
        <w:t xml:space="preserve">it is </w:t>
      </w:r>
      <w:r w:rsidR="005816BF" w:rsidRPr="004A016D">
        <w:rPr>
          <w:szCs w:val="24"/>
        </w:rPr>
        <w:t xml:space="preserve">sufficient to have the tables on the study groups and Questions without the list of work items </w:t>
      </w:r>
      <w:r w:rsidR="006B3E2B" w:rsidRPr="004A016D">
        <w:rPr>
          <w:szCs w:val="24"/>
        </w:rPr>
        <w:t xml:space="preserve">because </w:t>
      </w:r>
      <w:r w:rsidR="005816BF" w:rsidRPr="004A016D">
        <w:rPr>
          <w:szCs w:val="24"/>
        </w:rPr>
        <w:t>details of Questions and related work items are already listed on study group websites.</w:t>
      </w:r>
      <w:r w:rsidRPr="004A016D">
        <w:rPr>
          <w:rFonts w:eastAsiaTheme="minorEastAsia"/>
          <w:szCs w:val="24"/>
          <w:lang w:eastAsia="ja-JP"/>
        </w:rPr>
        <w:t xml:space="preserve"> As a result of this decision, </w:t>
      </w:r>
      <w:r w:rsidRPr="004A016D">
        <w:rPr>
          <w:szCs w:val="24"/>
        </w:rPr>
        <w:t xml:space="preserve">ITU-T </w:t>
      </w:r>
      <w:r w:rsidRPr="004A016D">
        <w:rPr>
          <w:rFonts w:cstheme="minorBidi"/>
          <w:szCs w:val="24"/>
        </w:rPr>
        <w:t>Study Group 11</w:t>
      </w:r>
      <w:r w:rsidR="005816BF" w:rsidRPr="004A016D">
        <w:rPr>
          <w:szCs w:val="24"/>
        </w:rPr>
        <w:t xml:space="preserve"> does not have any updates to the matching tables provided</w:t>
      </w:r>
      <w:r w:rsidRPr="004A016D">
        <w:rPr>
          <w:szCs w:val="24"/>
        </w:rPr>
        <w:t xml:space="preserve"> by ITU-D study groups</w:t>
      </w:r>
      <w:r w:rsidR="005816BF" w:rsidRPr="004A016D">
        <w:rPr>
          <w:szCs w:val="24"/>
        </w:rPr>
        <w:t xml:space="preserve">. </w:t>
      </w:r>
    </w:p>
    <w:tbl>
      <w:tblPr>
        <w:tblStyle w:val="TableGrid"/>
        <w:tblW w:w="0" w:type="auto"/>
        <w:tblLook w:val="04A0" w:firstRow="1" w:lastRow="0" w:firstColumn="1" w:lastColumn="0" w:noHBand="0" w:noVBand="1"/>
      </w:tblPr>
      <w:tblGrid>
        <w:gridCol w:w="9629"/>
      </w:tblGrid>
      <w:tr w:rsidR="009D4066" w:rsidRPr="00957B6C" w14:paraId="551EE452" w14:textId="77777777" w:rsidTr="00A943E7">
        <w:tc>
          <w:tcPr>
            <w:tcW w:w="9629" w:type="dxa"/>
          </w:tcPr>
          <w:p w14:paraId="5EF416E3" w14:textId="77777777" w:rsidR="009D4066" w:rsidRPr="00957B6C" w:rsidRDefault="009D4066" w:rsidP="009B5B24">
            <w:pPr>
              <w:spacing w:after="120"/>
              <w:rPr>
                <w:rFonts w:cstheme="minorBidi"/>
                <w:color w:val="000000" w:themeColor="text1"/>
              </w:rPr>
            </w:pPr>
            <w:r w:rsidRPr="00957B6C">
              <w:rPr>
                <w:rFonts w:eastAsia="Calibri"/>
              </w:rPr>
              <w:t>TDAG noted the document.</w:t>
            </w:r>
          </w:p>
        </w:tc>
      </w:tr>
    </w:tbl>
    <w:p w14:paraId="6F555E6A" w14:textId="46415E99" w:rsidR="00A95FB6" w:rsidRPr="00646D24" w:rsidRDefault="009D4066" w:rsidP="009B5B24">
      <w:pPr>
        <w:pStyle w:val="Default"/>
        <w:spacing w:before="120" w:after="120"/>
        <w:rPr>
          <w:lang w:val="en-GB"/>
        </w:rPr>
      </w:pPr>
      <w:r w:rsidRPr="00646D24">
        <w:rPr>
          <w:rStyle w:val="Hyperlink"/>
          <w:b/>
          <w:bCs/>
          <w:lang w:val="en-GB"/>
        </w:rPr>
        <w:t xml:space="preserve">Document </w:t>
      </w:r>
      <w:hyperlink r:id="rId31" w:history="1">
        <w:r w:rsidRPr="00646D24">
          <w:rPr>
            <w:rStyle w:val="Hyperlink"/>
            <w:b/>
            <w:bCs/>
            <w:lang w:val="en-GB"/>
          </w:rPr>
          <w:t>41</w:t>
        </w:r>
      </w:hyperlink>
      <w:r w:rsidR="00646D24">
        <w:rPr>
          <w:rFonts w:asciiTheme="minorHAnsi" w:eastAsia="Times New Roman" w:hAnsiTheme="minorHAnsi" w:cstheme="minorBidi"/>
        </w:rPr>
        <w:t>:</w:t>
      </w:r>
      <w:r w:rsidRPr="00646D24">
        <w:rPr>
          <w:rFonts w:asciiTheme="minorHAnsi" w:eastAsia="Times New Roman" w:hAnsiTheme="minorHAnsi" w:cstheme="minorBidi"/>
        </w:rPr>
        <w:t xml:space="preserve"> “</w:t>
      </w:r>
      <w:r w:rsidRPr="00646D24">
        <w:rPr>
          <w:rFonts w:asciiTheme="minorHAnsi" w:eastAsia="Times New Roman" w:hAnsiTheme="minorHAnsi" w:cstheme="minorBidi"/>
          <w:lang w:val="en-GB"/>
        </w:rPr>
        <w:t>Incoming liaison statement - Liaison statement from the Chairmen of ITU-D SG1 and SG2 to TDAG on mapping work related to ITU-D Question-to-Question, ITU-D to ITU-T, and ITU-D to ITU-R mapping to support collaboration”</w:t>
      </w:r>
      <w:r w:rsidR="00A95FB6" w:rsidRPr="00646D24">
        <w:rPr>
          <w:rFonts w:asciiTheme="minorHAnsi" w:eastAsia="Times New Roman" w:hAnsiTheme="minorHAnsi" w:cstheme="minorBidi"/>
          <w:lang w:val="en-GB"/>
        </w:rPr>
        <w:t xml:space="preserve"> </w:t>
      </w:r>
      <w:r w:rsidR="00A95FB6" w:rsidRPr="00646D24">
        <w:rPr>
          <w:lang w:val="en-GB"/>
        </w:rPr>
        <w:t>shares an update on the mapping work that has been ongoing in ITU-D study groups.</w:t>
      </w:r>
    </w:p>
    <w:p w14:paraId="3913FED2" w14:textId="77777777" w:rsidR="00A95FB6" w:rsidRPr="00646D24" w:rsidRDefault="00A95FB6" w:rsidP="009B5B24">
      <w:pPr>
        <w:pStyle w:val="Default"/>
        <w:spacing w:before="120" w:after="120"/>
        <w:rPr>
          <w:lang w:val="en-GB"/>
        </w:rPr>
      </w:pPr>
      <w:r w:rsidRPr="00646D24">
        <w:rPr>
          <w:lang w:val="en-GB"/>
        </w:rPr>
        <w:t xml:space="preserve">The purpose of the mapping is to identify topics of mutual interest and the entities responsible for those topics across the three ITU Sectors in accordance with their mandates and Constitution and Convention of the Union. The mapping will facilitate smoother information exchange within the Union on the topics of mutual interest, and responsible entities in each Sector will know whom to contact regarding incoming and outgoing communications on such topics. </w:t>
      </w:r>
    </w:p>
    <w:p w14:paraId="4F2390EF" w14:textId="77777777" w:rsidR="00AE3E85" w:rsidRPr="00646D24" w:rsidRDefault="00C20229" w:rsidP="009B5B24">
      <w:pPr>
        <w:pStyle w:val="Default"/>
        <w:spacing w:before="120" w:after="120"/>
        <w:rPr>
          <w:lang w:val="en-GB"/>
        </w:rPr>
      </w:pPr>
      <w:r w:rsidRPr="00646D24">
        <w:rPr>
          <w:lang w:val="en-GB"/>
        </w:rPr>
        <w:t>TDA</w:t>
      </w:r>
      <w:r w:rsidR="00AE3E85" w:rsidRPr="00646D24">
        <w:rPr>
          <w:lang w:val="en-GB"/>
        </w:rPr>
        <w:t>G welcomed the liaison statement, which is a result of extensive discussions in the ITU-D study groups and which helps to focus on the next steps related to mappings and coordination with the other ITU Sectors.</w:t>
      </w:r>
    </w:p>
    <w:tbl>
      <w:tblPr>
        <w:tblStyle w:val="TableGrid"/>
        <w:tblW w:w="0" w:type="auto"/>
        <w:tblLook w:val="04A0" w:firstRow="1" w:lastRow="0" w:firstColumn="1" w:lastColumn="0" w:noHBand="0" w:noVBand="1"/>
      </w:tblPr>
      <w:tblGrid>
        <w:gridCol w:w="9629"/>
      </w:tblGrid>
      <w:tr w:rsidR="00B80F70" w:rsidRPr="00957B6C" w14:paraId="3EE80537" w14:textId="77777777" w:rsidTr="4BA30F97">
        <w:tc>
          <w:tcPr>
            <w:tcW w:w="9629" w:type="dxa"/>
          </w:tcPr>
          <w:p w14:paraId="634DE8C7" w14:textId="353C6886" w:rsidR="00B80F70" w:rsidRPr="00957B6C" w:rsidRDefault="006E6BB6">
            <w:pPr>
              <w:tabs>
                <w:tab w:val="left" w:pos="3491"/>
              </w:tabs>
              <w:spacing w:after="120"/>
              <w:rPr>
                <w:rFonts w:cstheme="minorBidi"/>
                <w:color w:val="000000" w:themeColor="text1"/>
              </w:rPr>
            </w:pPr>
            <w:r w:rsidRPr="006E6BB6">
              <w:rPr>
                <w:rFonts w:eastAsia="Calibri"/>
              </w:rPr>
              <w:t xml:space="preserve">TDAG </w:t>
            </w:r>
            <w:r w:rsidR="008B0058">
              <w:rPr>
                <w:rFonts w:eastAsia="Calibri"/>
              </w:rPr>
              <w:t xml:space="preserve">noted </w:t>
            </w:r>
            <w:r w:rsidRPr="006E6BB6">
              <w:rPr>
                <w:rFonts w:eastAsia="Calibri"/>
              </w:rPr>
              <w:t>the document.</w:t>
            </w:r>
          </w:p>
        </w:tc>
      </w:tr>
    </w:tbl>
    <w:p w14:paraId="7F44A4A3" w14:textId="6706CBF2" w:rsidR="0020482A" w:rsidRPr="00957B6C" w:rsidRDefault="00D1254F" w:rsidP="005612D5">
      <w:pPr>
        <w:pStyle w:val="Heading2"/>
        <w:numPr>
          <w:ilvl w:val="0"/>
          <w:numId w:val="1"/>
        </w:numPr>
        <w:spacing w:before="240" w:after="120"/>
        <w:ind w:left="357" w:hanging="357"/>
        <w:rPr>
          <w:rFonts w:cstheme="minorBidi"/>
          <w:color w:val="000000" w:themeColor="text1"/>
        </w:rPr>
      </w:pPr>
      <w:r w:rsidRPr="00957B6C">
        <w:rPr>
          <w:rFonts w:cstheme="minorBidi"/>
          <w:color w:val="000000" w:themeColor="text1"/>
        </w:rPr>
        <w:t xml:space="preserve">Preparations for WTDC-21, including </w:t>
      </w:r>
      <w:r w:rsidR="00F71863" w:rsidRPr="00957B6C">
        <w:rPr>
          <w:rFonts w:cstheme="minorBidi"/>
          <w:color w:val="000000" w:themeColor="text1"/>
        </w:rPr>
        <w:t xml:space="preserve">regional development forums </w:t>
      </w:r>
      <w:r w:rsidR="0047517E">
        <w:rPr>
          <w:rFonts w:cstheme="minorBidi"/>
          <w:color w:val="000000" w:themeColor="text1"/>
        </w:rPr>
        <w:t>and regional preparatory meetings</w:t>
      </w:r>
    </w:p>
    <w:p w14:paraId="076CFE80" w14:textId="77777777" w:rsidR="001822FC" w:rsidRPr="00957B6C" w:rsidRDefault="001822FC" w:rsidP="009B5B24">
      <w:pPr>
        <w:keepNext/>
        <w:spacing w:after="120"/>
        <w:rPr>
          <w:rStyle w:val="StyleComplex12pt"/>
          <w:rFonts w:cstheme="minorHAnsi"/>
          <w:b/>
          <w:bCs/>
        </w:rPr>
      </w:pPr>
      <w:r w:rsidRPr="00957B6C">
        <w:rPr>
          <w:rStyle w:val="StyleComplex12pt"/>
          <w:rFonts w:cstheme="minorHAnsi"/>
          <w:b/>
          <w:bCs/>
        </w:rPr>
        <w:t xml:space="preserve">Regional Development Forums </w:t>
      </w:r>
    </w:p>
    <w:p w14:paraId="7B6C1C95" w14:textId="77777777" w:rsidR="00E76CED" w:rsidRPr="00957B6C" w:rsidRDefault="00B8346F" w:rsidP="00810998">
      <w:pPr>
        <w:spacing w:after="120"/>
        <w:rPr>
          <w:szCs w:val="24"/>
        </w:rPr>
      </w:pPr>
      <w:hyperlink r:id="rId32">
        <w:r w:rsidR="001822FC" w:rsidRPr="00957B6C">
          <w:rPr>
            <w:rStyle w:val="Hyperlink"/>
            <w:rFonts w:cstheme="minorBidi"/>
            <w:b/>
            <w:bCs/>
          </w:rPr>
          <w:t xml:space="preserve">Document </w:t>
        </w:r>
        <w:r w:rsidR="00A4464D" w:rsidRPr="00957B6C">
          <w:rPr>
            <w:rStyle w:val="Hyperlink"/>
            <w:rFonts w:cstheme="minorBidi"/>
            <w:b/>
            <w:bCs/>
          </w:rPr>
          <w:t>14</w:t>
        </w:r>
      </w:hyperlink>
      <w:r w:rsidR="001822FC" w:rsidRPr="00957B6C">
        <w:rPr>
          <w:rFonts w:cstheme="minorBidi"/>
          <w:color w:val="000000" w:themeColor="text1"/>
        </w:rPr>
        <w:t>: “</w:t>
      </w:r>
      <w:r w:rsidR="00071125" w:rsidRPr="00957B6C">
        <w:rPr>
          <w:rFonts w:cstheme="minorBidi"/>
          <w:color w:val="000000" w:themeColor="text1"/>
        </w:rPr>
        <w:t>Regional Development Forums</w:t>
      </w:r>
      <w:r w:rsidR="001822FC" w:rsidRPr="00957B6C">
        <w:rPr>
          <w:rFonts w:cstheme="minorBidi"/>
          <w:color w:val="000000" w:themeColor="text1"/>
        </w:rPr>
        <w:t xml:space="preserve">” </w:t>
      </w:r>
      <w:r w:rsidR="00E76CED" w:rsidRPr="00957B6C">
        <w:rPr>
          <w:szCs w:val="24"/>
        </w:rPr>
        <w:t xml:space="preserve">provides background information on the status of preparations for </w:t>
      </w:r>
      <w:r w:rsidR="00816EA7" w:rsidRPr="00957B6C">
        <w:rPr>
          <w:szCs w:val="24"/>
        </w:rPr>
        <w:t>r</w:t>
      </w:r>
      <w:r w:rsidR="00E76CED" w:rsidRPr="00957B6C">
        <w:rPr>
          <w:szCs w:val="24"/>
        </w:rPr>
        <w:t xml:space="preserve">egional </w:t>
      </w:r>
      <w:r w:rsidR="00816EA7" w:rsidRPr="00957B6C">
        <w:rPr>
          <w:szCs w:val="24"/>
        </w:rPr>
        <w:t>d</w:t>
      </w:r>
      <w:r w:rsidR="00E76CED" w:rsidRPr="00957B6C">
        <w:rPr>
          <w:szCs w:val="24"/>
        </w:rPr>
        <w:t xml:space="preserve">evelopment </w:t>
      </w:r>
      <w:r w:rsidR="00816EA7" w:rsidRPr="00957B6C">
        <w:rPr>
          <w:szCs w:val="24"/>
        </w:rPr>
        <w:t>f</w:t>
      </w:r>
      <w:r w:rsidR="00E76CED" w:rsidRPr="00957B6C">
        <w:rPr>
          <w:szCs w:val="24"/>
        </w:rPr>
        <w:t xml:space="preserve">orums to be held in 2019. </w:t>
      </w:r>
    </w:p>
    <w:p w14:paraId="7D918725" w14:textId="786D568B" w:rsidR="00E76CED" w:rsidRPr="00957B6C" w:rsidRDefault="00462919" w:rsidP="009B5B24">
      <w:pPr>
        <w:tabs>
          <w:tab w:val="left" w:pos="567"/>
        </w:tabs>
        <w:spacing w:after="120"/>
        <w:rPr>
          <w:szCs w:val="24"/>
        </w:rPr>
      </w:pPr>
      <w:r w:rsidRPr="00957B6C">
        <w:rPr>
          <w:szCs w:val="24"/>
        </w:rPr>
        <w:t>PP-</w:t>
      </w:r>
      <w:r w:rsidR="00471388" w:rsidRPr="00957B6C">
        <w:rPr>
          <w:szCs w:val="24"/>
        </w:rPr>
        <w:t xml:space="preserve">18 </w:t>
      </w:r>
      <w:r w:rsidR="00120DB3">
        <w:rPr>
          <w:szCs w:val="24"/>
        </w:rPr>
        <w:t xml:space="preserve">reviewed </w:t>
      </w:r>
      <w:r w:rsidR="00E76CED" w:rsidRPr="00957B6C">
        <w:rPr>
          <w:szCs w:val="24"/>
        </w:rPr>
        <w:t xml:space="preserve">the role of regional offices, </w:t>
      </w:r>
      <w:r w:rsidR="00120DB3">
        <w:rPr>
          <w:szCs w:val="24"/>
        </w:rPr>
        <w:t xml:space="preserve">requesting </w:t>
      </w:r>
      <w:r w:rsidR="00816EA7" w:rsidRPr="00957B6C">
        <w:rPr>
          <w:szCs w:val="24"/>
        </w:rPr>
        <w:t xml:space="preserve">ITU </w:t>
      </w:r>
      <w:r w:rsidR="00E76CED" w:rsidRPr="00957B6C">
        <w:rPr>
          <w:szCs w:val="24"/>
        </w:rPr>
        <w:t xml:space="preserve">to ensure that all planned activities of </w:t>
      </w:r>
      <w:r w:rsidR="007167A9" w:rsidRPr="00957B6C">
        <w:rPr>
          <w:szCs w:val="24"/>
        </w:rPr>
        <w:t xml:space="preserve">the </w:t>
      </w:r>
      <w:r w:rsidR="00E76CED" w:rsidRPr="00957B6C">
        <w:rPr>
          <w:szCs w:val="24"/>
        </w:rPr>
        <w:t xml:space="preserve">three Sectors and the General Secretariat in the regions are consolidated into the parts of the operational plans relating to regions and implemented </w:t>
      </w:r>
      <w:r w:rsidR="00120DB3">
        <w:rPr>
          <w:szCs w:val="24"/>
        </w:rPr>
        <w:t>in</w:t>
      </w:r>
      <w:r w:rsidR="00E76CED" w:rsidRPr="00957B6C">
        <w:rPr>
          <w:szCs w:val="24"/>
        </w:rPr>
        <w:t xml:space="preserve"> coordination </w:t>
      </w:r>
      <w:r w:rsidR="00120DB3">
        <w:rPr>
          <w:szCs w:val="24"/>
        </w:rPr>
        <w:t>with</w:t>
      </w:r>
      <w:r w:rsidR="00E76CED" w:rsidRPr="00957B6C">
        <w:rPr>
          <w:szCs w:val="24"/>
        </w:rPr>
        <w:t xml:space="preserve"> the </w:t>
      </w:r>
      <w:r w:rsidR="00816EA7" w:rsidRPr="00957B6C">
        <w:rPr>
          <w:szCs w:val="24"/>
        </w:rPr>
        <w:t>r</w:t>
      </w:r>
      <w:r w:rsidR="00E76CED" w:rsidRPr="00957B6C">
        <w:rPr>
          <w:szCs w:val="24"/>
        </w:rPr>
        <w:t xml:space="preserve">egional </w:t>
      </w:r>
      <w:r w:rsidR="00816EA7" w:rsidRPr="00957B6C">
        <w:rPr>
          <w:szCs w:val="24"/>
        </w:rPr>
        <w:t>o</w:t>
      </w:r>
      <w:r w:rsidR="00E76CED" w:rsidRPr="00957B6C">
        <w:rPr>
          <w:szCs w:val="24"/>
        </w:rPr>
        <w:t xml:space="preserve">ffices. </w:t>
      </w:r>
    </w:p>
    <w:p w14:paraId="52FAA2EE" w14:textId="554FE33E" w:rsidR="00E76CED" w:rsidRPr="00957B6C" w:rsidRDefault="0091009E" w:rsidP="00810998">
      <w:pPr>
        <w:spacing w:after="120"/>
        <w:rPr>
          <w:szCs w:val="24"/>
        </w:rPr>
      </w:pPr>
      <w:r w:rsidRPr="00957B6C">
        <w:rPr>
          <w:szCs w:val="24"/>
        </w:rPr>
        <w:t>W</w:t>
      </w:r>
      <w:r w:rsidR="00E76CED" w:rsidRPr="00957B6C">
        <w:rPr>
          <w:szCs w:val="24"/>
        </w:rPr>
        <w:t xml:space="preserve">TDC-17 resolved to </w:t>
      </w:r>
      <w:r w:rsidR="00C40A09" w:rsidRPr="00957B6C">
        <w:rPr>
          <w:szCs w:val="24"/>
        </w:rPr>
        <w:t xml:space="preserve">reinforce </w:t>
      </w:r>
      <w:r w:rsidR="00E76CED" w:rsidRPr="00957B6C">
        <w:rPr>
          <w:szCs w:val="24"/>
        </w:rPr>
        <w:t xml:space="preserve">the platforms for regional coordination, including </w:t>
      </w:r>
      <w:r w:rsidR="007A7100" w:rsidRPr="00957B6C">
        <w:rPr>
          <w:szCs w:val="24"/>
        </w:rPr>
        <w:t>regional development forums</w:t>
      </w:r>
      <w:r w:rsidR="00E76CED" w:rsidRPr="00957B6C">
        <w:rPr>
          <w:szCs w:val="24"/>
        </w:rPr>
        <w:t xml:space="preserve">, </w:t>
      </w:r>
      <w:r w:rsidR="007A7100" w:rsidRPr="00957B6C">
        <w:rPr>
          <w:szCs w:val="24"/>
        </w:rPr>
        <w:t xml:space="preserve">with </w:t>
      </w:r>
      <w:r w:rsidR="00C40A09" w:rsidRPr="00957B6C">
        <w:rPr>
          <w:szCs w:val="24"/>
        </w:rPr>
        <w:t xml:space="preserve">the aim </w:t>
      </w:r>
      <w:r w:rsidR="007A7100" w:rsidRPr="00957B6C">
        <w:rPr>
          <w:szCs w:val="24"/>
        </w:rPr>
        <w:t>of</w:t>
      </w:r>
      <w:r w:rsidR="00C40A09" w:rsidRPr="00957B6C">
        <w:rPr>
          <w:szCs w:val="24"/>
        </w:rPr>
        <w:t xml:space="preserve"> </w:t>
      </w:r>
      <w:r w:rsidR="00E76CED" w:rsidRPr="00957B6C">
        <w:rPr>
          <w:szCs w:val="24"/>
        </w:rPr>
        <w:t>strengthen</w:t>
      </w:r>
      <w:r w:rsidR="007A7100" w:rsidRPr="00957B6C">
        <w:rPr>
          <w:szCs w:val="24"/>
        </w:rPr>
        <w:t>ing</w:t>
      </w:r>
      <w:r w:rsidR="00E76CED" w:rsidRPr="00957B6C">
        <w:rPr>
          <w:szCs w:val="24"/>
        </w:rPr>
        <w:t xml:space="preserve"> the regional presence as an extension of ITU as whole, and ensur</w:t>
      </w:r>
      <w:r w:rsidR="007A7100" w:rsidRPr="00957B6C">
        <w:rPr>
          <w:szCs w:val="24"/>
        </w:rPr>
        <w:t>ing</w:t>
      </w:r>
      <w:r w:rsidR="00E76CED" w:rsidRPr="00957B6C">
        <w:rPr>
          <w:szCs w:val="24"/>
        </w:rPr>
        <w:t xml:space="preserve"> that the activities of </w:t>
      </w:r>
      <w:r w:rsidR="004B06A5" w:rsidRPr="00957B6C">
        <w:rPr>
          <w:szCs w:val="24"/>
        </w:rPr>
        <w:t>the Radicommunication Bureau (</w:t>
      </w:r>
      <w:r w:rsidR="00E76CED" w:rsidRPr="00957B6C">
        <w:rPr>
          <w:szCs w:val="24"/>
        </w:rPr>
        <w:t>BR</w:t>
      </w:r>
      <w:r w:rsidR="004B06A5" w:rsidRPr="00957B6C">
        <w:rPr>
          <w:szCs w:val="24"/>
        </w:rPr>
        <w:t>)</w:t>
      </w:r>
      <w:r w:rsidR="00E76CED" w:rsidRPr="00957B6C">
        <w:rPr>
          <w:szCs w:val="24"/>
        </w:rPr>
        <w:t xml:space="preserve"> and </w:t>
      </w:r>
      <w:r w:rsidR="004B06A5" w:rsidRPr="00957B6C">
        <w:rPr>
          <w:szCs w:val="24"/>
        </w:rPr>
        <w:t>the Telecommunication Standardization Sector (</w:t>
      </w:r>
      <w:r w:rsidR="00E76CED" w:rsidRPr="00957B6C">
        <w:rPr>
          <w:szCs w:val="24"/>
        </w:rPr>
        <w:t>TSB</w:t>
      </w:r>
      <w:r w:rsidR="004B06A5" w:rsidRPr="00957B6C">
        <w:rPr>
          <w:szCs w:val="24"/>
        </w:rPr>
        <w:t>)</w:t>
      </w:r>
      <w:r w:rsidR="00E76CED" w:rsidRPr="00957B6C">
        <w:rPr>
          <w:szCs w:val="24"/>
        </w:rPr>
        <w:t xml:space="preserve"> are effectively incorporated in the actions of </w:t>
      </w:r>
      <w:r w:rsidR="00816EA7" w:rsidRPr="00957B6C">
        <w:rPr>
          <w:szCs w:val="24"/>
        </w:rPr>
        <w:t>r</w:t>
      </w:r>
      <w:r w:rsidR="00E76CED" w:rsidRPr="00957B6C">
        <w:rPr>
          <w:szCs w:val="24"/>
        </w:rPr>
        <w:t xml:space="preserve">egional </w:t>
      </w:r>
      <w:r w:rsidR="00816EA7" w:rsidRPr="00957B6C">
        <w:rPr>
          <w:szCs w:val="24"/>
        </w:rPr>
        <w:t>o</w:t>
      </w:r>
      <w:r w:rsidR="00E76CED" w:rsidRPr="00957B6C">
        <w:rPr>
          <w:szCs w:val="24"/>
        </w:rPr>
        <w:t>ffice</w:t>
      </w:r>
      <w:r w:rsidR="00C40A09" w:rsidRPr="00957B6C">
        <w:rPr>
          <w:szCs w:val="24"/>
        </w:rPr>
        <w:t>s. A</w:t>
      </w:r>
      <w:r w:rsidR="00E76CED" w:rsidRPr="00957B6C">
        <w:rPr>
          <w:szCs w:val="24"/>
        </w:rPr>
        <w:t xml:space="preserve"> series of</w:t>
      </w:r>
      <w:r w:rsidR="00F71863" w:rsidRPr="00957B6C">
        <w:rPr>
          <w:szCs w:val="24"/>
        </w:rPr>
        <w:t xml:space="preserve"> regional development forums</w:t>
      </w:r>
      <w:r w:rsidR="00E76CED" w:rsidRPr="00957B6C">
        <w:rPr>
          <w:szCs w:val="24"/>
        </w:rPr>
        <w:t xml:space="preserve"> have been scheduled in 2019</w:t>
      </w:r>
      <w:r w:rsidR="00C40A09" w:rsidRPr="00957B6C">
        <w:rPr>
          <w:szCs w:val="24"/>
        </w:rPr>
        <w:t xml:space="preserve"> with this in mind</w:t>
      </w:r>
      <w:r w:rsidR="00E76CED" w:rsidRPr="00957B6C">
        <w:rPr>
          <w:szCs w:val="24"/>
        </w:rPr>
        <w:t>.</w:t>
      </w:r>
    </w:p>
    <w:p w14:paraId="41065B5D" w14:textId="5B935BD3" w:rsidR="00DC0BD6" w:rsidRDefault="00DC0BD6" w:rsidP="001E0B05">
      <w:pPr>
        <w:tabs>
          <w:tab w:val="clear" w:pos="1134"/>
          <w:tab w:val="clear" w:pos="1871"/>
          <w:tab w:val="clear" w:pos="2268"/>
        </w:tabs>
        <w:overflowPunct/>
        <w:autoSpaceDE/>
        <w:autoSpaceDN/>
        <w:adjustRightInd/>
        <w:spacing w:after="120"/>
        <w:textAlignment w:val="auto"/>
      </w:pPr>
      <w:r w:rsidRPr="00957B6C">
        <w:t xml:space="preserve">Building upon PP-18 and WTDC-17 outcomes, </w:t>
      </w:r>
      <w:r w:rsidR="00B90FD2" w:rsidRPr="00957B6C">
        <w:t>r</w:t>
      </w:r>
      <w:r w:rsidR="00B90FD2" w:rsidRPr="00957B6C">
        <w:rPr>
          <w:rFonts w:cstheme="minorBidi"/>
          <w:color w:val="000000" w:themeColor="text1"/>
        </w:rPr>
        <w:t>egional development forums</w:t>
      </w:r>
      <w:r w:rsidRPr="00957B6C">
        <w:t xml:space="preserve"> should provide the opportunity for dialogue between </w:t>
      </w:r>
      <w:r w:rsidR="00595317" w:rsidRPr="00957B6C">
        <w:t>regional o</w:t>
      </w:r>
      <w:r w:rsidRPr="00957B6C">
        <w:t>ffices and decision-makers of ITU Member States and Sector Members on the activities carried out at the regional level, so that they can play a part in</w:t>
      </w:r>
      <w:r w:rsidR="00AF0F0D" w:rsidRPr="00957B6C">
        <w:t xml:space="preserve"> </w:t>
      </w:r>
      <w:r w:rsidR="00AF0F0D" w:rsidRPr="00957B6C">
        <w:lastRenderedPageBreak/>
        <w:t>the implementation of the ITU s</w:t>
      </w:r>
      <w:r w:rsidRPr="00957B6C">
        <w:t xml:space="preserve">trategic </w:t>
      </w:r>
      <w:r w:rsidR="00AF0F0D" w:rsidRPr="00957B6C">
        <w:t>p</w:t>
      </w:r>
      <w:r w:rsidRPr="00957B6C">
        <w:t xml:space="preserve">lan, </w:t>
      </w:r>
      <w:r w:rsidR="00590AF3" w:rsidRPr="00957B6C">
        <w:t>and the programmes, p</w:t>
      </w:r>
      <w:r w:rsidRPr="00957B6C">
        <w:t xml:space="preserve">rojects and </w:t>
      </w:r>
      <w:r w:rsidR="00590AF3" w:rsidRPr="00957B6C">
        <w:t>r</w:t>
      </w:r>
      <w:r w:rsidRPr="00957B6C">
        <w:t xml:space="preserve">egional </w:t>
      </w:r>
      <w:r w:rsidR="00590AF3" w:rsidRPr="00957B6C">
        <w:t>initiatives</w:t>
      </w:r>
      <w:r w:rsidRPr="00957B6C">
        <w:t xml:space="preserve"> set out in Resolution 17 (Rev. Buenos Aires, 2017) of WTDC.</w:t>
      </w:r>
    </w:p>
    <w:p w14:paraId="27073BF1" w14:textId="77777777" w:rsidR="001E0B05" w:rsidRPr="00957B6C" w:rsidRDefault="001E0B05" w:rsidP="001E0B05">
      <w:pPr>
        <w:keepNext/>
        <w:spacing w:after="120"/>
      </w:pPr>
      <w:r w:rsidRPr="00957B6C">
        <w:t xml:space="preserve">The format and function of </w:t>
      </w:r>
      <w:r w:rsidRPr="00957B6C">
        <w:rPr>
          <w:szCs w:val="24"/>
        </w:rPr>
        <w:t>regional development forums</w:t>
      </w:r>
      <w:r w:rsidRPr="00957B6C">
        <w:t xml:space="preserve"> have evolved based on the membership guidance in Resolution 25 (Rev. Dubai, 2018). TDAG was invited to provide guidance as appropriate to ensure that regional development forums provide best possible value to the Development Sector, while contributing to the implementation of the WSIS action lines and achievement of SDGs.</w:t>
      </w:r>
    </w:p>
    <w:tbl>
      <w:tblPr>
        <w:tblStyle w:val="TableGrid"/>
        <w:tblW w:w="0" w:type="auto"/>
        <w:tblLook w:val="04A0" w:firstRow="1" w:lastRow="0" w:firstColumn="1" w:lastColumn="0" w:noHBand="0" w:noVBand="1"/>
      </w:tblPr>
      <w:tblGrid>
        <w:gridCol w:w="9629"/>
      </w:tblGrid>
      <w:tr w:rsidR="003B4508" w:rsidRPr="00957B6C" w14:paraId="43D11F91" w14:textId="77777777" w:rsidTr="00A943E7">
        <w:tc>
          <w:tcPr>
            <w:tcW w:w="9629" w:type="dxa"/>
          </w:tcPr>
          <w:p w14:paraId="1301B6DE" w14:textId="77777777" w:rsidR="003B4508" w:rsidRPr="00957B6C" w:rsidRDefault="003B4508" w:rsidP="009B5B24">
            <w:pPr>
              <w:spacing w:after="120"/>
              <w:rPr>
                <w:rFonts w:cstheme="minorBidi"/>
                <w:color w:val="000000" w:themeColor="text1"/>
              </w:rPr>
            </w:pPr>
            <w:r w:rsidRPr="00957B6C">
              <w:rPr>
                <w:rFonts w:eastAsia="Calibri"/>
              </w:rPr>
              <w:t>TDAG noted the document.</w:t>
            </w:r>
          </w:p>
        </w:tc>
      </w:tr>
    </w:tbl>
    <w:p w14:paraId="6D544878" w14:textId="77777777" w:rsidR="00352431" w:rsidRPr="00957B6C" w:rsidRDefault="00352431" w:rsidP="00810998">
      <w:pPr>
        <w:keepNext/>
        <w:spacing w:before="240" w:after="120"/>
        <w:rPr>
          <w:rFonts w:cstheme="minorBidi"/>
          <w:b/>
          <w:bCs/>
          <w:color w:val="000000" w:themeColor="text1"/>
        </w:rPr>
      </w:pPr>
      <w:r w:rsidRPr="00957B6C">
        <w:rPr>
          <w:rFonts w:cstheme="minorBidi"/>
          <w:b/>
          <w:bCs/>
          <w:color w:val="000000" w:themeColor="text1"/>
        </w:rPr>
        <w:t>Preparations for WTDC-21</w:t>
      </w:r>
    </w:p>
    <w:p w14:paraId="5ADCAA39" w14:textId="4E56A786" w:rsidR="00512476" w:rsidRPr="00957B6C" w:rsidRDefault="00B8346F" w:rsidP="00810998">
      <w:pPr>
        <w:spacing w:after="120"/>
        <w:rPr>
          <w:b/>
        </w:rPr>
      </w:pPr>
      <w:hyperlink r:id="rId33">
        <w:r w:rsidR="00A3080B" w:rsidRPr="00810998">
          <w:rPr>
            <w:rStyle w:val="Hyperlink"/>
            <w:rFonts w:cstheme="minorBidi"/>
            <w:b/>
          </w:rPr>
          <w:t>Document 33</w:t>
        </w:r>
      </w:hyperlink>
      <w:r w:rsidR="00A3080B" w:rsidRPr="00957B6C">
        <w:rPr>
          <w:rFonts w:cstheme="minorBidi"/>
          <w:color w:val="000000" w:themeColor="text1"/>
        </w:rPr>
        <w:t>:</w:t>
      </w:r>
      <w:r w:rsidR="00A3080B" w:rsidRPr="00957B6C">
        <w:rPr>
          <w:rFonts w:cstheme="minorBidi"/>
          <w:bCs/>
          <w:color w:val="000000" w:themeColor="text1"/>
        </w:rPr>
        <w:t xml:space="preserve"> “Streamlining PP Resolution 208 and WTDC Resolutions 1 and 61”</w:t>
      </w:r>
      <w:r w:rsidR="00154494" w:rsidRPr="00957B6C">
        <w:rPr>
          <w:rFonts w:cstheme="minorBidi"/>
          <w:bCs/>
          <w:color w:val="000000" w:themeColor="text1"/>
        </w:rPr>
        <w:t xml:space="preserve"> </w:t>
      </w:r>
      <w:r w:rsidR="00855A13">
        <w:rPr>
          <w:rFonts w:cstheme="minorBidi"/>
          <w:bCs/>
          <w:color w:val="000000" w:themeColor="text1"/>
        </w:rPr>
        <w:t xml:space="preserve">(Russian </w:t>
      </w:r>
      <w:r w:rsidR="00855A13" w:rsidRPr="00810998">
        <w:rPr>
          <w:rFonts w:ascii="Calibri" w:hAnsi="Calibri"/>
          <w:bCs/>
          <w:szCs w:val="24"/>
        </w:rPr>
        <w:t>Federation</w:t>
      </w:r>
      <w:r w:rsidR="00855A13">
        <w:rPr>
          <w:rFonts w:cstheme="minorBidi"/>
          <w:bCs/>
          <w:color w:val="000000" w:themeColor="text1"/>
        </w:rPr>
        <w:t xml:space="preserve">) </w:t>
      </w:r>
      <w:r w:rsidR="0091009E" w:rsidRPr="00957B6C">
        <w:t>p</w:t>
      </w:r>
      <w:r w:rsidR="00FA03AA" w:rsidRPr="00957B6C">
        <w:t>ropose</w:t>
      </w:r>
      <w:r w:rsidR="00154494" w:rsidRPr="00957B6C">
        <w:t xml:space="preserve">s the suppression of </w:t>
      </w:r>
      <w:r w:rsidR="00FA03AA" w:rsidRPr="00957B6C">
        <w:t>Resolution 61 (Rev. Dubai, 2014)</w:t>
      </w:r>
      <w:r w:rsidR="00E050C2" w:rsidRPr="00957B6C">
        <w:t xml:space="preserve"> </w:t>
      </w:r>
      <w:r w:rsidR="000E4D58" w:rsidRPr="00957B6C">
        <w:t>of WTDC</w:t>
      </w:r>
      <w:r w:rsidR="00E42E9A" w:rsidRPr="00957B6C">
        <w:t xml:space="preserve"> </w:t>
      </w:r>
      <w:r w:rsidR="00E42E9A" w:rsidRPr="00957B6C">
        <w:rPr>
          <w:rFonts w:ascii="Calibri" w:hAnsi="Calibri"/>
          <w:bCs/>
          <w:szCs w:val="24"/>
        </w:rPr>
        <w:t>on the “appointment and maximum term of office of chairmen and vice-chairmen of study groups in the ITU Telecommunication Development Sector and of the Telecommunication Development Advisory Group”.</w:t>
      </w:r>
    </w:p>
    <w:p w14:paraId="5E7B23C6" w14:textId="79BD262C" w:rsidR="007D53CA" w:rsidRPr="00957B6C" w:rsidRDefault="007167A9">
      <w:pPr>
        <w:spacing w:after="120"/>
        <w:rPr>
          <w:bCs/>
        </w:rPr>
      </w:pPr>
      <w:r w:rsidRPr="00957B6C">
        <w:rPr>
          <w:bCs/>
        </w:rPr>
        <w:t>PP</w:t>
      </w:r>
      <w:r w:rsidR="005809CA" w:rsidRPr="00957B6C">
        <w:rPr>
          <w:bCs/>
        </w:rPr>
        <w:t>-</w:t>
      </w:r>
      <w:r w:rsidR="00C4791D" w:rsidRPr="00957B6C">
        <w:rPr>
          <w:bCs/>
        </w:rPr>
        <w:t>18</w:t>
      </w:r>
      <w:r w:rsidR="00FA03AA" w:rsidRPr="00957B6C">
        <w:rPr>
          <w:bCs/>
        </w:rPr>
        <w:t xml:space="preserve"> acknowledged the need for WTDC</w:t>
      </w:r>
      <w:r w:rsidR="00BD4323" w:rsidRPr="00957B6C">
        <w:rPr>
          <w:bCs/>
        </w:rPr>
        <w:t>,</w:t>
      </w:r>
      <w:r w:rsidR="00FA03AA" w:rsidRPr="00957B6C">
        <w:rPr>
          <w:bCs/>
        </w:rPr>
        <w:t xml:space="preserve"> WTSA and RA to streamline resolutions. </w:t>
      </w:r>
      <w:r w:rsidR="00BD4323" w:rsidRPr="00957B6C">
        <w:rPr>
          <w:bCs/>
        </w:rPr>
        <w:t xml:space="preserve">This conference </w:t>
      </w:r>
      <w:r w:rsidR="00FA03AA" w:rsidRPr="00957B6C">
        <w:rPr>
          <w:bCs/>
        </w:rPr>
        <w:t>approved new Resolution 208</w:t>
      </w:r>
      <w:r w:rsidR="00AF0F0D" w:rsidRPr="00957B6C">
        <w:rPr>
          <w:bCs/>
        </w:rPr>
        <w:t xml:space="preserve"> on the </w:t>
      </w:r>
      <w:r w:rsidR="00512476" w:rsidRPr="00957B6C">
        <w:rPr>
          <w:bCs/>
        </w:rPr>
        <w:t>a</w:t>
      </w:r>
      <w:r w:rsidR="00FA03AA" w:rsidRPr="00957B6C">
        <w:rPr>
          <w:bCs/>
        </w:rPr>
        <w:t>ppointment and maximum term of office for chairmen and vice-chairmen of Sector advisory groups, study groups and other groups</w:t>
      </w:r>
      <w:r w:rsidR="004E5E06" w:rsidRPr="00957B6C">
        <w:rPr>
          <w:bCs/>
        </w:rPr>
        <w:t xml:space="preserve">, which </w:t>
      </w:r>
      <w:r w:rsidR="004E5E06" w:rsidRPr="00957B6C">
        <w:rPr>
          <w:rFonts w:ascii="Calibri" w:hAnsi="Calibri"/>
          <w:bCs/>
          <w:szCs w:val="24"/>
        </w:rPr>
        <w:t>contains similar text found in Resolution 61</w:t>
      </w:r>
      <w:r w:rsidR="00D7086B">
        <w:rPr>
          <w:rFonts w:ascii="Calibri" w:hAnsi="Calibri"/>
          <w:bCs/>
          <w:szCs w:val="24"/>
        </w:rPr>
        <w:t>.</w:t>
      </w:r>
      <w:r w:rsidR="004E5E06" w:rsidRPr="00957B6C">
        <w:rPr>
          <w:bCs/>
        </w:rPr>
        <w:t xml:space="preserve"> </w:t>
      </w:r>
      <w:r w:rsidR="00DB0BD2" w:rsidRPr="00957B6C">
        <w:rPr>
          <w:bCs/>
        </w:rPr>
        <w:t xml:space="preserve">While this </w:t>
      </w:r>
      <w:r w:rsidR="007D53CA" w:rsidRPr="00957B6C">
        <w:rPr>
          <w:rFonts w:ascii="Calibri" w:hAnsi="Calibri"/>
          <w:bCs/>
          <w:szCs w:val="24"/>
        </w:rPr>
        <w:t>suppression</w:t>
      </w:r>
      <w:r w:rsidR="000E4D58" w:rsidRPr="00957B6C">
        <w:rPr>
          <w:rFonts w:ascii="Calibri" w:hAnsi="Calibri"/>
          <w:bCs/>
          <w:szCs w:val="24"/>
        </w:rPr>
        <w:t xml:space="preserve"> is justified</w:t>
      </w:r>
      <w:r w:rsidR="00DB0BD2" w:rsidRPr="00957B6C">
        <w:rPr>
          <w:rFonts w:ascii="Calibri" w:hAnsi="Calibri"/>
          <w:bCs/>
          <w:szCs w:val="24"/>
        </w:rPr>
        <w:t xml:space="preserve">, it will be necessary to modify Resolution 1 (Rev. Buenos Aires, 2017) of WTDC </w:t>
      </w:r>
      <w:r w:rsidR="00E42E9A" w:rsidRPr="00957B6C">
        <w:rPr>
          <w:rFonts w:ascii="Calibri" w:hAnsi="Calibri"/>
          <w:bCs/>
          <w:szCs w:val="24"/>
        </w:rPr>
        <w:t xml:space="preserve">on “Rules of procedure of the ITU Telecommunication Development Sector” </w:t>
      </w:r>
      <w:r w:rsidR="00DB0BD2" w:rsidRPr="00957B6C">
        <w:rPr>
          <w:rFonts w:ascii="Calibri" w:hAnsi="Calibri"/>
          <w:bCs/>
          <w:szCs w:val="24"/>
        </w:rPr>
        <w:t xml:space="preserve">to </w:t>
      </w:r>
      <w:r w:rsidR="007D53CA" w:rsidRPr="00957B6C">
        <w:rPr>
          <w:rFonts w:ascii="Calibri" w:hAnsi="Calibri"/>
          <w:bCs/>
          <w:szCs w:val="24"/>
        </w:rPr>
        <w:t xml:space="preserve">ensure that </w:t>
      </w:r>
      <w:r w:rsidR="00DB0BD2" w:rsidRPr="00957B6C">
        <w:rPr>
          <w:rFonts w:ascii="Calibri" w:hAnsi="Calibri"/>
          <w:bCs/>
          <w:szCs w:val="24"/>
        </w:rPr>
        <w:t xml:space="preserve">it captures </w:t>
      </w:r>
      <w:r w:rsidR="007D53CA" w:rsidRPr="00957B6C">
        <w:rPr>
          <w:rFonts w:ascii="Calibri" w:hAnsi="Calibri"/>
          <w:bCs/>
          <w:szCs w:val="24"/>
        </w:rPr>
        <w:t xml:space="preserve">all relevant content when </w:t>
      </w:r>
      <w:r w:rsidR="00BD4323" w:rsidRPr="00957B6C">
        <w:rPr>
          <w:rFonts w:ascii="Calibri" w:hAnsi="Calibri"/>
          <w:bCs/>
          <w:szCs w:val="24"/>
        </w:rPr>
        <w:t xml:space="preserve">Resolution 61 </w:t>
      </w:r>
      <w:r w:rsidR="007D53CA" w:rsidRPr="00957B6C">
        <w:rPr>
          <w:rFonts w:ascii="Calibri" w:hAnsi="Calibri"/>
          <w:bCs/>
          <w:szCs w:val="24"/>
        </w:rPr>
        <w:t xml:space="preserve"> is suppressed</w:t>
      </w:r>
      <w:r w:rsidR="004E5E06" w:rsidRPr="00957B6C">
        <w:rPr>
          <w:rFonts w:ascii="Calibri" w:hAnsi="Calibri"/>
          <w:bCs/>
          <w:szCs w:val="24"/>
        </w:rPr>
        <w:t xml:space="preserve"> at WTDC-21.</w:t>
      </w:r>
    </w:p>
    <w:tbl>
      <w:tblPr>
        <w:tblStyle w:val="TableGrid"/>
        <w:tblW w:w="0" w:type="auto"/>
        <w:tblLook w:val="04A0" w:firstRow="1" w:lastRow="0" w:firstColumn="1" w:lastColumn="0" w:noHBand="0" w:noVBand="1"/>
      </w:tblPr>
      <w:tblGrid>
        <w:gridCol w:w="9629"/>
      </w:tblGrid>
      <w:tr w:rsidR="00FA03AA" w:rsidRPr="00957B6C" w14:paraId="400EC4D5" w14:textId="77777777" w:rsidTr="00BA6B37">
        <w:tc>
          <w:tcPr>
            <w:tcW w:w="9629" w:type="dxa"/>
          </w:tcPr>
          <w:p w14:paraId="7E41DED6" w14:textId="77777777" w:rsidR="00FA03AA" w:rsidRPr="00957B6C" w:rsidRDefault="003B4508" w:rsidP="009B5B24">
            <w:pPr>
              <w:spacing w:after="120"/>
              <w:rPr>
                <w:rFonts w:cstheme="minorBidi"/>
                <w:color w:val="000000" w:themeColor="text1"/>
              </w:rPr>
            </w:pPr>
            <w:r w:rsidRPr="00957B6C">
              <w:rPr>
                <w:rFonts w:eastAsia="Calibri"/>
              </w:rPr>
              <w:t>TDAG noted the document.</w:t>
            </w:r>
          </w:p>
        </w:tc>
      </w:tr>
    </w:tbl>
    <w:p w14:paraId="11A1FA6C" w14:textId="159E19E5" w:rsidR="00AB720C" w:rsidRPr="00957B6C" w:rsidRDefault="00B8346F">
      <w:pPr>
        <w:spacing w:after="120"/>
        <w:rPr>
          <w:bCs/>
        </w:rPr>
      </w:pPr>
      <w:hyperlink r:id="rId34">
        <w:r w:rsidR="00FA03AA" w:rsidRPr="00957B6C">
          <w:rPr>
            <w:rStyle w:val="Hyperlink"/>
            <w:rFonts w:cstheme="minorBidi"/>
            <w:b/>
            <w:bCs/>
          </w:rPr>
          <w:t>Document 34</w:t>
        </w:r>
      </w:hyperlink>
      <w:r w:rsidR="00FA03AA" w:rsidRPr="00957B6C">
        <w:rPr>
          <w:rFonts w:cstheme="minorBidi"/>
          <w:color w:val="000000" w:themeColor="text1"/>
        </w:rPr>
        <w:t>:</w:t>
      </w:r>
      <w:r w:rsidR="00FA03AA" w:rsidRPr="00957B6C">
        <w:rPr>
          <w:rFonts w:cstheme="minorBidi"/>
          <w:b/>
          <w:bCs/>
          <w:color w:val="000000" w:themeColor="text1"/>
        </w:rPr>
        <w:t xml:space="preserve"> </w:t>
      </w:r>
      <w:r w:rsidR="00FA03AA" w:rsidRPr="00957B6C">
        <w:rPr>
          <w:rFonts w:cstheme="minorBidi"/>
          <w:color w:val="000000" w:themeColor="text1"/>
        </w:rPr>
        <w:t>“Streamlining PP Resolution 140 (Rev.</w:t>
      </w:r>
      <w:r w:rsidR="001E0B05">
        <w:rPr>
          <w:rFonts w:cstheme="minorBidi"/>
          <w:color w:val="000000" w:themeColor="text1"/>
        </w:rPr>
        <w:t xml:space="preserve"> </w:t>
      </w:r>
      <w:r w:rsidR="00FA03AA" w:rsidRPr="00957B6C">
        <w:rPr>
          <w:rFonts w:cstheme="minorBidi"/>
          <w:color w:val="000000" w:themeColor="text1"/>
        </w:rPr>
        <w:t>Dubai,</w:t>
      </w:r>
      <w:r w:rsidR="00E42E9A" w:rsidRPr="00957B6C">
        <w:rPr>
          <w:rFonts w:cstheme="minorBidi"/>
          <w:color w:val="000000" w:themeColor="text1"/>
        </w:rPr>
        <w:t xml:space="preserve"> </w:t>
      </w:r>
      <w:r w:rsidR="00FA03AA" w:rsidRPr="00957B6C">
        <w:rPr>
          <w:rFonts w:cstheme="minorBidi"/>
          <w:color w:val="000000" w:themeColor="text1"/>
        </w:rPr>
        <w:t>2018) and WTDC Resolution</w:t>
      </w:r>
      <w:r w:rsidR="001E0B05">
        <w:rPr>
          <w:rFonts w:cstheme="minorBidi"/>
          <w:color w:val="000000" w:themeColor="text1"/>
        </w:rPr>
        <w:t> </w:t>
      </w:r>
      <w:r w:rsidR="00FA03AA" w:rsidRPr="00957B6C">
        <w:rPr>
          <w:rFonts w:cstheme="minorBidi"/>
          <w:color w:val="000000" w:themeColor="text1"/>
        </w:rPr>
        <w:t>30”</w:t>
      </w:r>
      <w:r w:rsidR="00855A13">
        <w:rPr>
          <w:rFonts w:cstheme="minorBidi"/>
          <w:color w:val="000000" w:themeColor="text1"/>
        </w:rPr>
        <w:t xml:space="preserve"> (</w:t>
      </w:r>
      <w:r w:rsidR="00855A13" w:rsidRPr="00855A13">
        <w:rPr>
          <w:rFonts w:cstheme="minorBidi"/>
          <w:color w:val="000000" w:themeColor="text1"/>
        </w:rPr>
        <w:t>Russian Federation</w:t>
      </w:r>
      <w:r w:rsidR="00855A13">
        <w:rPr>
          <w:rFonts w:cstheme="minorBidi"/>
          <w:color w:val="000000" w:themeColor="text1"/>
        </w:rPr>
        <w:t xml:space="preserve">) </w:t>
      </w:r>
      <w:r w:rsidR="00855A13" w:rsidRPr="00957B6C">
        <w:rPr>
          <w:rFonts w:cstheme="minorBidi"/>
          <w:bCs/>
          <w:color w:val="000000" w:themeColor="text1"/>
        </w:rPr>
        <w:t>proposes</w:t>
      </w:r>
      <w:r w:rsidR="00855A13">
        <w:rPr>
          <w:rFonts w:cstheme="minorBidi"/>
          <w:bCs/>
          <w:color w:val="000000" w:themeColor="text1"/>
        </w:rPr>
        <w:t xml:space="preserve"> the streamlining of the two resolutions</w:t>
      </w:r>
      <w:r w:rsidR="00154494" w:rsidRPr="00957B6C">
        <w:rPr>
          <w:bCs/>
        </w:rPr>
        <w:t>.</w:t>
      </w:r>
      <w:r w:rsidR="00AB720C" w:rsidRPr="00957B6C">
        <w:rPr>
          <w:bCs/>
        </w:rPr>
        <w:t xml:space="preserve"> </w:t>
      </w:r>
    </w:p>
    <w:p w14:paraId="11CC15BD" w14:textId="632352E2" w:rsidR="00184D22" w:rsidRPr="00957B6C" w:rsidRDefault="00AB720C" w:rsidP="00377E68">
      <w:pPr>
        <w:spacing w:after="120"/>
        <w:rPr>
          <w:bCs/>
        </w:rPr>
      </w:pPr>
      <w:r w:rsidRPr="00184D22">
        <w:rPr>
          <w:bCs/>
        </w:rPr>
        <w:t xml:space="preserve">PP-18 </w:t>
      </w:r>
      <w:r w:rsidR="00E42E9A" w:rsidRPr="00184D22">
        <w:rPr>
          <w:bCs/>
        </w:rPr>
        <w:t xml:space="preserve">revised </w:t>
      </w:r>
      <w:r w:rsidRPr="00184D22">
        <w:rPr>
          <w:bCs/>
        </w:rPr>
        <w:t xml:space="preserve">Resolution 140 </w:t>
      </w:r>
      <w:r w:rsidR="00E42E9A" w:rsidRPr="00184D22">
        <w:rPr>
          <w:bCs/>
        </w:rPr>
        <w:t xml:space="preserve">on </w:t>
      </w:r>
      <w:r w:rsidRPr="00184D22">
        <w:rPr>
          <w:bCs/>
        </w:rPr>
        <w:t>“ITU's role in implementing the outcomes of the World Summit on the Information Society and the 2030 Agenda for Sustainable Development, as well as in their follow-up and review processes”.</w:t>
      </w:r>
      <w:r w:rsidR="00056327" w:rsidRPr="00184D22">
        <w:rPr>
          <w:bCs/>
        </w:rPr>
        <w:t xml:space="preserve"> </w:t>
      </w:r>
      <w:r w:rsidRPr="00184D22">
        <w:rPr>
          <w:bCs/>
        </w:rPr>
        <w:t xml:space="preserve">It </w:t>
      </w:r>
      <w:r w:rsidR="00184D22" w:rsidRPr="00184D22">
        <w:rPr>
          <w:bCs/>
        </w:rPr>
        <w:t xml:space="preserve">was considered </w:t>
      </w:r>
      <w:r w:rsidRPr="00184D22">
        <w:rPr>
          <w:bCs/>
        </w:rPr>
        <w:t xml:space="preserve">reasonable to streamline </w:t>
      </w:r>
      <w:r w:rsidR="00184D22" w:rsidRPr="00184D22">
        <w:rPr>
          <w:bCs/>
        </w:rPr>
        <w:t xml:space="preserve">at WTDC-21 </w:t>
      </w:r>
      <w:r w:rsidRPr="00184D22">
        <w:rPr>
          <w:bCs/>
        </w:rPr>
        <w:t xml:space="preserve">Resolution 140 (Rev. Dubai, 2018) </w:t>
      </w:r>
      <w:r w:rsidR="00075206" w:rsidRPr="00184D22">
        <w:rPr>
          <w:bCs/>
        </w:rPr>
        <w:t xml:space="preserve">of </w:t>
      </w:r>
      <w:r w:rsidR="00184D22" w:rsidRPr="00184D22">
        <w:rPr>
          <w:bCs/>
        </w:rPr>
        <w:t xml:space="preserve">the Plenipotentiary Conference </w:t>
      </w:r>
      <w:r w:rsidRPr="00184D22">
        <w:rPr>
          <w:bCs/>
        </w:rPr>
        <w:t xml:space="preserve">and Resolution 30 (Rev. Buenos Aires, 2017) on the </w:t>
      </w:r>
      <w:r w:rsidR="00075206" w:rsidRPr="00184D22">
        <w:rPr>
          <w:bCs/>
        </w:rPr>
        <w:t>“R</w:t>
      </w:r>
      <w:r w:rsidRPr="00184D22">
        <w:rPr>
          <w:bCs/>
        </w:rPr>
        <w:t>ole of the ITU Telecommunication Development Sector in implementing the outcomes of the World Summit on the Information Society, taking into account the 2030 Agenda for Sustainable Development</w:t>
      </w:r>
      <w:r w:rsidR="00075206" w:rsidRPr="00184D22">
        <w:rPr>
          <w:bCs/>
        </w:rPr>
        <w:t>”</w:t>
      </w:r>
      <w:r w:rsidR="00A3326D" w:rsidRPr="00184D22">
        <w:rPr>
          <w:bCs/>
        </w:rPr>
        <w:t>.</w:t>
      </w:r>
    </w:p>
    <w:tbl>
      <w:tblPr>
        <w:tblStyle w:val="TableGrid"/>
        <w:tblW w:w="0" w:type="auto"/>
        <w:tblLook w:val="04A0" w:firstRow="1" w:lastRow="0" w:firstColumn="1" w:lastColumn="0" w:noHBand="0" w:noVBand="1"/>
      </w:tblPr>
      <w:tblGrid>
        <w:gridCol w:w="9629"/>
      </w:tblGrid>
      <w:tr w:rsidR="00436A36" w:rsidRPr="00957B6C" w14:paraId="1DE3C353" w14:textId="77777777" w:rsidTr="00004F04">
        <w:tc>
          <w:tcPr>
            <w:tcW w:w="9629" w:type="dxa"/>
          </w:tcPr>
          <w:p w14:paraId="76F7DCEF" w14:textId="77777777" w:rsidR="00436A36" w:rsidRPr="00957B6C" w:rsidRDefault="003B4508" w:rsidP="009B5B24">
            <w:pPr>
              <w:spacing w:after="120"/>
              <w:rPr>
                <w:rFonts w:cstheme="minorBidi"/>
                <w:color w:val="000000" w:themeColor="text1"/>
              </w:rPr>
            </w:pPr>
            <w:r w:rsidRPr="00957B6C">
              <w:rPr>
                <w:rFonts w:eastAsia="Calibri"/>
              </w:rPr>
              <w:t>TDAG noted the document.</w:t>
            </w:r>
          </w:p>
        </w:tc>
      </w:tr>
    </w:tbl>
    <w:p w14:paraId="4A88C10E" w14:textId="36465222" w:rsidR="00436A36" w:rsidRPr="00F75A52" w:rsidRDefault="00B8346F" w:rsidP="009B5B24">
      <w:pPr>
        <w:tabs>
          <w:tab w:val="clear" w:pos="1134"/>
          <w:tab w:val="clear" w:pos="1871"/>
          <w:tab w:val="clear" w:pos="2268"/>
        </w:tabs>
        <w:overflowPunct/>
        <w:autoSpaceDE/>
        <w:autoSpaceDN/>
        <w:adjustRightInd/>
        <w:spacing w:after="120"/>
        <w:textAlignment w:val="auto"/>
        <w:rPr>
          <w:rFonts w:cstheme="minorHAnsi"/>
          <w:color w:val="000000" w:themeColor="text1"/>
          <w:szCs w:val="24"/>
        </w:rPr>
      </w:pPr>
      <w:hyperlink r:id="rId35">
        <w:r w:rsidR="00436A36" w:rsidRPr="00F75A52">
          <w:rPr>
            <w:rStyle w:val="Hyperlink"/>
            <w:rFonts w:cstheme="minorHAnsi"/>
            <w:b/>
            <w:bCs/>
            <w:szCs w:val="24"/>
          </w:rPr>
          <w:t>Document 37</w:t>
        </w:r>
      </w:hyperlink>
      <w:r w:rsidR="00436A36" w:rsidRPr="00F75A52">
        <w:rPr>
          <w:rFonts w:cstheme="minorHAnsi"/>
          <w:b/>
          <w:bCs/>
          <w:color w:val="000000" w:themeColor="text1"/>
          <w:szCs w:val="24"/>
        </w:rPr>
        <w:t xml:space="preserve">: </w:t>
      </w:r>
      <w:r w:rsidR="00436A36" w:rsidRPr="00F75A52">
        <w:rPr>
          <w:rFonts w:cstheme="minorHAnsi"/>
          <w:color w:val="000000" w:themeColor="text1"/>
          <w:szCs w:val="24"/>
        </w:rPr>
        <w:t>“</w:t>
      </w:r>
      <w:r w:rsidR="00436A36" w:rsidRPr="00F75A52">
        <w:rPr>
          <w:rFonts w:cstheme="minorHAnsi"/>
          <w:bCs/>
          <w:szCs w:val="24"/>
        </w:rPr>
        <w:t>Proposals for Financing Regional Initiatives”</w:t>
      </w:r>
      <w:r w:rsidR="00436A36" w:rsidRPr="00F75A52">
        <w:rPr>
          <w:rFonts w:cstheme="minorHAnsi"/>
          <w:szCs w:val="24"/>
        </w:rPr>
        <w:t xml:space="preserve"> </w:t>
      </w:r>
      <w:r w:rsidR="00855A13">
        <w:rPr>
          <w:rFonts w:cstheme="minorHAnsi"/>
          <w:szCs w:val="24"/>
        </w:rPr>
        <w:t>(</w:t>
      </w:r>
      <w:r w:rsidR="00855A13" w:rsidRPr="00855A13">
        <w:rPr>
          <w:rFonts w:cstheme="minorHAnsi"/>
          <w:szCs w:val="24"/>
        </w:rPr>
        <w:t>Russian Federation</w:t>
      </w:r>
      <w:r w:rsidR="00855A13">
        <w:rPr>
          <w:rFonts w:cstheme="minorHAnsi"/>
          <w:szCs w:val="24"/>
        </w:rPr>
        <w:t xml:space="preserve">) </w:t>
      </w:r>
      <w:r w:rsidR="00436A36" w:rsidRPr="00F75A52">
        <w:rPr>
          <w:rFonts w:cstheme="minorHAnsi"/>
          <w:szCs w:val="24"/>
        </w:rPr>
        <w:t xml:space="preserve">contains </w:t>
      </w:r>
      <w:r w:rsidR="00056327" w:rsidRPr="00F75A52">
        <w:rPr>
          <w:rFonts w:cstheme="minorHAnsi"/>
          <w:szCs w:val="24"/>
        </w:rPr>
        <w:t>suggestions on how Member States can finance these initiatives</w:t>
      </w:r>
      <w:r w:rsidR="00436A36" w:rsidRPr="00F75A52">
        <w:rPr>
          <w:rFonts w:cstheme="minorHAnsi"/>
          <w:szCs w:val="24"/>
        </w:rPr>
        <w:t>.</w:t>
      </w:r>
    </w:p>
    <w:p w14:paraId="7B631FA8" w14:textId="77777777" w:rsidR="00436A36" w:rsidRPr="00F75A52" w:rsidRDefault="00436A36" w:rsidP="009B5B24">
      <w:pPr>
        <w:pStyle w:val="ListParagraph"/>
        <w:spacing w:after="120"/>
        <w:ind w:left="0"/>
        <w:contextualSpacing w:val="0"/>
        <w:rPr>
          <w:rStyle w:val="tlid-translation"/>
          <w:rFonts w:cstheme="minorHAnsi"/>
          <w:szCs w:val="24"/>
        </w:rPr>
      </w:pPr>
      <w:r w:rsidRPr="00F75A52">
        <w:rPr>
          <w:rStyle w:val="tlid-translation"/>
          <w:rFonts w:cstheme="minorHAnsi"/>
          <w:szCs w:val="24"/>
        </w:rPr>
        <w:t xml:space="preserve">In recent years, there has been a steady practice of concluding agreements on the implementation of projects within the framework of regional initiatives, in which ITU partners (interested administrations and/or other organizations) have provided financial contributions in-kind. One of the reasons for this approach was the considerable difficulties, and often impossibility, for a number of developing countries to allocate money from the national budget, which, </w:t>
      </w:r>
      <w:r w:rsidR="00F27747" w:rsidRPr="00F75A52">
        <w:rPr>
          <w:rStyle w:val="tlid-translation"/>
          <w:rFonts w:cstheme="minorHAnsi"/>
          <w:szCs w:val="24"/>
        </w:rPr>
        <w:t>in most cases</w:t>
      </w:r>
      <w:r w:rsidRPr="00F75A52">
        <w:rPr>
          <w:rStyle w:val="tlid-translation"/>
          <w:rFonts w:cstheme="minorHAnsi"/>
          <w:szCs w:val="24"/>
        </w:rPr>
        <w:t xml:space="preserve">, </w:t>
      </w:r>
      <w:r w:rsidRPr="00F75A52">
        <w:rPr>
          <w:rStyle w:val="tlid-translation"/>
          <w:rFonts w:cstheme="minorHAnsi"/>
          <w:szCs w:val="24"/>
        </w:rPr>
        <w:lastRenderedPageBreak/>
        <w:t xml:space="preserve">is approved long before the deadline for coordinating projects, to participate in the implementation of regional initiatives. </w:t>
      </w:r>
    </w:p>
    <w:p w14:paraId="24C26D9D" w14:textId="093A3DDF" w:rsidR="00436A36" w:rsidRPr="00F75A52" w:rsidRDefault="00056327" w:rsidP="009B5B24">
      <w:pPr>
        <w:pStyle w:val="ListParagraph"/>
        <w:spacing w:after="120"/>
        <w:ind w:left="0"/>
        <w:contextualSpacing w:val="0"/>
        <w:rPr>
          <w:rStyle w:val="tlid-translation"/>
          <w:rFonts w:cstheme="minorHAnsi"/>
          <w:szCs w:val="24"/>
        </w:rPr>
      </w:pPr>
      <w:r w:rsidRPr="00F75A52">
        <w:rPr>
          <w:rStyle w:val="tlid-translation"/>
          <w:rFonts w:cstheme="minorHAnsi"/>
          <w:szCs w:val="24"/>
        </w:rPr>
        <w:t>A proposal was put forward t</w:t>
      </w:r>
      <w:r w:rsidR="00436A36" w:rsidRPr="00F75A52">
        <w:rPr>
          <w:rStyle w:val="tlid-translation"/>
          <w:rFonts w:cstheme="minorHAnsi"/>
          <w:szCs w:val="24"/>
        </w:rPr>
        <w:t>o preserve the practice of accepting the contribution of project partners in-kind</w:t>
      </w:r>
      <w:r w:rsidR="00312B9D">
        <w:rPr>
          <w:rStyle w:val="tlid-translation"/>
          <w:rFonts w:cstheme="minorHAnsi"/>
          <w:szCs w:val="24"/>
        </w:rPr>
        <w:t>.</w:t>
      </w:r>
    </w:p>
    <w:p w14:paraId="51F3E3FF" w14:textId="0A3F9F0C" w:rsidR="0091250D" w:rsidRDefault="0091250D" w:rsidP="00E25179">
      <w:pPr>
        <w:pStyle w:val="ListParagraph"/>
        <w:spacing w:after="120"/>
        <w:ind w:left="0"/>
        <w:contextualSpacing w:val="0"/>
        <w:rPr>
          <w:rFonts w:eastAsia="Calibri" w:cs="Calibri"/>
          <w:szCs w:val="24"/>
        </w:rPr>
      </w:pPr>
      <w:r w:rsidRPr="00F75A52">
        <w:rPr>
          <w:rFonts w:eastAsia="Calibri" w:cs="Calibri"/>
          <w:szCs w:val="24"/>
        </w:rPr>
        <w:t xml:space="preserve">BDT clarified that in-kind contributions could only be accepted in financing </w:t>
      </w:r>
      <w:r w:rsidR="00FA6433" w:rsidRPr="00F75A52">
        <w:rPr>
          <w:rFonts w:eastAsia="Calibri" w:cs="Calibri"/>
          <w:szCs w:val="24"/>
        </w:rPr>
        <w:t>regional i</w:t>
      </w:r>
      <w:r w:rsidRPr="00F75A52">
        <w:rPr>
          <w:rFonts w:eastAsia="Calibri" w:cs="Calibri"/>
          <w:szCs w:val="24"/>
        </w:rPr>
        <w:t>nitiatives if they can be quantified using a sound methodology and all supporting documentation, ensuring compliance with internal financial regulations and external audit requirements</w:t>
      </w:r>
      <w:r w:rsidR="00FA6433" w:rsidRPr="00F75A52">
        <w:rPr>
          <w:rFonts w:eastAsia="Calibri" w:cs="Calibri"/>
          <w:szCs w:val="24"/>
        </w:rPr>
        <w:t>.</w:t>
      </w:r>
    </w:p>
    <w:p w14:paraId="7A63E76A" w14:textId="7F242AFF" w:rsidR="00E25179" w:rsidRPr="00E25179" w:rsidRDefault="00352431" w:rsidP="00E25179">
      <w:pPr>
        <w:pStyle w:val="ListParagraph"/>
        <w:spacing w:after="120"/>
        <w:ind w:left="0"/>
        <w:contextualSpacing w:val="0"/>
        <w:rPr>
          <w:rStyle w:val="tlid-translation"/>
          <w:rFonts w:cstheme="minorHAnsi"/>
          <w:szCs w:val="24"/>
        </w:rPr>
      </w:pPr>
      <w:r w:rsidRPr="00211564">
        <w:rPr>
          <w:szCs w:val="24"/>
        </w:rPr>
        <w:t>The accounting of in-kind contributions will be done in accordance with IPSAS (international public sector accounting standards.</w:t>
      </w:r>
    </w:p>
    <w:tbl>
      <w:tblPr>
        <w:tblStyle w:val="TableGrid"/>
        <w:tblW w:w="0" w:type="auto"/>
        <w:tblLook w:val="04A0" w:firstRow="1" w:lastRow="0" w:firstColumn="1" w:lastColumn="0" w:noHBand="0" w:noVBand="1"/>
      </w:tblPr>
      <w:tblGrid>
        <w:gridCol w:w="9629"/>
      </w:tblGrid>
      <w:tr w:rsidR="00F27747" w:rsidRPr="00957B6C" w14:paraId="3BBCA1C5" w14:textId="77777777" w:rsidTr="00A943E7">
        <w:tc>
          <w:tcPr>
            <w:tcW w:w="9629" w:type="dxa"/>
          </w:tcPr>
          <w:p w14:paraId="53AD55AD" w14:textId="6B2595B5" w:rsidR="00F27747" w:rsidRPr="003C17C9" w:rsidRDefault="00077FDF">
            <w:pPr>
              <w:pStyle w:val="PlainText"/>
              <w:snapToGrid w:val="0"/>
              <w:spacing w:before="120" w:after="120"/>
              <w:rPr>
                <w:color w:val="000000" w:themeColor="text1"/>
                <w:szCs w:val="24"/>
              </w:rPr>
            </w:pPr>
            <w:r w:rsidRPr="004D22C2">
              <w:rPr>
                <w:rFonts w:eastAsia="Calibri" w:cs="Calibri"/>
                <w:sz w:val="24"/>
                <w:szCs w:val="24"/>
              </w:rPr>
              <w:t>In discussing the seed money that has been allocated by the Council to the regional initiatives, TDAG agreed that in-kind contributions that can be quantified can be included in project documents as one of the funding sources and must be submitted with the initial project document.</w:t>
            </w:r>
          </w:p>
        </w:tc>
      </w:tr>
    </w:tbl>
    <w:p w14:paraId="095678B4" w14:textId="2C80E359" w:rsidR="00F27747" w:rsidRPr="00957B6C" w:rsidRDefault="00B8346F" w:rsidP="009B5B24">
      <w:pPr>
        <w:spacing w:after="120"/>
        <w:rPr>
          <w:szCs w:val="24"/>
        </w:rPr>
      </w:pPr>
      <w:hyperlink r:id="rId36">
        <w:r w:rsidR="00F27747" w:rsidRPr="00E25179">
          <w:rPr>
            <w:rStyle w:val="Hyperlink"/>
            <w:rFonts w:cstheme="minorBidi"/>
            <w:b/>
          </w:rPr>
          <w:t xml:space="preserve">Document </w:t>
        </w:r>
      </w:hyperlink>
      <w:r w:rsidR="00F27747" w:rsidRPr="00E25179">
        <w:rPr>
          <w:rStyle w:val="Hyperlink"/>
          <w:rFonts w:cstheme="minorBidi"/>
          <w:b/>
        </w:rPr>
        <w:t>39</w:t>
      </w:r>
      <w:r w:rsidR="00F27747" w:rsidRPr="00E25179">
        <w:rPr>
          <w:rFonts w:cstheme="minorBidi"/>
          <w:b/>
          <w:color w:val="000000" w:themeColor="text1"/>
        </w:rPr>
        <w:t>:</w:t>
      </w:r>
      <w:r w:rsidR="00F27747" w:rsidRPr="00312094">
        <w:rPr>
          <w:rFonts w:cstheme="minorBidi"/>
          <w:b/>
          <w:color w:val="000000" w:themeColor="text1"/>
        </w:rPr>
        <w:t xml:space="preserve"> </w:t>
      </w:r>
      <w:r w:rsidR="00F27747" w:rsidRPr="00957B6C">
        <w:rPr>
          <w:rFonts w:cstheme="minorBidi"/>
          <w:bCs/>
          <w:color w:val="000000" w:themeColor="text1"/>
        </w:rPr>
        <w:t>“</w:t>
      </w:r>
      <w:r w:rsidR="00F27747" w:rsidRPr="00957B6C">
        <w:rPr>
          <w:rFonts w:cstheme="minorBidi"/>
          <w:color w:val="000000" w:themeColor="text1"/>
        </w:rPr>
        <w:t>P</w:t>
      </w:r>
      <w:r w:rsidR="00F27747" w:rsidRPr="00957B6C">
        <w:rPr>
          <w:szCs w:val="24"/>
        </w:rPr>
        <w:t>reparations for World Telecommunication Development Conference 2021”</w:t>
      </w:r>
      <w:r w:rsidR="00855A13">
        <w:rPr>
          <w:szCs w:val="24"/>
        </w:rPr>
        <w:t xml:space="preserve"> (</w:t>
      </w:r>
      <w:r w:rsidR="00855A13" w:rsidRPr="00855A13">
        <w:rPr>
          <w:szCs w:val="24"/>
        </w:rPr>
        <w:t>Russian Federation</w:t>
      </w:r>
      <w:r w:rsidR="00855A13">
        <w:rPr>
          <w:szCs w:val="24"/>
        </w:rPr>
        <w:t>)</w:t>
      </w:r>
      <w:r w:rsidR="00F27747" w:rsidRPr="00957B6C">
        <w:rPr>
          <w:b/>
          <w:bCs/>
          <w:szCs w:val="24"/>
        </w:rPr>
        <w:t xml:space="preserve"> </w:t>
      </w:r>
      <w:r w:rsidR="00F27747" w:rsidRPr="00957B6C">
        <w:rPr>
          <w:szCs w:val="24"/>
        </w:rPr>
        <w:t xml:space="preserve">provides information on an invitation from the Government of the Federal Democratic Republic of Ethiopia </w:t>
      </w:r>
      <w:r w:rsidR="003B4508" w:rsidRPr="00957B6C">
        <w:rPr>
          <w:szCs w:val="24"/>
        </w:rPr>
        <w:t>to host this conference in</w:t>
      </w:r>
      <w:r w:rsidR="00F27747" w:rsidRPr="00957B6C">
        <w:rPr>
          <w:szCs w:val="24"/>
        </w:rPr>
        <w:t xml:space="preserve"> Addis Ababa from 13 to 24 September 2021.</w:t>
      </w:r>
    </w:p>
    <w:p w14:paraId="55614205" w14:textId="77777777" w:rsidR="00F27747" w:rsidRPr="00957B6C" w:rsidRDefault="00FC0C66" w:rsidP="009B5B24">
      <w:pPr>
        <w:spacing w:after="120"/>
        <w:rPr>
          <w:szCs w:val="24"/>
        </w:rPr>
      </w:pPr>
      <w:bookmarkStart w:id="11" w:name="OLE_LINK6"/>
      <w:bookmarkStart w:id="12" w:name="OLE_LINK5"/>
      <w:r w:rsidRPr="00957B6C">
        <w:rPr>
          <w:szCs w:val="24"/>
        </w:rPr>
        <w:t>TDAG was informed that c</w:t>
      </w:r>
      <w:r w:rsidR="00F27747" w:rsidRPr="00957B6C">
        <w:rPr>
          <w:szCs w:val="24"/>
        </w:rPr>
        <w:t xml:space="preserve">onsultations are under way with the Government of Ethiopia through its Ministry of Innovation and Technology in order to agree on the requirements for holding WTDC-21 outside Geneva. </w:t>
      </w:r>
      <w:bookmarkEnd w:id="11"/>
      <w:bookmarkEnd w:id="12"/>
    </w:p>
    <w:p w14:paraId="0F2E8F3D" w14:textId="77777777" w:rsidR="00F27747" w:rsidRPr="00957B6C" w:rsidRDefault="00F27747" w:rsidP="009B5B24">
      <w:pPr>
        <w:spacing w:after="120"/>
        <w:rPr>
          <w:szCs w:val="24"/>
        </w:rPr>
      </w:pPr>
      <w:r w:rsidRPr="00957B6C">
        <w:rPr>
          <w:szCs w:val="24"/>
        </w:rPr>
        <w:t xml:space="preserve">The offer from the Government of Ethiopia will be submitted to the ITU Council meeting in </w:t>
      </w:r>
      <w:r w:rsidRPr="00957B6C">
        <w:t xml:space="preserve">Geneva </w:t>
      </w:r>
      <w:r w:rsidR="00FC0C66" w:rsidRPr="00957B6C">
        <w:t>on 1</w:t>
      </w:r>
      <w:r w:rsidRPr="00957B6C">
        <w:t>0</w:t>
      </w:r>
      <w:r w:rsidR="00056327" w:rsidRPr="00957B6C">
        <w:t>-</w:t>
      </w:r>
      <w:r w:rsidRPr="00957B6C">
        <w:t>20 June 2019</w:t>
      </w:r>
      <w:r w:rsidR="00056327" w:rsidRPr="00957B6C">
        <w:t xml:space="preserve"> to approve </w:t>
      </w:r>
      <w:r w:rsidRPr="00957B6C">
        <w:rPr>
          <w:szCs w:val="24"/>
        </w:rPr>
        <w:t xml:space="preserve">the place and dates in accordance with No. 42 of the ITU Convention. </w:t>
      </w:r>
    </w:p>
    <w:tbl>
      <w:tblPr>
        <w:tblStyle w:val="TableGrid"/>
        <w:tblW w:w="0" w:type="auto"/>
        <w:tblLook w:val="04A0" w:firstRow="1" w:lastRow="0" w:firstColumn="1" w:lastColumn="0" w:noHBand="0" w:noVBand="1"/>
      </w:tblPr>
      <w:tblGrid>
        <w:gridCol w:w="9629"/>
      </w:tblGrid>
      <w:tr w:rsidR="00F27747" w:rsidRPr="00957B6C" w14:paraId="2C871C3C" w14:textId="77777777" w:rsidTr="00A943E7">
        <w:tc>
          <w:tcPr>
            <w:tcW w:w="9629" w:type="dxa"/>
          </w:tcPr>
          <w:p w14:paraId="0839CD56" w14:textId="3B96CF97" w:rsidR="00F27747" w:rsidRPr="00957B6C" w:rsidRDefault="00077FDF" w:rsidP="009B5B24">
            <w:pPr>
              <w:spacing w:after="120"/>
              <w:rPr>
                <w:rFonts w:cstheme="minorHAnsi"/>
                <w:color w:val="000000" w:themeColor="text1"/>
                <w:szCs w:val="24"/>
              </w:rPr>
            </w:pPr>
            <w:r w:rsidRPr="00957B6C">
              <w:rPr>
                <w:rFonts w:eastAsia="Calibri" w:cs="Calibri"/>
              </w:rPr>
              <w:t>TDAG thanked Ethiopia for the kind and generous invitation and noted the importance of beginning to make concrete plans</w:t>
            </w:r>
            <w:r w:rsidR="00056327" w:rsidRPr="00957B6C">
              <w:rPr>
                <w:rFonts w:eastAsia="Calibri" w:cs="Calibri"/>
              </w:rPr>
              <w:t>,</w:t>
            </w:r>
            <w:r w:rsidRPr="00957B6C">
              <w:rPr>
                <w:rFonts w:eastAsia="Calibri" w:cs="Calibri"/>
              </w:rPr>
              <w:t xml:space="preserve"> including decisions about </w:t>
            </w:r>
            <w:r w:rsidR="00EA6B2A">
              <w:rPr>
                <w:rFonts w:eastAsia="Calibri" w:cs="Calibri"/>
              </w:rPr>
              <w:t xml:space="preserve">regional preparatory meetings. </w:t>
            </w:r>
            <w:r w:rsidRPr="00957B6C">
              <w:rPr>
                <w:rFonts w:eastAsia="Calibri" w:cs="Calibri"/>
              </w:rPr>
              <w:t>Correspondence groups will begin in 2020</w:t>
            </w:r>
            <w:r w:rsidR="003B4508" w:rsidRPr="00957B6C">
              <w:rPr>
                <w:rFonts w:eastAsia="Calibri" w:cs="Calibri"/>
              </w:rPr>
              <w:t>.</w:t>
            </w:r>
          </w:p>
        </w:tc>
      </w:tr>
    </w:tbl>
    <w:p w14:paraId="5652E1EB" w14:textId="47B37909" w:rsidR="00312094" w:rsidRDefault="00855A13">
      <w:pPr>
        <w:keepNext/>
        <w:rPr>
          <w:b/>
          <w:bCs/>
          <w:lang w:val="en-US"/>
        </w:rPr>
      </w:pPr>
      <w:r>
        <w:rPr>
          <w:b/>
          <w:bCs/>
          <w:lang w:val="en-US"/>
        </w:rPr>
        <w:t>Breakout session:</w:t>
      </w:r>
      <w:r w:rsidRPr="0041195E">
        <w:rPr>
          <w:b/>
          <w:bCs/>
          <w:lang w:val="en-US"/>
        </w:rPr>
        <w:t xml:space="preserve"> </w:t>
      </w:r>
      <w:r w:rsidR="00312094" w:rsidRPr="0041195E">
        <w:rPr>
          <w:b/>
          <w:bCs/>
          <w:lang w:val="en-US"/>
        </w:rPr>
        <w:t>WTDC preparatory process and format</w:t>
      </w:r>
    </w:p>
    <w:p w14:paraId="74B19C24" w14:textId="2B3F35C7" w:rsidR="009A0EE6" w:rsidRDefault="001E0B05">
      <w:pPr>
        <w:rPr>
          <w:lang w:val="en-US"/>
        </w:rPr>
      </w:pPr>
      <w:r>
        <w:rPr>
          <w:lang w:val="en-US"/>
        </w:rPr>
        <w:t>During the breakout session on the WTDC preparatory process and format, p</w:t>
      </w:r>
      <w:r w:rsidR="00312094" w:rsidRPr="00B146E7">
        <w:rPr>
          <w:lang w:val="en-US"/>
        </w:rPr>
        <w:t xml:space="preserve">articipants highlighted that </w:t>
      </w:r>
      <w:r w:rsidR="00D02916">
        <w:rPr>
          <w:lang w:val="en-US"/>
        </w:rPr>
        <w:t xml:space="preserve">during the previous WTDC </w:t>
      </w:r>
      <w:r w:rsidR="00312094" w:rsidRPr="00B146E7">
        <w:rPr>
          <w:lang w:val="en-US"/>
        </w:rPr>
        <w:t xml:space="preserve">the first three days were </w:t>
      </w:r>
      <w:r w:rsidR="00D02916">
        <w:rPr>
          <w:lang w:val="en-US"/>
        </w:rPr>
        <w:t xml:space="preserve">largely </w:t>
      </w:r>
      <w:r w:rsidR="00312094" w:rsidRPr="00B146E7">
        <w:rPr>
          <w:lang w:val="en-US"/>
        </w:rPr>
        <w:t xml:space="preserve">spent on policy statements. </w:t>
      </w:r>
      <w:r w:rsidR="00D02916">
        <w:rPr>
          <w:lang w:val="en-US"/>
        </w:rPr>
        <w:t xml:space="preserve">It was emphasized based on the experience of the last Plenipotentiary Conference that committees should start their meetings as soon as possible and preferably from day one of the conference, the policy statements could run in parallel with committee meetings. It was further </w:t>
      </w:r>
      <w:r w:rsidR="00312094">
        <w:rPr>
          <w:lang w:val="en-US"/>
        </w:rPr>
        <w:t>suggest</w:t>
      </w:r>
      <w:r w:rsidR="00D02916">
        <w:rPr>
          <w:lang w:val="en-US"/>
        </w:rPr>
        <w:t>ed</w:t>
      </w:r>
      <w:r w:rsidR="00312094">
        <w:rPr>
          <w:lang w:val="en-US"/>
        </w:rPr>
        <w:t xml:space="preserve"> </w:t>
      </w:r>
      <w:r w:rsidR="00D02916">
        <w:rPr>
          <w:lang w:val="en-US"/>
        </w:rPr>
        <w:t xml:space="preserve">to consider </w:t>
      </w:r>
      <w:r w:rsidR="00312094" w:rsidRPr="00B146E7">
        <w:rPr>
          <w:lang w:val="en-US"/>
        </w:rPr>
        <w:t>organiz</w:t>
      </w:r>
      <w:r w:rsidR="00D02916">
        <w:rPr>
          <w:lang w:val="en-US"/>
        </w:rPr>
        <w:t>ing</w:t>
      </w:r>
      <w:r w:rsidR="00312094" w:rsidRPr="00B146E7">
        <w:rPr>
          <w:lang w:val="en-US"/>
        </w:rPr>
        <w:t xml:space="preserve"> </w:t>
      </w:r>
      <w:r>
        <w:rPr>
          <w:lang w:val="en-US"/>
        </w:rPr>
        <w:t xml:space="preserve">dialogue </w:t>
      </w:r>
      <w:r w:rsidR="00D02916">
        <w:rPr>
          <w:lang w:val="en-US"/>
        </w:rPr>
        <w:t>sessions/</w:t>
      </w:r>
      <w:r w:rsidR="00312094" w:rsidRPr="00B146E7">
        <w:rPr>
          <w:lang w:val="en-US"/>
        </w:rPr>
        <w:t xml:space="preserve">round tables one day </w:t>
      </w:r>
      <w:r w:rsidR="009A0EE6">
        <w:rPr>
          <w:lang w:val="en-US"/>
        </w:rPr>
        <w:t xml:space="preserve">prior to </w:t>
      </w:r>
      <w:r w:rsidR="00312094" w:rsidRPr="00B146E7">
        <w:rPr>
          <w:lang w:val="en-US"/>
        </w:rPr>
        <w:t xml:space="preserve">WTDC </w:t>
      </w:r>
      <w:r w:rsidR="009A0EE6">
        <w:rPr>
          <w:lang w:val="en-US"/>
        </w:rPr>
        <w:t xml:space="preserve">opening. </w:t>
      </w:r>
    </w:p>
    <w:p w14:paraId="01C41E67" w14:textId="1BED2982" w:rsidR="005F1A16" w:rsidRDefault="00312094">
      <w:pPr>
        <w:rPr>
          <w:lang w:val="en-US"/>
        </w:rPr>
      </w:pPr>
      <w:r w:rsidRPr="00B146E7">
        <w:rPr>
          <w:lang w:val="en-US"/>
        </w:rPr>
        <w:t xml:space="preserve">The discussions on </w:t>
      </w:r>
      <w:r>
        <w:rPr>
          <w:lang w:val="en-US"/>
        </w:rPr>
        <w:t>regional preparatory meetings</w:t>
      </w:r>
      <w:r w:rsidRPr="00B146E7">
        <w:rPr>
          <w:lang w:val="en-US"/>
        </w:rPr>
        <w:t xml:space="preserve"> </w:t>
      </w:r>
      <w:r w:rsidR="009A0EE6">
        <w:rPr>
          <w:lang w:val="en-US"/>
        </w:rPr>
        <w:t xml:space="preserve">(RPMs) </w:t>
      </w:r>
      <w:r w:rsidR="005F1A16">
        <w:rPr>
          <w:lang w:val="en-US"/>
        </w:rPr>
        <w:t xml:space="preserve">were </w:t>
      </w:r>
      <w:r w:rsidRPr="00B146E7">
        <w:rPr>
          <w:lang w:val="en-US"/>
        </w:rPr>
        <w:t xml:space="preserve">focused on </w:t>
      </w:r>
      <w:r w:rsidR="009A0EE6">
        <w:rPr>
          <w:lang w:val="en-US"/>
        </w:rPr>
        <w:t xml:space="preserve">how </w:t>
      </w:r>
      <w:r w:rsidRPr="00B146E7">
        <w:rPr>
          <w:lang w:val="en-US"/>
        </w:rPr>
        <w:t xml:space="preserve">these meetings </w:t>
      </w:r>
      <w:r w:rsidR="009A0EE6">
        <w:rPr>
          <w:lang w:val="en-US"/>
        </w:rPr>
        <w:t xml:space="preserve">could become more effective. There </w:t>
      </w:r>
      <w:r w:rsidRPr="00B146E7">
        <w:rPr>
          <w:lang w:val="en-US"/>
        </w:rPr>
        <w:t xml:space="preserve">was general agreement </w:t>
      </w:r>
      <w:r w:rsidR="009A0EE6">
        <w:rPr>
          <w:lang w:val="en-US"/>
        </w:rPr>
        <w:t xml:space="preserve">that RPMs should be held </w:t>
      </w:r>
      <w:r w:rsidRPr="00B146E7">
        <w:rPr>
          <w:lang w:val="en-US"/>
        </w:rPr>
        <w:t xml:space="preserve">back-to-back </w:t>
      </w:r>
      <w:r w:rsidR="009A0EE6">
        <w:rPr>
          <w:lang w:val="en-US"/>
        </w:rPr>
        <w:t xml:space="preserve">or </w:t>
      </w:r>
      <w:r w:rsidR="00F312C2">
        <w:rPr>
          <w:lang w:val="en-US"/>
        </w:rPr>
        <w:t xml:space="preserve">together </w:t>
      </w:r>
      <w:r w:rsidRPr="00B146E7">
        <w:rPr>
          <w:lang w:val="en-US"/>
        </w:rPr>
        <w:t>with other preparatory meetings</w:t>
      </w:r>
      <w:r w:rsidR="009A0EE6">
        <w:rPr>
          <w:lang w:val="en-US"/>
        </w:rPr>
        <w:t xml:space="preserve"> organized </w:t>
      </w:r>
      <w:r w:rsidRPr="00B146E7">
        <w:rPr>
          <w:lang w:val="en-US"/>
        </w:rPr>
        <w:t>by regional organizations.</w:t>
      </w:r>
      <w:r w:rsidR="009A0EE6">
        <w:rPr>
          <w:lang w:val="en-US"/>
        </w:rPr>
        <w:t xml:space="preserve"> The group discussed as well that organizing i</w:t>
      </w:r>
      <w:r w:rsidR="00F312C2">
        <w:rPr>
          <w:lang w:val="en-US"/>
        </w:rPr>
        <w:t>nformal i</w:t>
      </w:r>
      <w:r w:rsidRPr="00B146E7">
        <w:rPr>
          <w:lang w:val="en-US"/>
        </w:rPr>
        <w:t>nter-regional meetings</w:t>
      </w:r>
      <w:r>
        <w:rPr>
          <w:lang w:val="en-US"/>
        </w:rPr>
        <w:t xml:space="preserve"> </w:t>
      </w:r>
      <w:r>
        <w:t xml:space="preserve">could </w:t>
      </w:r>
      <w:r w:rsidR="009A0EE6">
        <w:t xml:space="preserve">also </w:t>
      </w:r>
      <w:r w:rsidR="005F1A16">
        <w:t xml:space="preserve">facilitate discussion during WTDC, and suggested that this meeting(s) can </w:t>
      </w:r>
      <w:r>
        <w:t>be</w:t>
      </w:r>
      <w:r w:rsidRPr="00922801">
        <w:t xml:space="preserve"> scheduled one day before the last TDAG prior to WTDC</w:t>
      </w:r>
      <w:r>
        <w:rPr>
          <w:lang w:val="en-US"/>
        </w:rPr>
        <w:t>.</w:t>
      </w:r>
      <w:r w:rsidRPr="00B146E7">
        <w:rPr>
          <w:lang w:val="en-US"/>
        </w:rPr>
        <w:t xml:space="preserve"> </w:t>
      </w:r>
    </w:p>
    <w:p w14:paraId="74889C0E" w14:textId="6D36978D" w:rsidR="00312094" w:rsidRPr="00B146E7" w:rsidRDefault="005F1A16">
      <w:pPr>
        <w:rPr>
          <w:lang w:val="en-US"/>
        </w:rPr>
      </w:pPr>
      <w:r>
        <w:rPr>
          <w:lang w:val="en-US"/>
        </w:rPr>
        <w:lastRenderedPageBreak/>
        <w:t xml:space="preserve">It was highlighted that there is a </w:t>
      </w:r>
      <w:r w:rsidR="00312094" w:rsidRPr="00B146E7">
        <w:rPr>
          <w:lang w:val="en-US"/>
        </w:rPr>
        <w:t xml:space="preserve">need to balance the work between committees </w:t>
      </w:r>
      <w:r>
        <w:rPr>
          <w:lang w:val="en-US"/>
        </w:rPr>
        <w:t xml:space="preserve">(in particular committees </w:t>
      </w:r>
      <w:r w:rsidR="00312094" w:rsidRPr="00B146E7">
        <w:rPr>
          <w:lang w:val="en-US"/>
        </w:rPr>
        <w:t>3 and 4</w:t>
      </w:r>
      <w:r>
        <w:rPr>
          <w:lang w:val="en-US"/>
        </w:rPr>
        <w:t>), and also run committees in parallel as necessary</w:t>
      </w:r>
      <w:r w:rsidR="00312094" w:rsidRPr="00B146E7">
        <w:rPr>
          <w:lang w:val="en-US"/>
        </w:rPr>
        <w:t xml:space="preserve">. </w:t>
      </w:r>
      <w:r>
        <w:rPr>
          <w:lang w:val="en-US"/>
        </w:rPr>
        <w:t xml:space="preserve">It was also suggested </w:t>
      </w:r>
      <w:r w:rsidR="00312094" w:rsidRPr="00B146E7">
        <w:rPr>
          <w:lang w:val="en-US"/>
        </w:rPr>
        <w:t xml:space="preserve">to engage </w:t>
      </w:r>
      <w:r>
        <w:rPr>
          <w:lang w:val="en-US"/>
        </w:rPr>
        <w:t xml:space="preserve">more closely with </w:t>
      </w:r>
      <w:r w:rsidR="00312094" w:rsidRPr="00B146E7">
        <w:rPr>
          <w:lang w:val="en-US"/>
        </w:rPr>
        <w:t>other stakeholders, including academia and NGOs in the preparat</w:t>
      </w:r>
      <w:r>
        <w:rPr>
          <w:lang w:val="en-US"/>
        </w:rPr>
        <w:t>ory</w:t>
      </w:r>
      <w:r w:rsidR="00312094" w:rsidRPr="00B146E7">
        <w:rPr>
          <w:lang w:val="en-US"/>
        </w:rPr>
        <w:t xml:space="preserve"> </w:t>
      </w:r>
      <w:r>
        <w:rPr>
          <w:lang w:val="en-US"/>
        </w:rPr>
        <w:t>process</w:t>
      </w:r>
      <w:r w:rsidR="00312094" w:rsidRPr="00B146E7">
        <w:rPr>
          <w:lang w:val="en-US"/>
        </w:rPr>
        <w:t xml:space="preserve">. </w:t>
      </w:r>
    </w:p>
    <w:p w14:paraId="37D7AA8A" w14:textId="41309102" w:rsidR="00312094" w:rsidRDefault="005F1A16">
      <w:pPr>
        <w:rPr>
          <w:lang w:val="en-US"/>
        </w:rPr>
      </w:pPr>
      <w:r>
        <w:rPr>
          <w:lang w:val="en-US"/>
        </w:rPr>
        <w:t xml:space="preserve">The need to have a full understanding of </w:t>
      </w:r>
      <w:r w:rsidR="00312094" w:rsidRPr="00B146E7">
        <w:rPr>
          <w:lang w:val="en-US"/>
        </w:rPr>
        <w:t xml:space="preserve">the financial implications of </w:t>
      </w:r>
      <w:r>
        <w:rPr>
          <w:lang w:val="en-US"/>
        </w:rPr>
        <w:t xml:space="preserve">conference </w:t>
      </w:r>
      <w:r w:rsidR="00312094" w:rsidRPr="00B146E7">
        <w:rPr>
          <w:lang w:val="en-US"/>
        </w:rPr>
        <w:t>propos</w:t>
      </w:r>
      <w:r w:rsidR="00897E2C">
        <w:rPr>
          <w:lang w:val="en-US"/>
        </w:rPr>
        <w:t>als</w:t>
      </w:r>
      <w:r>
        <w:rPr>
          <w:lang w:val="en-US"/>
        </w:rPr>
        <w:t>,</w:t>
      </w:r>
      <w:r w:rsidR="00312094" w:rsidRPr="00B146E7">
        <w:rPr>
          <w:lang w:val="en-US"/>
        </w:rPr>
        <w:t xml:space="preserve"> </w:t>
      </w:r>
      <w:r w:rsidR="00F312C2">
        <w:rPr>
          <w:lang w:val="en-US"/>
        </w:rPr>
        <w:t xml:space="preserve">including </w:t>
      </w:r>
      <w:r>
        <w:rPr>
          <w:lang w:val="en-US"/>
        </w:rPr>
        <w:t xml:space="preserve">the </w:t>
      </w:r>
      <w:r w:rsidR="00312094" w:rsidRPr="00B146E7">
        <w:rPr>
          <w:lang w:val="en-US"/>
        </w:rPr>
        <w:t xml:space="preserve">regional initiatives, </w:t>
      </w:r>
      <w:r>
        <w:rPr>
          <w:lang w:val="en-US"/>
        </w:rPr>
        <w:t>prior to their adoption was stressed</w:t>
      </w:r>
      <w:r w:rsidR="00312094" w:rsidRPr="00B146E7">
        <w:rPr>
          <w:lang w:val="en-US"/>
        </w:rPr>
        <w:t>.</w:t>
      </w:r>
    </w:p>
    <w:p w14:paraId="68DDDF93" w14:textId="67EF8195" w:rsidR="0062751D" w:rsidRPr="004D22C2" w:rsidRDefault="0062751D" w:rsidP="00810998">
      <w:pPr>
        <w:pStyle w:val="ListParagraph"/>
        <w:keepNext/>
        <w:numPr>
          <w:ilvl w:val="0"/>
          <w:numId w:val="1"/>
        </w:numPr>
        <w:rPr>
          <w:b/>
          <w:bCs/>
          <w:lang w:val="en-US"/>
        </w:rPr>
      </w:pPr>
      <w:r w:rsidRPr="004D22C2">
        <w:rPr>
          <w:b/>
          <w:bCs/>
          <w:lang w:val="en-US"/>
        </w:rPr>
        <w:t>Report on ITU-D major events/initiatives</w:t>
      </w:r>
    </w:p>
    <w:p w14:paraId="67B647DF" w14:textId="77777777" w:rsidR="00965FD2" w:rsidRPr="00957B6C" w:rsidRDefault="00965FD2" w:rsidP="00810998">
      <w:pPr>
        <w:pStyle w:val="ListParagraph"/>
        <w:keepNext/>
        <w:numPr>
          <w:ilvl w:val="1"/>
          <w:numId w:val="1"/>
        </w:numPr>
        <w:spacing w:before="240" w:after="120"/>
        <w:ind w:left="505" w:hanging="505"/>
        <w:contextualSpacing w:val="0"/>
        <w:rPr>
          <w:rStyle w:val="StyleComplex12pt"/>
          <w:rFonts w:cstheme="minorHAnsi"/>
          <w:b/>
          <w:bCs/>
        </w:rPr>
      </w:pPr>
      <w:r w:rsidRPr="00957B6C">
        <w:rPr>
          <w:rStyle w:val="StyleComplex12pt"/>
          <w:rFonts w:cstheme="minorHAnsi"/>
          <w:b/>
          <w:bCs/>
        </w:rPr>
        <w:t>Infrastructure and spectrum-management activities</w:t>
      </w:r>
    </w:p>
    <w:p w14:paraId="56F02AC0" w14:textId="77777777" w:rsidR="00965FD2" w:rsidRPr="00957B6C" w:rsidRDefault="00B8346F" w:rsidP="009B5B24">
      <w:pPr>
        <w:tabs>
          <w:tab w:val="clear" w:pos="1134"/>
          <w:tab w:val="clear" w:pos="1871"/>
          <w:tab w:val="clear" w:pos="2268"/>
        </w:tabs>
        <w:overflowPunct/>
        <w:autoSpaceDE/>
        <w:autoSpaceDN/>
        <w:adjustRightInd/>
        <w:spacing w:after="120"/>
        <w:textAlignment w:val="auto"/>
        <w:rPr>
          <w:rFonts w:eastAsiaTheme="majorEastAsia" w:cstheme="minorHAnsi"/>
          <w:szCs w:val="24"/>
        </w:rPr>
      </w:pPr>
      <w:hyperlink r:id="rId37" w:history="1">
        <w:r w:rsidR="00965FD2" w:rsidRPr="00957B6C">
          <w:rPr>
            <w:rStyle w:val="Hyperlink"/>
            <w:rFonts w:cstheme="minorHAnsi"/>
            <w:b/>
            <w:bCs/>
            <w:szCs w:val="24"/>
          </w:rPr>
          <w:t>Document 29</w:t>
        </w:r>
      </w:hyperlink>
      <w:r w:rsidR="00965FD2" w:rsidRPr="00957B6C">
        <w:rPr>
          <w:rFonts w:cstheme="minorHAnsi"/>
          <w:b/>
          <w:bCs/>
          <w:color w:val="000000" w:themeColor="text1"/>
          <w:szCs w:val="24"/>
        </w:rPr>
        <w:t>:</w:t>
      </w:r>
      <w:r w:rsidR="00965FD2" w:rsidRPr="00957B6C">
        <w:rPr>
          <w:rFonts w:cstheme="minorHAnsi"/>
          <w:color w:val="000000" w:themeColor="text1"/>
          <w:szCs w:val="24"/>
        </w:rPr>
        <w:t xml:space="preserve"> “ITU-D infrastructure development” provides an </w:t>
      </w:r>
      <w:r w:rsidR="00965FD2" w:rsidRPr="00957B6C">
        <w:rPr>
          <w:rFonts w:eastAsiaTheme="majorEastAsia" w:cstheme="minorHAnsi"/>
          <w:szCs w:val="24"/>
        </w:rPr>
        <w:t>overview of results achieved</w:t>
      </w:r>
      <w:r w:rsidR="00965FD2" w:rsidRPr="00957B6C">
        <w:rPr>
          <w:rFonts w:cstheme="minorHAnsi"/>
          <w:b/>
          <w:bCs/>
          <w:color w:val="000000" w:themeColor="text1"/>
          <w:szCs w:val="24"/>
        </w:rPr>
        <w:t xml:space="preserve"> </w:t>
      </w:r>
      <w:r w:rsidR="00965FD2" w:rsidRPr="00957B6C">
        <w:rPr>
          <w:rFonts w:eastAsiaTheme="majorEastAsia" w:cstheme="minorHAnsi"/>
          <w:szCs w:val="24"/>
        </w:rPr>
        <w:t xml:space="preserve">in conducting national and regional capacity-building workshops and national spectrum-management assessments, as well as in providing assistance for broadband connectivity. </w:t>
      </w:r>
    </w:p>
    <w:p w14:paraId="56A4E170" w14:textId="77777777" w:rsidR="00965FD2" w:rsidRPr="00957B6C" w:rsidRDefault="00965FD2" w:rsidP="009B5B24">
      <w:pPr>
        <w:spacing w:after="120"/>
        <w:rPr>
          <w:rFonts w:cstheme="minorHAnsi"/>
          <w:szCs w:val="24"/>
          <w:lang w:eastAsia="zh-CN"/>
        </w:rPr>
      </w:pPr>
      <w:r w:rsidRPr="00957B6C">
        <w:rPr>
          <w:rFonts w:cstheme="minorHAnsi"/>
          <w:szCs w:val="24"/>
          <w:lang w:eastAsia="zh-CN"/>
        </w:rPr>
        <w:t xml:space="preserve">Infrastructure was recognized as one of the main goals of the ITU membership at WTDC-17 and at PP-18. In addition, it falls under SDG 9: to build resilient infrastructure, promote inclusive and sustainable industrialization and foster innovation. </w:t>
      </w:r>
    </w:p>
    <w:p w14:paraId="0E696FCA" w14:textId="2C929B3A" w:rsidR="00965FD2" w:rsidRPr="00957B6C" w:rsidRDefault="00965FD2" w:rsidP="001E0B05">
      <w:pPr>
        <w:spacing w:after="120"/>
        <w:rPr>
          <w:rFonts w:eastAsiaTheme="majorEastAsia" w:cstheme="minorHAnsi"/>
          <w:b/>
          <w:szCs w:val="24"/>
        </w:rPr>
      </w:pPr>
      <w:r w:rsidRPr="00957B6C">
        <w:rPr>
          <w:rFonts w:eastAsiaTheme="majorEastAsia" w:cstheme="minorHAnsi"/>
          <w:szCs w:val="24"/>
        </w:rPr>
        <w:t>BDT has continued to implement and update the</w:t>
      </w:r>
      <w:r w:rsidRPr="00957B6C">
        <w:rPr>
          <w:rFonts w:cstheme="minorHAnsi"/>
          <w:color w:val="000000"/>
          <w:szCs w:val="24"/>
        </w:rPr>
        <w:t xml:space="preserve"> ITU </w:t>
      </w:r>
      <w:r w:rsidR="001E0B05">
        <w:rPr>
          <w:rFonts w:cstheme="minorHAnsi"/>
          <w:color w:val="000000"/>
          <w:szCs w:val="24"/>
        </w:rPr>
        <w:t>broadband m</w:t>
      </w:r>
      <w:r w:rsidRPr="00957B6C">
        <w:rPr>
          <w:rFonts w:cstheme="minorHAnsi"/>
          <w:color w:val="000000"/>
          <w:szCs w:val="24"/>
        </w:rPr>
        <w:t xml:space="preserve">aps with information obtained from administrations, regulators, operators and public sources. A project has been launched to develop </w:t>
      </w:r>
      <w:r w:rsidRPr="00957B6C">
        <w:rPr>
          <w:rFonts w:eastAsiaTheme="majorEastAsia" w:cstheme="minorHAnsi"/>
          <w:szCs w:val="24"/>
        </w:rPr>
        <w:t>a broadband mapping tool to help identify gaps and opportunities.</w:t>
      </w:r>
    </w:p>
    <w:p w14:paraId="7DF253A6" w14:textId="2F19181E" w:rsidR="00965FD2" w:rsidRPr="00957B6C" w:rsidRDefault="00965FD2" w:rsidP="009B5B24">
      <w:pPr>
        <w:snapToGrid w:val="0"/>
        <w:spacing w:after="120"/>
        <w:rPr>
          <w:rFonts w:eastAsiaTheme="majorEastAsia" w:cstheme="minorHAnsi"/>
          <w:szCs w:val="24"/>
        </w:rPr>
      </w:pPr>
      <w:r w:rsidRPr="00957B6C">
        <w:rPr>
          <w:rFonts w:eastAsiaTheme="majorEastAsia" w:cstheme="minorHAnsi"/>
          <w:szCs w:val="24"/>
        </w:rPr>
        <w:t>Training courses have been developed on: 5G implementation in Europe and CIS; Broadband development based on 4G and 5G technologies; Digital fu</w:t>
      </w:r>
      <w:r w:rsidR="001E0B05">
        <w:rPr>
          <w:rFonts w:eastAsiaTheme="majorEastAsia" w:cstheme="minorHAnsi"/>
          <w:szCs w:val="24"/>
        </w:rPr>
        <w:t>ture powered by 4G/5G; and the f</w:t>
      </w:r>
      <w:r w:rsidRPr="00957B6C">
        <w:rPr>
          <w:rFonts w:eastAsiaTheme="majorEastAsia" w:cstheme="minorHAnsi"/>
          <w:szCs w:val="24"/>
        </w:rPr>
        <w:t>uture of cable television, jointly organized by BDT, BR and TSB. Technical assistance was provided within the scope of the Korean Basic National Spectrum Management Project.</w:t>
      </w:r>
      <w:r w:rsidR="00BE016B">
        <w:rPr>
          <w:rFonts w:eastAsiaTheme="majorEastAsia" w:cstheme="minorHAnsi"/>
          <w:szCs w:val="24"/>
        </w:rPr>
        <w:t xml:space="preserve"> </w:t>
      </w:r>
      <w:r w:rsidRPr="00957B6C">
        <w:rPr>
          <w:rFonts w:eastAsiaTheme="majorEastAsia" w:cstheme="minorHAnsi"/>
          <w:szCs w:val="24"/>
        </w:rPr>
        <w:t>It was also provided in developing broadband connectivity and ICT applications in order to offer free or low-cost digital access for schools and hospitals and underserved populations in rural and remote areas.</w:t>
      </w:r>
      <w:r w:rsidR="00BE016B">
        <w:rPr>
          <w:rFonts w:eastAsiaTheme="majorEastAsia" w:cstheme="minorHAnsi"/>
          <w:szCs w:val="24"/>
        </w:rPr>
        <w:t xml:space="preserve"> </w:t>
      </w:r>
      <w:r w:rsidRPr="00957B6C">
        <w:rPr>
          <w:rFonts w:eastAsiaTheme="majorEastAsia" w:cstheme="minorHAnsi"/>
          <w:szCs w:val="24"/>
        </w:rPr>
        <w:t xml:space="preserve">Assistance was also provided in setting up sub-regional IPv6 testbeds to facilitate IPv4-to-IPv6 migration. </w:t>
      </w:r>
    </w:p>
    <w:tbl>
      <w:tblPr>
        <w:tblStyle w:val="TableGrid"/>
        <w:tblW w:w="0" w:type="auto"/>
        <w:tblLook w:val="04A0" w:firstRow="1" w:lastRow="0" w:firstColumn="1" w:lastColumn="0" w:noHBand="0" w:noVBand="1"/>
      </w:tblPr>
      <w:tblGrid>
        <w:gridCol w:w="9629"/>
      </w:tblGrid>
      <w:tr w:rsidR="00636129" w:rsidRPr="00636129" w14:paraId="4486EBBA" w14:textId="77777777" w:rsidTr="00660D9E">
        <w:tc>
          <w:tcPr>
            <w:tcW w:w="9629" w:type="dxa"/>
          </w:tcPr>
          <w:p w14:paraId="4CD28D63" w14:textId="77777777" w:rsidR="00965FD2" w:rsidRPr="00636129" w:rsidRDefault="00AA2CDA" w:rsidP="00636129">
            <w:pPr>
              <w:spacing w:after="120"/>
              <w:rPr>
                <w:rFonts w:cstheme="minorHAnsi"/>
                <w:szCs w:val="24"/>
              </w:rPr>
            </w:pPr>
            <w:r w:rsidRPr="00636129">
              <w:rPr>
                <w:rFonts w:eastAsia="Calibri" w:cs="Calibri"/>
                <w:szCs w:val="24"/>
              </w:rPr>
              <w:t>TDAG noted the document.</w:t>
            </w:r>
          </w:p>
        </w:tc>
      </w:tr>
    </w:tbl>
    <w:p w14:paraId="070E1378" w14:textId="7F37D330" w:rsidR="00636129" w:rsidRPr="00256CA2" w:rsidRDefault="00855A13" w:rsidP="00810998">
      <w:pPr>
        <w:keepNext/>
        <w:rPr>
          <w:lang w:val="en-US"/>
        </w:rPr>
      </w:pPr>
      <w:r>
        <w:rPr>
          <w:b/>
          <w:bCs/>
          <w:lang w:val="en-US"/>
        </w:rPr>
        <w:t>Breakout session:</w:t>
      </w:r>
      <w:r w:rsidRPr="00256CA2">
        <w:rPr>
          <w:b/>
          <w:bCs/>
          <w:lang w:val="en-US"/>
        </w:rPr>
        <w:t xml:space="preserve"> </w:t>
      </w:r>
      <w:r w:rsidR="00636129" w:rsidRPr="00256CA2">
        <w:rPr>
          <w:b/>
          <w:bCs/>
          <w:lang w:val="en-US"/>
        </w:rPr>
        <w:t>Telecoms/ICT network infrastructure</w:t>
      </w:r>
    </w:p>
    <w:p w14:paraId="420D8E5A" w14:textId="79F3747B" w:rsidR="00636129" w:rsidRPr="00256CA2" w:rsidRDefault="001E0B05" w:rsidP="001E0B05">
      <w:pPr>
        <w:rPr>
          <w:lang w:val="en-US"/>
        </w:rPr>
      </w:pPr>
      <w:r>
        <w:rPr>
          <w:lang w:val="en-US"/>
        </w:rPr>
        <w:t xml:space="preserve">During the breakout session on </w:t>
      </w:r>
      <w:r w:rsidR="00636129">
        <w:rPr>
          <w:lang w:val="en-US"/>
        </w:rPr>
        <w:t>t</w:t>
      </w:r>
      <w:r w:rsidR="00636129" w:rsidRPr="00256CA2">
        <w:rPr>
          <w:lang w:val="en-US"/>
        </w:rPr>
        <w:t xml:space="preserve">elecoms/ICT </w:t>
      </w:r>
      <w:r w:rsidR="00636129">
        <w:rPr>
          <w:lang w:val="en-US"/>
        </w:rPr>
        <w:t>i</w:t>
      </w:r>
      <w:r w:rsidR="00636129" w:rsidRPr="00256CA2">
        <w:rPr>
          <w:lang w:val="en-US"/>
        </w:rPr>
        <w:t xml:space="preserve">nfrastructure </w:t>
      </w:r>
      <w:r>
        <w:rPr>
          <w:lang w:val="en-US"/>
        </w:rPr>
        <w:t xml:space="preserve">the discussion </w:t>
      </w:r>
      <w:r w:rsidR="00636129" w:rsidRPr="00256CA2">
        <w:rPr>
          <w:lang w:val="en-US"/>
        </w:rPr>
        <w:t>was structured around the following three questions</w:t>
      </w:r>
      <w:r w:rsidR="00636129">
        <w:rPr>
          <w:lang w:val="en-US"/>
        </w:rPr>
        <w:t>:</w:t>
      </w:r>
      <w:r w:rsidR="00F1256F">
        <w:rPr>
          <w:lang w:val="en-US"/>
        </w:rPr>
        <w:t xml:space="preserve"> </w:t>
      </w:r>
    </w:p>
    <w:p w14:paraId="1D1AEF89" w14:textId="77777777" w:rsidR="00636129" w:rsidRPr="00AC3027" w:rsidRDefault="00636129" w:rsidP="00810998">
      <w:pPr>
        <w:pStyle w:val="ListParagraph"/>
        <w:numPr>
          <w:ilvl w:val="0"/>
          <w:numId w:val="9"/>
        </w:numPr>
        <w:tabs>
          <w:tab w:val="clear" w:pos="1134"/>
          <w:tab w:val="clear" w:pos="1871"/>
          <w:tab w:val="clear" w:pos="2268"/>
        </w:tabs>
        <w:spacing w:before="40" w:after="40"/>
        <w:ind w:left="567" w:hanging="567"/>
        <w:contextualSpacing w:val="0"/>
        <w:rPr>
          <w:lang w:val="en-US"/>
        </w:rPr>
      </w:pPr>
      <w:r>
        <w:rPr>
          <w:lang w:val="en-US"/>
        </w:rPr>
        <w:t xml:space="preserve">How can </w:t>
      </w:r>
      <w:r w:rsidRPr="00AC3027">
        <w:rPr>
          <w:lang w:val="en-US"/>
        </w:rPr>
        <w:t xml:space="preserve">ITU/ BDT </w:t>
      </w:r>
      <w:r>
        <w:rPr>
          <w:lang w:val="en-US"/>
        </w:rPr>
        <w:t>most effectively assist</w:t>
      </w:r>
      <w:r w:rsidRPr="00AC3027">
        <w:rPr>
          <w:lang w:val="en-US"/>
        </w:rPr>
        <w:t xml:space="preserve"> countries </w:t>
      </w:r>
      <w:r>
        <w:rPr>
          <w:lang w:val="en-US"/>
        </w:rPr>
        <w:t>in</w:t>
      </w:r>
      <w:r w:rsidRPr="00AC3027">
        <w:rPr>
          <w:lang w:val="en-US"/>
        </w:rPr>
        <w:t xml:space="preserve"> improv</w:t>
      </w:r>
      <w:r>
        <w:rPr>
          <w:lang w:val="en-US"/>
        </w:rPr>
        <w:t>ing</w:t>
      </w:r>
      <w:r w:rsidRPr="00AC3027">
        <w:rPr>
          <w:lang w:val="en-US"/>
        </w:rPr>
        <w:t xml:space="preserve"> their last mile connectivity?</w:t>
      </w:r>
    </w:p>
    <w:p w14:paraId="2D641045" w14:textId="77777777" w:rsidR="00636129" w:rsidRPr="00AC3027" w:rsidRDefault="00636129" w:rsidP="00810998">
      <w:pPr>
        <w:pStyle w:val="ListParagraph"/>
        <w:numPr>
          <w:ilvl w:val="0"/>
          <w:numId w:val="9"/>
        </w:numPr>
        <w:tabs>
          <w:tab w:val="clear" w:pos="1134"/>
          <w:tab w:val="clear" w:pos="1871"/>
          <w:tab w:val="clear" w:pos="2268"/>
        </w:tabs>
        <w:spacing w:before="40" w:after="40"/>
        <w:ind w:left="567" w:hanging="567"/>
        <w:contextualSpacing w:val="0"/>
        <w:rPr>
          <w:lang w:val="en-US"/>
        </w:rPr>
      </w:pPr>
      <w:r w:rsidRPr="00AC3027">
        <w:rPr>
          <w:lang w:val="en-US"/>
        </w:rPr>
        <w:t xml:space="preserve">How </w:t>
      </w:r>
      <w:r>
        <w:rPr>
          <w:lang w:val="en-US"/>
        </w:rPr>
        <w:t>can</w:t>
      </w:r>
      <w:r w:rsidRPr="00AC3027">
        <w:rPr>
          <w:lang w:val="en-US"/>
        </w:rPr>
        <w:t xml:space="preserve"> the information contained in the </w:t>
      </w:r>
      <w:r>
        <w:rPr>
          <w:lang w:val="en-US"/>
        </w:rPr>
        <w:t>b</w:t>
      </w:r>
      <w:r w:rsidRPr="00AC3027">
        <w:rPr>
          <w:lang w:val="en-US"/>
        </w:rPr>
        <w:t xml:space="preserve">roadband </w:t>
      </w:r>
      <w:r>
        <w:rPr>
          <w:lang w:val="en-US"/>
        </w:rPr>
        <w:t>m</w:t>
      </w:r>
      <w:r w:rsidRPr="00AC3027">
        <w:rPr>
          <w:lang w:val="en-US"/>
        </w:rPr>
        <w:t>aps</w:t>
      </w:r>
      <w:r>
        <w:rPr>
          <w:lang w:val="en-US"/>
        </w:rPr>
        <w:t xml:space="preserve"> be best used</w:t>
      </w:r>
      <w:r w:rsidRPr="00AC3027">
        <w:rPr>
          <w:lang w:val="en-US"/>
        </w:rPr>
        <w:t>?</w:t>
      </w:r>
    </w:p>
    <w:p w14:paraId="72D0F510" w14:textId="77777777" w:rsidR="00636129" w:rsidRPr="00AC3027" w:rsidRDefault="00636129" w:rsidP="00810998">
      <w:pPr>
        <w:pStyle w:val="ListParagraph"/>
        <w:numPr>
          <w:ilvl w:val="0"/>
          <w:numId w:val="9"/>
        </w:numPr>
        <w:tabs>
          <w:tab w:val="clear" w:pos="1134"/>
          <w:tab w:val="clear" w:pos="1871"/>
          <w:tab w:val="clear" w:pos="2268"/>
        </w:tabs>
        <w:spacing w:before="40" w:after="40"/>
        <w:ind w:left="567" w:hanging="567"/>
        <w:contextualSpacing w:val="0"/>
        <w:rPr>
          <w:lang w:val="en-US"/>
        </w:rPr>
      </w:pPr>
      <w:r w:rsidRPr="00AC3027">
        <w:rPr>
          <w:lang w:val="en-US"/>
        </w:rPr>
        <w:t xml:space="preserve">What are the impediments countries are facing to </w:t>
      </w:r>
      <w:r>
        <w:rPr>
          <w:lang w:val="en-US"/>
        </w:rPr>
        <w:t>completing</w:t>
      </w:r>
      <w:r w:rsidRPr="00AC3027">
        <w:rPr>
          <w:lang w:val="en-US"/>
        </w:rPr>
        <w:t xml:space="preserve"> the digital broadcasting transition and how can ITU assist them?</w:t>
      </w:r>
      <w:r w:rsidRPr="00AC3027">
        <w:rPr>
          <w:lang w:val="en-US"/>
        </w:rPr>
        <w:tab/>
      </w:r>
    </w:p>
    <w:p w14:paraId="55566A63" w14:textId="13A01003" w:rsidR="00636129" w:rsidRDefault="00636129" w:rsidP="001E0B05">
      <w:pPr>
        <w:rPr>
          <w:lang w:val="en-US"/>
        </w:rPr>
      </w:pPr>
      <w:r w:rsidRPr="00256CA2">
        <w:rPr>
          <w:lang w:val="en-US"/>
        </w:rPr>
        <w:t xml:space="preserve">Following the discussions, a compilation of different cases studies on last mile connectivity (e.g. business and financing models, </w:t>
      </w:r>
      <w:r>
        <w:rPr>
          <w:lang w:val="en-US"/>
        </w:rPr>
        <w:t xml:space="preserve">and </w:t>
      </w:r>
      <w:r w:rsidRPr="00256CA2">
        <w:rPr>
          <w:lang w:val="en-US"/>
        </w:rPr>
        <w:t>regulations</w:t>
      </w:r>
      <w:r>
        <w:rPr>
          <w:lang w:val="en-US"/>
        </w:rPr>
        <w:t xml:space="preserve"> and </w:t>
      </w:r>
      <w:r w:rsidRPr="00256CA2">
        <w:rPr>
          <w:lang w:val="en-US"/>
        </w:rPr>
        <w:t>policies) and guidelines on the possible solutions</w:t>
      </w:r>
      <w:r>
        <w:rPr>
          <w:lang w:val="en-US"/>
        </w:rPr>
        <w:t xml:space="preserve"> were suggested</w:t>
      </w:r>
      <w:r w:rsidRPr="00256CA2">
        <w:rPr>
          <w:lang w:val="en-US"/>
        </w:rPr>
        <w:t xml:space="preserve">. In addition, the development of a platform was discussed to engage the </w:t>
      </w:r>
      <w:r w:rsidRPr="001E0B05">
        <w:rPr>
          <w:lang w:val="en-US"/>
        </w:rPr>
        <w:t xml:space="preserve">different </w:t>
      </w:r>
      <w:r w:rsidR="001E0B05" w:rsidRPr="001E0B05">
        <w:rPr>
          <w:lang w:val="en-US"/>
        </w:rPr>
        <w:t>stakeholders</w:t>
      </w:r>
      <w:r w:rsidRPr="001E0B05">
        <w:rPr>
          <w:lang w:val="en-US"/>
        </w:rPr>
        <w:t xml:space="preserve"> and</w:t>
      </w:r>
      <w:r w:rsidRPr="00256CA2">
        <w:rPr>
          <w:lang w:val="en-US"/>
        </w:rPr>
        <w:t xml:space="preserve"> promote collaboration on last mile connectivity and services. To best use the information contained in the </w:t>
      </w:r>
      <w:r>
        <w:rPr>
          <w:lang w:val="en-US"/>
        </w:rPr>
        <w:t>b</w:t>
      </w:r>
      <w:r w:rsidRPr="00256CA2">
        <w:rPr>
          <w:lang w:val="en-US"/>
        </w:rPr>
        <w:t>roadband maps, the promotion of the visibility and use of broadband maps</w:t>
      </w:r>
      <w:r>
        <w:rPr>
          <w:lang w:val="en-US"/>
        </w:rPr>
        <w:t xml:space="preserve"> was proposed</w:t>
      </w:r>
      <w:r w:rsidRPr="00256CA2">
        <w:rPr>
          <w:lang w:val="en-US"/>
        </w:rPr>
        <w:t xml:space="preserve">, </w:t>
      </w:r>
      <w:r>
        <w:rPr>
          <w:lang w:val="en-US"/>
        </w:rPr>
        <w:t>for example</w:t>
      </w:r>
      <w:r w:rsidRPr="00256CA2">
        <w:rPr>
          <w:lang w:val="en-US"/>
        </w:rPr>
        <w:t xml:space="preserve"> through a link on the regulators</w:t>
      </w:r>
      <w:r>
        <w:rPr>
          <w:lang w:val="en-US"/>
        </w:rPr>
        <w:t>’</w:t>
      </w:r>
      <w:r w:rsidRPr="00256CA2">
        <w:rPr>
          <w:lang w:val="en-US"/>
        </w:rPr>
        <w:t xml:space="preserve"> and ministries</w:t>
      </w:r>
      <w:r>
        <w:rPr>
          <w:lang w:val="en-US"/>
        </w:rPr>
        <w:t>’</w:t>
      </w:r>
      <w:r w:rsidRPr="00256CA2">
        <w:rPr>
          <w:lang w:val="en-US"/>
        </w:rPr>
        <w:t xml:space="preserve"> web</w:t>
      </w:r>
      <w:r w:rsidR="00227FD1">
        <w:rPr>
          <w:lang w:val="en-US"/>
        </w:rPr>
        <w:t xml:space="preserve"> </w:t>
      </w:r>
      <w:r w:rsidRPr="00256CA2">
        <w:rPr>
          <w:lang w:val="en-US"/>
        </w:rPr>
        <w:t xml:space="preserve">pages. </w:t>
      </w:r>
      <w:r>
        <w:rPr>
          <w:lang w:val="en-US"/>
        </w:rPr>
        <w:t>Lastly</w:t>
      </w:r>
      <w:r w:rsidRPr="00256CA2">
        <w:rPr>
          <w:lang w:val="en-US"/>
        </w:rPr>
        <w:t xml:space="preserve">, to assist countries </w:t>
      </w:r>
      <w:r>
        <w:rPr>
          <w:lang w:val="en-US"/>
        </w:rPr>
        <w:t>with</w:t>
      </w:r>
      <w:r w:rsidRPr="00256CA2">
        <w:rPr>
          <w:lang w:val="en-US"/>
        </w:rPr>
        <w:t xml:space="preserve"> the digital broadcasting transition, </w:t>
      </w:r>
      <w:r>
        <w:rPr>
          <w:lang w:val="en-US"/>
        </w:rPr>
        <w:t xml:space="preserve">recommendations were </w:t>
      </w:r>
      <w:r>
        <w:rPr>
          <w:lang w:val="en-US"/>
        </w:rPr>
        <w:lastRenderedPageBreak/>
        <w:t xml:space="preserve">made for </w:t>
      </w:r>
      <w:r w:rsidRPr="00256CA2">
        <w:rPr>
          <w:lang w:val="en-US"/>
        </w:rPr>
        <w:t>the promotion of the impacts and benefits of the analog</w:t>
      </w:r>
      <w:r>
        <w:rPr>
          <w:lang w:val="en-US"/>
        </w:rPr>
        <w:t>ue</w:t>
      </w:r>
      <w:r w:rsidRPr="00256CA2">
        <w:rPr>
          <w:lang w:val="en-US"/>
        </w:rPr>
        <w:t xml:space="preserve"> to digital broadcasting transition, in specific regions and countries.</w:t>
      </w:r>
      <w:r w:rsidR="00BE016B">
        <w:rPr>
          <w:lang w:val="en-US"/>
        </w:rPr>
        <w:t xml:space="preserve"> </w:t>
      </w:r>
    </w:p>
    <w:p w14:paraId="6F3C304E" w14:textId="77777777" w:rsidR="00965FD2" w:rsidRPr="002F42F5" w:rsidRDefault="00B8346F" w:rsidP="009B5B24">
      <w:pPr>
        <w:spacing w:after="120"/>
        <w:rPr>
          <w:rFonts w:cstheme="minorHAnsi"/>
          <w:szCs w:val="24"/>
        </w:rPr>
      </w:pPr>
      <w:hyperlink r:id="rId38" w:history="1">
        <w:r w:rsidR="00965FD2" w:rsidRPr="00957B6C">
          <w:rPr>
            <w:rStyle w:val="Hyperlink"/>
            <w:rFonts w:cstheme="minorHAnsi"/>
            <w:b/>
            <w:bCs/>
            <w:szCs w:val="24"/>
          </w:rPr>
          <w:t>Document 32</w:t>
        </w:r>
      </w:hyperlink>
      <w:r w:rsidR="00965FD2" w:rsidRPr="00957B6C">
        <w:rPr>
          <w:rFonts w:cstheme="minorHAnsi"/>
          <w:b/>
          <w:bCs/>
          <w:color w:val="000000" w:themeColor="text1"/>
          <w:szCs w:val="24"/>
        </w:rPr>
        <w:t>:</w:t>
      </w:r>
      <w:r w:rsidR="00965FD2" w:rsidRPr="00957B6C">
        <w:rPr>
          <w:rFonts w:cstheme="minorHAnsi"/>
          <w:color w:val="000000" w:themeColor="text1"/>
          <w:szCs w:val="24"/>
        </w:rPr>
        <w:t xml:space="preserve"> “Implementation of WTDC Resolution 9 (Rev. Buenos Aires, 2017)”</w:t>
      </w:r>
      <w:r w:rsidR="00C02A51" w:rsidRPr="00957B6C">
        <w:rPr>
          <w:rFonts w:cstheme="minorHAnsi"/>
          <w:color w:val="000000" w:themeColor="text1"/>
          <w:szCs w:val="24"/>
        </w:rPr>
        <w:t xml:space="preserve"> on the</w:t>
      </w:r>
      <w:r w:rsidR="00C02A51" w:rsidRPr="00957B6C">
        <w:rPr>
          <w:rFonts w:cstheme="minorHAnsi"/>
          <w:b/>
          <w:bCs/>
          <w:color w:val="000000" w:themeColor="text1"/>
          <w:szCs w:val="24"/>
        </w:rPr>
        <w:t xml:space="preserve"> </w:t>
      </w:r>
      <w:r w:rsidR="00C02A51" w:rsidRPr="00957B6C">
        <w:rPr>
          <w:rFonts w:cstheme="minorHAnsi"/>
          <w:color w:val="000000" w:themeColor="text1"/>
          <w:szCs w:val="24"/>
        </w:rPr>
        <w:t>p</w:t>
      </w:r>
      <w:r w:rsidR="00C02A51" w:rsidRPr="00957B6C">
        <w:rPr>
          <w:rFonts w:cstheme="minorHAnsi"/>
          <w:bCs/>
          <w:szCs w:val="24"/>
        </w:rPr>
        <w:t>articipation of countries, particularly developing countries, in spectrum management</w:t>
      </w:r>
      <w:r w:rsidR="00C02A51" w:rsidRPr="00957B6C">
        <w:rPr>
          <w:rFonts w:cstheme="minorHAnsi"/>
          <w:color w:val="000000" w:themeColor="text1"/>
          <w:szCs w:val="24"/>
        </w:rPr>
        <w:t xml:space="preserve"> </w:t>
      </w:r>
      <w:r w:rsidR="00965FD2" w:rsidRPr="00957B6C">
        <w:rPr>
          <w:rFonts w:cstheme="minorHAnsi"/>
          <w:color w:val="000000" w:themeColor="text1"/>
          <w:szCs w:val="24"/>
        </w:rPr>
        <w:t xml:space="preserve">provides a summary of ITU activities being undertaken </w:t>
      </w:r>
      <w:r w:rsidR="00FA6433" w:rsidRPr="00957B6C">
        <w:rPr>
          <w:rFonts w:cstheme="minorHAnsi"/>
          <w:color w:val="000000" w:themeColor="text1"/>
          <w:szCs w:val="24"/>
        </w:rPr>
        <w:t xml:space="preserve">to </w:t>
      </w:r>
      <w:r w:rsidR="00965FD2" w:rsidRPr="00957B6C">
        <w:rPr>
          <w:rFonts w:cstheme="minorHAnsi"/>
          <w:color w:val="000000" w:themeColor="text1"/>
          <w:szCs w:val="24"/>
        </w:rPr>
        <w:t>implement</w:t>
      </w:r>
      <w:r w:rsidR="00FA6433" w:rsidRPr="00957B6C">
        <w:rPr>
          <w:rFonts w:cstheme="minorHAnsi"/>
          <w:color w:val="000000" w:themeColor="text1"/>
          <w:szCs w:val="24"/>
        </w:rPr>
        <w:t xml:space="preserve"> this</w:t>
      </w:r>
      <w:r w:rsidR="00965FD2" w:rsidRPr="00957B6C">
        <w:rPr>
          <w:rFonts w:cstheme="minorHAnsi"/>
          <w:color w:val="000000" w:themeColor="text1"/>
          <w:szCs w:val="24"/>
        </w:rPr>
        <w:t xml:space="preserve"> resolution.</w:t>
      </w:r>
    </w:p>
    <w:p w14:paraId="73160017" w14:textId="77777777" w:rsidR="00965FD2" w:rsidRPr="00957B6C" w:rsidRDefault="00965FD2" w:rsidP="009B5B24">
      <w:pPr>
        <w:pStyle w:val="NoSpacing"/>
        <w:spacing w:before="120" w:after="120"/>
        <w:jc w:val="left"/>
        <w:rPr>
          <w:rFonts w:asciiTheme="minorHAnsi" w:hAnsiTheme="minorHAnsi" w:cstheme="minorHAnsi"/>
          <w:sz w:val="24"/>
          <w:szCs w:val="24"/>
          <w:lang w:val="en-GB"/>
        </w:rPr>
      </w:pPr>
      <w:r w:rsidRPr="00957B6C">
        <w:rPr>
          <w:rFonts w:asciiTheme="minorHAnsi" w:hAnsiTheme="minorHAnsi" w:cstheme="minorHAnsi"/>
          <w:sz w:val="24"/>
          <w:szCs w:val="24"/>
          <w:lang w:val="en-GB"/>
        </w:rPr>
        <w:t xml:space="preserve">WTDC-17 revised </w:t>
      </w:r>
      <w:r w:rsidRPr="00957B6C">
        <w:rPr>
          <w:rFonts w:asciiTheme="minorHAnsi" w:hAnsiTheme="minorHAnsi" w:cstheme="minorHAnsi"/>
          <w:bCs/>
          <w:sz w:val="24"/>
          <w:szCs w:val="24"/>
          <w:lang w:val="en-GB"/>
        </w:rPr>
        <w:t>Resolution 9</w:t>
      </w:r>
      <w:r w:rsidRPr="00957B6C">
        <w:rPr>
          <w:rFonts w:asciiTheme="minorHAnsi" w:hAnsiTheme="minorHAnsi" w:cstheme="minorHAnsi"/>
          <w:sz w:val="24"/>
          <w:szCs w:val="24"/>
          <w:lang w:val="en-GB"/>
        </w:rPr>
        <w:t xml:space="preserve"> instruct</w:t>
      </w:r>
      <w:r w:rsidR="00C02A51" w:rsidRPr="00957B6C">
        <w:rPr>
          <w:rFonts w:asciiTheme="minorHAnsi" w:hAnsiTheme="minorHAnsi" w:cstheme="minorHAnsi"/>
          <w:sz w:val="24"/>
          <w:szCs w:val="24"/>
          <w:lang w:val="en-GB"/>
        </w:rPr>
        <w:t xml:space="preserve">ing </w:t>
      </w:r>
      <w:r w:rsidRPr="00957B6C">
        <w:rPr>
          <w:rFonts w:asciiTheme="minorHAnsi" w:hAnsiTheme="minorHAnsi" w:cstheme="minorHAnsi"/>
          <w:sz w:val="24"/>
          <w:szCs w:val="24"/>
          <w:lang w:val="en-GB"/>
        </w:rPr>
        <w:t xml:space="preserve">the BDT Director to report annually to </w:t>
      </w:r>
      <w:r w:rsidR="00FA6433" w:rsidRPr="00957B6C">
        <w:rPr>
          <w:rFonts w:asciiTheme="minorHAnsi" w:hAnsiTheme="minorHAnsi" w:cstheme="minorHAnsi"/>
          <w:sz w:val="24"/>
          <w:szCs w:val="24"/>
          <w:lang w:val="en-GB"/>
        </w:rPr>
        <w:t>TDAG</w:t>
      </w:r>
      <w:r w:rsidRPr="00957B6C">
        <w:rPr>
          <w:rFonts w:asciiTheme="minorHAnsi" w:hAnsiTheme="minorHAnsi" w:cstheme="minorHAnsi"/>
          <w:sz w:val="24"/>
          <w:szCs w:val="24"/>
          <w:lang w:val="en-GB"/>
        </w:rPr>
        <w:t xml:space="preserve"> on the implementation of the resolution. Annex 1 to Resolution 9 provides examples of the specific needs of developing countries in spectrum management.</w:t>
      </w:r>
    </w:p>
    <w:p w14:paraId="2E0E77F4" w14:textId="77777777" w:rsidR="00965FD2" w:rsidRDefault="00965FD2" w:rsidP="009B5B24">
      <w:pPr>
        <w:pStyle w:val="NoSpacing"/>
        <w:spacing w:before="120" w:after="120"/>
        <w:jc w:val="left"/>
        <w:rPr>
          <w:rFonts w:asciiTheme="minorHAnsi" w:hAnsiTheme="minorHAnsi" w:cstheme="minorHAnsi"/>
          <w:bCs/>
          <w:color w:val="000000"/>
          <w:sz w:val="24"/>
          <w:szCs w:val="24"/>
          <w:lang w:val="en-GB"/>
        </w:rPr>
      </w:pPr>
      <w:r w:rsidRPr="00957B6C">
        <w:rPr>
          <w:rFonts w:asciiTheme="minorHAnsi" w:hAnsiTheme="minorHAnsi" w:cstheme="minorHAnsi"/>
          <w:sz w:val="24"/>
          <w:szCs w:val="24"/>
          <w:lang w:val="en-GB"/>
        </w:rPr>
        <w:t>Of the 14 main topics listed for implementation of Resolution 9, ITU efforts have thus far focused primarily on: a</w:t>
      </w:r>
      <w:r w:rsidRPr="00957B6C">
        <w:rPr>
          <w:rFonts w:asciiTheme="minorHAnsi" w:hAnsiTheme="minorHAnsi" w:cstheme="minorHAnsi"/>
          <w:bCs/>
          <w:color w:val="000000"/>
          <w:sz w:val="24"/>
          <w:szCs w:val="24"/>
          <w:lang w:val="en-GB"/>
        </w:rPr>
        <w:t>ssistance in raising the awareness of national policy-makers as to the importance of effective spectrum management for a country’s economic and social development; economic and financial aspects of spectrum management; innovative ways of spectrum licensing; training and dissemination of available ITU documentation; and assistance in developing methodologies for establishing national tables of frequency allocations and spectrum redeployment.</w:t>
      </w:r>
    </w:p>
    <w:tbl>
      <w:tblPr>
        <w:tblStyle w:val="TableGrid"/>
        <w:tblW w:w="0" w:type="auto"/>
        <w:tblLook w:val="04A0" w:firstRow="1" w:lastRow="0" w:firstColumn="1" w:lastColumn="0" w:noHBand="0" w:noVBand="1"/>
      </w:tblPr>
      <w:tblGrid>
        <w:gridCol w:w="9629"/>
      </w:tblGrid>
      <w:tr w:rsidR="008B0058" w:rsidRPr="00636129" w14:paraId="1513C8C8" w14:textId="77777777" w:rsidTr="005C2359">
        <w:tc>
          <w:tcPr>
            <w:tcW w:w="9629" w:type="dxa"/>
          </w:tcPr>
          <w:p w14:paraId="374960CF" w14:textId="77777777" w:rsidR="008B0058" w:rsidRPr="00636129" w:rsidRDefault="008B0058" w:rsidP="005C2359">
            <w:pPr>
              <w:spacing w:after="120"/>
              <w:rPr>
                <w:rFonts w:cstheme="minorHAnsi"/>
                <w:szCs w:val="24"/>
              </w:rPr>
            </w:pPr>
            <w:r w:rsidRPr="00636129">
              <w:rPr>
                <w:rFonts w:eastAsia="Calibri" w:cs="Calibri"/>
                <w:szCs w:val="24"/>
              </w:rPr>
              <w:t>TDAG noted the document.</w:t>
            </w:r>
          </w:p>
        </w:tc>
      </w:tr>
    </w:tbl>
    <w:p w14:paraId="124E5A9A" w14:textId="3C226DA1" w:rsidR="009964C9" w:rsidRDefault="009964C9" w:rsidP="006F5C96">
      <w:pPr>
        <w:spacing w:after="120"/>
        <w:rPr>
          <w:rFonts w:cstheme="minorHAnsi"/>
          <w:b/>
          <w:bCs/>
          <w:color w:val="000000" w:themeColor="text1"/>
          <w:szCs w:val="24"/>
        </w:rPr>
      </w:pPr>
      <w:r>
        <w:rPr>
          <w:rFonts w:cstheme="minorHAnsi"/>
          <w:color w:val="000000" w:themeColor="text1"/>
          <w:szCs w:val="24"/>
        </w:rPr>
        <w:t>Documents 36 and 40 were considered together.</w:t>
      </w:r>
    </w:p>
    <w:p w14:paraId="46C009EB" w14:textId="28CBD998" w:rsidR="00D322DC" w:rsidRDefault="00B8346F" w:rsidP="0062597A">
      <w:pPr>
        <w:tabs>
          <w:tab w:val="clear" w:pos="1134"/>
          <w:tab w:val="clear" w:pos="1871"/>
          <w:tab w:val="clear" w:pos="2268"/>
        </w:tabs>
        <w:overflowPunct/>
        <w:autoSpaceDE/>
        <w:autoSpaceDN/>
        <w:adjustRightInd/>
        <w:spacing w:after="120"/>
        <w:textAlignment w:val="auto"/>
        <w:rPr>
          <w:szCs w:val="24"/>
        </w:rPr>
      </w:pPr>
      <w:hyperlink r:id="rId39" w:history="1">
        <w:r w:rsidR="00855A13" w:rsidRPr="006F0468">
          <w:rPr>
            <w:rStyle w:val="Hyperlink"/>
            <w:rFonts w:cstheme="minorHAnsi"/>
            <w:b/>
            <w:bCs/>
            <w:szCs w:val="24"/>
          </w:rPr>
          <w:t>Document 36</w:t>
        </w:r>
      </w:hyperlink>
      <w:r w:rsidR="00855A13" w:rsidRPr="0062597A">
        <w:rPr>
          <w:rFonts w:cstheme="minorHAnsi"/>
          <w:b/>
          <w:bCs/>
          <w:color w:val="000000" w:themeColor="text1"/>
          <w:szCs w:val="24"/>
        </w:rPr>
        <w:t>:</w:t>
      </w:r>
      <w:r w:rsidR="00855A13" w:rsidRPr="0062597A">
        <w:rPr>
          <w:rFonts w:cstheme="minorHAnsi"/>
          <w:color w:val="000000" w:themeColor="text1"/>
          <w:szCs w:val="24"/>
        </w:rPr>
        <w:t xml:space="preserve"> “Implementation of Resolution 9 Requirements”</w:t>
      </w:r>
      <w:r w:rsidR="003B551C" w:rsidRPr="0062597A">
        <w:rPr>
          <w:rFonts w:cstheme="minorHAnsi"/>
          <w:color w:val="000000" w:themeColor="text1"/>
          <w:szCs w:val="24"/>
        </w:rPr>
        <w:t xml:space="preserve"> (Algeria)</w:t>
      </w:r>
      <w:r w:rsidR="007A23B0">
        <w:rPr>
          <w:rFonts w:cstheme="minorHAnsi"/>
          <w:color w:val="000000" w:themeColor="text1"/>
          <w:szCs w:val="24"/>
        </w:rPr>
        <w:t xml:space="preserve"> </w:t>
      </w:r>
      <w:r w:rsidR="00A738A3" w:rsidRPr="0062597A">
        <w:rPr>
          <w:rFonts w:cstheme="minorHAnsi"/>
          <w:color w:val="000000" w:themeColor="text1"/>
          <w:szCs w:val="24"/>
        </w:rPr>
        <w:t xml:space="preserve">calls for a review and discussion </w:t>
      </w:r>
      <w:r w:rsidR="00CB6D62" w:rsidRPr="0062597A">
        <w:rPr>
          <w:szCs w:val="24"/>
          <w:lang w:val="en-US"/>
        </w:rPr>
        <w:t xml:space="preserve">on the approach </w:t>
      </w:r>
      <w:r w:rsidR="00C65DDC">
        <w:rPr>
          <w:szCs w:val="24"/>
          <w:lang w:val="en-US"/>
        </w:rPr>
        <w:t xml:space="preserve">and action plan </w:t>
      </w:r>
      <w:r w:rsidR="00CB6D62" w:rsidRPr="0062597A">
        <w:rPr>
          <w:szCs w:val="24"/>
          <w:lang w:val="en-US"/>
        </w:rPr>
        <w:t xml:space="preserve">proposed </w:t>
      </w:r>
      <w:r w:rsidR="00C65DDC">
        <w:rPr>
          <w:szCs w:val="24"/>
          <w:lang w:val="en-US"/>
        </w:rPr>
        <w:t xml:space="preserve">in 2018 to implement </w:t>
      </w:r>
      <w:r w:rsidR="00CB6D62" w:rsidRPr="0062597A">
        <w:rPr>
          <w:szCs w:val="24"/>
          <w:lang w:val="en-US"/>
        </w:rPr>
        <w:t xml:space="preserve">Resolution 9 </w:t>
      </w:r>
      <w:r w:rsidR="00CB6D62" w:rsidRPr="00802F66">
        <w:t>(Rev. Buenos Aires, 2017)</w:t>
      </w:r>
      <w:r w:rsidR="00CB6D62">
        <w:t xml:space="preserve"> </w:t>
      </w:r>
      <w:r w:rsidR="00D322DC" w:rsidRPr="0062597A">
        <w:rPr>
          <w:szCs w:val="24"/>
        </w:rPr>
        <w:t xml:space="preserve">on </w:t>
      </w:r>
      <w:r w:rsidR="00CB6D62" w:rsidRPr="0062597A">
        <w:rPr>
          <w:szCs w:val="24"/>
        </w:rPr>
        <w:t>p</w:t>
      </w:r>
      <w:r w:rsidR="00D322DC" w:rsidRPr="0062597A">
        <w:rPr>
          <w:szCs w:val="24"/>
        </w:rPr>
        <w:t>articipation of countries, particularly developing countries, in spectrum management.</w:t>
      </w:r>
    </w:p>
    <w:p w14:paraId="2EDE663E" w14:textId="1383A174" w:rsidR="00DA4FC4" w:rsidRPr="00451F81" w:rsidRDefault="00B8346F" w:rsidP="00DA4FC4">
      <w:pPr>
        <w:tabs>
          <w:tab w:val="clear" w:pos="1871"/>
          <w:tab w:val="clear" w:pos="2268"/>
          <w:tab w:val="left" w:pos="4429"/>
        </w:tabs>
        <w:rPr>
          <w:szCs w:val="24"/>
        </w:rPr>
      </w:pPr>
      <w:hyperlink r:id="rId40" w:history="1">
        <w:r w:rsidR="00AA2CDA" w:rsidRPr="00B67BF4">
          <w:rPr>
            <w:rStyle w:val="Hyperlink"/>
            <w:rFonts w:cs="Calibri"/>
            <w:b/>
            <w:bCs/>
            <w:szCs w:val="24"/>
          </w:rPr>
          <w:t xml:space="preserve">Document </w:t>
        </w:r>
        <w:r w:rsidR="00C33E1A" w:rsidRPr="00B67BF4">
          <w:rPr>
            <w:rStyle w:val="Hyperlink"/>
            <w:rFonts w:cs="Calibri"/>
            <w:b/>
            <w:bCs/>
            <w:szCs w:val="24"/>
          </w:rPr>
          <w:t>40</w:t>
        </w:r>
      </w:hyperlink>
      <w:r w:rsidR="008C3044" w:rsidRPr="008C3044">
        <w:rPr>
          <w:rStyle w:val="Hyperlink"/>
          <w:rFonts w:cs="Calibri"/>
          <w:b/>
          <w:bCs/>
          <w:szCs w:val="24"/>
        </w:rPr>
        <w:t>:</w:t>
      </w:r>
      <w:r w:rsidR="00B16F55" w:rsidRPr="002F42F5">
        <w:rPr>
          <w:rFonts w:eastAsiaTheme="majorEastAsia" w:cstheme="minorHAnsi"/>
          <w:lang w:val="en-US"/>
        </w:rPr>
        <w:t xml:space="preserve"> “</w:t>
      </w:r>
      <w:r w:rsidR="00B16F55" w:rsidRPr="002F42F5">
        <w:rPr>
          <w:rFonts w:eastAsiaTheme="majorEastAsia" w:cstheme="minorHAnsi"/>
          <w:szCs w:val="24"/>
        </w:rPr>
        <w:t>Liaison statement from the Chairmen of ITU-D SG1 and SG2 to TDAG on the c</w:t>
      </w:r>
      <w:r w:rsidR="00DA4FC4">
        <w:rPr>
          <w:rFonts w:eastAsiaTheme="majorEastAsia" w:cstheme="minorHAnsi"/>
          <w:szCs w:val="24"/>
        </w:rPr>
        <w:t>ontributions of ITU-D Study Groups 1 and 2 to the implementation of WTDC Resolution 9”</w:t>
      </w:r>
      <w:r w:rsidR="00DA4FC4" w:rsidRPr="00DA4FC4">
        <w:rPr>
          <w:szCs w:val="24"/>
        </w:rPr>
        <w:t xml:space="preserve"> </w:t>
      </w:r>
      <w:r w:rsidR="00DA4FC4" w:rsidRPr="00D30BA1">
        <w:rPr>
          <w:szCs w:val="24"/>
        </w:rPr>
        <w:t>on participation of countries, particularly developing countries, in spectrum management</w:t>
      </w:r>
      <w:r w:rsidR="00DA4FC4">
        <w:rPr>
          <w:rFonts w:eastAsiaTheme="majorEastAsia" w:cstheme="minorHAnsi"/>
          <w:szCs w:val="24"/>
        </w:rPr>
        <w:t xml:space="preserve"> proposes a way forward on how these two </w:t>
      </w:r>
      <w:r w:rsidR="00DA4FC4" w:rsidRPr="001333B9">
        <w:rPr>
          <w:szCs w:val="24"/>
        </w:rPr>
        <w:t>study groups could</w:t>
      </w:r>
      <w:r w:rsidR="00DA4FC4">
        <w:rPr>
          <w:szCs w:val="24"/>
        </w:rPr>
        <w:t xml:space="preserve"> provide input </w:t>
      </w:r>
      <w:r w:rsidR="00DA4FC4" w:rsidRPr="00802F66">
        <w:t xml:space="preserve">within </w:t>
      </w:r>
      <w:r w:rsidR="00DA4FC4">
        <w:t>the</w:t>
      </w:r>
      <w:r w:rsidR="00DA4FC4" w:rsidRPr="00802F66">
        <w:t xml:space="preserve"> scope of </w:t>
      </w:r>
      <w:r w:rsidR="00DA4FC4">
        <w:t xml:space="preserve">their </w:t>
      </w:r>
      <w:r w:rsidR="00DA4FC4" w:rsidRPr="00802F66">
        <w:t>work</w:t>
      </w:r>
      <w:r w:rsidR="00DA4FC4">
        <w:t>.</w:t>
      </w:r>
    </w:p>
    <w:p w14:paraId="25052374" w14:textId="77777777" w:rsidR="00DA4FC4" w:rsidRPr="00802F66" w:rsidRDefault="00DA4FC4" w:rsidP="00DA4FC4">
      <w:r>
        <w:t xml:space="preserve">TDAG noted that </w:t>
      </w:r>
      <w:r>
        <w:rPr>
          <w:rFonts w:eastAsiaTheme="majorEastAsia" w:cstheme="minorHAnsi"/>
          <w:szCs w:val="24"/>
        </w:rPr>
        <w:t>ITU</w:t>
      </w:r>
      <w:r w:rsidRPr="00802F66">
        <w:t xml:space="preserve">-D </w:t>
      </w:r>
      <w:r>
        <w:t>Study G</w:t>
      </w:r>
      <w:r w:rsidRPr="00802F66">
        <w:t>roups</w:t>
      </w:r>
      <w:r>
        <w:t xml:space="preserve"> 1 and 2 have agreed that in order to </w:t>
      </w:r>
      <w:r w:rsidRPr="00802F66">
        <w:t xml:space="preserve">fulfil the needs of </w:t>
      </w:r>
      <w:r>
        <w:t xml:space="preserve">developing countries stated in </w:t>
      </w:r>
      <w:r w:rsidRPr="00802F66">
        <w:t>Resolution 9</w:t>
      </w:r>
      <w:r>
        <w:t xml:space="preserve"> they shall need</w:t>
      </w:r>
      <w:r w:rsidRPr="00802F66">
        <w:t xml:space="preserve"> close collaboration with the relevant parties in </w:t>
      </w:r>
      <w:r>
        <w:t>ITU-R</w:t>
      </w:r>
      <w:r w:rsidRPr="00802F66">
        <w:t xml:space="preserve">. </w:t>
      </w:r>
      <w:r>
        <w:t>To this end, both s</w:t>
      </w:r>
      <w:r w:rsidRPr="00D30BA1">
        <w:t>tudy groups</w:t>
      </w:r>
      <w:r w:rsidRPr="00802F66">
        <w:rPr>
          <w:b/>
          <w:bCs/>
        </w:rPr>
        <w:t xml:space="preserve"> </w:t>
      </w:r>
      <w:r w:rsidRPr="00D30BA1">
        <w:t>have i</w:t>
      </w:r>
      <w:r w:rsidRPr="00802F66">
        <w:t xml:space="preserve">dentified </w:t>
      </w:r>
      <w:r>
        <w:t xml:space="preserve">study Questions for which </w:t>
      </w:r>
      <w:r w:rsidRPr="00802F66">
        <w:t xml:space="preserve">close collaboration </w:t>
      </w:r>
      <w:r>
        <w:t xml:space="preserve">will be sought </w:t>
      </w:r>
      <w:r w:rsidRPr="00802F66">
        <w:t>with ITU</w:t>
      </w:r>
      <w:r w:rsidRPr="00802F66">
        <w:noBreakHyphen/>
        <w:t xml:space="preserve">R. </w:t>
      </w:r>
    </w:p>
    <w:p w14:paraId="512DE531" w14:textId="77777777" w:rsidR="00DA4FC4" w:rsidRDefault="00DA4FC4" w:rsidP="00DA4FC4">
      <w:pPr>
        <w:rPr>
          <w:rFonts w:eastAsiaTheme="majorEastAsia" w:cstheme="minorHAnsi"/>
          <w:szCs w:val="24"/>
        </w:rPr>
      </w:pPr>
      <w:r>
        <w:rPr>
          <w:rFonts w:eastAsiaTheme="majorEastAsia" w:cstheme="minorHAnsi"/>
          <w:szCs w:val="24"/>
        </w:rPr>
        <w:t>In the case of ITU-D Study Group 1, the Questions are</w:t>
      </w:r>
      <w:r>
        <w:t>:</w:t>
      </w:r>
      <w:r w:rsidRPr="00802F66">
        <w:t xml:space="preserve"> </w:t>
      </w:r>
      <w:r>
        <w:t>Question 1/1 on s</w:t>
      </w:r>
      <w:r w:rsidRPr="006E5C91">
        <w:t>trategies and policies for the deployment of broadband in developing countries</w:t>
      </w:r>
      <w:r>
        <w:t xml:space="preserve">; </w:t>
      </w:r>
      <w:r w:rsidRPr="006E5C91">
        <w:t>Question 2/1</w:t>
      </w:r>
      <w:r>
        <w:t xml:space="preserve"> on</w:t>
      </w:r>
      <w:r w:rsidRPr="006E5C91">
        <w:t xml:space="preserve"> </w:t>
      </w:r>
      <w:r>
        <w:t>s</w:t>
      </w:r>
      <w:r w:rsidRPr="006E5C91">
        <w:t>trategies, policies, regulations and methods of migration and adoption of digital broadcasting and implementation of new services</w:t>
      </w:r>
      <w:r>
        <w:t xml:space="preserve">; </w:t>
      </w:r>
      <w:r w:rsidRPr="006E5C91">
        <w:t>Question 4/1</w:t>
      </w:r>
      <w:r>
        <w:t xml:space="preserve"> on e</w:t>
      </w:r>
      <w:r w:rsidRPr="006E5C91">
        <w:t>conomic policies and methods of determining the costs of services related to national telecommunication/</w:t>
      </w:r>
      <w:r>
        <w:t xml:space="preserve">information and communication technology </w:t>
      </w:r>
      <w:r w:rsidRPr="006E5C91">
        <w:t>networks</w:t>
      </w:r>
      <w:r>
        <w:t>, including next-generation networks; Question 5/1 on t</w:t>
      </w:r>
      <w:r w:rsidRPr="006E5C91">
        <w:t>elecommunications/</w:t>
      </w:r>
      <w:r>
        <w:t>information and communication technologies</w:t>
      </w:r>
      <w:r w:rsidRPr="006E5C91">
        <w:t xml:space="preserve"> for rural and remote areas</w:t>
      </w:r>
      <w:r>
        <w:t xml:space="preserve">; and </w:t>
      </w:r>
      <w:r w:rsidRPr="006E5C91">
        <w:t>Question 7/1</w:t>
      </w:r>
      <w:r>
        <w:t xml:space="preserve"> on a</w:t>
      </w:r>
      <w:r w:rsidRPr="006E5C91">
        <w:t>ccess to telecommunication/</w:t>
      </w:r>
      <w:r w:rsidRPr="00B30020">
        <w:t xml:space="preserve"> </w:t>
      </w:r>
      <w:r>
        <w:t>information and communication technology</w:t>
      </w:r>
      <w:r w:rsidRPr="006E5C91">
        <w:t xml:space="preserve"> services by persons with disabilities and other persons with specific needs</w:t>
      </w:r>
      <w:r>
        <w:t>.</w:t>
      </w:r>
      <w:r w:rsidRPr="009964C9">
        <w:rPr>
          <w:i/>
          <w:iCs/>
        </w:rPr>
        <w:t xml:space="preserve"> </w:t>
      </w:r>
    </w:p>
    <w:p w14:paraId="68BE70A6" w14:textId="5BDC279A" w:rsidR="00DA4FC4" w:rsidRPr="00D30BA1" w:rsidRDefault="00DA4FC4" w:rsidP="00DA4FC4">
      <w:pPr>
        <w:rPr>
          <w:rFonts w:eastAsiaTheme="majorEastAsia" w:cstheme="minorHAnsi"/>
          <w:szCs w:val="24"/>
        </w:rPr>
      </w:pPr>
      <w:r>
        <w:t xml:space="preserve">For </w:t>
      </w:r>
      <w:r w:rsidRPr="00D30BA1">
        <w:t>ITU-D Study Group 2</w:t>
      </w:r>
      <w:r>
        <w:t xml:space="preserve"> the </w:t>
      </w:r>
      <w:r>
        <w:rPr>
          <w:rFonts w:eastAsiaTheme="majorEastAsia" w:cstheme="minorHAnsi"/>
          <w:szCs w:val="24"/>
        </w:rPr>
        <w:t>Questions are</w:t>
      </w:r>
      <w:r w:rsidRPr="000F4BFB">
        <w:t xml:space="preserve">: </w:t>
      </w:r>
      <w:r w:rsidRPr="00D30BA1">
        <w:t xml:space="preserve">Question 1/2 on creating smart cities and society: Employing </w:t>
      </w:r>
      <w:r>
        <w:t>information and communication technologies</w:t>
      </w:r>
      <w:r w:rsidRPr="00D30BA1">
        <w:t xml:space="preserve"> for sustainable social and economic development</w:t>
      </w:r>
      <w:r>
        <w:t>;</w:t>
      </w:r>
      <w:r w:rsidRPr="00D30BA1">
        <w:t xml:space="preserve"> Question 4/2 on assistance to developing countries for implementing conformance and interoperability programmes and combating counterfeit </w:t>
      </w:r>
      <w:r>
        <w:t xml:space="preserve">information and communication </w:t>
      </w:r>
      <w:r>
        <w:lastRenderedPageBreak/>
        <w:t>technology</w:t>
      </w:r>
      <w:r w:rsidRPr="00D30BA1">
        <w:t xml:space="preserve"> equipment and theft of mobile devices</w:t>
      </w:r>
      <w:r>
        <w:t xml:space="preserve">; and </w:t>
      </w:r>
      <w:r w:rsidRPr="00D30BA1">
        <w:t>Q</w:t>
      </w:r>
      <w:r w:rsidR="00FC1433">
        <w:t>uestion</w:t>
      </w:r>
      <w:r w:rsidRPr="00D30BA1">
        <w:t>7/2 on strategies and policies concerning human exposure to electromagnetic fields.</w:t>
      </w:r>
    </w:p>
    <w:p w14:paraId="6CF48710" w14:textId="39304B7A" w:rsidR="00DA4FC4" w:rsidRDefault="00DA4FC4" w:rsidP="0062597A">
      <w:r>
        <w:t>A</w:t>
      </w:r>
      <w:r w:rsidRPr="00802F66">
        <w:t xml:space="preserve"> </w:t>
      </w:r>
      <w:r>
        <w:t>contact point from within each r</w:t>
      </w:r>
      <w:r w:rsidRPr="00802F66">
        <w:t xml:space="preserve">apporteur </w:t>
      </w:r>
      <w:r>
        <w:t>g</w:t>
      </w:r>
      <w:r w:rsidRPr="00802F66">
        <w:t xml:space="preserve">roup </w:t>
      </w:r>
      <w:r>
        <w:t xml:space="preserve">has been </w:t>
      </w:r>
      <w:r w:rsidRPr="00802F66">
        <w:t xml:space="preserve">assigned </w:t>
      </w:r>
      <w:r>
        <w:t xml:space="preserve">the task of </w:t>
      </w:r>
      <w:r w:rsidRPr="00802F66">
        <w:t>ensur</w:t>
      </w:r>
      <w:r>
        <w:t>ing</w:t>
      </w:r>
      <w:r w:rsidRPr="00802F66">
        <w:t xml:space="preserve"> that information on spectrum </w:t>
      </w:r>
      <w:r>
        <w:t>specific requirements and needs is gathered for each Question. In addition, a Vice-C</w:t>
      </w:r>
      <w:r w:rsidRPr="00802F66">
        <w:t>hair</w:t>
      </w:r>
      <w:r>
        <w:t>man</w:t>
      </w:r>
      <w:r w:rsidRPr="00802F66">
        <w:t xml:space="preserve"> from </w:t>
      </w:r>
      <w:r>
        <w:t>Study Group 1</w:t>
      </w:r>
      <w:r w:rsidR="008A1F88">
        <w:t xml:space="preserve"> </w:t>
      </w:r>
      <w:r w:rsidRPr="00802F66">
        <w:t>(</w:t>
      </w:r>
      <w:r w:rsidRPr="00D63598">
        <w:rPr>
          <w:i/>
          <w:iCs/>
        </w:rPr>
        <w:t>Mr Roberto Hirayama, Brazil</w:t>
      </w:r>
      <w:r w:rsidRPr="00802F66">
        <w:t>) and a Vice-Chair</w:t>
      </w:r>
      <w:r>
        <w:t>man from</w:t>
      </w:r>
      <w:r w:rsidRPr="004C2663">
        <w:t xml:space="preserve"> </w:t>
      </w:r>
      <w:r>
        <w:t>Study Group 2 (</w:t>
      </w:r>
      <w:r w:rsidRPr="00D63598">
        <w:rPr>
          <w:i/>
          <w:iCs/>
        </w:rPr>
        <w:t>Ms Nora Basher, Sudan</w:t>
      </w:r>
      <w:r w:rsidRPr="00802F66">
        <w:t xml:space="preserve">) </w:t>
      </w:r>
      <w:r>
        <w:t>have been given the responsibility of coordinating</w:t>
      </w:r>
      <w:r w:rsidRPr="00802F66">
        <w:t xml:space="preserve"> </w:t>
      </w:r>
      <w:r>
        <w:t xml:space="preserve">WTDC </w:t>
      </w:r>
      <w:r w:rsidRPr="00802F66">
        <w:t xml:space="preserve">Resolution 9 issues with the contact points for each </w:t>
      </w:r>
      <w:r>
        <w:t>study Q</w:t>
      </w:r>
      <w:r w:rsidRPr="00802F66">
        <w:t xml:space="preserve">uestion. </w:t>
      </w:r>
    </w:p>
    <w:p w14:paraId="7F698621" w14:textId="5D2F9A71" w:rsidR="00DA4FC4" w:rsidRDefault="00DA4FC4" w:rsidP="0062597A">
      <w:pPr>
        <w:spacing w:after="120"/>
      </w:pPr>
      <w:r>
        <w:t>F</w:t>
      </w:r>
      <w:r w:rsidRPr="00802F66">
        <w:t>or each annual study group meeting</w:t>
      </w:r>
      <w:r>
        <w:t xml:space="preserve">, these </w:t>
      </w:r>
      <w:r w:rsidRPr="00802F66">
        <w:t xml:space="preserve">two </w:t>
      </w:r>
      <w:r>
        <w:t>vice-c</w:t>
      </w:r>
      <w:r w:rsidRPr="00802F66">
        <w:t>hair</w:t>
      </w:r>
      <w:r>
        <w:t>men</w:t>
      </w:r>
      <w:r w:rsidRPr="00802F66">
        <w:t xml:space="preserve"> will prepar</w:t>
      </w:r>
      <w:r>
        <w:t>e</w:t>
      </w:r>
      <w:r w:rsidRPr="00802F66">
        <w:t xml:space="preserve"> (with the </w:t>
      </w:r>
      <w:r>
        <w:t xml:space="preserve">help </w:t>
      </w:r>
      <w:r w:rsidRPr="00802F66">
        <w:t>of the BDT Focal Point</w:t>
      </w:r>
      <w:r>
        <w:t xml:space="preserve"> for Resolution 9</w:t>
      </w:r>
      <w:r w:rsidRPr="00802F66">
        <w:t>)</w:t>
      </w:r>
      <w:r>
        <w:t xml:space="preserve"> and submit a</w:t>
      </w:r>
      <w:r w:rsidRPr="00802F66">
        <w:t xml:space="preserve"> summary of the compiled findings on </w:t>
      </w:r>
      <w:r>
        <w:t xml:space="preserve">WTDC </w:t>
      </w:r>
      <w:r w:rsidRPr="00802F66">
        <w:t xml:space="preserve">Resolution 9 issues to the </w:t>
      </w:r>
      <w:r>
        <w:t xml:space="preserve">ITU-D </w:t>
      </w:r>
      <w:r w:rsidRPr="00802F66">
        <w:t xml:space="preserve">Study Group </w:t>
      </w:r>
      <w:r>
        <w:t xml:space="preserve">1 and 2 </w:t>
      </w:r>
      <w:r w:rsidRPr="00802F66">
        <w:t>Chair</w:t>
      </w:r>
      <w:r>
        <w:t>men,</w:t>
      </w:r>
      <w:r w:rsidRPr="00802F66">
        <w:t xml:space="preserve"> who in turn </w:t>
      </w:r>
      <w:r>
        <w:t>will report</w:t>
      </w:r>
      <w:r w:rsidRPr="00802F66">
        <w:t xml:space="preserve"> the relevant information to the BDT Director. </w:t>
      </w:r>
      <w:r>
        <w:t>T</w:t>
      </w:r>
      <w:r w:rsidRPr="00802F66">
        <w:t xml:space="preserve">he BDT Director can </w:t>
      </w:r>
      <w:r>
        <w:t xml:space="preserve">then </w:t>
      </w:r>
      <w:r w:rsidRPr="00802F66">
        <w:t>send a summary of these findings to the BR Director</w:t>
      </w:r>
      <w:r>
        <w:t xml:space="preserve">. Such a summary, to be provided each year, </w:t>
      </w:r>
      <w:r w:rsidRPr="00802F66">
        <w:t>can</w:t>
      </w:r>
      <w:r>
        <w:t xml:space="preserve"> serve as the basis for a contribution to </w:t>
      </w:r>
      <w:r w:rsidRPr="00802F66">
        <w:t xml:space="preserve">TDAG on the implementation of </w:t>
      </w:r>
      <w:r>
        <w:t xml:space="preserve">WTDC </w:t>
      </w:r>
      <w:r w:rsidRPr="00802F66">
        <w:t>Resolution 9</w:t>
      </w:r>
      <w:r>
        <w:t>.</w:t>
      </w:r>
    </w:p>
    <w:tbl>
      <w:tblPr>
        <w:tblStyle w:val="TableGrid"/>
        <w:tblW w:w="0" w:type="auto"/>
        <w:tblLook w:val="04A0" w:firstRow="1" w:lastRow="0" w:firstColumn="1" w:lastColumn="0" w:noHBand="0" w:noVBand="1"/>
      </w:tblPr>
      <w:tblGrid>
        <w:gridCol w:w="9629"/>
      </w:tblGrid>
      <w:tr w:rsidR="00965FD2" w:rsidRPr="00957B6C" w14:paraId="3EB3DD4D" w14:textId="77777777" w:rsidTr="00660D9E">
        <w:tc>
          <w:tcPr>
            <w:tcW w:w="9629" w:type="dxa"/>
          </w:tcPr>
          <w:p w14:paraId="795B4D5D" w14:textId="77777777" w:rsidR="00965FD2" w:rsidRPr="00957B6C" w:rsidRDefault="00C33E1A" w:rsidP="009B5B24">
            <w:pPr>
              <w:spacing w:after="120"/>
              <w:rPr>
                <w:rFonts w:cstheme="minorHAnsi"/>
                <w:color w:val="000000" w:themeColor="text1"/>
                <w:szCs w:val="24"/>
              </w:rPr>
            </w:pPr>
            <w:r w:rsidRPr="00957B6C">
              <w:rPr>
                <w:rFonts w:eastAsia="Calibri" w:cs="Calibri"/>
              </w:rPr>
              <w:t>TDAG approved the proposed way forward.</w:t>
            </w:r>
          </w:p>
        </w:tc>
      </w:tr>
    </w:tbl>
    <w:p w14:paraId="153D97D6" w14:textId="1BADD3FF" w:rsidR="00965FD2" w:rsidRPr="00957B6C" w:rsidRDefault="00965FD2" w:rsidP="00810998">
      <w:pPr>
        <w:pStyle w:val="ListParagraph"/>
        <w:keepNext/>
        <w:numPr>
          <w:ilvl w:val="1"/>
          <w:numId w:val="1"/>
        </w:numPr>
        <w:spacing w:before="240" w:after="120"/>
        <w:ind w:left="505" w:hanging="505"/>
        <w:contextualSpacing w:val="0"/>
        <w:rPr>
          <w:rStyle w:val="StyleComplex12pt"/>
          <w:rFonts w:cstheme="minorHAnsi"/>
          <w:b/>
          <w:bCs/>
        </w:rPr>
      </w:pPr>
      <w:r w:rsidRPr="00957B6C">
        <w:rPr>
          <w:rFonts w:cstheme="minorHAnsi"/>
          <w:b/>
          <w:bCs/>
          <w:color w:val="000000" w:themeColor="text1"/>
          <w:szCs w:val="24"/>
        </w:rPr>
        <w:t xml:space="preserve"> Cybersecurity and ICT applications</w:t>
      </w:r>
      <w:r w:rsidRPr="00957B6C">
        <w:rPr>
          <w:rStyle w:val="StyleComplex12pt"/>
          <w:rFonts w:cstheme="minorHAnsi"/>
          <w:b/>
          <w:bCs/>
        </w:rPr>
        <w:t xml:space="preserve"> </w:t>
      </w:r>
    </w:p>
    <w:p w14:paraId="76F69D71" w14:textId="77777777" w:rsidR="00965FD2" w:rsidRPr="00957B6C" w:rsidRDefault="00B8346F" w:rsidP="009B5B24">
      <w:pPr>
        <w:spacing w:after="120"/>
        <w:rPr>
          <w:rFonts w:cstheme="minorHAnsi"/>
          <w:szCs w:val="24"/>
        </w:rPr>
      </w:pPr>
      <w:hyperlink r:id="rId41" w:history="1">
        <w:r w:rsidR="00965FD2" w:rsidRPr="00957B6C">
          <w:rPr>
            <w:rStyle w:val="Hyperlink"/>
            <w:rFonts w:cstheme="minorHAnsi"/>
            <w:b/>
            <w:bCs/>
            <w:szCs w:val="24"/>
          </w:rPr>
          <w:t>Document 30</w:t>
        </w:r>
      </w:hyperlink>
      <w:r w:rsidR="00965FD2" w:rsidRPr="00957B6C">
        <w:rPr>
          <w:rFonts w:cstheme="minorHAnsi"/>
          <w:b/>
          <w:bCs/>
          <w:color w:val="000000" w:themeColor="text1"/>
          <w:szCs w:val="24"/>
        </w:rPr>
        <w:t>:</w:t>
      </w:r>
      <w:r w:rsidR="00965FD2" w:rsidRPr="00957B6C">
        <w:rPr>
          <w:rFonts w:cstheme="minorHAnsi"/>
          <w:color w:val="000000" w:themeColor="text1"/>
          <w:szCs w:val="24"/>
        </w:rPr>
        <w:t xml:space="preserve"> “Cybersecurity and ICT Applications Activities” </w:t>
      </w:r>
      <w:r w:rsidR="00965FD2" w:rsidRPr="00957B6C">
        <w:rPr>
          <w:rFonts w:cstheme="minorHAnsi"/>
          <w:szCs w:val="24"/>
        </w:rPr>
        <w:t>provides a summary of work and activities carried out by BDT in cybersecurity and ICT applications.</w:t>
      </w:r>
      <w:r w:rsidR="00C02A51" w:rsidRPr="00957B6C">
        <w:rPr>
          <w:rFonts w:cstheme="minorHAnsi"/>
          <w:szCs w:val="24"/>
        </w:rPr>
        <w:t xml:space="preserve"> </w:t>
      </w:r>
      <w:r w:rsidR="00F9455A">
        <w:rPr>
          <w:rFonts w:cstheme="minorHAnsi"/>
          <w:szCs w:val="24"/>
        </w:rPr>
        <w:t xml:space="preserve">The </w:t>
      </w:r>
      <w:r w:rsidR="00965FD2" w:rsidRPr="00957B6C">
        <w:rPr>
          <w:rFonts w:cstheme="minorHAnsi"/>
          <w:szCs w:val="24"/>
        </w:rPr>
        <w:t xml:space="preserve">BDT cybersecurity programme provides for the development of publications, conducting of national and regional capacity-building workshops and collaboration with partners to deliver high-quality products and services. </w:t>
      </w:r>
    </w:p>
    <w:p w14:paraId="6E02FACC" w14:textId="15D9DC37" w:rsidR="00965FD2" w:rsidRPr="00957B6C" w:rsidRDefault="00C02A51" w:rsidP="009B5B24">
      <w:pPr>
        <w:overflowPunct/>
        <w:autoSpaceDE/>
        <w:autoSpaceDN/>
        <w:adjustRightInd/>
        <w:spacing w:after="120"/>
        <w:textAlignment w:val="auto"/>
        <w:rPr>
          <w:rFonts w:cstheme="minorHAnsi"/>
          <w:szCs w:val="24"/>
        </w:rPr>
      </w:pPr>
      <w:r w:rsidRPr="00957B6C">
        <w:rPr>
          <w:rFonts w:cstheme="minorHAnsi"/>
          <w:szCs w:val="24"/>
        </w:rPr>
        <w:t xml:space="preserve">An example of this is the </w:t>
      </w:r>
      <w:r w:rsidR="00965FD2" w:rsidRPr="00957B6C">
        <w:rPr>
          <w:rFonts w:cstheme="minorHAnsi"/>
          <w:szCs w:val="24"/>
        </w:rPr>
        <w:t>“</w:t>
      </w:r>
      <w:hyperlink r:id="rId42" w:history="1">
        <w:r w:rsidR="00965FD2" w:rsidRPr="0062597A">
          <w:rPr>
            <w:rStyle w:val="Hyperlink"/>
            <w:rFonts w:cstheme="minorHAnsi"/>
            <w:color w:val="auto"/>
            <w:szCs w:val="24"/>
            <w:u w:val="none"/>
          </w:rPr>
          <w:t>National Cybersecurity Strategy Guide</w:t>
        </w:r>
      </w:hyperlink>
      <w:r w:rsidR="00965FD2" w:rsidRPr="002369BC">
        <w:rPr>
          <w:rFonts w:cstheme="minorHAnsi"/>
          <w:szCs w:val="24"/>
        </w:rPr>
        <w:t>”</w:t>
      </w:r>
      <w:r w:rsidR="00FC30AA" w:rsidRPr="002369BC">
        <w:rPr>
          <w:rFonts w:cstheme="minorHAnsi"/>
          <w:szCs w:val="24"/>
        </w:rPr>
        <w:t xml:space="preserve"> </w:t>
      </w:r>
      <w:r w:rsidR="00965FD2" w:rsidRPr="002369BC">
        <w:rPr>
          <w:rFonts w:cstheme="minorHAnsi"/>
          <w:szCs w:val="24"/>
        </w:rPr>
        <w:t>l</w:t>
      </w:r>
      <w:r w:rsidR="00965FD2" w:rsidRPr="00957B6C">
        <w:rPr>
          <w:rFonts w:cstheme="minorHAnsi"/>
          <w:szCs w:val="24"/>
        </w:rPr>
        <w:t xml:space="preserve">aunched at ITU Telecom World 2018 and developed through a multi-stakeholder effort, facilitated by ITU, in partnership with 11 intergovernmental and international organizations and private sector, academia </w:t>
      </w:r>
      <w:r w:rsidR="007E684D" w:rsidRPr="00957B6C">
        <w:rPr>
          <w:rFonts w:cstheme="minorHAnsi"/>
          <w:szCs w:val="24"/>
        </w:rPr>
        <w:t>and</w:t>
      </w:r>
      <w:r w:rsidR="00965FD2" w:rsidRPr="00957B6C">
        <w:rPr>
          <w:rFonts w:cstheme="minorHAnsi"/>
          <w:szCs w:val="24"/>
        </w:rPr>
        <w:t xml:space="preserve"> civil society entities. The main objective </w:t>
      </w:r>
      <w:r w:rsidR="007E684D" w:rsidRPr="00957B6C">
        <w:rPr>
          <w:rFonts w:cstheme="minorHAnsi"/>
          <w:szCs w:val="24"/>
        </w:rPr>
        <w:t xml:space="preserve">of this reference guide </w:t>
      </w:r>
      <w:r w:rsidR="00965FD2" w:rsidRPr="00957B6C">
        <w:rPr>
          <w:rFonts w:cstheme="minorHAnsi"/>
          <w:szCs w:val="24"/>
        </w:rPr>
        <w:t xml:space="preserve">is to assist countries in the development and implementation of national cybersecurity strategies, including cyber-preparedness and resilience. </w:t>
      </w:r>
    </w:p>
    <w:p w14:paraId="035C62F8" w14:textId="77777777" w:rsidR="00421631" w:rsidRPr="00957B6C" w:rsidRDefault="00421631" w:rsidP="009B5B24">
      <w:pPr>
        <w:overflowPunct/>
        <w:autoSpaceDE/>
        <w:autoSpaceDN/>
        <w:adjustRightInd/>
        <w:spacing w:after="120"/>
        <w:textAlignment w:val="auto"/>
        <w:rPr>
          <w:rFonts w:cstheme="minorHAnsi"/>
          <w:szCs w:val="24"/>
        </w:rPr>
      </w:pPr>
      <w:r w:rsidRPr="00957B6C">
        <w:rPr>
          <w:szCs w:val="24"/>
        </w:rPr>
        <w:t>BDT also conducts regional and national cyberdrills for ITU Member States, the aim being to enhance the communication between participating teams and further improve the incident response capabilities, along with maintaining and strengthening national and international cooperation among countries in ensuring continued collective effort against cyberthreats.</w:t>
      </w:r>
    </w:p>
    <w:p w14:paraId="0A4D6524" w14:textId="0D1BE711" w:rsidR="00421631" w:rsidRDefault="00421631" w:rsidP="002369BC">
      <w:pPr>
        <w:spacing w:after="120"/>
        <w:rPr>
          <w:rFonts w:eastAsia="Calibri"/>
          <w:sz w:val="22"/>
          <w:szCs w:val="22"/>
        </w:rPr>
      </w:pPr>
      <w:r w:rsidRPr="00957B6C">
        <w:rPr>
          <w:rFonts w:cstheme="minorHAnsi"/>
          <w:szCs w:val="24"/>
        </w:rPr>
        <w:t>In 2018, data collected from 155 countries in preparation for the third edition of the Global Cybersecurity Index (GCI)</w:t>
      </w:r>
      <w:r w:rsidR="00F312C2">
        <w:rPr>
          <w:rFonts w:cstheme="minorHAnsi"/>
          <w:szCs w:val="24"/>
        </w:rPr>
        <w:t xml:space="preserve"> </w:t>
      </w:r>
      <w:r w:rsidRPr="00957B6C">
        <w:rPr>
          <w:rFonts w:cstheme="minorHAnsi"/>
          <w:szCs w:val="24"/>
        </w:rPr>
        <w:t>measure</w:t>
      </w:r>
      <w:r w:rsidR="00F9455A">
        <w:rPr>
          <w:rFonts w:cstheme="minorHAnsi"/>
          <w:szCs w:val="24"/>
        </w:rPr>
        <w:t>d</w:t>
      </w:r>
      <w:r w:rsidRPr="00957B6C">
        <w:rPr>
          <w:rFonts w:cstheme="minorHAnsi"/>
          <w:szCs w:val="24"/>
        </w:rPr>
        <w:t xml:space="preserve"> countr</w:t>
      </w:r>
      <w:r w:rsidR="00F9455A">
        <w:rPr>
          <w:rFonts w:cstheme="minorHAnsi"/>
          <w:szCs w:val="24"/>
        </w:rPr>
        <w:t>y</w:t>
      </w:r>
      <w:r w:rsidRPr="00957B6C">
        <w:rPr>
          <w:rFonts w:cstheme="minorHAnsi"/>
          <w:szCs w:val="24"/>
        </w:rPr>
        <w:t xml:space="preserve"> progress in cybersecurity and help</w:t>
      </w:r>
      <w:r w:rsidR="00F9455A">
        <w:rPr>
          <w:rFonts w:cstheme="minorHAnsi"/>
          <w:szCs w:val="24"/>
        </w:rPr>
        <w:t>ed</w:t>
      </w:r>
      <w:r w:rsidRPr="00957B6C">
        <w:rPr>
          <w:rFonts w:cstheme="minorHAnsi"/>
          <w:szCs w:val="24"/>
        </w:rPr>
        <w:t xml:space="preserve"> to identify areas for improvement.</w:t>
      </w:r>
      <w:r w:rsidR="00F312C2">
        <w:rPr>
          <w:rFonts w:cstheme="minorHAnsi"/>
          <w:szCs w:val="24"/>
        </w:rPr>
        <w:t xml:space="preserve"> The GCI was submitted to </w:t>
      </w:r>
      <w:r w:rsidR="002369BC">
        <w:rPr>
          <w:rFonts w:cstheme="minorHAnsi"/>
          <w:szCs w:val="24"/>
        </w:rPr>
        <w:t xml:space="preserve">ITU-D </w:t>
      </w:r>
      <w:r w:rsidR="00F312C2">
        <w:rPr>
          <w:rFonts w:cstheme="minorHAnsi"/>
          <w:szCs w:val="24"/>
        </w:rPr>
        <w:t>Study Group 2 meeting for review and comment.</w:t>
      </w:r>
      <w:r w:rsidRPr="00957B6C">
        <w:rPr>
          <w:rFonts w:cstheme="minorHAnsi"/>
          <w:szCs w:val="24"/>
        </w:rPr>
        <w:t xml:space="preserve"> TDAG </w:t>
      </w:r>
      <w:r w:rsidR="00F312C2">
        <w:rPr>
          <w:rFonts w:cstheme="minorHAnsi"/>
          <w:szCs w:val="24"/>
        </w:rPr>
        <w:t xml:space="preserve">requested that the document </w:t>
      </w:r>
      <w:r w:rsidRPr="004D22C2">
        <w:rPr>
          <w:rFonts w:eastAsia="Calibri"/>
          <w:szCs w:val="24"/>
        </w:rPr>
        <w:t xml:space="preserve">clearly </w:t>
      </w:r>
      <w:r w:rsidR="00F34DFA" w:rsidRPr="004D22C2">
        <w:rPr>
          <w:rFonts w:eastAsia="Calibri"/>
          <w:szCs w:val="24"/>
        </w:rPr>
        <w:t>inclu</w:t>
      </w:r>
      <w:r w:rsidR="004F33DD" w:rsidRPr="004D22C2">
        <w:rPr>
          <w:rFonts w:eastAsia="Calibri"/>
          <w:szCs w:val="24"/>
        </w:rPr>
        <w:t>d</w:t>
      </w:r>
      <w:r w:rsidR="00F34DFA" w:rsidRPr="004D22C2">
        <w:rPr>
          <w:rFonts w:eastAsia="Calibri"/>
          <w:szCs w:val="24"/>
        </w:rPr>
        <w:t xml:space="preserve">e </w:t>
      </w:r>
      <w:r w:rsidR="00F312C2" w:rsidRPr="004D22C2">
        <w:rPr>
          <w:rFonts w:eastAsia="Calibri"/>
          <w:szCs w:val="24"/>
        </w:rPr>
        <w:t xml:space="preserve">an explanation on the distinction between countries </w:t>
      </w:r>
      <w:r w:rsidRPr="004D22C2">
        <w:rPr>
          <w:rFonts w:eastAsia="Calibri"/>
          <w:szCs w:val="24"/>
        </w:rPr>
        <w:t>that submitted the survey information and those that did not.</w:t>
      </w:r>
      <w:r w:rsidR="00BE016B" w:rsidRPr="004D22C2">
        <w:rPr>
          <w:rFonts w:eastAsia="Calibri"/>
          <w:szCs w:val="24"/>
        </w:rPr>
        <w:t xml:space="preserve"> </w:t>
      </w:r>
    </w:p>
    <w:p w14:paraId="562DCD86" w14:textId="77777777" w:rsidR="004F33DD" w:rsidRPr="00957B6C" w:rsidRDefault="004F33DD" w:rsidP="009B5B24">
      <w:pPr>
        <w:spacing w:after="120"/>
        <w:rPr>
          <w:rFonts w:cstheme="minorHAnsi"/>
          <w:szCs w:val="24"/>
        </w:rPr>
      </w:pPr>
      <w:r w:rsidRPr="004F33DD">
        <w:rPr>
          <w:rFonts w:cstheme="minorHAnsi"/>
          <w:szCs w:val="24"/>
        </w:rPr>
        <w:t>Looking at the proposed ways forward to implement cybersecurity-related objectives, TDAG encouraged BDT to continue measuring cybersecurity progress with the GCI while improving the methodology and scoring mechanism through continuous dialogue and collaboration with Member States, industry, academia and experts in the area of cybersecurity and data analysis. TDAG suggested that a mechanism should be developed to ensure that products and services are developed taking into consideration input from the membership.</w:t>
      </w:r>
    </w:p>
    <w:p w14:paraId="36327768" w14:textId="73B80286" w:rsidR="00965FD2" w:rsidRPr="00957B6C" w:rsidRDefault="002C3571" w:rsidP="009B5B24">
      <w:pPr>
        <w:spacing w:after="120"/>
        <w:rPr>
          <w:rFonts w:cstheme="minorHAnsi"/>
          <w:szCs w:val="24"/>
        </w:rPr>
      </w:pPr>
      <w:r w:rsidRPr="00957B6C">
        <w:rPr>
          <w:rFonts w:cstheme="minorHAnsi"/>
          <w:szCs w:val="24"/>
        </w:rPr>
        <w:t>Turning to ICT appl</w:t>
      </w:r>
      <w:r w:rsidR="00A02A1E" w:rsidRPr="00957B6C">
        <w:rPr>
          <w:rFonts w:cstheme="minorHAnsi"/>
          <w:szCs w:val="24"/>
        </w:rPr>
        <w:t>ications and services,</w:t>
      </w:r>
      <w:r w:rsidR="00F34DFA" w:rsidRPr="00957B6C">
        <w:rPr>
          <w:rFonts w:cstheme="minorHAnsi"/>
          <w:szCs w:val="24"/>
        </w:rPr>
        <w:t xml:space="preserve"> it was noted that</w:t>
      </w:r>
      <w:r w:rsidRPr="00957B6C">
        <w:rPr>
          <w:rFonts w:cstheme="minorHAnsi"/>
          <w:szCs w:val="24"/>
        </w:rPr>
        <w:t xml:space="preserve"> a </w:t>
      </w:r>
      <w:r w:rsidR="00965FD2" w:rsidRPr="00957B6C">
        <w:rPr>
          <w:rFonts w:cstheme="minorHAnsi"/>
          <w:szCs w:val="24"/>
        </w:rPr>
        <w:t>main pillar of</w:t>
      </w:r>
      <w:r w:rsidRPr="00957B6C">
        <w:rPr>
          <w:rFonts w:cstheme="minorHAnsi"/>
          <w:szCs w:val="24"/>
        </w:rPr>
        <w:t xml:space="preserve"> this</w:t>
      </w:r>
      <w:r w:rsidR="00965FD2" w:rsidRPr="00957B6C">
        <w:rPr>
          <w:rFonts w:cstheme="minorHAnsi"/>
          <w:szCs w:val="24"/>
        </w:rPr>
        <w:t xml:space="preserve"> programme is assisting countries in the development of national sector-specific e-strategies, which can </w:t>
      </w:r>
      <w:r w:rsidR="00965FD2" w:rsidRPr="00957B6C">
        <w:rPr>
          <w:rFonts w:cstheme="minorHAnsi"/>
          <w:szCs w:val="24"/>
        </w:rPr>
        <w:lastRenderedPageBreak/>
        <w:t xml:space="preserve">contribute to digital transformation. In the health sector, for example, the joint ITU-WHO National eHealth Strategy Toolkit, published in 2012, has become the reference point for many countries in digital health strategy development. In 2018, ITU and WHO helped several countries to develop e-health strategies. Several mHealth projects have been launched through the joint ITU-WHO </w:t>
      </w:r>
      <w:r w:rsidR="002369BC">
        <w:rPr>
          <w:rFonts w:cstheme="minorHAnsi"/>
          <w:szCs w:val="24"/>
        </w:rPr>
        <w:t>“</w:t>
      </w:r>
      <w:r w:rsidR="00965FD2" w:rsidRPr="00957B6C">
        <w:rPr>
          <w:rFonts w:cstheme="minorHAnsi"/>
          <w:szCs w:val="24"/>
        </w:rPr>
        <w:t>Be He@lthy, Be Mobile</w:t>
      </w:r>
      <w:r w:rsidR="002369BC">
        <w:rPr>
          <w:rFonts w:cstheme="minorHAnsi"/>
          <w:szCs w:val="24"/>
        </w:rPr>
        <w:t>”</w:t>
      </w:r>
      <w:r w:rsidR="00965FD2" w:rsidRPr="00957B6C">
        <w:rPr>
          <w:rFonts w:cstheme="minorHAnsi"/>
          <w:szCs w:val="24"/>
        </w:rPr>
        <w:t xml:space="preserve"> programme, which promotes the use of mobile technologies for non</w:t>
      </w:r>
      <w:r w:rsidR="004F33DD">
        <w:rPr>
          <w:rFonts w:cstheme="minorHAnsi"/>
          <w:szCs w:val="24"/>
        </w:rPr>
        <w:t>-</w:t>
      </w:r>
      <w:r w:rsidR="00965FD2" w:rsidRPr="00957B6C">
        <w:rPr>
          <w:rFonts w:cstheme="minorHAnsi"/>
          <w:szCs w:val="24"/>
        </w:rPr>
        <w:t>communicable diseases.</w:t>
      </w:r>
    </w:p>
    <w:p w14:paraId="491B8F92" w14:textId="77777777" w:rsidR="00E50990" w:rsidRPr="00957B6C" w:rsidRDefault="00965FD2" w:rsidP="009B5B24">
      <w:pPr>
        <w:spacing w:after="120"/>
        <w:rPr>
          <w:rFonts w:cstheme="minorHAnsi"/>
          <w:szCs w:val="24"/>
        </w:rPr>
      </w:pPr>
      <w:r w:rsidRPr="00957B6C">
        <w:rPr>
          <w:rFonts w:cstheme="minorHAnsi"/>
          <w:szCs w:val="24"/>
        </w:rPr>
        <w:t>In e-agriculture, a Hackathon to end Hunger was organized in collaboration with the Food and Agriculture Organization (FAO) in order to identify and support innovative solutions to address challenges in the areas of food and agriculture. The ITU-FAO National e-Agriculture Strategy Guide has already been piloted in several countries</w:t>
      </w:r>
      <w:r w:rsidR="002C3571" w:rsidRPr="00957B6C">
        <w:rPr>
          <w:rFonts w:cstheme="minorHAnsi"/>
          <w:szCs w:val="24"/>
        </w:rPr>
        <w:t>. In one country, a blockchain-application was developed to track pigs.</w:t>
      </w:r>
      <w:r w:rsidR="00E50990" w:rsidRPr="00957B6C">
        <w:rPr>
          <w:rFonts w:cstheme="minorHAnsi"/>
          <w:szCs w:val="24"/>
        </w:rPr>
        <w:t xml:space="preserve"> </w:t>
      </w:r>
      <w:r w:rsidRPr="00957B6C">
        <w:rPr>
          <w:rFonts w:cstheme="minorHAnsi"/>
          <w:szCs w:val="24"/>
        </w:rPr>
        <w:t>A report on the use of drones in agriculture has also been published</w:t>
      </w:r>
      <w:r w:rsidR="00E50990" w:rsidRPr="00957B6C">
        <w:rPr>
          <w:rFonts w:cstheme="minorHAnsi"/>
          <w:szCs w:val="24"/>
        </w:rPr>
        <w:t xml:space="preserve">. </w:t>
      </w:r>
    </w:p>
    <w:p w14:paraId="415FB61F" w14:textId="77777777" w:rsidR="009D0FF8" w:rsidRPr="00957B6C" w:rsidRDefault="00113F80" w:rsidP="009B5B24">
      <w:pPr>
        <w:spacing w:after="120"/>
        <w:rPr>
          <w:rFonts w:cstheme="minorHAnsi"/>
          <w:szCs w:val="24"/>
        </w:rPr>
      </w:pPr>
      <w:r w:rsidRPr="00957B6C">
        <w:rPr>
          <w:rFonts w:cstheme="minorHAnsi"/>
          <w:szCs w:val="24"/>
        </w:rPr>
        <w:t xml:space="preserve">A way </w:t>
      </w:r>
      <w:r w:rsidR="009D0FF8" w:rsidRPr="00957B6C">
        <w:rPr>
          <w:rFonts w:cstheme="minorHAnsi"/>
          <w:szCs w:val="24"/>
        </w:rPr>
        <w:t xml:space="preserve">forward in </w:t>
      </w:r>
      <w:r w:rsidR="009D0FF8" w:rsidRPr="00957B6C">
        <w:rPr>
          <w:szCs w:val="24"/>
        </w:rPr>
        <w:t xml:space="preserve">ICT applications </w:t>
      </w:r>
      <w:r w:rsidR="009D0FF8" w:rsidRPr="00957B6C">
        <w:rPr>
          <w:rFonts w:cstheme="minorHAnsi"/>
          <w:szCs w:val="24"/>
        </w:rPr>
        <w:t xml:space="preserve">that </w:t>
      </w:r>
      <w:r w:rsidRPr="00957B6C">
        <w:rPr>
          <w:rFonts w:cstheme="minorHAnsi"/>
          <w:szCs w:val="24"/>
        </w:rPr>
        <w:t>may resonate with Member States is the development of</w:t>
      </w:r>
      <w:r w:rsidR="009D0FF8" w:rsidRPr="00957B6C">
        <w:rPr>
          <w:szCs w:val="24"/>
        </w:rPr>
        <w:t xml:space="preserve"> new tools to guide governments in their digital transformation process, for example the development of </w:t>
      </w:r>
      <w:r w:rsidR="00C334D0">
        <w:rPr>
          <w:szCs w:val="24"/>
        </w:rPr>
        <w:t>g</w:t>
      </w:r>
      <w:r w:rsidR="00C334D0" w:rsidRPr="00957B6C">
        <w:rPr>
          <w:szCs w:val="24"/>
        </w:rPr>
        <w:t xml:space="preserve">overnment </w:t>
      </w:r>
      <w:r w:rsidR="00C334D0">
        <w:rPr>
          <w:szCs w:val="24"/>
        </w:rPr>
        <w:t>e</w:t>
      </w:r>
      <w:r w:rsidR="00C334D0" w:rsidRPr="00957B6C">
        <w:rPr>
          <w:szCs w:val="24"/>
        </w:rPr>
        <w:t xml:space="preserve">nterprise </w:t>
      </w:r>
      <w:r w:rsidR="00C334D0">
        <w:rPr>
          <w:szCs w:val="24"/>
        </w:rPr>
        <w:t>a</w:t>
      </w:r>
      <w:r w:rsidR="00C334D0" w:rsidRPr="00957B6C">
        <w:rPr>
          <w:szCs w:val="24"/>
        </w:rPr>
        <w:t>rchitecture</w:t>
      </w:r>
      <w:r w:rsidRPr="00957B6C">
        <w:rPr>
          <w:szCs w:val="24"/>
        </w:rPr>
        <w:t>.</w:t>
      </w:r>
    </w:p>
    <w:tbl>
      <w:tblPr>
        <w:tblStyle w:val="TableGrid"/>
        <w:tblW w:w="0" w:type="auto"/>
        <w:tblLook w:val="04A0" w:firstRow="1" w:lastRow="0" w:firstColumn="1" w:lastColumn="0" w:noHBand="0" w:noVBand="1"/>
      </w:tblPr>
      <w:tblGrid>
        <w:gridCol w:w="9629"/>
      </w:tblGrid>
      <w:tr w:rsidR="00965FD2" w:rsidRPr="00957B6C" w14:paraId="1C2354FB" w14:textId="77777777" w:rsidTr="00660D9E">
        <w:tc>
          <w:tcPr>
            <w:tcW w:w="9629" w:type="dxa"/>
          </w:tcPr>
          <w:p w14:paraId="2420DF4D" w14:textId="77777777" w:rsidR="00965FD2" w:rsidRPr="00957B6C" w:rsidRDefault="00AA2CDA" w:rsidP="009B5B24">
            <w:pPr>
              <w:spacing w:after="120"/>
              <w:rPr>
                <w:rFonts w:cstheme="minorHAnsi"/>
                <w:color w:val="000000" w:themeColor="text1"/>
                <w:szCs w:val="24"/>
              </w:rPr>
            </w:pPr>
            <w:r w:rsidRPr="00957B6C">
              <w:rPr>
                <w:rFonts w:eastAsia="Calibri"/>
              </w:rPr>
              <w:t>TDAG noted the document.</w:t>
            </w:r>
          </w:p>
        </w:tc>
      </w:tr>
    </w:tbl>
    <w:p w14:paraId="127FEA04" w14:textId="77777777" w:rsidR="00965FD2" w:rsidRPr="00957B6C" w:rsidRDefault="00965FD2" w:rsidP="00810998">
      <w:pPr>
        <w:pStyle w:val="ListParagraph"/>
        <w:keepNext/>
        <w:numPr>
          <w:ilvl w:val="1"/>
          <w:numId w:val="1"/>
        </w:numPr>
        <w:spacing w:before="240" w:after="120"/>
        <w:ind w:left="505" w:hanging="505"/>
        <w:contextualSpacing w:val="0"/>
        <w:rPr>
          <w:rStyle w:val="StyleComplex12pt"/>
          <w:rFonts w:cstheme="minorHAnsi"/>
          <w:b/>
          <w:bCs/>
        </w:rPr>
      </w:pPr>
      <w:r w:rsidRPr="00957B6C">
        <w:rPr>
          <w:rStyle w:val="StyleComplex12pt"/>
          <w:rFonts w:cstheme="minorHAnsi"/>
          <w:b/>
          <w:bCs/>
        </w:rPr>
        <w:t xml:space="preserve"> Regulatory and market environment, including </w:t>
      </w:r>
      <w:r w:rsidR="004E28F5">
        <w:rPr>
          <w:rStyle w:val="StyleComplex12pt"/>
          <w:rFonts w:cstheme="minorHAnsi"/>
          <w:b/>
          <w:bCs/>
        </w:rPr>
        <w:t xml:space="preserve">the </w:t>
      </w:r>
      <w:r w:rsidRPr="00957B6C">
        <w:rPr>
          <w:rStyle w:val="StyleComplex12pt"/>
          <w:rFonts w:cstheme="minorHAnsi"/>
          <w:b/>
          <w:bCs/>
        </w:rPr>
        <w:t>Global Symposium for Regulators (GSR)</w:t>
      </w:r>
    </w:p>
    <w:p w14:paraId="50416435" w14:textId="77777777" w:rsidR="00965FD2" w:rsidRPr="00957B6C" w:rsidRDefault="00B8346F" w:rsidP="009B5B24">
      <w:pPr>
        <w:tabs>
          <w:tab w:val="clear" w:pos="1134"/>
          <w:tab w:val="clear" w:pos="1871"/>
          <w:tab w:val="clear" w:pos="2268"/>
        </w:tabs>
        <w:overflowPunct/>
        <w:autoSpaceDE/>
        <w:autoSpaceDN/>
        <w:adjustRightInd/>
        <w:spacing w:after="120"/>
        <w:textAlignment w:val="auto"/>
        <w:rPr>
          <w:rFonts w:cstheme="minorHAnsi"/>
          <w:szCs w:val="24"/>
        </w:rPr>
      </w:pPr>
      <w:hyperlink r:id="rId43" w:history="1">
        <w:r w:rsidR="00965FD2" w:rsidRPr="00957B6C">
          <w:rPr>
            <w:rStyle w:val="Hyperlink"/>
            <w:rFonts w:cstheme="minorHAnsi"/>
            <w:b/>
            <w:bCs/>
            <w:szCs w:val="24"/>
          </w:rPr>
          <w:t>Document 16</w:t>
        </w:r>
      </w:hyperlink>
      <w:r w:rsidR="00965FD2" w:rsidRPr="00957B6C">
        <w:rPr>
          <w:rFonts w:cstheme="minorHAnsi"/>
          <w:b/>
          <w:bCs/>
          <w:color w:val="000000" w:themeColor="text1"/>
          <w:szCs w:val="24"/>
        </w:rPr>
        <w:t>:</w:t>
      </w:r>
      <w:r w:rsidR="00965FD2" w:rsidRPr="00957B6C">
        <w:rPr>
          <w:rFonts w:cstheme="minorHAnsi"/>
          <w:color w:val="000000" w:themeColor="text1"/>
          <w:szCs w:val="24"/>
        </w:rPr>
        <w:t xml:space="preserve"> “ITU-D Policy and Regulatory Programme”</w:t>
      </w:r>
      <w:r w:rsidR="00965FD2" w:rsidRPr="00957B6C">
        <w:rPr>
          <w:rFonts w:cstheme="minorHAnsi"/>
          <w:b/>
          <w:bCs/>
          <w:color w:val="000000" w:themeColor="text1"/>
          <w:szCs w:val="24"/>
        </w:rPr>
        <w:t xml:space="preserve"> </w:t>
      </w:r>
      <w:r w:rsidR="00965FD2" w:rsidRPr="00957B6C">
        <w:rPr>
          <w:rFonts w:cstheme="minorHAnsi"/>
          <w:color w:val="000000" w:themeColor="text1"/>
          <w:szCs w:val="24"/>
        </w:rPr>
        <w:t>provides an overview of</w:t>
      </w:r>
      <w:r w:rsidR="00965FD2" w:rsidRPr="00957B6C">
        <w:rPr>
          <w:rFonts w:cstheme="minorHAnsi"/>
          <w:b/>
          <w:bCs/>
          <w:color w:val="000000" w:themeColor="text1"/>
          <w:szCs w:val="24"/>
        </w:rPr>
        <w:t xml:space="preserve"> </w:t>
      </w:r>
      <w:r w:rsidR="00965FD2" w:rsidRPr="00957B6C">
        <w:rPr>
          <w:rFonts w:cstheme="minorHAnsi"/>
          <w:szCs w:val="24"/>
        </w:rPr>
        <w:t xml:space="preserve">the main activities carried out in 2018, including the Global Symposium for Regulators (GSR), the Regional Economic Dialogues, the Global ICT Regulatory Outlook Report, analytical reports on 5G, </w:t>
      </w:r>
      <w:r w:rsidR="00113F80" w:rsidRPr="00957B6C">
        <w:rPr>
          <w:rFonts w:cstheme="minorHAnsi"/>
          <w:szCs w:val="24"/>
        </w:rPr>
        <w:t>a</w:t>
      </w:r>
      <w:r w:rsidR="00965FD2" w:rsidRPr="00957B6C">
        <w:rPr>
          <w:rFonts w:cstheme="minorHAnsi"/>
          <w:szCs w:val="24"/>
        </w:rPr>
        <w:t xml:space="preserve">rtificial </w:t>
      </w:r>
      <w:r w:rsidR="00113F80" w:rsidRPr="00957B6C">
        <w:rPr>
          <w:rFonts w:cstheme="minorHAnsi"/>
          <w:szCs w:val="24"/>
        </w:rPr>
        <w:t>i</w:t>
      </w:r>
      <w:r w:rsidR="00965FD2" w:rsidRPr="00957B6C">
        <w:rPr>
          <w:rFonts w:cstheme="minorHAnsi"/>
          <w:szCs w:val="24"/>
        </w:rPr>
        <w:t>ntelligence</w:t>
      </w:r>
      <w:r w:rsidR="004E28F5">
        <w:rPr>
          <w:rFonts w:cstheme="minorHAnsi"/>
          <w:szCs w:val="24"/>
        </w:rPr>
        <w:t>,</w:t>
      </w:r>
      <w:r w:rsidR="00965FD2" w:rsidRPr="00957B6C">
        <w:rPr>
          <w:rFonts w:cstheme="minorHAnsi"/>
          <w:szCs w:val="24"/>
        </w:rPr>
        <w:t xml:space="preserve"> and digital identity, and an econometric study on the impact of broadband, digitization and ICT regulation. </w:t>
      </w:r>
    </w:p>
    <w:p w14:paraId="77AE2D67" w14:textId="0614AFBE" w:rsidR="00134C1E" w:rsidRPr="00957B6C" w:rsidRDefault="00965FD2" w:rsidP="009B5B24">
      <w:pPr>
        <w:tabs>
          <w:tab w:val="clear" w:pos="1134"/>
          <w:tab w:val="clear" w:pos="1871"/>
          <w:tab w:val="clear" w:pos="2268"/>
        </w:tabs>
        <w:overflowPunct/>
        <w:autoSpaceDE/>
        <w:autoSpaceDN/>
        <w:adjustRightInd/>
        <w:spacing w:after="120"/>
        <w:textAlignment w:val="auto"/>
        <w:rPr>
          <w:rFonts w:cstheme="minorHAnsi"/>
          <w:szCs w:val="24"/>
        </w:rPr>
      </w:pPr>
      <w:r w:rsidRPr="00957B6C">
        <w:rPr>
          <w:rFonts w:cstheme="minorHAnsi"/>
          <w:szCs w:val="24"/>
        </w:rPr>
        <w:t xml:space="preserve">The 18th edition of the GSR, held in July in Geneva, attracted over 600 participants, including government ministers, heads of ICT national regulatory authorities and industry executives from more than 125 countries. GSR also provided a platform for the exchange of knowledge among regional regulatory associations and private-sector chief executive officers. </w:t>
      </w:r>
      <w:r w:rsidR="004E28F5">
        <w:rPr>
          <w:rFonts w:cstheme="minorHAnsi"/>
          <w:szCs w:val="24"/>
        </w:rPr>
        <w:t>GSR participants</w:t>
      </w:r>
      <w:r w:rsidR="004E28F5" w:rsidRPr="00957B6C">
        <w:rPr>
          <w:rFonts w:cstheme="minorHAnsi"/>
          <w:szCs w:val="24"/>
        </w:rPr>
        <w:t xml:space="preserve"> </w:t>
      </w:r>
      <w:r w:rsidRPr="00957B6C">
        <w:rPr>
          <w:rFonts w:cstheme="minorHAnsi"/>
          <w:szCs w:val="24"/>
        </w:rPr>
        <w:t xml:space="preserve">adopted </w:t>
      </w:r>
      <w:hyperlink r:id="rId44" w:history="1">
        <w:r w:rsidRPr="00A3726E">
          <w:rPr>
            <w:rStyle w:val="Hyperlink"/>
            <w:rFonts w:cstheme="minorHAnsi"/>
            <w:szCs w:val="24"/>
          </w:rPr>
          <w:t>best practice guidelines</w:t>
        </w:r>
      </w:hyperlink>
      <w:r w:rsidRPr="00957B6C">
        <w:rPr>
          <w:rFonts w:cstheme="minorHAnsi"/>
          <w:szCs w:val="24"/>
        </w:rPr>
        <w:t xml:space="preserve"> on new regulatory frontiers to achieve digital transformation. </w:t>
      </w:r>
    </w:p>
    <w:p w14:paraId="7010B4B0" w14:textId="315C4B84" w:rsidR="0091250D" w:rsidRDefault="00965FD2" w:rsidP="009B5B24">
      <w:pPr>
        <w:tabs>
          <w:tab w:val="clear" w:pos="1134"/>
          <w:tab w:val="clear" w:pos="1871"/>
          <w:tab w:val="clear" w:pos="2268"/>
        </w:tabs>
        <w:overflowPunct/>
        <w:autoSpaceDE/>
        <w:autoSpaceDN/>
        <w:adjustRightInd/>
        <w:spacing w:after="120"/>
        <w:textAlignment w:val="auto"/>
        <w:rPr>
          <w:rFonts w:cstheme="minorHAnsi"/>
          <w:szCs w:val="24"/>
        </w:rPr>
      </w:pPr>
      <w:r w:rsidRPr="00957B6C">
        <w:rPr>
          <w:rFonts w:cstheme="minorHAnsi"/>
          <w:szCs w:val="24"/>
        </w:rPr>
        <w:t xml:space="preserve">The 19th edition of GSR will be held from 9 to 12 July 2019 in Port Vila, Vanuatu, hosted by the </w:t>
      </w:r>
      <w:r w:rsidR="00113F80" w:rsidRPr="00957B6C">
        <w:rPr>
          <w:rFonts w:cstheme="minorHAnsi"/>
          <w:szCs w:val="24"/>
        </w:rPr>
        <w:t xml:space="preserve">Government of Vanuatu and the </w:t>
      </w:r>
      <w:r w:rsidRPr="00957B6C">
        <w:rPr>
          <w:rFonts w:cstheme="minorHAnsi"/>
          <w:szCs w:val="24"/>
        </w:rPr>
        <w:t xml:space="preserve">Telecommunications, Radiocommunications and Broadcasting Regulator (TRBR). The theme for this edition is </w:t>
      </w:r>
      <w:r w:rsidR="00FC30AA">
        <w:rPr>
          <w:rFonts w:cstheme="minorHAnsi"/>
          <w:szCs w:val="24"/>
        </w:rPr>
        <w:t>“</w:t>
      </w:r>
      <w:r w:rsidRPr="00957B6C">
        <w:rPr>
          <w:rFonts w:cstheme="minorHAnsi"/>
          <w:szCs w:val="24"/>
        </w:rPr>
        <w:t xml:space="preserve">Inclusive </w:t>
      </w:r>
      <w:r w:rsidR="0085653B" w:rsidRPr="00957B6C">
        <w:rPr>
          <w:rFonts w:cstheme="minorHAnsi"/>
          <w:szCs w:val="24"/>
        </w:rPr>
        <w:t>c</w:t>
      </w:r>
      <w:r w:rsidRPr="00957B6C">
        <w:rPr>
          <w:rFonts w:cstheme="minorHAnsi"/>
          <w:szCs w:val="24"/>
        </w:rPr>
        <w:t xml:space="preserve">onnectivity: </w:t>
      </w:r>
      <w:r w:rsidR="0085653B" w:rsidRPr="00957B6C">
        <w:rPr>
          <w:rFonts w:cstheme="minorHAnsi"/>
          <w:szCs w:val="24"/>
        </w:rPr>
        <w:t>T</w:t>
      </w:r>
      <w:r w:rsidRPr="00957B6C">
        <w:rPr>
          <w:rFonts w:cstheme="minorHAnsi"/>
          <w:szCs w:val="24"/>
        </w:rPr>
        <w:t>he future of regulation</w:t>
      </w:r>
      <w:r w:rsidR="00FC30AA">
        <w:rPr>
          <w:rFonts w:cstheme="minorHAnsi"/>
          <w:szCs w:val="24"/>
        </w:rPr>
        <w:t>”</w:t>
      </w:r>
      <w:r w:rsidRPr="00957B6C">
        <w:rPr>
          <w:rFonts w:cstheme="minorHAnsi"/>
          <w:szCs w:val="24"/>
        </w:rPr>
        <w:t xml:space="preserve">. </w:t>
      </w:r>
    </w:p>
    <w:p w14:paraId="4BF0AFE9" w14:textId="77777777" w:rsidR="004E28F5" w:rsidRPr="004E28F5" w:rsidRDefault="004E28F5" w:rsidP="009B5B24">
      <w:pPr>
        <w:tabs>
          <w:tab w:val="clear" w:pos="1134"/>
          <w:tab w:val="clear" w:pos="1871"/>
          <w:tab w:val="clear" w:pos="2268"/>
        </w:tabs>
        <w:overflowPunct/>
        <w:autoSpaceDE/>
        <w:autoSpaceDN/>
        <w:adjustRightInd/>
        <w:spacing w:after="120"/>
        <w:textAlignment w:val="auto"/>
        <w:rPr>
          <w:rFonts w:cstheme="minorHAnsi"/>
          <w:szCs w:val="24"/>
        </w:rPr>
      </w:pPr>
      <w:r w:rsidRPr="004E28F5">
        <w:rPr>
          <w:rFonts w:cstheme="minorHAnsi"/>
          <w:szCs w:val="24"/>
        </w:rPr>
        <w:t>TDAG had earlier warmly congratulated the Government of Vanuatu for its generous offer to host this event, which will take place for the first time in the Pacific islands.</w:t>
      </w:r>
    </w:p>
    <w:p w14:paraId="6B994DBE" w14:textId="6FC4296B" w:rsidR="004E28F5" w:rsidRDefault="004E28F5" w:rsidP="00723982">
      <w:pPr>
        <w:tabs>
          <w:tab w:val="clear" w:pos="1134"/>
          <w:tab w:val="clear" w:pos="1871"/>
          <w:tab w:val="clear" w:pos="2268"/>
        </w:tabs>
        <w:overflowPunct/>
        <w:autoSpaceDE/>
        <w:autoSpaceDN/>
        <w:adjustRightInd/>
        <w:spacing w:after="120"/>
        <w:textAlignment w:val="auto"/>
        <w:rPr>
          <w:rFonts w:cstheme="minorHAnsi"/>
          <w:szCs w:val="24"/>
        </w:rPr>
      </w:pPr>
      <w:r w:rsidRPr="004E28F5">
        <w:rPr>
          <w:rFonts w:cstheme="minorHAnsi"/>
          <w:szCs w:val="24"/>
        </w:rPr>
        <w:t xml:space="preserve">TDAG requested further clarification on events, </w:t>
      </w:r>
      <w:r w:rsidR="00D7686D">
        <w:rPr>
          <w:rFonts w:cstheme="minorHAnsi"/>
          <w:szCs w:val="24"/>
        </w:rPr>
        <w:t xml:space="preserve">portals, </w:t>
      </w:r>
      <w:r w:rsidRPr="004E28F5">
        <w:rPr>
          <w:rFonts w:cstheme="minorHAnsi"/>
          <w:szCs w:val="24"/>
        </w:rPr>
        <w:t>studies and research, and asked that information on reports and studies be made available to membership, and also be shared with regional offices so that it can be disseminated widely in the regions to provide best practice on policy and regulation.</w:t>
      </w:r>
    </w:p>
    <w:p w14:paraId="710F58B6" w14:textId="53C4B46F" w:rsidR="009452E0" w:rsidRDefault="009452E0" w:rsidP="0062597A">
      <w:pPr>
        <w:pStyle w:val="NormalWeb"/>
        <w:spacing w:before="120" w:beforeAutospacing="0" w:after="120" w:afterAutospacing="0"/>
        <w:rPr>
          <w:rFonts w:asciiTheme="minorHAnsi" w:hAnsiTheme="minorHAnsi"/>
        </w:rPr>
      </w:pPr>
      <w:r w:rsidRPr="00EC4C45">
        <w:rPr>
          <w:rFonts w:asciiTheme="minorHAnsi" w:hAnsiTheme="minorHAnsi" w:cs="Calibri"/>
        </w:rPr>
        <w:t xml:space="preserve">BDT in its response </w:t>
      </w:r>
      <w:r w:rsidR="003022C7">
        <w:rPr>
          <w:rFonts w:asciiTheme="minorHAnsi" w:hAnsiTheme="minorHAnsi" w:cs="Calibri"/>
        </w:rPr>
        <w:t xml:space="preserve">provided </w:t>
      </w:r>
      <w:r w:rsidRPr="00EC4C45">
        <w:rPr>
          <w:rFonts w:asciiTheme="minorHAnsi" w:hAnsiTheme="minorHAnsi" w:cs="Calibri"/>
        </w:rPr>
        <w:t xml:space="preserve">links to past and upcoming Regional Economic Dialogues </w:t>
      </w:r>
      <w:r w:rsidRPr="00EC4C45">
        <w:rPr>
          <w:rFonts w:asciiTheme="minorHAnsi" w:hAnsiTheme="minorHAnsi" w:cs="Droid Serif"/>
        </w:rPr>
        <w:t xml:space="preserve">(REDs) </w:t>
      </w:r>
      <w:r w:rsidRPr="00EC4C45">
        <w:rPr>
          <w:rFonts w:asciiTheme="minorHAnsi" w:hAnsiTheme="minorHAnsi" w:cs="Calibri"/>
        </w:rPr>
        <w:t xml:space="preserve">and </w:t>
      </w:r>
      <w:r w:rsidRPr="00EC4C45">
        <w:rPr>
          <w:rFonts w:asciiTheme="minorHAnsi" w:hAnsiTheme="minorHAnsi" w:cs="Droid Serif"/>
        </w:rPr>
        <w:t>“Experts’ Knowledge Exchanges”</w:t>
      </w:r>
      <w:r w:rsidR="003022C7">
        <w:rPr>
          <w:rFonts w:asciiTheme="minorHAnsi" w:hAnsiTheme="minorHAnsi" w:cs="Droid Serif"/>
        </w:rPr>
        <w:t>.</w:t>
      </w:r>
      <w:r w:rsidRPr="00EC4C45">
        <w:rPr>
          <w:rFonts w:asciiTheme="minorHAnsi" w:hAnsiTheme="minorHAnsi" w:cs="Droid Serif"/>
        </w:rPr>
        <w:t xml:space="preserve"> On the question of </w:t>
      </w:r>
      <w:r w:rsidR="00E8715B">
        <w:rPr>
          <w:rFonts w:asciiTheme="minorHAnsi" w:hAnsiTheme="minorHAnsi" w:cs="Droid Serif"/>
        </w:rPr>
        <w:t xml:space="preserve">events focusing, in particular, </w:t>
      </w:r>
      <w:r w:rsidRPr="00EC4C45">
        <w:rPr>
          <w:rFonts w:asciiTheme="minorHAnsi" w:hAnsiTheme="minorHAnsi" w:cs="Droid Serif"/>
        </w:rPr>
        <w:t>on the digital economy and the collaboration with economic institutions which have primary responsibility for economic policy, BDT gave, as an example, the</w:t>
      </w:r>
      <w:r w:rsidRPr="00EC4C45">
        <w:rPr>
          <w:rFonts w:asciiTheme="minorHAnsi" w:hAnsiTheme="minorHAnsi"/>
        </w:rPr>
        <w:t xml:space="preserve"> </w:t>
      </w:r>
      <w:hyperlink r:id="rId45" w:history="1">
        <w:r w:rsidRPr="00A3726E">
          <w:rPr>
            <w:rStyle w:val="Hyperlink"/>
            <w:rFonts w:asciiTheme="minorHAnsi" w:hAnsiTheme="minorHAnsi"/>
            <w:lang w:val="en"/>
          </w:rPr>
          <w:t>Financial Inclusion Global Initiative (FIGI)</w:t>
        </w:r>
      </w:hyperlink>
      <w:r w:rsidRPr="00EC4C45">
        <w:rPr>
          <w:rFonts w:asciiTheme="minorHAnsi" w:hAnsiTheme="minorHAnsi"/>
          <w:lang w:val="en"/>
        </w:rPr>
        <w:t>.</w:t>
      </w:r>
      <w:r w:rsidRPr="00EC4C45">
        <w:rPr>
          <w:rFonts w:asciiTheme="minorHAnsi" w:hAnsiTheme="minorHAnsi"/>
        </w:rPr>
        <w:t xml:space="preserve"> Led by ITU, the World Bank Group and the Committee on Payments and Market Infrastructures, and with financial support from the Bill &amp; Melinda Gates Foundation, FIGI</w:t>
      </w:r>
      <w:r w:rsidRPr="00EC4C45">
        <w:rPr>
          <w:rFonts w:asciiTheme="minorHAnsi" w:hAnsiTheme="minorHAnsi"/>
          <w:lang w:val="en"/>
        </w:rPr>
        <w:t xml:space="preserve"> </w:t>
      </w:r>
      <w:r w:rsidRPr="00EC4C45">
        <w:rPr>
          <w:rFonts w:asciiTheme="minorHAnsi" w:hAnsiTheme="minorHAnsi"/>
        </w:rPr>
        <w:t xml:space="preserve">is a three-year programme of </w:t>
      </w:r>
      <w:r w:rsidRPr="00EC4C45">
        <w:rPr>
          <w:rFonts w:asciiTheme="minorHAnsi" w:hAnsiTheme="minorHAnsi"/>
        </w:rPr>
        <w:lastRenderedPageBreak/>
        <w:t>collective action to advance research in digital finance and accelerate digital financial inclusion in developing countries.</w:t>
      </w:r>
    </w:p>
    <w:p w14:paraId="66D0BDD4" w14:textId="725D24BD" w:rsidR="009452E0" w:rsidRPr="00377E68" w:rsidRDefault="004D28C9">
      <w:pPr>
        <w:pStyle w:val="NormalWeb"/>
        <w:spacing w:before="120" w:beforeAutospacing="0" w:after="120" w:afterAutospacing="0"/>
        <w:rPr>
          <w:rFonts w:asciiTheme="minorHAnsi" w:hAnsiTheme="minorHAnsi" w:cstheme="minorHAnsi"/>
        </w:rPr>
      </w:pPr>
      <w:r w:rsidRPr="0062597A">
        <w:rPr>
          <w:rFonts w:asciiTheme="minorHAnsi" w:hAnsiTheme="minorHAnsi" w:cs="Droid Serif"/>
          <w:color w:val="000000"/>
        </w:rPr>
        <w:t>With r</w:t>
      </w:r>
      <w:r w:rsidR="00F05897" w:rsidRPr="0062597A">
        <w:rPr>
          <w:rFonts w:asciiTheme="minorHAnsi" w:hAnsiTheme="minorHAnsi" w:cs="Droid Serif"/>
          <w:color w:val="000000"/>
        </w:rPr>
        <w:t>espect to</w:t>
      </w:r>
      <w:r w:rsidRPr="0062597A">
        <w:rPr>
          <w:rFonts w:asciiTheme="minorHAnsi" w:hAnsiTheme="minorHAnsi" w:cs="Droid Serif"/>
          <w:color w:val="000000"/>
        </w:rPr>
        <w:t xml:space="preserve"> </w:t>
      </w:r>
      <w:r w:rsidR="00E8715B" w:rsidRPr="0062597A">
        <w:rPr>
          <w:rFonts w:asciiTheme="minorHAnsi" w:hAnsiTheme="minorHAnsi" w:cs="Droid Serif"/>
          <w:color w:val="000000"/>
        </w:rPr>
        <w:t>the</w:t>
      </w:r>
      <w:r w:rsidR="00DA0BEC" w:rsidRPr="0062597A">
        <w:rPr>
          <w:rFonts w:asciiTheme="minorHAnsi" w:hAnsiTheme="minorHAnsi" w:cs="Droid Serif"/>
          <w:color w:val="000000"/>
        </w:rPr>
        <w:t xml:space="preserve"> </w:t>
      </w:r>
      <w:hyperlink r:id="rId46" w:history="1">
        <w:r w:rsidR="00DA0BEC" w:rsidRPr="0062597A">
          <w:rPr>
            <w:rStyle w:val="Hyperlink"/>
            <w:rFonts w:asciiTheme="minorHAnsi" w:hAnsiTheme="minorHAnsi" w:cs="Droid Serif"/>
            <w:color w:val="1155CC"/>
          </w:rPr>
          <w:t>Digital Ecosystem Portal</w:t>
        </w:r>
      </w:hyperlink>
      <w:r w:rsidR="00E8715B" w:rsidRPr="0062597A">
        <w:rPr>
          <w:rFonts w:asciiTheme="minorHAnsi" w:hAnsiTheme="minorHAnsi" w:cs="Droid Serif"/>
          <w:color w:val="000000"/>
        </w:rPr>
        <w:t xml:space="preserve">, </w:t>
      </w:r>
      <w:r w:rsidR="00F05897" w:rsidRPr="0062597A">
        <w:rPr>
          <w:rFonts w:asciiTheme="minorHAnsi" w:hAnsiTheme="minorHAnsi" w:cs="Droid Serif"/>
          <w:color w:val="000000"/>
        </w:rPr>
        <w:t xml:space="preserve">which </w:t>
      </w:r>
      <w:r w:rsidR="00E8715B" w:rsidRPr="0062597A">
        <w:rPr>
          <w:rFonts w:asciiTheme="minorHAnsi" w:hAnsiTheme="minorHAnsi" w:cs="Droid Serif"/>
          <w:color w:val="000000"/>
        </w:rPr>
        <w:t>was</w:t>
      </w:r>
      <w:r w:rsidR="00DA0BEC" w:rsidRPr="0062597A">
        <w:rPr>
          <w:rFonts w:asciiTheme="minorHAnsi" w:hAnsiTheme="minorHAnsi" w:cs="Droid Serif"/>
          <w:color w:val="000000"/>
        </w:rPr>
        <w:t xml:space="preserve"> considered to </w:t>
      </w:r>
      <w:r w:rsidRPr="0062597A">
        <w:rPr>
          <w:rFonts w:asciiTheme="minorHAnsi" w:hAnsiTheme="minorHAnsi" w:cs="Droid Serif"/>
          <w:color w:val="000000"/>
        </w:rPr>
        <w:t xml:space="preserve">contain a lot of material, including </w:t>
      </w:r>
      <w:r w:rsidR="00DA0BEC" w:rsidRPr="0062597A">
        <w:rPr>
          <w:rFonts w:asciiTheme="minorHAnsi" w:hAnsiTheme="minorHAnsi" w:cs="Droid Serif"/>
          <w:color w:val="000000"/>
        </w:rPr>
        <w:t xml:space="preserve">the report </w:t>
      </w:r>
      <w:hyperlink r:id="rId47" w:history="1">
        <w:r w:rsidR="00DA0BEC" w:rsidRPr="0062597A">
          <w:rPr>
            <w:rStyle w:val="Hyperlink"/>
            <w:rFonts w:asciiTheme="minorHAnsi" w:hAnsiTheme="minorHAnsi" w:cs="Droid Serif"/>
            <w:color w:val="1155CC"/>
          </w:rPr>
          <w:t>“POWERING THE DIGITAL ECONOMY: Regulatory approaches to securing consumer privacy, trust and security”</w:t>
        </w:r>
      </w:hyperlink>
      <w:r w:rsidR="00F05897" w:rsidRPr="0062597A">
        <w:rPr>
          <w:rStyle w:val="Hyperlink"/>
          <w:rFonts w:asciiTheme="minorHAnsi" w:hAnsiTheme="minorHAnsi" w:cs="Droid Serif"/>
          <w:color w:val="auto"/>
          <w:u w:val="none"/>
        </w:rPr>
        <w:t xml:space="preserve"> some questions were raised about the subject matter of this report</w:t>
      </w:r>
      <w:r w:rsidR="00AB1E9C">
        <w:rPr>
          <w:rStyle w:val="Hyperlink"/>
          <w:rFonts w:asciiTheme="minorHAnsi" w:hAnsiTheme="minorHAnsi" w:cs="Droid Serif"/>
          <w:color w:val="auto"/>
          <w:u w:val="none"/>
        </w:rPr>
        <w:t>.</w:t>
      </w:r>
      <w:r w:rsidR="00F05897" w:rsidRPr="0062597A">
        <w:rPr>
          <w:rStyle w:val="Hyperlink"/>
          <w:rFonts w:asciiTheme="minorHAnsi" w:hAnsiTheme="minorHAnsi" w:cs="Droid Serif"/>
          <w:color w:val="auto"/>
          <w:u w:val="none"/>
        </w:rPr>
        <w:t xml:space="preserve"> </w:t>
      </w:r>
      <w:r w:rsidR="00AB1E9C" w:rsidRPr="00AB1E9C">
        <w:rPr>
          <w:rStyle w:val="Hyperlink"/>
          <w:rFonts w:asciiTheme="minorHAnsi" w:hAnsiTheme="minorHAnsi" w:cs="Droid Serif"/>
          <w:color w:val="auto"/>
          <w:u w:val="none"/>
        </w:rPr>
        <w:t>BDT noted these comments while clarifying that this portal aims to share knowledge and practices on issues relevant to policy-makers and regulators in the evolving ecosystem, responding to issues as raised by membership in the GSR Best Practice Guidelines</w:t>
      </w:r>
      <w:r w:rsidR="00F05897" w:rsidRPr="0062597A">
        <w:rPr>
          <w:rStyle w:val="Hyperlink"/>
          <w:rFonts w:asciiTheme="minorHAnsi" w:hAnsiTheme="minorHAnsi" w:cs="Droid Serif"/>
          <w:color w:val="auto"/>
          <w:u w:val="none"/>
        </w:rPr>
        <w:t>.</w:t>
      </w:r>
      <w:r w:rsidR="00F05897" w:rsidRPr="0062597A">
        <w:rPr>
          <w:rStyle w:val="Hyperlink"/>
          <w:rFonts w:asciiTheme="minorHAnsi" w:hAnsiTheme="minorHAnsi" w:cs="Droid Serif"/>
          <w:color w:val="auto"/>
        </w:rPr>
        <w:t xml:space="preserve"> </w:t>
      </w:r>
    </w:p>
    <w:tbl>
      <w:tblPr>
        <w:tblStyle w:val="TableGrid"/>
        <w:tblW w:w="0" w:type="auto"/>
        <w:tblLook w:val="04A0" w:firstRow="1" w:lastRow="0" w:firstColumn="1" w:lastColumn="0" w:noHBand="0" w:noVBand="1"/>
      </w:tblPr>
      <w:tblGrid>
        <w:gridCol w:w="9629"/>
      </w:tblGrid>
      <w:tr w:rsidR="00965FD2" w:rsidRPr="00957B6C" w14:paraId="7AF816BC" w14:textId="77777777" w:rsidTr="00660D9E">
        <w:tc>
          <w:tcPr>
            <w:tcW w:w="9629" w:type="dxa"/>
          </w:tcPr>
          <w:p w14:paraId="38930373" w14:textId="77777777" w:rsidR="00965FD2" w:rsidRPr="00957B6C" w:rsidRDefault="00AA2CDA" w:rsidP="009B5B24">
            <w:pPr>
              <w:spacing w:after="120"/>
              <w:rPr>
                <w:rFonts w:cstheme="minorHAnsi"/>
                <w:color w:val="000000" w:themeColor="text1"/>
                <w:szCs w:val="24"/>
              </w:rPr>
            </w:pPr>
            <w:r w:rsidRPr="00957B6C">
              <w:rPr>
                <w:rFonts w:eastAsia="Calibri"/>
              </w:rPr>
              <w:t>TDAG noted the document.</w:t>
            </w:r>
          </w:p>
        </w:tc>
      </w:tr>
    </w:tbl>
    <w:p w14:paraId="1A8D20D6" w14:textId="5A444FEA" w:rsidR="00965FD2" w:rsidRPr="00957B6C" w:rsidRDefault="00965FD2" w:rsidP="00810998">
      <w:pPr>
        <w:pStyle w:val="ListParagraph"/>
        <w:keepNext/>
        <w:numPr>
          <w:ilvl w:val="1"/>
          <w:numId w:val="1"/>
        </w:numPr>
        <w:spacing w:before="240" w:after="120"/>
        <w:ind w:left="505" w:hanging="505"/>
        <w:contextualSpacing w:val="0"/>
        <w:rPr>
          <w:rStyle w:val="StyleComplex12pt"/>
          <w:rFonts w:cstheme="minorHAnsi"/>
          <w:b/>
          <w:bCs/>
        </w:rPr>
      </w:pPr>
      <w:r w:rsidRPr="00957B6C">
        <w:rPr>
          <w:rStyle w:val="StyleComplex12pt"/>
          <w:rFonts w:cstheme="minorHAnsi"/>
          <w:b/>
          <w:bCs/>
        </w:rPr>
        <w:t xml:space="preserve"> Digital inclusion</w:t>
      </w:r>
    </w:p>
    <w:p w14:paraId="33317301" w14:textId="77777777" w:rsidR="00965FD2" w:rsidRPr="00957B6C" w:rsidRDefault="00B8346F" w:rsidP="009B5B24">
      <w:pPr>
        <w:spacing w:after="120"/>
        <w:rPr>
          <w:rFonts w:cstheme="minorHAnsi"/>
          <w:szCs w:val="24"/>
        </w:rPr>
      </w:pPr>
      <w:hyperlink r:id="rId48" w:history="1">
        <w:r w:rsidR="00965FD2" w:rsidRPr="00957B6C">
          <w:rPr>
            <w:rStyle w:val="Hyperlink"/>
            <w:rFonts w:cstheme="minorHAnsi"/>
            <w:b/>
            <w:bCs/>
            <w:szCs w:val="24"/>
          </w:rPr>
          <w:t>Document 31</w:t>
        </w:r>
      </w:hyperlink>
      <w:r w:rsidR="00965FD2" w:rsidRPr="00957B6C">
        <w:rPr>
          <w:rFonts w:cstheme="minorHAnsi"/>
          <w:b/>
          <w:bCs/>
          <w:color w:val="000000" w:themeColor="text1"/>
          <w:szCs w:val="24"/>
        </w:rPr>
        <w:t>:</w:t>
      </w:r>
      <w:r w:rsidR="00965FD2" w:rsidRPr="00957B6C">
        <w:rPr>
          <w:rFonts w:cstheme="minorHAnsi"/>
          <w:color w:val="000000" w:themeColor="text1"/>
          <w:szCs w:val="24"/>
        </w:rPr>
        <w:t xml:space="preserve"> “ITU-D Digital Inclusion Programme”</w:t>
      </w:r>
      <w:r w:rsidR="00965FD2" w:rsidRPr="00957B6C">
        <w:rPr>
          <w:rFonts w:cstheme="minorHAnsi"/>
          <w:b/>
          <w:bCs/>
          <w:color w:val="000000" w:themeColor="text1"/>
          <w:szCs w:val="24"/>
        </w:rPr>
        <w:t xml:space="preserve"> </w:t>
      </w:r>
      <w:r w:rsidR="00965FD2" w:rsidRPr="00957B6C">
        <w:rPr>
          <w:rFonts w:cstheme="minorHAnsi"/>
          <w:szCs w:val="24"/>
        </w:rPr>
        <w:t xml:space="preserve">presents an overview of digital inclusion objectives, strategies and key actions that have already been implemented or are planned. </w:t>
      </w:r>
    </w:p>
    <w:p w14:paraId="0B15CF39" w14:textId="77777777" w:rsidR="00965FD2" w:rsidRPr="00957B6C" w:rsidRDefault="00E62F97" w:rsidP="009B5B24">
      <w:pPr>
        <w:spacing w:after="120"/>
        <w:rPr>
          <w:rFonts w:cstheme="minorHAnsi"/>
          <w:szCs w:val="24"/>
        </w:rPr>
      </w:pPr>
      <w:r w:rsidRPr="00957B6C">
        <w:rPr>
          <w:rFonts w:cstheme="minorHAnsi"/>
          <w:szCs w:val="24"/>
        </w:rPr>
        <w:t>Notable activities include the t</w:t>
      </w:r>
      <w:r w:rsidR="00965FD2" w:rsidRPr="00957B6C">
        <w:rPr>
          <w:rFonts w:cstheme="minorHAnsi"/>
          <w:szCs w:val="24"/>
        </w:rPr>
        <w:t xml:space="preserve">hree self-paced online training courses on </w:t>
      </w:r>
      <w:r w:rsidRPr="00957B6C">
        <w:rPr>
          <w:rFonts w:cstheme="minorHAnsi"/>
          <w:szCs w:val="24"/>
        </w:rPr>
        <w:t>“</w:t>
      </w:r>
      <w:r w:rsidR="00965FD2" w:rsidRPr="00957B6C">
        <w:rPr>
          <w:rFonts w:cstheme="minorHAnsi"/>
          <w:szCs w:val="24"/>
        </w:rPr>
        <w:t>ICT Accessibility: the Key to Inclusive Communication</w:t>
      </w:r>
      <w:r w:rsidRPr="00957B6C">
        <w:rPr>
          <w:rFonts w:cstheme="minorHAnsi"/>
          <w:szCs w:val="24"/>
        </w:rPr>
        <w:t>”</w:t>
      </w:r>
      <w:r w:rsidR="00965FD2" w:rsidRPr="00957B6C">
        <w:rPr>
          <w:rFonts w:cstheme="minorHAnsi"/>
          <w:szCs w:val="24"/>
        </w:rPr>
        <w:t xml:space="preserve"> developed and made available through the ITU Academy. A total of 15 video tutorials have been produced to show how to develop and remediate accessible digital documents. In addition, </w:t>
      </w:r>
      <w:r w:rsidR="00965FD2" w:rsidRPr="00957B6C">
        <w:rPr>
          <w:rFonts w:eastAsiaTheme="majorEastAsia" w:cstheme="minorHAnsi"/>
          <w:szCs w:val="24"/>
        </w:rPr>
        <w:t xml:space="preserve">the ITU-D </w:t>
      </w:r>
      <w:r w:rsidR="00965FD2" w:rsidRPr="00957B6C">
        <w:rPr>
          <w:rFonts w:eastAsiaTheme="majorEastAsia" w:cstheme="minorHAnsi"/>
          <w:bCs/>
          <w:szCs w:val="24"/>
        </w:rPr>
        <w:t>e</w:t>
      </w:r>
      <w:r w:rsidR="00965FD2" w:rsidRPr="00957B6C">
        <w:rPr>
          <w:rFonts w:eastAsiaTheme="minorEastAsia" w:cstheme="minorHAnsi"/>
          <w:bCs/>
          <w:szCs w:val="24"/>
        </w:rPr>
        <w:t xml:space="preserve">ducational 360° </w:t>
      </w:r>
      <w:hyperlink r:id="rId49" w:history="1">
        <w:r w:rsidR="00965FD2" w:rsidRPr="00184D22">
          <w:rPr>
            <w:rStyle w:val="Hyperlink"/>
            <w:rFonts w:cstheme="minorHAnsi"/>
            <w:color w:val="auto"/>
            <w:szCs w:val="24"/>
            <w:u w:val="none"/>
          </w:rPr>
          <w:t>web accessibility programme, Internet for @ll</w:t>
        </w:r>
      </w:hyperlink>
      <w:r w:rsidR="00965FD2" w:rsidRPr="00184D22">
        <w:rPr>
          <w:rFonts w:eastAsiaTheme="minorEastAsia" w:cstheme="minorHAnsi"/>
          <w:bCs/>
          <w:szCs w:val="24"/>
        </w:rPr>
        <w:t>,</w:t>
      </w:r>
      <w:r w:rsidR="00965FD2" w:rsidRPr="00184D22">
        <w:rPr>
          <w:rFonts w:eastAsiaTheme="minorEastAsia" w:cstheme="minorHAnsi"/>
          <w:szCs w:val="24"/>
        </w:rPr>
        <w:t xml:space="preserve"> </w:t>
      </w:r>
      <w:r w:rsidR="00965FD2" w:rsidRPr="00957B6C">
        <w:rPr>
          <w:rFonts w:eastAsiaTheme="minorEastAsia" w:cstheme="minorHAnsi"/>
          <w:szCs w:val="24"/>
        </w:rPr>
        <w:t xml:space="preserve">has been developed and made </w:t>
      </w:r>
      <w:r w:rsidR="00965FD2" w:rsidRPr="00957B6C">
        <w:rPr>
          <w:rFonts w:eastAsiaTheme="majorEastAsia" w:cstheme="minorHAnsi"/>
          <w:szCs w:val="24"/>
        </w:rPr>
        <w:t>available in English, French, Spanish and Arabic. The programme helps ITU Member States to make public websites and information accessible to all citizens, including persons with disabilities, while building country expertise in ICT accessibility.</w:t>
      </w:r>
    </w:p>
    <w:p w14:paraId="5EBB79B9" w14:textId="77777777" w:rsidR="00965FD2" w:rsidRPr="00957B6C" w:rsidRDefault="00E62F97" w:rsidP="009B5B24">
      <w:pPr>
        <w:spacing w:after="120"/>
        <w:rPr>
          <w:rFonts w:cstheme="minorHAnsi"/>
          <w:szCs w:val="24"/>
        </w:rPr>
      </w:pPr>
      <w:r w:rsidRPr="00957B6C">
        <w:rPr>
          <w:rFonts w:cstheme="minorHAnsi"/>
          <w:szCs w:val="24"/>
        </w:rPr>
        <w:t xml:space="preserve">A </w:t>
      </w:r>
      <w:r w:rsidR="00965FD2" w:rsidRPr="00957B6C">
        <w:rPr>
          <w:rFonts w:cstheme="minorHAnsi"/>
          <w:szCs w:val="24"/>
        </w:rPr>
        <w:t>Digital Skills Toolkit has been publicized, along with the joint ITU-ILO Digital Skills for Jobs Campaign on Decent Jobs for Youth, in order to incentivize stakeholders to train 5 million young peopl</w:t>
      </w:r>
      <w:r w:rsidRPr="00957B6C">
        <w:rPr>
          <w:rFonts w:cstheme="minorHAnsi"/>
          <w:szCs w:val="24"/>
        </w:rPr>
        <w:t>e with job-ready digital skills</w:t>
      </w:r>
      <w:r w:rsidR="00965FD2" w:rsidRPr="00957B6C">
        <w:rPr>
          <w:rFonts w:cstheme="minorHAnsi"/>
          <w:szCs w:val="24"/>
        </w:rPr>
        <w:t xml:space="preserve">. </w:t>
      </w:r>
    </w:p>
    <w:p w14:paraId="59399B00" w14:textId="77777777" w:rsidR="00965FD2" w:rsidRPr="002F42F5" w:rsidRDefault="00965FD2" w:rsidP="009B5B24">
      <w:pPr>
        <w:spacing w:after="120"/>
        <w:rPr>
          <w:rFonts w:cstheme="minorHAnsi"/>
          <w:szCs w:val="24"/>
        </w:rPr>
      </w:pPr>
      <w:r w:rsidRPr="002F42F5">
        <w:rPr>
          <w:rFonts w:cstheme="minorHAnsi"/>
          <w:szCs w:val="24"/>
        </w:rPr>
        <w:t xml:space="preserve">Over 500 ITU members have enhanced their knowledge and/or successfully obtained ITU certifications in ICT accessibility topics through participation in face-to face training delivered at regional </w:t>
      </w:r>
      <w:r w:rsidRPr="00957B6C">
        <w:rPr>
          <w:rFonts w:cstheme="minorHAnsi"/>
          <w:szCs w:val="24"/>
        </w:rPr>
        <w:t>events</w:t>
      </w:r>
      <w:r w:rsidRPr="002F42F5">
        <w:rPr>
          <w:rFonts w:cstheme="minorHAnsi"/>
          <w:szCs w:val="24"/>
        </w:rPr>
        <w:t xml:space="preserve"> or via online training offered by ITU Academy. </w:t>
      </w:r>
      <w:r w:rsidRPr="00957B6C">
        <w:rPr>
          <w:rFonts w:cstheme="minorHAnsi"/>
          <w:szCs w:val="24"/>
        </w:rPr>
        <w:t xml:space="preserve">Around 300 indigenous people have also benefited from the successful online training course on indigenous radio/networks. </w:t>
      </w:r>
    </w:p>
    <w:p w14:paraId="11FC4551" w14:textId="3CC9C585" w:rsidR="0091250D" w:rsidRPr="00FC30AA" w:rsidRDefault="0091250D" w:rsidP="00FC30AA">
      <w:pPr>
        <w:spacing w:after="120"/>
        <w:rPr>
          <w:rFonts w:cstheme="minorHAnsi"/>
          <w:color w:val="000000" w:themeColor="text1"/>
          <w:szCs w:val="24"/>
        </w:rPr>
      </w:pPr>
      <w:r w:rsidRPr="00FC30AA">
        <w:rPr>
          <w:rFonts w:cstheme="minorHAnsi"/>
          <w:color w:val="000000" w:themeColor="text1"/>
          <w:szCs w:val="24"/>
        </w:rPr>
        <w:t xml:space="preserve">TDAG </w:t>
      </w:r>
      <w:r w:rsidR="00E62F97" w:rsidRPr="00FC30AA">
        <w:rPr>
          <w:rFonts w:cstheme="minorHAnsi"/>
          <w:color w:val="000000" w:themeColor="text1"/>
          <w:szCs w:val="24"/>
        </w:rPr>
        <w:t xml:space="preserve">acknowledged </w:t>
      </w:r>
      <w:r w:rsidRPr="00FC30AA">
        <w:rPr>
          <w:rFonts w:cstheme="minorHAnsi"/>
          <w:color w:val="000000" w:themeColor="text1"/>
          <w:szCs w:val="24"/>
        </w:rPr>
        <w:t xml:space="preserve">the need to highlight the importance of implementing policies on digital inclusion and accessibility, and </w:t>
      </w:r>
      <w:r w:rsidR="00E62F97" w:rsidRPr="00FC30AA">
        <w:rPr>
          <w:rFonts w:cstheme="minorHAnsi"/>
          <w:color w:val="000000" w:themeColor="text1"/>
          <w:szCs w:val="24"/>
        </w:rPr>
        <w:t>underlined the need to foster</w:t>
      </w:r>
      <w:r w:rsidRPr="00FC30AA">
        <w:rPr>
          <w:rFonts w:cstheme="minorHAnsi"/>
          <w:color w:val="000000" w:themeColor="text1"/>
          <w:szCs w:val="24"/>
        </w:rPr>
        <w:t xml:space="preserve"> an enabling environment to achieve trust in ICTs.</w:t>
      </w:r>
    </w:p>
    <w:tbl>
      <w:tblPr>
        <w:tblStyle w:val="TableGrid"/>
        <w:tblW w:w="0" w:type="auto"/>
        <w:tblLook w:val="04A0" w:firstRow="1" w:lastRow="0" w:firstColumn="1" w:lastColumn="0" w:noHBand="0" w:noVBand="1"/>
      </w:tblPr>
      <w:tblGrid>
        <w:gridCol w:w="9629"/>
      </w:tblGrid>
      <w:tr w:rsidR="00965FD2" w:rsidRPr="00957B6C" w14:paraId="527E0CDA" w14:textId="77777777" w:rsidTr="00660D9E">
        <w:tc>
          <w:tcPr>
            <w:tcW w:w="9629" w:type="dxa"/>
          </w:tcPr>
          <w:p w14:paraId="7AE58722" w14:textId="77777777" w:rsidR="00965FD2" w:rsidRPr="00957B6C" w:rsidRDefault="00AA2CDA" w:rsidP="009B5B24">
            <w:pPr>
              <w:spacing w:after="120"/>
              <w:rPr>
                <w:rFonts w:cstheme="minorHAnsi"/>
                <w:color w:val="000000" w:themeColor="text1"/>
                <w:szCs w:val="24"/>
              </w:rPr>
            </w:pPr>
            <w:r w:rsidRPr="00957B6C">
              <w:rPr>
                <w:rFonts w:eastAsia="Calibri"/>
              </w:rPr>
              <w:t>TDAG noted the document.</w:t>
            </w:r>
          </w:p>
        </w:tc>
      </w:tr>
    </w:tbl>
    <w:p w14:paraId="48BFD771" w14:textId="77777777" w:rsidR="00965FD2" w:rsidRPr="00957B6C" w:rsidRDefault="00965FD2" w:rsidP="00810998">
      <w:pPr>
        <w:pStyle w:val="ListParagraph"/>
        <w:keepNext/>
        <w:numPr>
          <w:ilvl w:val="1"/>
          <w:numId w:val="1"/>
        </w:numPr>
        <w:spacing w:before="240" w:after="120"/>
        <w:ind w:left="505" w:hanging="505"/>
        <w:contextualSpacing w:val="0"/>
        <w:rPr>
          <w:rStyle w:val="StyleComplex12pt"/>
          <w:rFonts w:cstheme="minorHAnsi"/>
          <w:b/>
          <w:bCs/>
        </w:rPr>
      </w:pPr>
      <w:r w:rsidRPr="00957B6C">
        <w:rPr>
          <w:rStyle w:val="StyleComplex12pt"/>
          <w:rFonts w:cstheme="minorHAnsi"/>
          <w:b/>
          <w:bCs/>
        </w:rPr>
        <w:t xml:space="preserve"> Capacity-building activities</w:t>
      </w:r>
    </w:p>
    <w:p w14:paraId="02B8F880" w14:textId="77777777" w:rsidR="00965FD2" w:rsidRPr="00957B6C" w:rsidRDefault="00B8346F" w:rsidP="009B5B24">
      <w:pPr>
        <w:spacing w:after="120"/>
        <w:rPr>
          <w:rFonts w:cstheme="minorHAnsi"/>
          <w:szCs w:val="24"/>
        </w:rPr>
      </w:pPr>
      <w:hyperlink r:id="rId50" w:history="1">
        <w:r w:rsidR="00965FD2" w:rsidRPr="00957B6C">
          <w:rPr>
            <w:rStyle w:val="Hyperlink"/>
            <w:rFonts w:cstheme="minorHAnsi"/>
            <w:b/>
            <w:bCs/>
            <w:szCs w:val="24"/>
          </w:rPr>
          <w:t>Document 17</w:t>
        </w:r>
      </w:hyperlink>
      <w:r w:rsidR="00965FD2" w:rsidRPr="00957B6C">
        <w:rPr>
          <w:rFonts w:cstheme="minorHAnsi"/>
          <w:b/>
          <w:bCs/>
          <w:color w:val="000000" w:themeColor="text1"/>
          <w:szCs w:val="24"/>
        </w:rPr>
        <w:t>:</w:t>
      </w:r>
      <w:r w:rsidR="00965FD2" w:rsidRPr="00957B6C">
        <w:rPr>
          <w:rFonts w:cstheme="minorHAnsi"/>
          <w:color w:val="000000" w:themeColor="text1"/>
          <w:szCs w:val="24"/>
        </w:rPr>
        <w:t xml:space="preserve"> “Report on the Work of the Group on Capacity Building Initiatives (GCBI) to TDAG”</w:t>
      </w:r>
      <w:r w:rsidR="00965FD2" w:rsidRPr="00957B6C">
        <w:rPr>
          <w:rFonts w:cstheme="minorHAnsi"/>
          <w:bCs/>
          <w:color w:val="000000" w:themeColor="text1"/>
          <w:szCs w:val="24"/>
        </w:rPr>
        <w:t xml:space="preserve"> covers</w:t>
      </w:r>
      <w:r w:rsidR="00965FD2" w:rsidRPr="00957B6C">
        <w:rPr>
          <w:rFonts w:cstheme="minorHAnsi"/>
          <w:b/>
          <w:bCs/>
          <w:color w:val="000000" w:themeColor="text1"/>
          <w:szCs w:val="24"/>
        </w:rPr>
        <w:t xml:space="preserve"> </w:t>
      </w:r>
      <w:r w:rsidR="00965FD2" w:rsidRPr="00957B6C">
        <w:rPr>
          <w:rFonts w:cstheme="minorHAnsi"/>
          <w:szCs w:val="24"/>
        </w:rPr>
        <w:t>the work undertaken by GCBI. The group was established pursuant to Resolution 40, adopted at WTDC-10, and revised at WTDC-2017, in order to advise the BDT Director on matters relating to capacity building.</w:t>
      </w:r>
    </w:p>
    <w:p w14:paraId="0D21EFF0" w14:textId="77777777" w:rsidR="00965FD2" w:rsidRPr="00957B6C" w:rsidRDefault="00965FD2" w:rsidP="009B5B24">
      <w:pPr>
        <w:tabs>
          <w:tab w:val="left" w:pos="884"/>
        </w:tabs>
        <w:spacing w:beforeLines="40" w:before="96" w:after="120"/>
        <w:rPr>
          <w:rFonts w:eastAsia="SimSun" w:cstheme="minorHAnsi"/>
          <w:szCs w:val="24"/>
        </w:rPr>
      </w:pPr>
      <w:r w:rsidRPr="00957B6C">
        <w:rPr>
          <w:rFonts w:eastAsia="SimSun" w:cstheme="minorHAnsi"/>
          <w:szCs w:val="24"/>
        </w:rPr>
        <w:t xml:space="preserve">During its </w:t>
      </w:r>
      <w:r w:rsidRPr="00957B6C">
        <w:rPr>
          <w:rFonts w:cstheme="minorHAnsi"/>
          <w:szCs w:val="24"/>
        </w:rPr>
        <w:t>meeting on 27-28 February 2018 in Geneva, GCBI e</w:t>
      </w:r>
      <w:r w:rsidRPr="00957B6C">
        <w:rPr>
          <w:rFonts w:eastAsia="SimSun" w:cstheme="minorHAnsi"/>
          <w:szCs w:val="24"/>
        </w:rPr>
        <w:t xml:space="preserve">xchanged regional experiences and noted an increase in the demand for digitally skilled workers in all regions and the inability of most countries to develop the requisite skills at the pace required by digital transformation. The target audience for capacity-building activities needs to be broad and include professionals, such as </w:t>
      </w:r>
      <w:r w:rsidRPr="00957B6C">
        <w:rPr>
          <w:rFonts w:eastAsia="SimSun" w:cstheme="minorHAnsi"/>
          <w:szCs w:val="24"/>
        </w:rPr>
        <w:lastRenderedPageBreak/>
        <w:t xml:space="preserve">middle and senior-level managers, young people and students, researchers, SMEs, underserved communities and other ICT users. </w:t>
      </w:r>
    </w:p>
    <w:p w14:paraId="69FE8ED2" w14:textId="77777777" w:rsidR="0091250D" w:rsidRPr="00957B6C" w:rsidRDefault="0091250D" w:rsidP="009B5B24">
      <w:pPr>
        <w:tabs>
          <w:tab w:val="left" w:pos="884"/>
        </w:tabs>
        <w:spacing w:beforeLines="40" w:before="96" w:after="120"/>
        <w:rPr>
          <w:rFonts w:eastAsia="Calibri" w:cs="Calibri"/>
          <w:szCs w:val="24"/>
        </w:rPr>
      </w:pPr>
      <w:r w:rsidRPr="00957B6C">
        <w:rPr>
          <w:rFonts w:eastAsia="Calibri" w:cs="Calibri"/>
          <w:szCs w:val="24"/>
        </w:rPr>
        <w:t>TDAG welcomed the work of GCBI</w:t>
      </w:r>
      <w:r w:rsidR="00F73A25" w:rsidRPr="00957B6C">
        <w:rPr>
          <w:rFonts w:eastAsia="Calibri" w:cs="Calibri"/>
          <w:szCs w:val="24"/>
        </w:rPr>
        <w:t>, thanked the previous Chairman</w:t>
      </w:r>
      <w:r w:rsidR="00DC359C" w:rsidRPr="00957B6C">
        <w:rPr>
          <w:rFonts w:eastAsia="Calibri" w:cs="Calibri"/>
          <w:szCs w:val="24"/>
        </w:rPr>
        <w:t xml:space="preserve"> Mr </w:t>
      </w:r>
      <w:r w:rsidR="00DC359C" w:rsidRPr="00957B6C">
        <w:rPr>
          <w:rFonts w:ascii="Calibri" w:hAnsi="Calibri" w:cs="Calibri"/>
          <w:szCs w:val="24"/>
          <w:lang w:eastAsia="zh-CN"/>
        </w:rPr>
        <w:t>Santiago Reyes‐Borda</w:t>
      </w:r>
      <w:r w:rsidR="00F73A25" w:rsidRPr="00957B6C">
        <w:rPr>
          <w:rFonts w:eastAsia="Calibri" w:cs="Calibri"/>
          <w:szCs w:val="24"/>
        </w:rPr>
        <w:t xml:space="preserve"> </w:t>
      </w:r>
      <w:r w:rsidRPr="00957B6C">
        <w:rPr>
          <w:rFonts w:eastAsia="Calibri" w:cs="Calibri"/>
          <w:szCs w:val="24"/>
        </w:rPr>
        <w:t xml:space="preserve">for his work and </w:t>
      </w:r>
      <w:r w:rsidR="00DC359C" w:rsidRPr="00957B6C">
        <w:rPr>
          <w:rFonts w:eastAsia="Calibri" w:cs="Calibri"/>
          <w:szCs w:val="24"/>
        </w:rPr>
        <w:t xml:space="preserve">charismatic leadership and </w:t>
      </w:r>
      <w:r w:rsidRPr="00957B6C">
        <w:rPr>
          <w:rFonts w:eastAsia="Calibri" w:cs="Calibri"/>
          <w:szCs w:val="24"/>
        </w:rPr>
        <w:t>welcomed the new GCBI Chairman</w:t>
      </w:r>
      <w:r w:rsidR="00DC359C" w:rsidRPr="00957B6C">
        <w:rPr>
          <w:rFonts w:eastAsia="Calibri" w:cs="Calibri"/>
          <w:szCs w:val="24"/>
        </w:rPr>
        <w:t xml:space="preserve"> </w:t>
      </w:r>
      <w:r w:rsidR="00DC359C" w:rsidRPr="00957B6C">
        <w:rPr>
          <w:rFonts w:ascii="Calibri" w:hAnsi="Calibri" w:cs="Calibri"/>
          <w:szCs w:val="24"/>
          <w:lang w:eastAsia="zh-CN"/>
        </w:rPr>
        <w:t>Dr Lidia Stępińska-Ustasiak, Counsellor, Head of Social Policy Unit, Office of Electronic Communications (UKE) of Poland</w:t>
      </w:r>
      <w:r w:rsidRPr="00957B6C">
        <w:rPr>
          <w:rFonts w:eastAsia="Calibri" w:cs="Calibri"/>
          <w:szCs w:val="24"/>
        </w:rPr>
        <w:t>. TDAG expressed appreciation for the proposed future work of GCBI, including developing an ITU capacity building framework, a harmonized way of stocktaking of activities, and new models for identifying different target audiences. TDAG also highlighted the importance of doing work on building capacity for digital inclusion, including digital literacy.</w:t>
      </w:r>
    </w:p>
    <w:tbl>
      <w:tblPr>
        <w:tblStyle w:val="TableGrid"/>
        <w:tblW w:w="0" w:type="auto"/>
        <w:tblLook w:val="04A0" w:firstRow="1" w:lastRow="0" w:firstColumn="1" w:lastColumn="0" w:noHBand="0" w:noVBand="1"/>
      </w:tblPr>
      <w:tblGrid>
        <w:gridCol w:w="9629"/>
      </w:tblGrid>
      <w:tr w:rsidR="00965FD2" w:rsidRPr="00957B6C" w14:paraId="695B5999" w14:textId="77777777" w:rsidTr="00660D9E">
        <w:tc>
          <w:tcPr>
            <w:tcW w:w="9629" w:type="dxa"/>
          </w:tcPr>
          <w:p w14:paraId="2DB08E99" w14:textId="77777777" w:rsidR="00965FD2" w:rsidRPr="00957B6C" w:rsidRDefault="00AA2CDA" w:rsidP="009B5B24">
            <w:pPr>
              <w:spacing w:after="120"/>
              <w:rPr>
                <w:rFonts w:cstheme="minorHAnsi"/>
                <w:color w:val="000000" w:themeColor="text1"/>
                <w:szCs w:val="24"/>
              </w:rPr>
            </w:pPr>
            <w:r w:rsidRPr="00957B6C">
              <w:rPr>
                <w:rFonts w:eastAsia="Calibri"/>
              </w:rPr>
              <w:t>TDAG noted the document.</w:t>
            </w:r>
          </w:p>
        </w:tc>
      </w:tr>
    </w:tbl>
    <w:p w14:paraId="70893080" w14:textId="77777777" w:rsidR="00965FD2" w:rsidRPr="00957B6C" w:rsidRDefault="00B8346F" w:rsidP="009B5B24">
      <w:pPr>
        <w:overflowPunct/>
        <w:autoSpaceDE/>
        <w:autoSpaceDN/>
        <w:adjustRightInd/>
        <w:spacing w:after="120"/>
        <w:textAlignment w:val="auto"/>
        <w:rPr>
          <w:rFonts w:cstheme="minorHAnsi"/>
          <w:szCs w:val="24"/>
        </w:rPr>
      </w:pPr>
      <w:hyperlink r:id="rId51" w:history="1">
        <w:r w:rsidR="00965FD2" w:rsidRPr="00957B6C">
          <w:rPr>
            <w:rStyle w:val="Hyperlink"/>
            <w:rFonts w:cstheme="minorHAnsi"/>
            <w:b/>
            <w:bCs/>
            <w:szCs w:val="24"/>
          </w:rPr>
          <w:t>Document 18</w:t>
        </w:r>
      </w:hyperlink>
      <w:r w:rsidR="00965FD2" w:rsidRPr="00957B6C">
        <w:rPr>
          <w:rFonts w:cstheme="minorHAnsi"/>
          <w:b/>
          <w:bCs/>
          <w:color w:val="000000" w:themeColor="text1"/>
          <w:szCs w:val="24"/>
        </w:rPr>
        <w:t>:</w:t>
      </w:r>
      <w:r w:rsidR="00965FD2" w:rsidRPr="00957B6C">
        <w:rPr>
          <w:rFonts w:cstheme="minorHAnsi"/>
          <w:color w:val="000000" w:themeColor="text1"/>
          <w:szCs w:val="24"/>
        </w:rPr>
        <w:t xml:space="preserve"> “Capacity Building Activities” highlights the training </w:t>
      </w:r>
      <w:r w:rsidR="00965FD2" w:rsidRPr="00957B6C">
        <w:rPr>
          <w:rFonts w:cstheme="minorHAnsi"/>
          <w:szCs w:val="24"/>
        </w:rPr>
        <w:t xml:space="preserve">delivered to the ITU membership in close collaboration with partners, including </w:t>
      </w:r>
      <w:r w:rsidR="00F734CB">
        <w:rPr>
          <w:rFonts w:cstheme="minorHAnsi"/>
          <w:szCs w:val="24"/>
        </w:rPr>
        <w:t>c</w:t>
      </w:r>
      <w:r w:rsidR="00965FD2" w:rsidRPr="00957B6C">
        <w:rPr>
          <w:rFonts w:cstheme="minorHAnsi"/>
          <w:szCs w:val="24"/>
        </w:rPr>
        <w:t xml:space="preserve">entres of </w:t>
      </w:r>
      <w:r w:rsidR="00F734CB">
        <w:rPr>
          <w:rFonts w:cstheme="minorHAnsi"/>
          <w:szCs w:val="24"/>
        </w:rPr>
        <w:t>e</w:t>
      </w:r>
      <w:r w:rsidR="00965FD2" w:rsidRPr="00957B6C">
        <w:rPr>
          <w:rFonts w:cstheme="minorHAnsi"/>
          <w:szCs w:val="24"/>
        </w:rPr>
        <w:t>xcellence (CoE), the private sector</w:t>
      </w:r>
      <w:r w:rsidR="00F734CB">
        <w:rPr>
          <w:rFonts w:cstheme="minorHAnsi"/>
          <w:szCs w:val="24"/>
        </w:rPr>
        <w:t>,</w:t>
      </w:r>
      <w:r w:rsidR="00965FD2" w:rsidRPr="00957B6C">
        <w:rPr>
          <w:rFonts w:cstheme="minorHAnsi"/>
          <w:szCs w:val="24"/>
        </w:rPr>
        <w:t xml:space="preserve"> and academia. The </w:t>
      </w:r>
      <w:hyperlink r:id="rId52" w:history="1">
        <w:r w:rsidR="00965FD2" w:rsidRPr="00957B6C">
          <w:rPr>
            <w:rStyle w:val="Hyperlink"/>
            <w:rFonts w:cstheme="minorHAnsi"/>
            <w:color w:val="auto"/>
            <w:szCs w:val="24"/>
            <w:u w:val="none"/>
          </w:rPr>
          <w:t>ITU Academy</w:t>
        </w:r>
      </w:hyperlink>
      <w:r w:rsidR="00965FD2" w:rsidRPr="00957B6C">
        <w:rPr>
          <w:rFonts w:cstheme="minorHAnsi"/>
          <w:szCs w:val="24"/>
        </w:rPr>
        <w:t xml:space="preserve"> platform serves as the main delivery channel for ITU training activities. </w:t>
      </w:r>
    </w:p>
    <w:p w14:paraId="5A168A3F" w14:textId="77777777" w:rsidR="00965FD2" w:rsidRPr="00957B6C" w:rsidRDefault="00965FD2" w:rsidP="009B5B24">
      <w:pPr>
        <w:overflowPunct/>
        <w:autoSpaceDE/>
        <w:autoSpaceDN/>
        <w:adjustRightInd/>
        <w:spacing w:after="120"/>
        <w:textAlignment w:val="auto"/>
        <w:rPr>
          <w:rFonts w:cstheme="minorHAnsi"/>
          <w:szCs w:val="24"/>
        </w:rPr>
      </w:pPr>
      <w:r w:rsidRPr="00957B6C">
        <w:rPr>
          <w:rFonts w:cstheme="minorHAnsi"/>
          <w:szCs w:val="24"/>
        </w:rPr>
        <w:t>In 2018 alone, around 1</w:t>
      </w:r>
      <w:r w:rsidR="00F734CB">
        <w:rPr>
          <w:rFonts w:cstheme="minorHAnsi"/>
          <w:szCs w:val="24"/>
        </w:rPr>
        <w:t> </w:t>
      </w:r>
      <w:r w:rsidRPr="00957B6C">
        <w:rPr>
          <w:rFonts w:cstheme="minorHAnsi"/>
          <w:szCs w:val="24"/>
        </w:rPr>
        <w:t xml:space="preserve">840 participants were trained through 55 courses delivered by the CoE network. Capacity-building activities focused primarily on policy and regulation, broadband access, cybersecurity, ICT applications and services, spectrum management, Internet governance, innovation, digital broadcasting, conformance and interoperability, cloud computing, quality of service and ICT accessibility. </w:t>
      </w:r>
    </w:p>
    <w:p w14:paraId="2DC27485" w14:textId="77777777" w:rsidR="00965FD2" w:rsidRPr="002F42F5" w:rsidRDefault="00965FD2" w:rsidP="009B5B24">
      <w:pPr>
        <w:overflowPunct/>
        <w:autoSpaceDE/>
        <w:autoSpaceDN/>
        <w:adjustRightInd/>
        <w:spacing w:after="120"/>
        <w:textAlignment w:val="auto"/>
        <w:rPr>
          <w:rFonts w:cstheme="minorHAnsi"/>
          <w:szCs w:val="24"/>
        </w:rPr>
      </w:pPr>
      <w:r w:rsidRPr="00957B6C">
        <w:rPr>
          <w:rFonts w:cstheme="minorHAnsi"/>
          <w:szCs w:val="24"/>
        </w:rPr>
        <w:t>The</w:t>
      </w:r>
      <w:hyperlink r:id="rId53" w:history="1">
        <w:r w:rsidRPr="00957B6C">
          <w:rPr>
            <w:rStyle w:val="Hyperlink"/>
            <w:rFonts w:cstheme="minorHAnsi"/>
            <w:color w:val="auto"/>
            <w:szCs w:val="24"/>
            <w:u w:val="none"/>
          </w:rPr>
          <w:t xml:space="preserve"> Global ICT Capacity Building Symposium (CBS)</w:t>
        </w:r>
      </w:hyperlink>
      <w:r w:rsidRPr="00957B6C">
        <w:rPr>
          <w:rStyle w:val="Hyperlink"/>
          <w:rFonts w:cstheme="minorHAnsi"/>
          <w:color w:val="auto"/>
          <w:szCs w:val="24"/>
          <w:u w:val="none"/>
        </w:rPr>
        <w:t>,</w:t>
      </w:r>
      <w:r w:rsidRPr="00957B6C">
        <w:rPr>
          <w:rFonts w:cstheme="minorHAnsi"/>
          <w:szCs w:val="24"/>
        </w:rPr>
        <w:t xml:space="preserve"> held in Santo Domingo, Dominican Republic, from 18 to 20 June 2018, attracted 331 participants from 36 countries. The theme was developing skills for the digital economy and society. The outcomes of the symposium provided strategic guidance to the national and international community on issues relating to skill development in the field of ICTs and digital technologies. </w:t>
      </w:r>
    </w:p>
    <w:p w14:paraId="17FCDFCC" w14:textId="77777777" w:rsidR="00965FD2" w:rsidRPr="00957B6C" w:rsidRDefault="00965FD2" w:rsidP="009B5B24">
      <w:pPr>
        <w:spacing w:after="120"/>
        <w:rPr>
          <w:rFonts w:cstheme="minorHAnsi"/>
          <w:szCs w:val="24"/>
        </w:rPr>
      </w:pPr>
      <w:r w:rsidRPr="00957B6C">
        <w:rPr>
          <w:rFonts w:cstheme="minorHAnsi"/>
          <w:szCs w:val="24"/>
        </w:rPr>
        <w:t xml:space="preserve">The publication “Capacity Building in a Changing ICT Environment 2018” features articles highlighting the different levels of skills required, from basic digital skills to more advanced </w:t>
      </w:r>
      <w:r w:rsidR="00F734CB" w:rsidRPr="00957B6C">
        <w:rPr>
          <w:rFonts w:cstheme="minorHAnsi"/>
          <w:szCs w:val="24"/>
        </w:rPr>
        <w:t xml:space="preserve">skills </w:t>
      </w:r>
      <w:r w:rsidRPr="00957B6C">
        <w:rPr>
          <w:rFonts w:cstheme="minorHAnsi"/>
          <w:szCs w:val="24"/>
        </w:rPr>
        <w:t>in order to satisfy more complex requirements, such as network management and data analytics.</w:t>
      </w:r>
    </w:p>
    <w:p w14:paraId="5B22418A" w14:textId="77777777" w:rsidR="003179CD" w:rsidRPr="00957B6C" w:rsidRDefault="003179CD" w:rsidP="009B5B24">
      <w:pPr>
        <w:spacing w:after="120"/>
        <w:rPr>
          <w:rFonts w:cstheme="minorHAnsi"/>
          <w:szCs w:val="24"/>
        </w:rPr>
      </w:pPr>
      <w:r w:rsidRPr="00957B6C">
        <w:rPr>
          <w:rFonts w:eastAsia="Calibri" w:cs="Calibri"/>
          <w:szCs w:val="24"/>
        </w:rPr>
        <w:t xml:space="preserve">TDAG welcomed the report and noted the important activities related to the </w:t>
      </w:r>
      <w:r w:rsidR="00F734CB">
        <w:rPr>
          <w:rFonts w:eastAsia="Calibri" w:cs="Calibri"/>
          <w:szCs w:val="24"/>
        </w:rPr>
        <w:t>c</w:t>
      </w:r>
      <w:r w:rsidR="00F734CB" w:rsidRPr="00957B6C">
        <w:rPr>
          <w:rFonts w:eastAsia="Calibri" w:cs="Calibri"/>
          <w:szCs w:val="24"/>
        </w:rPr>
        <w:t xml:space="preserve">entres </w:t>
      </w:r>
      <w:r w:rsidRPr="00957B6C">
        <w:rPr>
          <w:rFonts w:eastAsia="Calibri" w:cs="Calibri"/>
          <w:szCs w:val="24"/>
        </w:rPr>
        <w:t xml:space="preserve">of </w:t>
      </w:r>
      <w:r w:rsidR="00F734CB">
        <w:rPr>
          <w:rFonts w:eastAsia="Calibri" w:cs="Calibri"/>
          <w:szCs w:val="24"/>
        </w:rPr>
        <w:t>e</w:t>
      </w:r>
      <w:r w:rsidR="00F734CB" w:rsidRPr="00957B6C">
        <w:rPr>
          <w:rFonts w:eastAsia="Calibri" w:cs="Calibri"/>
          <w:szCs w:val="24"/>
        </w:rPr>
        <w:t>xcellence</w:t>
      </w:r>
      <w:r w:rsidRPr="00957B6C">
        <w:rPr>
          <w:rFonts w:eastAsia="Calibri" w:cs="Calibri"/>
          <w:szCs w:val="24"/>
        </w:rPr>
        <w:t>, ITU Academy</w:t>
      </w:r>
      <w:r w:rsidR="00F734CB">
        <w:rPr>
          <w:rFonts w:eastAsia="Calibri" w:cs="Calibri"/>
          <w:szCs w:val="24"/>
        </w:rPr>
        <w:t>,</w:t>
      </w:r>
      <w:r w:rsidRPr="00957B6C">
        <w:rPr>
          <w:rFonts w:eastAsia="Calibri" w:cs="Calibri"/>
          <w:szCs w:val="24"/>
        </w:rPr>
        <w:t xml:space="preserve"> and working in partnership with other stakeholders. TDAG suggested </w:t>
      </w:r>
      <w:r w:rsidR="00DB4748" w:rsidRPr="00957B6C">
        <w:rPr>
          <w:rFonts w:eastAsia="Calibri" w:cs="Calibri"/>
          <w:szCs w:val="24"/>
        </w:rPr>
        <w:t xml:space="preserve">that BDT should </w:t>
      </w:r>
      <w:r w:rsidRPr="00957B6C">
        <w:rPr>
          <w:rFonts w:eastAsia="Calibri" w:cs="Calibri"/>
          <w:szCs w:val="24"/>
        </w:rPr>
        <w:t>explore mechanism</w:t>
      </w:r>
      <w:r w:rsidR="00DB4748" w:rsidRPr="00957B6C">
        <w:rPr>
          <w:rFonts w:eastAsia="Calibri" w:cs="Calibri"/>
          <w:szCs w:val="24"/>
        </w:rPr>
        <w:t>s</w:t>
      </w:r>
      <w:r w:rsidRPr="00957B6C">
        <w:rPr>
          <w:rFonts w:eastAsia="Calibri" w:cs="Calibri"/>
          <w:szCs w:val="24"/>
        </w:rPr>
        <w:t xml:space="preserve"> to leverage the expertise created through the training activities and emphasized the importance of including the gender dimension in the capacity building and skills development work.</w:t>
      </w:r>
    </w:p>
    <w:tbl>
      <w:tblPr>
        <w:tblStyle w:val="TableGrid"/>
        <w:tblW w:w="0" w:type="auto"/>
        <w:tblLook w:val="04A0" w:firstRow="1" w:lastRow="0" w:firstColumn="1" w:lastColumn="0" w:noHBand="0" w:noVBand="1"/>
      </w:tblPr>
      <w:tblGrid>
        <w:gridCol w:w="9629"/>
      </w:tblGrid>
      <w:tr w:rsidR="00965FD2" w:rsidRPr="00957B6C" w14:paraId="4B6566ED" w14:textId="77777777" w:rsidTr="00660D9E">
        <w:tc>
          <w:tcPr>
            <w:tcW w:w="9629" w:type="dxa"/>
          </w:tcPr>
          <w:p w14:paraId="4C394052" w14:textId="77777777" w:rsidR="00965FD2" w:rsidRPr="00957B6C" w:rsidRDefault="00AA2CDA" w:rsidP="009B5B24">
            <w:pPr>
              <w:spacing w:after="120"/>
              <w:rPr>
                <w:rFonts w:cstheme="minorHAnsi"/>
                <w:color w:val="000000" w:themeColor="text1"/>
                <w:szCs w:val="24"/>
              </w:rPr>
            </w:pPr>
            <w:r w:rsidRPr="00957B6C">
              <w:rPr>
                <w:rFonts w:eastAsia="Calibri"/>
              </w:rPr>
              <w:t>TDAG noted the document.</w:t>
            </w:r>
          </w:p>
        </w:tc>
      </w:tr>
    </w:tbl>
    <w:p w14:paraId="0C2A6379" w14:textId="09BA9802" w:rsidR="00F1256F" w:rsidRPr="001E3DC6" w:rsidRDefault="00855A13" w:rsidP="00810998">
      <w:pPr>
        <w:keepNext/>
        <w:rPr>
          <w:b/>
          <w:bCs/>
          <w:lang w:val="en-US"/>
        </w:rPr>
      </w:pPr>
      <w:r>
        <w:rPr>
          <w:b/>
          <w:bCs/>
          <w:lang w:val="en-US"/>
        </w:rPr>
        <w:t>Breakout session:</w:t>
      </w:r>
      <w:r w:rsidRPr="001E3DC6">
        <w:rPr>
          <w:b/>
          <w:bCs/>
          <w:lang w:val="en-US"/>
        </w:rPr>
        <w:t xml:space="preserve"> </w:t>
      </w:r>
      <w:r w:rsidR="00F1256F" w:rsidRPr="001E3DC6">
        <w:rPr>
          <w:b/>
          <w:bCs/>
          <w:lang w:val="en-US"/>
        </w:rPr>
        <w:t xml:space="preserve">Capacity </w:t>
      </w:r>
      <w:r w:rsidR="00F1256F">
        <w:rPr>
          <w:b/>
          <w:bCs/>
          <w:lang w:val="en-US"/>
        </w:rPr>
        <w:t>b</w:t>
      </w:r>
      <w:r w:rsidR="00F1256F" w:rsidRPr="001E3DC6">
        <w:rPr>
          <w:b/>
          <w:bCs/>
          <w:lang w:val="en-US"/>
        </w:rPr>
        <w:t xml:space="preserve">uilding and </w:t>
      </w:r>
      <w:r w:rsidR="00F1256F">
        <w:rPr>
          <w:b/>
          <w:bCs/>
          <w:lang w:val="en-US"/>
        </w:rPr>
        <w:t>s</w:t>
      </w:r>
      <w:r w:rsidR="00F1256F" w:rsidRPr="001E3DC6">
        <w:rPr>
          <w:b/>
          <w:bCs/>
          <w:lang w:val="en-US"/>
        </w:rPr>
        <w:t xml:space="preserve">kills </w:t>
      </w:r>
      <w:r w:rsidR="00F1256F">
        <w:rPr>
          <w:b/>
          <w:bCs/>
          <w:lang w:val="en-US"/>
        </w:rPr>
        <w:t>d</w:t>
      </w:r>
      <w:r w:rsidR="00F1256F" w:rsidRPr="001E3DC6">
        <w:rPr>
          <w:b/>
          <w:bCs/>
          <w:lang w:val="en-US"/>
        </w:rPr>
        <w:t>evelopment</w:t>
      </w:r>
    </w:p>
    <w:p w14:paraId="5136D679" w14:textId="7A5768BC" w:rsidR="00F1256F" w:rsidRPr="00DA258C" w:rsidRDefault="00FC30AA" w:rsidP="002369BC">
      <w:pPr>
        <w:rPr>
          <w:lang w:val="en-US"/>
        </w:rPr>
      </w:pPr>
      <w:r>
        <w:rPr>
          <w:lang w:val="en-US"/>
        </w:rPr>
        <w:t>During the breakout session on c</w:t>
      </w:r>
      <w:r w:rsidRPr="00FC30AA">
        <w:rPr>
          <w:lang w:val="en-US"/>
        </w:rPr>
        <w:t>apacity building and skills development</w:t>
      </w:r>
      <w:r>
        <w:rPr>
          <w:lang w:val="en-US"/>
        </w:rPr>
        <w:t>,</w:t>
      </w:r>
      <w:r w:rsidRPr="001E3DC6">
        <w:rPr>
          <w:lang w:val="en-US"/>
        </w:rPr>
        <w:t xml:space="preserve"> </w:t>
      </w:r>
      <w:r>
        <w:rPr>
          <w:lang w:val="en-US"/>
        </w:rPr>
        <w:t>t</w:t>
      </w:r>
      <w:r w:rsidR="00F1256F" w:rsidRPr="001E3DC6">
        <w:rPr>
          <w:lang w:val="en-US"/>
        </w:rPr>
        <w:t xml:space="preserve">here was overall agreement that certified, structured training courses </w:t>
      </w:r>
      <w:r w:rsidR="00F1256F">
        <w:rPr>
          <w:lang w:val="en-US"/>
        </w:rPr>
        <w:t>add</w:t>
      </w:r>
      <w:r w:rsidR="00F1256F" w:rsidRPr="001E3DC6">
        <w:rPr>
          <w:lang w:val="en-US"/>
        </w:rPr>
        <w:t xml:space="preserve"> </w:t>
      </w:r>
      <w:r w:rsidR="00F1256F">
        <w:rPr>
          <w:lang w:val="en-US"/>
        </w:rPr>
        <w:t>greater</w:t>
      </w:r>
      <w:r w:rsidR="00F1256F" w:rsidRPr="001E3DC6">
        <w:rPr>
          <w:lang w:val="en-US"/>
        </w:rPr>
        <w:t xml:space="preserve"> value and impact compared </w:t>
      </w:r>
      <w:r w:rsidR="00F1256F">
        <w:rPr>
          <w:lang w:val="en-US"/>
        </w:rPr>
        <w:t>with</w:t>
      </w:r>
      <w:r w:rsidR="00F1256F" w:rsidRPr="001E3DC6">
        <w:rPr>
          <w:lang w:val="en-US"/>
        </w:rPr>
        <w:t xml:space="preserve"> typical capacity</w:t>
      </w:r>
      <w:r w:rsidR="00F1256F">
        <w:rPr>
          <w:lang w:val="en-US"/>
        </w:rPr>
        <w:t>-</w:t>
      </w:r>
      <w:r w:rsidR="00F1256F" w:rsidRPr="001E3DC6">
        <w:rPr>
          <w:lang w:val="en-US"/>
        </w:rPr>
        <w:t>building workshops. In addition to the courses currently offered on the ITU Academy platform, training was also needed for policy</w:t>
      </w:r>
      <w:r w:rsidR="002369BC">
        <w:rPr>
          <w:lang w:val="en-US"/>
        </w:rPr>
        <w:t>-</w:t>
      </w:r>
      <w:r w:rsidR="00F1256F" w:rsidRPr="001E3DC6">
        <w:rPr>
          <w:lang w:val="en-US"/>
        </w:rPr>
        <w:t>makers at decision</w:t>
      </w:r>
      <w:r w:rsidR="00F1256F">
        <w:rPr>
          <w:lang w:val="en-US"/>
        </w:rPr>
        <w:t>-</w:t>
      </w:r>
      <w:r w:rsidR="00F1256F" w:rsidRPr="001E3DC6">
        <w:rPr>
          <w:lang w:val="en-US"/>
        </w:rPr>
        <w:t>making and less technical level</w:t>
      </w:r>
      <w:r w:rsidR="00F1256F">
        <w:rPr>
          <w:lang w:val="en-US"/>
        </w:rPr>
        <w:t>s</w:t>
      </w:r>
      <w:r w:rsidR="00F1256F" w:rsidRPr="001E3DC6">
        <w:rPr>
          <w:lang w:val="en-US"/>
        </w:rPr>
        <w:t xml:space="preserve">. There was agreement that ITU should expand its capacity development work and provide digital skills training to those at the bottom of the pyramid </w:t>
      </w:r>
      <w:r w:rsidR="00F1256F">
        <w:rPr>
          <w:lang w:val="en-US"/>
        </w:rPr>
        <w:t>and</w:t>
      </w:r>
      <w:r w:rsidR="00F1256F" w:rsidRPr="001E3DC6">
        <w:rPr>
          <w:lang w:val="en-US"/>
        </w:rPr>
        <w:t xml:space="preserve"> outside the ICT sector. Such capacity</w:t>
      </w:r>
      <w:r w:rsidR="00F1256F">
        <w:rPr>
          <w:lang w:val="en-US"/>
        </w:rPr>
        <w:t>-</w:t>
      </w:r>
      <w:r w:rsidR="00F1256F" w:rsidRPr="001E3DC6">
        <w:rPr>
          <w:lang w:val="en-US"/>
        </w:rPr>
        <w:t xml:space="preserve">building work could be </w:t>
      </w:r>
      <w:r w:rsidR="00F1256F">
        <w:rPr>
          <w:lang w:val="en-US"/>
        </w:rPr>
        <w:t>performed</w:t>
      </w:r>
      <w:r w:rsidR="00F1256F" w:rsidRPr="001E3DC6">
        <w:rPr>
          <w:lang w:val="en-US"/>
        </w:rPr>
        <w:t xml:space="preserve"> </w:t>
      </w:r>
      <w:r w:rsidR="00F1256F">
        <w:rPr>
          <w:lang w:val="en-US"/>
        </w:rPr>
        <w:t>by</w:t>
      </w:r>
      <w:r w:rsidR="00F1256F" w:rsidRPr="001E3DC6">
        <w:rPr>
          <w:lang w:val="en-US"/>
        </w:rPr>
        <w:t xml:space="preserve"> involving local community networks and </w:t>
      </w:r>
      <w:r w:rsidR="00F1256F" w:rsidRPr="001E3DC6">
        <w:rPr>
          <w:lang w:val="en-US"/>
        </w:rPr>
        <w:lastRenderedPageBreak/>
        <w:t xml:space="preserve">implementing training-of-trainers courses. Regional telecommunication organizations could help in the process of mapping capacity development initiatives, </w:t>
      </w:r>
      <w:r w:rsidR="00F1256F">
        <w:rPr>
          <w:lang w:val="en-US"/>
        </w:rPr>
        <w:t>selecting</w:t>
      </w:r>
      <w:r w:rsidR="00F1256F" w:rsidRPr="001E3DC6">
        <w:rPr>
          <w:lang w:val="en-US"/>
        </w:rPr>
        <w:t xml:space="preserve"> experts</w:t>
      </w:r>
      <w:r w:rsidR="00F1256F">
        <w:rPr>
          <w:lang w:val="en-US"/>
        </w:rPr>
        <w:t>,</w:t>
      </w:r>
      <w:r w:rsidR="00F1256F" w:rsidRPr="001E3DC6">
        <w:rPr>
          <w:lang w:val="en-US"/>
        </w:rPr>
        <w:t xml:space="preserve"> and identifying digital skills gaps and needs in the regions. </w:t>
      </w:r>
    </w:p>
    <w:p w14:paraId="3FCEBEAB" w14:textId="06091CE4" w:rsidR="00965FD2" w:rsidRPr="00957B6C" w:rsidRDefault="00965FD2" w:rsidP="00850DF7">
      <w:pPr>
        <w:pStyle w:val="ListParagraph"/>
        <w:keepNext/>
        <w:numPr>
          <w:ilvl w:val="1"/>
          <w:numId w:val="1"/>
        </w:numPr>
        <w:spacing w:before="240" w:after="120"/>
        <w:ind w:left="505" w:hanging="505"/>
        <w:contextualSpacing w:val="0"/>
        <w:rPr>
          <w:rStyle w:val="StyleComplex12pt"/>
          <w:rFonts w:cstheme="minorHAnsi"/>
          <w:b/>
          <w:bCs/>
        </w:rPr>
      </w:pPr>
      <w:r w:rsidRPr="00957B6C">
        <w:rPr>
          <w:rStyle w:val="StyleComplex12pt"/>
          <w:rFonts w:cstheme="minorHAnsi"/>
          <w:b/>
          <w:bCs/>
        </w:rPr>
        <w:t xml:space="preserve"> ICT data and statistics, including World Telecommunication/ICT Indicators Symposium</w:t>
      </w:r>
      <w:r w:rsidR="003F2B17">
        <w:rPr>
          <w:rStyle w:val="StyleComplex12pt"/>
          <w:rFonts w:cstheme="minorHAnsi"/>
          <w:b/>
          <w:bCs/>
        </w:rPr>
        <w:t xml:space="preserve"> (WTIS)</w:t>
      </w:r>
    </w:p>
    <w:p w14:paraId="7975705F" w14:textId="77777777" w:rsidR="00965FD2" w:rsidRPr="00957B6C" w:rsidRDefault="00B8346F" w:rsidP="009B5B24">
      <w:pPr>
        <w:spacing w:after="120"/>
        <w:rPr>
          <w:rFonts w:cstheme="minorHAnsi"/>
          <w:szCs w:val="24"/>
        </w:rPr>
      </w:pPr>
      <w:hyperlink r:id="rId54" w:history="1">
        <w:r w:rsidR="00965FD2" w:rsidRPr="00957B6C">
          <w:rPr>
            <w:rStyle w:val="Hyperlink"/>
            <w:rFonts w:cstheme="minorHAnsi"/>
            <w:b/>
            <w:bCs/>
            <w:szCs w:val="24"/>
          </w:rPr>
          <w:t>Document 19</w:t>
        </w:r>
      </w:hyperlink>
      <w:r w:rsidR="00965FD2" w:rsidRPr="00957B6C">
        <w:rPr>
          <w:rFonts w:cstheme="minorHAnsi"/>
          <w:b/>
          <w:bCs/>
          <w:color w:val="000000" w:themeColor="text1"/>
          <w:szCs w:val="24"/>
        </w:rPr>
        <w:t>:</w:t>
      </w:r>
      <w:r w:rsidR="00965FD2" w:rsidRPr="00957B6C">
        <w:rPr>
          <w:rFonts w:cstheme="minorHAnsi"/>
          <w:color w:val="000000" w:themeColor="text1"/>
          <w:szCs w:val="24"/>
        </w:rPr>
        <w:t xml:space="preserve"> “Report on ICT Data and Statistics 2018”</w:t>
      </w:r>
      <w:r w:rsidR="00965FD2" w:rsidRPr="00957B6C">
        <w:rPr>
          <w:rFonts w:cstheme="minorHAnsi"/>
          <w:szCs w:val="24"/>
        </w:rPr>
        <w:t xml:space="preserve"> provides a summary of the work carried out on ICT data and statistics in 2018. The report covers data collection and dissemination, methodology development, data analysis</w:t>
      </w:r>
      <w:r w:rsidR="00F734CB">
        <w:rPr>
          <w:rFonts w:cstheme="minorHAnsi"/>
          <w:szCs w:val="24"/>
        </w:rPr>
        <w:t>,</w:t>
      </w:r>
      <w:r w:rsidR="00965FD2" w:rsidRPr="00957B6C">
        <w:rPr>
          <w:rFonts w:cstheme="minorHAnsi"/>
          <w:szCs w:val="24"/>
        </w:rPr>
        <w:t xml:space="preserve"> and capacity building. </w:t>
      </w:r>
    </w:p>
    <w:p w14:paraId="2964ECF1" w14:textId="77777777" w:rsidR="00965FD2" w:rsidRPr="00957B6C" w:rsidRDefault="00965FD2" w:rsidP="009B5B24">
      <w:pPr>
        <w:spacing w:after="120"/>
        <w:rPr>
          <w:rFonts w:cstheme="minorHAnsi"/>
          <w:szCs w:val="24"/>
        </w:rPr>
      </w:pPr>
      <w:r w:rsidRPr="00957B6C">
        <w:rPr>
          <w:rFonts w:cstheme="minorHAnsi"/>
          <w:szCs w:val="24"/>
        </w:rPr>
        <w:t>ITU continued to collect internationally comparable ICT statistics through three questionnaires: the World Telecommunication Indicators questionnaire, the questionnaire on access and use of ICTs by households and individuals</w:t>
      </w:r>
      <w:r w:rsidR="00F734CB">
        <w:rPr>
          <w:rFonts w:cstheme="minorHAnsi"/>
          <w:szCs w:val="24"/>
        </w:rPr>
        <w:t>,</w:t>
      </w:r>
      <w:r w:rsidRPr="00957B6C">
        <w:rPr>
          <w:rFonts w:cstheme="minorHAnsi"/>
          <w:szCs w:val="24"/>
        </w:rPr>
        <w:t xml:space="preserve"> and the ICT Price Basket questionnaire. Data collected were disseminated through the ITU World Telecommunication/ICT Indicators Database</w:t>
      </w:r>
      <w:r w:rsidR="00DD5ACE" w:rsidRPr="00957B6C">
        <w:rPr>
          <w:rFonts w:cstheme="minorHAnsi"/>
          <w:szCs w:val="24"/>
        </w:rPr>
        <w:t xml:space="preserve">. </w:t>
      </w:r>
    </w:p>
    <w:p w14:paraId="1FE299EB" w14:textId="439E28E7" w:rsidR="00965FD2" w:rsidRPr="00957B6C" w:rsidRDefault="00965FD2" w:rsidP="00683512">
      <w:pPr>
        <w:spacing w:after="120"/>
        <w:rPr>
          <w:rFonts w:cstheme="minorHAnsi"/>
          <w:szCs w:val="24"/>
        </w:rPr>
      </w:pPr>
      <w:r w:rsidRPr="00957B6C">
        <w:rPr>
          <w:rFonts w:cstheme="minorHAnsi"/>
          <w:szCs w:val="24"/>
        </w:rPr>
        <w:t>Methodologies and international standards on ICT statistics are continuously improved through the work of the Expert Group on Telecommunication/ICT Indicators (EGTI) and the Expert Group on ICT Household Indicators (EGH). Meetings of EGTI and EGH took place in Geneva, in October 2018. Nearly 130</w:t>
      </w:r>
      <w:r w:rsidR="00990B26" w:rsidRPr="00957B6C">
        <w:rPr>
          <w:rFonts w:cstheme="minorHAnsi"/>
          <w:szCs w:val="24"/>
        </w:rPr>
        <w:t xml:space="preserve"> </w:t>
      </w:r>
      <w:r w:rsidRPr="00957B6C">
        <w:rPr>
          <w:rFonts w:cstheme="minorHAnsi"/>
          <w:szCs w:val="24"/>
        </w:rPr>
        <w:t>statistical experts from ICT ministries, national statistical offices telecommunication regulators</w:t>
      </w:r>
      <w:r w:rsidR="00683512">
        <w:rPr>
          <w:rFonts w:cstheme="minorHAnsi"/>
          <w:szCs w:val="24"/>
        </w:rPr>
        <w:t xml:space="preserve"> </w:t>
      </w:r>
      <w:r w:rsidR="00683512" w:rsidRPr="00957B6C">
        <w:rPr>
          <w:rFonts w:cstheme="minorHAnsi"/>
          <w:szCs w:val="24"/>
        </w:rPr>
        <w:t>from 54 countries</w:t>
      </w:r>
      <w:r w:rsidRPr="00957B6C">
        <w:rPr>
          <w:rFonts w:cstheme="minorHAnsi"/>
          <w:szCs w:val="24"/>
        </w:rPr>
        <w:t xml:space="preserve"> and international organizations attended the meetings and discussed how to better track access to and use of ICTs by households and individuals.</w:t>
      </w:r>
    </w:p>
    <w:p w14:paraId="533780F8" w14:textId="709E173E" w:rsidR="00965FD2" w:rsidRPr="00FC30AA" w:rsidRDefault="00965FD2" w:rsidP="009B5B24">
      <w:pPr>
        <w:spacing w:after="120"/>
        <w:rPr>
          <w:rFonts w:cstheme="minorHAnsi"/>
          <w:color w:val="000000" w:themeColor="text1"/>
          <w:szCs w:val="24"/>
        </w:rPr>
      </w:pPr>
      <w:r w:rsidRPr="00957B6C">
        <w:rPr>
          <w:rFonts w:cstheme="minorHAnsi"/>
          <w:szCs w:val="24"/>
        </w:rPr>
        <w:t xml:space="preserve">BDT also successfully organized the </w:t>
      </w:r>
      <w:r w:rsidRPr="00FC30AA">
        <w:t>16th World Telecommunication/ICT Indicators Symposium (WTIS-18)</w:t>
      </w:r>
      <w:r w:rsidRPr="00957B6C">
        <w:rPr>
          <w:rFonts w:cstheme="minorHAnsi"/>
          <w:szCs w:val="24"/>
        </w:rPr>
        <w:t xml:space="preserve"> in Geneva, which attracted more than 320 participants from 85 countries, representing public and private organizations, including ministries, regulators, national statistical agencies, universities and research institutions, telecommunication operators, ICT firms and regional and international organizations. The “</w:t>
      </w:r>
      <w:r w:rsidRPr="00FC30AA">
        <w:t>Measuring the Information Society Report 2018 - Volume 1</w:t>
      </w:r>
      <w:r w:rsidRPr="00957B6C">
        <w:rPr>
          <w:rFonts w:cstheme="minorHAnsi"/>
          <w:szCs w:val="24"/>
        </w:rPr>
        <w:t>” was released during WTIS-18</w:t>
      </w:r>
      <w:r w:rsidR="00C610DC" w:rsidRPr="00957B6C">
        <w:rPr>
          <w:rFonts w:cstheme="minorHAnsi"/>
          <w:szCs w:val="24"/>
        </w:rPr>
        <w:t>. C</w:t>
      </w:r>
      <w:r w:rsidR="00537DC9" w:rsidRPr="00957B6C">
        <w:rPr>
          <w:rFonts w:cstheme="minorHAnsi"/>
          <w:szCs w:val="24"/>
        </w:rPr>
        <w:t xml:space="preserve">ompared to previous editions, it did not </w:t>
      </w:r>
      <w:r w:rsidRPr="00957B6C">
        <w:rPr>
          <w:rFonts w:cstheme="minorHAnsi"/>
          <w:szCs w:val="24"/>
        </w:rPr>
        <w:t>featur</w:t>
      </w:r>
      <w:r w:rsidR="00537DC9" w:rsidRPr="00957B6C">
        <w:rPr>
          <w:rFonts w:cstheme="minorHAnsi"/>
          <w:szCs w:val="24"/>
        </w:rPr>
        <w:t>e</w:t>
      </w:r>
      <w:r w:rsidR="00DD5ACE" w:rsidRPr="00957B6C">
        <w:rPr>
          <w:rFonts w:cstheme="minorHAnsi"/>
          <w:szCs w:val="24"/>
        </w:rPr>
        <w:t xml:space="preserve"> the</w:t>
      </w:r>
      <w:r w:rsidR="00537DC9" w:rsidRPr="00957B6C">
        <w:rPr>
          <w:color w:val="00B0F0"/>
        </w:rPr>
        <w:t xml:space="preserve"> </w:t>
      </w:r>
      <w:r w:rsidR="00537DC9" w:rsidRPr="00FC30AA">
        <w:rPr>
          <w:color w:val="000000" w:themeColor="text1"/>
        </w:rPr>
        <w:t>ICT Development Index (IDI)</w:t>
      </w:r>
      <w:r w:rsidR="00DD5ACE" w:rsidRPr="00FC30AA">
        <w:rPr>
          <w:color w:val="000000" w:themeColor="text1"/>
        </w:rPr>
        <w:t xml:space="preserve">. </w:t>
      </w:r>
    </w:p>
    <w:p w14:paraId="135B9791" w14:textId="65D2721D" w:rsidR="000B1F31" w:rsidRPr="00FC30AA" w:rsidRDefault="000B1F31">
      <w:pPr>
        <w:spacing w:after="120"/>
        <w:rPr>
          <w:color w:val="000000" w:themeColor="text1"/>
          <w:szCs w:val="24"/>
        </w:rPr>
      </w:pPr>
      <w:r w:rsidRPr="00FC30AA">
        <w:rPr>
          <w:color w:val="000000" w:themeColor="text1"/>
          <w:szCs w:val="24"/>
        </w:rPr>
        <w:t xml:space="preserve">ICT statistics are an important output of ITU and an essential input into ICT policy. </w:t>
      </w:r>
      <w:r w:rsidR="00FC30AA">
        <w:rPr>
          <w:color w:val="000000" w:themeColor="text1"/>
          <w:szCs w:val="24"/>
        </w:rPr>
        <w:t>TDAG str</w:t>
      </w:r>
      <w:r w:rsidRPr="00FC30AA">
        <w:rPr>
          <w:color w:val="000000" w:themeColor="text1"/>
          <w:szCs w:val="24"/>
        </w:rPr>
        <w:t xml:space="preserve">essed that statistics published </w:t>
      </w:r>
      <w:r w:rsidR="00427837">
        <w:rPr>
          <w:color w:val="000000" w:themeColor="text1"/>
          <w:szCs w:val="24"/>
        </w:rPr>
        <w:t xml:space="preserve">by ITU </w:t>
      </w:r>
      <w:r w:rsidR="00FC30AA">
        <w:rPr>
          <w:color w:val="000000" w:themeColor="text1"/>
          <w:szCs w:val="24"/>
        </w:rPr>
        <w:t xml:space="preserve">must be reliable </w:t>
      </w:r>
      <w:r w:rsidRPr="00FC30AA">
        <w:rPr>
          <w:color w:val="000000" w:themeColor="text1"/>
          <w:szCs w:val="24"/>
        </w:rPr>
        <w:t xml:space="preserve">and trustworthy. Furthermore, data should be made available </w:t>
      </w:r>
      <w:r w:rsidR="00C42733" w:rsidRPr="00FC30AA">
        <w:rPr>
          <w:color w:val="000000" w:themeColor="text1"/>
          <w:szCs w:val="24"/>
        </w:rPr>
        <w:t>to the public</w:t>
      </w:r>
      <w:r w:rsidRPr="00FC30AA">
        <w:rPr>
          <w:color w:val="000000" w:themeColor="text1"/>
          <w:szCs w:val="24"/>
        </w:rPr>
        <w:t xml:space="preserve"> on the ITU website, </w:t>
      </w:r>
      <w:r w:rsidR="00A90501">
        <w:rPr>
          <w:color w:val="000000" w:themeColor="text1"/>
          <w:szCs w:val="24"/>
        </w:rPr>
        <w:t>to the extent possible</w:t>
      </w:r>
      <w:r w:rsidRPr="00FC30AA">
        <w:rPr>
          <w:color w:val="000000" w:themeColor="text1"/>
          <w:szCs w:val="24"/>
        </w:rPr>
        <w:t xml:space="preserve">. </w:t>
      </w:r>
    </w:p>
    <w:p w14:paraId="57290ABA" w14:textId="11639370" w:rsidR="00F2442F" w:rsidRDefault="00F2442F" w:rsidP="009578E6">
      <w:r>
        <w:t xml:space="preserve">BDT explained that in 2018, the IDI was not published because of the limited data submitted by countries which required ITU to make a lot of estimates and there were also concerns over the quality of data which were submitted for some of the new indicators. This was the case despite the fact that BDT had organized and ran capacity-building workshops in all the regions. In order to remedy the issue and publish the IDI in 2019, the ICT Data and Statistics Division (IDS) has embarked on another series of capacity building workshops around the world. While this has helped in improving the quality of data, it </w:t>
      </w:r>
      <w:r w:rsidR="009578E6">
        <w:rPr>
          <w:rFonts w:ascii="Calibri" w:hAnsi="Calibri"/>
          <w:color w:val="000000"/>
          <w:szCs w:val="24"/>
        </w:rPr>
        <w:t>may</w:t>
      </w:r>
      <w:r>
        <w:t xml:space="preserve"> not solve all of the issues. An option for 2019 will be to use the old indicators for the IDI, and to phase in new indicators only when certain thresholds are met in terms of quantity and quality of the data provided by Member States. However, this will make ITU statistics lag behind developments in the ICT sector and not reflect the true technological evolution.</w:t>
      </w:r>
    </w:p>
    <w:p w14:paraId="0F77F5E2" w14:textId="20728EA8" w:rsidR="000B1F31" w:rsidRPr="00FC30AA" w:rsidRDefault="000B1F31">
      <w:pPr>
        <w:spacing w:after="120"/>
        <w:rPr>
          <w:rFonts w:cstheme="minorHAnsi"/>
          <w:color w:val="000000" w:themeColor="text1"/>
          <w:szCs w:val="24"/>
        </w:rPr>
      </w:pPr>
      <w:r w:rsidRPr="00FC30AA">
        <w:rPr>
          <w:color w:val="000000" w:themeColor="text1"/>
          <w:szCs w:val="24"/>
        </w:rPr>
        <w:t xml:space="preserve">Resolution 131 </w:t>
      </w:r>
      <w:r w:rsidR="004B3EC2" w:rsidRPr="00FC30AA">
        <w:rPr>
          <w:color w:val="000000" w:themeColor="text1"/>
          <w:szCs w:val="24"/>
        </w:rPr>
        <w:t>(</w:t>
      </w:r>
      <w:r w:rsidR="009452E0">
        <w:rPr>
          <w:color w:val="000000" w:themeColor="text1"/>
          <w:szCs w:val="24"/>
        </w:rPr>
        <w:t>R</w:t>
      </w:r>
      <w:r w:rsidR="004B3EC2" w:rsidRPr="00FC30AA">
        <w:rPr>
          <w:color w:val="000000" w:themeColor="text1"/>
          <w:szCs w:val="24"/>
        </w:rPr>
        <w:t xml:space="preserve">ev. Dubai 2018) </w:t>
      </w:r>
      <w:r w:rsidRPr="00FC30AA">
        <w:rPr>
          <w:color w:val="000000" w:themeColor="text1"/>
          <w:szCs w:val="24"/>
        </w:rPr>
        <w:t xml:space="preserve">has put more demands on </w:t>
      </w:r>
      <w:r w:rsidR="00C42733" w:rsidRPr="00FC30AA">
        <w:rPr>
          <w:color w:val="000000" w:themeColor="text1"/>
          <w:szCs w:val="24"/>
        </w:rPr>
        <w:t>the staff in the division, and i</w:t>
      </w:r>
      <w:r w:rsidRPr="00FC30AA">
        <w:rPr>
          <w:color w:val="000000" w:themeColor="text1"/>
          <w:szCs w:val="24"/>
        </w:rPr>
        <w:t xml:space="preserve">n order to carry out the work, resources will need to be increased. </w:t>
      </w:r>
    </w:p>
    <w:p w14:paraId="08209C66" w14:textId="572B3DF7" w:rsidR="00DD5ACE" w:rsidRPr="00427837" w:rsidRDefault="00C42733">
      <w:pPr>
        <w:spacing w:after="120"/>
        <w:rPr>
          <w:rFonts w:cstheme="minorHAnsi"/>
          <w:color w:val="000000" w:themeColor="text1"/>
          <w:szCs w:val="24"/>
        </w:rPr>
      </w:pPr>
      <w:r w:rsidRPr="00427837">
        <w:rPr>
          <w:rFonts w:eastAsia="Calibri" w:cs="Calibri"/>
          <w:color w:val="000000" w:themeColor="text1"/>
          <w:szCs w:val="24"/>
        </w:rPr>
        <w:lastRenderedPageBreak/>
        <w:t xml:space="preserve">The BDT Director noted that the quality and reliability of ITU data provides the basis for analysis and decision-making across the ITU membership and beyond. ITU will continue to provide capacity building </w:t>
      </w:r>
      <w:r w:rsidR="00356C74">
        <w:t>for</w:t>
      </w:r>
      <w:r w:rsidRPr="00427837">
        <w:rPr>
          <w:rFonts w:eastAsia="Calibri" w:cs="Calibri"/>
          <w:color w:val="000000" w:themeColor="text1"/>
          <w:szCs w:val="24"/>
        </w:rPr>
        <w:t xml:space="preserve"> ITU Member States and ITU regional offices can play a central role in interfacing with administrations. TDAG </w:t>
      </w:r>
      <w:r w:rsidR="00F312C2">
        <w:rPr>
          <w:rFonts w:eastAsia="Calibri" w:cs="Calibri"/>
          <w:color w:val="000000" w:themeColor="text1"/>
          <w:szCs w:val="24"/>
        </w:rPr>
        <w:t>encour</w:t>
      </w:r>
      <w:r w:rsidR="008D1FE4">
        <w:rPr>
          <w:rFonts w:eastAsia="Calibri" w:cs="Calibri"/>
          <w:color w:val="000000" w:themeColor="text1"/>
          <w:szCs w:val="24"/>
        </w:rPr>
        <w:t>a</w:t>
      </w:r>
      <w:r w:rsidR="00F312C2">
        <w:rPr>
          <w:rFonts w:eastAsia="Calibri" w:cs="Calibri"/>
          <w:color w:val="000000" w:themeColor="text1"/>
          <w:szCs w:val="24"/>
        </w:rPr>
        <w:t>ged</w:t>
      </w:r>
      <w:r w:rsidRPr="00427837">
        <w:rPr>
          <w:rFonts w:eastAsia="Calibri" w:cs="Calibri"/>
          <w:color w:val="000000" w:themeColor="text1"/>
          <w:szCs w:val="24"/>
        </w:rPr>
        <w:t xml:space="preserve"> experts from Member States </w:t>
      </w:r>
      <w:r w:rsidR="00F312C2">
        <w:rPr>
          <w:rFonts w:eastAsia="Calibri" w:cs="Calibri"/>
          <w:color w:val="000000" w:themeColor="text1"/>
          <w:szCs w:val="24"/>
        </w:rPr>
        <w:t>to contribute actively</w:t>
      </w:r>
      <w:r w:rsidRPr="00427837">
        <w:rPr>
          <w:rFonts w:eastAsia="Calibri" w:cs="Calibri"/>
          <w:color w:val="000000" w:themeColor="text1"/>
          <w:szCs w:val="24"/>
        </w:rPr>
        <w:t xml:space="preserve"> in the ongoing work.</w:t>
      </w:r>
      <w:r w:rsidR="00427837" w:rsidRPr="00427837">
        <w:rPr>
          <w:rFonts w:eastAsia="Calibri" w:cs="Calibri"/>
          <w:color w:val="000000" w:themeColor="text1"/>
          <w:szCs w:val="24"/>
        </w:rPr>
        <w:t xml:space="preserve"> </w:t>
      </w:r>
      <w:r w:rsidR="003179CD" w:rsidRPr="00427837">
        <w:rPr>
          <w:rFonts w:eastAsia="Calibri" w:cs="Calibri"/>
          <w:color w:val="000000" w:themeColor="text1"/>
          <w:szCs w:val="24"/>
        </w:rPr>
        <w:t>The BDT Director will put forward a proposal to Council-19 to strengthen internal statistical capacity.</w:t>
      </w:r>
    </w:p>
    <w:tbl>
      <w:tblPr>
        <w:tblStyle w:val="TableGrid"/>
        <w:tblW w:w="0" w:type="auto"/>
        <w:tblLook w:val="04A0" w:firstRow="1" w:lastRow="0" w:firstColumn="1" w:lastColumn="0" w:noHBand="0" w:noVBand="1"/>
      </w:tblPr>
      <w:tblGrid>
        <w:gridCol w:w="9629"/>
      </w:tblGrid>
      <w:tr w:rsidR="00DD5ACE" w:rsidRPr="00957B6C" w14:paraId="721316C0" w14:textId="77777777" w:rsidTr="00004F04">
        <w:tc>
          <w:tcPr>
            <w:tcW w:w="9629" w:type="dxa"/>
          </w:tcPr>
          <w:p w14:paraId="661C987E" w14:textId="22314737" w:rsidR="00DD5ACE" w:rsidRPr="00957B6C" w:rsidRDefault="000B1F31" w:rsidP="008D20C7">
            <w:pPr>
              <w:spacing w:after="120"/>
              <w:rPr>
                <w:rFonts w:cstheme="minorHAnsi"/>
                <w:color w:val="000000" w:themeColor="text1"/>
                <w:szCs w:val="24"/>
              </w:rPr>
            </w:pPr>
            <w:r w:rsidRPr="00957B6C">
              <w:rPr>
                <w:rFonts w:eastAsia="Calibri" w:cs="Calibri"/>
              </w:rPr>
              <w:t xml:space="preserve">BDT will continue to make best efforts to collect the data associated with the new indicators including through capacity building workshops, and will engage the </w:t>
            </w:r>
            <w:r w:rsidR="008D20C7">
              <w:rPr>
                <w:rFonts w:eastAsia="Calibri" w:cs="Calibri"/>
              </w:rPr>
              <w:t>r</w:t>
            </w:r>
            <w:r w:rsidRPr="00957B6C">
              <w:rPr>
                <w:rFonts w:eastAsia="Calibri" w:cs="Calibri"/>
              </w:rPr>
              <w:t>egional offices in these efforts.</w:t>
            </w:r>
          </w:p>
        </w:tc>
      </w:tr>
    </w:tbl>
    <w:p w14:paraId="615CC30D" w14:textId="66AF8241" w:rsidR="006C56B4" w:rsidRPr="00D35C6B" w:rsidRDefault="00855A13" w:rsidP="00810998">
      <w:pPr>
        <w:keepNext/>
        <w:rPr>
          <w:b/>
          <w:bCs/>
          <w:lang w:val="en-US"/>
        </w:rPr>
      </w:pPr>
      <w:r>
        <w:rPr>
          <w:b/>
          <w:bCs/>
          <w:lang w:val="en-US"/>
        </w:rPr>
        <w:t>Breakout session:</w:t>
      </w:r>
      <w:r w:rsidRPr="00D35C6B">
        <w:rPr>
          <w:b/>
          <w:bCs/>
          <w:lang w:val="en-US"/>
        </w:rPr>
        <w:t xml:space="preserve"> </w:t>
      </w:r>
      <w:r w:rsidR="006C56B4" w:rsidRPr="00D35C6B">
        <w:rPr>
          <w:b/>
          <w:bCs/>
          <w:lang w:val="en-US"/>
        </w:rPr>
        <w:t>ICT data and statistics</w:t>
      </w:r>
    </w:p>
    <w:p w14:paraId="3EB3BAF1" w14:textId="3B7C03C0" w:rsidR="006C56B4" w:rsidRDefault="00356C74" w:rsidP="009578E6">
      <w:pPr>
        <w:rPr>
          <w:lang w:val="en-US"/>
        </w:rPr>
      </w:pPr>
      <w:r>
        <w:t xml:space="preserve">During the breakout session on ICT data and statistics, participants underlined the need to </w:t>
      </w:r>
      <w:r w:rsidR="009578E6">
        <w:rPr>
          <w:rFonts w:ascii="Calibri" w:hAnsi="Calibri"/>
        </w:rPr>
        <w:t>maintain</w:t>
      </w:r>
      <w:r w:rsidR="009578E6" w:rsidRPr="00370AB8">
        <w:rPr>
          <w:rFonts w:ascii="Calibri" w:hAnsi="Calibri"/>
        </w:rPr>
        <w:t xml:space="preserve"> ITU</w:t>
      </w:r>
      <w:r w:rsidR="009578E6">
        <w:rPr>
          <w:rFonts w:ascii="Calibri" w:hAnsi="Calibri"/>
        </w:rPr>
        <w:t>’s role</w:t>
      </w:r>
      <w:r w:rsidR="006C56B4" w:rsidRPr="00D35C6B">
        <w:rPr>
          <w:lang w:val="en-US"/>
        </w:rPr>
        <w:t xml:space="preserve"> as the main global source for ICT data, trust, relevance, visibility, </w:t>
      </w:r>
      <w:r w:rsidR="006C56B4">
        <w:rPr>
          <w:lang w:val="en-US"/>
        </w:rPr>
        <w:t>accessibility</w:t>
      </w:r>
      <w:r w:rsidR="006C56B4" w:rsidRPr="00D35C6B">
        <w:rPr>
          <w:lang w:val="en-US"/>
        </w:rPr>
        <w:t xml:space="preserve"> to data and cooperation with various stakeholders are essential components. </w:t>
      </w:r>
      <w:r>
        <w:t xml:space="preserve">Methodologies should be developed and data collected on emerging topics and new services, in partnership with other relevant organizations. Statistical work should be shared with </w:t>
      </w:r>
      <w:r w:rsidR="009578E6" w:rsidRPr="00370AB8">
        <w:rPr>
          <w:rFonts w:ascii="Calibri" w:hAnsi="Calibri"/>
        </w:rPr>
        <w:t>ITU study groups</w:t>
      </w:r>
      <w:r w:rsidR="009578E6">
        <w:rPr>
          <w:rFonts w:ascii="Calibri" w:hAnsi="Calibri"/>
        </w:rPr>
        <w:t xml:space="preserve"> as needed</w:t>
      </w:r>
      <w:r>
        <w:t>.</w:t>
      </w:r>
      <w:r w:rsidR="006C56B4" w:rsidRPr="00D35C6B">
        <w:rPr>
          <w:lang w:val="en-US"/>
        </w:rPr>
        <w:t xml:space="preserve"> The </w:t>
      </w:r>
      <w:r w:rsidR="006C56B4" w:rsidRPr="00443450">
        <w:t>Measuring the Information Society Report</w:t>
      </w:r>
      <w:r w:rsidR="006C56B4" w:rsidRPr="00443450" w:rsidDel="00443450">
        <w:rPr>
          <w:lang w:val="en-US"/>
        </w:rPr>
        <w:t xml:space="preserve"> </w:t>
      </w:r>
      <w:r w:rsidR="006C56B4" w:rsidRPr="00D35C6B">
        <w:rPr>
          <w:lang w:val="en-US"/>
        </w:rPr>
        <w:t>could be divided into a series of smaller, more focused reports, which would enhance visibility and impact</w:t>
      </w:r>
      <w:r>
        <w:t xml:space="preserve">. However, the participants noted that there </w:t>
      </w:r>
      <w:r w:rsidR="009578E6">
        <w:rPr>
          <w:rFonts w:ascii="Calibri" w:hAnsi="Calibri"/>
        </w:rPr>
        <w:t xml:space="preserve">could be </w:t>
      </w:r>
      <w:r>
        <w:t xml:space="preserve">drawbacks with this approach as they wanted everything contained in one publication that could serve as reference. Cost implications should be studied on submitting questionnaires in all the six languages, including translation of all documents into all official languages. Some suggested that </w:t>
      </w:r>
      <w:r w:rsidR="006C56B4" w:rsidRPr="00D35C6B">
        <w:rPr>
          <w:lang w:val="en-US"/>
        </w:rPr>
        <w:t xml:space="preserve">ITU should be pragmatic and realistic when including new indicators in the </w:t>
      </w:r>
      <w:r w:rsidR="006C56B4">
        <w:rPr>
          <w:lang w:val="en-US"/>
        </w:rPr>
        <w:t>ICT Development Index</w:t>
      </w:r>
      <w:r w:rsidR="006C56B4" w:rsidRPr="00D35C6B">
        <w:rPr>
          <w:lang w:val="en-US"/>
        </w:rPr>
        <w:t xml:space="preserve">, focusing on indicators with widely available </w:t>
      </w:r>
      <w:r w:rsidR="006C56B4">
        <w:rPr>
          <w:lang w:val="en-US"/>
        </w:rPr>
        <w:t xml:space="preserve">quality </w:t>
      </w:r>
      <w:r w:rsidR="006C56B4" w:rsidRPr="00D35C6B">
        <w:rPr>
          <w:lang w:val="en-US"/>
        </w:rPr>
        <w:t xml:space="preserve">data. The conceptual framework </w:t>
      </w:r>
      <w:r w:rsidR="006C56B4">
        <w:rPr>
          <w:lang w:val="en-US"/>
        </w:rPr>
        <w:t xml:space="preserve">also </w:t>
      </w:r>
      <w:r w:rsidR="006C56B4" w:rsidRPr="00D35C6B">
        <w:rPr>
          <w:lang w:val="en-US"/>
        </w:rPr>
        <w:t xml:space="preserve">needs to be </w:t>
      </w:r>
      <w:r>
        <w:t xml:space="preserve">continuously </w:t>
      </w:r>
      <w:r w:rsidR="006C56B4" w:rsidRPr="00D35C6B">
        <w:rPr>
          <w:lang w:val="en-US"/>
        </w:rPr>
        <w:t xml:space="preserve">revisited. The </w:t>
      </w:r>
      <w:r w:rsidR="006C56B4">
        <w:rPr>
          <w:lang w:val="en-US"/>
        </w:rPr>
        <w:t>ICT Development Index</w:t>
      </w:r>
      <w:r w:rsidR="006C56B4" w:rsidRPr="00D35C6B" w:rsidDel="00443450">
        <w:rPr>
          <w:lang w:val="en-US"/>
        </w:rPr>
        <w:t xml:space="preserve"> </w:t>
      </w:r>
      <w:r w:rsidR="006C56B4" w:rsidRPr="00D35C6B">
        <w:rPr>
          <w:lang w:val="en-US"/>
        </w:rPr>
        <w:t xml:space="preserve">analysis could be enhanced by exploring a number of factors that potentially impact the rankings and </w:t>
      </w:r>
      <w:r w:rsidR="00B6515C">
        <w:rPr>
          <w:lang w:val="en-US"/>
        </w:rPr>
        <w:t xml:space="preserve">by </w:t>
      </w:r>
      <w:r w:rsidR="006C56B4" w:rsidRPr="00D35C6B">
        <w:rPr>
          <w:lang w:val="en-US"/>
        </w:rPr>
        <w:t>including policy recommendations.</w:t>
      </w:r>
    </w:p>
    <w:p w14:paraId="101774A3" w14:textId="3019DA6C" w:rsidR="00965FD2" w:rsidRPr="00957B6C" w:rsidRDefault="00B8346F" w:rsidP="009B5B24">
      <w:pPr>
        <w:spacing w:after="120"/>
        <w:rPr>
          <w:rFonts w:cstheme="minorHAnsi"/>
          <w:color w:val="000000" w:themeColor="text1"/>
          <w:szCs w:val="24"/>
        </w:rPr>
      </w:pPr>
      <w:hyperlink r:id="rId55" w:history="1">
        <w:r w:rsidR="00965FD2" w:rsidRPr="00957B6C">
          <w:rPr>
            <w:rStyle w:val="Hyperlink"/>
            <w:rFonts w:cstheme="minorHAnsi"/>
            <w:b/>
            <w:bCs/>
            <w:szCs w:val="24"/>
          </w:rPr>
          <w:t>Document 35</w:t>
        </w:r>
      </w:hyperlink>
      <w:r w:rsidR="00965FD2" w:rsidRPr="00957B6C">
        <w:rPr>
          <w:rFonts w:cstheme="minorHAnsi"/>
          <w:b/>
          <w:bCs/>
          <w:color w:val="000000" w:themeColor="text1"/>
          <w:szCs w:val="24"/>
        </w:rPr>
        <w:t>:</w:t>
      </w:r>
      <w:r w:rsidR="00965FD2" w:rsidRPr="00957B6C">
        <w:rPr>
          <w:rFonts w:cstheme="minorHAnsi"/>
          <w:color w:val="000000" w:themeColor="text1"/>
          <w:szCs w:val="24"/>
        </w:rPr>
        <w:t xml:space="preserve"> “Proposals on the Work of Study Groups on Statistics in the Field of Telecommunication/ICT in accordance with the Revision of Resolution 131 (Rev. Dubai, 2018) Measuring Information and Communication Technologies to Build an Integrating and Inclusive Information Society” </w:t>
      </w:r>
      <w:r w:rsidR="00855A13">
        <w:rPr>
          <w:rFonts w:cstheme="minorHAnsi"/>
          <w:color w:val="000000" w:themeColor="text1"/>
          <w:szCs w:val="24"/>
        </w:rPr>
        <w:t xml:space="preserve">(Russian Federation) </w:t>
      </w:r>
      <w:r w:rsidR="00965FD2" w:rsidRPr="00957B6C">
        <w:rPr>
          <w:rFonts w:cstheme="minorHAnsi"/>
          <w:color w:val="000000" w:themeColor="text1"/>
          <w:szCs w:val="24"/>
        </w:rPr>
        <w:t xml:space="preserve">suggests actions to be taken in order to fulfil the new instruction given in the resolution. </w:t>
      </w:r>
    </w:p>
    <w:p w14:paraId="6EE256D2" w14:textId="1FA8A3EF" w:rsidR="00965FD2" w:rsidRPr="00957B6C" w:rsidRDefault="004B3EC2" w:rsidP="00B6515C">
      <w:pPr>
        <w:spacing w:after="120"/>
        <w:rPr>
          <w:rFonts w:cstheme="minorHAnsi"/>
          <w:color w:val="000000" w:themeColor="text1"/>
          <w:szCs w:val="24"/>
        </w:rPr>
      </w:pPr>
      <w:r w:rsidRPr="00957B6C">
        <w:rPr>
          <w:rFonts w:cstheme="minorHAnsi"/>
          <w:color w:val="000000" w:themeColor="text1"/>
          <w:szCs w:val="24"/>
        </w:rPr>
        <w:t xml:space="preserve">In particular, </w:t>
      </w:r>
      <w:r w:rsidR="00965FD2" w:rsidRPr="00957B6C">
        <w:rPr>
          <w:rFonts w:cstheme="minorHAnsi"/>
          <w:color w:val="000000" w:themeColor="text1"/>
          <w:szCs w:val="24"/>
        </w:rPr>
        <w:t>Resolution 131</w:t>
      </w:r>
      <w:r w:rsidRPr="00957B6C">
        <w:rPr>
          <w:rFonts w:cstheme="minorHAnsi"/>
          <w:color w:val="000000" w:themeColor="text1"/>
          <w:szCs w:val="24"/>
        </w:rPr>
        <w:t xml:space="preserve"> as revised </w:t>
      </w:r>
      <w:r w:rsidR="006511E4" w:rsidRPr="00957B6C">
        <w:rPr>
          <w:rFonts w:cstheme="minorHAnsi"/>
          <w:color w:val="000000" w:themeColor="text1"/>
          <w:szCs w:val="24"/>
        </w:rPr>
        <w:t>instructs</w:t>
      </w:r>
      <w:r w:rsidR="00965FD2" w:rsidRPr="00957B6C">
        <w:rPr>
          <w:rFonts w:cstheme="minorHAnsi"/>
          <w:szCs w:val="24"/>
        </w:rPr>
        <w:t xml:space="preserve"> ITU-D study groups to take into account the relevant findings of the </w:t>
      </w:r>
      <w:r w:rsidR="006511E4" w:rsidRPr="00957B6C">
        <w:rPr>
          <w:rFonts w:cstheme="minorHAnsi"/>
          <w:szCs w:val="24"/>
        </w:rPr>
        <w:t>“</w:t>
      </w:r>
      <w:hyperlink r:id="rId56" w:history="1">
        <w:r w:rsidR="00356C74" w:rsidRPr="009578E6">
          <w:rPr>
            <w:rStyle w:val="Hyperlink"/>
          </w:rPr>
          <w:t>Measuring the Information Society Report</w:t>
        </w:r>
      </w:hyperlink>
      <w:r w:rsidR="002D63CA">
        <w:rPr>
          <w:rStyle w:val="Hyperlink"/>
          <w:color w:val="auto"/>
          <w:u w:val="none"/>
        </w:rPr>
        <w:t>” (MISR)</w:t>
      </w:r>
      <w:r w:rsidR="00965FD2" w:rsidRPr="00957B6C">
        <w:rPr>
          <w:rStyle w:val="Hyperlink"/>
          <w:rFonts w:cstheme="minorHAnsi"/>
          <w:color w:val="auto"/>
          <w:szCs w:val="24"/>
          <w:u w:val="none"/>
        </w:rPr>
        <w:t xml:space="preserve"> </w:t>
      </w:r>
      <w:r w:rsidR="00965FD2" w:rsidRPr="00957B6C">
        <w:rPr>
          <w:rFonts w:cstheme="minorHAnsi"/>
          <w:szCs w:val="24"/>
        </w:rPr>
        <w:t xml:space="preserve">in order to help Member States bridge the digital divide. </w:t>
      </w:r>
      <w:r w:rsidR="00705894" w:rsidRPr="00957B6C">
        <w:rPr>
          <w:rFonts w:cstheme="minorHAnsi"/>
          <w:szCs w:val="24"/>
        </w:rPr>
        <w:t xml:space="preserve">The proposals put forward require </w:t>
      </w:r>
      <w:r w:rsidR="00965FD2" w:rsidRPr="00957B6C">
        <w:rPr>
          <w:rFonts w:cstheme="minorHAnsi"/>
          <w:szCs w:val="24"/>
        </w:rPr>
        <w:t xml:space="preserve">ITU-D study groups </w:t>
      </w:r>
      <w:r w:rsidR="00705894" w:rsidRPr="00957B6C">
        <w:rPr>
          <w:rFonts w:cstheme="minorHAnsi"/>
          <w:szCs w:val="24"/>
        </w:rPr>
        <w:t xml:space="preserve">to </w:t>
      </w:r>
      <w:r w:rsidR="00965FD2" w:rsidRPr="00957B6C">
        <w:rPr>
          <w:rFonts w:cstheme="minorHAnsi"/>
          <w:szCs w:val="24"/>
        </w:rPr>
        <w:t>be more involved in the work of EGTI/EGH through three liaising measures:</w:t>
      </w:r>
    </w:p>
    <w:p w14:paraId="7C29ACAC" w14:textId="63813CED" w:rsidR="00965FD2" w:rsidRPr="00957B6C" w:rsidRDefault="00965FD2" w:rsidP="00810998">
      <w:pPr>
        <w:pStyle w:val="CEONormal"/>
        <w:numPr>
          <w:ilvl w:val="0"/>
          <w:numId w:val="4"/>
        </w:numPr>
        <w:overflowPunct w:val="0"/>
        <w:autoSpaceDE w:val="0"/>
        <w:autoSpaceDN w:val="0"/>
        <w:adjustRightInd w:val="0"/>
        <w:spacing w:before="40" w:after="40"/>
        <w:ind w:left="567" w:hanging="567"/>
        <w:textAlignment w:val="baseline"/>
        <w:rPr>
          <w:rFonts w:asciiTheme="minorHAnsi" w:hAnsiTheme="minorHAnsi" w:cstheme="minorHAnsi"/>
          <w:sz w:val="24"/>
          <w:szCs w:val="24"/>
        </w:rPr>
      </w:pPr>
      <w:r w:rsidRPr="00957B6C">
        <w:rPr>
          <w:rFonts w:asciiTheme="minorHAnsi" w:hAnsiTheme="minorHAnsi" w:cstheme="minorHAnsi"/>
          <w:sz w:val="24"/>
          <w:szCs w:val="24"/>
        </w:rPr>
        <w:t xml:space="preserve">The ICT Data and Statistics (IDS) Division of BDT should provide information on the </w:t>
      </w:r>
      <w:hyperlink r:id="rId57" w:history="1">
        <w:r w:rsidR="00356C74" w:rsidRPr="00356C74">
          <w:rPr>
            <w:rStyle w:val="Hyperlink"/>
            <w:rFonts w:asciiTheme="minorHAnsi" w:hAnsiTheme="minorHAnsi"/>
            <w:sz w:val="24"/>
            <w:szCs w:val="24"/>
          </w:rPr>
          <w:t>MISR</w:t>
        </w:r>
      </w:hyperlink>
      <w:r w:rsidRPr="00957B6C">
        <w:rPr>
          <w:rFonts w:asciiTheme="minorHAnsi" w:hAnsiTheme="minorHAnsi" w:cstheme="minorHAnsi"/>
          <w:sz w:val="24"/>
          <w:szCs w:val="24"/>
        </w:rPr>
        <w:t xml:space="preserve"> and other relevant ITU statistical publications to study groups.</w:t>
      </w:r>
    </w:p>
    <w:p w14:paraId="65D24263" w14:textId="2B4565A9" w:rsidR="00965FD2" w:rsidRPr="00957B6C" w:rsidRDefault="00965FD2" w:rsidP="00810998">
      <w:pPr>
        <w:pStyle w:val="CEONormal"/>
        <w:numPr>
          <w:ilvl w:val="0"/>
          <w:numId w:val="4"/>
        </w:numPr>
        <w:overflowPunct w:val="0"/>
        <w:autoSpaceDE w:val="0"/>
        <w:autoSpaceDN w:val="0"/>
        <w:adjustRightInd w:val="0"/>
        <w:spacing w:before="40" w:after="40"/>
        <w:ind w:left="567" w:hanging="567"/>
        <w:textAlignment w:val="baseline"/>
        <w:rPr>
          <w:rFonts w:asciiTheme="minorHAnsi" w:hAnsiTheme="minorHAnsi" w:cstheme="minorHAnsi"/>
          <w:sz w:val="24"/>
          <w:szCs w:val="24"/>
        </w:rPr>
      </w:pPr>
      <w:r w:rsidRPr="00957B6C">
        <w:rPr>
          <w:rFonts w:asciiTheme="minorHAnsi" w:hAnsiTheme="minorHAnsi" w:cstheme="minorHAnsi"/>
          <w:sz w:val="24"/>
          <w:szCs w:val="24"/>
        </w:rPr>
        <w:t xml:space="preserve">Study Groups 1 and 2 should </w:t>
      </w:r>
      <w:r w:rsidR="00EC7813" w:rsidRPr="00EC7813">
        <w:rPr>
          <w:rFonts w:asciiTheme="minorHAnsi" w:hAnsiTheme="minorHAnsi" w:cstheme="minorHAnsi"/>
          <w:sz w:val="24"/>
          <w:szCs w:val="24"/>
        </w:rPr>
        <w:t>assign rapporteurs to</w:t>
      </w:r>
      <w:r w:rsidR="008D1FE4">
        <w:rPr>
          <w:rFonts w:asciiTheme="minorHAnsi" w:hAnsiTheme="minorHAnsi" w:cstheme="minorHAnsi"/>
          <w:sz w:val="24"/>
          <w:szCs w:val="24"/>
        </w:rPr>
        <w:t xml:space="preserve"> </w:t>
      </w:r>
      <w:r w:rsidR="00EC7813" w:rsidRPr="00EC7813">
        <w:rPr>
          <w:rFonts w:asciiTheme="minorHAnsi" w:hAnsiTheme="minorHAnsi" w:cstheme="minorHAnsi"/>
          <w:sz w:val="24"/>
          <w:szCs w:val="24"/>
        </w:rPr>
        <w:t xml:space="preserve">participate in </w:t>
      </w:r>
      <w:r w:rsidRPr="00957B6C">
        <w:rPr>
          <w:rFonts w:asciiTheme="minorHAnsi" w:hAnsiTheme="minorHAnsi" w:cstheme="minorHAnsi"/>
          <w:sz w:val="24"/>
          <w:szCs w:val="24"/>
        </w:rPr>
        <w:t>EGTI/EGH and report back to their respective study groups.</w:t>
      </w:r>
    </w:p>
    <w:p w14:paraId="4E49AC33" w14:textId="50EBA688" w:rsidR="00965FD2" w:rsidRPr="00957B6C" w:rsidRDefault="00965FD2" w:rsidP="00810998">
      <w:pPr>
        <w:pStyle w:val="CEONormal"/>
        <w:numPr>
          <w:ilvl w:val="0"/>
          <w:numId w:val="4"/>
        </w:numPr>
        <w:overflowPunct w:val="0"/>
        <w:autoSpaceDE w:val="0"/>
        <w:autoSpaceDN w:val="0"/>
        <w:adjustRightInd w:val="0"/>
        <w:spacing w:before="40" w:after="40"/>
        <w:ind w:left="567" w:hanging="567"/>
        <w:textAlignment w:val="baseline"/>
        <w:rPr>
          <w:rFonts w:asciiTheme="minorHAnsi" w:hAnsiTheme="minorHAnsi" w:cstheme="minorHAnsi"/>
          <w:sz w:val="24"/>
          <w:szCs w:val="24"/>
        </w:rPr>
      </w:pPr>
      <w:r w:rsidRPr="00957B6C">
        <w:rPr>
          <w:rFonts w:asciiTheme="minorHAnsi" w:hAnsiTheme="minorHAnsi" w:cstheme="minorHAnsi"/>
          <w:sz w:val="24"/>
          <w:szCs w:val="24"/>
        </w:rPr>
        <w:t>Where study groups have topics in their mandate related to ICT indicators included in the ICT Development Index</w:t>
      </w:r>
      <w:r w:rsidR="00705894" w:rsidRPr="00957B6C">
        <w:rPr>
          <w:rFonts w:asciiTheme="minorHAnsi" w:hAnsiTheme="minorHAnsi" w:cstheme="minorHAnsi"/>
          <w:sz w:val="24"/>
          <w:szCs w:val="24"/>
        </w:rPr>
        <w:t xml:space="preserve"> (IDI)</w:t>
      </w:r>
      <w:r w:rsidRPr="00957B6C">
        <w:rPr>
          <w:rFonts w:asciiTheme="minorHAnsi" w:hAnsiTheme="minorHAnsi" w:cstheme="minorHAnsi"/>
          <w:sz w:val="24"/>
          <w:szCs w:val="24"/>
        </w:rPr>
        <w:t xml:space="preserve">, they should be involved in the work on the revision of </w:t>
      </w:r>
      <w:r w:rsidR="00537DC9" w:rsidRPr="00957B6C">
        <w:rPr>
          <w:rFonts w:asciiTheme="minorHAnsi" w:hAnsiTheme="minorHAnsi" w:cstheme="minorHAnsi"/>
          <w:sz w:val="24"/>
          <w:szCs w:val="24"/>
        </w:rPr>
        <w:t xml:space="preserve">the </w:t>
      </w:r>
      <w:r w:rsidRPr="00957B6C">
        <w:rPr>
          <w:rFonts w:asciiTheme="minorHAnsi" w:hAnsiTheme="minorHAnsi" w:cstheme="minorHAnsi"/>
          <w:sz w:val="24"/>
          <w:szCs w:val="24"/>
        </w:rPr>
        <w:t>IDI, as appropriate.</w:t>
      </w:r>
      <w:r w:rsidR="00EC7813" w:rsidRPr="00EC7813">
        <w:rPr>
          <w:rFonts w:asciiTheme="minorHAnsi" w:hAnsiTheme="minorHAnsi" w:cstheme="minorHAnsi"/>
          <w:sz w:val="24"/>
          <w:szCs w:val="24"/>
        </w:rPr>
        <w:t xml:space="preserve"> When the report from the breakout session was presented in plenary, it was decided that </w:t>
      </w:r>
      <w:r w:rsidR="008D1FE4">
        <w:rPr>
          <w:rFonts w:asciiTheme="minorHAnsi" w:hAnsiTheme="minorHAnsi" w:cstheme="minorHAnsi"/>
          <w:sz w:val="24"/>
          <w:szCs w:val="24"/>
        </w:rPr>
        <w:t>s</w:t>
      </w:r>
      <w:r w:rsidR="00EC7813" w:rsidRPr="00EC7813">
        <w:rPr>
          <w:rFonts w:asciiTheme="minorHAnsi" w:hAnsiTheme="minorHAnsi" w:cstheme="minorHAnsi"/>
          <w:sz w:val="24"/>
          <w:szCs w:val="24"/>
        </w:rPr>
        <w:t xml:space="preserve">tudy </w:t>
      </w:r>
      <w:r w:rsidR="008D1FE4">
        <w:rPr>
          <w:rFonts w:asciiTheme="minorHAnsi" w:hAnsiTheme="minorHAnsi" w:cstheme="minorHAnsi"/>
          <w:sz w:val="24"/>
          <w:szCs w:val="24"/>
        </w:rPr>
        <w:t>g</w:t>
      </w:r>
      <w:r w:rsidR="00EC7813" w:rsidRPr="00EC7813">
        <w:rPr>
          <w:rFonts w:asciiTheme="minorHAnsi" w:hAnsiTheme="minorHAnsi" w:cstheme="minorHAnsi"/>
          <w:sz w:val="24"/>
          <w:szCs w:val="24"/>
        </w:rPr>
        <w:t xml:space="preserve">roups would not conduct work on statistics as it was specialized and the work had to be done within the context of </w:t>
      </w:r>
      <w:r w:rsidR="008D1FE4">
        <w:rPr>
          <w:rFonts w:asciiTheme="minorHAnsi" w:hAnsiTheme="minorHAnsi" w:cstheme="minorHAnsi"/>
          <w:sz w:val="24"/>
          <w:szCs w:val="24"/>
        </w:rPr>
        <w:t>e</w:t>
      </w:r>
      <w:r w:rsidR="00EC7813" w:rsidRPr="00EC7813">
        <w:rPr>
          <w:rFonts w:asciiTheme="minorHAnsi" w:hAnsiTheme="minorHAnsi" w:cstheme="minorHAnsi"/>
          <w:sz w:val="24"/>
          <w:szCs w:val="24"/>
        </w:rPr>
        <w:t xml:space="preserve">xpert </w:t>
      </w:r>
      <w:r w:rsidR="008D1FE4">
        <w:rPr>
          <w:rFonts w:asciiTheme="minorHAnsi" w:hAnsiTheme="minorHAnsi" w:cstheme="minorHAnsi"/>
          <w:sz w:val="24"/>
          <w:szCs w:val="24"/>
        </w:rPr>
        <w:t>g</w:t>
      </w:r>
      <w:r w:rsidR="00EC7813" w:rsidRPr="00EC7813">
        <w:rPr>
          <w:rFonts w:asciiTheme="minorHAnsi" w:hAnsiTheme="minorHAnsi" w:cstheme="minorHAnsi"/>
          <w:sz w:val="24"/>
          <w:szCs w:val="24"/>
        </w:rPr>
        <w:t>roups.</w:t>
      </w:r>
    </w:p>
    <w:p w14:paraId="7B60115E" w14:textId="42587DBB" w:rsidR="000B1F31" w:rsidRPr="00427837" w:rsidRDefault="000B1F31" w:rsidP="00EC7813">
      <w:pPr>
        <w:spacing w:after="120"/>
        <w:rPr>
          <w:color w:val="000000" w:themeColor="text1"/>
        </w:rPr>
      </w:pPr>
      <w:r w:rsidRPr="00427837">
        <w:rPr>
          <w:color w:val="000000" w:themeColor="text1"/>
        </w:rPr>
        <w:lastRenderedPageBreak/>
        <w:t xml:space="preserve">TDAG agreed that IDS staff should present data to study group meetings relevant to questions under consideration. Rapporteurs or vice-chairmen of study groups could also attend the statistical expert meetings </w:t>
      </w:r>
      <w:r w:rsidR="00EC7813">
        <w:t xml:space="preserve">and could </w:t>
      </w:r>
      <w:r w:rsidRPr="00427837">
        <w:rPr>
          <w:color w:val="000000" w:themeColor="text1"/>
        </w:rPr>
        <w:t>provide inputs. However, this should not add to the workload of study groups, which should leave the technical discussions to the indicator experts.</w:t>
      </w:r>
    </w:p>
    <w:tbl>
      <w:tblPr>
        <w:tblStyle w:val="TableGrid"/>
        <w:tblW w:w="0" w:type="auto"/>
        <w:tblLook w:val="04A0" w:firstRow="1" w:lastRow="0" w:firstColumn="1" w:lastColumn="0" w:noHBand="0" w:noVBand="1"/>
      </w:tblPr>
      <w:tblGrid>
        <w:gridCol w:w="9629"/>
      </w:tblGrid>
      <w:tr w:rsidR="00965FD2" w:rsidRPr="00957B6C" w14:paraId="709A832F" w14:textId="77777777" w:rsidTr="00660D9E">
        <w:tc>
          <w:tcPr>
            <w:tcW w:w="9629" w:type="dxa"/>
          </w:tcPr>
          <w:p w14:paraId="2F87321E" w14:textId="5E045855" w:rsidR="000B1F31" w:rsidRPr="00957B6C" w:rsidRDefault="00477AE6" w:rsidP="00477AE6">
            <w:pPr>
              <w:keepLines/>
              <w:spacing w:after="120"/>
              <w:rPr>
                <w:rFonts w:cstheme="minorHAnsi"/>
                <w:color w:val="000000" w:themeColor="text1"/>
                <w:szCs w:val="24"/>
              </w:rPr>
            </w:pPr>
            <w:r w:rsidRPr="00477AE6">
              <w:rPr>
                <w:rFonts w:eastAsia="Calibri" w:cs="Calibri"/>
              </w:rPr>
              <w:t>TDAG agreed that relevant ITU ICT statistics and information on the latest publications should be made available to study groups, that revision or update to such data should occur in the context of the expert groups and that members of study groups can be invited to attend these meetings as appropriate.</w:t>
            </w:r>
            <w:r w:rsidR="00BE016B">
              <w:rPr>
                <w:rFonts w:eastAsia="Calibri" w:cs="Calibri"/>
              </w:rPr>
              <w:t xml:space="preserve"> </w:t>
            </w:r>
          </w:p>
        </w:tc>
      </w:tr>
    </w:tbl>
    <w:p w14:paraId="72A79D8E" w14:textId="77777777" w:rsidR="00965FD2" w:rsidRPr="00957B6C" w:rsidRDefault="00965FD2" w:rsidP="002807C2">
      <w:pPr>
        <w:pStyle w:val="ListParagraph"/>
        <w:keepNext/>
        <w:numPr>
          <w:ilvl w:val="1"/>
          <w:numId w:val="1"/>
        </w:numPr>
        <w:spacing w:before="240" w:after="120"/>
        <w:ind w:left="505" w:hanging="505"/>
        <w:contextualSpacing w:val="0"/>
        <w:rPr>
          <w:rStyle w:val="StyleComplex12pt"/>
          <w:rFonts w:cstheme="minorHAnsi"/>
          <w:b/>
          <w:bCs/>
        </w:rPr>
      </w:pPr>
      <w:r w:rsidRPr="00957B6C">
        <w:rPr>
          <w:rStyle w:val="StyleComplex12pt"/>
          <w:rFonts w:cstheme="minorHAnsi"/>
          <w:b/>
          <w:bCs/>
        </w:rPr>
        <w:t xml:space="preserve"> Emergency telecommunications, climate change, e-waste, LDCs, LLDCs, and SIDS</w:t>
      </w:r>
    </w:p>
    <w:p w14:paraId="2354379D" w14:textId="77777777" w:rsidR="009E053F" w:rsidRPr="00957B6C" w:rsidRDefault="00B8346F" w:rsidP="009B5B24">
      <w:pPr>
        <w:tabs>
          <w:tab w:val="clear" w:pos="1134"/>
          <w:tab w:val="clear" w:pos="1871"/>
          <w:tab w:val="clear" w:pos="2268"/>
        </w:tabs>
        <w:overflowPunct/>
        <w:autoSpaceDE/>
        <w:autoSpaceDN/>
        <w:adjustRightInd/>
        <w:spacing w:after="120"/>
        <w:textAlignment w:val="auto"/>
        <w:rPr>
          <w:rFonts w:eastAsia="Calibri" w:cstheme="minorHAnsi"/>
          <w:szCs w:val="24"/>
        </w:rPr>
      </w:pPr>
      <w:hyperlink r:id="rId58" w:history="1">
        <w:r w:rsidR="00965FD2" w:rsidRPr="00957B6C">
          <w:rPr>
            <w:rStyle w:val="Hyperlink"/>
            <w:rFonts w:cstheme="minorHAnsi"/>
            <w:b/>
            <w:bCs/>
            <w:szCs w:val="24"/>
          </w:rPr>
          <w:t>Document 26</w:t>
        </w:r>
      </w:hyperlink>
      <w:r w:rsidR="00965FD2" w:rsidRPr="00957B6C">
        <w:rPr>
          <w:rFonts w:cstheme="minorHAnsi"/>
          <w:b/>
          <w:bCs/>
          <w:color w:val="000000" w:themeColor="text1"/>
          <w:szCs w:val="24"/>
        </w:rPr>
        <w:t>:</w:t>
      </w:r>
      <w:r w:rsidR="00965FD2" w:rsidRPr="00957B6C">
        <w:rPr>
          <w:rFonts w:cstheme="minorHAnsi"/>
          <w:color w:val="000000" w:themeColor="text1"/>
          <w:szCs w:val="24"/>
        </w:rPr>
        <w:t xml:space="preserve"> “Emergency Telecommunications, Climate Change, E-waste, LDCs, LLDCs, and SIDS” provides a summary of work on emergency telecommunications, climate change and e-waste</w:t>
      </w:r>
      <w:r w:rsidR="00965FD2" w:rsidRPr="00957B6C" w:rsidDel="00977CC4">
        <w:rPr>
          <w:rFonts w:cstheme="minorHAnsi"/>
          <w:color w:val="000000" w:themeColor="text1"/>
          <w:szCs w:val="24"/>
        </w:rPr>
        <w:t xml:space="preserve"> </w:t>
      </w:r>
      <w:r w:rsidR="00965FD2" w:rsidRPr="00957B6C">
        <w:rPr>
          <w:rFonts w:cstheme="minorHAnsi"/>
          <w:color w:val="000000" w:themeColor="text1"/>
          <w:szCs w:val="24"/>
        </w:rPr>
        <w:t>and</w:t>
      </w:r>
      <w:r w:rsidR="00965FD2" w:rsidRPr="00957B6C">
        <w:rPr>
          <w:rFonts w:cstheme="minorHAnsi"/>
          <w:szCs w:val="24"/>
        </w:rPr>
        <w:t xml:space="preserve"> concentrated assistance to l</w:t>
      </w:r>
      <w:r w:rsidR="00965FD2" w:rsidRPr="00957B6C">
        <w:rPr>
          <w:rFonts w:eastAsia="Batang" w:cstheme="minorHAnsi"/>
          <w:color w:val="000000" w:themeColor="text1"/>
          <w:szCs w:val="24"/>
        </w:rPr>
        <w:t>east developed countries (LDCs), landlocked developing countries (LLDCs) and small island developing states (SIDS)</w:t>
      </w:r>
      <w:r w:rsidR="00965FD2" w:rsidRPr="00957B6C">
        <w:rPr>
          <w:rFonts w:eastAsia="Calibri" w:cstheme="minorHAnsi"/>
          <w:szCs w:val="24"/>
        </w:rPr>
        <w:t xml:space="preserve">. </w:t>
      </w:r>
    </w:p>
    <w:p w14:paraId="70E65295" w14:textId="77777777" w:rsidR="00965FD2" w:rsidRPr="00957B6C" w:rsidRDefault="00965FD2" w:rsidP="009B5B24">
      <w:pPr>
        <w:tabs>
          <w:tab w:val="clear" w:pos="1134"/>
          <w:tab w:val="clear" w:pos="1871"/>
          <w:tab w:val="clear" w:pos="2268"/>
        </w:tabs>
        <w:overflowPunct/>
        <w:autoSpaceDE/>
        <w:autoSpaceDN/>
        <w:adjustRightInd/>
        <w:spacing w:after="120"/>
        <w:textAlignment w:val="auto"/>
        <w:rPr>
          <w:rFonts w:cstheme="minorHAnsi"/>
          <w:szCs w:val="24"/>
        </w:rPr>
      </w:pPr>
      <w:r w:rsidRPr="00957B6C">
        <w:rPr>
          <w:rFonts w:eastAsia="Calibri" w:cstheme="minorHAnsi"/>
          <w:szCs w:val="24"/>
        </w:rPr>
        <w:t>Activities implemented in 2018 included face-to-face and online training, sharing of guidelines and good practices on ICT access and use as part of policy guidance. A</w:t>
      </w:r>
      <w:r w:rsidRPr="00957B6C">
        <w:rPr>
          <w:rFonts w:cstheme="minorHAnsi"/>
          <w:szCs w:val="24"/>
        </w:rPr>
        <w:t xml:space="preserve"> special </w:t>
      </w:r>
      <w:r w:rsidRPr="00957B6C">
        <w:rPr>
          <w:rFonts w:eastAsia="Batang" w:cstheme="minorHAnsi"/>
          <w:szCs w:val="24"/>
        </w:rPr>
        <w:t>report “</w:t>
      </w:r>
      <w:hyperlink r:id="rId59" w:history="1">
        <w:r w:rsidRPr="00957B6C">
          <w:rPr>
            <w:rStyle w:val="Hyperlink"/>
            <w:rFonts w:eastAsia="Batang" w:cstheme="minorHAnsi"/>
            <w:color w:val="auto"/>
            <w:szCs w:val="24"/>
            <w:u w:val="none"/>
          </w:rPr>
          <w:t>ICTs, LDCs, and the SDGs – Achieving Universal and Affordable Internet in the LDCs</w:t>
        </w:r>
      </w:hyperlink>
      <w:r w:rsidRPr="00957B6C">
        <w:rPr>
          <w:rFonts w:eastAsia="Batang" w:cstheme="minorHAnsi"/>
          <w:szCs w:val="24"/>
        </w:rPr>
        <w:t xml:space="preserve">” has been published, highlighting that, while Internet access has increased substantially, </w:t>
      </w:r>
      <w:r w:rsidRPr="00957B6C">
        <w:rPr>
          <w:rFonts w:cstheme="minorHAnsi"/>
          <w:szCs w:val="24"/>
        </w:rPr>
        <w:t xml:space="preserve">800 million people in LDCs </w:t>
      </w:r>
      <w:r w:rsidR="00E25977">
        <w:rPr>
          <w:rFonts w:cstheme="minorHAnsi"/>
          <w:szCs w:val="24"/>
        </w:rPr>
        <w:t>are still unconnected</w:t>
      </w:r>
      <w:r w:rsidRPr="00957B6C">
        <w:rPr>
          <w:rFonts w:cstheme="minorHAnsi"/>
          <w:szCs w:val="24"/>
        </w:rPr>
        <w:t xml:space="preserve">. </w:t>
      </w:r>
    </w:p>
    <w:p w14:paraId="4EFB0215" w14:textId="77777777" w:rsidR="00965FD2" w:rsidRPr="00957B6C" w:rsidRDefault="00965FD2" w:rsidP="009B5B24">
      <w:pPr>
        <w:overflowPunct/>
        <w:autoSpaceDE/>
        <w:autoSpaceDN/>
        <w:adjustRightInd/>
        <w:spacing w:after="120"/>
        <w:textAlignment w:val="auto"/>
        <w:rPr>
          <w:rFonts w:cstheme="minorHAnsi"/>
          <w:bCs/>
          <w:szCs w:val="24"/>
          <w:bdr w:val="none" w:sz="0" w:space="0" w:color="auto" w:frame="1"/>
          <w:shd w:val="clear" w:color="auto" w:fill="FFFFFF"/>
          <w:lang w:eastAsia="zh-CN"/>
        </w:rPr>
      </w:pPr>
      <w:r w:rsidRPr="00957B6C">
        <w:rPr>
          <w:rFonts w:cstheme="minorHAnsi"/>
          <w:szCs w:val="24"/>
        </w:rPr>
        <w:t xml:space="preserve">BDT worked within the Environment Management Group (EMG) and was instrumental in the establishment of what is now known as the E-waste Coalition. During the annual meeting of the World Economic Forum in Davos, the E-waste Coalition published the report </w:t>
      </w:r>
      <w:r w:rsidRPr="00957B6C">
        <w:rPr>
          <w:rFonts w:cstheme="minorHAnsi"/>
          <w:bCs/>
          <w:szCs w:val="24"/>
        </w:rPr>
        <w:t>“</w:t>
      </w:r>
      <w:hyperlink r:id="rId60" w:history="1">
        <w:r w:rsidRPr="00957B6C">
          <w:rPr>
            <w:rStyle w:val="Hyperlink"/>
            <w:rFonts w:cstheme="minorHAnsi"/>
            <w:bCs/>
            <w:color w:val="auto"/>
            <w:szCs w:val="24"/>
            <w:u w:val="none"/>
          </w:rPr>
          <w:t>A New Circular Vision for Electronics - Time for a Global Reboot</w:t>
        </w:r>
      </w:hyperlink>
      <w:r w:rsidRPr="00957B6C">
        <w:rPr>
          <w:rFonts w:cstheme="minorHAnsi"/>
          <w:szCs w:val="24"/>
        </w:rPr>
        <w:t xml:space="preserve">”, in which ITU and six other UN entities came together, with the </w:t>
      </w:r>
      <w:r w:rsidRPr="00957B6C">
        <w:rPr>
          <w:rFonts w:cstheme="minorHAnsi"/>
          <w:bCs/>
          <w:szCs w:val="24"/>
          <w:bdr w:val="none" w:sz="0" w:space="0" w:color="auto" w:frame="1"/>
          <w:shd w:val="clear" w:color="auto" w:fill="FFFFFF"/>
          <w:lang w:eastAsia="zh-CN"/>
        </w:rPr>
        <w:t>support of the World Economic Forum and World Business Council for Sustainable Development, and called for an overhaul of the current electronic system, with the aim of supporting international efforts to address challenges relating to e-waste.</w:t>
      </w:r>
    </w:p>
    <w:p w14:paraId="0E8BC576" w14:textId="77777777" w:rsidR="0077277B" w:rsidRPr="00957B6C" w:rsidRDefault="009E053F" w:rsidP="009B5B24">
      <w:pPr>
        <w:overflowPunct/>
        <w:autoSpaceDE/>
        <w:autoSpaceDN/>
        <w:adjustRightInd/>
        <w:spacing w:after="120"/>
        <w:textAlignment w:val="auto"/>
        <w:rPr>
          <w:rFonts w:ascii="Droid Serif" w:hAnsi="Droid Serif" w:cs="Droid Serif"/>
          <w:color w:val="000000"/>
        </w:rPr>
      </w:pPr>
      <w:r w:rsidRPr="00957B6C">
        <w:rPr>
          <w:rFonts w:cstheme="minorHAnsi"/>
          <w:szCs w:val="24"/>
        </w:rPr>
        <w:t xml:space="preserve">BDT organized the 3rd Global Forum on Emergency Telecommunications (GET-19): Saving Lives, held from 6 to 8 March 2019, in Balaclava, Mauritius. It was attended by multi-stakeholders from governments and private sector, international and non-governmental organizations. </w:t>
      </w:r>
    </w:p>
    <w:p w14:paraId="2322ED93" w14:textId="57DC422E" w:rsidR="00705894" w:rsidRDefault="00705894" w:rsidP="003022C7">
      <w:pPr>
        <w:overflowPunct/>
        <w:autoSpaceDE/>
        <w:autoSpaceDN/>
        <w:adjustRightInd/>
        <w:spacing w:after="120"/>
        <w:textAlignment w:val="auto"/>
        <w:rPr>
          <w:rFonts w:ascii="Calibri" w:hAnsi="Calibri"/>
          <w:b/>
          <w:bCs/>
          <w:color w:val="000000"/>
          <w:lang w:val="en-US"/>
        </w:rPr>
      </w:pPr>
      <w:r w:rsidRPr="002F42F5">
        <w:rPr>
          <w:rFonts w:cstheme="minorHAnsi"/>
          <w:szCs w:val="24"/>
        </w:rPr>
        <w:t>A question was raised as to whether BDT plans to</w:t>
      </w:r>
      <w:r w:rsidR="00227FD1">
        <w:rPr>
          <w:rFonts w:cstheme="minorHAnsi"/>
          <w:szCs w:val="24"/>
        </w:rPr>
        <w:t xml:space="preserve"> write</w:t>
      </w:r>
      <w:r w:rsidRPr="002F42F5">
        <w:rPr>
          <w:rFonts w:cstheme="minorHAnsi"/>
          <w:szCs w:val="24"/>
        </w:rPr>
        <w:t xml:space="preserve"> similar report</w:t>
      </w:r>
      <w:r w:rsidR="0077277B" w:rsidRPr="002F42F5">
        <w:rPr>
          <w:rFonts w:cstheme="minorHAnsi"/>
          <w:szCs w:val="24"/>
        </w:rPr>
        <w:t>s on LLDCs and SIDS</w:t>
      </w:r>
      <w:r w:rsidR="00E25977">
        <w:rPr>
          <w:rFonts w:cstheme="minorHAnsi"/>
          <w:szCs w:val="24"/>
        </w:rPr>
        <w:t xml:space="preserve"> that</w:t>
      </w:r>
      <w:r w:rsidRPr="002F42F5">
        <w:rPr>
          <w:rFonts w:cstheme="minorHAnsi"/>
          <w:szCs w:val="24"/>
        </w:rPr>
        <w:t xml:space="preserve"> face unique challenges due to transit relationship.</w:t>
      </w:r>
      <w:r w:rsidR="00227FD1">
        <w:rPr>
          <w:rFonts w:cstheme="minorHAnsi"/>
          <w:szCs w:val="24"/>
        </w:rPr>
        <w:t xml:space="preserve"> BDT </w:t>
      </w:r>
      <w:r w:rsidR="003022C7">
        <w:rPr>
          <w:rFonts w:cstheme="minorHAnsi"/>
          <w:szCs w:val="24"/>
        </w:rPr>
        <w:t xml:space="preserve">confirmed </w:t>
      </w:r>
      <w:r w:rsidR="00227FD1">
        <w:rPr>
          <w:rFonts w:cstheme="minorHAnsi"/>
          <w:szCs w:val="24"/>
        </w:rPr>
        <w:t xml:space="preserve">that </w:t>
      </w:r>
      <w:r w:rsidR="003022C7">
        <w:rPr>
          <w:rFonts w:cstheme="minorHAnsi"/>
          <w:szCs w:val="24"/>
        </w:rPr>
        <w:t xml:space="preserve">similar reports </w:t>
      </w:r>
      <w:r w:rsidR="00227FD1" w:rsidRPr="0062597A">
        <w:rPr>
          <w:rFonts w:ascii="Calibri" w:hAnsi="Calibri"/>
          <w:color w:val="000000"/>
          <w:lang w:val="en-US"/>
        </w:rPr>
        <w:t>are being prepared jointly with the Office of the High Representative for LDCs, LLDCs and SIDS in New York.</w:t>
      </w:r>
    </w:p>
    <w:p w14:paraId="4DA4694C" w14:textId="27E830FD" w:rsidR="00BE317E" w:rsidRPr="007D7141" w:rsidRDefault="00BE317E" w:rsidP="0062597A">
      <w:pPr>
        <w:pStyle w:val="NormalWeb"/>
        <w:spacing w:before="120" w:beforeAutospacing="0" w:after="120" w:afterAutospacing="0"/>
        <w:rPr>
          <w:rFonts w:asciiTheme="minorHAnsi" w:hAnsiTheme="minorHAnsi"/>
        </w:rPr>
      </w:pPr>
      <w:r w:rsidRPr="007D7141">
        <w:rPr>
          <w:rFonts w:asciiTheme="minorHAnsi" w:hAnsiTheme="minorHAnsi" w:cs="Droid Serif"/>
        </w:rPr>
        <w:t xml:space="preserve">Clarification was </w:t>
      </w:r>
      <w:r>
        <w:rPr>
          <w:rFonts w:asciiTheme="minorHAnsi" w:hAnsiTheme="minorHAnsi" w:cs="Droid Serif"/>
        </w:rPr>
        <w:t xml:space="preserve">also </w:t>
      </w:r>
      <w:r w:rsidRPr="007D7141">
        <w:rPr>
          <w:rFonts w:asciiTheme="minorHAnsi" w:hAnsiTheme="minorHAnsi" w:cs="Droid Serif"/>
        </w:rPr>
        <w:t xml:space="preserve">sought on the </w:t>
      </w:r>
      <w:r w:rsidRPr="007D7141">
        <w:rPr>
          <w:rFonts w:asciiTheme="minorHAnsi" w:hAnsiTheme="minorHAnsi" w:cs="Droid Serif"/>
          <w:lang w:val="en-US"/>
        </w:rPr>
        <w:t xml:space="preserve">methodology used in the </w:t>
      </w:r>
      <w:hyperlink r:id="rId61" w:history="1">
        <w:r w:rsidRPr="007D7141">
          <w:rPr>
            <w:rStyle w:val="Hyperlink"/>
            <w:rFonts w:asciiTheme="minorHAnsi" w:hAnsiTheme="minorHAnsi" w:cs="Droid Serif"/>
            <w:color w:val="auto"/>
            <w:u w:val="none"/>
            <w:lang w:val="en-US"/>
          </w:rPr>
          <w:t>country case studies</w:t>
        </w:r>
      </w:hyperlink>
      <w:r w:rsidRPr="007D7141">
        <w:rPr>
          <w:rFonts w:asciiTheme="minorHAnsi" w:hAnsiTheme="minorHAnsi" w:cs="Droid Serif"/>
          <w:lang w:val="en-US"/>
        </w:rPr>
        <w:t xml:space="preserve"> referenced in the document and on whether ITU had discussed possible synergies with the case studies which the </w:t>
      </w:r>
      <w:r w:rsidRPr="007D7141">
        <w:rPr>
          <w:rFonts w:asciiTheme="minorHAnsi" w:hAnsiTheme="minorHAnsi"/>
        </w:rPr>
        <w:t>United Nations Conference on Trade and Development (</w:t>
      </w:r>
      <w:r w:rsidRPr="007D7141">
        <w:rPr>
          <w:rFonts w:asciiTheme="minorHAnsi" w:hAnsiTheme="minorHAnsi" w:cs="Droid Serif"/>
          <w:lang w:val="en-US"/>
        </w:rPr>
        <w:t xml:space="preserve">UNCTAD) </w:t>
      </w:r>
      <w:r w:rsidRPr="007D7141">
        <w:rPr>
          <w:rFonts w:asciiTheme="minorHAnsi" w:hAnsiTheme="minorHAnsi"/>
        </w:rPr>
        <w:t xml:space="preserve">is carrying </w:t>
      </w:r>
      <w:r w:rsidR="00FC1433">
        <w:rPr>
          <w:rFonts w:asciiTheme="minorHAnsi" w:hAnsiTheme="minorHAnsi"/>
        </w:rPr>
        <w:t xml:space="preserve">out </w:t>
      </w:r>
      <w:r>
        <w:rPr>
          <w:rFonts w:asciiTheme="minorHAnsi" w:hAnsiTheme="minorHAnsi"/>
        </w:rPr>
        <w:t>under its “</w:t>
      </w:r>
      <w:hyperlink r:id="rId62" w:history="1">
        <w:r w:rsidRPr="007D7141">
          <w:rPr>
            <w:rFonts w:asciiTheme="minorHAnsi" w:hAnsiTheme="minorHAnsi"/>
          </w:rPr>
          <w:t>Rapid eTrade Readiness Assessment of Least Developed Countries (eT Ready)</w:t>
        </w:r>
      </w:hyperlink>
      <w:r>
        <w:rPr>
          <w:rFonts w:asciiTheme="minorHAnsi" w:hAnsiTheme="minorHAnsi"/>
        </w:rPr>
        <w:t>”</w:t>
      </w:r>
      <w:r w:rsidRPr="007D7141">
        <w:rPr>
          <w:rFonts w:asciiTheme="minorHAnsi" w:hAnsiTheme="minorHAnsi"/>
        </w:rPr>
        <w:t>,</w:t>
      </w:r>
      <w:r w:rsidRPr="007D7141">
        <w:rPr>
          <w:rFonts w:asciiTheme="minorHAnsi" w:hAnsiTheme="minorHAnsi" w:cs="Droid Serif"/>
          <w:lang w:val="en-US"/>
        </w:rPr>
        <w:t xml:space="preserve"> especially given that one of the seven areas of those studies is “ICT infrastructure and services”.</w:t>
      </w:r>
    </w:p>
    <w:p w14:paraId="3CDD5F5C" w14:textId="09998532" w:rsidR="00227FD1" w:rsidRPr="00957B6C" w:rsidRDefault="00BE317E" w:rsidP="00121136">
      <w:pPr>
        <w:spacing w:after="120"/>
        <w:rPr>
          <w:rFonts w:cstheme="minorHAnsi"/>
          <w:szCs w:val="24"/>
        </w:rPr>
      </w:pPr>
      <w:r w:rsidRPr="007D7141">
        <w:rPr>
          <w:lang w:val="en-US"/>
        </w:rPr>
        <w:t>BDT</w:t>
      </w:r>
      <w:r>
        <w:rPr>
          <w:lang w:val="en-US"/>
        </w:rPr>
        <w:t xml:space="preserve"> explained that its</w:t>
      </w:r>
      <w:r w:rsidRPr="007D7141">
        <w:rPr>
          <w:lang w:val="en-US"/>
        </w:rPr>
        <w:t xml:space="preserve"> case studies were carried out on the basis of structured interviews, survey data, and document review which translates to both primary and secondary sources. </w:t>
      </w:r>
      <w:r w:rsidRPr="007D7141">
        <w:rPr>
          <w:rStyle w:val="Strong"/>
          <w:b w:val="0"/>
          <w:bCs w:val="0"/>
          <w:lang w:val="en-US"/>
        </w:rPr>
        <w:t>The UNCTAD Programme on Rapid eTrade Readiness Assessment</w:t>
      </w:r>
      <w:r w:rsidRPr="007D7141">
        <w:rPr>
          <w:lang w:val="en-US"/>
        </w:rPr>
        <w:t xml:space="preserve"> was designed to provide a thorough overview of the current e-commerce situation in the countries. BDT works very closely with UNCTAD and the World Trade Organization (WTO) on the role of ICTs in facilitating trade. BDT is a partner on the “e-Trade for All initiative”, and participates in the annual UNCTAD e-Commerce week. UNCTAD </w:t>
      </w:r>
      <w:r w:rsidRPr="007D7141">
        <w:rPr>
          <w:lang w:val="en-US"/>
        </w:rPr>
        <w:lastRenderedPageBreak/>
        <w:t xml:space="preserve">and ITU also work closely as members of the Partnership on Measuring ICT for Development. BDT will create links to the </w:t>
      </w:r>
      <w:r w:rsidR="00DA0BEC">
        <w:rPr>
          <w:lang w:val="en-US"/>
        </w:rPr>
        <w:t>“</w:t>
      </w:r>
      <w:r w:rsidRPr="007D7141">
        <w:rPr>
          <w:lang w:val="en-US"/>
        </w:rPr>
        <w:t>eT</w:t>
      </w:r>
      <w:r w:rsidR="00DA0BEC">
        <w:rPr>
          <w:lang w:val="en-US"/>
        </w:rPr>
        <w:t xml:space="preserve"> </w:t>
      </w:r>
      <w:r w:rsidRPr="007D7141">
        <w:rPr>
          <w:lang w:val="en-US"/>
        </w:rPr>
        <w:t>Ready</w:t>
      </w:r>
      <w:r w:rsidR="00DA0BEC">
        <w:rPr>
          <w:lang w:val="en-US"/>
        </w:rPr>
        <w:t>”</w:t>
      </w:r>
      <w:r w:rsidRPr="007D7141">
        <w:rPr>
          <w:lang w:val="en-US"/>
        </w:rPr>
        <w:t xml:space="preserve"> assessments and explore if UNCTAD could link to ITU’s work on LDCs. </w:t>
      </w:r>
    </w:p>
    <w:tbl>
      <w:tblPr>
        <w:tblStyle w:val="TableGrid"/>
        <w:tblW w:w="0" w:type="auto"/>
        <w:tblLook w:val="04A0" w:firstRow="1" w:lastRow="0" w:firstColumn="1" w:lastColumn="0" w:noHBand="0" w:noVBand="1"/>
      </w:tblPr>
      <w:tblGrid>
        <w:gridCol w:w="9629"/>
      </w:tblGrid>
      <w:tr w:rsidR="00965FD2" w:rsidRPr="00957B6C" w14:paraId="5567BB63" w14:textId="77777777" w:rsidTr="00660D9E">
        <w:tc>
          <w:tcPr>
            <w:tcW w:w="9629" w:type="dxa"/>
          </w:tcPr>
          <w:p w14:paraId="0E00F29A" w14:textId="77777777" w:rsidR="00965FD2" w:rsidRPr="00957B6C" w:rsidRDefault="000B1F31" w:rsidP="009B5B24">
            <w:pPr>
              <w:spacing w:after="120"/>
              <w:rPr>
                <w:rFonts w:cstheme="minorHAnsi"/>
                <w:color w:val="000000" w:themeColor="text1"/>
                <w:szCs w:val="24"/>
              </w:rPr>
            </w:pPr>
            <w:r w:rsidRPr="00957B6C">
              <w:rPr>
                <w:rFonts w:eastAsia="Calibri"/>
              </w:rPr>
              <w:t xml:space="preserve">TDAG recognized the importance of initiatives on </w:t>
            </w:r>
            <w:r w:rsidR="00705894" w:rsidRPr="00957B6C">
              <w:rPr>
                <w:rFonts w:cstheme="minorBidi"/>
              </w:rPr>
              <w:t>e</w:t>
            </w:r>
            <w:r w:rsidRPr="00957B6C">
              <w:rPr>
                <w:rFonts w:cstheme="minorBidi"/>
              </w:rPr>
              <w:t xml:space="preserve">mergency </w:t>
            </w:r>
            <w:r w:rsidR="00705894" w:rsidRPr="00957B6C">
              <w:rPr>
                <w:rFonts w:cstheme="minorBidi"/>
              </w:rPr>
              <w:t>t</w:t>
            </w:r>
            <w:r w:rsidRPr="00957B6C">
              <w:rPr>
                <w:rFonts w:cstheme="minorBidi"/>
              </w:rPr>
              <w:t xml:space="preserve">elecommunications, </w:t>
            </w:r>
            <w:r w:rsidR="00705894" w:rsidRPr="00957B6C">
              <w:rPr>
                <w:rFonts w:cstheme="minorBidi"/>
              </w:rPr>
              <w:t>c</w:t>
            </w:r>
            <w:r w:rsidRPr="00957B6C">
              <w:rPr>
                <w:rFonts w:cstheme="minorBidi"/>
              </w:rPr>
              <w:t xml:space="preserve">limate </w:t>
            </w:r>
            <w:r w:rsidR="00705894" w:rsidRPr="00957B6C">
              <w:rPr>
                <w:rFonts w:cstheme="minorBidi"/>
              </w:rPr>
              <w:t>ch</w:t>
            </w:r>
            <w:r w:rsidRPr="00957B6C">
              <w:rPr>
                <w:rFonts w:cstheme="minorBidi"/>
              </w:rPr>
              <w:t xml:space="preserve">ange, </w:t>
            </w:r>
            <w:r w:rsidR="00705894" w:rsidRPr="00957B6C">
              <w:rPr>
                <w:rFonts w:cstheme="minorBidi"/>
              </w:rPr>
              <w:t>e</w:t>
            </w:r>
            <w:r w:rsidRPr="00957B6C">
              <w:rPr>
                <w:rFonts w:cstheme="minorBidi"/>
              </w:rPr>
              <w:t>-waste, LDCs, LLDCs, and SIDS.</w:t>
            </w:r>
          </w:p>
        </w:tc>
      </w:tr>
    </w:tbl>
    <w:p w14:paraId="078C9CB6" w14:textId="77777777" w:rsidR="00965FD2" w:rsidRPr="00957B6C" w:rsidRDefault="00965FD2" w:rsidP="005670F1">
      <w:pPr>
        <w:pStyle w:val="ListParagraph"/>
        <w:keepNext/>
        <w:numPr>
          <w:ilvl w:val="1"/>
          <w:numId w:val="1"/>
        </w:numPr>
        <w:spacing w:before="240" w:after="120"/>
        <w:ind w:left="505" w:hanging="505"/>
        <w:contextualSpacing w:val="0"/>
        <w:rPr>
          <w:rStyle w:val="StyleComplex12pt"/>
          <w:rFonts w:cstheme="minorHAnsi"/>
          <w:b/>
          <w:bCs/>
        </w:rPr>
      </w:pPr>
      <w:r w:rsidRPr="00957B6C">
        <w:rPr>
          <w:rStyle w:val="StyleComplex12pt"/>
          <w:rFonts w:cstheme="minorHAnsi"/>
          <w:b/>
          <w:bCs/>
        </w:rPr>
        <w:t xml:space="preserve"> ITU-D projects</w:t>
      </w:r>
    </w:p>
    <w:p w14:paraId="38649A21" w14:textId="474BC5A0" w:rsidR="00965FD2" w:rsidRPr="00957B6C" w:rsidRDefault="00B8346F" w:rsidP="0015440A">
      <w:pPr>
        <w:tabs>
          <w:tab w:val="clear" w:pos="1134"/>
          <w:tab w:val="clear" w:pos="1871"/>
          <w:tab w:val="clear" w:pos="2268"/>
        </w:tabs>
        <w:overflowPunct/>
        <w:autoSpaceDE/>
        <w:autoSpaceDN/>
        <w:adjustRightInd/>
        <w:spacing w:after="120"/>
        <w:textAlignment w:val="auto"/>
        <w:rPr>
          <w:rFonts w:cstheme="minorHAnsi"/>
          <w:szCs w:val="24"/>
        </w:rPr>
      </w:pPr>
      <w:hyperlink r:id="rId63" w:history="1">
        <w:r w:rsidR="00965FD2" w:rsidRPr="00957B6C">
          <w:rPr>
            <w:rStyle w:val="Hyperlink"/>
            <w:rFonts w:cstheme="minorHAnsi"/>
            <w:b/>
            <w:bCs/>
            <w:szCs w:val="24"/>
          </w:rPr>
          <w:t>Document 27</w:t>
        </w:r>
      </w:hyperlink>
      <w:r w:rsidR="00965FD2" w:rsidRPr="00957B6C">
        <w:rPr>
          <w:rFonts w:cstheme="minorHAnsi"/>
          <w:b/>
          <w:bCs/>
          <w:color w:val="000000" w:themeColor="text1"/>
          <w:szCs w:val="24"/>
        </w:rPr>
        <w:t>:</w:t>
      </w:r>
      <w:r w:rsidR="00965FD2" w:rsidRPr="00957B6C">
        <w:rPr>
          <w:rFonts w:cstheme="minorHAnsi"/>
          <w:color w:val="000000" w:themeColor="text1"/>
          <w:szCs w:val="24"/>
        </w:rPr>
        <w:t xml:space="preserve"> “ITU-D Projects”</w:t>
      </w:r>
      <w:r w:rsidR="00965FD2" w:rsidRPr="00957B6C">
        <w:rPr>
          <w:rFonts w:cstheme="minorHAnsi"/>
          <w:b/>
          <w:bCs/>
          <w:color w:val="000000" w:themeColor="text1"/>
          <w:szCs w:val="24"/>
        </w:rPr>
        <w:t xml:space="preserve"> </w:t>
      </w:r>
      <w:r w:rsidR="00965FD2" w:rsidRPr="00957B6C">
        <w:rPr>
          <w:rFonts w:cstheme="minorHAnsi"/>
          <w:szCs w:val="24"/>
        </w:rPr>
        <w:t>provides an overview of the outcomes related to ITU project implementation in the six regions of ITU-D , namely Africa, Americas, Arab States, Asia</w:t>
      </w:r>
      <w:r w:rsidR="00E25977">
        <w:rPr>
          <w:rFonts w:cstheme="minorHAnsi"/>
          <w:szCs w:val="24"/>
        </w:rPr>
        <w:t>-</w:t>
      </w:r>
      <w:r w:rsidR="00965FD2" w:rsidRPr="00957B6C">
        <w:rPr>
          <w:rFonts w:cstheme="minorHAnsi"/>
          <w:szCs w:val="24"/>
        </w:rPr>
        <w:t>Pacific, Commonwealth of Independent States (CIS) and Europe, as well as global</w:t>
      </w:r>
      <w:r w:rsidR="00E25977">
        <w:rPr>
          <w:rFonts w:cstheme="minorHAnsi"/>
          <w:szCs w:val="24"/>
        </w:rPr>
        <w:t>ly</w:t>
      </w:r>
      <w:r w:rsidR="00965FD2" w:rsidRPr="00957B6C">
        <w:rPr>
          <w:rFonts w:cstheme="minorHAnsi"/>
          <w:szCs w:val="24"/>
        </w:rPr>
        <w:t xml:space="preserve">. </w:t>
      </w:r>
    </w:p>
    <w:p w14:paraId="0679BDAE" w14:textId="77777777" w:rsidR="00965FD2" w:rsidRPr="00957B6C" w:rsidRDefault="00965FD2" w:rsidP="009B5B24">
      <w:pPr>
        <w:pStyle w:val="Heading2"/>
        <w:keepNext w:val="0"/>
        <w:keepLines w:val="0"/>
        <w:spacing w:before="120" w:after="120"/>
        <w:ind w:left="0" w:firstLine="0"/>
        <w:rPr>
          <w:rFonts w:cstheme="minorHAnsi"/>
          <w:b w:val="0"/>
          <w:bCs/>
          <w:szCs w:val="24"/>
        </w:rPr>
      </w:pPr>
      <w:r w:rsidRPr="00957B6C">
        <w:rPr>
          <w:rFonts w:cstheme="minorHAnsi"/>
          <w:b w:val="0"/>
          <w:bCs/>
          <w:szCs w:val="24"/>
        </w:rPr>
        <w:t xml:space="preserve">Some </w:t>
      </w:r>
      <w:r w:rsidR="00670EB8" w:rsidRPr="00957B6C">
        <w:rPr>
          <w:rFonts w:cstheme="minorHAnsi"/>
          <w:b w:val="0"/>
          <w:bCs/>
          <w:szCs w:val="24"/>
        </w:rPr>
        <w:t xml:space="preserve">20 </w:t>
      </w:r>
      <w:r w:rsidRPr="00957B6C">
        <w:rPr>
          <w:rFonts w:cstheme="minorHAnsi"/>
          <w:b w:val="0"/>
          <w:bCs/>
          <w:szCs w:val="24"/>
        </w:rPr>
        <w:t>new projects, valued at around CHF 10.8 million, were developed and signed in 2018. Most projects are developed for Member States, co-financed by ITU and external partners.</w:t>
      </w:r>
    </w:p>
    <w:p w14:paraId="076E7FF3" w14:textId="77777777" w:rsidR="00965FD2" w:rsidRPr="00957B6C" w:rsidRDefault="00965FD2" w:rsidP="009B5B24">
      <w:pPr>
        <w:pStyle w:val="Heading2"/>
        <w:keepNext w:val="0"/>
        <w:keepLines w:val="0"/>
        <w:spacing w:before="120" w:after="120"/>
        <w:ind w:left="0" w:firstLine="0"/>
        <w:rPr>
          <w:rFonts w:cstheme="minorHAnsi"/>
          <w:b w:val="0"/>
          <w:bCs/>
          <w:szCs w:val="24"/>
        </w:rPr>
      </w:pPr>
      <w:r w:rsidRPr="00957B6C">
        <w:rPr>
          <w:rFonts w:cstheme="minorHAnsi"/>
          <w:b w:val="0"/>
          <w:bCs/>
          <w:szCs w:val="24"/>
        </w:rPr>
        <w:t>As at year-end 2018, the ITU project portfolio</w:t>
      </w:r>
      <w:r w:rsidRPr="00957B6C">
        <w:rPr>
          <w:rFonts w:cstheme="minorHAnsi"/>
          <w:b w:val="0"/>
          <w:szCs w:val="24"/>
        </w:rPr>
        <w:t xml:space="preserve"> had </w:t>
      </w:r>
      <w:r w:rsidRPr="00957B6C">
        <w:rPr>
          <w:rFonts w:cstheme="minorHAnsi"/>
          <w:b w:val="0"/>
          <w:bCs/>
          <w:szCs w:val="24"/>
        </w:rPr>
        <w:t>63 ongoing projects, valued at CHF 68 413 879 and with the following regional distribution</w:t>
      </w:r>
      <w:r w:rsidR="00E25977" w:rsidRPr="00E25977">
        <w:rPr>
          <w:rFonts w:cstheme="minorHAnsi"/>
          <w:b w:val="0"/>
          <w:bCs/>
          <w:szCs w:val="24"/>
        </w:rPr>
        <w:t xml:space="preserve"> </w:t>
      </w:r>
      <w:r w:rsidR="00E25977">
        <w:rPr>
          <w:rFonts w:cstheme="minorHAnsi"/>
          <w:b w:val="0"/>
          <w:bCs/>
          <w:szCs w:val="24"/>
        </w:rPr>
        <w:t xml:space="preserve">of </w:t>
      </w:r>
      <w:r w:rsidR="00E25977" w:rsidRPr="00957B6C">
        <w:rPr>
          <w:rFonts w:cstheme="minorHAnsi"/>
          <w:b w:val="0"/>
          <w:bCs/>
          <w:szCs w:val="24"/>
        </w:rPr>
        <w:t>projects</w:t>
      </w:r>
      <w:r w:rsidRPr="00957B6C">
        <w:rPr>
          <w:rFonts w:cstheme="minorHAnsi"/>
          <w:b w:val="0"/>
          <w:bCs/>
          <w:szCs w:val="24"/>
        </w:rPr>
        <w:t xml:space="preserve">: Asia-Pacific </w:t>
      </w:r>
      <w:r w:rsidR="00E25977">
        <w:rPr>
          <w:rFonts w:cstheme="minorHAnsi"/>
          <w:b w:val="0"/>
          <w:bCs/>
          <w:szCs w:val="24"/>
        </w:rPr>
        <w:t>(11)</w:t>
      </w:r>
      <w:r w:rsidRPr="00957B6C">
        <w:rPr>
          <w:rFonts w:cstheme="minorHAnsi"/>
          <w:b w:val="0"/>
          <w:bCs/>
          <w:szCs w:val="24"/>
        </w:rPr>
        <w:t xml:space="preserve">; Africa </w:t>
      </w:r>
      <w:r w:rsidR="00E25977">
        <w:rPr>
          <w:rFonts w:cstheme="minorHAnsi"/>
          <w:b w:val="0"/>
          <w:bCs/>
          <w:szCs w:val="24"/>
        </w:rPr>
        <w:t>(11)</w:t>
      </w:r>
      <w:r w:rsidR="00E25977" w:rsidRPr="00957B6C">
        <w:rPr>
          <w:rFonts w:cstheme="minorHAnsi"/>
          <w:b w:val="0"/>
          <w:bCs/>
          <w:szCs w:val="24"/>
        </w:rPr>
        <w:t xml:space="preserve">; </w:t>
      </w:r>
      <w:r w:rsidRPr="00957B6C">
        <w:rPr>
          <w:rFonts w:cstheme="minorHAnsi"/>
          <w:b w:val="0"/>
          <w:bCs/>
          <w:szCs w:val="24"/>
        </w:rPr>
        <w:t xml:space="preserve">Americas </w:t>
      </w:r>
      <w:r w:rsidR="00E25977">
        <w:rPr>
          <w:rFonts w:cstheme="minorHAnsi"/>
          <w:b w:val="0"/>
          <w:bCs/>
          <w:szCs w:val="24"/>
        </w:rPr>
        <w:t>(8)</w:t>
      </w:r>
      <w:r w:rsidRPr="00957B6C">
        <w:rPr>
          <w:rFonts w:cstheme="minorHAnsi"/>
          <w:b w:val="0"/>
          <w:bCs/>
          <w:szCs w:val="24"/>
        </w:rPr>
        <w:t>; Arab States</w:t>
      </w:r>
      <w:r w:rsidR="00E25977">
        <w:rPr>
          <w:rFonts w:cstheme="minorHAnsi"/>
          <w:b w:val="0"/>
          <w:bCs/>
          <w:szCs w:val="24"/>
        </w:rPr>
        <w:t xml:space="preserve"> (9)</w:t>
      </w:r>
      <w:r w:rsidRPr="00957B6C">
        <w:rPr>
          <w:rFonts w:cstheme="minorHAnsi"/>
          <w:b w:val="0"/>
          <w:bCs/>
          <w:szCs w:val="24"/>
        </w:rPr>
        <w:t>; and CIS</w:t>
      </w:r>
      <w:r w:rsidR="00E25977">
        <w:rPr>
          <w:rFonts w:cstheme="minorHAnsi"/>
          <w:b w:val="0"/>
          <w:bCs/>
          <w:szCs w:val="24"/>
        </w:rPr>
        <w:t xml:space="preserve"> (1)</w:t>
      </w:r>
      <w:r w:rsidRPr="00957B6C">
        <w:rPr>
          <w:rFonts w:cstheme="minorHAnsi"/>
          <w:b w:val="0"/>
          <w:bCs/>
          <w:szCs w:val="24"/>
        </w:rPr>
        <w:t>. ITU projects are mostly funded through extra-budgetary resources. Projects have four types of funding sources: Funds in Trust (FIT), ICT Development Fund (ICTDF), voluntary contributions</w:t>
      </w:r>
      <w:r w:rsidR="00E25977">
        <w:rPr>
          <w:rFonts w:cstheme="minorHAnsi"/>
          <w:b w:val="0"/>
          <w:bCs/>
          <w:szCs w:val="24"/>
        </w:rPr>
        <w:t>,</w:t>
      </w:r>
      <w:r w:rsidRPr="00957B6C">
        <w:rPr>
          <w:rFonts w:cstheme="minorHAnsi"/>
          <w:b w:val="0"/>
          <w:bCs/>
          <w:szCs w:val="24"/>
        </w:rPr>
        <w:t xml:space="preserve"> and the ITU </w:t>
      </w:r>
      <w:r w:rsidR="00E25977">
        <w:rPr>
          <w:rFonts w:cstheme="minorHAnsi"/>
          <w:b w:val="0"/>
          <w:bCs/>
          <w:szCs w:val="24"/>
        </w:rPr>
        <w:t>r</w:t>
      </w:r>
      <w:r w:rsidRPr="00957B6C">
        <w:rPr>
          <w:rFonts w:cstheme="minorHAnsi"/>
          <w:b w:val="0"/>
          <w:bCs/>
          <w:szCs w:val="24"/>
        </w:rPr>
        <w:t xml:space="preserve">egular </w:t>
      </w:r>
      <w:r w:rsidR="00E25977">
        <w:rPr>
          <w:rFonts w:cstheme="minorHAnsi"/>
          <w:b w:val="0"/>
          <w:bCs/>
          <w:szCs w:val="24"/>
        </w:rPr>
        <w:t>b</w:t>
      </w:r>
      <w:r w:rsidRPr="00957B6C">
        <w:rPr>
          <w:rFonts w:cstheme="minorHAnsi"/>
          <w:b w:val="0"/>
          <w:bCs/>
          <w:szCs w:val="24"/>
        </w:rPr>
        <w:t xml:space="preserve">udget. Most projects have at least two funding sources. </w:t>
      </w:r>
    </w:p>
    <w:p w14:paraId="352F488C" w14:textId="77777777" w:rsidR="00965FD2" w:rsidRPr="00957B6C" w:rsidRDefault="00965FD2" w:rsidP="009B5B24">
      <w:pPr>
        <w:spacing w:after="120"/>
        <w:rPr>
          <w:rFonts w:cstheme="minorHAnsi"/>
          <w:szCs w:val="24"/>
        </w:rPr>
      </w:pPr>
      <w:r w:rsidRPr="00957B6C">
        <w:rPr>
          <w:rFonts w:cstheme="minorHAnsi"/>
          <w:szCs w:val="24"/>
        </w:rPr>
        <w:t xml:space="preserve">Funds from ICTDF are granted as seed money for the implementation of projects related to BDT areas of action in developing and least developed countries. Projects are chosen, based on their potential long-term sustainable impact and their facilitation of multi-national cooperation and partnership. </w:t>
      </w:r>
    </w:p>
    <w:p w14:paraId="71FEF055" w14:textId="0332F5FE" w:rsidR="00965FD2" w:rsidRPr="00957B6C" w:rsidRDefault="00965FD2" w:rsidP="0015440A">
      <w:pPr>
        <w:spacing w:after="120"/>
        <w:rPr>
          <w:rFonts w:cstheme="minorHAnsi"/>
          <w:szCs w:val="24"/>
        </w:rPr>
      </w:pPr>
      <w:r w:rsidRPr="00957B6C">
        <w:rPr>
          <w:rFonts w:cstheme="minorHAnsi"/>
          <w:szCs w:val="24"/>
        </w:rPr>
        <w:t xml:space="preserve">For the funding of projects to implement the WTDC-17 </w:t>
      </w:r>
      <w:r w:rsidR="00E25977">
        <w:rPr>
          <w:rFonts w:cstheme="minorHAnsi"/>
          <w:szCs w:val="24"/>
        </w:rPr>
        <w:t>r</w:t>
      </w:r>
      <w:r w:rsidRPr="00957B6C">
        <w:rPr>
          <w:rFonts w:cstheme="minorHAnsi"/>
          <w:szCs w:val="24"/>
        </w:rPr>
        <w:t xml:space="preserve">egional </w:t>
      </w:r>
      <w:r w:rsidR="00E25977">
        <w:rPr>
          <w:rFonts w:cstheme="minorHAnsi"/>
          <w:szCs w:val="24"/>
        </w:rPr>
        <w:t>i</w:t>
      </w:r>
      <w:r w:rsidRPr="00957B6C">
        <w:rPr>
          <w:rFonts w:cstheme="minorHAnsi"/>
          <w:szCs w:val="24"/>
        </w:rPr>
        <w:t xml:space="preserve">nitiatives, ITU Council-18 decided to allocate CHF 2 million for the period 2018-2019 from the 2017 </w:t>
      </w:r>
      <w:r w:rsidR="0015440A">
        <w:rPr>
          <w:rFonts w:cstheme="minorHAnsi"/>
          <w:szCs w:val="24"/>
        </w:rPr>
        <w:t>o</w:t>
      </w:r>
      <w:r w:rsidRPr="00957B6C">
        <w:rPr>
          <w:rFonts w:cstheme="minorHAnsi"/>
          <w:szCs w:val="24"/>
        </w:rPr>
        <w:t xml:space="preserve">perational </w:t>
      </w:r>
      <w:r w:rsidR="0015440A">
        <w:rPr>
          <w:rFonts w:cstheme="minorHAnsi"/>
          <w:szCs w:val="24"/>
        </w:rPr>
        <w:t>p</w:t>
      </w:r>
      <w:r w:rsidRPr="00957B6C">
        <w:rPr>
          <w:rFonts w:cstheme="minorHAnsi"/>
          <w:szCs w:val="24"/>
        </w:rPr>
        <w:t>lan and include</w:t>
      </w:r>
      <w:r w:rsidR="00E25977">
        <w:rPr>
          <w:rFonts w:cstheme="minorHAnsi"/>
          <w:szCs w:val="24"/>
        </w:rPr>
        <w:t>d</w:t>
      </w:r>
      <w:r w:rsidRPr="00957B6C">
        <w:rPr>
          <w:rFonts w:cstheme="minorHAnsi"/>
          <w:szCs w:val="24"/>
        </w:rPr>
        <w:t xml:space="preserve"> CHF 3 million for 2020-2021 in the Financial Plan 2020-2023. These funds were allocated as seed </w:t>
      </w:r>
      <w:r w:rsidR="0015440A">
        <w:rPr>
          <w:rFonts w:cstheme="minorHAnsi"/>
          <w:szCs w:val="24"/>
        </w:rPr>
        <w:t xml:space="preserve">money </w:t>
      </w:r>
      <w:r w:rsidRPr="00957B6C">
        <w:rPr>
          <w:rFonts w:cstheme="minorHAnsi"/>
          <w:szCs w:val="24"/>
        </w:rPr>
        <w:t>in order to attract funds from partners. As an initial step towards the implementation of regional initiatives, ten new projects from all regions were under development at the end of 2018 for implementation from 2019.</w:t>
      </w:r>
    </w:p>
    <w:tbl>
      <w:tblPr>
        <w:tblStyle w:val="TableGrid"/>
        <w:tblW w:w="0" w:type="auto"/>
        <w:tblLook w:val="04A0" w:firstRow="1" w:lastRow="0" w:firstColumn="1" w:lastColumn="0" w:noHBand="0" w:noVBand="1"/>
      </w:tblPr>
      <w:tblGrid>
        <w:gridCol w:w="9629"/>
      </w:tblGrid>
      <w:tr w:rsidR="00965FD2" w:rsidRPr="00957B6C" w14:paraId="0CC3DC89" w14:textId="77777777" w:rsidTr="00660D9E">
        <w:tc>
          <w:tcPr>
            <w:tcW w:w="9629" w:type="dxa"/>
          </w:tcPr>
          <w:p w14:paraId="5C56E609" w14:textId="77777777" w:rsidR="00965FD2" w:rsidRPr="00957B6C" w:rsidRDefault="00C91D5F" w:rsidP="009B5B24">
            <w:pPr>
              <w:spacing w:after="120"/>
              <w:rPr>
                <w:rFonts w:cstheme="minorHAnsi"/>
                <w:color w:val="000000" w:themeColor="text1"/>
                <w:szCs w:val="24"/>
              </w:rPr>
            </w:pPr>
            <w:r w:rsidRPr="00957B6C">
              <w:rPr>
                <w:szCs w:val="24"/>
              </w:rPr>
              <w:t>TDAG noted the document.</w:t>
            </w:r>
          </w:p>
        </w:tc>
      </w:tr>
    </w:tbl>
    <w:p w14:paraId="50F03182" w14:textId="77777777" w:rsidR="00965FD2" w:rsidRPr="00957B6C" w:rsidRDefault="00965FD2" w:rsidP="00810998">
      <w:pPr>
        <w:pStyle w:val="ListParagraph"/>
        <w:keepNext/>
        <w:numPr>
          <w:ilvl w:val="1"/>
          <w:numId w:val="1"/>
        </w:numPr>
        <w:spacing w:before="240" w:after="120"/>
        <w:ind w:left="505" w:hanging="505"/>
        <w:contextualSpacing w:val="0"/>
        <w:rPr>
          <w:rStyle w:val="StyleComplex12pt"/>
          <w:rFonts w:cstheme="minorHAnsi"/>
          <w:b/>
          <w:bCs/>
        </w:rPr>
      </w:pPr>
      <w:r w:rsidRPr="00957B6C">
        <w:rPr>
          <w:rStyle w:val="StyleComplex12pt"/>
          <w:rFonts w:cstheme="minorHAnsi"/>
          <w:b/>
          <w:bCs/>
        </w:rPr>
        <w:t>Innovation</w:t>
      </w:r>
    </w:p>
    <w:p w14:paraId="29A83BD8" w14:textId="77777777" w:rsidR="00965FD2" w:rsidRPr="001E76F4" w:rsidRDefault="00B8346F" w:rsidP="009B5B24">
      <w:pPr>
        <w:tabs>
          <w:tab w:val="clear" w:pos="1134"/>
          <w:tab w:val="clear" w:pos="1871"/>
          <w:tab w:val="clear" w:pos="2268"/>
        </w:tabs>
        <w:overflowPunct/>
        <w:autoSpaceDE/>
        <w:autoSpaceDN/>
        <w:adjustRightInd/>
        <w:spacing w:after="120"/>
        <w:textAlignment w:val="auto"/>
        <w:rPr>
          <w:rFonts w:eastAsia="Calibri" w:cstheme="minorHAnsi"/>
          <w:szCs w:val="24"/>
          <w:highlight w:val="yellow"/>
        </w:rPr>
      </w:pPr>
      <w:hyperlink r:id="rId64" w:history="1">
        <w:r w:rsidR="00965FD2" w:rsidRPr="00957B6C">
          <w:rPr>
            <w:rStyle w:val="Hyperlink"/>
            <w:rFonts w:cstheme="minorHAnsi"/>
            <w:b/>
            <w:bCs/>
            <w:szCs w:val="24"/>
          </w:rPr>
          <w:t>Document 22</w:t>
        </w:r>
      </w:hyperlink>
      <w:r w:rsidR="00965FD2" w:rsidRPr="00957B6C">
        <w:rPr>
          <w:rFonts w:cstheme="minorHAnsi"/>
          <w:b/>
          <w:bCs/>
          <w:color w:val="000000" w:themeColor="text1"/>
          <w:szCs w:val="24"/>
        </w:rPr>
        <w:t>:</w:t>
      </w:r>
      <w:r w:rsidR="00965FD2" w:rsidRPr="00957B6C">
        <w:rPr>
          <w:rFonts w:cstheme="minorHAnsi"/>
          <w:color w:val="000000" w:themeColor="text1"/>
          <w:szCs w:val="24"/>
        </w:rPr>
        <w:t xml:space="preserve"> </w:t>
      </w:r>
      <w:r w:rsidR="00965FD2" w:rsidRPr="001E76F4">
        <w:rPr>
          <w:rFonts w:cstheme="minorHAnsi"/>
          <w:szCs w:val="24"/>
        </w:rPr>
        <w:t>“ITU-D Innovation”</w:t>
      </w:r>
      <w:r w:rsidR="00965FD2" w:rsidRPr="001E76F4">
        <w:rPr>
          <w:rFonts w:cstheme="minorHAnsi"/>
          <w:b/>
          <w:bCs/>
          <w:szCs w:val="24"/>
        </w:rPr>
        <w:t xml:space="preserve"> </w:t>
      </w:r>
      <w:r w:rsidR="00965FD2" w:rsidRPr="001E76F4">
        <w:rPr>
          <w:rFonts w:eastAsia="Calibri" w:cstheme="minorHAnsi"/>
          <w:szCs w:val="24"/>
        </w:rPr>
        <w:t xml:space="preserve">provides an overview of ITU-D innovation as one of the outputs and goals adopted at </w:t>
      </w:r>
      <w:r w:rsidR="00B67544" w:rsidRPr="001E76F4">
        <w:rPr>
          <w:rFonts w:eastAsia="Calibri" w:cstheme="minorHAnsi"/>
          <w:szCs w:val="24"/>
        </w:rPr>
        <w:t xml:space="preserve">WTDC-17 and </w:t>
      </w:r>
      <w:r w:rsidR="00E25977" w:rsidRPr="001E76F4">
        <w:rPr>
          <w:rFonts w:eastAsia="Calibri" w:cstheme="minorHAnsi"/>
          <w:szCs w:val="24"/>
        </w:rPr>
        <w:t>endorsed at</w:t>
      </w:r>
      <w:r w:rsidR="00B67544" w:rsidRPr="001E76F4">
        <w:rPr>
          <w:rFonts w:eastAsia="Calibri" w:cstheme="minorHAnsi"/>
          <w:szCs w:val="24"/>
        </w:rPr>
        <w:t xml:space="preserve"> PP-18</w:t>
      </w:r>
      <w:r w:rsidR="00965FD2" w:rsidRPr="001E76F4">
        <w:rPr>
          <w:rFonts w:eastAsia="Calibri" w:cstheme="minorHAnsi"/>
          <w:szCs w:val="24"/>
        </w:rPr>
        <w:t>.</w:t>
      </w:r>
    </w:p>
    <w:p w14:paraId="360C8B5C" w14:textId="4B6A2962" w:rsidR="003179CD" w:rsidRPr="001E76F4" w:rsidRDefault="003179CD" w:rsidP="009B5B24">
      <w:pPr>
        <w:spacing w:after="120"/>
        <w:rPr>
          <w:rStyle w:val="StyleComplex12pt"/>
          <w:rFonts w:cstheme="minorHAnsi"/>
          <w:b/>
          <w:bCs/>
        </w:rPr>
      </w:pPr>
      <w:r w:rsidRPr="001E76F4">
        <w:rPr>
          <w:szCs w:val="24"/>
        </w:rPr>
        <w:t xml:space="preserve">TDAG noted the various actions implemented by BDT, particularly, in knowledge sharing, empowering stakeholders through innovation capacity building and in national innovation ecosystem assessments through close coordination with regional offices. TDAG </w:t>
      </w:r>
      <w:r w:rsidR="00B67544" w:rsidRPr="001E76F4">
        <w:rPr>
          <w:szCs w:val="24"/>
        </w:rPr>
        <w:t xml:space="preserve">welcomed </w:t>
      </w:r>
      <w:r w:rsidRPr="001E76F4">
        <w:rPr>
          <w:szCs w:val="24"/>
        </w:rPr>
        <w:t xml:space="preserve">the ways forward with regard to strengthening innovation activities, in particular, the launch of new toolkits to accelerate digital transformation, building an entrepreneurial ecosystem and nurturing innovation communities; scaling up expert-led </w:t>
      </w:r>
      <w:r w:rsidR="00E25977" w:rsidRPr="001E76F4">
        <w:rPr>
          <w:szCs w:val="24"/>
        </w:rPr>
        <w:t>d</w:t>
      </w:r>
      <w:r w:rsidRPr="001E76F4">
        <w:rPr>
          <w:szCs w:val="24"/>
        </w:rPr>
        <w:t xml:space="preserve">igital </w:t>
      </w:r>
      <w:r w:rsidR="00E25977" w:rsidRPr="001E76F4">
        <w:rPr>
          <w:szCs w:val="24"/>
        </w:rPr>
        <w:t>i</w:t>
      </w:r>
      <w:r w:rsidRPr="001E76F4">
        <w:rPr>
          <w:szCs w:val="24"/>
        </w:rPr>
        <w:t xml:space="preserve">nnovation </w:t>
      </w:r>
      <w:r w:rsidR="00E25977" w:rsidRPr="001E76F4">
        <w:rPr>
          <w:szCs w:val="24"/>
        </w:rPr>
        <w:t>p</w:t>
      </w:r>
      <w:r w:rsidRPr="001E76F4">
        <w:rPr>
          <w:szCs w:val="24"/>
        </w:rPr>
        <w:t xml:space="preserve">rofile assessments; increasing innovation capacity building at the national, regional and global levels and creating synergies between different ITU platforms, for example ITU </w:t>
      </w:r>
      <w:bookmarkStart w:id="13" w:name="Proposal"/>
      <w:bookmarkEnd w:id="13"/>
      <w:r w:rsidRPr="001E76F4">
        <w:rPr>
          <w:szCs w:val="24"/>
        </w:rPr>
        <w:t xml:space="preserve">Telecom </w:t>
      </w:r>
      <w:r w:rsidR="0015440A">
        <w:rPr>
          <w:szCs w:val="24"/>
        </w:rPr>
        <w:t xml:space="preserve">World </w:t>
      </w:r>
      <w:r w:rsidRPr="001E76F4">
        <w:rPr>
          <w:szCs w:val="24"/>
        </w:rPr>
        <w:t>and WSIS.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65FD2" w:rsidRPr="00957B6C" w14:paraId="4FA1F3AF" w14:textId="77777777" w:rsidTr="00ED7519">
        <w:tc>
          <w:tcPr>
            <w:tcW w:w="9629" w:type="dxa"/>
          </w:tcPr>
          <w:p w14:paraId="1A4B239D" w14:textId="77777777" w:rsidR="00965FD2" w:rsidRPr="00957B6C" w:rsidRDefault="000B1F31" w:rsidP="009B5B24">
            <w:pPr>
              <w:spacing w:after="120"/>
              <w:rPr>
                <w:rFonts w:cstheme="minorHAnsi"/>
                <w:color w:val="000000" w:themeColor="text1"/>
                <w:szCs w:val="24"/>
              </w:rPr>
            </w:pPr>
            <w:r w:rsidRPr="00957B6C">
              <w:rPr>
                <w:szCs w:val="24"/>
              </w:rPr>
              <w:lastRenderedPageBreak/>
              <w:t>TDAG noted the document.</w:t>
            </w:r>
          </w:p>
        </w:tc>
      </w:tr>
    </w:tbl>
    <w:p w14:paraId="130E5C84" w14:textId="2A0AD4AE" w:rsidR="001E76F4" w:rsidRPr="00E91F79" w:rsidRDefault="00855A13">
      <w:pPr>
        <w:keepNext/>
        <w:rPr>
          <w:b/>
          <w:bCs/>
          <w:lang w:val="en-US"/>
        </w:rPr>
      </w:pPr>
      <w:r>
        <w:rPr>
          <w:b/>
          <w:bCs/>
          <w:lang w:val="en-US"/>
        </w:rPr>
        <w:t xml:space="preserve">Breakout session: </w:t>
      </w:r>
      <w:r w:rsidR="001E76F4">
        <w:rPr>
          <w:b/>
          <w:bCs/>
          <w:lang w:val="en-US"/>
        </w:rPr>
        <w:t>ITU-D Innovation</w:t>
      </w:r>
    </w:p>
    <w:p w14:paraId="28FFE28F" w14:textId="460BD23B" w:rsidR="001E76F4" w:rsidRPr="00E91F79" w:rsidRDefault="00427837" w:rsidP="00427837">
      <w:pPr>
        <w:rPr>
          <w:lang w:val="en-US"/>
        </w:rPr>
      </w:pPr>
      <w:r>
        <w:rPr>
          <w:lang w:val="en-US"/>
        </w:rPr>
        <w:t xml:space="preserve">The breakout session </w:t>
      </w:r>
      <w:r w:rsidR="001E76F4" w:rsidRPr="00E91F79">
        <w:rPr>
          <w:lang w:val="en-US"/>
        </w:rPr>
        <w:t>on innovation was carried out with the objective of scaling up</w:t>
      </w:r>
      <w:r w:rsidR="001E76F4">
        <w:rPr>
          <w:lang w:val="en-US"/>
        </w:rPr>
        <w:t xml:space="preserve"> the</w:t>
      </w:r>
      <w:r w:rsidR="001E76F4" w:rsidRPr="00E91F79">
        <w:rPr>
          <w:lang w:val="en-US"/>
        </w:rPr>
        <w:t xml:space="preserve"> impact and delivery of the </w:t>
      </w:r>
      <w:r w:rsidR="001E76F4">
        <w:rPr>
          <w:lang w:val="en-US"/>
        </w:rPr>
        <w:t>i</w:t>
      </w:r>
      <w:r w:rsidR="001E76F4" w:rsidRPr="00E91F79">
        <w:rPr>
          <w:lang w:val="en-US"/>
        </w:rPr>
        <w:t xml:space="preserve">nnovation </w:t>
      </w:r>
      <w:r w:rsidR="001E76F4">
        <w:rPr>
          <w:lang w:val="en-US"/>
        </w:rPr>
        <w:t>p</w:t>
      </w:r>
      <w:r w:rsidR="001E76F4" w:rsidRPr="00E91F79">
        <w:rPr>
          <w:lang w:val="en-US"/>
        </w:rPr>
        <w:t>rogramme throughout the organization. Discussions highlighted the need to build a culture of innovation in ITU (potentially</w:t>
      </w:r>
      <w:r w:rsidR="001E76F4">
        <w:rPr>
          <w:lang w:val="en-US"/>
        </w:rPr>
        <w:t xml:space="preserve"> by including</w:t>
      </w:r>
      <w:r w:rsidR="001E76F4" w:rsidRPr="00E91F79">
        <w:rPr>
          <w:lang w:val="en-US"/>
        </w:rPr>
        <w:t xml:space="preserve"> physical innovation spaces) in</w:t>
      </w:r>
      <w:r w:rsidR="001E76F4">
        <w:rPr>
          <w:lang w:val="en-US"/>
        </w:rPr>
        <w:t xml:space="preserve"> </w:t>
      </w:r>
      <w:r w:rsidR="001E76F4" w:rsidRPr="00E91F79">
        <w:rPr>
          <w:lang w:val="en-US"/>
        </w:rPr>
        <w:t xml:space="preserve">line with the objectives set forth by </w:t>
      </w:r>
      <w:r w:rsidR="001E76F4">
        <w:rPr>
          <w:lang w:val="en-US"/>
        </w:rPr>
        <w:t xml:space="preserve">the </w:t>
      </w:r>
      <w:r w:rsidR="001E76F4" w:rsidRPr="00E91F79">
        <w:rPr>
          <w:lang w:val="en-US"/>
        </w:rPr>
        <w:t>membership. The need to inject innovation into ITU’s products and services through co-creation with membership and promoti</w:t>
      </w:r>
      <w:r w:rsidR="001E76F4">
        <w:rPr>
          <w:lang w:val="en-US"/>
        </w:rPr>
        <w:t>on of</w:t>
      </w:r>
      <w:r w:rsidR="001E76F4" w:rsidRPr="00E91F79">
        <w:rPr>
          <w:lang w:val="en-US"/>
        </w:rPr>
        <w:t xml:space="preserve"> intrapreneurship were key recommendations. Additionally, the importance</w:t>
      </w:r>
      <w:r w:rsidR="001E76F4">
        <w:rPr>
          <w:lang w:val="en-US"/>
        </w:rPr>
        <w:t xml:space="preserve"> was highlighted</w:t>
      </w:r>
      <w:r w:rsidR="001E76F4" w:rsidRPr="00E91F79">
        <w:rPr>
          <w:lang w:val="en-US"/>
        </w:rPr>
        <w:t xml:space="preserve"> of a national, regional and global platform that facilitates interaction between stakeholders and enables knowledge sharing for sustainability. Furthermore, other measures</w:t>
      </w:r>
      <w:r w:rsidR="001E76F4">
        <w:rPr>
          <w:lang w:val="en-US"/>
        </w:rPr>
        <w:t>,</w:t>
      </w:r>
      <w:r w:rsidR="001E76F4" w:rsidRPr="00E91F79">
        <w:rPr>
          <w:lang w:val="en-US"/>
        </w:rPr>
        <w:t xml:space="preserve"> such as a measurement framework to help scale ICT</w:t>
      </w:r>
      <w:r w:rsidR="001E76F4">
        <w:rPr>
          <w:lang w:val="en-US"/>
        </w:rPr>
        <w:t>-</w:t>
      </w:r>
      <w:r w:rsidR="001E76F4" w:rsidRPr="00E91F79">
        <w:rPr>
          <w:lang w:val="en-US"/>
        </w:rPr>
        <w:t>centric innovation and the development of an innovation assistance fund</w:t>
      </w:r>
      <w:r w:rsidR="001E76F4">
        <w:rPr>
          <w:lang w:val="en-US"/>
        </w:rPr>
        <w:t>,</w:t>
      </w:r>
      <w:r w:rsidR="001E76F4" w:rsidRPr="00E91F79">
        <w:rPr>
          <w:lang w:val="en-US"/>
        </w:rPr>
        <w:t xml:space="preserve"> were seen as beneficial to scale impact.</w:t>
      </w:r>
      <w:r w:rsidR="00BE016B">
        <w:rPr>
          <w:lang w:val="en-US"/>
        </w:rPr>
        <w:t xml:space="preserve"> </w:t>
      </w:r>
    </w:p>
    <w:p w14:paraId="45CE9559" w14:textId="77777777" w:rsidR="00965FD2" w:rsidRPr="00957B6C" w:rsidRDefault="00965FD2" w:rsidP="00810998">
      <w:pPr>
        <w:pStyle w:val="ListParagraph"/>
        <w:keepNext/>
        <w:numPr>
          <w:ilvl w:val="0"/>
          <w:numId w:val="1"/>
        </w:numPr>
        <w:spacing w:before="240" w:after="120"/>
        <w:ind w:left="357" w:hanging="357"/>
        <w:contextualSpacing w:val="0"/>
        <w:rPr>
          <w:rStyle w:val="StyleComplex12pt"/>
          <w:rFonts w:cstheme="minorHAnsi"/>
          <w:b/>
          <w:bCs/>
        </w:rPr>
      </w:pPr>
      <w:r w:rsidRPr="00957B6C">
        <w:rPr>
          <w:rStyle w:val="StyleComplex12pt"/>
          <w:rFonts w:cstheme="minorHAnsi"/>
          <w:b/>
          <w:bCs/>
        </w:rPr>
        <w:t>Membership, partnership and private sector-related matters</w:t>
      </w:r>
    </w:p>
    <w:p w14:paraId="21445392" w14:textId="3E9BBA67" w:rsidR="00965FD2" w:rsidRPr="00957B6C" w:rsidRDefault="00B8346F" w:rsidP="00497B67">
      <w:pPr>
        <w:tabs>
          <w:tab w:val="clear" w:pos="1134"/>
          <w:tab w:val="clear" w:pos="1871"/>
          <w:tab w:val="clear" w:pos="2268"/>
        </w:tabs>
        <w:overflowPunct/>
        <w:autoSpaceDE/>
        <w:autoSpaceDN/>
        <w:adjustRightInd/>
        <w:spacing w:after="120"/>
        <w:textAlignment w:val="auto"/>
        <w:rPr>
          <w:rFonts w:cstheme="minorHAnsi"/>
          <w:szCs w:val="24"/>
        </w:rPr>
      </w:pPr>
      <w:hyperlink r:id="rId65" w:history="1">
        <w:r w:rsidR="00965FD2" w:rsidRPr="00957B6C">
          <w:rPr>
            <w:rStyle w:val="Hyperlink"/>
            <w:rFonts w:cstheme="minorHAnsi"/>
            <w:b/>
            <w:bCs/>
            <w:szCs w:val="24"/>
          </w:rPr>
          <w:t>Document 20</w:t>
        </w:r>
      </w:hyperlink>
      <w:r w:rsidR="00965FD2" w:rsidRPr="00957B6C">
        <w:rPr>
          <w:rFonts w:cstheme="minorHAnsi"/>
          <w:b/>
          <w:bCs/>
          <w:color w:val="000000" w:themeColor="text1"/>
          <w:szCs w:val="24"/>
        </w:rPr>
        <w:t>:</w:t>
      </w:r>
      <w:r w:rsidR="00965FD2" w:rsidRPr="00957B6C">
        <w:rPr>
          <w:rFonts w:cstheme="minorHAnsi"/>
          <w:color w:val="000000" w:themeColor="text1"/>
          <w:szCs w:val="24"/>
        </w:rPr>
        <w:t xml:space="preserve"> “ITU-D Sector Membership</w:t>
      </w:r>
      <w:r w:rsidR="00965FD2" w:rsidRPr="00957B6C">
        <w:rPr>
          <w:rFonts w:cstheme="minorHAnsi"/>
          <w:szCs w:val="24"/>
        </w:rPr>
        <w:t>”</w:t>
      </w:r>
      <w:r w:rsidR="00965FD2" w:rsidRPr="00957B6C">
        <w:rPr>
          <w:rFonts w:cstheme="minorHAnsi"/>
          <w:b/>
          <w:bCs/>
          <w:szCs w:val="24"/>
        </w:rPr>
        <w:t xml:space="preserve"> </w:t>
      </w:r>
      <w:r w:rsidR="00965FD2" w:rsidRPr="00957B6C">
        <w:rPr>
          <w:rFonts w:cstheme="minorHAnsi"/>
          <w:szCs w:val="24"/>
        </w:rPr>
        <w:t xml:space="preserve">provides an overview of the evolution of ITU-D Sector membership and its strategies and actions to strengthen </w:t>
      </w:r>
      <w:r w:rsidR="00497B67">
        <w:rPr>
          <w:rFonts w:cstheme="minorHAnsi"/>
          <w:szCs w:val="24"/>
        </w:rPr>
        <w:t xml:space="preserve"> this</w:t>
      </w:r>
      <w:r w:rsidR="00965FD2" w:rsidRPr="00957B6C">
        <w:rPr>
          <w:rFonts w:cstheme="minorHAnsi"/>
          <w:szCs w:val="24"/>
        </w:rPr>
        <w:t xml:space="preserve"> membership in accordance with the outcomes of WTDC-17 and PP-18. </w:t>
      </w:r>
    </w:p>
    <w:p w14:paraId="33BAC29F" w14:textId="786B734B" w:rsidR="003B4A21" w:rsidRDefault="0060083B" w:rsidP="00490C93">
      <w:pPr>
        <w:spacing w:after="120"/>
        <w:jc w:val="both"/>
      </w:pPr>
      <w:r w:rsidRPr="00957B6C">
        <w:rPr>
          <w:rFonts w:cstheme="minorHAnsi"/>
          <w:szCs w:val="24"/>
        </w:rPr>
        <w:t>A number of s</w:t>
      </w:r>
      <w:r w:rsidR="00965FD2" w:rsidRPr="00957B6C">
        <w:rPr>
          <w:rFonts w:cstheme="minorHAnsi"/>
          <w:szCs w:val="24"/>
        </w:rPr>
        <w:t xml:space="preserve">trategic objectives </w:t>
      </w:r>
      <w:r w:rsidRPr="00957B6C">
        <w:rPr>
          <w:rFonts w:cstheme="minorHAnsi"/>
          <w:szCs w:val="24"/>
        </w:rPr>
        <w:t>were highlighted and include</w:t>
      </w:r>
      <w:r w:rsidR="00134C1E" w:rsidRPr="00957B6C">
        <w:rPr>
          <w:rFonts w:cstheme="minorHAnsi"/>
          <w:szCs w:val="24"/>
        </w:rPr>
        <w:t xml:space="preserve"> </w:t>
      </w:r>
      <w:r w:rsidR="00965FD2" w:rsidRPr="00957B6C">
        <w:rPr>
          <w:rFonts w:cstheme="minorHAnsi"/>
          <w:szCs w:val="24"/>
        </w:rPr>
        <w:t>reach</w:t>
      </w:r>
      <w:r w:rsidRPr="00957B6C">
        <w:rPr>
          <w:rFonts w:cstheme="minorHAnsi"/>
          <w:szCs w:val="24"/>
        </w:rPr>
        <w:t>ing</w:t>
      </w:r>
      <w:r w:rsidR="00965FD2" w:rsidRPr="00957B6C">
        <w:rPr>
          <w:rFonts w:cstheme="minorHAnsi"/>
          <w:szCs w:val="24"/>
        </w:rPr>
        <w:t xml:space="preserve"> out to new entities to join as Sector </w:t>
      </w:r>
      <w:r w:rsidR="0050460B">
        <w:rPr>
          <w:rFonts w:cstheme="minorHAnsi"/>
          <w:szCs w:val="24"/>
        </w:rPr>
        <w:t>M</w:t>
      </w:r>
      <w:r w:rsidR="00852A91" w:rsidRPr="00957B6C">
        <w:rPr>
          <w:rFonts w:cstheme="minorHAnsi"/>
          <w:szCs w:val="24"/>
        </w:rPr>
        <w:t>embers</w:t>
      </w:r>
      <w:r w:rsidR="00965FD2" w:rsidRPr="00957B6C">
        <w:rPr>
          <w:rFonts w:cstheme="minorHAnsi"/>
          <w:szCs w:val="24"/>
        </w:rPr>
        <w:t xml:space="preserve">, </w:t>
      </w:r>
      <w:r w:rsidR="0050460B">
        <w:rPr>
          <w:rFonts w:cstheme="minorHAnsi"/>
          <w:szCs w:val="24"/>
        </w:rPr>
        <w:t>A</w:t>
      </w:r>
      <w:r w:rsidR="00965FD2" w:rsidRPr="00957B6C">
        <w:rPr>
          <w:rFonts w:cstheme="minorHAnsi"/>
          <w:szCs w:val="24"/>
        </w:rPr>
        <w:t>ssociates</w:t>
      </w:r>
      <w:r w:rsidR="0050460B">
        <w:rPr>
          <w:rFonts w:cstheme="minorHAnsi"/>
          <w:szCs w:val="24"/>
        </w:rPr>
        <w:t xml:space="preserve">, </w:t>
      </w:r>
      <w:r w:rsidR="0050460B" w:rsidRPr="00957B6C">
        <w:rPr>
          <w:rFonts w:cstheme="minorHAnsi"/>
          <w:szCs w:val="24"/>
        </w:rPr>
        <w:t>Academia</w:t>
      </w:r>
      <w:r w:rsidR="0050460B">
        <w:rPr>
          <w:rFonts w:cstheme="minorHAnsi"/>
          <w:szCs w:val="24"/>
        </w:rPr>
        <w:t xml:space="preserve"> and </w:t>
      </w:r>
      <w:r w:rsidR="005A4C8C" w:rsidRPr="00427837">
        <w:rPr>
          <w:rFonts w:eastAsia="Calibri" w:cs="Calibri"/>
          <w:color w:val="000000" w:themeColor="text1"/>
          <w:szCs w:val="24"/>
        </w:rPr>
        <w:t>small and medium-sized enterprises (SMEs)</w:t>
      </w:r>
      <w:r w:rsidR="0050460B">
        <w:rPr>
          <w:rFonts w:eastAsia="Calibri" w:cs="Calibri"/>
          <w:color w:val="000000" w:themeColor="text1"/>
          <w:szCs w:val="24"/>
        </w:rPr>
        <w:t xml:space="preserve">. </w:t>
      </w:r>
      <w:r w:rsidR="00955599">
        <w:rPr>
          <w:rFonts w:eastAsia="Calibri" w:cs="Calibri"/>
          <w:color w:val="000000" w:themeColor="text1"/>
          <w:szCs w:val="24"/>
        </w:rPr>
        <w:t xml:space="preserve">Reaching out to new entities </w:t>
      </w:r>
      <w:r w:rsidR="00497B67" w:rsidRPr="000D278F">
        <w:rPr>
          <w:lang w:val="en-US"/>
        </w:rPr>
        <w:t xml:space="preserve">is </w:t>
      </w:r>
      <w:r w:rsidR="00955599">
        <w:rPr>
          <w:lang w:val="en-US"/>
        </w:rPr>
        <w:t xml:space="preserve">done </w:t>
      </w:r>
      <w:r w:rsidR="00497B67" w:rsidRPr="000D278F">
        <w:rPr>
          <w:lang w:val="en-US"/>
        </w:rPr>
        <w:t>in close coordination and cooperation with regional and area offices at various regional and international events</w:t>
      </w:r>
      <w:r w:rsidR="00FD7B51">
        <w:rPr>
          <w:lang w:val="en-US"/>
        </w:rPr>
        <w:t xml:space="preserve">, </w:t>
      </w:r>
      <w:r w:rsidR="00497B67">
        <w:rPr>
          <w:lang w:val="en-US"/>
        </w:rPr>
        <w:t xml:space="preserve">and </w:t>
      </w:r>
      <w:r w:rsidR="00497B67" w:rsidRPr="000D278F">
        <w:rPr>
          <w:lang w:val="en-US"/>
        </w:rPr>
        <w:t xml:space="preserve">goes hand in hand with communicating and promoting BDT programmes, projects, initiatives and actions. </w:t>
      </w:r>
      <w:r w:rsidR="00FD7B51">
        <w:rPr>
          <w:lang w:val="en-US"/>
        </w:rPr>
        <w:t>A</w:t>
      </w:r>
      <w:r w:rsidR="00497B67" w:rsidRPr="000D278F">
        <w:t xml:space="preserve"> pilot project implemented by ITU-D study groups to encourage SMEs to participate in their work has proved to be an attractive initiative. </w:t>
      </w:r>
      <w:r w:rsidR="00FD7B51">
        <w:rPr>
          <w:lang w:val="en-US"/>
        </w:rPr>
        <w:t xml:space="preserve">It is hoped that the </w:t>
      </w:r>
      <w:r w:rsidR="00FD7B51" w:rsidRPr="00490C93">
        <w:rPr>
          <w:szCs w:val="24"/>
        </w:rPr>
        <w:t>decision of PP-18 to introduce reduced fees for SMEs will help increase industry participation, particularly from developing countries.</w:t>
      </w:r>
      <w:r w:rsidR="00FD7B51" w:rsidRPr="00490C93">
        <w:rPr>
          <w:szCs w:val="24"/>
          <w:lang w:val="en-US"/>
        </w:rPr>
        <w:t xml:space="preserve"> </w:t>
      </w:r>
      <w:r w:rsidR="00497B67" w:rsidRPr="000D278F">
        <w:rPr>
          <w:lang w:val="en-US"/>
        </w:rPr>
        <w:t>Academia is the main growing segment</w:t>
      </w:r>
      <w:r w:rsidR="003B4A21">
        <w:rPr>
          <w:lang w:val="en-US"/>
        </w:rPr>
        <w:t xml:space="preserve">, with </w:t>
      </w:r>
      <w:r w:rsidR="003B4A21" w:rsidRPr="002E2FA0">
        <w:t>37 new affiliated academic institutions</w:t>
      </w:r>
      <w:r w:rsidR="003B4A21">
        <w:t xml:space="preserve"> having joined the work of </w:t>
      </w:r>
      <w:r w:rsidR="0007296F">
        <w:t>all three Sectors</w:t>
      </w:r>
      <w:r w:rsidR="003B4A21">
        <w:rPr>
          <w:lang w:val="en-US"/>
        </w:rPr>
        <w:t xml:space="preserve">. </w:t>
      </w:r>
      <w:r w:rsidR="001D6026">
        <w:rPr>
          <w:lang w:val="en-US"/>
        </w:rPr>
        <w:t>O</w:t>
      </w:r>
      <w:r w:rsidR="00497B67" w:rsidRPr="000D278F">
        <w:rPr>
          <w:lang w:val="en-US"/>
        </w:rPr>
        <w:t xml:space="preserve">utreach </w:t>
      </w:r>
      <w:r w:rsidR="001D6026">
        <w:rPr>
          <w:lang w:val="en-US"/>
        </w:rPr>
        <w:t xml:space="preserve">for Academia </w:t>
      </w:r>
      <w:r w:rsidR="00497B67" w:rsidRPr="000D278F">
        <w:rPr>
          <w:lang w:val="en-US"/>
        </w:rPr>
        <w:t>is led by the General Secretariat</w:t>
      </w:r>
      <w:r w:rsidR="003B4A21">
        <w:rPr>
          <w:lang w:val="en-US"/>
        </w:rPr>
        <w:t>,</w:t>
      </w:r>
      <w:r w:rsidR="00497B67" w:rsidRPr="000D278F">
        <w:rPr>
          <w:lang w:val="en-US"/>
        </w:rPr>
        <w:t xml:space="preserve"> with th</w:t>
      </w:r>
      <w:r w:rsidR="00FD7B51">
        <w:rPr>
          <w:lang w:val="en-US"/>
        </w:rPr>
        <w:t>e support of the three Sectors.</w:t>
      </w:r>
      <w:r w:rsidR="003B4A21" w:rsidRPr="003B4A21">
        <w:t xml:space="preserve"> </w:t>
      </w:r>
    </w:p>
    <w:p w14:paraId="722E5129" w14:textId="77777777" w:rsidR="00B62312" w:rsidRDefault="009556DE" w:rsidP="00490C93">
      <w:pPr>
        <w:spacing w:after="120"/>
        <w:jc w:val="both"/>
        <w:rPr>
          <w:lang w:val="en-US"/>
        </w:rPr>
      </w:pPr>
      <w:r>
        <w:rPr>
          <w:lang w:val="en-US"/>
        </w:rPr>
        <w:t xml:space="preserve">It was noted that </w:t>
      </w:r>
      <w:r w:rsidR="0007296F">
        <w:rPr>
          <w:lang w:val="en-US"/>
        </w:rPr>
        <w:t>i</w:t>
      </w:r>
      <w:r w:rsidR="0007296F" w:rsidRPr="00E7188C">
        <w:rPr>
          <w:szCs w:val="24"/>
        </w:rPr>
        <w:t>n 2018, ITU-D attracted</w:t>
      </w:r>
      <w:r w:rsidR="0007296F">
        <w:rPr>
          <w:szCs w:val="24"/>
        </w:rPr>
        <w:t xml:space="preserve"> the following eight</w:t>
      </w:r>
      <w:r w:rsidR="0007296F" w:rsidRPr="00E7188C">
        <w:rPr>
          <w:szCs w:val="24"/>
        </w:rPr>
        <w:t xml:space="preserve"> new Sector Members: </w:t>
      </w:r>
      <w:r w:rsidR="00497B67" w:rsidRPr="000D278F">
        <w:rPr>
          <w:lang w:val="en-US"/>
        </w:rPr>
        <w:t xml:space="preserve">ECPAT International (Thailand); World Wide Web Foundation (USA); Common Market for Eastern and Southern Africa (Zambia); Mobile and Wireless Forum IVZW (Belgium); Turkcell Iletisim Hizmetleri A.S (Turkey); Sigma Telecom (Turkey); Symantec Corporation (USA); Masyarakat Telematika Indonesia (Indonesia). </w:t>
      </w:r>
      <w:r>
        <w:rPr>
          <w:lang w:val="en-US"/>
        </w:rPr>
        <w:t>Furthermore, the following f</w:t>
      </w:r>
      <w:r w:rsidR="001D6026">
        <w:rPr>
          <w:lang w:val="en-US"/>
        </w:rPr>
        <w:t xml:space="preserve">our </w:t>
      </w:r>
      <w:r>
        <w:rPr>
          <w:lang w:val="en-US"/>
        </w:rPr>
        <w:t xml:space="preserve">joined as </w:t>
      </w:r>
      <w:r w:rsidR="003B4A21">
        <w:rPr>
          <w:lang w:val="en-US"/>
        </w:rPr>
        <w:t>Associates</w:t>
      </w:r>
      <w:r w:rsidR="00497B67" w:rsidRPr="000D278F">
        <w:rPr>
          <w:lang w:val="en-US"/>
        </w:rPr>
        <w:t xml:space="preserve">: High-tech Bridge SA (Switzerland); Konkan Railway Corporation Ltd. (India); Axon Partners Group Consulting (Spain); and NRD Cyber Security (Lithuania). </w:t>
      </w:r>
    </w:p>
    <w:p w14:paraId="5AE8E571" w14:textId="5CB71DD6" w:rsidR="00497B67" w:rsidRPr="00490C93" w:rsidRDefault="00FC1433" w:rsidP="00490C93">
      <w:pPr>
        <w:spacing w:after="120"/>
        <w:jc w:val="both"/>
        <w:rPr>
          <w:szCs w:val="24"/>
        </w:rPr>
      </w:pPr>
      <w:r>
        <w:rPr>
          <w:szCs w:val="24"/>
          <w:lang w:val="en-US"/>
        </w:rPr>
        <w:t>D</w:t>
      </w:r>
      <w:r w:rsidR="00B62312">
        <w:rPr>
          <w:szCs w:val="24"/>
        </w:rPr>
        <w:t xml:space="preserve">uring </w:t>
      </w:r>
      <w:r w:rsidR="009D4E19">
        <w:rPr>
          <w:szCs w:val="24"/>
        </w:rPr>
        <w:t xml:space="preserve">the same period, the following </w:t>
      </w:r>
      <w:r>
        <w:rPr>
          <w:szCs w:val="24"/>
        </w:rPr>
        <w:t xml:space="preserve">nine </w:t>
      </w:r>
      <w:r w:rsidR="00497B67" w:rsidRPr="000D278F">
        <w:rPr>
          <w:lang w:val="en-US"/>
        </w:rPr>
        <w:t>Sector Members</w:t>
      </w:r>
      <w:r w:rsidR="009D4E19">
        <w:rPr>
          <w:lang w:val="en-US"/>
        </w:rPr>
        <w:t xml:space="preserve"> and </w:t>
      </w:r>
      <w:r w:rsidR="00497B67" w:rsidRPr="000D278F">
        <w:rPr>
          <w:lang w:val="en-US"/>
        </w:rPr>
        <w:t>one Associate</w:t>
      </w:r>
      <w:r w:rsidR="009D4E19">
        <w:rPr>
          <w:lang w:val="en-US"/>
        </w:rPr>
        <w:t xml:space="preserve"> left ITU-D</w:t>
      </w:r>
      <w:r w:rsidR="00497B67" w:rsidRPr="000D278F">
        <w:rPr>
          <w:lang w:val="en-US"/>
        </w:rPr>
        <w:t xml:space="preserve">: </w:t>
      </w:r>
      <w:r w:rsidR="00497B67" w:rsidRPr="000D278F">
        <w:rPr>
          <w:szCs w:val="24"/>
          <w:lang w:val="en-US"/>
        </w:rPr>
        <w:t xml:space="preserve">Sri Lanka Telecom Ltd. </w:t>
      </w:r>
      <w:r w:rsidR="008B013F">
        <w:rPr>
          <w:szCs w:val="24"/>
          <w:lang w:val="en-US"/>
        </w:rPr>
        <w:t>(</w:t>
      </w:r>
      <w:r w:rsidR="00497B67" w:rsidRPr="000D278F">
        <w:rPr>
          <w:szCs w:val="24"/>
          <w:lang w:val="en-US"/>
        </w:rPr>
        <w:t>Sri Lanka</w:t>
      </w:r>
      <w:r w:rsidR="008B013F">
        <w:rPr>
          <w:szCs w:val="24"/>
          <w:lang w:val="en-US"/>
        </w:rPr>
        <w:t>)</w:t>
      </w:r>
      <w:r w:rsidR="00497B67" w:rsidRPr="000D278F">
        <w:rPr>
          <w:lang w:val="en-US"/>
        </w:rPr>
        <w:t xml:space="preserve">; </w:t>
      </w:r>
      <w:r w:rsidR="00497B67" w:rsidRPr="000D278F">
        <w:rPr>
          <w:szCs w:val="24"/>
          <w:lang w:val="en-US"/>
        </w:rPr>
        <w:t>Thuraya Telecommunications Company</w:t>
      </w:r>
      <w:r w:rsidR="00497B67" w:rsidRPr="000D278F">
        <w:rPr>
          <w:lang w:val="en-US"/>
        </w:rPr>
        <w:t xml:space="preserve">; </w:t>
      </w:r>
      <w:r w:rsidR="00497B67" w:rsidRPr="000D278F">
        <w:rPr>
          <w:szCs w:val="24"/>
          <w:lang w:val="en-US"/>
        </w:rPr>
        <w:t xml:space="preserve">PT Indosat Tbk. </w:t>
      </w:r>
      <w:r w:rsidR="008B013F">
        <w:rPr>
          <w:szCs w:val="24"/>
          <w:lang w:val="en-US"/>
        </w:rPr>
        <w:t>(</w:t>
      </w:r>
      <w:r w:rsidR="00497B67" w:rsidRPr="000D278F">
        <w:rPr>
          <w:szCs w:val="24"/>
          <w:lang w:val="en-US"/>
        </w:rPr>
        <w:t>Indonesia</w:t>
      </w:r>
      <w:r w:rsidR="008B013F">
        <w:rPr>
          <w:szCs w:val="24"/>
          <w:lang w:val="en-US"/>
        </w:rPr>
        <w:t>)</w:t>
      </w:r>
      <w:r w:rsidR="00497B67" w:rsidRPr="000D278F">
        <w:rPr>
          <w:lang w:val="en-US"/>
        </w:rPr>
        <w:t xml:space="preserve">; </w:t>
      </w:r>
      <w:r w:rsidR="00497B67" w:rsidRPr="000D278F">
        <w:rPr>
          <w:szCs w:val="24"/>
          <w:lang w:val="en-US"/>
        </w:rPr>
        <w:t xml:space="preserve">ADD International </w:t>
      </w:r>
      <w:r w:rsidR="008B013F">
        <w:rPr>
          <w:szCs w:val="24"/>
          <w:lang w:val="en-US"/>
        </w:rPr>
        <w:t>(</w:t>
      </w:r>
      <w:r w:rsidR="00497B67" w:rsidRPr="000D278F">
        <w:rPr>
          <w:szCs w:val="24"/>
          <w:lang w:val="en-US"/>
        </w:rPr>
        <w:t>Bangladesh</w:t>
      </w:r>
      <w:r w:rsidR="008B013F">
        <w:rPr>
          <w:szCs w:val="24"/>
          <w:lang w:val="en-US"/>
        </w:rPr>
        <w:t>)</w:t>
      </w:r>
      <w:r w:rsidR="00497B67" w:rsidRPr="000D278F">
        <w:rPr>
          <w:lang w:val="en-US"/>
        </w:rPr>
        <w:t xml:space="preserve">; </w:t>
      </w:r>
      <w:r w:rsidR="00497B67" w:rsidRPr="000D278F">
        <w:rPr>
          <w:szCs w:val="24"/>
          <w:lang w:val="en-US"/>
        </w:rPr>
        <w:t xml:space="preserve">Sitronics Ex. JSC Intellect Telecom </w:t>
      </w:r>
      <w:r w:rsidR="008B013F">
        <w:rPr>
          <w:szCs w:val="24"/>
          <w:lang w:val="en-US"/>
        </w:rPr>
        <w:t>(</w:t>
      </w:r>
      <w:r w:rsidR="00497B67" w:rsidRPr="000D278F">
        <w:rPr>
          <w:szCs w:val="24"/>
          <w:lang w:val="en-US"/>
        </w:rPr>
        <w:t>Russian Federation</w:t>
      </w:r>
      <w:r w:rsidR="008B013F">
        <w:rPr>
          <w:szCs w:val="24"/>
          <w:lang w:val="en-US"/>
        </w:rPr>
        <w:t>)</w:t>
      </w:r>
      <w:r w:rsidR="00497B67" w:rsidRPr="000D278F">
        <w:rPr>
          <w:lang w:val="en-US"/>
        </w:rPr>
        <w:t xml:space="preserve">; </w:t>
      </w:r>
      <w:r w:rsidR="00497B67" w:rsidRPr="000D278F">
        <w:rPr>
          <w:szCs w:val="24"/>
          <w:lang w:val="en-US"/>
        </w:rPr>
        <w:t xml:space="preserve">Guyana Telephone and Telegraph Co. Ltd. </w:t>
      </w:r>
      <w:r w:rsidR="008B013F">
        <w:rPr>
          <w:szCs w:val="24"/>
          <w:lang w:val="en-US"/>
        </w:rPr>
        <w:t>(</w:t>
      </w:r>
      <w:r w:rsidR="00497B67" w:rsidRPr="000D278F">
        <w:rPr>
          <w:szCs w:val="24"/>
          <w:lang w:val="en-US"/>
        </w:rPr>
        <w:t>Guyana</w:t>
      </w:r>
      <w:r w:rsidR="008B013F">
        <w:rPr>
          <w:szCs w:val="24"/>
          <w:lang w:val="en-US"/>
        </w:rPr>
        <w:t>)</w:t>
      </w:r>
      <w:r w:rsidR="00497B67" w:rsidRPr="000D278F">
        <w:rPr>
          <w:lang w:val="en-US"/>
        </w:rPr>
        <w:t xml:space="preserve">; </w:t>
      </w:r>
      <w:r w:rsidR="00497B67" w:rsidRPr="000D278F">
        <w:rPr>
          <w:szCs w:val="24"/>
          <w:lang w:val="en-US"/>
        </w:rPr>
        <w:t xml:space="preserve">Central Science Research Telecommunications </w:t>
      </w:r>
      <w:r w:rsidR="008B013F">
        <w:rPr>
          <w:szCs w:val="24"/>
          <w:lang w:val="en-US"/>
        </w:rPr>
        <w:t>(</w:t>
      </w:r>
      <w:r w:rsidR="00497B67" w:rsidRPr="000D278F">
        <w:rPr>
          <w:szCs w:val="24"/>
          <w:lang w:val="en-US"/>
        </w:rPr>
        <w:t>Russian Federation</w:t>
      </w:r>
      <w:r w:rsidR="008B013F">
        <w:rPr>
          <w:szCs w:val="24"/>
          <w:lang w:val="en-US"/>
        </w:rPr>
        <w:t>)</w:t>
      </w:r>
      <w:r w:rsidR="00497B67" w:rsidRPr="000D278F">
        <w:rPr>
          <w:lang w:val="en-US"/>
        </w:rPr>
        <w:t xml:space="preserve">; UMTS Forum </w:t>
      </w:r>
      <w:r w:rsidR="008B013F">
        <w:rPr>
          <w:lang w:val="en-US"/>
        </w:rPr>
        <w:t>(</w:t>
      </w:r>
      <w:r w:rsidR="00497B67" w:rsidRPr="000D278F">
        <w:rPr>
          <w:lang w:val="en-US"/>
        </w:rPr>
        <w:t>U</w:t>
      </w:r>
      <w:r w:rsidR="008B013F">
        <w:rPr>
          <w:lang w:val="en-US"/>
        </w:rPr>
        <w:t xml:space="preserve">nited </w:t>
      </w:r>
      <w:r w:rsidR="00497B67" w:rsidRPr="000D278F">
        <w:rPr>
          <w:lang w:val="en-US"/>
        </w:rPr>
        <w:t>K</w:t>
      </w:r>
      <w:r w:rsidR="008B013F">
        <w:rPr>
          <w:lang w:val="en-US"/>
        </w:rPr>
        <w:t>ingdom)</w:t>
      </w:r>
      <w:r w:rsidR="00497B67" w:rsidRPr="000D278F">
        <w:rPr>
          <w:lang w:val="en-US"/>
        </w:rPr>
        <w:t xml:space="preserve">; </w:t>
      </w:r>
      <w:r w:rsidR="00497B67" w:rsidRPr="000D278F">
        <w:rPr>
          <w:szCs w:val="24"/>
          <w:lang w:val="en-US"/>
        </w:rPr>
        <w:t xml:space="preserve">Telecom Egypt Data S.A.E (TE Data) </w:t>
      </w:r>
      <w:r w:rsidR="008B013F">
        <w:rPr>
          <w:szCs w:val="24"/>
          <w:lang w:val="en-US"/>
        </w:rPr>
        <w:t>(</w:t>
      </w:r>
      <w:r w:rsidR="00497B67" w:rsidRPr="000D278F">
        <w:rPr>
          <w:szCs w:val="24"/>
          <w:lang w:val="en-US"/>
        </w:rPr>
        <w:t>Egypt</w:t>
      </w:r>
      <w:r w:rsidR="008B013F">
        <w:rPr>
          <w:szCs w:val="24"/>
          <w:lang w:val="en-US"/>
        </w:rPr>
        <w:t>)</w:t>
      </w:r>
      <w:r w:rsidR="00497B67" w:rsidRPr="000D278F">
        <w:rPr>
          <w:lang w:val="en-US"/>
        </w:rPr>
        <w:t xml:space="preserve">; and </w:t>
      </w:r>
      <w:r w:rsidR="00497B67" w:rsidRPr="000D278F">
        <w:rPr>
          <w:szCs w:val="24"/>
          <w:lang w:val="en-US"/>
        </w:rPr>
        <w:t xml:space="preserve">Sysoco </w:t>
      </w:r>
      <w:r w:rsidR="008B013F">
        <w:rPr>
          <w:szCs w:val="24"/>
          <w:lang w:val="en-US"/>
        </w:rPr>
        <w:t>(</w:t>
      </w:r>
      <w:r w:rsidR="00497B67" w:rsidRPr="000D278F">
        <w:rPr>
          <w:szCs w:val="24"/>
          <w:lang w:val="en-US"/>
        </w:rPr>
        <w:t>France</w:t>
      </w:r>
      <w:r w:rsidR="008B013F">
        <w:rPr>
          <w:szCs w:val="24"/>
          <w:lang w:val="en-US"/>
        </w:rPr>
        <w:t>)</w:t>
      </w:r>
      <w:r w:rsidR="00497B67" w:rsidRPr="000D278F">
        <w:rPr>
          <w:szCs w:val="24"/>
          <w:lang w:val="en-US"/>
        </w:rPr>
        <w:t xml:space="preserve"> (Associate)</w:t>
      </w:r>
      <w:r>
        <w:rPr>
          <w:szCs w:val="24"/>
          <w:lang w:val="en-US"/>
        </w:rPr>
        <w:t>.</w:t>
      </w:r>
    </w:p>
    <w:p w14:paraId="0D86728A" w14:textId="194913CC" w:rsidR="00497B67" w:rsidRPr="000D278F" w:rsidRDefault="00FC1433">
      <w:pPr>
        <w:rPr>
          <w:lang w:val="en-US"/>
        </w:rPr>
      </w:pPr>
      <w:r>
        <w:rPr>
          <w:lang w:val="en-US"/>
        </w:rPr>
        <w:t xml:space="preserve">In terms of </w:t>
      </w:r>
      <w:r w:rsidR="00497B67" w:rsidRPr="000D278F">
        <w:rPr>
          <w:lang w:val="en-US"/>
        </w:rPr>
        <w:t>Academia</w:t>
      </w:r>
      <w:r>
        <w:rPr>
          <w:lang w:val="en-US"/>
        </w:rPr>
        <w:t xml:space="preserve">, the following </w:t>
      </w:r>
      <w:r w:rsidR="002C5BC9">
        <w:rPr>
          <w:lang w:val="en-US"/>
        </w:rPr>
        <w:t>five</w:t>
      </w:r>
      <w:r>
        <w:rPr>
          <w:lang w:val="en-US"/>
        </w:rPr>
        <w:t xml:space="preserve"> </w:t>
      </w:r>
      <w:r w:rsidR="00497B67" w:rsidRPr="000D278F">
        <w:rPr>
          <w:lang w:val="en-US"/>
        </w:rPr>
        <w:t xml:space="preserve">left all ITU Sectors: </w:t>
      </w:r>
      <w:r w:rsidR="00497B67" w:rsidRPr="000D278F">
        <w:rPr>
          <w:szCs w:val="24"/>
          <w:lang w:val="en-US"/>
        </w:rPr>
        <w:t>Ecole Pol</w:t>
      </w:r>
      <w:r w:rsidR="00497B67" w:rsidRPr="000D278F">
        <w:rPr>
          <w:lang w:val="en-US"/>
        </w:rPr>
        <w:t>ytechnique Federale de Lausanne</w:t>
      </w:r>
      <w:r w:rsidR="008B013F">
        <w:rPr>
          <w:lang w:val="en-US"/>
        </w:rPr>
        <w:t xml:space="preserve"> (Switzerland)</w:t>
      </w:r>
      <w:r w:rsidR="00497B67" w:rsidRPr="000D278F">
        <w:rPr>
          <w:lang w:val="en-US"/>
        </w:rPr>
        <w:t xml:space="preserve">; Lund University </w:t>
      </w:r>
      <w:r w:rsidR="008B013F">
        <w:rPr>
          <w:lang w:val="en-US"/>
        </w:rPr>
        <w:t>(</w:t>
      </w:r>
      <w:r w:rsidR="00497B67" w:rsidRPr="000D278F">
        <w:rPr>
          <w:lang w:val="en-US"/>
        </w:rPr>
        <w:t>Sweden</w:t>
      </w:r>
      <w:r w:rsidR="008B013F">
        <w:rPr>
          <w:lang w:val="en-US"/>
        </w:rPr>
        <w:t>)</w:t>
      </w:r>
      <w:r w:rsidR="00497B67" w:rsidRPr="000D278F">
        <w:rPr>
          <w:lang w:val="en-US"/>
        </w:rPr>
        <w:t xml:space="preserve">; </w:t>
      </w:r>
      <w:r w:rsidR="00497B67" w:rsidRPr="000D278F">
        <w:rPr>
          <w:szCs w:val="24"/>
          <w:lang w:val="en-US"/>
        </w:rPr>
        <w:t xml:space="preserve">Aarhus University Department of Engineering </w:t>
      </w:r>
      <w:r w:rsidR="008B013F">
        <w:rPr>
          <w:szCs w:val="24"/>
          <w:lang w:val="en-US"/>
        </w:rPr>
        <w:t>(</w:t>
      </w:r>
      <w:r w:rsidR="00497B67" w:rsidRPr="000D278F">
        <w:rPr>
          <w:szCs w:val="24"/>
          <w:lang w:val="en-US"/>
        </w:rPr>
        <w:t>Denmark</w:t>
      </w:r>
      <w:r w:rsidR="008B013F">
        <w:rPr>
          <w:szCs w:val="24"/>
          <w:lang w:val="en-US"/>
        </w:rPr>
        <w:t>)</w:t>
      </w:r>
      <w:r w:rsidR="00497B67" w:rsidRPr="000D278F">
        <w:rPr>
          <w:lang w:val="en-US"/>
        </w:rPr>
        <w:t xml:space="preserve">; </w:t>
      </w:r>
      <w:r w:rsidR="00497B67" w:rsidRPr="000D278F">
        <w:rPr>
          <w:szCs w:val="24"/>
          <w:lang w:val="en-US"/>
        </w:rPr>
        <w:t xml:space="preserve">University of Groningen </w:t>
      </w:r>
      <w:r w:rsidR="008B013F">
        <w:rPr>
          <w:szCs w:val="24"/>
          <w:lang w:val="en-US"/>
        </w:rPr>
        <w:t>(</w:t>
      </w:r>
      <w:r w:rsidR="00497B67" w:rsidRPr="000D278F">
        <w:rPr>
          <w:szCs w:val="24"/>
          <w:lang w:val="en-US"/>
        </w:rPr>
        <w:t>Netherlands</w:t>
      </w:r>
      <w:r w:rsidR="008B013F">
        <w:rPr>
          <w:szCs w:val="24"/>
          <w:lang w:val="en-US"/>
        </w:rPr>
        <w:t>)</w:t>
      </w:r>
      <w:r w:rsidR="00497B67" w:rsidRPr="000D278F">
        <w:rPr>
          <w:lang w:val="en-US"/>
        </w:rPr>
        <w:t xml:space="preserve">; and </w:t>
      </w:r>
      <w:r w:rsidR="00497B67" w:rsidRPr="000D278F">
        <w:rPr>
          <w:szCs w:val="24"/>
          <w:lang w:val="en-US"/>
        </w:rPr>
        <w:t xml:space="preserve">King Abdullah University of Science </w:t>
      </w:r>
      <w:r w:rsidR="008B013F">
        <w:rPr>
          <w:szCs w:val="24"/>
          <w:lang w:val="en-US"/>
        </w:rPr>
        <w:t>(</w:t>
      </w:r>
      <w:r w:rsidR="00497B67" w:rsidRPr="000D278F">
        <w:rPr>
          <w:szCs w:val="24"/>
          <w:lang w:val="en-US"/>
        </w:rPr>
        <w:t>Saudi Arabia</w:t>
      </w:r>
      <w:r w:rsidR="008B013F">
        <w:rPr>
          <w:szCs w:val="24"/>
          <w:lang w:val="en-US"/>
        </w:rPr>
        <w:t>)</w:t>
      </w:r>
      <w:r w:rsidR="00497B67" w:rsidRPr="000D278F">
        <w:rPr>
          <w:lang w:val="en-US"/>
        </w:rPr>
        <w:t>.</w:t>
      </w:r>
    </w:p>
    <w:p w14:paraId="190700ED" w14:textId="25C93207" w:rsidR="003179CD" w:rsidRPr="00640281" w:rsidRDefault="003179CD" w:rsidP="00490C93">
      <w:pPr>
        <w:spacing w:after="120"/>
        <w:rPr>
          <w:rFonts w:cstheme="minorHAnsi"/>
          <w:color w:val="000000" w:themeColor="text1"/>
          <w:szCs w:val="24"/>
        </w:rPr>
      </w:pPr>
      <w:r w:rsidRPr="00640281">
        <w:rPr>
          <w:rFonts w:cstheme="minorHAnsi"/>
          <w:color w:val="000000" w:themeColor="text1"/>
          <w:szCs w:val="24"/>
        </w:rPr>
        <w:lastRenderedPageBreak/>
        <w:t xml:space="preserve">TDAG discussed measures to increase Sector membership while taking note that </w:t>
      </w:r>
      <w:r w:rsidR="0050460B">
        <w:rPr>
          <w:rFonts w:cstheme="minorHAnsi"/>
          <w:color w:val="000000" w:themeColor="text1"/>
          <w:szCs w:val="24"/>
        </w:rPr>
        <w:t>A</w:t>
      </w:r>
      <w:r w:rsidR="00852A91" w:rsidRPr="00640281">
        <w:rPr>
          <w:rFonts w:cstheme="minorHAnsi"/>
          <w:color w:val="000000" w:themeColor="text1"/>
          <w:szCs w:val="24"/>
        </w:rPr>
        <w:t xml:space="preserve">cademia </w:t>
      </w:r>
      <w:r w:rsidRPr="00640281">
        <w:rPr>
          <w:rFonts w:cstheme="minorHAnsi"/>
          <w:color w:val="000000" w:themeColor="text1"/>
          <w:szCs w:val="24"/>
        </w:rPr>
        <w:t xml:space="preserve">and </w:t>
      </w:r>
      <w:r w:rsidR="0050460B">
        <w:rPr>
          <w:rFonts w:cstheme="minorHAnsi"/>
          <w:color w:val="000000" w:themeColor="text1"/>
          <w:szCs w:val="24"/>
        </w:rPr>
        <w:t>A</w:t>
      </w:r>
      <w:r w:rsidR="00852A91" w:rsidRPr="00640281">
        <w:rPr>
          <w:rFonts w:cstheme="minorHAnsi"/>
          <w:color w:val="000000" w:themeColor="text1"/>
          <w:szCs w:val="24"/>
        </w:rPr>
        <w:t xml:space="preserve">ssociate </w:t>
      </w:r>
      <w:r w:rsidRPr="00640281">
        <w:rPr>
          <w:rFonts w:cstheme="minorHAnsi"/>
          <w:color w:val="000000" w:themeColor="text1"/>
          <w:szCs w:val="24"/>
        </w:rPr>
        <w:t xml:space="preserve">categories are the main growing segments of membership. Member States, regional offices and Sector </w:t>
      </w:r>
      <w:r w:rsidR="0050460B">
        <w:rPr>
          <w:rFonts w:cstheme="minorHAnsi"/>
          <w:color w:val="000000" w:themeColor="text1"/>
          <w:szCs w:val="24"/>
        </w:rPr>
        <w:t>M</w:t>
      </w:r>
      <w:r w:rsidRPr="00640281">
        <w:rPr>
          <w:rFonts w:cstheme="minorHAnsi"/>
          <w:color w:val="000000" w:themeColor="text1"/>
          <w:szCs w:val="24"/>
        </w:rPr>
        <w:t>ember industry associations were invited to further engage and reach out to existing and prospective members, including SME</w:t>
      </w:r>
      <w:r w:rsidR="005A4C8C" w:rsidRPr="00640281">
        <w:rPr>
          <w:rFonts w:cstheme="minorHAnsi"/>
          <w:color w:val="000000" w:themeColor="text1"/>
          <w:szCs w:val="24"/>
        </w:rPr>
        <w:t>s</w:t>
      </w:r>
      <w:r w:rsidRPr="00640281">
        <w:rPr>
          <w:rFonts w:cstheme="minorHAnsi"/>
          <w:color w:val="000000" w:themeColor="text1"/>
          <w:szCs w:val="24"/>
        </w:rPr>
        <w:t xml:space="preserve">, in national and regional events and the Private Sector Chief Regulatory Officers (CRO) meeting to be held at GSR-19. </w:t>
      </w:r>
    </w:p>
    <w:tbl>
      <w:tblPr>
        <w:tblStyle w:val="TableGrid"/>
        <w:tblW w:w="0" w:type="auto"/>
        <w:tblLook w:val="04A0" w:firstRow="1" w:lastRow="0" w:firstColumn="1" w:lastColumn="0" w:noHBand="0" w:noVBand="1"/>
      </w:tblPr>
      <w:tblGrid>
        <w:gridCol w:w="9629"/>
      </w:tblGrid>
      <w:tr w:rsidR="00965FD2" w:rsidRPr="00957B6C" w14:paraId="755E336D" w14:textId="77777777" w:rsidTr="00660D9E">
        <w:tc>
          <w:tcPr>
            <w:tcW w:w="9629" w:type="dxa"/>
          </w:tcPr>
          <w:p w14:paraId="3CBB37F3" w14:textId="622B9A99" w:rsidR="00965FD2" w:rsidRPr="00957B6C" w:rsidRDefault="000B1F31" w:rsidP="00F74967">
            <w:pPr>
              <w:spacing w:after="120"/>
              <w:rPr>
                <w:rFonts w:cstheme="minorHAnsi"/>
                <w:color w:val="000000" w:themeColor="text1"/>
                <w:szCs w:val="24"/>
              </w:rPr>
            </w:pPr>
            <w:r w:rsidRPr="00957B6C">
              <w:rPr>
                <w:rFonts w:eastAsia="Calibri" w:cs="Calibri"/>
              </w:rPr>
              <w:t xml:space="preserve">BDT agreed to make best efforts to maintain existing members and recruit new ones, and would list all Sector </w:t>
            </w:r>
            <w:r w:rsidR="00D60305">
              <w:rPr>
                <w:rFonts w:eastAsia="Calibri" w:cs="Calibri"/>
              </w:rPr>
              <w:t>M</w:t>
            </w:r>
            <w:r w:rsidR="00852A91" w:rsidRPr="00957B6C">
              <w:rPr>
                <w:rFonts w:eastAsia="Calibri" w:cs="Calibri"/>
              </w:rPr>
              <w:t xml:space="preserve">embers </w:t>
            </w:r>
            <w:r w:rsidRPr="00957B6C">
              <w:rPr>
                <w:rFonts w:eastAsia="Calibri" w:cs="Calibri"/>
              </w:rPr>
              <w:t>in the region</w:t>
            </w:r>
            <w:r w:rsidR="00312B14">
              <w:rPr>
                <w:rFonts w:eastAsia="Calibri" w:cs="Calibri"/>
              </w:rPr>
              <w:t>s</w:t>
            </w:r>
            <w:r w:rsidRPr="00957B6C">
              <w:rPr>
                <w:rFonts w:eastAsia="Calibri" w:cs="Calibri"/>
              </w:rPr>
              <w:t xml:space="preserve"> on the </w:t>
            </w:r>
            <w:r w:rsidR="00D60305">
              <w:rPr>
                <w:rFonts w:eastAsia="Calibri" w:cs="Calibri"/>
              </w:rPr>
              <w:t>R</w:t>
            </w:r>
            <w:r w:rsidR="00852A91" w:rsidRPr="00957B6C">
              <w:rPr>
                <w:rFonts w:eastAsia="Calibri" w:cs="Calibri"/>
              </w:rPr>
              <w:t xml:space="preserve">egional </w:t>
            </w:r>
            <w:r w:rsidR="00D60305">
              <w:rPr>
                <w:rFonts w:eastAsia="Calibri" w:cs="Calibri"/>
              </w:rPr>
              <w:t>P</w:t>
            </w:r>
            <w:r w:rsidR="00852A91" w:rsidRPr="00957B6C">
              <w:rPr>
                <w:rFonts w:eastAsia="Calibri" w:cs="Calibri"/>
              </w:rPr>
              <w:t xml:space="preserve">resence </w:t>
            </w:r>
            <w:r w:rsidRPr="00957B6C">
              <w:rPr>
                <w:rFonts w:eastAsia="Calibri" w:cs="Calibri"/>
              </w:rPr>
              <w:t>website.</w:t>
            </w:r>
          </w:p>
        </w:tc>
      </w:tr>
    </w:tbl>
    <w:p w14:paraId="39E7C7BF" w14:textId="77777777" w:rsidR="00754549" w:rsidRPr="00427837" w:rsidRDefault="00B8346F" w:rsidP="00640281">
      <w:pPr>
        <w:spacing w:after="120"/>
        <w:rPr>
          <w:rFonts w:ascii="Calibri" w:hAnsi="Calibri"/>
          <w:color w:val="000000" w:themeColor="text1"/>
          <w:sz w:val="22"/>
          <w:lang w:eastAsia="zh-CN"/>
        </w:rPr>
      </w:pPr>
      <w:hyperlink r:id="rId66" w:history="1">
        <w:r w:rsidR="00754549" w:rsidRPr="00957B6C">
          <w:rPr>
            <w:rStyle w:val="Hyperlink"/>
            <w:b/>
            <w:bCs/>
          </w:rPr>
          <w:t>Document 21</w:t>
        </w:r>
      </w:hyperlink>
      <w:r w:rsidR="00754549" w:rsidRPr="00957B6C">
        <w:rPr>
          <w:b/>
          <w:bCs/>
          <w:color w:val="000000"/>
        </w:rPr>
        <w:t>:</w:t>
      </w:r>
      <w:r w:rsidR="00754549" w:rsidRPr="00957B6C">
        <w:rPr>
          <w:color w:val="000000"/>
        </w:rPr>
        <w:t xml:space="preserve"> “</w:t>
      </w:r>
      <w:r w:rsidR="00754549" w:rsidRPr="00427837">
        <w:rPr>
          <w:color w:val="000000" w:themeColor="text1"/>
        </w:rPr>
        <w:t>ITU-D Partnership and resource mobilization” presents the key objective, actions for result</w:t>
      </w:r>
      <w:r w:rsidR="00303CB7" w:rsidRPr="00427837">
        <w:rPr>
          <w:color w:val="000000" w:themeColor="text1"/>
        </w:rPr>
        <w:t>s</w:t>
      </w:r>
      <w:r w:rsidR="00754549" w:rsidRPr="00427837">
        <w:rPr>
          <w:color w:val="000000" w:themeColor="text1"/>
        </w:rPr>
        <w:t>-based management, and ways forward to enhance partnership and resource mobilization.</w:t>
      </w:r>
    </w:p>
    <w:p w14:paraId="0BE6BAA3" w14:textId="10E31E9A" w:rsidR="00754549" w:rsidRPr="00427837" w:rsidRDefault="00754549" w:rsidP="003D75A4">
      <w:pPr>
        <w:spacing w:after="120"/>
        <w:rPr>
          <w:color w:val="000000" w:themeColor="text1"/>
        </w:rPr>
      </w:pPr>
      <w:r w:rsidRPr="00427837">
        <w:rPr>
          <w:color w:val="000000" w:themeColor="text1"/>
        </w:rPr>
        <w:t>After recalling the importance of partnership and resource mobilization highlighted by WTDC-17 and PP-18, the document presents</w:t>
      </w:r>
      <w:r w:rsidR="00852A91" w:rsidRPr="00427837">
        <w:rPr>
          <w:rFonts w:ascii="Georgia" w:hAnsi="Georgia"/>
          <w:color w:val="000000" w:themeColor="text1"/>
          <w:sz w:val="32"/>
          <w:szCs w:val="32"/>
        </w:rPr>
        <w:t xml:space="preserve"> </w:t>
      </w:r>
      <w:r w:rsidRPr="00427837">
        <w:rPr>
          <w:color w:val="000000" w:themeColor="text1"/>
        </w:rPr>
        <w:t>an overview of the key objective, actions for result</w:t>
      </w:r>
      <w:r w:rsidR="00303CB7" w:rsidRPr="00427837">
        <w:rPr>
          <w:color w:val="000000" w:themeColor="text1"/>
        </w:rPr>
        <w:t>s</w:t>
      </w:r>
      <w:r w:rsidRPr="00427837">
        <w:rPr>
          <w:color w:val="000000" w:themeColor="text1"/>
        </w:rPr>
        <w:t xml:space="preserve">-based management, and ways forward to enhance partnership and resource mobilization with diverse stakeholders including other United Nations agencies, international and regional organizations, ITU Member States, ITU-D Sector </w:t>
      </w:r>
      <w:r w:rsidR="003D75A4">
        <w:rPr>
          <w:color w:val="000000" w:themeColor="text1"/>
        </w:rPr>
        <w:t>M</w:t>
      </w:r>
      <w:r w:rsidR="00852A91" w:rsidRPr="00427837">
        <w:rPr>
          <w:color w:val="000000" w:themeColor="text1"/>
        </w:rPr>
        <w:t>embers</w:t>
      </w:r>
      <w:r w:rsidRPr="00427837">
        <w:rPr>
          <w:color w:val="000000" w:themeColor="text1"/>
        </w:rPr>
        <w:t xml:space="preserve">, </w:t>
      </w:r>
      <w:r w:rsidR="003D75A4">
        <w:rPr>
          <w:color w:val="000000" w:themeColor="text1"/>
        </w:rPr>
        <w:t>A</w:t>
      </w:r>
      <w:r w:rsidR="00852A91" w:rsidRPr="00427837">
        <w:rPr>
          <w:color w:val="000000" w:themeColor="text1"/>
        </w:rPr>
        <w:t>ssociates</w:t>
      </w:r>
      <w:r w:rsidRPr="00427837">
        <w:rPr>
          <w:color w:val="000000" w:themeColor="text1"/>
        </w:rPr>
        <w:t xml:space="preserve">, </w:t>
      </w:r>
      <w:r w:rsidR="003D75A4">
        <w:rPr>
          <w:color w:val="000000" w:themeColor="text1"/>
        </w:rPr>
        <w:t>A</w:t>
      </w:r>
      <w:r w:rsidR="00852A91" w:rsidRPr="00427837">
        <w:rPr>
          <w:color w:val="000000" w:themeColor="text1"/>
        </w:rPr>
        <w:t xml:space="preserve">cademia </w:t>
      </w:r>
      <w:r w:rsidRPr="00427837">
        <w:rPr>
          <w:color w:val="000000" w:themeColor="text1"/>
        </w:rPr>
        <w:t xml:space="preserve">and other relevant partners from developed and developing countries, to avoid duplication of efforts and support ITU-D in the implementation of </w:t>
      </w:r>
      <w:r w:rsidR="00303CB7" w:rsidRPr="00427837">
        <w:rPr>
          <w:color w:val="000000" w:themeColor="text1"/>
        </w:rPr>
        <w:t>its p</w:t>
      </w:r>
      <w:r w:rsidRPr="00427837">
        <w:rPr>
          <w:color w:val="000000" w:themeColor="text1"/>
        </w:rPr>
        <w:t>rogrammes and</w:t>
      </w:r>
      <w:r w:rsidR="00303CB7" w:rsidRPr="00427837">
        <w:rPr>
          <w:color w:val="000000" w:themeColor="text1"/>
        </w:rPr>
        <w:t xml:space="preserve"> the regional i</w:t>
      </w:r>
      <w:r w:rsidRPr="00427837">
        <w:rPr>
          <w:color w:val="000000" w:themeColor="text1"/>
        </w:rPr>
        <w:t>nitiatives.</w:t>
      </w:r>
    </w:p>
    <w:p w14:paraId="2D92C74C" w14:textId="33411FCB" w:rsidR="00754549" w:rsidRPr="00127A5B" w:rsidRDefault="00754549" w:rsidP="003D75A4">
      <w:pPr>
        <w:pStyle w:val="ceonormal0"/>
        <w:autoSpaceDE w:val="0"/>
        <w:autoSpaceDN w:val="0"/>
        <w:textAlignment w:val="baseline"/>
        <w:rPr>
          <w:rFonts w:ascii="Calibri" w:hAnsi="Calibri"/>
          <w:sz w:val="24"/>
          <w:szCs w:val="24"/>
        </w:rPr>
      </w:pPr>
      <w:r w:rsidRPr="00127A5B">
        <w:rPr>
          <w:rFonts w:ascii="Calibri" w:hAnsi="Calibri"/>
          <w:sz w:val="24"/>
          <w:szCs w:val="24"/>
        </w:rPr>
        <w:t>More specifically,</w:t>
      </w:r>
      <w:r w:rsidR="003D75A4">
        <w:rPr>
          <w:rFonts w:ascii="Calibri" w:hAnsi="Calibri"/>
          <w:sz w:val="24"/>
          <w:szCs w:val="24"/>
        </w:rPr>
        <w:t xml:space="preserve"> the document</w:t>
      </w:r>
      <w:r w:rsidRPr="00127A5B">
        <w:rPr>
          <w:rFonts w:ascii="Calibri" w:hAnsi="Calibri"/>
          <w:sz w:val="24"/>
          <w:szCs w:val="24"/>
        </w:rPr>
        <w:t xml:space="preserve"> provides an analysis related to partnership status on the number of new partnership</w:t>
      </w:r>
      <w:r w:rsidR="003D75A4">
        <w:rPr>
          <w:rFonts w:ascii="Calibri" w:hAnsi="Calibri"/>
          <w:sz w:val="24"/>
          <w:szCs w:val="24"/>
        </w:rPr>
        <w:t>s</w:t>
      </w:r>
      <w:r w:rsidRPr="00127A5B">
        <w:rPr>
          <w:rFonts w:ascii="Calibri" w:hAnsi="Calibri"/>
          <w:sz w:val="24"/>
          <w:szCs w:val="24"/>
        </w:rPr>
        <w:t xml:space="preserve"> signed during the </w:t>
      </w:r>
      <w:r w:rsidR="00852A91" w:rsidRPr="00127A5B">
        <w:rPr>
          <w:rFonts w:ascii="Calibri" w:hAnsi="Calibri"/>
          <w:sz w:val="24"/>
          <w:szCs w:val="24"/>
        </w:rPr>
        <w:t>four</w:t>
      </w:r>
      <w:r w:rsidR="003D75A4">
        <w:rPr>
          <w:rFonts w:ascii="Calibri" w:hAnsi="Calibri"/>
          <w:sz w:val="24"/>
          <w:szCs w:val="24"/>
        </w:rPr>
        <w:t>-</w:t>
      </w:r>
      <w:r w:rsidRPr="00127A5B">
        <w:rPr>
          <w:rFonts w:ascii="Calibri" w:hAnsi="Calibri"/>
          <w:sz w:val="24"/>
          <w:szCs w:val="24"/>
        </w:rPr>
        <w:t>year development cycle</w:t>
      </w:r>
      <w:r w:rsidR="003D75A4">
        <w:rPr>
          <w:rFonts w:ascii="Calibri" w:hAnsi="Calibri"/>
          <w:sz w:val="24"/>
          <w:szCs w:val="24"/>
        </w:rPr>
        <w:t xml:space="preserve">. </w:t>
      </w:r>
      <w:r w:rsidRPr="00127A5B">
        <w:rPr>
          <w:rFonts w:ascii="Calibri" w:hAnsi="Calibri"/>
          <w:sz w:val="24"/>
          <w:szCs w:val="24"/>
        </w:rPr>
        <w:t xml:space="preserve">In 2018, </w:t>
      </w:r>
      <w:r w:rsidR="00852A91" w:rsidRPr="00127A5B">
        <w:rPr>
          <w:rFonts w:ascii="Calibri" w:hAnsi="Calibri"/>
          <w:sz w:val="24"/>
          <w:szCs w:val="24"/>
        </w:rPr>
        <w:t xml:space="preserve">forty-three </w:t>
      </w:r>
      <w:r w:rsidRPr="00127A5B">
        <w:rPr>
          <w:rFonts w:ascii="Calibri" w:hAnsi="Calibri"/>
          <w:sz w:val="24"/>
          <w:szCs w:val="24"/>
        </w:rPr>
        <w:t xml:space="preserve">new partnership agreements and </w:t>
      </w:r>
      <w:r w:rsidR="00852A91" w:rsidRPr="00127A5B">
        <w:rPr>
          <w:rFonts w:ascii="Calibri" w:hAnsi="Calibri"/>
          <w:sz w:val="24"/>
          <w:szCs w:val="24"/>
        </w:rPr>
        <w:t xml:space="preserve">seven </w:t>
      </w:r>
      <w:r w:rsidRPr="00127A5B">
        <w:rPr>
          <w:rFonts w:ascii="Calibri" w:hAnsi="Calibri"/>
          <w:sz w:val="24"/>
          <w:szCs w:val="24"/>
        </w:rPr>
        <w:t>addenda/amendments were signed between BDT and various stakeholders</w:t>
      </w:r>
      <w:r w:rsidR="00852A91" w:rsidRPr="00127A5B">
        <w:rPr>
          <w:rFonts w:ascii="Calibri" w:hAnsi="Calibri"/>
          <w:sz w:val="24"/>
          <w:szCs w:val="24"/>
        </w:rPr>
        <w:t>.</w:t>
      </w:r>
      <w:r w:rsidRPr="00127A5B">
        <w:rPr>
          <w:rFonts w:ascii="Calibri" w:hAnsi="Calibri"/>
          <w:sz w:val="24"/>
          <w:szCs w:val="24"/>
        </w:rPr>
        <w:t xml:space="preserve"> </w:t>
      </w:r>
    </w:p>
    <w:p w14:paraId="72F47E68" w14:textId="5F2B18C0" w:rsidR="00754549" w:rsidRPr="00127A5B" w:rsidRDefault="00754549" w:rsidP="00640281">
      <w:pPr>
        <w:pStyle w:val="ceonormal0"/>
        <w:autoSpaceDE w:val="0"/>
        <w:autoSpaceDN w:val="0"/>
        <w:textAlignment w:val="baseline"/>
        <w:rPr>
          <w:sz w:val="22"/>
          <w:szCs w:val="22"/>
        </w:rPr>
      </w:pPr>
      <w:r w:rsidRPr="00127A5B">
        <w:rPr>
          <w:rFonts w:ascii="Calibri" w:hAnsi="Calibri"/>
          <w:sz w:val="24"/>
          <w:szCs w:val="24"/>
        </w:rPr>
        <w:t>BDT will continue to enhance resource mobilization and strengthen the partnership with multi-stakeholders from not only the ICT sector</w:t>
      </w:r>
      <w:r w:rsidR="003D75A4">
        <w:rPr>
          <w:rFonts w:ascii="Calibri" w:hAnsi="Calibri"/>
          <w:sz w:val="24"/>
          <w:szCs w:val="24"/>
        </w:rPr>
        <w:t>,</w:t>
      </w:r>
      <w:r w:rsidRPr="00127A5B">
        <w:rPr>
          <w:rFonts w:ascii="Calibri" w:hAnsi="Calibri"/>
          <w:sz w:val="24"/>
          <w:szCs w:val="24"/>
        </w:rPr>
        <w:t xml:space="preserve"> but also beyond in the converged ecosystem for the implementation of WTDC-17 outcomes</w:t>
      </w:r>
      <w:r w:rsidRPr="00427837">
        <w:rPr>
          <w:rFonts w:ascii="Calibri" w:hAnsi="Calibri"/>
          <w:sz w:val="24"/>
          <w:szCs w:val="24"/>
        </w:rPr>
        <w:t>, WSIS Goals, and PP-18 Goals – especially new Goal 5 - as well as the contribution to the Sustainable Development Goals (SDGs), SDG 17 in particular.</w:t>
      </w:r>
    </w:p>
    <w:tbl>
      <w:tblPr>
        <w:tblStyle w:val="TableGrid"/>
        <w:tblW w:w="0" w:type="auto"/>
        <w:tblLook w:val="04A0" w:firstRow="1" w:lastRow="0" w:firstColumn="1" w:lastColumn="0" w:noHBand="0" w:noVBand="1"/>
      </w:tblPr>
      <w:tblGrid>
        <w:gridCol w:w="9629"/>
      </w:tblGrid>
      <w:tr w:rsidR="00965FD2" w:rsidRPr="00957B6C" w14:paraId="748228D1" w14:textId="77777777" w:rsidTr="00660D9E">
        <w:tc>
          <w:tcPr>
            <w:tcW w:w="9629" w:type="dxa"/>
          </w:tcPr>
          <w:p w14:paraId="28A246C8" w14:textId="472D5608" w:rsidR="00965FD2" w:rsidRPr="007969D3" w:rsidRDefault="00303CB7" w:rsidP="007969D3">
            <w:pPr>
              <w:spacing w:after="120"/>
            </w:pPr>
            <w:r w:rsidRPr="00957B6C">
              <w:t>TDAG noted the document</w:t>
            </w:r>
            <w:r w:rsidR="00523DC4" w:rsidRPr="00957B6C">
              <w:t>.</w:t>
            </w:r>
          </w:p>
        </w:tc>
      </w:tr>
    </w:tbl>
    <w:p w14:paraId="2679E661" w14:textId="7C8DD15A" w:rsidR="00427837" w:rsidRDefault="00855A13" w:rsidP="00810998">
      <w:pPr>
        <w:keepNext/>
        <w:rPr>
          <w:b/>
          <w:bCs/>
          <w:lang w:val="en-US"/>
        </w:rPr>
      </w:pPr>
      <w:r>
        <w:rPr>
          <w:b/>
          <w:bCs/>
          <w:lang w:val="en-US"/>
        </w:rPr>
        <w:t>Breakout session:</w:t>
      </w:r>
      <w:r w:rsidRPr="0041195E">
        <w:rPr>
          <w:b/>
          <w:bCs/>
          <w:lang w:val="en-US"/>
        </w:rPr>
        <w:t xml:space="preserve"> </w:t>
      </w:r>
      <w:r w:rsidR="007969D3" w:rsidRPr="0041195E">
        <w:rPr>
          <w:b/>
          <w:bCs/>
          <w:lang w:val="en-US"/>
        </w:rPr>
        <w:t>Partnership building and resource mobilization for projects</w:t>
      </w:r>
    </w:p>
    <w:p w14:paraId="748D3E49" w14:textId="6EA375C5" w:rsidR="007969D3" w:rsidRDefault="00427837" w:rsidP="008A5D13">
      <w:pPr>
        <w:rPr>
          <w:lang w:val="en-US"/>
        </w:rPr>
      </w:pPr>
      <w:r>
        <w:rPr>
          <w:lang w:val="en-US"/>
        </w:rPr>
        <w:t xml:space="preserve">The </w:t>
      </w:r>
      <w:r w:rsidR="007969D3">
        <w:rPr>
          <w:lang w:val="en-US"/>
        </w:rPr>
        <w:t>b</w:t>
      </w:r>
      <w:r w:rsidR="007969D3" w:rsidRPr="00DA258C">
        <w:rPr>
          <w:lang w:val="en-US"/>
        </w:rPr>
        <w:t xml:space="preserve">reakout </w:t>
      </w:r>
      <w:r w:rsidR="007969D3">
        <w:rPr>
          <w:lang w:val="en-US"/>
        </w:rPr>
        <w:t>s</w:t>
      </w:r>
      <w:r w:rsidR="007969D3" w:rsidRPr="00DA258C">
        <w:rPr>
          <w:lang w:val="en-US"/>
        </w:rPr>
        <w:t xml:space="preserve">ession on </w:t>
      </w:r>
      <w:r w:rsidR="007969D3">
        <w:rPr>
          <w:lang w:val="en-US"/>
        </w:rPr>
        <w:t>p</w:t>
      </w:r>
      <w:r w:rsidR="007969D3" w:rsidRPr="00DA258C">
        <w:rPr>
          <w:lang w:val="en-US"/>
        </w:rPr>
        <w:t xml:space="preserve">artnership </w:t>
      </w:r>
      <w:r w:rsidR="007969D3">
        <w:rPr>
          <w:lang w:val="en-US"/>
        </w:rPr>
        <w:t>b</w:t>
      </w:r>
      <w:r w:rsidR="007969D3" w:rsidRPr="00DA258C">
        <w:rPr>
          <w:lang w:val="en-US"/>
        </w:rPr>
        <w:t xml:space="preserve">uilding and resource mobilization for projects was carried out with the objective of strengthening strategic partnerships (including </w:t>
      </w:r>
      <w:r w:rsidR="007969D3">
        <w:rPr>
          <w:lang w:val="en-US"/>
        </w:rPr>
        <w:t>r</w:t>
      </w:r>
      <w:r w:rsidR="007969D3" w:rsidRPr="00DA258C">
        <w:rPr>
          <w:lang w:val="en-US"/>
        </w:rPr>
        <w:t xml:space="preserve">esource mobilization) with a variety of stakeholders. Discussions highlighted the need to </w:t>
      </w:r>
      <w:r w:rsidR="007969D3">
        <w:rPr>
          <w:lang w:val="en-US"/>
        </w:rPr>
        <w:t>adopt a</w:t>
      </w:r>
      <w:r w:rsidR="007969D3" w:rsidRPr="00DA258C">
        <w:rPr>
          <w:lang w:val="en-US"/>
        </w:rPr>
        <w:t xml:space="preserve"> multi-stakeholder platform approach</w:t>
      </w:r>
      <w:r w:rsidR="007969D3">
        <w:rPr>
          <w:lang w:val="en-US"/>
        </w:rPr>
        <w:t>,</w:t>
      </w:r>
      <w:r w:rsidR="007969D3" w:rsidRPr="00DA258C">
        <w:rPr>
          <w:lang w:val="en-US"/>
        </w:rPr>
        <w:t xml:space="preserve"> taking into consideration the interests and complementary capabilities of all parties, not only the beneficiary countries. A more flexible and modular approach towards project design and implementation w</w:t>
      </w:r>
      <w:r w:rsidR="007969D3">
        <w:rPr>
          <w:lang w:val="en-US"/>
        </w:rPr>
        <w:t>as</w:t>
      </w:r>
      <w:r w:rsidR="007969D3" w:rsidRPr="00DA258C">
        <w:rPr>
          <w:lang w:val="en-US"/>
        </w:rPr>
        <w:t xml:space="preserve"> recommended for a more inclusive stakeholder participation at different stages of the project cycle. The importance</w:t>
      </w:r>
      <w:r w:rsidR="007969D3">
        <w:rPr>
          <w:lang w:val="en-US"/>
        </w:rPr>
        <w:t xml:space="preserve"> was </w:t>
      </w:r>
      <w:r w:rsidR="003D75A4">
        <w:rPr>
          <w:lang w:val="en-US"/>
        </w:rPr>
        <w:t>stressed</w:t>
      </w:r>
      <w:r w:rsidR="007969D3" w:rsidRPr="00DA258C">
        <w:rPr>
          <w:lang w:val="en-US"/>
        </w:rPr>
        <w:t xml:space="preserve"> of enhancing awareness</w:t>
      </w:r>
      <w:r w:rsidR="008A5D13">
        <w:rPr>
          <w:lang w:val="en-US"/>
        </w:rPr>
        <w:t>-</w:t>
      </w:r>
      <w:r w:rsidR="007969D3" w:rsidRPr="00DA258C">
        <w:rPr>
          <w:lang w:val="en-US"/>
        </w:rPr>
        <w:t>raising o</w:t>
      </w:r>
      <w:r w:rsidR="008A5D13">
        <w:rPr>
          <w:lang w:val="en-US"/>
        </w:rPr>
        <w:t>f</w:t>
      </w:r>
      <w:r w:rsidR="007969D3" w:rsidRPr="00DA258C">
        <w:rPr>
          <w:lang w:val="en-US"/>
        </w:rPr>
        <w:t xml:space="preserve"> ITU’s work including partnership opportunities</w:t>
      </w:r>
      <w:r w:rsidR="007969D3">
        <w:rPr>
          <w:lang w:val="en-US"/>
        </w:rPr>
        <w:t xml:space="preserve">, and </w:t>
      </w:r>
      <w:r w:rsidR="007969D3" w:rsidRPr="00DA258C">
        <w:rPr>
          <w:lang w:val="en-US"/>
        </w:rPr>
        <w:t xml:space="preserve">exploring more strategic alliances with development banks and other UN </w:t>
      </w:r>
      <w:r w:rsidR="007969D3">
        <w:rPr>
          <w:lang w:val="en-US"/>
        </w:rPr>
        <w:t>a</w:t>
      </w:r>
      <w:r w:rsidR="007969D3" w:rsidRPr="00DA258C">
        <w:rPr>
          <w:lang w:val="en-US"/>
        </w:rPr>
        <w:t xml:space="preserve">gencies. </w:t>
      </w:r>
      <w:r w:rsidR="007969D3">
        <w:rPr>
          <w:lang w:val="en-US"/>
        </w:rPr>
        <w:t>Lastly</w:t>
      </w:r>
      <w:r w:rsidR="007969D3" w:rsidRPr="00DA258C">
        <w:rPr>
          <w:lang w:val="en-US"/>
        </w:rPr>
        <w:t xml:space="preserve">, participants recalled the </w:t>
      </w:r>
      <w:r w:rsidR="007969D3">
        <w:rPr>
          <w:lang w:val="en-US"/>
        </w:rPr>
        <w:t>key</w:t>
      </w:r>
      <w:r w:rsidR="007969D3" w:rsidRPr="00DA258C">
        <w:rPr>
          <w:lang w:val="en-US"/>
        </w:rPr>
        <w:t xml:space="preserve"> role of ITU </w:t>
      </w:r>
      <w:r w:rsidR="007969D3">
        <w:rPr>
          <w:lang w:val="en-US"/>
        </w:rPr>
        <w:t>m</w:t>
      </w:r>
      <w:r w:rsidR="007969D3" w:rsidRPr="00DA258C">
        <w:rPr>
          <w:lang w:val="en-US"/>
        </w:rPr>
        <w:t xml:space="preserve">embership in promoting the work of </w:t>
      </w:r>
      <w:r w:rsidR="007969D3">
        <w:rPr>
          <w:lang w:val="en-US"/>
        </w:rPr>
        <w:t>ITU-D</w:t>
      </w:r>
      <w:r w:rsidR="007969D3" w:rsidRPr="00DA258C">
        <w:rPr>
          <w:lang w:val="en-US"/>
        </w:rPr>
        <w:t xml:space="preserve"> and supporting resource mobilization efforts for </w:t>
      </w:r>
      <w:r w:rsidR="003D75A4">
        <w:rPr>
          <w:lang w:val="en-US"/>
        </w:rPr>
        <w:t>r</w:t>
      </w:r>
      <w:r w:rsidR="007969D3" w:rsidRPr="00DA258C">
        <w:rPr>
          <w:lang w:val="en-US"/>
        </w:rPr>
        <w:t xml:space="preserve">egional </w:t>
      </w:r>
      <w:r w:rsidR="003D75A4">
        <w:rPr>
          <w:lang w:val="en-US"/>
        </w:rPr>
        <w:t>i</w:t>
      </w:r>
      <w:r w:rsidR="007969D3" w:rsidRPr="00DA258C">
        <w:rPr>
          <w:lang w:val="en-US"/>
        </w:rPr>
        <w:t xml:space="preserve">nitiatives and </w:t>
      </w:r>
      <w:r w:rsidR="003D75A4">
        <w:rPr>
          <w:lang w:val="en-US"/>
        </w:rPr>
        <w:t>p</w:t>
      </w:r>
      <w:r w:rsidR="007969D3" w:rsidRPr="00DA258C">
        <w:rPr>
          <w:lang w:val="en-US"/>
        </w:rPr>
        <w:t>rojects.</w:t>
      </w:r>
    </w:p>
    <w:p w14:paraId="699B75BF" w14:textId="77777777" w:rsidR="00965FD2" w:rsidRPr="00957B6C" w:rsidRDefault="00965FD2" w:rsidP="002807C2">
      <w:pPr>
        <w:pStyle w:val="ListParagraph"/>
        <w:keepNext/>
        <w:numPr>
          <w:ilvl w:val="0"/>
          <w:numId w:val="1"/>
        </w:numPr>
        <w:spacing w:before="240" w:after="120"/>
        <w:ind w:left="357" w:hanging="357"/>
        <w:contextualSpacing w:val="0"/>
        <w:rPr>
          <w:rStyle w:val="StyleComplex12pt"/>
          <w:rFonts w:cstheme="minorHAnsi"/>
          <w:b/>
          <w:bCs/>
        </w:rPr>
      </w:pPr>
      <w:r w:rsidRPr="00957B6C">
        <w:rPr>
          <w:rStyle w:val="StyleComplex12pt"/>
          <w:rFonts w:cstheme="minorHAnsi"/>
          <w:b/>
          <w:bCs/>
        </w:rPr>
        <w:t>Calendar of ITU-D events</w:t>
      </w:r>
    </w:p>
    <w:p w14:paraId="0C010AB7" w14:textId="77777777" w:rsidR="00965FD2" w:rsidRPr="00957B6C" w:rsidRDefault="00B8346F" w:rsidP="009B5B24">
      <w:pPr>
        <w:tabs>
          <w:tab w:val="left" w:pos="540"/>
        </w:tabs>
        <w:spacing w:after="120"/>
        <w:rPr>
          <w:rFonts w:cstheme="minorHAnsi"/>
          <w:szCs w:val="24"/>
        </w:rPr>
      </w:pPr>
      <w:hyperlink r:id="rId67">
        <w:r w:rsidR="00965FD2" w:rsidRPr="00957B6C">
          <w:rPr>
            <w:rStyle w:val="Hyperlink"/>
            <w:rFonts w:cstheme="minorHAnsi"/>
            <w:b/>
            <w:bCs/>
            <w:szCs w:val="24"/>
          </w:rPr>
          <w:t>Document 15</w:t>
        </w:r>
      </w:hyperlink>
      <w:r w:rsidR="00965FD2" w:rsidRPr="00957B6C">
        <w:rPr>
          <w:rFonts w:cstheme="minorHAnsi"/>
          <w:b/>
          <w:bCs/>
          <w:color w:val="000000" w:themeColor="text1"/>
          <w:szCs w:val="24"/>
        </w:rPr>
        <w:t xml:space="preserve">: </w:t>
      </w:r>
      <w:r w:rsidR="00965FD2" w:rsidRPr="00957B6C">
        <w:rPr>
          <w:rFonts w:cstheme="minorHAnsi"/>
          <w:color w:val="000000" w:themeColor="text1"/>
          <w:szCs w:val="24"/>
        </w:rPr>
        <w:t>“Calendar of ITU-D Events in 2019-2022”</w:t>
      </w:r>
      <w:r w:rsidR="00965FD2" w:rsidRPr="00957B6C">
        <w:rPr>
          <w:rFonts w:cstheme="minorHAnsi"/>
          <w:b/>
          <w:bCs/>
          <w:color w:val="000000" w:themeColor="text1"/>
          <w:szCs w:val="24"/>
        </w:rPr>
        <w:t xml:space="preserve"> </w:t>
      </w:r>
      <w:r w:rsidR="00965FD2" w:rsidRPr="00957B6C">
        <w:rPr>
          <w:rFonts w:cstheme="minorHAnsi"/>
          <w:szCs w:val="24"/>
        </w:rPr>
        <w:t xml:space="preserve">provides an overview of major meetings foreseen in this period, including the world telecommunication development conference to be </w:t>
      </w:r>
      <w:r w:rsidR="00965FD2" w:rsidRPr="00957B6C">
        <w:rPr>
          <w:rFonts w:cstheme="minorHAnsi"/>
          <w:szCs w:val="24"/>
        </w:rPr>
        <w:lastRenderedPageBreak/>
        <w:t xml:space="preserve">held in the last quarter of 2021, in line with Resolution 77 (Rev. Dubai, 2018) on the scheduling of future conferences, forums, assemblies and Council sessions for the period 2019-2023. </w:t>
      </w:r>
    </w:p>
    <w:tbl>
      <w:tblPr>
        <w:tblStyle w:val="TableGrid"/>
        <w:tblW w:w="0" w:type="auto"/>
        <w:tblLook w:val="04A0" w:firstRow="1" w:lastRow="0" w:firstColumn="1" w:lastColumn="0" w:noHBand="0" w:noVBand="1"/>
      </w:tblPr>
      <w:tblGrid>
        <w:gridCol w:w="9629"/>
      </w:tblGrid>
      <w:tr w:rsidR="00965FD2" w:rsidRPr="00957B6C" w14:paraId="21125B58" w14:textId="77777777" w:rsidTr="4BA30F97">
        <w:tc>
          <w:tcPr>
            <w:tcW w:w="9629" w:type="dxa"/>
          </w:tcPr>
          <w:p w14:paraId="131ED65D" w14:textId="77777777" w:rsidR="00965FD2" w:rsidRPr="00957B6C" w:rsidRDefault="00273ADF" w:rsidP="009B5B24">
            <w:pPr>
              <w:spacing w:after="120"/>
              <w:rPr>
                <w:rFonts w:cstheme="minorHAnsi"/>
                <w:color w:val="000000" w:themeColor="text1"/>
                <w:szCs w:val="24"/>
              </w:rPr>
            </w:pPr>
            <w:r w:rsidRPr="00957B6C">
              <w:rPr>
                <w:rFonts w:eastAsia="Calibri" w:cs="Calibri"/>
              </w:rPr>
              <w:t>TDAG n</w:t>
            </w:r>
            <w:r w:rsidR="000B1F31" w:rsidRPr="00957B6C">
              <w:rPr>
                <w:rFonts w:eastAsia="Calibri" w:cs="Calibri"/>
              </w:rPr>
              <w:t>oted the document and stressed the need to avoid consecutive meetings of study groups, TDAG and WSIS.</w:t>
            </w:r>
          </w:p>
        </w:tc>
      </w:tr>
    </w:tbl>
    <w:p w14:paraId="57594F21" w14:textId="77777777" w:rsidR="00880C45" w:rsidRPr="00880C45" w:rsidRDefault="00880C45" w:rsidP="00880C45">
      <w:pPr>
        <w:rPr>
          <w:rStyle w:val="StyleComplex12pt"/>
          <w:rFonts w:cstheme="minorBidi"/>
          <w:color w:val="000000" w:themeColor="text1"/>
        </w:rPr>
      </w:pPr>
    </w:p>
    <w:p w14:paraId="0BB53540" w14:textId="77777777" w:rsidR="00965FD2" w:rsidRPr="005724E7" w:rsidRDefault="00965FD2" w:rsidP="0062097A">
      <w:pPr>
        <w:spacing w:before="0"/>
        <w:jc w:val="center"/>
        <w:rPr>
          <w:rStyle w:val="StyleComplex12pt"/>
          <w:rFonts w:cstheme="minorBidi"/>
          <w:b/>
          <w:bCs/>
          <w:color w:val="000000" w:themeColor="text1"/>
          <w:sz w:val="28"/>
          <w:szCs w:val="28"/>
        </w:rPr>
      </w:pPr>
      <w:r w:rsidRPr="00957B6C">
        <w:rPr>
          <w:rStyle w:val="StyleComplex12pt"/>
          <w:rFonts w:cstheme="minorBidi"/>
          <w:b/>
          <w:bCs/>
          <w:color w:val="000000" w:themeColor="text1"/>
        </w:rPr>
        <w:br w:type="column"/>
      </w:r>
      <w:r w:rsidRPr="005724E7">
        <w:rPr>
          <w:rStyle w:val="StyleComplex12pt"/>
          <w:rFonts w:cstheme="minorBidi"/>
          <w:b/>
          <w:bCs/>
          <w:color w:val="000000" w:themeColor="text1"/>
          <w:sz w:val="28"/>
          <w:szCs w:val="28"/>
        </w:rPr>
        <w:lastRenderedPageBreak/>
        <w:t>ANNEX 1</w:t>
      </w:r>
    </w:p>
    <w:p w14:paraId="41C88E6C" w14:textId="77777777" w:rsidR="00965FD2" w:rsidRPr="005724E7" w:rsidRDefault="00965FD2" w:rsidP="0062097A">
      <w:pPr>
        <w:keepNext/>
        <w:spacing w:before="240" w:after="240"/>
        <w:jc w:val="center"/>
        <w:rPr>
          <w:b/>
          <w:bCs/>
          <w:sz w:val="28"/>
          <w:szCs w:val="22"/>
        </w:rPr>
      </w:pPr>
      <w:r w:rsidRPr="005724E7">
        <w:rPr>
          <w:b/>
          <w:bCs/>
          <w:sz w:val="28"/>
          <w:szCs w:val="22"/>
        </w:rPr>
        <w:t>Areas of work of TDAG Chairman and Vice-chairmen</w:t>
      </w:r>
    </w:p>
    <w:tbl>
      <w:tblPr>
        <w:tblW w:w="4992" w:type="pct"/>
        <w:shd w:val="clear" w:color="auto" w:fill="FFFFFF"/>
        <w:tblCellMar>
          <w:left w:w="0" w:type="dxa"/>
          <w:right w:w="0" w:type="dxa"/>
        </w:tblCellMar>
        <w:tblLook w:val="04A0" w:firstRow="1" w:lastRow="0" w:firstColumn="1" w:lastColumn="0" w:noHBand="0" w:noVBand="1"/>
      </w:tblPr>
      <w:tblGrid>
        <w:gridCol w:w="562"/>
        <w:gridCol w:w="3549"/>
        <w:gridCol w:w="5513"/>
      </w:tblGrid>
      <w:tr w:rsidR="00965FD2" w:rsidRPr="00957B6C" w14:paraId="382480D6" w14:textId="77777777" w:rsidTr="00660D9E">
        <w:trPr>
          <w:trHeight w:val="304"/>
        </w:trPr>
        <w:tc>
          <w:tcPr>
            <w:tcW w:w="292"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75" w:type="dxa"/>
              <w:bottom w:w="90" w:type="dxa"/>
              <w:right w:w="75" w:type="dxa"/>
            </w:tcMar>
          </w:tcPr>
          <w:p w14:paraId="460CAB96" w14:textId="77777777" w:rsidR="00965FD2" w:rsidRPr="00957B6C" w:rsidRDefault="00965FD2" w:rsidP="00660D9E">
            <w:pPr>
              <w:rPr>
                <w:rFonts w:cs="Arial"/>
                <w:color w:val="444444"/>
              </w:rPr>
            </w:pPr>
          </w:p>
        </w:tc>
        <w:tc>
          <w:tcPr>
            <w:tcW w:w="1844"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75" w:type="dxa"/>
              <w:bottom w:w="90" w:type="dxa"/>
              <w:right w:w="75" w:type="dxa"/>
            </w:tcMar>
          </w:tcPr>
          <w:p w14:paraId="6F1F77F9" w14:textId="77777777" w:rsidR="00965FD2" w:rsidRPr="00957B6C" w:rsidRDefault="00965FD2" w:rsidP="00583714">
            <w:pPr>
              <w:spacing w:before="0"/>
              <w:rPr>
                <w:rFonts w:cs="Arial"/>
                <w:b/>
                <w:bCs/>
                <w:color w:val="444444"/>
                <w:bdr w:val="none" w:sz="0" w:space="0" w:color="auto" w:frame="1"/>
              </w:rPr>
            </w:pPr>
            <w:r w:rsidRPr="00957B6C">
              <w:rPr>
                <w:rFonts w:cs="Arial"/>
                <w:b/>
                <w:bCs/>
                <w:color w:val="444444"/>
                <w:bdr w:val="none" w:sz="0" w:space="0" w:color="auto" w:frame="1"/>
              </w:rPr>
              <w:t>Key Areas of Work</w:t>
            </w:r>
          </w:p>
        </w:tc>
        <w:tc>
          <w:tcPr>
            <w:tcW w:w="2864" w:type="pct"/>
            <w:tcBorders>
              <w:top w:val="single" w:sz="4" w:space="0" w:color="4F81BD" w:themeColor="accent1"/>
              <w:bottom w:val="single" w:sz="4" w:space="0" w:color="4F81BD" w:themeColor="accent1"/>
            </w:tcBorders>
            <w:shd w:val="clear" w:color="auto" w:fill="DBE5F1" w:themeFill="accent1" w:themeFillTint="33"/>
          </w:tcPr>
          <w:p w14:paraId="254A8D89" w14:textId="1E2CBB3F" w:rsidR="00965FD2" w:rsidRPr="00957B6C" w:rsidRDefault="00965FD2" w:rsidP="008A5D13">
            <w:pPr>
              <w:spacing w:before="0"/>
              <w:rPr>
                <w:rFonts w:cs="Arial"/>
                <w:b/>
                <w:bCs/>
                <w:color w:val="444444"/>
                <w:bdr w:val="none" w:sz="0" w:space="0" w:color="auto" w:frame="1"/>
              </w:rPr>
            </w:pPr>
            <w:r w:rsidRPr="00957B6C">
              <w:rPr>
                <w:rFonts w:cs="Arial"/>
                <w:b/>
                <w:bCs/>
                <w:color w:val="444444"/>
                <w:bdr w:val="none" w:sz="0" w:space="0" w:color="auto" w:frame="1"/>
              </w:rPr>
              <w:t>Leaders/</w:t>
            </w:r>
            <w:r w:rsidRPr="00957B6C">
              <w:rPr>
                <w:rFonts w:cs="Arial"/>
                <w:color w:val="444444"/>
                <w:bdr w:val="none" w:sz="0" w:space="0" w:color="auto" w:frame="1"/>
              </w:rPr>
              <w:t>Co-leaders</w:t>
            </w:r>
          </w:p>
        </w:tc>
      </w:tr>
      <w:tr w:rsidR="00965FD2" w:rsidRPr="00957B6C" w14:paraId="277AFC8D" w14:textId="77777777" w:rsidTr="00660D9E">
        <w:trPr>
          <w:trHeight w:val="592"/>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6B6F50D4" w14:textId="77777777" w:rsidR="00965FD2" w:rsidRPr="00957B6C" w:rsidRDefault="00965FD2" w:rsidP="00660D9E">
            <w:pPr>
              <w:rPr>
                <w:rFonts w:cs="Arial"/>
                <w:color w:val="444444"/>
              </w:rPr>
            </w:pPr>
            <w:r w:rsidRPr="00957B6C">
              <w:rPr>
                <w:rFonts w:cs="Arial"/>
                <w:color w:val="444444"/>
              </w:rPr>
              <w:t>1</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287CD2F9" w14:textId="77777777" w:rsidR="00965FD2" w:rsidRPr="00957B6C" w:rsidRDefault="00965FD2" w:rsidP="0062097A">
            <w:pPr>
              <w:rPr>
                <w:rFonts w:cs="Arial"/>
                <w:color w:val="444444"/>
              </w:rPr>
            </w:pPr>
            <w:r w:rsidRPr="00957B6C">
              <w:rPr>
                <w:rFonts w:cs="Arial"/>
                <w:color w:val="444444"/>
              </w:rPr>
              <w:t>Strategic Plan, Operational Plan and Declaration</w:t>
            </w:r>
          </w:p>
        </w:tc>
        <w:tc>
          <w:tcPr>
            <w:tcW w:w="2864" w:type="pct"/>
            <w:tcBorders>
              <w:top w:val="single" w:sz="4" w:space="0" w:color="4F81BD" w:themeColor="accent1"/>
              <w:left w:val="nil"/>
              <w:bottom w:val="single" w:sz="4" w:space="0" w:color="4F81BD" w:themeColor="accent1"/>
              <w:right w:val="nil"/>
            </w:tcBorders>
            <w:shd w:val="clear" w:color="auto" w:fill="FFFFFF"/>
          </w:tcPr>
          <w:p w14:paraId="57B65AF8" w14:textId="77777777" w:rsidR="00965FD2" w:rsidRPr="00957B6C" w:rsidRDefault="00965FD2" w:rsidP="0062097A">
            <w:pPr>
              <w:rPr>
                <w:rFonts w:cs="Arial"/>
                <w:color w:val="444444"/>
              </w:rPr>
            </w:pPr>
            <w:r w:rsidRPr="00957B6C">
              <w:rPr>
                <w:rFonts w:cs="Arial"/>
                <w:b/>
                <w:bCs/>
                <w:color w:val="444444"/>
              </w:rPr>
              <w:t>Ms Blanca Gonzalez</w:t>
            </w:r>
            <w:r w:rsidRPr="00957B6C">
              <w:rPr>
                <w:rFonts w:cs="Arial"/>
                <w:color w:val="444444"/>
              </w:rPr>
              <w:t xml:space="preserve"> (Spain)</w:t>
            </w:r>
          </w:p>
          <w:p w14:paraId="09CCC4FF" w14:textId="77777777" w:rsidR="00965FD2" w:rsidRPr="00957B6C" w:rsidRDefault="00965FD2" w:rsidP="00583714">
            <w:pPr>
              <w:spacing w:before="0"/>
              <w:rPr>
                <w:rFonts w:cs="Arial"/>
                <w:color w:val="444444"/>
              </w:rPr>
            </w:pPr>
            <w:r w:rsidRPr="00957B6C">
              <w:rPr>
                <w:rFonts w:cs="Arial"/>
                <w:color w:val="444444"/>
              </w:rPr>
              <w:t>Mr Christopher Kipkoech Kemei</w:t>
            </w:r>
            <w:r w:rsidRPr="00957B6C">
              <w:rPr>
                <w:rFonts w:cs="Arial"/>
                <w:b/>
                <w:bCs/>
                <w:color w:val="444444"/>
              </w:rPr>
              <w:t xml:space="preserve"> </w:t>
            </w:r>
            <w:r w:rsidRPr="00957B6C">
              <w:rPr>
                <w:rFonts w:cs="Arial"/>
                <w:color w:val="444444"/>
              </w:rPr>
              <w:t>(Kenya)</w:t>
            </w:r>
          </w:p>
          <w:p w14:paraId="0FAE2981" w14:textId="77777777" w:rsidR="00965FD2" w:rsidRPr="00957B6C" w:rsidRDefault="00965FD2" w:rsidP="00583714">
            <w:pPr>
              <w:spacing w:before="0"/>
              <w:rPr>
                <w:rFonts w:cs="Arial"/>
                <w:color w:val="444444"/>
              </w:rPr>
            </w:pPr>
            <w:r w:rsidRPr="00957B6C">
              <w:rPr>
                <w:rFonts w:cs="Arial"/>
                <w:color w:val="444444"/>
              </w:rPr>
              <w:t>Mr Wim Rullens (Netherlands)</w:t>
            </w:r>
          </w:p>
        </w:tc>
      </w:tr>
      <w:tr w:rsidR="00965FD2" w:rsidRPr="00957B6C" w14:paraId="01AEA0B6" w14:textId="77777777" w:rsidTr="00660D9E">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34377A06" w14:textId="77777777" w:rsidR="00965FD2" w:rsidRPr="00957B6C" w:rsidRDefault="00965FD2" w:rsidP="00660D9E">
            <w:pPr>
              <w:rPr>
                <w:rFonts w:cs="Arial"/>
                <w:color w:val="444444"/>
              </w:rPr>
            </w:pPr>
            <w:r w:rsidRPr="00957B6C">
              <w:rPr>
                <w:rFonts w:cs="Arial"/>
                <w:color w:val="444444"/>
              </w:rPr>
              <w:t>2</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4F5118FD" w14:textId="77777777" w:rsidR="00965FD2" w:rsidRPr="00957B6C" w:rsidRDefault="00965FD2" w:rsidP="0062097A">
            <w:pPr>
              <w:rPr>
                <w:rFonts w:cs="Arial"/>
                <w:color w:val="444444"/>
              </w:rPr>
            </w:pPr>
            <w:r w:rsidRPr="00957B6C">
              <w:rPr>
                <w:rFonts w:cs="Arial"/>
                <w:color w:val="444444"/>
              </w:rPr>
              <w:t>Rules of procedure of ITU-D</w:t>
            </w:r>
            <w:r w:rsidRPr="00957B6C">
              <w:rPr>
                <w:rFonts w:cs="Arial"/>
                <w:color w:val="444444"/>
              </w:rPr>
              <w:br/>
              <w:t>(WTDC Resolution 1)</w:t>
            </w:r>
          </w:p>
        </w:tc>
        <w:tc>
          <w:tcPr>
            <w:tcW w:w="2864" w:type="pct"/>
            <w:tcBorders>
              <w:top w:val="single" w:sz="4" w:space="0" w:color="4F81BD" w:themeColor="accent1"/>
              <w:left w:val="nil"/>
              <w:bottom w:val="single" w:sz="4" w:space="0" w:color="4F81BD" w:themeColor="accent1"/>
              <w:right w:val="nil"/>
            </w:tcBorders>
            <w:shd w:val="clear" w:color="auto" w:fill="FFFFFF"/>
          </w:tcPr>
          <w:p w14:paraId="75386F75" w14:textId="351826C5" w:rsidR="00965FD2" w:rsidRPr="002F42F5" w:rsidRDefault="00965FD2" w:rsidP="008A5D13">
            <w:pPr>
              <w:rPr>
                <w:rFonts w:cs="Arial"/>
                <w:color w:val="444444"/>
                <w:lang w:val="fr-CH"/>
              </w:rPr>
            </w:pPr>
            <w:r w:rsidRPr="002F42F5">
              <w:rPr>
                <w:rFonts w:cs="Arial"/>
                <w:b/>
                <w:bCs/>
                <w:color w:val="444444"/>
                <w:lang w:val="fr-CH"/>
              </w:rPr>
              <w:t>Ms Regina Fleur Assoumou Bessou</w:t>
            </w:r>
            <w:r w:rsidRPr="002F42F5">
              <w:rPr>
                <w:rFonts w:cs="Arial"/>
                <w:color w:val="444444"/>
                <w:lang w:val="fr-CH"/>
              </w:rPr>
              <w:t xml:space="preserve">, Chairman, </w:t>
            </w:r>
            <w:r w:rsidR="008A5D13">
              <w:rPr>
                <w:rFonts w:cs="Arial"/>
                <w:color w:val="444444"/>
                <w:lang w:val="fr-CH"/>
              </w:rPr>
              <w:t>Study Group 1</w:t>
            </w:r>
            <w:r w:rsidRPr="002F42F5">
              <w:rPr>
                <w:rFonts w:cs="Arial"/>
                <w:color w:val="444444"/>
                <w:lang w:val="fr-CH"/>
              </w:rPr>
              <w:t xml:space="preserve"> (Côte d'Ivoire)</w:t>
            </w:r>
          </w:p>
          <w:p w14:paraId="1118DBA2" w14:textId="77777777" w:rsidR="00965FD2" w:rsidRPr="00957B6C" w:rsidRDefault="00965FD2" w:rsidP="00583714">
            <w:pPr>
              <w:spacing w:before="0"/>
              <w:rPr>
                <w:rFonts w:cs="Arial"/>
                <w:color w:val="444444"/>
              </w:rPr>
            </w:pPr>
            <w:r w:rsidRPr="00957B6C">
              <w:rPr>
                <w:rFonts w:cs="Arial"/>
                <w:color w:val="444444"/>
              </w:rPr>
              <w:t>Mr Nguyen Quy Quyen (Viet Nam)</w:t>
            </w:r>
          </w:p>
        </w:tc>
      </w:tr>
      <w:tr w:rsidR="00965FD2" w:rsidRPr="008F3283" w14:paraId="3EF56604" w14:textId="77777777" w:rsidTr="00660D9E">
        <w:trPr>
          <w:trHeight w:val="448"/>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235804D7" w14:textId="77777777" w:rsidR="00965FD2" w:rsidRPr="00957B6C" w:rsidRDefault="00965FD2" w:rsidP="00660D9E">
            <w:pPr>
              <w:rPr>
                <w:rFonts w:cs="Arial"/>
                <w:color w:val="444444"/>
              </w:rPr>
            </w:pPr>
            <w:r w:rsidRPr="00957B6C">
              <w:rPr>
                <w:rFonts w:cs="Arial"/>
                <w:color w:val="444444"/>
              </w:rPr>
              <w:t>3</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02BE71B8" w14:textId="77777777" w:rsidR="00965FD2" w:rsidRPr="00957B6C" w:rsidRDefault="00965FD2" w:rsidP="0062097A">
            <w:pPr>
              <w:rPr>
                <w:rFonts w:cs="Arial"/>
                <w:color w:val="444444"/>
              </w:rPr>
            </w:pPr>
            <w:r w:rsidRPr="00957B6C">
              <w:rPr>
                <w:rFonts w:cs="Arial"/>
                <w:color w:val="444444"/>
              </w:rPr>
              <w:t>Collaboration with other Sectors</w:t>
            </w:r>
          </w:p>
        </w:tc>
        <w:tc>
          <w:tcPr>
            <w:tcW w:w="2864" w:type="pct"/>
            <w:tcBorders>
              <w:top w:val="single" w:sz="4" w:space="0" w:color="4F81BD" w:themeColor="accent1"/>
              <w:left w:val="nil"/>
              <w:bottom w:val="single" w:sz="4" w:space="0" w:color="4F81BD" w:themeColor="accent1"/>
              <w:right w:val="nil"/>
            </w:tcBorders>
            <w:shd w:val="clear" w:color="auto" w:fill="FFFFFF"/>
          </w:tcPr>
          <w:p w14:paraId="639D94B9" w14:textId="77777777" w:rsidR="00965FD2" w:rsidRDefault="00965FD2" w:rsidP="00583714">
            <w:pPr>
              <w:spacing w:before="0"/>
              <w:rPr>
                <w:rFonts w:cs="Arial"/>
                <w:color w:val="444444"/>
              </w:rPr>
            </w:pPr>
            <w:r w:rsidRPr="004D22C2">
              <w:rPr>
                <w:rFonts w:cs="Arial"/>
                <w:b/>
                <w:bCs/>
                <w:color w:val="444444"/>
              </w:rPr>
              <w:t>Mr Arseny Plossky</w:t>
            </w:r>
            <w:r w:rsidRPr="00957B6C">
              <w:rPr>
                <w:rFonts w:cs="Arial"/>
                <w:color w:val="444444"/>
              </w:rPr>
              <w:t xml:space="preserve"> (Russian Federation)</w:t>
            </w:r>
          </w:p>
          <w:p w14:paraId="050C2BB5" w14:textId="1368674D" w:rsidR="006A6B70" w:rsidRPr="004D22C2" w:rsidRDefault="004C547C" w:rsidP="00583714">
            <w:pPr>
              <w:spacing w:before="0"/>
              <w:rPr>
                <w:rFonts w:cs="Arial"/>
                <w:color w:val="444444"/>
                <w:lang w:val="es-ES"/>
              </w:rPr>
            </w:pPr>
            <w:r w:rsidRPr="002F42F5">
              <w:rPr>
                <w:rFonts w:cs="Arial"/>
                <w:color w:val="444444"/>
                <w:lang w:val="es-ES_tradnl"/>
              </w:rPr>
              <w:t>Mr Al-ansari Almashakbeh (Jordan)</w:t>
            </w:r>
          </w:p>
        </w:tc>
      </w:tr>
      <w:tr w:rsidR="00965FD2" w:rsidRPr="00957B6C" w14:paraId="656F5C3E" w14:textId="77777777" w:rsidTr="00660D9E">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6757882F" w14:textId="77777777" w:rsidR="00965FD2" w:rsidRPr="00957B6C" w:rsidRDefault="00965FD2" w:rsidP="00660D9E">
            <w:pPr>
              <w:rPr>
                <w:rFonts w:cs="Arial"/>
                <w:color w:val="444444"/>
              </w:rPr>
            </w:pPr>
            <w:r w:rsidRPr="00957B6C">
              <w:rPr>
                <w:rFonts w:cs="Arial"/>
                <w:color w:val="444444"/>
              </w:rPr>
              <w:t>4</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24106006" w14:textId="77777777" w:rsidR="00965FD2" w:rsidRPr="00957B6C" w:rsidRDefault="00965FD2" w:rsidP="0062097A">
            <w:pPr>
              <w:rPr>
                <w:rFonts w:cs="Arial"/>
                <w:color w:val="444444"/>
              </w:rPr>
            </w:pPr>
            <w:r w:rsidRPr="00957B6C">
              <w:rPr>
                <w:rFonts w:cs="Arial"/>
                <w:color w:val="444444"/>
              </w:rPr>
              <w:t>Capacity building and Academia</w:t>
            </w:r>
          </w:p>
        </w:tc>
        <w:tc>
          <w:tcPr>
            <w:tcW w:w="2864" w:type="pct"/>
            <w:tcBorders>
              <w:top w:val="single" w:sz="4" w:space="0" w:color="4F81BD" w:themeColor="accent1"/>
              <w:left w:val="nil"/>
              <w:bottom w:val="single" w:sz="4" w:space="0" w:color="4F81BD" w:themeColor="accent1"/>
              <w:right w:val="nil"/>
            </w:tcBorders>
            <w:shd w:val="clear" w:color="auto" w:fill="FFFFFF"/>
          </w:tcPr>
          <w:p w14:paraId="23407DB4" w14:textId="7A9426F5" w:rsidR="00965FD2" w:rsidRPr="00957B6C" w:rsidRDefault="00965FD2" w:rsidP="008A5D13">
            <w:pPr>
              <w:rPr>
                <w:rFonts w:cs="Arial"/>
                <w:b/>
                <w:bCs/>
                <w:color w:val="444444"/>
              </w:rPr>
            </w:pPr>
            <w:r w:rsidRPr="00957B6C">
              <w:rPr>
                <w:rFonts w:cs="Arial"/>
                <w:b/>
                <w:bCs/>
                <w:color w:val="444444"/>
              </w:rPr>
              <w:t>Mr Ahmad Reza Sharafat</w:t>
            </w:r>
            <w:r w:rsidRPr="00957B6C">
              <w:rPr>
                <w:rFonts w:cs="Arial"/>
                <w:color w:val="444444"/>
              </w:rPr>
              <w:t xml:space="preserve">, Chairman, </w:t>
            </w:r>
            <w:r w:rsidR="008A5D13">
              <w:rPr>
                <w:rFonts w:cs="Arial"/>
                <w:color w:val="444444"/>
              </w:rPr>
              <w:t>Study Group 2</w:t>
            </w:r>
            <w:r w:rsidRPr="00957B6C">
              <w:rPr>
                <w:rFonts w:cs="Arial"/>
                <w:color w:val="444444"/>
              </w:rPr>
              <w:t xml:space="preserve"> (Islamic Republic of Iran)</w:t>
            </w:r>
          </w:p>
          <w:p w14:paraId="7C232CB7" w14:textId="77777777" w:rsidR="00965FD2" w:rsidRPr="00957B6C" w:rsidRDefault="00965FD2" w:rsidP="00583714">
            <w:pPr>
              <w:spacing w:before="0"/>
              <w:rPr>
                <w:rFonts w:cs="Arial"/>
                <w:color w:val="444444"/>
                <w:bdr w:val="none" w:sz="0" w:space="0" w:color="auto" w:frame="1"/>
              </w:rPr>
            </w:pPr>
            <w:r w:rsidRPr="00957B6C">
              <w:rPr>
                <w:rFonts w:cs="Arial"/>
                <w:color w:val="444444"/>
                <w:bdr w:val="none" w:sz="0" w:space="0" w:color="auto" w:frame="1"/>
              </w:rPr>
              <w:t>Mr Abdulkarim Ayopo Oloyede (Nigeria)</w:t>
            </w:r>
          </w:p>
          <w:p w14:paraId="6C776FE0" w14:textId="77777777" w:rsidR="00965FD2" w:rsidRPr="002F42F5" w:rsidRDefault="00965FD2" w:rsidP="00583714">
            <w:pPr>
              <w:spacing w:before="0"/>
              <w:rPr>
                <w:rFonts w:cs="Arial"/>
                <w:color w:val="444444"/>
                <w:lang w:val="es-ES_tradnl"/>
              </w:rPr>
            </w:pPr>
            <w:r w:rsidRPr="002F42F5">
              <w:rPr>
                <w:rFonts w:cs="Arial"/>
                <w:color w:val="444444"/>
                <w:lang w:val="es-ES_tradnl"/>
              </w:rPr>
              <w:t>Mr Hugo Darío Miguel (Argentina)</w:t>
            </w:r>
          </w:p>
          <w:p w14:paraId="07DA86BB" w14:textId="77777777" w:rsidR="00965FD2" w:rsidRPr="00957B6C" w:rsidRDefault="00965FD2" w:rsidP="00583714">
            <w:pPr>
              <w:spacing w:before="0"/>
              <w:rPr>
                <w:rFonts w:cs="Arial"/>
                <w:color w:val="444444"/>
              </w:rPr>
            </w:pPr>
            <w:r w:rsidRPr="00957B6C">
              <w:rPr>
                <w:rFonts w:cs="Arial"/>
                <w:color w:val="444444"/>
              </w:rPr>
              <w:t>Mr Tariq H Alamri (Saudi Arabia)</w:t>
            </w:r>
          </w:p>
        </w:tc>
      </w:tr>
      <w:tr w:rsidR="00965FD2" w:rsidRPr="008F3283" w14:paraId="6448DC26" w14:textId="77777777" w:rsidTr="00660D9E">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7C32AC15" w14:textId="77777777" w:rsidR="00965FD2" w:rsidRPr="00957B6C" w:rsidRDefault="00965FD2" w:rsidP="00660D9E">
            <w:pPr>
              <w:rPr>
                <w:rFonts w:cs="Arial"/>
                <w:color w:val="444444"/>
              </w:rPr>
            </w:pPr>
            <w:r w:rsidRPr="00957B6C">
              <w:rPr>
                <w:rFonts w:cs="Arial"/>
                <w:color w:val="444444"/>
              </w:rPr>
              <w:t>5</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3F00A19B" w14:textId="77777777" w:rsidR="00965FD2" w:rsidRPr="00957B6C" w:rsidRDefault="00965FD2" w:rsidP="0062097A">
            <w:pPr>
              <w:rPr>
                <w:rFonts w:cs="Arial"/>
                <w:color w:val="444444"/>
              </w:rPr>
            </w:pPr>
            <w:r w:rsidRPr="00957B6C">
              <w:rPr>
                <w:rFonts w:cs="Arial"/>
                <w:color w:val="444444"/>
              </w:rPr>
              <w:t>Private sector</w:t>
            </w:r>
          </w:p>
        </w:tc>
        <w:tc>
          <w:tcPr>
            <w:tcW w:w="2864" w:type="pct"/>
            <w:tcBorders>
              <w:top w:val="single" w:sz="4" w:space="0" w:color="4F81BD" w:themeColor="accent1"/>
              <w:left w:val="nil"/>
              <w:bottom w:val="single" w:sz="4" w:space="0" w:color="4F81BD" w:themeColor="accent1"/>
              <w:right w:val="nil"/>
            </w:tcBorders>
            <w:shd w:val="clear" w:color="auto" w:fill="FFFFFF"/>
          </w:tcPr>
          <w:p w14:paraId="16449A71" w14:textId="77777777" w:rsidR="00965FD2" w:rsidRPr="00957B6C" w:rsidRDefault="00965FD2" w:rsidP="0062097A">
            <w:pPr>
              <w:rPr>
                <w:rFonts w:cs="Arial"/>
                <w:color w:val="444444"/>
              </w:rPr>
            </w:pPr>
            <w:r w:rsidRPr="00957B6C">
              <w:rPr>
                <w:rFonts w:cs="Arial"/>
                <w:b/>
                <w:bCs/>
                <w:color w:val="444444"/>
              </w:rPr>
              <w:t>Mr Kishore Babu GSC Yerraballa</w:t>
            </w:r>
            <w:r w:rsidRPr="00957B6C">
              <w:rPr>
                <w:rFonts w:cs="Arial"/>
                <w:color w:val="444444"/>
              </w:rPr>
              <w:t xml:space="preserve"> (India)</w:t>
            </w:r>
          </w:p>
          <w:p w14:paraId="60E5A070" w14:textId="4523A808" w:rsidR="00965FD2" w:rsidRPr="002F42F5" w:rsidRDefault="00965FD2">
            <w:pPr>
              <w:spacing w:before="0"/>
              <w:rPr>
                <w:rFonts w:cs="Arial"/>
                <w:color w:val="444444"/>
                <w:lang w:val="es-ES_tradnl"/>
              </w:rPr>
            </w:pPr>
            <w:r w:rsidRPr="002F42F5">
              <w:rPr>
                <w:rFonts w:cs="Arial"/>
                <w:color w:val="444444"/>
                <w:lang w:val="es-ES_tradnl"/>
              </w:rPr>
              <w:t>Mr Al-</w:t>
            </w:r>
            <w:r w:rsidR="00E51996">
              <w:rPr>
                <w:rFonts w:cs="Arial"/>
                <w:color w:val="444444"/>
                <w:lang w:val="es-ES_tradnl"/>
              </w:rPr>
              <w:t>a</w:t>
            </w:r>
            <w:r w:rsidRPr="002F42F5">
              <w:rPr>
                <w:rFonts w:cs="Arial"/>
                <w:color w:val="444444"/>
                <w:lang w:val="es-ES_tradnl"/>
              </w:rPr>
              <w:t>nsari Almashakbeh (Jordan)</w:t>
            </w:r>
          </w:p>
        </w:tc>
      </w:tr>
      <w:tr w:rsidR="00965FD2" w:rsidRPr="00957B6C" w14:paraId="5D3F281C" w14:textId="77777777" w:rsidTr="00660D9E">
        <w:trPr>
          <w:trHeight w:val="551"/>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5A329A7C" w14:textId="77777777" w:rsidR="00965FD2" w:rsidRPr="00957B6C" w:rsidRDefault="00965FD2" w:rsidP="00660D9E">
            <w:pPr>
              <w:rPr>
                <w:rFonts w:cs="Arial"/>
                <w:color w:val="444444"/>
              </w:rPr>
            </w:pPr>
            <w:r w:rsidRPr="00957B6C">
              <w:rPr>
                <w:rFonts w:cs="Arial"/>
                <w:color w:val="444444"/>
              </w:rPr>
              <w:t>6</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14:paraId="625D6A7A" w14:textId="77777777" w:rsidR="00965FD2" w:rsidRPr="00957B6C" w:rsidRDefault="00965FD2" w:rsidP="00121A98">
            <w:pPr>
              <w:rPr>
                <w:rFonts w:cs="Arial"/>
                <w:color w:val="444444"/>
              </w:rPr>
            </w:pPr>
            <w:r w:rsidRPr="00957B6C">
              <w:rPr>
                <w:rFonts w:cs="Arial"/>
                <w:color w:val="444444"/>
              </w:rPr>
              <w:t>TDAG mandate (WTDC Resolution 24)</w:t>
            </w:r>
          </w:p>
        </w:tc>
        <w:tc>
          <w:tcPr>
            <w:tcW w:w="2864" w:type="pct"/>
            <w:tcBorders>
              <w:top w:val="single" w:sz="4" w:space="0" w:color="4F81BD" w:themeColor="accent1"/>
              <w:left w:val="nil"/>
              <w:bottom w:val="single" w:sz="4" w:space="0" w:color="4F81BD" w:themeColor="accent1"/>
              <w:right w:val="nil"/>
            </w:tcBorders>
            <w:shd w:val="clear" w:color="auto" w:fill="FFFFFF"/>
          </w:tcPr>
          <w:p w14:paraId="34CAA595" w14:textId="77777777" w:rsidR="00965FD2" w:rsidRPr="00957B6C" w:rsidRDefault="00965FD2" w:rsidP="0062097A">
            <w:pPr>
              <w:rPr>
                <w:rFonts w:cs="Arial"/>
                <w:color w:val="444444"/>
              </w:rPr>
            </w:pPr>
            <w:r w:rsidRPr="004D22C2">
              <w:rPr>
                <w:rFonts w:cs="Arial"/>
                <w:b/>
                <w:bCs/>
                <w:color w:val="444444"/>
              </w:rPr>
              <w:t>Ms Roxanne McElvane Webber</w:t>
            </w:r>
            <w:r w:rsidRPr="00957B6C">
              <w:rPr>
                <w:rFonts w:cs="Arial"/>
                <w:color w:val="444444"/>
              </w:rPr>
              <w:t xml:space="preserve"> (United States of America)</w:t>
            </w:r>
          </w:p>
        </w:tc>
      </w:tr>
    </w:tbl>
    <w:p w14:paraId="5AF291FD" w14:textId="77777777" w:rsidR="00965FD2" w:rsidRDefault="00965FD2" w:rsidP="001779D8">
      <w:pPr>
        <w:spacing w:before="0"/>
        <w:jc w:val="center"/>
        <w:rPr>
          <w:rStyle w:val="StyleComplex12pt"/>
          <w:rFonts w:cstheme="minorBidi"/>
        </w:rPr>
      </w:pPr>
    </w:p>
    <w:p w14:paraId="26D76C41" w14:textId="77777777" w:rsidR="002807C2" w:rsidRDefault="002807C2">
      <w:pPr>
        <w:tabs>
          <w:tab w:val="clear" w:pos="1134"/>
          <w:tab w:val="clear" w:pos="1871"/>
          <w:tab w:val="clear" w:pos="2268"/>
        </w:tabs>
        <w:overflowPunct/>
        <w:autoSpaceDE/>
        <w:autoSpaceDN/>
        <w:adjustRightInd/>
        <w:spacing w:before="0"/>
        <w:textAlignment w:val="auto"/>
        <w:rPr>
          <w:rStyle w:val="StyleComplex12pt"/>
          <w:rFonts w:cstheme="minorBidi"/>
        </w:rPr>
      </w:pPr>
      <w:r>
        <w:rPr>
          <w:rStyle w:val="StyleComplex12pt"/>
          <w:rFonts w:cstheme="minorBidi"/>
        </w:rPr>
        <w:br w:type="page"/>
      </w:r>
    </w:p>
    <w:p w14:paraId="3160CF2F" w14:textId="77777777" w:rsidR="002807C2" w:rsidRPr="005724E7" w:rsidRDefault="002807C2" w:rsidP="002807C2">
      <w:pPr>
        <w:spacing w:before="0"/>
        <w:jc w:val="center"/>
        <w:rPr>
          <w:rStyle w:val="StyleComplex12pt"/>
          <w:rFonts w:cstheme="minorBidi"/>
          <w:b/>
          <w:bCs/>
          <w:color w:val="000000" w:themeColor="text1"/>
          <w:sz w:val="28"/>
          <w:szCs w:val="28"/>
        </w:rPr>
      </w:pPr>
      <w:r w:rsidRPr="005724E7">
        <w:rPr>
          <w:rStyle w:val="StyleComplex12pt"/>
          <w:rFonts w:cstheme="minorBidi"/>
          <w:b/>
          <w:bCs/>
          <w:color w:val="000000" w:themeColor="text1"/>
          <w:sz w:val="28"/>
          <w:szCs w:val="28"/>
        </w:rPr>
        <w:lastRenderedPageBreak/>
        <w:t>ANNEX 2</w:t>
      </w:r>
    </w:p>
    <w:p w14:paraId="6EE2214E" w14:textId="7D5EBCA3" w:rsidR="00247548" w:rsidRPr="005724E7" w:rsidRDefault="002807C2" w:rsidP="00074BAA">
      <w:pPr>
        <w:keepNext/>
        <w:spacing w:before="240" w:after="240"/>
        <w:jc w:val="center"/>
        <w:rPr>
          <w:b/>
          <w:bCs/>
          <w:sz w:val="28"/>
          <w:szCs w:val="22"/>
        </w:rPr>
      </w:pPr>
      <w:r w:rsidRPr="005724E7">
        <w:rPr>
          <w:b/>
          <w:bCs/>
          <w:sz w:val="28"/>
          <w:szCs w:val="22"/>
        </w:rPr>
        <w:t>Summaries of TDAG-19 breakout sessions</w:t>
      </w:r>
    </w:p>
    <w:p w14:paraId="3677BA18" w14:textId="77777777" w:rsidR="00074BAA" w:rsidRPr="00074BAA" w:rsidRDefault="00074BAA" w:rsidP="00074BAA">
      <w:pPr>
        <w:keepNext/>
        <w:spacing w:before="240" w:after="240"/>
        <w:jc w:val="center"/>
        <w:rPr>
          <w:b/>
          <w:bCs/>
        </w:rPr>
      </w:pPr>
    </w:p>
    <w:p w14:paraId="7424A85E" w14:textId="79DE3EBD" w:rsidR="00247548" w:rsidRPr="004D22C2" w:rsidRDefault="00247548" w:rsidP="00810998">
      <w:pPr>
        <w:pStyle w:val="ListParagraph"/>
        <w:keepNext/>
        <w:numPr>
          <w:ilvl w:val="0"/>
          <w:numId w:val="23"/>
        </w:numPr>
        <w:spacing w:before="360" w:after="120"/>
        <w:ind w:left="357" w:hanging="357"/>
        <w:contextualSpacing w:val="0"/>
        <w:rPr>
          <w:rFonts w:cstheme="minorHAnsi"/>
          <w:b/>
          <w:bCs/>
          <w:sz w:val="28"/>
          <w:szCs w:val="22"/>
        </w:rPr>
      </w:pPr>
      <w:r w:rsidRPr="004D22C2">
        <w:rPr>
          <w:rFonts w:cstheme="minorHAnsi"/>
          <w:b/>
          <w:bCs/>
          <w:sz w:val="28"/>
          <w:szCs w:val="22"/>
        </w:rPr>
        <w:t>Process</w:t>
      </w:r>
      <w:r w:rsidR="003E6A33" w:rsidRPr="004D22C2">
        <w:rPr>
          <w:rFonts w:cstheme="minorHAnsi"/>
          <w:b/>
          <w:bCs/>
          <w:sz w:val="28"/>
          <w:szCs w:val="22"/>
        </w:rPr>
        <w:t xml:space="preserve"> and governance t</w:t>
      </w:r>
      <w:r w:rsidRPr="004D22C2">
        <w:rPr>
          <w:rFonts w:cstheme="minorHAnsi"/>
          <w:b/>
          <w:bCs/>
          <w:sz w:val="28"/>
          <w:szCs w:val="22"/>
        </w:rPr>
        <w:t>opics</w:t>
      </w:r>
    </w:p>
    <w:p w14:paraId="0DC0E597" w14:textId="005AAF96" w:rsidR="00247548" w:rsidRPr="006510BD" w:rsidRDefault="00C27497" w:rsidP="00810998">
      <w:pPr>
        <w:keepNext/>
        <w:spacing w:before="240" w:after="120"/>
        <w:ind w:left="425" w:hanging="425"/>
        <w:rPr>
          <w:rFonts w:cstheme="minorHAnsi"/>
          <w:b/>
          <w:bCs/>
        </w:rPr>
      </w:pPr>
      <w:r>
        <w:rPr>
          <w:rFonts w:cstheme="minorHAnsi"/>
          <w:b/>
          <w:bCs/>
        </w:rPr>
        <w:t>1.1</w:t>
      </w:r>
      <w:r>
        <w:rPr>
          <w:rFonts w:cstheme="minorHAnsi"/>
          <w:b/>
          <w:bCs/>
        </w:rPr>
        <w:tab/>
      </w:r>
      <w:r w:rsidR="00247548" w:rsidRPr="006510BD">
        <w:rPr>
          <w:rFonts w:cstheme="minorHAnsi"/>
          <w:b/>
          <w:bCs/>
        </w:rPr>
        <w:t>Partnership building and resource mobilization for projects</w:t>
      </w:r>
    </w:p>
    <w:p w14:paraId="3C3484F5" w14:textId="77777777" w:rsidR="00247548" w:rsidRPr="006510BD" w:rsidRDefault="00247548" w:rsidP="00810998">
      <w:pPr>
        <w:keepNext/>
        <w:spacing w:after="120"/>
        <w:rPr>
          <w:rFonts w:cstheme="minorHAnsi"/>
          <w:b/>
          <w:bCs/>
        </w:rPr>
      </w:pPr>
      <w:r w:rsidRPr="006510BD">
        <w:rPr>
          <w:rFonts w:cstheme="minorHAnsi"/>
          <w:b/>
          <w:bCs/>
        </w:rPr>
        <w:t>Key takeaways:</w:t>
      </w:r>
    </w:p>
    <w:p w14:paraId="45DD8033" w14:textId="778AF883" w:rsidR="00247548" w:rsidRPr="006510BD" w:rsidRDefault="00247548" w:rsidP="00247548">
      <w:pPr>
        <w:pStyle w:val="ListParagraph"/>
        <w:numPr>
          <w:ilvl w:val="0"/>
          <w:numId w:val="10"/>
        </w:numPr>
        <w:tabs>
          <w:tab w:val="clear" w:pos="1134"/>
          <w:tab w:val="clear" w:pos="1871"/>
          <w:tab w:val="clear" w:pos="2268"/>
        </w:tabs>
        <w:overflowPunct/>
        <w:autoSpaceDE/>
        <w:autoSpaceDN/>
        <w:adjustRightInd/>
        <w:spacing w:after="120"/>
        <w:ind w:left="426" w:hanging="426"/>
        <w:textAlignment w:val="auto"/>
        <w:rPr>
          <w:rFonts w:cstheme="minorHAnsi"/>
        </w:rPr>
      </w:pPr>
      <w:r w:rsidRPr="006510BD">
        <w:rPr>
          <w:rFonts w:cstheme="minorHAnsi"/>
        </w:rPr>
        <w:t>The Telecommunication Bureau (BDT)</w:t>
      </w:r>
      <w:r>
        <w:rPr>
          <w:rFonts w:cstheme="minorHAnsi"/>
        </w:rPr>
        <w:t xml:space="preserve"> is</w:t>
      </w:r>
      <w:r w:rsidRPr="006510BD">
        <w:rPr>
          <w:rFonts w:cstheme="minorHAnsi"/>
        </w:rPr>
        <w:t xml:space="preserve"> to focus on a multi-stakeholder platform approach taking into consideration the interests and complementary capabilities of all parties, not</w:t>
      </w:r>
      <w:r w:rsidR="00184D22">
        <w:rPr>
          <w:rFonts w:cstheme="minorHAnsi"/>
        </w:rPr>
        <w:t xml:space="preserve"> only the beneficiary countries.</w:t>
      </w:r>
    </w:p>
    <w:p w14:paraId="5D8BEC28" w14:textId="666C5F5F" w:rsidR="00247548" w:rsidRPr="006510BD" w:rsidRDefault="00247548" w:rsidP="00247548">
      <w:pPr>
        <w:pStyle w:val="ListParagraph"/>
        <w:numPr>
          <w:ilvl w:val="0"/>
          <w:numId w:val="10"/>
        </w:numPr>
        <w:tabs>
          <w:tab w:val="clear" w:pos="1134"/>
          <w:tab w:val="clear" w:pos="1871"/>
          <w:tab w:val="clear" w:pos="2268"/>
        </w:tabs>
        <w:overflowPunct/>
        <w:autoSpaceDE/>
        <w:autoSpaceDN/>
        <w:adjustRightInd/>
        <w:spacing w:after="120"/>
        <w:ind w:left="426" w:hanging="426"/>
        <w:textAlignment w:val="auto"/>
        <w:rPr>
          <w:rFonts w:cstheme="minorHAnsi"/>
        </w:rPr>
      </w:pPr>
      <w:r w:rsidRPr="006510BD">
        <w:rPr>
          <w:rFonts w:cstheme="minorHAnsi"/>
        </w:rPr>
        <w:t xml:space="preserve">BDT </w:t>
      </w:r>
      <w:r>
        <w:rPr>
          <w:rFonts w:cstheme="minorHAnsi"/>
        </w:rPr>
        <w:t xml:space="preserve">is </w:t>
      </w:r>
      <w:r w:rsidRPr="006510BD">
        <w:rPr>
          <w:rFonts w:cstheme="minorHAnsi"/>
        </w:rPr>
        <w:t xml:space="preserve">to consider a flexible and modular approach towards project design (governance structure, type of agreements and time-frame) and implementation (global and regional partnerships/projects open to embracing </w:t>
      </w:r>
      <w:r w:rsidR="00184D22">
        <w:rPr>
          <w:rFonts w:cstheme="minorHAnsi"/>
        </w:rPr>
        <w:t>new partners at various stages).</w:t>
      </w:r>
    </w:p>
    <w:p w14:paraId="5BEFAD3F" w14:textId="22C1E1C7" w:rsidR="00247548" w:rsidRPr="006510BD" w:rsidRDefault="00247548" w:rsidP="00247548">
      <w:pPr>
        <w:pStyle w:val="ListParagraph"/>
        <w:numPr>
          <w:ilvl w:val="0"/>
          <w:numId w:val="10"/>
        </w:numPr>
        <w:tabs>
          <w:tab w:val="clear" w:pos="1134"/>
          <w:tab w:val="clear" w:pos="1871"/>
          <w:tab w:val="clear" w:pos="2268"/>
        </w:tabs>
        <w:overflowPunct/>
        <w:autoSpaceDE/>
        <w:autoSpaceDN/>
        <w:adjustRightInd/>
        <w:spacing w:after="120"/>
        <w:ind w:left="426" w:hanging="426"/>
        <w:textAlignment w:val="auto"/>
        <w:rPr>
          <w:rFonts w:cstheme="minorHAnsi"/>
        </w:rPr>
      </w:pPr>
      <w:r w:rsidRPr="006510BD">
        <w:rPr>
          <w:rFonts w:cstheme="minorHAnsi"/>
        </w:rPr>
        <w:t xml:space="preserve">BDT and its membership </w:t>
      </w:r>
      <w:r>
        <w:rPr>
          <w:rFonts w:cstheme="minorHAnsi"/>
        </w:rPr>
        <w:t xml:space="preserve">are </w:t>
      </w:r>
      <w:r w:rsidRPr="006510BD">
        <w:rPr>
          <w:rFonts w:cstheme="minorHAnsi"/>
        </w:rPr>
        <w:t xml:space="preserve">to enhance awareness-raising of ITU’s work, including partnership opportunities, exploring more strategic alliances with development banks and other UN </w:t>
      </w:r>
      <w:r>
        <w:rPr>
          <w:rFonts w:cstheme="minorHAnsi"/>
        </w:rPr>
        <w:t>a</w:t>
      </w:r>
      <w:r w:rsidR="00184D22">
        <w:rPr>
          <w:rFonts w:cstheme="minorHAnsi"/>
        </w:rPr>
        <w:t>gencies.</w:t>
      </w:r>
    </w:p>
    <w:p w14:paraId="14D62740" w14:textId="3889DEDF" w:rsidR="00247548" w:rsidRPr="006510BD" w:rsidRDefault="00247548" w:rsidP="008A5D13">
      <w:pPr>
        <w:pStyle w:val="ListParagraph"/>
        <w:numPr>
          <w:ilvl w:val="0"/>
          <w:numId w:val="10"/>
        </w:numPr>
        <w:tabs>
          <w:tab w:val="clear" w:pos="1134"/>
          <w:tab w:val="clear" w:pos="1871"/>
          <w:tab w:val="clear" w:pos="2268"/>
        </w:tabs>
        <w:overflowPunct/>
        <w:autoSpaceDE/>
        <w:autoSpaceDN/>
        <w:adjustRightInd/>
        <w:spacing w:after="120"/>
        <w:ind w:left="426" w:hanging="426"/>
        <w:textAlignment w:val="auto"/>
        <w:rPr>
          <w:rFonts w:cstheme="minorHAnsi"/>
        </w:rPr>
      </w:pPr>
      <w:r w:rsidRPr="006510BD">
        <w:rPr>
          <w:rFonts w:cstheme="minorHAnsi"/>
        </w:rPr>
        <w:t xml:space="preserve">Recall ITU-D membership’s key role in promoting the work of ITU-D and supporting resource mobilization efforts for </w:t>
      </w:r>
      <w:r w:rsidR="008A5D13">
        <w:rPr>
          <w:rFonts w:cstheme="minorHAnsi"/>
        </w:rPr>
        <w:t>r</w:t>
      </w:r>
      <w:r w:rsidRPr="006510BD">
        <w:rPr>
          <w:rFonts w:cstheme="minorHAnsi"/>
        </w:rPr>
        <w:t xml:space="preserve">egional </w:t>
      </w:r>
      <w:r w:rsidR="008A5D13">
        <w:rPr>
          <w:rFonts w:cstheme="minorHAnsi"/>
        </w:rPr>
        <w:t>i</w:t>
      </w:r>
      <w:r w:rsidRPr="006510BD">
        <w:rPr>
          <w:rFonts w:cstheme="minorHAnsi"/>
        </w:rPr>
        <w:t xml:space="preserve">nitiatives and </w:t>
      </w:r>
      <w:r w:rsidR="008A5D13">
        <w:rPr>
          <w:rFonts w:cstheme="minorHAnsi"/>
        </w:rPr>
        <w:t>p</w:t>
      </w:r>
      <w:r w:rsidRPr="006510BD">
        <w:rPr>
          <w:rFonts w:cstheme="minorHAnsi"/>
        </w:rPr>
        <w:t xml:space="preserve">rojects. </w:t>
      </w:r>
    </w:p>
    <w:p w14:paraId="76AC8229" w14:textId="77777777" w:rsidR="00247548" w:rsidRPr="006510BD" w:rsidRDefault="00247548" w:rsidP="00247548">
      <w:pPr>
        <w:keepNext/>
        <w:spacing w:after="120"/>
        <w:rPr>
          <w:rFonts w:cstheme="minorHAnsi"/>
          <w:b/>
          <w:bCs/>
        </w:rPr>
      </w:pPr>
      <w:r w:rsidRPr="006510BD">
        <w:rPr>
          <w:rFonts w:cstheme="minorHAnsi"/>
          <w:b/>
          <w:bCs/>
        </w:rPr>
        <w:t>Discussion summary:</w:t>
      </w:r>
    </w:p>
    <w:p w14:paraId="530A5CC6" w14:textId="1C37E456" w:rsidR="00247548" w:rsidRPr="006510BD" w:rsidRDefault="00247548" w:rsidP="008A5D13">
      <w:pPr>
        <w:spacing w:after="120"/>
        <w:rPr>
          <w:rFonts w:cstheme="minorHAnsi"/>
        </w:rPr>
      </w:pPr>
      <w:r w:rsidRPr="006510BD">
        <w:rPr>
          <w:rFonts w:cstheme="minorHAnsi"/>
        </w:rPr>
        <w:t xml:space="preserve">The ITU </w:t>
      </w:r>
      <w:r w:rsidRPr="003F7B17">
        <w:rPr>
          <w:rFonts w:cstheme="minorHAnsi"/>
        </w:rPr>
        <w:t xml:space="preserve">Telecommunication Development Advisory Group </w:t>
      </w:r>
      <w:r>
        <w:rPr>
          <w:rFonts w:cstheme="minorHAnsi"/>
        </w:rPr>
        <w:t>(</w:t>
      </w:r>
      <w:r w:rsidRPr="006510BD">
        <w:rPr>
          <w:rFonts w:cstheme="minorHAnsi"/>
        </w:rPr>
        <w:t>TDAG</w:t>
      </w:r>
      <w:r>
        <w:rPr>
          <w:rFonts w:cstheme="minorHAnsi"/>
        </w:rPr>
        <w:t>)</w:t>
      </w:r>
      <w:r w:rsidRPr="006510BD">
        <w:rPr>
          <w:rFonts w:cstheme="minorHAnsi"/>
        </w:rPr>
        <w:t xml:space="preserve"> breakout session on partnership building and resource mobilization for projects was carried out with the objective of strengthening strategic partnerships (including resource mobilization) with a variety of stakeholders. Discussions focused on the need to adopt a multi-stakeholder platform approach for which projects can be modulated to accommodate interests from beneficiaries, donors and other partners. In particular, participants agreed on the need to better understand private</w:t>
      </w:r>
      <w:r w:rsidR="008A5D13">
        <w:rPr>
          <w:rFonts w:cstheme="minorHAnsi"/>
        </w:rPr>
        <w:t>-</w:t>
      </w:r>
      <w:r w:rsidRPr="006510BD">
        <w:rPr>
          <w:rFonts w:cstheme="minorHAnsi"/>
        </w:rPr>
        <w:t xml:space="preserve">sector motivations and seek closer alignment with those of beneficiary countries. </w:t>
      </w:r>
    </w:p>
    <w:p w14:paraId="4F95F7C3" w14:textId="77777777" w:rsidR="00247548" w:rsidRPr="006510BD" w:rsidRDefault="00247548" w:rsidP="00247548">
      <w:pPr>
        <w:spacing w:after="120"/>
        <w:rPr>
          <w:rFonts w:cstheme="minorHAnsi"/>
        </w:rPr>
      </w:pPr>
      <w:r w:rsidRPr="006510BD">
        <w:rPr>
          <w:rFonts w:cstheme="minorHAnsi"/>
        </w:rPr>
        <w:t xml:space="preserve">A more flexible and modular approach towards project design and implementation was recommended. For all partners to benefit from the project and to ensure inclusiveness, their interests and capabilities should be matched within the structure of </w:t>
      </w:r>
      <w:r>
        <w:rPr>
          <w:rFonts w:cstheme="minorHAnsi"/>
        </w:rPr>
        <w:t xml:space="preserve">the </w:t>
      </w:r>
      <w:r w:rsidRPr="006510BD">
        <w:rPr>
          <w:rFonts w:cstheme="minorHAnsi"/>
        </w:rPr>
        <w:t>project.</w:t>
      </w:r>
      <w:r>
        <w:rPr>
          <w:rFonts w:cstheme="minorHAnsi"/>
        </w:rPr>
        <w:t xml:space="preserve"> </w:t>
      </w:r>
      <w:r w:rsidRPr="006510BD">
        <w:rPr>
          <w:rFonts w:cstheme="minorHAnsi"/>
        </w:rPr>
        <w:t>Flexibility is required</w:t>
      </w:r>
      <w:r>
        <w:rPr>
          <w:rFonts w:cstheme="minorHAnsi"/>
        </w:rPr>
        <w:t xml:space="preserve"> </w:t>
      </w:r>
      <w:r w:rsidRPr="006510BD">
        <w:rPr>
          <w:rFonts w:cstheme="minorHAnsi"/>
        </w:rPr>
        <w:t>regarding the types of agreements and partnership</w:t>
      </w:r>
      <w:r>
        <w:rPr>
          <w:rFonts w:cstheme="minorHAnsi"/>
        </w:rPr>
        <w:t>s</w:t>
      </w:r>
      <w:r w:rsidRPr="006510BD">
        <w:rPr>
          <w:rFonts w:cstheme="minorHAnsi"/>
        </w:rPr>
        <w:t xml:space="preserve"> to enable partners to get involved</w:t>
      </w:r>
      <w:r>
        <w:rPr>
          <w:rFonts w:cstheme="minorHAnsi"/>
        </w:rPr>
        <w:t xml:space="preserve"> </w:t>
      </w:r>
      <w:r w:rsidRPr="006510BD">
        <w:rPr>
          <w:rFonts w:cstheme="minorHAnsi"/>
        </w:rPr>
        <w:t xml:space="preserve">at different stages. </w:t>
      </w:r>
    </w:p>
    <w:p w14:paraId="474ED9E4" w14:textId="77777777" w:rsidR="00247548" w:rsidRPr="006510BD" w:rsidRDefault="00247548" w:rsidP="00247548">
      <w:pPr>
        <w:spacing w:after="120"/>
        <w:rPr>
          <w:rFonts w:cstheme="minorHAnsi"/>
        </w:rPr>
      </w:pPr>
      <w:r w:rsidRPr="006510BD">
        <w:rPr>
          <w:rFonts w:cstheme="minorHAnsi"/>
        </w:rPr>
        <w:t>Platforms for sharing information and opportunities were mentioned, while</w:t>
      </w:r>
      <w:r>
        <w:rPr>
          <w:rFonts w:cstheme="minorHAnsi"/>
        </w:rPr>
        <w:t xml:space="preserve"> </w:t>
      </w:r>
      <w:r w:rsidRPr="006510BD">
        <w:rPr>
          <w:rFonts w:cstheme="minorHAnsi"/>
        </w:rPr>
        <w:t xml:space="preserve">recognizing that the current fundraising scenario is very competitive. Participants agreed on the need for further efforts to raise awareness of ITU’s work and project portfolio. It was recommended that ITU continue to explore large-scale projects with strategic partners such as development banks and other UN agencies to (i) raise ITU’s visibility, (ii) avoid duplications and (iii) open to new sources of funds and partners. </w:t>
      </w:r>
    </w:p>
    <w:p w14:paraId="3709E8CE" w14:textId="3D7DE038" w:rsidR="00247548" w:rsidRPr="006510BD" w:rsidRDefault="00247548" w:rsidP="008A5D13">
      <w:pPr>
        <w:spacing w:after="120"/>
        <w:rPr>
          <w:rFonts w:cstheme="minorHAnsi"/>
        </w:rPr>
      </w:pPr>
      <w:r w:rsidRPr="006510BD">
        <w:rPr>
          <w:rFonts w:cstheme="minorHAnsi"/>
        </w:rPr>
        <w:t xml:space="preserve">National experiences with </w:t>
      </w:r>
      <w:r w:rsidR="008A5D13">
        <w:rPr>
          <w:rFonts w:cstheme="minorHAnsi"/>
        </w:rPr>
        <w:t>p</w:t>
      </w:r>
      <w:r w:rsidRPr="006510BD">
        <w:rPr>
          <w:rFonts w:cstheme="minorHAnsi"/>
        </w:rPr>
        <w:t>ublic</w:t>
      </w:r>
      <w:r w:rsidR="008A5D13">
        <w:rPr>
          <w:rFonts w:cstheme="minorHAnsi"/>
        </w:rPr>
        <w:t>-p</w:t>
      </w:r>
      <w:r w:rsidRPr="006510BD">
        <w:rPr>
          <w:rFonts w:cstheme="minorHAnsi"/>
        </w:rPr>
        <w:t xml:space="preserve">rivate </w:t>
      </w:r>
      <w:r w:rsidR="008A5D13">
        <w:rPr>
          <w:rFonts w:cstheme="minorHAnsi"/>
        </w:rPr>
        <w:t>p</w:t>
      </w:r>
      <w:r w:rsidRPr="006510BD">
        <w:rPr>
          <w:rFonts w:cstheme="minorHAnsi"/>
        </w:rPr>
        <w:t>artnerships (PPP</w:t>
      </w:r>
      <w:r w:rsidR="008A5D13">
        <w:rPr>
          <w:rFonts w:cstheme="minorHAnsi"/>
        </w:rPr>
        <w:t>s</w:t>
      </w:r>
      <w:r w:rsidRPr="006510BD">
        <w:rPr>
          <w:rFonts w:cstheme="minorHAnsi"/>
        </w:rPr>
        <w:t>) w</w:t>
      </w:r>
      <w:r>
        <w:rPr>
          <w:rFonts w:cstheme="minorHAnsi"/>
        </w:rPr>
        <w:t>ere</w:t>
      </w:r>
      <w:r w:rsidRPr="006510BD">
        <w:rPr>
          <w:rFonts w:cstheme="minorHAnsi"/>
        </w:rPr>
        <w:t xml:space="preserve"> also shared, highlighting the importance of having appropriate national legislation and systems in place for the smooth functioning of PPPs. A forth “P” was noted, related to placing “people” (civil society) at the centre </w:t>
      </w:r>
      <w:r w:rsidRPr="006510BD">
        <w:rPr>
          <w:rFonts w:cstheme="minorHAnsi"/>
        </w:rPr>
        <w:lastRenderedPageBreak/>
        <w:t>to th</w:t>
      </w:r>
      <w:r>
        <w:rPr>
          <w:rFonts w:cstheme="minorHAnsi"/>
        </w:rPr>
        <w:t>ereby</w:t>
      </w:r>
      <w:r w:rsidRPr="006510BD">
        <w:rPr>
          <w:rFonts w:cstheme="minorHAnsi"/>
        </w:rPr>
        <w:t xml:space="preserve"> ensure a more inclusive approach. </w:t>
      </w:r>
      <w:r>
        <w:rPr>
          <w:rFonts w:cstheme="minorHAnsi"/>
        </w:rPr>
        <w:t>T</w:t>
      </w:r>
      <w:r w:rsidRPr="006510BD">
        <w:rPr>
          <w:rFonts w:cstheme="minorHAnsi"/>
        </w:rPr>
        <w:t>he concept of an “anchor partner” was shared, i.e. the key player(s) with high stakes in a project and therefore an interest in securing its success.</w:t>
      </w:r>
    </w:p>
    <w:p w14:paraId="1234ECAC" w14:textId="77777777" w:rsidR="00247548" w:rsidRPr="006510BD" w:rsidRDefault="00247548" w:rsidP="00247548">
      <w:pPr>
        <w:spacing w:after="120"/>
        <w:rPr>
          <w:rFonts w:cstheme="minorHAnsi"/>
        </w:rPr>
      </w:pPr>
      <w:r w:rsidRPr="006510BD">
        <w:rPr>
          <w:rFonts w:cstheme="minorHAnsi"/>
        </w:rPr>
        <w:t>Lastly, participants recognized the competitiveness of fundraising. While ITU is a catalyst, as it already brings multistakeholders together, it requires support from its membership in its effort to mobilize resources.</w:t>
      </w:r>
      <w:r>
        <w:rPr>
          <w:rFonts w:cstheme="minorHAnsi"/>
        </w:rPr>
        <w:t xml:space="preserve"> </w:t>
      </w:r>
      <w:r w:rsidRPr="006510BD">
        <w:rPr>
          <w:rFonts w:cstheme="minorHAnsi"/>
        </w:rPr>
        <w:t xml:space="preserve">It was therefore recommended that ITU membership take an active role in promoting the work of BDT for partnerships. </w:t>
      </w:r>
    </w:p>
    <w:p w14:paraId="21945CE7" w14:textId="320EBD86" w:rsidR="00247548" w:rsidRPr="006510BD" w:rsidRDefault="00C27497" w:rsidP="00810998">
      <w:pPr>
        <w:keepNext/>
        <w:spacing w:before="240" w:after="120"/>
        <w:ind w:left="425" w:hanging="425"/>
        <w:rPr>
          <w:rFonts w:cstheme="minorHAnsi"/>
          <w:b/>
          <w:bCs/>
        </w:rPr>
      </w:pPr>
      <w:r>
        <w:rPr>
          <w:rFonts w:cstheme="minorHAnsi"/>
          <w:b/>
          <w:bCs/>
        </w:rPr>
        <w:t>1.2</w:t>
      </w:r>
      <w:r>
        <w:rPr>
          <w:rFonts w:cstheme="minorHAnsi"/>
          <w:b/>
          <w:bCs/>
        </w:rPr>
        <w:tab/>
      </w:r>
      <w:r w:rsidR="00247548" w:rsidRPr="006510BD">
        <w:rPr>
          <w:rFonts w:cstheme="minorHAnsi"/>
          <w:b/>
          <w:bCs/>
        </w:rPr>
        <w:t xml:space="preserve">The </w:t>
      </w:r>
      <w:r w:rsidR="00247548" w:rsidRPr="00973CFA">
        <w:rPr>
          <w:rFonts w:cstheme="minorHAnsi"/>
          <w:b/>
          <w:bCs/>
        </w:rPr>
        <w:t>role of regional presence</w:t>
      </w:r>
    </w:p>
    <w:p w14:paraId="53BCC0D7" w14:textId="6D03BBF6" w:rsidR="00247548" w:rsidRPr="00546B83" w:rsidRDefault="00247548" w:rsidP="00E16FDE">
      <w:pPr>
        <w:spacing w:after="120"/>
        <w:rPr>
          <w:rFonts w:cstheme="minorHAnsi"/>
        </w:rPr>
      </w:pPr>
      <w:r w:rsidRPr="00546B83">
        <w:rPr>
          <w:rFonts w:cstheme="minorHAnsi"/>
        </w:rPr>
        <w:t xml:space="preserve">The </w:t>
      </w:r>
      <w:r w:rsidR="00185AB7">
        <w:rPr>
          <w:rFonts w:cstheme="minorHAnsi"/>
        </w:rPr>
        <w:t xml:space="preserve">discussions </w:t>
      </w:r>
      <w:r w:rsidR="00C469C7" w:rsidRPr="00546B83">
        <w:rPr>
          <w:rFonts w:cstheme="minorHAnsi"/>
        </w:rPr>
        <w:t xml:space="preserve">of the </w:t>
      </w:r>
      <w:r w:rsidR="00E16FDE">
        <w:rPr>
          <w:rFonts w:cstheme="minorHAnsi"/>
        </w:rPr>
        <w:t xml:space="preserve">participants </w:t>
      </w:r>
      <w:r w:rsidR="00C469C7" w:rsidRPr="00546B83">
        <w:rPr>
          <w:rFonts w:cstheme="minorHAnsi"/>
        </w:rPr>
        <w:t>includ</w:t>
      </w:r>
      <w:r w:rsidR="00D0141A" w:rsidRPr="00546B83">
        <w:rPr>
          <w:rFonts w:cstheme="minorHAnsi"/>
        </w:rPr>
        <w:t xml:space="preserve">ed </w:t>
      </w:r>
      <w:r w:rsidR="00C469C7" w:rsidRPr="00546B83">
        <w:rPr>
          <w:rFonts w:cstheme="minorHAnsi"/>
        </w:rPr>
        <w:t xml:space="preserve">suggestions </w:t>
      </w:r>
      <w:r w:rsidR="00C469C7" w:rsidRPr="00546B83">
        <w:rPr>
          <w:rStyle w:val="Hyperlink"/>
          <w:color w:val="auto"/>
          <w:szCs w:val="24"/>
          <w:u w:val="none"/>
          <w:lang w:val="en-US"/>
        </w:rPr>
        <w:t xml:space="preserve">on ways the </w:t>
      </w:r>
      <w:r w:rsidRPr="00546B83">
        <w:rPr>
          <w:rFonts w:cstheme="minorHAnsi"/>
        </w:rPr>
        <w:t xml:space="preserve">regional </w:t>
      </w:r>
      <w:r w:rsidR="00D0141A" w:rsidRPr="00546B83">
        <w:rPr>
          <w:rFonts w:cstheme="minorHAnsi"/>
        </w:rPr>
        <w:t xml:space="preserve">and </w:t>
      </w:r>
      <w:r w:rsidRPr="00546B83">
        <w:rPr>
          <w:rFonts w:cstheme="minorHAnsi"/>
        </w:rPr>
        <w:t>area offices</w:t>
      </w:r>
      <w:r w:rsidR="00427837" w:rsidRPr="00546B83">
        <w:rPr>
          <w:rFonts w:cstheme="minorHAnsi"/>
        </w:rPr>
        <w:t xml:space="preserve"> </w:t>
      </w:r>
      <w:r w:rsidR="00A86889" w:rsidRPr="00546B83">
        <w:rPr>
          <w:rStyle w:val="Hyperlink"/>
          <w:color w:val="auto"/>
          <w:szCs w:val="24"/>
          <w:u w:val="none"/>
          <w:lang w:val="en-US"/>
        </w:rPr>
        <w:t>can better respond to the needs of the members, represent the ITU as a whole, leverage ITU’s membership in the wider UN family by working with UN Resident Coordinators</w:t>
      </w:r>
      <w:r w:rsidR="00AE7F56">
        <w:rPr>
          <w:rStyle w:val="Hyperlink"/>
          <w:color w:val="auto"/>
          <w:szCs w:val="24"/>
          <w:u w:val="none"/>
          <w:lang w:val="en-US"/>
        </w:rPr>
        <w:t>,</w:t>
      </w:r>
      <w:r w:rsidR="00A86889" w:rsidRPr="00546B83">
        <w:rPr>
          <w:rStyle w:val="Hyperlink"/>
          <w:color w:val="auto"/>
          <w:szCs w:val="24"/>
          <w:u w:val="none"/>
          <w:lang w:val="en-US"/>
        </w:rPr>
        <w:t xml:space="preserve"> </w:t>
      </w:r>
      <w:r w:rsidRPr="00546B83">
        <w:rPr>
          <w:rFonts w:cstheme="minorHAnsi"/>
        </w:rPr>
        <w:t xml:space="preserve">and endeavour to increase its presence for countries. Field offices should monitor and evaluate projects in the field and bridge information flows between members. </w:t>
      </w:r>
      <w:r w:rsidR="007E3823" w:rsidRPr="00546B83">
        <w:rPr>
          <w:rFonts w:cstheme="minorHAnsi"/>
        </w:rPr>
        <w:t xml:space="preserve">It was suggested to </w:t>
      </w:r>
      <w:r w:rsidR="00AE629C">
        <w:rPr>
          <w:rFonts w:cstheme="minorHAnsi"/>
        </w:rPr>
        <w:t>consider</w:t>
      </w:r>
      <w:r w:rsidR="007E3823" w:rsidRPr="00546B83">
        <w:rPr>
          <w:rFonts w:cstheme="minorHAnsi"/>
        </w:rPr>
        <w:t xml:space="preserve"> a</w:t>
      </w:r>
      <w:r w:rsidRPr="00546B83">
        <w:rPr>
          <w:rFonts w:cstheme="minorHAnsi"/>
        </w:rPr>
        <w:t xml:space="preserve"> specific number of online and </w:t>
      </w:r>
      <w:r w:rsidR="001F07C9" w:rsidRPr="00546B83">
        <w:rPr>
          <w:rFonts w:cstheme="minorHAnsi"/>
        </w:rPr>
        <w:t xml:space="preserve">physical </w:t>
      </w:r>
      <w:r w:rsidRPr="00546B83">
        <w:rPr>
          <w:rFonts w:cstheme="minorHAnsi"/>
        </w:rPr>
        <w:t xml:space="preserve">meetings with countries </w:t>
      </w:r>
      <w:r w:rsidR="007E3823" w:rsidRPr="00546B83">
        <w:rPr>
          <w:rFonts w:cstheme="minorHAnsi"/>
        </w:rPr>
        <w:t xml:space="preserve">and reflect that in </w:t>
      </w:r>
      <w:r w:rsidRPr="00546B83">
        <w:rPr>
          <w:rFonts w:cstheme="minorHAnsi"/>
        </w:rPr>
        <w:t xml:space="preserve">a calendar </w:t>
      </w:r>
      <w:r w:rsidR="00185AB7">
        <w:rPr>
          <w:rFonts w:cstheme="minorHAnsi"/>
        </w:rPr>
        <w:t xml:space="preserve">shared with </w:t>
      </w:r>
      <w:r w:rsidRPr="00546B83">
        <w:rPr>
          <w:rFonts w:cstheme="minorHAnsi"/>
        </w:rPr>
        <w:t xml:space="preserve">members. </w:t>
      </w:r>
    </w:p>
    <w:p w14:paraId="0B3ED76B" w14:textId="1F9B0EDC" w:rsidR="00247548" w:rsidRPr="00546B83" w:rsidRDefault="00207086">
      <w:pPr>
        <w:spacing w:after="120"/>
        <w:rPr>
          <w:rFonts w:cstheme="minorHAnsi"/>
        </w:rPr>
      </w:pPr>
      <w:r>
        <w:rPr>
          <w:rFonts w:cstheme="minorHAnsi"/>
        </w:rPr>
        <w:t>N</w:t>
      </w:r>
      <w:r w:rsidR="001F07C9" w:rsidRPr="00546B83">
        <w:rPr>
          <w:rFonts w:cstheme="minorHAnsi"/>
        </w:rPr>
        <w:t xml:space="preserve">ecessary </w:t>
      </w:r>
      <w:r w:rsidR="00247548" w:rsidRPr="00546B83">
        <w:rPr>
          <w:rFonts w:cstheme="minorHAnsi"/>
        </w:rPr>
        <w:t xml:space="preserve">human and financial resources </w:t>
      </w:r>
      <w:r w:rsidR="001F07C9" w:rsidRPr="00546B83">
        <w:rPr>
          <w:rFonts w:cstheme="minorHAnsi"/>
        </w:rPr>
        <w:t xml:space="preserve">should </w:t>
      </w:r>
      <w:r w:rsidR="00247548" w:rsidRPr="00546B83">
        <w:rPr>
          <w:rFonts w:cstheme="minorHAnsi"/>
        </w:rPr>
        <w:t xml:space="preserve">be </w:t>
      </w:r>
      <w:r w:rsidR="00AE629C">
        <w:rPr>
          <w:rFonts w:cstheme="minorHAnsi"/>
        </w:rPr>
        <w:t xml:space="preserve">reviewed </w:t>
      </w:r>
      <w:r w:rsidR="00185AB7">
        <w:rPr>
          <w:rFonts w:cstheme="minorHAnsi"/>
        </w:rPr>
        <w:t xml:space="preserve">in view of </w:t>
      </w:r>
      <w:r w:rsidR="00247548" w:rsidRPr="00546B83">
        <w:rPr>
          <w:rFonts w:cstheme="minorHAnsi"/>
        </w:rPr>
        <w:t xml:space="preserve">the </w:t>
      </w:r>
      <w:r w:rsidR="00185AB7">
        <w:rPr>
          <w:rFonts w:cstheme="minorHAnsi"/>
        </w:rPr>
        <w:t>limited resources</w:t>
      </w:r>
      <w:r>
        <w:rPr>
          <w:rFonts w:cstheme="minorHAnsi"/>
        </w:rPr>
        <w:t xml:space="preserve"> available</w:t>
      </w:r>
      <w:r w:rsidR="00247548" w:rsidRPr="00546B83">
        <w:rPr>
          <w:rFonts w:cstheme="minorHAnsi"/>
        </w:rPr>
        <w:t>. In this regard, the financial procedures</w:t>
      </w:r>
      <w:r w:rsidR="00AE629C">
        <w:rPr>
          <w:rFonts w:cstheme="minorHAnsi"/>
        </w:rPr>
        <w:t>,</w:t>
      </w:r>
      <w:r w:rsidR="00247548" w:rsidRPr="00546B83">
        <w:rPr>
          <w:rFonts w:cstheme="minorHAnsi"/>
        </w:rPr>
        <w:t xml:space="preserve"> transfer </w:t>
      </w:r>
      <w:r w:rsidR="007E3823" w:rsidRPr="00546B83">
        <w:rPr>
          <w:rFonts w:cstheme="minorHAnsi"/>
        </w:rPr>
        <w:t xml:space="preserve">of </w:t>
      </w:r>
      <w:r w:rsidR="00247548" w:rsidRPr="00546B83">
        <w:rPr>
          <w:rFonts w:cstheme="minorHAnsi"/>
        </w:rPr>
        <w:t xml:space="preserve">funds </w:t>
      </w:r>
      <w:r w:rsidR="007E3823" w:rsidRPr="00546B83">
        <w:rPr>
          <w:rFonts w:cstheme="minorHAnsi"/>
        </w:rPr>
        <w:t xml:space="preserve">for </w:t>
      </w:r>
      <w:r w:rsidR="00247548" w:rsidRPr="00546B83">
        <w:rPr>
          <w:rFonts w:cstheme="minorHAnsi"/>
        </w:rPr>
        <w:t>specific projects in the region</w:t>
      </w:r>
      <w:r w:rsidR="00AE629C">
        <w:rPr>
          <w:rFonts w:cstheme="minorHAnsi"/>
        </w:rPr>
        <w:t>, and related controls should also be reviewed</w:t>
      </w:r>
      <w:r w:rsidR="00247548" w:rsidRPr="00546B83">
        <w:rPr>
          <w:rFonts w:cstheme="minorHAnsi"/>
        </w:rPr>
        <w:t>.</w:t>
      </w:r>
    </w:p>
    <w:p w14:paraId="5AC93FE6" w14:textId="1A95C78B" w:rsidR="00247548" w:rsidRPr="00546B83" w:rsidRDefault="00C30C93" w:rsidP="00E16FDE">
      <w:pPr>
        <w:spacing w:after="120"/>
        <w:rPr>
          <w:rFonts w:cstheme="minorHAnsi"/>
        </w:rPr>
      </w:pPr>
      <w:r w:rsidRPr="00546B83">
        <w:rPr>
          <w:rStyle w:val="Hyperlink"/>
          <w:color w:val="auto"/>
          <w:szCs w:val="24"/>
          <w:u w:val="none"/>
          <w:lang w:val="en-US"/>
        </w:rPr>
        <w:t xml:space="preserve">The need to ensure that regional and area offices possess the right skill sets in order to be able to provide direct assistance to members was also stressed. </w:t>
      </w:r>
      <w:r w:rsidR="00CB6410" w:rsidRPr="00546B83">
        <w:rPr>
          <w:rStyle w:val="Hyperlink"/>
          <w:color w:val="auto"/>
          <w:szCs w:val="24"/>
          <w:u w:val="none"/>
          <w:lang w:val="en-US"/>
        </w:rPr>
        <w:t>Bringing the work of the study groups close</w:t>
      </w:r>
      <w:r w:rsidR="00E16FDE">
        <w:rPr>
          <w:rStyle w:val="Hyperlink"/>
          <w:color w:val="auto"/>
          <w:szCs w:val="24"/>
          <w:u w:val="none"/>
          <w:lang w:val="en-US"/>
        </w:rPr>
        <w:t>r</w:t>
      </w:r>
      <w:r w:rsidR="00CB6410" w:rsidRPr="00546B83">
        <w:rPr>
          <w:rStyle w:val="Hyperlink"/>
          <w:color w:val="auto"/>
          <w:szCs w:val="24"/>
          <w:u w:val="none"/>
          <w:lang w:val="en-US"/>
        </w:rPr>
        <w:t xml:space="preserve"> to the countries was also noted.</w:t>
      </w:r>
      <w:r w:rsidR="00247548" w:rsidRPr="00546B83">
        <w:rPr>
          <w:rFonts w:cstheme="minorHAnsi"/>
        </w:rPr>
        <w:t xml:space="preserve"> Capacity building for field office staff should be conducted.</w:t>
      </w:r>
      <w:r w:rsidR="00BE016B" w:rsidRPr="00546B83">
        <w:rPr>
          <w:rFonts w:cstheme="minorHAnsi"/>
        </w:rPr>
        <w:t xml:space="preserve"> </w:t>
      </w:r>
    </w:p>
    <w:p w14:paraId="75A54420" w14:textId="17B5634C" w:rsidR="00247548" w:rsidRPr="006510BD" w:rsidRDefault="00E16FDE" w:rsidP="00E16FDE">
      <w:pPr>
        <w:spacing w:after="120"/>
        <w:rPr>
          <w:rFonts w:cstheme="minorHAnsi"/>
        </w:rPr>
      </w:pPr>
      <w:r>
        <w:rPr>
          <w:rFonts w:cstheme="minorHAnsi"/>
        </w:rPr>
        <w:t>Participants</w:t>
      </w:r>
      <w:r w:rsidR="00247548" w:rsidRPr="006510BD">
        <w:rPr>
          <w:rFonts w:cstheme="minorHAnsi"/>
        </w:rPr>
        <w:t xml:space="preserve"> discussed the need to strengthen collaboration </w:t>
      </w:r>
      <w:r w:rsidR="00513D0F">
        <w:rPr>
          <w:rFonts w:cstheme="minorHAnsi"/>
        </w:rPr>
        <w:t xml:space="preserve">and synergies </w:t>
      </w:r>
      <w:r w:rsidR="00247548" w:rsidRPr="006510BD">
        <w:rPr>
          <w:rFonts w:cstheme="minorHAnsi"/>
        </w:rPr>
        <w:t>between the regional</w:t>
      </w:r>
      <w:r w:rsidR="00247548">
        <w:rPr>
          <w:rFonts w:cstheme="minorHAnsi"/>
        </w:rPr>
        <w:t xml:space="preserve"> and </w:t>
      </w:r>
      <w:r w:rsidR="00247548" w:rsidRPr="006510BD">
        <w:rPr>
          <w:rFonts w:cstheme="minorHAnsi"/>
        </w:rPr>
        <w:t>area offices</w:t>
      </w:r>
      <w:r w:rsidR="00247548">
        <w:rPr>
          <w:rFonts w:cstheme="minorHAnsi"/>
        </w:rPr>
        <w:t>,</w:t>
      </w:r>
      <w:r w:rsidR="00247548" w:rsidRPr="006510BD">
        <w:rPr>
          <w:rFonts w:cstheme="minorHAnsi"/>
        </w:rPr>
        <w:t xml:space="preserve"> and other </w:t>
      </w:r>
      <w:r>
        <w:rPr>
          <w:rFonts w:cstheme="minorHAnsi"/>
        </w:rPr>
        <w:t>ITU S</w:t>
      </w:r>
      <w:r w:rsidR="00247548" w:rsidRPr="006510BD">
        <w:rPr>
          <w:rFonts w:cstheme="minorHAnsi"/>
        </w:rPr>
        <w:t xml:space="preserve">ectors. To that end, the roles </w:t>
      </w:r>
      <w:r w:rsidR="00C30C93">
        <w:rPr>
          <w:rFonts w:cstheme="minorHAnsi"/>
        </w:rPr>
        <w:t xml:space="preserve">and relationships </w:t>
      </w:r>
      <w:r w:rsidR="00247548" w:rsidRPr="006510BD">
        <w:rPr>
          <w:rFonts w:cstheme="minorHAnsi"/>
        </w:rPr>
        <w:t>concer</w:t>
      </w:r>
      <w:r w:rsidR="00247548">
        <w:rPr>
          <w:rFonts w:cstheme="minorHAnsi"/>
        </w:rPr>
        <w:t>n</w:t>
      </w:r>
      <w:r w:rsidR="00247548" w:rsidRPr="006510BD">
        <w:rPr>
          <w:rFonts w:cstheme="minorHAnsi"/>
        </w:rPr>
        <w:t xml:space="preserve">ing cooperation between </w:t>
      </w:r>
      <w:r>
        <w:rPr>
          <w:rFonts w:cstheme="minorHAnsi"/>
        </w:rPr>
        <w:t>S</w:t>
      </w:r>
      <w:r w:rsidR="00247548" w:rsidRPr="006510BD">
        <w:rPr>
          <w:rFonts w:cstheme="minorHAnsi"/>
        </w:rPr>
        <w:t xml:space="preserve">ectors and field offices </w:t>
      </w:r>
      <w:r w:rsidR="00972550">
        <w:rPr>
          <w:rFonts w:cstheme="minorHAnsi"/>
        </w:rPr>
        <w:t xml:space="preserve">should </w:t>
      </w:r>
      <w:r w:rsidR="00247548" w:rsidRPr="006510BD">
        <w:rPr>
          <w:rFonts w:cstheme="minorHAnsi"/>
        </w:rPr>
        <w:t xml:space="preserve">be </w:t>
      </w:r>
      <w:r w:rsidR="00513D0F">
        <w:rPr>
          <w:rFonts w:cstheme="minorHAnsi"/>
        </w:rPr>
        <w:t xml:space="preserve">further </w:t>
      </w:r>
      <w:r w:rsidR="00247548" w:rsidRPr="006510BD">
        <w:rPr>
          <w:rFonts w:cstheme="minorHAnsi"/>
        </w:rPr>
        <w:t>clarified.</w:t>
      </w:r>
    </w:p>
    <w:p w14:paraId="60337D34" w14:textId="24AF191A" w:rsidR="00247548" w:rsidRPr="006510BD" w:rsidRDefault="00E16FDE" w:rsidP="00E16FDE">
      <w:pPr>
        <w:spacing w:after="120"/>
        <w:rPr>
          <w:rFonts w:cstheme="minorHAnsi"/>
        </w:rPr>
      </w:pPr>
      <w:r>
        <w:rPr>
          <w:rFonts w:cstheme="minorHAnsi"/>
        </w:rPr>
        <w:t>Participants</w:t>
      </w:r>
      <w:r w:rsidR="00247548" w:rsidRPr="006510BD">
        <w:rPr>
          <w:rFonts w:cstheme="minorHAnsi"/>
        </w:rPr>
        <w:t xml:space="preserve"> </w:t>
      </w:r>
      <w:r w:rsidR="00C31722">
        <w:rPr>
          <w:rFonts w:cstheme="minorHAnsi"/>
        </w:rPr>
        <w:t xml:space="preserve">also </w:t>
      </w:r>
      <w:r w:rsidR="00247548" w:rsidRPr="006510BD">
        <w:rPr>
          <w:rFonts w:cstheme="minorHAnsi"/>
        </w:rPr>
        <w:t xml:space="preserve">emphasized the need to comply with Joint Inspection Unit recommendations. </w:t>
      </w:r>
    </w:p>
    <w:p w14:paraId="4B5963A5" w14:textId="2AD80708" w:rsidR="00247548" w:rsidRPr="006510BD" w:rsidRDefault="00C27497" w:rsidP="00810998">
      <w:pPr>
        <w:keepNext/>
        <w:spacing w:before="240" w:after="120"/>
        <w:ind w:left="425" w:hanging="425"/>
        <w:rPr>
          <w:rFonts w:cstheme="minorHAnsi"/>
          <w:b/>
          <w:bCs/>
        </w:rPr>
      </w:pPr>
      <w:r>
        <w:rPr>
          <w:rFonts w:cstheme="minorHAnsi"/>
          <w:b/>
          <w:bCs/>
        </w:rPr>
        <w:t>1.3</w:t>
      </w:r>
      <w:r>
        <w:rPr>
          <w:rFonts w:cstheme="minorHAnsi"/>
          <w:b/>
          <w:bCs/>
        </w:rPr>
        <w:tab/>
      </w:r>
      <w:r w:rsidR="00247548" w:rsidRPr="006510BD">
        <w:rPr>
          <w:rFonts w:cstheme="minorHAnsi"/>
          <w:b/>
          <w:bCs/>
        </w:rPr>
        <w:t xml:space="preserve">WTDC preparatory process and format </w:t>
      </w:r>
    </w:p>
    <w:p w14:paraId="3F5084DD" w14:textId="77777777" w:rsidR="00247548" w:rsidRPr="006510BD" w:rsidRDefault="00247548" w:rsidP="00247548">
      <w:pPr>
        <w:spacing w:after="120"/>
        <w:rPr>
          <w:rFonts w:cstheme="minorHAnsi"/>
        </w:rPr>
      </w:pPr>
      <w:r w:rsidRPr="006510BD">
        <w:rPr>
          <w:rFonts w:cstheme="minorHAnsi"/>
        </w:rPr>
        <w:t xml:space="preserve">Policy statements, regional preparatory meetings, inter-regional meetings, WTDC </w:t>
      </w:r>
      <w:r>
        <w:rPr>
          <w:rFonts w:cstheme="minorHAnsi"/>
        </w:rPr>
        <w:t>c</w:t>
      </w:r>
      <w:r w:rsidRPr="006510BD">
        <w:rPr>
          <w:rFonts w:cstheme="minorHAnsi"/>
        </w:rPr>
        <w:t>ommittees, other stakeholders, and regional initiatives.</w:t>
      </w:r>
    </w:p>
    <w:p w14:paraId="7D5C4E17" w14:textId="72860A54" w:rsidR="00D42557" w:rsidRDefault="00247548" w:rsidP="00D42557">
      <w:pPr>
        <w:rPr>
          <w:lang w:val="en-US"/>
        </w:rPr>
      </w:pPr>
      <w:r w:rsidRPr="006510BD">
        <w:rPr>
          <w:rFonts w:cstheme="minorHAnsi"/>
        </w:rPr>
        <w:t xml:space="preserve">Participants </w:t>
      </w:r>
      <w:r w:rsidR="00D42557" w:rsidRPr="00B146E7">
        <w:rPr>
          <w:lang w:val="en-US"/>
        </w:rPr>
        <w:t xml:space="preserve">highlighted that </w:t>
      </w:r>
      <w:r w:rsidR="00D42557">
        <w:rPr>
          <w:lang w:val="en-US"/>
        </w:rPr>
        <w:t>during the previous WTDC</w:t>
      </w:r>
      <w:r w:rsidR="002672C2">
        <w:rPr>
          <w:lang w:val="en-US"/>
        </w:rPr>
        <w:t>,</w:t>
      </w:r>
      <w:r w:rsidR="00D42557">
        <w:rPr>
          <w:lang w:val="en-US"/>
        </w:rPr>
        <w:t xml:space="preserve"> </w:t>
      </w:r>
      <w:r w:rsidR="00D42557" w:rsidRPr="00B146E7">
        <w:rPr>
          <w:lang w:val="en-US"/>
        </w:rPr>
        <w:t xml:space="preserve">the first three days were </w:t>
      </w:r>
      <w:r w:rsidR="00D42557">
        <w:rPr>
          <w:lang w:val="en-US"/>
        </w:rPr>
        <w:t xml:space="preserve">largely </w:t>
      </w:r>
      <w:r w:rsidR="00D42557" w:rsidRPr="00B146E7">
        <w:rPr>
          <w:lang w:val="en-US"/>
        </w:rPr>
        <w:t xml:space="preserve">spent on policy statements. </w:t>
      </w:r>
      <w:r w:rsidR="00D42557">
        <w:rPr>
          <w:lang w:val="en-US"/>
        </w:rPr>
        <w:t xml:space="preserve">It was emphasized based on the experience of the last Plenipotentiary Conference that committees should start their meetings as soon as possible and preferably from day one of the conference, the policy statements could run in parallel with committee meetings. It was further suggested to consider </w:t>
      </w:r>
      <w:r w:rsidR="00D42557" w:rsidRPr="00B146E7">
        <w:rPr>
          <w:lang w:val="en-US"/>
        </w:rPr>
        <w:t>organiz</w:t>
      </w:r>
      <w:r w:rsidR="00D42557">
        <w:rPr>
          <w:lang w:val="en-US"/>
        </w:rPr>
        <w:t>ing</w:t>
      </w:r>
      <w:r w:rsidR="00D42557" w:rsidRPr="00B146E7">
        <w:rPr>
          <w:lang w:val="en-US"/>
        </w:rPr>
        <w:t xml:space="preserve"> </w:t>
      </w:r>
      <w:r w:rsidR="00D42557">
        <w:rPr>
          <w:lang w:val="en-US"/>
        </w:rPr>
        <w:t>dialogue sessions/</w:t>
      </w:r>
      <w:r w:rsidR="00D42557" w:rsidRPr="00B146E7">
        <w:rPr>
          <w:lang w:val="en-US"/>
        </w:rPr>
        <w:t xml:space="preserve">round tables one day </w:t>
      </w:r>
      <w:r w:rsidR="00D42557">
        <w:rPr>
          <w:lang w:val="en-US"/>
        </w:rPr>
        <w:t xml:space="preserve">prior to </w:t>
      </w:r>
      <w:r w:rsidR="00D42557" w:rsidRPr="00B146E7">
        <w:rPr>
          <w:lang w:val="en-US"/>
        </w:rPr>
        <w:t xml:space="preserve">WTDC </w:t>
      </w:r>
      <w:r w:rsidR="00D42557">
        <w:rPr>
          <w:lang w:val="en-US"/>
        </w:rPr>
        <w:t xml:space="preserve">opening. </w:t>
      </w:r>
    </w:p>
    <w:p w14:paraId="592CC70F" w14:textId="6C62C0A7" w:rsidR="00D42557" w:rsidRDefault="00D42557" w:rsidP="002672C2">
      <w:pPr>
        <w:rPr>
          <w:lang w:val="en-US"/>
        </w:rPr>
      </w:pPr>
      <w:r w:rsidRPr="00B146E7">
        <w:rPr>
          <w:lang w:val="en-US"/>
        </w:rPr>
        <w:t xml:space="preserve">The discussions on </w:t>
      </w:r>
      <w:r>
        <w:rPr>
          <w:lang w:val="en-US"/>
        </w:rPr>
        <w:t>regional preparatory meetings</w:t>
      </w:r>
      <w:r w:rsidRPr="00B146E7">
        <w:rPr>
          <w:lang w:val="en-US"/>
        </w:rPr>
        <w:t xml:space="preserve"> </w:t>
      </w:r>
      <w:r>
        <w:rPr>
          <w:lang w:val="en-US"/>
        </w:rPr>
        <w:t xml:space="preserve">(RPMs) were </w:t>
      </w:r>
      <w:r w:rsidRPr="00B146E7">
        <w:rPr>
          <w:lang w:val="en-US"/>
        </w:rPr>
        <w:t xml:space="preserve">focused on </w:t>
      </w:r>
      <w:r>
        <w:rPr>
          <w:lang w:val="en-US"/>
        </w:rPr>
        <w:t xml:space="preserve">how </w:t>
      </w:r>
      <w:r w:rsidRPr="00B146E7">
        <w:rPr>
          <w:lang w:val="en-US"/>
        </w:rPr>
        <w:t xml:space="preserve">these meetings </w:t>
      </w:r>
      <w:r>
        <w:rPr>
          <w:lang w:val="en-US"/>
        </w:rPr>
        <w:t xml:space="preserve">could become more effective. There </w:t>
      </w:r>
      <w:r w:rsidRPr="00B146E7">
        <w:rPr>
          <w:lang w:val="en-US"/>
        </w:rPr>
        <w:t xml:space="preserve">was general agreement </w:t>
      </w:r>
      <w:r>
        <w:rPr>
          <w:lang w:val="en-US"/>
        </w:rPr>
        <w:t xml:space="preserve">that RPMs should be held </w:t>
      </w:r>
      <w:r w:rsidRPr="00B146E7">
        <w:rPr>
          <w:lang w:val="en-US"/>
        </w:rPr>
        <w:t xml:space="preserve">back-to-back </w:t>
      </w:r>
      <w:r>
        <w:rPr>
          <w:lang w:val="en-US"/>
        </w:rPr>
        <w:t xml:space="preserve">or together </w:t>
      </w:r>
      <w:r w:rsidRPr="00B146E7">
        <w:rPr>
          <w:lang w:val="en-US"/>
        </w:rPr>
        <w:t>with other preparatory meetings</w:t>
      </w:r>
      <w:r>
        <w:rPr>
          <w:lang w:val="en-US"/>
        </w:rPr>
        <w:t xml:space="preserve"> organized </w:t>
      </w:r>
      <w:r w:rsidRPr="00B146E7">
        <w:rPr>
          <w:lang w:val="en-US"/>
        </w:rPr>
        <w:t>by regional organizations.</w:t>
      </w:r>
      <w:r>
        <w:rPr>
          <w:lang w:val="en-US"/>
        </w:rPr>
        <w:t xml:space="preserve"> The group discussed as well that organizing informal i</w:t>
      </w:r>
      <w:r w:rsidRPr="00B146E7">
        <w:rPr>
          <w:lang w:val="en-US"/>
        </w:rPr>
        <w:t>nter-regional meetings</w:t>
      </w:r>
      <w:r>
        <w:rPr>
          <w:lang w:val="en-US"/>
        </w:rPr>
        <w:t xml:space="preserve"> </w:t>
      </w:r>
      <w:r>
        <w:t>could also facilitate discussion during WTDC, and suggested that this meeting(s) can be</w:t>
      </w:r>
      <w:r w:rsidRPr="00922801">
        <w:t xml:space="preserve"> scheduled one day before the last TDAG prior to WTDC</w:t>
      </w:r>
      <w:r>
        <w:rPr>
          <w:lang w:val="en-US"/>
        </w:rPr>
        <w:t>.</w:t>
      </w:r>
      <w:r w:rsidRPr="00B146E7">
        <w:rPr>
          <w:lang w:val="en-US"/>
        </w:rPr>
        <w:t xml:space="preserve"> </w:t>
      </w:r>
    </w:p>
    <w:p w14:paraId="25DD6A49" w14:textId="04C291F0" w:rsidR="00D42557" w:rsidRPr="00B146E7" w:rsidRDefault="00D42557" w:rsidP="00D42557">
      <w:pPr>
        <w:rPr>
          <w:lang w:val="en-US"/>
        </w:rPr>
      </w:pPr>
      <w:r>
        <w:rPr>
          <w:lang w:val="en-US"/>
        </w:rPr>
        <w:t xml:space="preserve">It was highlighted that there is a </w:t>
      </w:r>
      <w:r w:rsidRPr="00B146E7">
        <w:rPr>
          <w:lang w:val="en-US"/>
        </w:rPr>
        <w:t xml:space="preserve">need to balance the work between committees </w:t>
      </w:r>
      <w:r>
        <w:rPr>
          <w:lang w:val="en-US"/>
        </w:rPr>
        <w:t xml:space="preserve">(in particular committees </w:t>
      </w:r>
      <w:r w:rsidRPr="00B146E7">
        <w:rPr>
          <w:lang w:val="en-US"/>
        </w:rPr>
        <w:t>3 and 4</w:t>
      </w:r>
      <w:r>
        <w:rPr>
          <w:lang w:val="en-US"/>
        </w:rPr>
        <w:t>), and also run committees in parallel as necessary</w:t>
      </w:r>
      <w:r w:rsidRPr="00B146E7">
        <w:rPr>
          <w:lang w:val="en-US"/>
        </w:rPr>
        <w:t xml:space="preserve">. </w:t>
      </w:r>
      <w:r>
        <w:rPr>
          <w:lang w:val="en-US"/>
        </w:rPr>
        <w:t xml:space="preserve">It was also suggested </w:t>
      </w:r>
      <w:r w:rsidRPr="00B146E7">
        <w:rPr>
          <w:lang w:val="en-US"/>
        </w:rPr>
        <w:t xml:space="preserve">to engage </w:t>
      </w:r>
      <w:r>
        <w:rPr>
          <w:lang w:val="en-US"/>
        </w:rPr>
        <w:t xml:space="preserve">more closely with </w:t>
      </w:r>
      <w:r w:rsidRPr="00B146E7">
        <w:rPr>
          <w:lang w:val="en-US"/>
        </w:rPr>
        <w:t>other stakeholders, including academia and NGOs in the preparat</w:t>
      </w:r>
      <w:r>
        <w:rPr>
          <w:lang w:val="en-US"/>
        </w:rPr>
        <w:t>ory</w:t>
      </w:r>
      <w:r w:rsidRPr="00B146E7">
        <w:rPr>
          <w:lang w:val="en-US"/>
        </w:rPr>
        <w:t xml:space="preserve"> </w:t>
      </w:r>
      <w:r>
        <w:rPr>
          <w:lang w:val="en-US"/>
        </w:rPr>
        <w:t>process</w:t>
      </w:r>
      <w:r w:rsidRPr="00B146E7">
        <w:rPr>
          <w:lang w:val="en-US"/>
        </w:rPr>
        <w:t xml:space="preserve">. </w:t>
      </w:r>
    </w:p>
    <w:p w14:paraId="3A433236" w14:textId="391D3C0D" w:rsidR="00D42557" w:rsidRPr="006510BD" w:rsidRDefault="00D42557">
      <w:pPr>
        <w:spacing w:after="120"/>
        <w:rPr>
          <w:rFonts w:cstheme="minorHAnsi"/>
        </w:rPr>
      </w:pPr>
      <w:r>
        <w:rPr>
          <w:lang w:val="en-US"/>
        </w:rPr>
        <w:lastRenderedPageBreak/>
        <w:t xml:space="preserve">The need to have a full understanding of </w:t>
      </w:r>
      <w:r w:rsidRPr="00B146E7">
        <w:rPr>
          <w:lang w:val="en-US"/>
        </w:rPr>
        <w:t xml:space="preserve">the financial implications of </w:t>
      </w:r>
      <w:r>
        <w:rPr>
          <w:lang w:val="en-US"/>
        </w:rPr>
        <w:t xml:space="preserve">conference </w:t>
      </w:r>
      <w:r w:rsidRPr="00B146E7">
        <w:rPr>
          <w:lang w:val="en-US"/>
        </w:rPr>
        <w:t>propos</w:t>
      </w:r>
      <w:r w:rsidR="00897E2C">
        <w:rPr>
          <w:lang w:val="en-US"/>
        </w:rPr>
        <w:t>als</w:t>
      </w:r>
      <w:r>
        <w:rPr>
          <w:lang w:val="en-US"/>
        </w:rPr>
        <w:t>,</w:t>
      </w:r>
      <w:r w:rsidRPr="00B146E7">
        <w:rPr>
          <w:lang w:val="en-US"/>
        </w:rPr>
        <w:t xml:space="preserve"> </w:t>
      </w:r>
      <w:r>
        <w:rPr>
          <w:lang w:val="en-US"/>
        </w:rPr>
        <w:t xml:space="preserve">including the </w:t>
      </w:r>
      <w:r w:rsidRPr="00B146E7">
        <w:rPr>
          <w:lang w:val="en-US"/>
        </w:rPr>
        <w:t xml:space="preserve">regional initiatives, </w:t>
      </w:r>
      <w:r>
        <w:rPr>
          <w:lang w:val="en-US"/>
        </w:rPr>
        <w:t>prior to their adoption was stressed</w:t>
      </w:r>
      <w:r w:rsidRPr="00B146E7">
        <w:rPr>
          <w:lang w:val="en-US"/>
        </w:rPr>
        <w:t>.</w:t>
      </w:r>
    </w:p>
    <w:p w14:paraId="2E48B98C" w14:textId="09A6D1A1" w:rsidR="00247548" w:rsidRPr="006510BD" w:rsidRDefault="00C27497" w:rsidP="00810998">
      <w:pPr>
        <w:keepNext/>
        <w:spacing w:before="240" w:after="120"/>
        <w:ind w:left="425" w:hanging="425"/>
        <w:rPr>
          <w:rFonts w:cstheme="minorHAnsi"/>
          <w:b/>
          <w:lang w:val="en-US"/>
        </w:rPr>
      </w:pPr>
      <w:r>
        <w:rPr>
          <w:rFonts w:cstheme="minorHAnsi"/>
          <w:b/>
          <w:lang w:val="en-US"/>
        </w:rPr>
        <w:t>1.4</w:t>
      </w:r>
      <w:r>
        <w:rPr>
          <w:rFonts w:cstheme="minorHAnsi"/>
          <w:b/>
          <w:lang w:val="en-US"/>
        </w:rPr>
        <w:tab/>
      </w:r>
      <w:r w:rsidR="00247548" w:rsidRPr="006510BD">
        <w:rPr>
          <w:rFonts w:cstheme="minorHAnsi"/>
          <w:b/>
          <w:lang w:val="en-US"/>
        </w:rPr>
        <w:t xml:space="preserve">ITU-D study groups - increasing efficiency </w:t>
      </w:r>
    </w:p>
    <w:p w14:paraId="370301AF" w14:textId="77777777" w:rsidR="00247548" w:rsidRPr="006510BD" w:rsidRDefault="00247548" w:rsidP="00247548">
      <w:pPr>
        <w:keepNext/>
        <w:spacing w:after="120"/>
        <w:rPr>
          <w:rFonts w:cstheme="minorHAnsi"/>
          <w:b/>
          <w:lang w:val="en-US"/>
        </w:rPr>
      </w:pPr>
      <w:r w:rsidRPr="006510BD">
        <w:rPr>
          <w:rFonts w:cstheme="minorHAnsi"/>
          <w:b/>
          <w:lang w:val="en-US"/>
        </w:rPr>
        <w:t>Key takeaways:</w:t>
      </w:r>
    </w:p>
    <w:p w14:paraId="0964578A" w14:textId="77777777"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b/>
          <w:bCs/>
          <w:lang w:val="en-US"/>
        </w:rPr>
        <w:t>In-depth discussions in ITU-D study groups could be facilitated</w:t>
      </w:r>
      <w:r w:rsidRPr="006510BD">
        <w:rPr>
          <w:rFonts w:cstheme="minorHAnsi"/>
          <w:lang w:val="en-US"/>
        </w:rPr>
        <w:t xml:space="preserve"> by ensuring the participation of experts and providing stakeholders with opportunities to exchange experiences </w:t>
      </w:r>
      <w:r w:rsidRPr="00184D22">
        <w:rPr>
          <w:rFonts w:cstheme="minorHAnsi"/>
          <w:lang w:val="en-US"/>
        </w:rPr>
        <w:t>(1-1</w:t>
      </w:r>
      <w:r w:rsidRPr="006510BD">
        <w:rPr>
          <w:rFonts w:cstheme="minorHAnsi"/>
          <w:lang w:val="en-US"/>
        </w:rPr>
        <w:t xml:space="preserve"> matchmaking, online collaboration and exchange, etc.), in addition to the formal study group settings.</w:t>
      </w:r>
    </w:p>
    <w:p w14:paraId="697F0F1D" w14:textId="77777777"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lang w:val="en-US"/>
        </w:rPr>
        <w:t xml:space="preserve">While the content of the deliverables was satisfactory overall, further efforts are needed to </w:t>
      </w:r>
      <w:r w:rsidRPr="006510BD">
        <w:rPr>
          <w:rFonts w:cstheme="minorHAnsi"/>
          <w:b/>
          <w:bCs/>
          <w:lang w:val="en-US"/>
        </w:rPr>
        <w:t>raise awareness, present and share</w:t>
      </w:r>
      <w:r w:rsidRPr="006510BD">
        <w:rPr>
          <w:rFonts w:cstheme="minorHAnsi"/>
          <w:lang w:val="en-US"/>
        </w:rPr>
        <w:t xml:space="preserve"> such reports and guidelines. Consolidated topical reports and the revision of existing reports to ensure that they reflect the changing digital environment was encouraged.</w:t>
      </w:r>
    </w:p>
    <w:p w14:paraId="4A73BE66" w14:textId="77777777"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lang w:val="en-US"/>
        </w:rPr>
        <w:t xml:space="preserve">Countries in particular regions would further benefit from </w:t>
      </w:r>
      <w:r w:rsidRPr="006510BD">
        <w:rPr>
          <w:rFonts w:cstheme="minorHAnsi"/>
          <w:b/>
          <w:bCs/>
          <w:lang w:val="en-US"/>
        </w:rPr>
        <w:t xml:space="preserve">deliverables that are customized to </w:t>
      </w:r>
      <w:r>
        <w:rPr>
          <w:rFonts w:cstheme="minorHAnsi"/>
          <w:b/>
          <w:bCs/>
          <w:lang w:val="en-US"/>
        </w:rPr>
        <w:t xml:space="preserve">the </w:t>
      </w:r>
      <w:r w:rsidRPr="006510BD">
        <w:rPr>
          <w:rFonts w:cstheme="minorHAnsi"/>
          <w:b/>
          <w:bCs/>
          <w:lang w:val="en-US"/>
        </w:rPr>
        <w:t>specific needs of the regions.</w:t>
      </w:r>
      <w:r w:rsidRPr="006510BD">
        <w:rPr>
          <w:rFonts w:cstheme="minorHAnsi"/>
          <w:lang w:val="en-US"/>
        </w:rPr>
        <w:t xml:space="preserve"> Such a regional focus and additional in-depth input from the countries could be achieved through closer collaboration with regional and area offices.</w:t>
      </w:r>
    </w:p>
    <w:p w14:paraId="555C3A5A" w14:textId="77777777" w:rsidR="00247548" w:rsidRPr="006510BD" w:rsidRDefault="00247548" w:rsidP="00247548">
      <w:pPr>
        <w:keepNext/>
        <w:spacing w:after="120"/>
        <w:rPr>
          <w:rFonts w:cstheme="minorHAnsi"/>
          <w:b/>
          <w:lang w:val="en-US"/>
        </w:rPr>
      </w:pPr>
      <w:r w:rsidRPr="006510BD">
        <w:rPr>
          <w:rFonts w:cstheme="minorHAnsi"/>
          <w:b/>
          <w:lang w:val="en-US"/>
        </w:rPr>
        <w:t>Discussion summary:</w:t>
      </w:r>
    </w:p>
    <w:p w14:paraId="4E376CBB" w14:textId="77777777" w:rsidR="00247548" w:rsidRPr="006510BD" w:rsidRDefault="00247548" w:rsidP="00247548">
      <w:pPr>
        <w:pStyle w:val="ListParagraph"/>
        <w:numPr>
          <w:ilvl w:val="0"/>
          <w:numId w:val="14"/>
        </w:numPr>
        <w:tabs>
          <w:tab w:val="clear" w:pos="1134"/>
          <w:tab w:val="clear" w:pos="1871"/>
          <w:tab w:val="clear" w:pos="2268"/>
        </w:tabs>
        <w:overflowPunct/>
        <w:autoSpaceDE/>
        <w:autoSpaceDN/>
        <w:adjustRightInd/>
        <w:spacing w:after="120"/>
        <w:ind w:left="357" w:hanging="357"/>
        <w:textAlignment w:val="auto"/>
        <w:rPr>
          <w:rFonts w:cstheme="minorHAnsi"/>
        </w:rPr>
      </w:pPr>
      <w:r w:rsidRPr="006510BD">
        <w:rPr>
          <w:rFonts w:cstheme="minorHAnsi"/>
        </w:rPr>
        <w:t xml:space="preserve">Regarding possible improvements to </w:t>
      </w:r>
      <w:r w:rsidRPr="006510BD">
        <w:rPr>
          <w:rFonts w:cstheme="minorHAnsi"/>
          <w:b/>
          <w:bCs/>
        </w:rPr>
        <w:t>ITU-D study groups as exchange platforms</w:t>
      </w:r>
      <w:r w:rsidRPr="006510BD">
        <w:rPr>
          <w:rFonts w:cstheme="minorHAnsi"/>
        </w:rPr>
        <w:t>, the following points were raised:</w:t>
      </w:r>
    </w:p>
    <w:p w14:paraId="3F531A33" w14:textId="2E0553E7" w:rsidR="00247548" w:rsidRPr="006510BD" w:rsidRDefault="00247548" w:rsidP="002672C2">
      <w:pPr>
        <w:pStyle w:val="ListParagraph"/>
        <w:numPr>
          <w:ilvl w:val="0"/>
          <w:numId w:val="12"/>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 xml:space="preserve">Ensure a </w:t>
      </w:r>
      <w:r w:rsidRPr="006510BD">
        <w:rPr>
          <w:rFonts w:cstheme="minorHAnsi"/>
          <w:b/>
          <w:bCs/>
        </w:rPr>
        <w:t xml:space="preserve">more flexible </w:t>
      </w:r>
      <w:r w:rsidRPr="006510BD">
        <w:rPr>
          <w:rFonts w:cstheme="minorHAnsi"/>
          <w:b/>
          <w:bCs/>
          <w:lang w:val="en-US"/>
        </w:rPr>
        <w:t xml:space="preserve">work structure and </w:t>
      </w:r>
      <w:r w:rsidRPr="006510BD">
        <w:rPr>
          <w:rFonts w:cstheme="minorHAnsi"/>
          <w:b/>
          <w:bCs/>
        </w:rPr>
        <w:t>time management plan</w:t>
      </w:r>
      <w:r w:rsidRPr="006510BD">
        <w:rPr>
          <w:rFonts w:cstheme="minorHAnsi"/>
        </w:rPr>
        <w:t xml:space="preserve"> by allocating time to each </w:t>
      </w:r>
      <w:r w:rsidR="002672C2">
        <w:rPr>
          <w:rFonts w:cstheme="minorHAnsi"/>
        </w:rPr>
        <w:t>r</w:t>
      </w:r>
      <w:r w:rsidRPr="006510BD">
        <w:rPr>
          <w:rFonts w:cstheme="minorHAnsi"/>
        </w:rPr>
        <w:t xml:space="preserve">apporteur </w:t>
      </w:r>
      <w:r w:rsidR="002672C2">
        <w:rPr>
          <w:rFonts w:cstheme="minorHAnsi"/>
        </w:rPr>
        <w:t>g</w:t>
      </w:r>
      <w:r w:rsidRPr="006510BD">
        <w:rPr>
          <w:rFonts w:cstheme="minorHAnsi"/>
        </w:rPr>
        <w:t>roup in proportion to the number of contributions received for consideration. This would require a flexible time management plan that is fixed when the contribution deadline is</w:t>
      </w:r>
      <w:r>
        <w:rPr>
          <w:rFonts w:cstheme="minorHAnsi"/>
        </w:rPr>
        <w:t xml:space="preserve"> </w:t>
      </w:r>
      <w:r w:rsidRPr="006510BD">
        <w:rPr>
          <w:rFonts w:cstheme="minorHAnsi"/>
        </w:rPr>
        <w:t>reached. At the same, changing the time management plan too close to the meeting should be avoided to allow members to plan their participation relating to specific Questions of interest</w:t>
      </w:r>
      <w:r w:rsidRPr="006510BD">
        <w:rPr>
          <w:rFonts w:cstheme="minorHAnsi"/>
          <w:lang w:val="en-US"/>
        </w:rPr>
        <w:t>.</w:t>
      </w:r>
      <w:r>
        <w:rPr>
          <w:rFonts w:cstheme="minorHAnsi"/>
          <w:lang w:val="en-US"/>
        </w:rPr>
        <w:t xml:space="preserve"> </w:t>
      </w:r>
      <w:r w:rsidRPr="006510BD">
        <w:rPr>
          <w:rFonts w:cstheme="minorHAnsi"/>
          <w:lang w:val="en-US"/>
        </w:rPr>
        <w:t>Extending the deadline from 12 days to around 30 days may therefore be required</w:t>
      </w:r>
      <w:r w:rsidR="002672C2">
        <w:rPr>
          <w:rFonts w:cstheme="minorHAnsi"/>
        </w:rPr>
        <w:t>.</w:t>
      </w:r>
    </w:p>
    <w:p w14:paraId="7220EF51" w14:textId="1D70929F" w:rsidR="00247548" w:rsidRPr="006510BD" w:rsidRDefault="00247548" w:rsidP="00247548">
      <w:pPr>
        <w:pStyle w:val="ListParagraph"/>
        <w:numPr>
          <w:ilvl w:val="0"/>
          <w:numId w:val="12"/>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 xml:space="preserve">Encourage </w:t>
      </w:r>
      <w:r w:rsidRPr="006510BD">
        <w:rPr>
          <w:rFonts w:cstheme="minorHAnsi"/>
          <w:b/>
          <w:bCs/>
        </w:rPr>
        <w:t>more active use of the collaborative site</w:t>
      </w:r>
      <w:r w:rsidRPr="006510BD">
        <w:rPr>
          <w:rFonts w:cstheme="minorHAnsi"/>
        </w:rPr>
        <w:t xml:space="preserve"> that facilitates online exchange of information during and between meetings (e.g. use of the platform to connect members with specific questions with members who have experiences in a specific area)</w:t>
      </w:r>
      <w:r w:rsidR="002672C2">
        <w:rPr>
          <w:rFonts w:cstheme="minorHAnsi"/>
        </w:rPr>
        <w:t>.</w:t>
      </w:r>
    </w:p>
    <w:p w14:paraId="7489D9A1" w14:textId="4103248B" w:rsidR="00247548" w:rsidRPr="006510BD" w:rsidRDefault="00247548" w:rsidP="002672C2">
      <w:pPr>
        <w:pStyle w:val="ListParagraph"/>
        <w:numPr>
          <w:ilvl w:val="0"/>
          <w:numId w:val="12"/>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 xml:space="preserve">Encourage </w:t>
      </w:r>
      <w:r w:rsidR="002672C2">
        <w:rPr>
          <w:rFonts w:cstheme="minorHAnsi"/>
        </w:rPr>
        <w:t>“</w:t>
      </w:r>
      <w:r w:rsidRPr="006510BD">
        <w:rPr>
          <w:rFonts w:cstheme="minorHAnsi"/>
          <w:b/>
          <w:bCs/>
        </w:rPr>
        <w:t>speed-dating</w:t>
      </w:r>
      <w:r w:rsidR="002672C2">
        <w:rPr>
          <w:rFonts w:cstheme="minorHAnsi"/>
          <w:b/>
          <w:bCs/>
        </w:rPr>
        <w:t>”</w:t>
      </w:r>
      <w:r w:rsidRPr="006510BD">
        <w:rPr>
          <w:rFonts w:cstheme="minorHAnsi"/>
          <w:b/>
          <w:bCs/>
        </w:rPr>
        <w:t xml:space="preserve"> sessions</w:t>
      </w:r>
      <w:r w:rsidRPr="006510BD">
        <w:rPr>
          <w:rFonts w:cstheme="minorHAnsi"/>
        </w:rPr>
        <w:t xml:space="preserve"> by organizing in-depth exchange sessions to facilitate the sharing of experiences </w:t>
      </w:r>
      <w:r>
        <w:rPr>
          <w:rFonts w:cstheme="minorHAnsi"/>
        </w:rPr>
        <w:t>among</w:t>
      </w:r>
      <w:r w:rsidRPr="006510BD">
        <w:rPr>
          <w:rFonts w:cstheme="minorHAnsi"/>
        </w:rPr>
        <w:t xml:space="preserve"> specific countries and stakeholders to better understand commonalities, differences and lessons learned</w:t>
      </w:r>
      <w:r w:rsidR="002672C2">
        <w:rPr>
          <w:rFonts w:cstheme="minorHAnsi"/>
        </w:rPr>
        <w:t>.</w:t>
      </w:r>
    </w:p>
    <w:p w14:paraId="676EE235" w14:textId="309DC64C" w:rsidR="00247548" w:rsidRPr="006510BD" w:rsidRDefault="00247548" w:rsidP="002672C2">
      <w:pPr>
        <w:pStyle w:val="ListParagraph"/>
        <w:numPr>
          <w:ilvl w:val="0"/>
          <w:numId w:val="12"/>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 xml:space="preserve">Encourage </w:t>
      </w:r>
      <w:r w:rsidRPr="006510BD">
        <w:rPr>
          <w:rFonts w:cstheme="minorHAnsi"/>
          <w:b/>
          <w:bCs/>
        </w:rPr>
        <w:t>participation of authors of contributions</w:t>
      </w:r>
      <w:r w:rsidRPr="006510BD">
        <w:rPr>
          <w:rFonts w:cstheme="minorHAnsi"/>
        </w:rPr>
        <w:t xml:space="preserve"> to ensure that sufficient expertise is available to answer more in-depth questions from other members when contributions are presented</w:t>
      </w:r>
      <w:r w:rsidR="002672C2">
        <w:rPr>
          <w:rFonts w:cstheme="minorHAnsi"/>
        </w:rPr>
        <w:t>.</w:t>
      </w:r>
    </w:p>
    <w:p w14:paraId="23E8FAAD" w14:textId="77777777" w:rsidR="00247548" w:rsidRPr="006510BD" w:rsidRDefault="00247548" w:rsidP="00247548">
      <w:pPr>
        <w:pStyle w:val="ListParagraph"/>
        <w:numPr>
          <w:ilvl w:val="0"/>
          <w:numId w:val="12"/>
        </w:numPr>
        <w:tabs>
          <w:tab w:val="clear" w:pos="1134"/>
          <w:tab w:val="clear" w:pos="1871"/>
          <w:tab w:val="clear" w:pos="2268"/>
        </w:tabs>
        <w:overflowPunct/>
        <w:autoSpaceDE/>
        <w:autoSpaceDN/>
        <w:adjustRightInd/>
        <w:spacing w:after="120"/>
        <w:ind w:left="357" w:hanging="357"/>
        <w:contextualSpacing w:val="0"/>
        <w:textAlignment w:val="auto"/>
        <w:rPr>
          <w:rFonts w:cstheme="minorHAnsi"/>
        </w:rPr>
      </w:pPr>
      <w:r w:rsidRPr="006510BD">
        <w:rPr>
          <w:rFonts w:cstheme="minorHAnsi"/>
        </w:rPr>
        <w:t xml:space="preserve">Encourage </w:t>
      </w:r>
      <w:r w:rsidRPr="006510BD">
        <w:rPr>
          <w:rFonts w:cstheme="minorHAnsi"/>
          <w:b/>
          <w:bCs/>
        </w:rPr>
        <w:t>an open discussion between members of the management teams</w:t>
      </w:r>
      <w:r w:rsidRPr="006510BD">
        <w:rPr>
          <w:rFonts w:cstheme="minorHAnsi"/>
        </w:rPr>
        <w:t>, for example, to discuss what actions are undertaken by each member, identify problems to better measure progress made, etc.</w:t>
      </w:r>
    </w:p>
    <w:p w14:paraId="3BE57625" w14:textId="77777777" w:rsidR="00247548" w:rsidRPr="006510BD" w:rsidRDefault="00247548" w:rsidP="00247548">
      <w:pPr>
        <w:pStyle w:val="ListParagraph"/>
        <w:numPr>
          <w:ilvl w:val="0"/>
          <w:numId w:val="14"/>
        </w:numPr>
        <w:tabs>
          <w:tab w:val="clear" w:pos="1134"/>
          <w:tab w:val="clear" w:pos="1871"/>
          <w:tab w:val="clear" w:pos="2268"/>
        </w:tabs>
        <w:overflowPunct/>
        <w:autoSpaceDE/>
        <w:autoSpaceDN/>
        <w:adjustRightInd/>
        <w:spacing w:after="120"/>
        <w:ind w:left="357" w:hanging="357"/>
        <w:textAlignment w:val="auto"/>
        <w:rPr>
          <w:rFonts w:cstheme="minorHAnsi"/>
        </w:rPr>
      </w:pPr>
      <w:r w:rsidRPr="006510BD">
        <w:rPr>
          <w:rFonts w:cstheme="minorHAnsi"/>
        </w:rPr>
        <w:t xml:space="preserve">Regarding the quality of </w:t>
      </w:r>
      <w:r w:rsidRPr="006510BD">
        <w:rPr>
          <w:rFonts w:cstheme="minorHAnsi"/>
          <w:b/>
          <w:bCs/>
        </w:rPr>
        <w:t>ITU-D study group deliverables</w:t>
      </w:r>
      <w:r w:rsidRPr="006510BD">
        <w:rPr>
          <w:rFonts w:cstheme="minorHAnsi"/>
        </w:rPr>
        <w:t xml:space="preserve"> and ensuring their usefulness for the ITU membership, the following points were raised:</w:t>
      </w:r>
    </w:p>
    <w:p w14:paraId="6CF2453A" w14:textId="2FCD2C0D" w:rsidR="00247548" w:rsidRPr="006510BD" w:rsidRDefault="00247548" w:rsidP="00247548">
      <w:pPr>
        <w:pStyle w:val="ListParagraph"/>
        <w:numPr>
          <w:ilvl w:val="0"/>
          <w:numId w:val="13"/>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b/>
          <w:bCs/>
        </w:rPr>
        <w:t>Dissemination of deliverables/reports</w:t>
      </w:r>
      <w:r w:rsidRPr="006510BD">
        <w:rPr>
          <w:rFonts w:cstheme="minorHAnsi"/>
        </w:rPr>
        <w:t xml:space="preserve">: the reports are of good quality, countries need to be more aware of them to assist them in responding to their national priorities. One possible </w:t>
      </w:r>
      <w:r>
        <w:rPr>
          <w:rFonts w:cstheme="minorHAnsi"/>
        </w:rPr>
        <w:t>approach</w:t>
      </w:r>
      <w:r w:rsidRPr="006510BD">
        <w:rPr>
          <w:rFonts w:cstheme="minorHAnsi"/>
        </w:rPr>
        <w:t xml:space="preserve"> is to extend expert meetings and exchanges in the regions on the topics under study and the deliverables that are elaborated on</w:t>
      </w:r>
      <w:r w:rsidR="00AD0EFF">
        <w:rPr>
          <w:rFonts w:cstheme="minorHAnsi"/>
        </w:rPr>
        <w:t>.</w:t>
      </w:r>
    </w:p>
    <w:p w14:paraId="2556AF78" w14:textId="6D1FAB6A" w:rsidR="00247548" w:rsidRPr="006510BD" w:rsidRDefault="00247548" w:rsidP="00247548">
      <w:pPr>
        <w:pStyle w:val="ListParagraph"/>
        <w:numPr>
          <w:ilvl w:val="0"/>
          <w:numId w:val="13"/>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b/>
          <w:bCs/>
        </w:rPr>
        <w:t>Consolidation of deliverables/reports</w:t>
      </w:r>
      <w:r w:rsidRPr="006510BD">
        <w:rPr>
          <w:rFonts w:cstheme="minorHAnsi"/>
        </w:rPr>
        <w:t xml:space="preserve">: centralize all information on a topic in a single document and consider revising existing reports instead of creating a new report on the same </w:t>
      </w:r>
      <w:r w:rsidRPr="006510BD">
        <w:rPr>
          <w:rFonts w:cstheme="minorHAnsi"/>
        </w:rPr>
        <w:lastRenderedPageBreak/>
        <w:t>topic. Parts of reports that are common to several Questions could be merged and shared in topical reports</w:t>
      </w:r>
      <w:r w:rsidR="00AD0EFF">
        <w:rPr>
          <w:rFonts w:cstheme="minorHAnsi"/>
        </w:rPr>
        <w:t>.</w:t>
      </w:r>
    </w:p>
    <w:p w14:paraId="09964991" w14:textId="5839A77B" w:rsidR="00247548" w:rsidRPr="006510BD" w:rsidRDefault="00247548" w:rsidP="00AD0EFF">
      <w:pPr>
        <w:pStyle w:val="ListParagraph"/>
        <w:numPr>
          <w:ilvl w:val="0"/>
          <w:numId w:val="13"/>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b/>
          <w:bCs/>
        </w:rPr>
        <w:t>Revision of current deliverables/reports</w:t>
      </w:r>
      <w:r w:rsidRPr="006510BD">
        <w:rPr>
          <w:rFonts w:cstheme="minorHAnsi"/>
        </w:rPr>
        <w:t xml:space="preserve">: consider revising the reports on Question topics that span several study periods rather than creating new ones (as is currently done for ITU-D Recommendations and in ITU-R </w:t>
      </w:r>
      <w:r w:rsidR="00AD0EFF">
        <w:rPr>
          <w:rFonts w:cstheme="minorHAnsi"/>
        </w:rPr>
        <w:t>s</w:t>
      </w:r>
      <w:r w:rsidRPr="006510BD">
        <w:rPr>
          <w:rFonts w:cstheme="minorHAnsi"/>
        </w:rPr>
        <w:t xml:space="preserve">tudy </w:t>
      </w:r>
      <w:r w:rsidR="00AD0EFF">
        <w:rPr>
          <w:rFonts w:cstheme="minorHAnsi"/>
        </w:rPr>
        <w:t>g</w:t>
      </w:r>
      <w:r w:rsidRPr="006510BD">
        <w:rPr>
          <w:rFonts w:cstheme="minorHAnsi"/>
        </w:rPr>
        <w:t>roups)</w:t>
      </w:r>
      <w:r w:rsidR="00AD0EFF">
        <w:rPr>
          <w:rFonts w:cstheme="minorHAnsi"/>
        </w:rPr>
        <w:t>.</w:t>
      </w:r>
    </w:p>
    <w:p w14:paraId="6590F147" w14:textId="36DB037C" w:rsidR="00247548" w:rsidRPr="006510BD" w:rsidRDefault="00247548" w:rsidP="00AD0EFF">
      <w:pPr>
        <w:pStyle w:val="ListParagraph"/>
        <w:numPr>
          <w:ilvl w:val="0"/>
          <w:numId w:val="13"/>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b/>
          <w:bCs/>
        </w:rPr>
        <w:t>Region-specific reports</w:t>
      </w:r>
      <w:r w:rsidRPr="006510BD">
        <w:rPr>
          <w:rFonts w:cstheme="minorHAnsi"/>
        </w:rPr>
        <w:t>: reports, guidelines and/or conclusions</w:t>
      </w:r>
      <w:r w:rsidRPr="006510BD" w:rsidDel="00421CA6">
        <w:rPr>
          <w:rFonts w:cstheme="minorHAnsi"/>
        </w:rPr>
        <w:t xml:space="preserve"> </w:t>
      </w:r>
      <w:r w:rsidRPr="006510BD">
        <w:rPr>
          <w:rFonts w:cstheme="minorHAnsi"/>
        </w:rPr>
        <w:t xml:space="preserve">could be tailored to meet </w:t>
      </w:r>
      <w:r>
        <w:rPr>
          <w:rFonts w:cstheme="minorHAnsi"/>
        </w:rPr>
        <w:t xml:space="preserve">the </w:t>
      </w:r>
      <w:r w:rsidRPr="006510BD">
        <w:rPr>
          <w:rFonts w:cstheme="minorHAnsi"/>
        </w:rPr>
        <w:t>specific needs of the different regions</w:t>
      </w:r>
      <w:r w:rsidR="00AD0EFF">
        <w:rPr>
          <w:rFonts w:cstheme="minorHAnsi"/>
        </w:rPr>
        <w:t>.</w:t>
      </w:r>
    </w:p>
    <w:p w14:paraId="04851414" w14:textId="0B2171CF" w:rsidR="00247548" w:rsidRPr="006510BD" w:rsidRDefault="00247548" w:rsidP="00247548">
      <w:pPr>
        <w:pStyle w:val="ListParagraph"/>
        <w:numPr>
          <w:ilvl w:val="0"/>
          <w:numId w:val="13"/>
        </w:numPr>
        <w:tabs>
          <w:tab w:val="clear" w:pos="1134"/>
          <w:tab w:val="clear" w:pos="1871"/>
          <w:tab w:val="clear" w:pos="2268"/>
        </w:tabs>
        <w:overflowPunct/>
        <w:autoSpaceDE/>
        <w:autoSpaceDN/>
        <w:adjustRightInd/>
        <w:spacing w:after="120"/>
        <w:ind w:left="357" w:hanging="357"/>
        <w:contextualSpacing w:val="0"/>
        <w:textAlignment w:val="auto"/>
        <w:rPr>
          <w:rFonts w:cstheme="minorHAnsi"/>
        </w:rPr>
      </w:pPr>
      <w:r w:rsidRPr="006510BD">
        <w:rPr>
          <w:rFonts w:cstheme="minorHAnsi"/>
          <w:b/>
          <w:bCs/>
        </w:rPr>
        <w:t>Language and user-friendliness of reports</w:t>
      </w:r>
      <w:r w:rsidRPr="006510BD">
        <w:rPr>
          <w:rFonts w:cstheme="minorHAnsi"/>
        </w:rPr>
        <w:t xml:space="preserve">: a more </w:t>
      </w:r>
      <w:r w:rsidRPr="006510BD">
        <w:rPr>
          <w:rFonts w:cstheme="minorHAnsi"/>
          <w:b/>
          <w:bCs/>
        </w:rPr>
        <w:t>user-friendly and focused presentation</w:t>
      </w:r>
      <w:r w:rsidRPr="006510BD">
        <w:rPr>
          <w:rFonts w:cstheme="minorHAnsi"/>
        </w:rPr>
        <w:t xml:space="preserve"> of the deliverables/reports explaining complex technical matters in a </w:t>
      </w:r>
      <w:r w:rsidRPr="006510BD">
        <w:rPr>
          <w:rFonts w:cstheme="minorHAnsi"/>
          <w:b/>
          <w:bCs/>
        </w:rPr>
        <w:t>simple language</w:t>
      </w:r>
      <w:r w:rsidRPr="006510BD">
        <w:rPr>
          <w:rFonts w:cstheme="minorHAnsi"/>
        </w:rPr>
        <w:t xml:space="preserve"> was encouraged, noting that policy</w:t>
      </w:r>
      <w:r w:rsidR="00AD0EFF">
        <w:rPr>
          <w:rFonts w:cstheme="minorHAnsi"/>
        </w:rPr>
        <w:t>-</w:t>
      </w:r>
      <w:r w:rsidRPr="006510BD">
        <w:rPr>
          <w:rFonts w:cstheme="minorHAnsi"/>
        </w:rPr>
        <w:t>makers are not necessarily technical experts.</w:t>
      </w:r>
    </w:p>
    <w:p w14:paraId="005FEA3C" w14:textId="1D17C9CC" w:rsidR="00247548" w:rsidRPr="006510BD" w:rsidRDefault="00247548" w:rsidP="00AD0EFF">
      <w:pPr>
        <w:pStyle w:val="ListParagraph"/>
        <w:numPr>
          <w:ilvl w:val="0"/>
          <w:numId w:val="14"/>
        </w:numPr>
        <w:tabs>
          <w:tab w:val="clear" w:pos="1134"/>
          <w:tab w:val="clear" w:pos="1871"/>
          <w:tab w:val="clear" w:pos="2268"/>
        </w:tabs>
        <w:overflowPunct/>
        <w:autoSpaceDE/>
        <w:autoSpaceDN/>
        <w:adjustRightInd/>
        <w:spacing w:after="120"/>
        <w:ind w:left="357" w:hanging="357"/>
        <w:textAlignment w:val="auto"/>
        <w:rPr>
          <w:rFonts w:cstheme="minorHAnsi"/>
        </w:rPr>
      </w:pPr>
      <w:r w:rsidRPr="006510BD">
        <w:rPr>
          <w:rFonts w:cstheme="minorHAnsi"/>
        </w:rPr>
        <w:t xml:space="preserve">Regarding the </w:t>
      </w:r>
      <w:r w:rsidRPr="006510BD">
        <w:rPr>
          <w:rFonts w:cstheme="minorHAnsi"/>
          <w:b/>
          <w:bCs/>
        </w:rPr>
        <w:t>generation of great inputs for excellent outputs</w:t>
      </w:r>
      <w:r w:rsidRPr="006510BD">
        <w:rPr>
          <w:rFonts w:cstheme="minorHAnsi"/>
        </w:rPr>
        <w:t xml:space="preserve">, a suggestion was made to </w:t>
      </w:r>
      <w:r w:rsidRPr="006510BD">
        <w:rPr>
          <w:rFonts w:cstheme="minorHAnsi"/>
          <w:b/>
          <w:bCs/>
        </w:rPr>
        <w:t>work more closely with regional offices</w:t>
      </w:r>
      <w:r w:rsidRPr="006510BD">
        <w:rPr>
          <w:rFonts w:cstheme="minorHAnsi"/>
        </w:rPr>
        <w:t xml:space="preserve">. National data that </w:t>
      </w:r>
      <w:r w:rsidR="00AD0EFF">
        <w:rPr>
          <w:rFonts w:cstheme="minorHAnsi"/>
        </w:rPr>
        <w:t>are</w:t>
      </w:r>
      <w:r w:rsidRPr="006510BD">
        <w:rPr>
          <w:rFonts w:cstheme="minorHAnsi"/>
        </w:rPr>
        <w:t xml:space="preserve"> collected in the countries in the regions could be made available to the study groups for specific studies,</w:t>
      </w:r>
      <w:r>
        <w:rPr>
          <w:rFonts w:cstheme="minorHAnsi"/>
        </w:rPr>
        <w:t xml:space="preserve"> </w:t>
      </w:r>
      <w:r w:rsidRPr="006510BD">
        <w:rPr>
          <w:rFonts w:cstheme="minorHAnsi"/>
        </w:rPr>
        <w:t>through close collaboration between the regional ITU-D</w:t>
      </w:r>
      <w:r w:rsidR="00184D22">
        <w:rPr>
          <w:rFonts w:cstheme="minorHAnsi"/>
        </w:rPr>
        <w:t xml:space="preserve"> Study Group 1 and 2 vice-chairmen</w:t>
      </w:r>
      <w:r w:rsidRPr="006510BD">
        <w:rPr>
          <w:rFonts w:cstheme="minorHAnsi"/>
        </w:rPr>
        <w:t>, the Directors and focal points in the regional and area offices. Regional groups for ITU-D study groups, or certain study Questions, could be established as is done in ITU-T study groups</w:t>
      </w:r>
      <w:r w:rsidR="00DE1078">
        <w:rPr>
          <w:rFonts w:cstheme="minorHAnsi"/>
        </w:rPr>
        <w:t>.</w:t>
      </w:r>
    </w:p>
    <w:p w14:paraId="582A7A50" w14:textId="3FDCCF03" w:rsidR="00247548" w:rsidRPr="004D22C2" w:rsidRDefault="00247548" w:rsidP="00810998">
      <w:pPr>
        <w:pStyle w:val="ListParagraph"/>
        <w:keepNext/>
        <w:numPr>
          <w:ilvl w:val="0"/>
          <w:numId w:val="23"/>
        </w:numPr>
        <w:spacing w:before="360" w:after="120"/>
        <w:ind w:left="357" w:hanging="357"/>
        <w:contextualSpacing w:val="0"/>
        <w:rPr>
          <w:rFonts w:cstheme="minorHAnsi"/>
          <w:b/>
          <w:bCs/>
          <w:sz w:val="28"/>
          <w:szCs w:val="22"/>
        </w:rPr>
      </w:pPr>
      <w:r w:rsidRPr="004D22C2">
        <w:rPr>
          <w:rFonts w:cstheme="minorHAnsi"/>
          <w:b/>
          <w:bCs/>
          <w:sz w:val="28"/>
          <w:szCs w:val="22"/>
        </w:rPr>
        <w:t>Programme</w:t>
      </w:r>
      <w:r w:rsidR="00F60EA3" w:rsidRPr="004D22C2">
        <w:rPr>
          <w:rFonts w:cstheme="minorHAnsi"/>
          <w:b/>
          <w:bCs/>
          <w:sz w:val="28"/>
          <w:szCs w:val="22"/>
        </w:rPr>
        <w:t xml:space="preserve"> topics</w:t>
      </w:r>
    </w:p>
    <w:p w14:paraId="40EE9A5D" w14:textId="786ECA51" w:rsidR="00247548" w:rsidRPr="006510BD" w:rsidRDefault="00C27497" w:rsidP="00810998">
      <w:pPr>
        <w:keepNext/>
        <w:spacing w:before="240" w:after="120"/>
        <w:ind w:left="425" w:hanging="425"/>
        <w:rPr>
          <w:rFonts w:cstheme="minorHAnsi"/>
          <w:b/>
        </w:rPr>
      </w:pPr>
      <w:r>
        <w:rPr>
          <w:rFonts w:cstheme="minorHAnsi"/>
          <w:b/>
        </w:rPr>
        <w:t>2.1</w:t>
      </w:r>
      <w:r>
        <w:rPr>
          <w:rFonts w:cstheme="minorHAnsi"/>
          <w:b/>
        </w:rPr>
        <w:tab/>
      </w:r>
      <w:r w:rsidR="00247548" w:rsidRPr="006510BD">
        <w:rPr>
          <w:rFonts w:cstheme="minorHAnsi"/>
          <w:b/>
        </w:rPr>
        <w:t xml:space="preserve">ICT </w:t>
      </w:r>
      <w:r w:rsidR="00247548" w:rsidRPr="00973CFA">
        <w:rPr>
          <w:rFonts w:cstheme="minorHAnsi"/>
          <w:b/>
        </w:rPr>
        <w:t xml:space="preserve">data </w:t>
      </w:r>
      <w:r w:rsidR="00247548" w:rsidRPr="006510BD">
        <w:rPr>
          <w:rFonts w:cstheme="minorHAnsi"/>
          <w:b/>
        </w:rPr>
        <w:t>and statistics</w:t>
      </w:r>
    </w:p>
    <w:p w14:paraId="1CA4B08A" w14:textId="77777777" w:rsidR="00247548" w:rsidRPr="006510BD" w:rsidRDefault="00247548" w:rsidP="00810998">
      <w:pPr>
        <w:keepNext/>
        <w:spacing w:after="120"/>
        <w:rPr>
          <w:rFonts w:cstheme="minorHAnsi"/>
          <w:b/>
        </w:rPr>
      </w:pPr>
      <w:r w:rsidRPr="006510BD">
        <w:rPr>
          <w:rFonts w:cstheme="minorHAnsi"/>
          <w:b/>
        </w:rPr>
        <w:t>Key takeaways:</w:t>
      </w:r>
    </w:p>
    <w:p w14:paraId="75154DEF" w14:textId="77777777"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Trust, relevance, visibility, accessibility to data and cooperation are essential components to re-establish ITU as the main global source for ICT statistics.</w:t>
      </w:r>
    </w:p>
    <w:p w14:paraId="4D5BC5AE" w14:textId="77777777"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Be pragmatic and realistic when including new indicators in the ICT Development Index (IDI). Revisit the conceptual framework and focus on indicators with widely available quality data.</w:t>
      </w:r>
    </w:p>
    <w:p w14:paraId="54BB87CA" w14:textId="77777777"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 xml:space="preserve">There are benefits and drawbacks </w:t>
      </w:r>
      <w:r>
        <w:rPr>
          <w:rFonts w:cstheme="minorHAnsi"/>
        </w:rPr>
        <w:t>to</w:t>
      </w:r>
      <w:r w:rsidRPr="006510BD">
        <w:rPr>
          <w:rFonts w:cstheme="minorHAnsi"/>
        </w:rPr>
        <w:t xml:space="preserve"> dividing the Measuring the Information Society Report into a series of smaller, more focused, high-impact reports. Cost implications need to be studied, including translation into all official ITU languages.</w:t>
      </w:r>
    </w:p>
    <w:p w14:paraId="39553995" w14:textId="77777777"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The IDI analysis should explore various factors, including the size of the country, and should go beyond reporting rankings by also providing policy recommendations.</w:t>
      </w:r>
    </w:p>
    <w:p w14:paraId="158EE3DF" w14:textId="77777777" w:rsidR="00247548" w:rsidRPr="006510BD" w:rsidRDefault="00247548" w:rsidP="00247548">
      <w:pPr>
        <w:keepNext/>
        <w:spacing w:after="120"/>
        <w:rPr>
          <w:rFonts w:cstheme="minorHAnsi"/>
          <w:b/>
        </w:rPr>
      </w:pPr>
      <w:r w:rsidRPr="006510BD">
        <w:rPr>
          <w:rFonts w:cstheme="minorHAnsi"/>
          <w:b/>
        </w:rPr>
        <w:t>Discussion summary:</w:t>
      </w:r>
    </w:p>
    <w:p w14:paraId="25C89437" w14:textId="34A56868" w:rsidR="00247548" w:rsidRPr="006510BD" w:rsidRDefault="00247548" w:rsidP="00247548">
      <w:pPr>
        <w:spacing w:after="120"/>
        <w:rPr>
          <w:rFonts w:cstheme="minorHAnsi"/>
        </w:rPr>
      </w:pPr>
      <w:r w:rsidRPr="006510BD">
        <w:rPr>
          <w:rFonts w:cstheme="minorHAnsi"/>
        </w:rPr>
        <w:t>The discussion on ICT data and statistics cent</w:t>
      </w:r>
      <w:r>
        <w:rPr>
          <w:rFonts w:cstheme="minorHAnsi"/>
        </w:rPr>
        <w:t>red</w:t>
      </w:r>
      <w:r w:rsidRPr="006510BD">
        <w:rPr>
          <w:rFonts w:cstheme="minorHAnsi"/>
        </w:rPr>
        <w:t xml:space="preserve"> on three questions. The first was how to re-establish ITU as the main global source for ICT data. Trust, relevance, visibility, accessibility to data and cooperation with diverse stakeholders were seen to be the essential components. Visibility and accessibility can be improved by ensuring that access to statistics is free and simple th</w:t>
      </w:r>
      <w:r w:rsidR="00AD0EFF">
        <w:rPr>
          <w:rFonts w:cstheme="minorHAnsi"/>
        </w:rPr>
        <w:t>r</w:t>
      </w:r>
      <w:r w:rsidRPr="006510BD">
        <w:rPr>
          <w:rFonts w:cstheme="minorHAnsi"/>
        </w:rPr>
        <w:t xml:space="preserve">ough the ITU website. This would prevent users from having recourse to other organizations that are using ITU data without due acknowledgement. Trust can be enhanced by ensuring that the website reflects the most recent version of methodologies. By developing methodologies and collecting data on emerging trends and new services, such as social media, OTT, IoT and AI, ITU will remain a relevant actor. It is important to reinforce and establish partnerships with other stakeholders, such as OECD and Eurostat and with other ITU </w:t>
      </w:r>
      <w:r w:rsidR="00AD0EFF">
        <w:rPr>
          <w:rFonts w:cstheme="minorHAnsi"/>
        </w:rPr>
        <w:t>S</w:t>
      </w:r>
      <w:r w:rsidRPr="006510BD">
        <w:rPr>
          <w:rFonts w:cstheme="minorHAnsi"/>
        </w:rPr>
        <w:t>ectors. The functioning of expert groups can be improved by leveraging the vast knowledge of study groups when developing indicators on new topics, such as spectrum allocation. ITU delegates should have automatic access to the online expert groups, for example through their TIES account.</w:t>
      </w:r>
    </w:p>
    <w:p w14:paraId="1AEAD048" w14:textId="77777777" w:rsidR="00247548" w:rsidRPr="006510BD" w:rsidRDefault="00247548" w:rsidP="00247548">
      <w:pPr>
        <w:spacing w:after="120"/>
        <w:rPr>
          <w:rFonts w:cstheme="minorHAnsi"/>
        </w:rPr>
      </w:pPr>
      <w:r w:rsidRPr="006510BD">
        <w:rPr>
          <w:rFonts w:cstheme="minorHAnsi"/>
        </w:rPr>
        <w:lastRenderedPageBreak/>
        <w:t>The second question focused on problems encountered in the 2018 IDI calculations and a possible way forward for the publication of the IDI in 2019. It was noted that during the IDI revision in 2017, indicators were proposed for inclusion therein without addressing what the underlying conceptual framework should be, leading to an unstable index. While some of the new indicators were appropriate, such as mobile network coverage, others have low data availability and are not fully harmonized among countries. Currently, too many data must be estimated.</w:t>
      </w:r>
      <w:r>
        <w:rPr>
          <w:rFonts w:cstheme="minorHAnsi"/>
        </w:rPr>
        <w:t xml:space="preserve"> A</w:t>
      </w:r>
      <w:r w:rsidRPr="006510BD">
        <w:rPr>
          <w:rFonts w:cstheme="minorHAnsi"/>
        </w:rPr>
        <w:t>n assessment should be conducted if sufficient high-quality data are available before the inclusion of a new indicator. ITU should be realistic and pragmatic. Partnerships should be strengthened with other international and regional organizations, NGOs, academia, etc., and countries should have access to the raw data.</w:t>
      </w:r>
    </w:p>
    <w:p w14:paraId="3D452CE1" w14:textId="30E26D1B" w:rsidR="00247548" w:rsidRPr="006510BD" w:rsidRDefault="00247548" w:rsidP="00AD0EFF">
      <w:pPr>
        <w:spacing w:after="120"/>
        <w:rPr>
          <w:rFonts w:cstheme="minorHAnsi"/>
        </w:rPr>
      </w:pPr>
      <w:r w:rsidRPr="006510BD">
        <w:rPr>
          <w:rFonts w:cstheme="minorHAnsi"/>
        </w:rPr>
        <w:t xml:space="preserve">The third question concerned the publication of the Measuring the Information Society Report as a single report or as a series of smaller, more focused reports, which would also ensure a more timely release of the data. While a number of delegates noted that a series of shorter reports would enhance the visibility and impact of ITU data, others observed that since many different reports were already released every year – from ITU and from other organizations – there were benefits to maintaining the collated report. In any case, the financial implications should be studied, including translation of all reports into all official languages. Certain analytical suggestions were made. IDI rankings should be accompanied by recommendations for countries on improving their ranking. The report should also analyse the impact of various factors on the ranking, such as size of the country, and discuss separately </w:t>
      </w:r>
      <w:r w:rsidR="00AD0EFF">
        <w:rPr>
          <w:rFonts w:cstheme="minorHAnsi"/>
        </w:rPr>
        <w:t>l</w:t>
      </w:r>
      <w:r w:rsidRPr="006510BD">
        <w:rPr>
          <w:rFonts w:cstheme="minorHAnsi"/>
        </w:rPr>
        <w:t xml:space="preserve">andlocked </w:t>
      </w:r>
      <w:r w:rsidR="00AD0EFF">
        <w:rPr>
          <w:rFonts w:cstheme="minorHAnsi"/>
        </w:rPr>
        <w:t>d</w:t>
      </w:r>
      <w:r w:rsidRPr="006510BD">
        <w:rPr>
          <w:rFonts w:cstheme="minorHAnsi"/>
        </w:rPr>
        <w:t xml:space="preserve">eveloping </w:t>
      </w:r>
      <w:r w:rsidR="00AD0EFF">
        <w:rPr>
          <w:rFonts w:cstheme="minorHAnsi"/>
        </w:rPr>
        <w:t>c</w:t>
      </w:r>
      <w:r w:rsidRPr="006510BD">
        <w:rPr>
          <w:rFonts w:cstheme="minorHAnsi"/>
        </w:rPr>
        <w:t xml:space="preserve">ountries and </w:t>
      </w:r>
      <w:r w:rsidR="00AD0EFF">
        <w:rPr>
          <w:rFonts w:cstheme="minorHAnsi"/>
        </w:rPr>
        <w:t>s</w:t>
      </w:r>
      <w:r w:rsidRPr="006510BD">
        <w:rPr>
          <w:rFonts w:cstheme="minorHAnsi"/>
        </w:rPr>
        <w:t xml:space="preserve">mall </w:t>
      </w:r>
      <w:r w:rsidR="00AD0EFF">
        <w:rPr>
          <w:rFonts w:cstheme="minorHAnsi"/>
        </w:rPr>
        <w:t>i</w:t>
      </w:r>
      <w:r w:rsidRPr="006510BD">
        <w:rPr>
          <w:rFonts w:cstheme="minorHAnsi"/>
        </w:rPr>
        <w:t xml:space="preserve">sland </w:t>
      </w:r>
      <w:r w:rsidR="00AD0EFF">
        <w:rPr>
          <w:rFonts w:cstheme="minorHAnsi"/>
        </w:rPr>
        <w:t>d</w:t>
      </w:r>
      <w:r w:rsidRPr="006510BD">
        <w:rPr>
          <w:rFonts w:cstheme="minorHAnsi"/>
        </w:rPr>
        <w:t xml:space="preserve">eveloping </w:t>
      </w:r>
      <w:r w:rsidR="00AD0EFF">
        <w:rPr>
          <w:rFonts w:cstheme="minorHAnsi"/>
        </w:rPr>
        <w:t>s</w:t>
      </w:r>
      <w:r w:rsidRPr="006510BD">
        <w:rPr>
          <w:rFonts w:cstheme="minorHAnsi"/>
        </w:rPr>
        <w:t xml:space="preserve">tates. A high level of interest was also expressed in the price basket analysis. </w:t>
      </w:r>
    </w:p>
    <w:p w14:paraId="62AD5779" w14:textId="2E1D2C97" w:rsidR="00247548" w:rsidRPr="006510BD" w:rsidRDefault="00C27497" w:rsidP="00810998">
      <w:pPr>
        <w:keepNext/>
        <w:spacing w:before="240" w:after="120"/>
        <w:ind w:left="425" w:hanging="425"/>
        <w:rPr>
          <w:rFonts w:cstheme="minorHAnsi"/>
          <w:b/>
          <w:lang w:val="en-US"/>
        </w:rPr>
      </w:pPr>
      <w:r>
        <w:rPr>
          <w:rFonts w:cstheme="minorHAnsi"/>
          <w:b/>
          <w:lang w:val="en-US"/>
        </w:rPr>
        <w:t>2.2</w:t>
      </w:r>
      <w:r>
        <w:rPr>
          <w:rFonts w:cstheme="minorHAnsi"/>
          <w:b/>
          <w:lang w:val="en-US"/>
        </w:rPr>
        <w:tab/>
      </w:r>
      <w:r w:rsidR="00247548" w:rsidRPr="006510BD">
        <w:rPr>
          <w:rFonts w:cstheme="minorHAnsi"/>
          <w:b/>
          <w:lang w:val="en-US"/>
        </w:rPr>
        <w:t>ITU-D Innovation</w:t>
      </w:r>
    </w:p>
    <w:p w14:paraId="2F01B452" w14:textId="77777777" w:rsidR="00247548" w:rsidRPr="006510BD" w:rsidRDefault="00247548" w:rsidP="00810998">
      <w:pPr>
        <w:keepNext/>
        <w:spacing w:after="120"/>
        <w:rPr>
          <w:rFonts w:cstheme="minorHAnsi"/>
          <w:b/>
          <w:lang w:val="en-US"/>
        </w:rPr>
      </w:pPr>
      <w:r w:rsidRPr="006510BD">
        <w:rPr>
          <w:rFonts w:cstheme="minorHAnsi"/>
          <w:b/>
          <w:lang w:val="en-US"/>
        </w:rPr>
        <w:t>Key takeaways:</w:t>
      </w:r>
    </w:p>
    <w:p w14:paraId="6F6F6ED3" w14:textId="77777777" w:rsidR="00247548" w:rsidRPr="006510BD" w:rsidRDefault="00247548" w:rsidP="00810998">
      <w:pPr>
        <w:pStyle w:val="ListParagraph"/>
        <w:numPr>
          <w:ilvl w:val="0"/>
          <w:numId w:val="11"/>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sidRPr="006510BD">
        <w:rPr>
          <w:rFonts w:cstheme="minorHAnsi"/>
          <w:lang w:val="en-US"/>
        </w:rPr>
        <w:t>Build an innovation culture at ITU: ITU should inject innovation into its products and services through creation with membership and promotion of intrapreneurship, developing innovative business models, innovation risk management and an innovation lab.</w:t>
      </w:r>
    </w:p>
    <w:p w14:paraId="20FB87F8" w14:textId="77777777" w:rsidR="00247548" w:rsidRPr="006510BD" w:rsidRDefault="00247548" w:rsidP="00810998">
      <w:pPr>
        <w:pStyle w:val="ListParagraph"/>
        <w:numPr>
          <w:ilvl w:val="0"/>
          <w:numId w:val="11"/>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sidRPr="006510BD">
        <w:rPr>
          <w:rFonts w:cstheme="minorHAnsi"/>
          <w:lang w:val="en-US"/>
        </w:rPr>
        <w:t xml:space="preserve">Encourage membership to help scale ICT-centric innovation works: a national, regional or global platform should be developed that facilitates interaction </w:t>
      </w:r>
      <w:r>
        <w:rPr>
          <w:rFonts w:cstheme="minorHAnsi"/>
          <w:lang w:val="en-US"/>
        </w:rPr>
        <w:t>among</w:t>
      </w:r>
      <w:r w:rsidRPr="006510BD">
        <w:rPr>
          <w:rFonts w:cstheme="minorHAnsi"/>
          <w:lang w:val="en-US"/>
        </w:rPr>
        <w:t xml:space="preserve"> stakeholders (including diaspora) and shares success stories, good practices, problems and solutions.</w:t>
      </w:r>
    </w:p>
    <w:p w14:paraId="6C9BFD8C" w14:textId="31F9DE2C" w:rsidR="00247548" w:rsidRPr="006510BD" w:rsidRDefault="00247548" w:rsidP="00810998">
      <w:pPr>
        <w:pStyle w:val="ListParagraph"/>
        <w:numPr>
          <w:ilvl w:val="0"/>
          <w:numId w:val="11"/>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sidRPr="006510BD">
        <w:rPr>
          <w:rFonts w:cstheme="minorHAnsi"/>
          <w:lang w:val="en-US"/>
        </w:rPr>
        <w:t>Scale assistance to countries: provision should be made for</w:t>
      </w:r>
      <w:r>
        <w:rPr>
          <w:rFonts w:cstheme="minorHAnsi"/>
          <w:lang w:val="en-US"/>
        </w:rPr>
        <w:t xml:space="preserve"> </w:t>
      </w:r>
      <w:r w:rsidRPr="006510BD">
        <w:rPr>
          <w:rFonts w:cstheme="minorHAnsi"/>
          <w:lang w:val="en-US"/>
        </w:rPr>
        <w:t>an innovation road</w:t>
      </w:r>
      <w:r w:rsidR="00AD0EFF">
        <w:rPr>
          <w:rFonts w:cstheme="minorHAnsi"/>
          <w:lang w:val="en-US"/>
        </w:rPr>
        <w:t xml:space="preserve"> </w:t>
      </w:r>
      <w:r w:rsidRPr="006510BD">
        <w:rPr>
          <w:rFonts w:cstheme="minorHAnsi"/>
          <w:lang w:val="en-US"/>
        </w:rPr>
        <w:t>map and institutional framework for its implementation, and a measurement framework to help scale ICT-centric innovation.</w:t>
      </w:r>
    </w:p>
    <w:p w14:paraId="375AD680" w14:textId="77777777" w:rsidR="00247548" w:rsidRPr="006510BD" w:rsidRDefault="00247548" w:rsidP="00810998">
      <w:pPr>
        <w:pStyle w:val="ListParagraph"/>
        <w:numPr>
          <w:ilvl w:val="0"/>
          <w:numId w:val="11"/>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sidRPr="006510BD">
        <w:rPr>
          <w:rFonts w:cstheme="minorHAnsi"/>
        </w:rPr>
        <w:t>Help accelerate the innovation agenda of countries: innovation assistance funds can be established to accelerate countries’ innovation agendas.</w:t>
      </w:r>
    </w:p>
    <w:p w14:paraId="66BE4EF7" w14:textId="77777777" w:rsidR="00247548" w:rsidRPr="006510BD" w:rsidRDefault="00247548" w:rsidP="00810998">
      <w:pPr>
        <w:keepNext/>
        <w:spacing w:after="120"/>
        <w:rPr>
          <w:rFonts w:cstheme="minorHAnsi"/>
          <w:b/>
          <w:lang w:val="en-US"/>
        </w:rPr>
      </w:pPr>
      <w:r w:rsidRPr="006510BD">
        <w:rPr>
          <w:rFonts w:cstheme="minorHAnsi"/>
          <w:b/>
          <w:lang w:val="en-US"/>
        </w:rPr>
        <w:t>Discussion summary:</w:t>
      </w:r>
    </w:p>
    <w:p w14:paraId="2DE84EFF" w14:textId="77777777" w:rsidR="00247548" w:rsidRPr="006510BD" w:rsidRDefault="00247548" w:rsidP="00810998">
      <w:pPr>
        <w:keepNext/>
        <w:spacing w:after="120"/>
        <w:rPr>
          <w:rFonts w:cstheme="minorHAnsi"/>
          <w:b/>
          <w:bCs/>
          <w:lang w:val="en-US"/>
        </w:rPr>
      </w:pPr>
      <w:r w:rsidRPr="006510BD">
        <w:rPr>
          <w:rFonts w:cstheme="minorHAnsi"/>
          <w:b/>
          <w:bCs/>
        </w:rPr>
        <w:t>1. How can ITU build a culture of innovation throughout the organization?</w:t>
      </w:r>
    </w:p>
    <w:p w14:paraId="442B4A61" w14:textId="7980804B" w:rsidR="00247548" w:rsidRPr="006510BD" w:rsidRDefault="00247548" w:rsidP="00810998">
      <w:pPr>
        <w:pStyle w:val="ListParagraph"/>
        <w:numPr>
          <w:ilvl w:val="0"/>
          <w:numId w:val="15"/>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sidRPr="006510BD">
        <w:rPr>
          <w:rFonts w:cstheme="minorHAnsi"/>
          <w:lang w:val="en-US"/>
        </w:rPr>
        <w:t>ITU, in designing products and services, must inject innovation by co-creating and involving Member States (all stakeholders, young people, both genders, and persons with disabilities and specific needs) using a structured approach at the early stages</w:t>
      </w:r>
      <w:r w:rsidR="00490F07">
        <w:rPr>
          <w:rFonts w:cstheme="minorHAnsi"/>
          <w:lang w:val="en-US"/>
        </w:rPr>
        <w:t>.</w:t>
      </w:r>
    </w:p>
    <w:p w14:paraId="4BD1387D" w14:textId="51C6B521" w:rsidR="00247548" w:rsidRPr="006510BD" w:rsidRDefault="00247548" w:rsidP="00810998">
      <w:pPr>
        <w:pStyle w:val="ListParagraph"/>
        <w:numPr>
          <w:ilvl w:val="0"/>
          <w:numId w:val="15"/>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sidRPr="006510BD">
        <w:rPr>
          <w:rFonts w:cstheme="minorHAnsi"/>
          <w:lang w:val="en-US"/>
        </w:rPr>
        <w:t>Other proposals included promoting intrapreneurship, building frameworks to address the objectives set by Member States and developing innovative business models to deliver sustainably on the objectives</w:t>
      </w:r>
      <w:r w:rsidR="00490F07">
        <w:rPr>
          <w:rFonts w:cstheme="minorHAnsi"/>
          <w:lang w:val="en-US"/>
        </w:rPr>
        <w:t>.</w:t>
      </w:r>
      <w:r w:rsidRPr="006510BD">
        <w:rPr>
          <w:rFonts w:cstheme="minorHAnsi"/>
          <w:lang w:val="en-US"/>
        </w:rPr>
        <w:t xml:space="preserve"> </w:t>
      </w:r>
    </w:p>
    <w:p w14:paraId="3470F7AA" w14:textId="77777777" w:rsidR="00247548" w:rsidRPr="006510BD" w:rsidRDefault="00247548" w:rsidP="00810998">
      <w:pPr>
        <w:pStyle w:val="ListParagraph"/>
        <w:numPr>
          <w:ilvl w:val="0"/>
          <w:numId w:val="15"/>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sidRPr="006510BD">
        <w:rPr>
          <w:rFonts w:cstheme="minorHAnsi"/>
          <w:lang w:val="en-US"/>
        </w:rPr>
        <w:lastRenderedPageBreak/>
        <w:t xml:space="preserve">The breakout group also noted the lack of experimentation space in ITU and proposed that ITU build an innovation lab. </w:t>
      </w:r>
    </w:p>
    <w:p w14:paraId="6CDA0FF1" w14:textId="77777777" w:rsidR="00247548" w:rsidRPr="006510BD" w:rsidRDefault="00247548" w:rsidP="00810998">
      <w:pPr>
        <w:keepNext/>
        <w:spacing w:after="120"/>
        <w:rPr>
          <w:rFonts w:cstheme="minorHAnsi"/>
          <w:b/>
          <w:bCs/>
        </w:rPr>
      </w:pPr>
      <w:r w:rsidRPr="006510BD">
        <w:rPr>
          <w:rFonts w:cstheme="minorHAnsi"/>
          <w:b/>
          <w:bCs/>
        </w:rPr>
        <w:t>2. How might ITU membership help scale assistance to the countries to foster ICT-centric innovation ecosystems?</w:t>
      </w:r>
    </w:p>
    <w:p w14:paraId="04A292EE" w14:textId="4F1FA4CE" w:rsidR="00247548" w:rsidRPr="006510BD" w:rsidRDefault="00247548" w:rsidP="00810998">
      <w:pPr>
        <w:pStyle w:val="ListParagraph"/>
        <w:numPr>
          <w:ilvl w:val="0"/>
          <w:numId w:val="16"/>
        </w:numPr>
        <w:tabs>
          <w:tab w:val="clear" w:pos="1134"/>
          <w:tab w:val="clear" w:pos="1871"/>
          <w:tab w:val="clear" w:pos="2268"/>
        </w:tabs>
        <w:overflowPunct/>
        <w:autoSpaceDE/>
        <w:autoSpaceDN/>
        <w:adjustRightInd/>
        <w:spacing w:before="60"/>
        <w:ind w:left="567" w:hanging="567"/>
        <w:contextualSpacing w:val="0"/>
        <w:textAlignment w:val="auto"/>
        <w:rPr>
          <w:rFonts w:cstheme="minorHAnsi"/>
        </w:rPr>
      </w:pPr>
      <w:r w:rsidRPr="006510BD">
        <w:rPr>
          <w:rFonts w:cstheme="minorHAnsi"/>
        </w:rPr>
        <w:t>A platform is needed to work with all stakeholders in clusters, providing a space for people to improve innovation in their communities at an early stage</w:t>
      </w:r>
      <w:r w:rsidR="00490F07">
        <w:rPr>
          <w:rFonts w:cstheme="minorHAnsi"/>
        </w:rPr>
        <w:t>.</w:t>
      </w:r>
      <w:r w:rsidR="00490F07" w:rsidRPr="006510BD">
        <w:rPr>
          <w:rFonts w:cstheme="minorHAnsi"/>
        </w:rPr>
        <w:t xml:space="preserve"> </w:t>
      </w:r>
    </w:p>
    <w:p w14:paraId="6BEB6A08" w14:textId="0C02494F" w:rsidR="00247548" w:rsidRPr="006510BD" w:rsidRDefault="00247548" w:rsidP="00810998">
      <w:pPr>
        <w:pStyle w:val="ListParagraph"/>
        <w:numPr>
          <w:ilvl w:val="0"/>
          <w:numId w:val="16"/>
        </w:numPr>
        <w:tabs>
          <w:tab w:val="clear" w:pos="1134"/>
          <w:tab w:val="clear" w:pos="1871"/>
          <w:tab w:val="clear" w:pos="2268"/>
        </w:tabs>
        <w:overflowPunct/>
        <w:autoSpaceDE/>
        <w:autoSpaceDN/>
        <w:adjustRightInd/>
        <w:spacing w:before="60"/>
        <w:ind w:left="567" w:hanging="567"/>
        <w:contextualSpacing w:val="0"/>
        <w:textAlignment w:val="auto"/>
        <w:rPr>
          <w:rFonts w:cstheme="minorHAnsi"/>
        </w:rPr>
      </w:pPr>
      <w:r w:rsidRPr="006510BD">
        <w:rPr>
          <w:rFonts w:cstheme="minorHAnsi"/>
        </w:rPr>
        <w:t>Countries should be encouraged to showcase their innovations, products and services,</w:t>
      </w:r>
      <w:r>
        <w:rPr>
          <w:rFonts w:cstheme="minorHAnsi"/>
        </w:rPr>
        <w:t xml:space="preserve"> </w:t>
      </w:r>
      <w:r w:rsidRPr="006510BD">
        <w:rPr>
          <w:rFonts w:cstheme="minorHAnsi"/>
        </w:rPr>
        <w:t>enabling people to find solutions and addressing similar challenges shared by others. For example, regional offices can consider a system allowing them to highlight specific innovative ideas brought by a particular country</w:t>
      </w:r>
      <w:r w:rsidR="00490F07">
        <w:rPr>
          <w:rFonts w:cstheme="minorHAnsi"/>
        </w:rPr>
        <w:t>.</w:t>
      </w:r>
    </w:p>
    <w:p w14:paraId="414FB03D" w14:textId="4EC30057" w:rsidR="00247548" w:rsidRPr="006510BD" w:rsidRDefault="00247548" w:rsidP="00810998">
      <w:pPr>
        <w:pStyle w:val="ListParagraph"/>
        <w:numPr>
          <w:ilvl w:val="0"/>
          <w:numId w:val="16"/>
        </w:numPr>
        <w:tabs>
          <w:tab w:val="clear" w:pos="1134"/>
          <w:tab w:val="clear" w:pos="1871"/>
          <w:tab w:val="clear" w:pos="2268"/>
        </w:tabs>
        <w:overflowPunct/>
        <w:autoSpaceDE/>
        <w:autoSpaceDN/>
        <w:adjustRightInd/>
        <w:spacing w:before="60"/>
        <w:ind w:left="567" w:hanging="567"/>
        <w:contextualSpacing w:val="0"/>
        <w:textAlignment w:val="auto"/>
        <w:rPr>
          <w:rFonts w:cstheme="minorHAnsi"/>
        </w:rPr>
      </w:pPr>
      <w:r w:rsidRPr="006510BD">
        <w:rPr>
          <w:rFonts w:cstheme="minorHAnsi"/>
        </w:rPr>
        <w:t>Countries can share good practices with others</w:t>
      </w:r>
      <w:r>
        <w:rPr>
          <w:rFonts w:cstheme="minorHAnsi"/>
        </w:rPr>
        <w:t xml:space="preserve"> </w:t>
      </w:r>
      <w:r w:rsidRPr="006510BD">
        <w:rPr>
          <w:rFonts w:cstheme="minorHAnsi"/>
        </w:rPr>
        <w:t>through ITU</w:t>
      </w:r>
      <w:r w:rsidR="00490F07">
        <w:rPr>
          <w:rFonts w:cstheme="minorHAnsi"/>
        </w:rPr>
        <w:t>.</w:t>
      </w:r>
    </w:p>
    <w:p w14:paraId="2928ED67" w14:textId="79CB1465" w:rsidR="00247548" w:rsidRPr="006510BD" w:rsidRDefault="00247548" w:rsidP="00810998">
      <w:pPr>
        <w:pStyle w:val="ListParagraph"/>
        <w:numPr>
          <w:ilvl w:val="0"/>
          <w:numId w:val="16"/>
        </w:numPr>
        <w:tabs>
          <w:tab w:val="clear" w:pos="1134"/>
          <w:tab w:val="clear" w:pos="1871"/>
          <w:tab w:val="clear" w:pos="2268"/>
        </w:tabs>
        <w:overflowPunct/>
        <w:autoSpaceDE/>
        <w:autoSpaceDN/>
        <w:adjustRightInd/>
        <w:spacing w:before="60"/>
        <w:ind w:left="567" w:hanging="567"/>
        <w:contextualSpacing w:val="0"/>
        <w:textAlignment w:val="auto"/>
        <w:rPr>
          <w:rFonts w:cstheme="minorHAnsi"/>
        </w:rPr>
      </w:pPr>
      <w:r w:rsidRPr="006510BD">
        <w:rPr>
          <w:rFonts w:cstheme="minorHAnsi"/>
        </w:rPr>
        <w:t>Countries require national entities to steer their innovations. They should establish a national innovation agenda</w:t>
      </w:r>
      <w:r>
        <w:rPr>
          <w:rFonts w:cstheme="minorHAnsi"/>
        </w:rPr>
        <w:t xml:space="preserve"> and</w:t>
      </w:r>
      <w:r w:rsidRPr="006510BD">
        <w:rPr>
          <w:rFonts w:cstheme="minorHAnsi"/>
        </w:rPr>
        <w:t xml:space="preserve"> mechanisms for development</w:t>
      </w:r>
      <w:r>
        <w:rPr>
          <w:rFonts w:cstheme="minorHAnsi"/>
        </w:rPr>
        <w:t>,</w:t>
      </w:r>
      <w:r w:rsidRPr="006510BD">
        <w:rPr>
          <w:rFonts w:cstheme="minorHAnsi"/>
        </w:rPr>
        <w:t xml:space="preserve"> and receive assistance in building their road</w:t>
      </w:r>
      <w:r w:rsidR="00490F07">
        <w:rPr>
          <w:rFonts w:cstheme="minorHAnsi"/>
        </w:rPr>
        <w:t xml:space="preserve"> </w:t>
      </w:r>
      <w:r w:rsidRPr="006510BD">
        <w:rPr>
          <w:rFonts w:cstheme="minorHAnsi"/>
        </w:rPr>
        <w:t>maps to scale implementation.</w:t>
      </w:r>
    </w:p>
    <w:p w14:paraId="222848B5" w14:textId="77777777" w:rsidR="00247548" w:rsidRPr="006510BD" w:rsidRDefault="00247548" w:rsidP="00810998">
      <w:pPr>
        <w:keepNext/>
        <w:spacing w:after="120"/>
        <w:rPr>
          <w:rFonts w:cstheme="minorHAnsi"/>
          <w:b/>
          <w:bCs/>
        </w:rPr>
      </w:pPr>
      <w:r w:rsidRPr="006510BD">
        <w:rPr>
          <w:rFonts w:cstheme="minorHAnsi"/>
          <w:b/>
          <w:bCs/>
        </w:rPr>
        <w:t>3. How might countries contribute to sharing of good practices, monitoring of ICT innovation capabilities and developing action plans that address the growing digital innovation gap?</w:t>
      </w:r>
    </w:p>
    <w:p w14:paraId="7E7A1BBF" w14:textId="29F0DCA1" w:rsidR="00247548" w:rsidRPr="006510BD" w:rsidRDefault="00247548" w:rsidP="00810998">
      <w:pPr>
        <w:pStyle w:val="ListParagraph"/>
        <w:numPr>
          <w:ilvl w:val="0"/>
          <w:numId w:val="17"/>
        </w:numPr>
        <w:tabs>
          <w:tab w:val="clear" w:pos="1134"/>
          <w:tab w:val="clear" w:pos="1871"/>
          <w:tab w:val="clear" w:pos="2268"/>
        </w:tabs>
        <w:overflowPunct/>
        <w:autoSpaceDE/>
        <w:autoSpaceDN/>
        <w:adjustRightInd/>
        <w:spacing w:before="60"/>
        <w:ind w:left="567" w:hanging="567"/>
        <w:contextualSpacing w:val="0"/>
        <w:textAlignment w:val="auto"/>
        <w:rPr>
          <w:rFonts w:cstheme="minorHAnsi"/>
        </w:rPr>
      </w:pPr>
      <w:r w:rsidRPr="006510BD">
        <w:rPr>
          <w:rFonts w:cstheme="minorHAnsi"/>
        </w:rPr>
        <w:t>ITU should develop a key performance indicator system for countries to monitor and measure the progress of innovation within their countries</w:t>
      </w:r>
      <w:r w:rsidR="00490F07">
        <w:rPr>
          <w:rFonts w:cstheme="minorHAnsi"/>
        </w:rPr>
        <w:t>.</w:t>
      </w:r>
      <w:r w:rsidR="00BE016B">
        <w:rPr>
          <w:rFonts w:cstheme="minorHAnsi"/>
        </w:rPr>
        <w:t xml:space="preserve"> </w:t>
      </w:r>
    </w:p>
    <w:p w14:paraId="2D875FFB" w14:textId="77777777" w:rsidR="00247548" w:rsidRPr="006510BD" w:rsidRDefault="00247548" w:rsidP="00810998">
      <w:pPr>
        <w:pStyle w:val="ListParagraph"/>
        <w:numPr>
          <w:ilvl w:val="0"/>
          <w:numId w:val="17"/>
        </w:numPr>
        <w:tabs>
          <w:tab w:val="clear" w:pos="1134"/>
          <w:tab w:val="clear" w:pos="1871"/>
          <w:tab w:val="clear" w:pos="2268"/>
        </w:tabs>
        <w:overflowPunct/>
        <w:autoSpaceDE/>
        <w:autoSpaceDN/>
        <w:adjustRightInd/>
        <w:spacing w:before="60"/>
        <w:ind w:left="567" w:hanging="567"/>
        <w:contextualSpacing w:val="0"/>
        <w:textAlignment w:val="auto"/>
        <w:rPr>
          <w:rFonts w:cstheme="minorHAnsi"/>
        </w:rPr>
      </w:pPr>
      <w:r w:rsidRPr="006510BD">
        <w:rPr>
          <w:rFonts w:cstheme="minorHAnsi"/>
        </w:rPr>
        <w:t>Innovation assistance funds can help accelerate the innovation agenda.</w:t>
      </w:r>
    </w:p>
    <w:p w14:paraId="07D633C2" w14:textId="7C683A5F" w:rsidR="00247548" w:rsidRPr="006510BD" w:rsidRDefault="00C27497" w:rsidP="00810998">
      <w:pPr>
        <w:keepNext/>
        <w:spacing w:before="240" w:after="120"/>
        <w:ind w:left="425" w:hanging="425"/>
        <w:rPr>
          <w:rFonts w:cstheme="minorHAnsi"/>
          <w:b/>
          <w:lang w:val="en-US"/>
        </w:rPr>
      </w:pPr>
      <w:r>
        <w:rPr>
          <w:rFonts w:cstheme="minorHAnsi"/>
          <w:b/>
          <w:lang w:val="en-US"/>
        </w:rPr>
        <w:t>2.3</w:t>
      </w:r>
      <w:r>
        <w:rPr>
          <w:rFonts w:cstheme="minorHAnsi"/>
          <w:b/>
          <w:lang w:val="en-US"/>
        </w:rPr>
        <w:tab/>
      </w:r>
      <w:r w:rsidR="00247548" w:rsidRPr="006510BD">
        <w:rPr>
          <w:rFonts w:cstheme="minorHAnsi"/>
          <w:b/>
          <w:lang w:val="en-US"/>
        </w:rPr>
        <w:t xml:space="preserve">Telecoms/ICT </w:t>
      </w:r>
      <w:r w:rsidR="00490F07">
        <w:rPr>
          <w:rFonts w:cstheme="minorHAnsi"/>
          <w:b/>
          <w:lang w:val="en-US"/>
        </w:rPr>
        <w:t>n</w:t>
      </w:r>
      <w:r w:rsidR="00247548" w:rsidRPr="006510BD">
        <w:rPr>
          <w:rFonts w:cstheme="minorHAnsi"/>
          <w:b/>
          <w:lang w:val="en-US"/>
        </w:rPr>
        <w:t>etwork</w:t>
      </w:r>
      <w:r w:rsidR="00490F07">
        <w:rPr>
          <w:rFonts w:cstheme="minorHAnsi"/>
          <w:b/>
          <w:lang w:val="en-US"/>
        </w:rPr>
        <w:t xml:space="preserve"> i</w:t>
      </w:r>
      <w:r w:rsidR="00247548" w:rsidRPr="006510BD">
        <w:rPr>
          <w:rFonts w:cstheme="minorHAnsi"/>
          <w:b/>
          <w:lang w:val="en-US"/>
        </w:rPr>
        <w:t>nfrastructure</w:t>
      </w:r>
    </w:p>
    <w:p w14:paraId="3F8C4503" w14:textId="77777777" w:rsidR="00247548" w:rsidRPr="006510BD" w:rsidRDefault="00247548" w:rsidP="00810998">
      <w:pPr>
        <w:keepNext/>
        <w:spacing w:after="120"/>
        <w:rPr>
          <w:rFonts w:cstheme="minorHAnsi"/>
          <w:b/>
          <w:lang w:val="en-US"/>
        </w:rPr>
      </w:pPr>
      <w:r w:rsidRPr="006510BD">
        <w:rPr>
          <w:rFonts w:cstheme="minorHAnsi"/>
          <w:b/>
          <w:lang w:val="en-US"/>
        </w:rPr>
        <w:t>Key takeaways:</w:t>
      </w:r>
    </w:p>
    <w:p w14:paraId="03404C06" w14:textId="45944E31" w:rsidR="00247548" w:rsidRPr="006510BD" w:rsidRDefault="00247548" w:rsidP="00810998">
      <w:pPr>
        <w:pStyle w:val="ListParagraph"/>
        <w:numPr>
          <w:ilvl w:val="0"/>
          <w:numId w:val="11"/>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sidRPr="006510BD">
        <w:rPr>
          <w:rFonts w:cstheme="minorHAnsi"/>
          <w:lang w:val="en-US"/>
        </w:rPr>
        <w:t xml:space="preserve">Compilation of case studies on last mile connectivity, for example business and financing models, regulations and policies, </w:t>
      </w:r>
      <w:r w:rsidRPr="006510BD">
        <w:rPr>
          <w:rFonts w:cstheme="minorHAnsi"/>
        </w:rPr>
        <w:t xml:space="preserve">and preparation of </w:t>
      </w:r>
      <w:r w:rsidRPr="006510BD">
        <w:rPr>
          <w:rFonts w:cstheme="minorHAnsi"/>
          <w:lang w:val="en-US"/>
        </w:rPr>
        <w:t>g</w:t>
      </w:r>
      <w:r w:rsidRPr="006510BD">
        <w:rPr>
          <w:rFonts w:cstheme="minorHAnsi"/>
        </w:rPr>
        <w:t>uidelines on the possible solutions.</w:t>
      </w:r>
      <w:r w:rsidR="00BE016B">
        <w:rPr>
          <w:rFonts w:cstheme="minorHAnsi"/>
          <w:lang w:val="en-US"/>
        </w:rPr>
        <w:t xml:space="preserve"> </w:t>
      </w:r>
    </w:p>
    <w:p w14:paraId="54B1440A" w14:textId="77777777" w:rsidR="00247548" w:rsidRPr="006510BD" w:rsidRDefault="00247548" w:rsidP="00810998">
      <w:pPr>
        <w:pStyle w:val="ListParagraph"/>
        <w:numPr>
          <w:ilvl w:val="0"/>
          <w:numId w:val="11"/>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sidRPr="006510BD">
        <w:rPr>
          <w:rFonts w:cstheme="minorHAnsi"/>
          <w:lang w:val="en-US"/>
        </w:rPr>
        <w:t>Creation of a platform to engage different stakeholders and promotion of collaboration on last mile connectivity and services.</w:t>
      </w:r>
    </w:p>
    <w:p w14:paraId="2F8C26E0" w14:textId="54718F09" w:rsidR="00247548" w:rsidRPr="006510BD" w:rsidRDefault="00247548" w:rsidP="00810998">
      <w:pPr>
        <w:pStyle w:val="ListParagraph"/>
        <w:numPr>
          <w:ilvl w:val="0"/>
          <w:numId w:val="11"/>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sidRPr="006510BD">
        <w:rPr>
          <w:rFonts w:cstheme="minorHAnsi"/>
          <w:lang w:val="en-US"/>
        </w:rPr>
        <w:t>Promotion of the visibility and use of broadband maps, for example, through a link on the regulators’ and ICT ministries’ web</w:t>
      </w:r>
      <w:r w:rsidR="00490F07">
        <w:rPr>
          <w:rFonts w:cstheme="minorHAnsi"/>
          <w:lang w:val="en-US"/>
        </w:rPr>
        <w:t xml:space="preserve"> </w:t>
      </w:r>
      <w:r w:rsidRPr="006510BD">
        <w:rPr>
          <w:rFonts w:cstheme="minorHAnsi"/>
          <w:lang w:val="en-US"/>
        </w:rPr>
        <w:t xml:space="preserve">pages. </w:t>
      </w:r>
    </w:p>
    <w:p w14:paraId="2EBC37CB" w14:textId="77777777" w:rsidR="00247548" w:rsidRPr="006510BD" w:rsidRDefault="00247548" w:rsidP="00810998">
      <w:pPr>
        <w:pStyle w:val="ListParagraph"/>
        <w:numPr>
          <w:ilvl w:val="0"/>
          <w:numId w:val="11"/>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sidRPr="006510BD">
        <w:rPr>
          <w:rFonts w:cstheme="minorHAnsi"/>
        </w:rPr>
        <w:t>Promot</w:t>
      </w:r>
      <w:r w:rsidRPr="006510BD">
        <w:rPr>
          <w:rFonts w:cstheme="minorHAnsi"/>
          <w:lang w:val="en-US"/>
        </w:rPr>
        <w:t>ion of</w:t>
      </w:r>
      <w:r w:rsidRPr="006510BD">
        <w:rPr>
          <w:rFonts w:cstheme="minorHAnsi"/>
        </w:rPr>
        <w:t xml:space="preserve"> the impact</w:t>
      </w:r>
      <w:r w:rsidRPr="006510BD">
        <w:rPr>
          <w:rFonts w:cstheme="minorHAnsi"/>
          <w:lang w:val="en-US"/>
        </w:rPr>
        <w:t>s</w:t>
      </w:r>
      <w:r w:rsidRPr="006510BD">
        <w:rPr>
          <w:rFonts w:cstheme="minorHAnsi"/>
        </w:rPr>
        <w:t xml:space="preserve"> and benefits of the </w:t>
      </w:r>
      <w:r w:rsidRPr="006510BD">
        <w:rPr>
          <w:rFonts w:cstheme="minorHAnsi"/>
          <w:lang w:val="en-US"/>
        </w:rPr>
        <w:t xml:space="preserve">analogue to digital broadcasting transition in specific regions and countries. </w:t>
      </w:r>
    </w:p>
    <w:p w14:paraId="05B5271D" w14:textId="77777777" w:rsidR="00247548" w:rsidRPr="006510BD" w:rsidRDefault="00247548" w:rsidP="00810998">
      <w:pPr>
        <w:keepNext/>
        <w:spacing w:after="120"/>
        <w:rPr>
          <w:rFonts w:cstheme="minorHAnsi"/>
          <w:b/>
          <w:lang w:val="en-US"/>
        </w:rPr>
      </w:pPr>
      <w:r w:rsidRPr="006510BD">
        <w:rPr>
          <w:rFonts w:cstheme="minorHAnsi"/>
          <w:b/>
          <w:lang w:val="en-US"/>
        </w:rPr>
        <w:t>Discussion summary:</w:t>
      </w:r>
    </w:p>
    <w:p w14:paraId="11AA3823" w14:textId="77777777" w:rsidR="00247548" w:rsidRPr="006510BD" w:rsidRDefault="00247548" w:rsidP="00247548">
      <w:pPr>
        <w:tabs>
          <w:tab w:val="left" w:pos="6126"/>
        </w:tabs>
        <w:spacing w:after="120"/>
        <w:rPr>
          <w:rFonts w:cstheme="minorHAnsi"/>
          <w:lang w:val="en-US"/>
        </w:rPr>
      </w:pPr>
      <w:r w:rsidRPr="006510BD">
        <w:rPr>
          <w:rFonts w:cstheme="minorHAnsi"/>
          <w:lang w:val="en-US"/>
        </w:rPr>
        <w:t xml:space="preserve">The discussion on </w:t>
      </w:r>
      <w:r w:rsidRPr="006510BD">
        <w:rPr>
          <w:rFonts w:cstheme="minorHAnsi"/>
        </w:rPr>
        <w:t>telecoms/ICT network infrastructure</w:t>
      </w:r>
      <w:r w:rsidRPr="006510BD">
        <w:rPr>
          <w:rFonts w:cstheme="minorHAnsi"/>
          <w:lang w:val="en-US"/>
        </w:rPr>
        <w:t xml:space="preserve"> focused on the following questions:</w:t>
      </w:r>
    </w:p>
    <w:p w14:paraId="4A385DD2" w14:textId="77777777" w:rsidR="00247548" w:rsidRPr="006510BD" w:rsidRDefault="00247548" w:rsidP="00810998">
      <w:pPr>
        <w:pStyle w:val="ListParagraph"/>
        <w:numPr>
          <w:ilvl w:val="0"/>
          <w:numId w:val="18"/>
        </w:numPr>
        <w:tabs>
          <w:tab w:val="clear" w:pos="1134"/>
          <w:tab w:val="clear" w:pos="1871"/>
          <w:tab w:val="clear" w:pos="2268"/>
        </w:tabs>
        <w:overflowPunct/>
        <w:autoSpaceDE/>
        <w:autoSpaceDN/>
        <w:adjustRightInd/>
        <w:spacing w:before="60"/>
        <w:ind w:left="567" w:hanging="567"/>
        <w:contextualSpacing w:val="0"/>
        <w:textAlignment w:val="auto"/>
        <w:rPr>
          <w:rFonts w:cstheme="minorHAnsi"/>
        </w:rPr>
      </w:pPr>
      <w:r w:rsidRPr="006510BD">
        <w:rPr>
          <w:rFonts w:cstheme="minorHAnsi"/>
        </w:rPr>
        <w:t>How can ITU/ BDT most effectively assist countries in improving their last</w:t>
      </w:r>
      <w:r w:rsidRPr="006510BD">
        <w:rPr>
          <w:rFonts w:cstheme="minorHAnsi"/>
          <w:lang w:val="en-US"/>
        </w:rPr>
        <w:t xml:space="preserve"> </w:t>
      </w:r>
      <w:r w:rsidRPr="006510BD">
        <w:rPr>
          <w:rFonts w:cstheme="minorHAnsi"/>
        </w:rPr>
        <w:t>mile connectivity?</w:t>
      </w:r>
    </w:p>
    <w:p w14:paraId="6F742996" w14:textId="77777777" w:rsidR="00247548" w:rsidRPr="006510BD" w:rsidRDefault="00247548" w:rsidP="00810998">
      <w:pPr>
        <w:pStyle w:val="ListParagraph"/>
        <w:numPr>
          <w:ilvl w:val="0"/>
          <w:numId w:val="18"/>
        </w:numPr>
        <w:tabs>
          <w:tab w:val="clear" w:pos="1134"/>
          <w:tab w:val="clear" w:pos="1871"/>
          <w:tab w:val="clear" w:pos="2268"/>
        </w:tabs>
        <w:overflowPunct/>
        <w:autoSpaceDE/>
        <w:autoSpaceDN/>
        <w:adjustRightInd/>
        <w:spacing w:before="60"/>
        <w:ind w:left="567" w:hanging="567"/>
        <w:contextualSpacing w:val="0"/>
        <w:textAlignment w:val="auto"/>
        <w:rPr>
          <w:rFonts w:cstheme="minorHAnsi"/>
        </w:rPr>
      </w:pPr>
      <w:r w:rsidRPr="006510BD">
        <w:rPr>
          <w:rFonts w:cstheme="minorHAnsi"/>
        </w:rPr>
        <w:t xml:space="preserve">How </w:t>
      </w:r>
      <w:r w:rsidRPr="006510BD">
        <w:rPr>
          <w:rFonts w:cstheme="minorHAnsi"/>
          <w:lang w:val="en-US"/>
        </w:rPr>
        <w:t>can</w:t>
      </w:r>
      <w:r w:rsidRPr="006510BD">
        <w:rPr>
          <w:rFonts w:cstheme="minorHAnsi"/>
        </w:rPr>
        <w:t xml:space="preserve"> the information contained in the broadband maps be best used?</w:t>
      </w:r>
    </w:p>
    <w:p w14:paraId="566C59B3" w14:textId="77777777" w:rsidR="00247548" w:rsidRPr="006510BD" w:rsidRDefault="00247548" w:rsidP="00810998">
      <w:pPr>
        <w:pStyle w:val="ListParagraph"/>
        <w:numPr>
          <w:ilvl w:val="0"/>
          <w:numId w:val="18"/>
        </w:numPr>
        <w:tabs>
          <w:tab w:val="clear" w:pos="1134"/>
          <w:tab w:val="clear" w:pos="1871"/>
          <w:tab w:val="clear" w:pos="2268"/>
        </w:tabs>
        <w:overflowPunct/>
        <w:autoSpaceDE/>
        <w:autoSpaceDN/>
        <w:adjustRightInd/>
        <w:spacing w:before="60"/>
        <w:ind w:left="567" w:hanging="567"/>
        <w:contextualSpacing w:val="0"/>
        <w:textAlignment w:val="auto"/>
        <w:rPr>
          <w:rFonts w:cstheme="minorHAnsi"/>
        </w:rPr>
      </w:pPr>
      <w:r w:rsidRPr="006510BD">
        <w:rPr>
          <w:rFonts w:cstheme="minorHAnsi"/>
        </w:rPr>
        <w:t>What are the impediments countries are facing to completing the digital broadcasting transition and how can ITU assist them</w:t>
      </w:r>
      <w:r w:rsidRPr="006510BD">
        <w:rPr>
          <w:rFonts w:cstheme="minorHAnsi"/>
          <w:lang w:val="en-US"/>
        </w:rPr>
        <w:t>?</w:t>
      </w:r>
    </w:p>
    <w:p w14:paraId="15BA0BC3" w14:textId="1DD65B5F" w:rsidR="00247548" w:rsidRPr="006510BD" w:rsidRDefault="00247548" w:rsidP="00247548">
      <w:pPr>
        <w:spacing w:after="120"/>
        <w:rPr>
          <w:rFonts w:cstheme="minorHAnsi"/>
          <w:lang w:val="en-US"/>
        </w:rPr>
      </w:pPr>
      <w:r w:rsidRPr="006510BD">
        <w:rPr>
          <w:rFonts w:cstheme="minorHAnsi"/>
          <w:lang w:val="en-US"/>
        </w:rPr>
        <w:t>The discussion on Question 1 recognized that although different resources exist relating to last mile connectivity</w:t>
      </w:r>
      <w:r>
        <w:rPr>
          <w:rFonts w:cstheme="minorHAnsi"/>
          <w:lang w:val="en-US"/>
        </w:rPr>
        <w:t>,</w:t>
      </w:r>
      <w:r w:rsidRPr="006510BD">
        <w:rPr>
          <w:rFonts w:cstheme="minorHAnsi"/>
          <w:lang w:val="en-US"/>
        </w:rPr>
        <w:t xml:space="preserve"> the material is not easily accessible. It was also acknowledged that gaps in last mile connectivity exist both within a country and between neighboring countries. The main suggestions are:</w:t>
      </w:r>
      <w:r w:rsidR="00BE016B">
        <w:rPr>
          <w:rFonts w:cstheme="minorHAnsi"/>
          <w:lang w:val="en-US"/>
        </w:rPr>
        <w:t xml:space="preserve"> </w:t>
      </w:r>
    </w:p>
    <w:p w14:paraId="1D61E240" w14:textId="6388B8FE" w:rsidR="00247548" w:rsidRPr="006510BD" w:rsidRDefault="00DE1078" w:rsidP="00810998">
      <w:pPr>
        <w:pStyle w:val="ListParagraph"/>
        <w:numPr>
          <w:ilvl w:val="0"/>
          <w:numId w:val="19"/>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Pr>
          <w:rFonts w:cstheme="minorHAnsi"/>
          <w:lang w:val="en-US"/>
        </w:rPr>
        <w:lastRenderedPageBreak/>
        <w:t>c</w:t>
      </w:r>
      <w:r w:rsidR="00247548" w:rsidRPr="006510BD">
        <w:rPr>
          <w:rFonts w:cstheme="minorHAnsi"/>
          <w:lang w:val="en-US"/>
        </w:rPr>
        <w:t xml:space="preserve">ompilation of case studies on last mile connectivity, presenting the </w:t>
      </w:r>
      <w:r w:rsidR="00247548" w:rsidRPr="006510BD">
        <w:rPr>
          <w:rFonts w:cstheme="minorHAnsi"/>
        </w:rPr>
        <w:t>countries’ experiences</w:t>
      </w:r>
      <w:r w:rsidR="00247548" w:rsidRPr="006510BD">
        <w:rPr>
          <w:rFonts w:cstheme="minorHAnsi"/>
          <w:lang w:val="en-US"/>
        </w:rPr>
        <w:t xml:space="preserve"> and practices, business models, policies and </w:t>
      </w:r>
      <w:r w:rsidR="00247548" w:rsidRPr="006510BD">
        <w:rPr>
          <w:rFonts w:cstheme="minorHAnsi"/>
        </w:rPr>
        <w:t>regulations;</w:t>
      </w:r>
    </w:p>
    <w:p w14:paraId="4F3183BF" w14:textId="6D53B7FA" w:rsidR="00247548" w:rsidRPr="006510BD" w:rsidRDefault="00DE1078" w:rsidP="00810998">
      <w:pPr>
        <w:pStyle w:val="ListParagraph"/>
        <w:numPr>
          <w:ilvl w:val="0"/>
          <w:numId w:val="19"/>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Pr>
          <w:rFonts w:cstheme="minorHAnsi"/>
          <w:lang w:val="en-US"/>
        </w:rPr>
        <w:t>c</w:t>
      </w:r>
      <w:r w:rsidR="00247548" w:rsidRPr="006510BD">
        <w:rPr>
          <w:rFonts w:cstheme="minorHAnsi"/>
        </w:rPr>
        <w:t>onsideration</w:t>
      </w:r>
      <w:r w:rsidR="00247548" w:rsidRPr="006510BD">
        <w:rPr>
          <w:rFonts w:cstheme="minorHAnsi"/>
          <w:lang w:val="en-US"/>
        </w:rPr>
        <w:t xml:space="preserve"> of </w:t>
      </w:r>
      <w:r w:rsidR="00247548" w:rsidRPr="006510BD">
        <w:rPr>
          <w:rFonts w:cstheme="minorHAnsi"/>
        </w:rPr>
        <w:t>community network models</w:t>
      </w:r>
      <w:r w:rsidR="00247548" w:rsidRPr="006510BD">
        <w:rPr>
          <w:rFonts w:cstheme="minorHAnsi"/>
          <w:lang w:val="en-US"/>
        </w:rPr>
        <w:t xml:space="preserve"> in policies and regulations by the regulators;</w:t>
      </w:r>
    </w:p>
    <w:p w14:paraId="39980FB4" w14:textId="6588750E" w:rsidR="00247548" w:rsidRPr="006510BD" w:rsidRDefault="00490F07" w:rsidP="00247548">
      <w:pPr>
        <w:pStyle w:val="ListParagraph"/>
        <w:numPr>
          <w:ilvl w:val="0"/>
          <w:numId w:val="19"/>
        </w:numPr>
        <w:tabs>
          <w:tab w:val="clear" w:pos="1134"/>
          <w:tab w:val="clear" w:pos="1871"/>
          <w:tab w:val="clear" w:pos="2268"/>
        </w:tabs>
        <w:overflowPunct/>
        <w:autoSpaceDE/>
        <w:autoSpaceDN/>
        <w:adjustRightInd/>
        <w:spacing w:before="60" w:after="60"/>
        <w:ind w:left="357" w:hanging="357"/>
        <w:contextualSpacing w:val="0"/>
        <w:textAlignment w:val="auto"/>
        <w:rPr>
          <w:rFonts w:cstheme="minorHAnsi"/>
          <w:lang w:val="en-US"/>
        </w:rPr>
      </w:pPr>
      <w:r>
        <w:rPr>
          <w:rFonts w:cstheme="minorHAnsi"/>
          <w:lang w:val="en-US"/>
        </w:rPr>
        <w:t>d</w:t>
      </w:r>
      <w:r w:rsidR="00247548" w:rsidRPr="006510BD">
        <w:rPr>
          <w:rFonts w:cstheme="minorHAnsi"/>
          <w:lang w:val="en-US"/>
        </w:rPr>
        <w:t>evelopment of p</w:t>
      </w:r>
      <w:r w:rsidR="00247548" w:rsidRPr="006510BD">
        <w:rPr>
          <w:rFonts w:cstheme="minorHAnsi"/>
        </w:rPr>
        <w:t xml:space="preserve">olicies </w:t>
      </w:r>
      <w:r w:rsidR="00247548" w:rsidRPr="006510BD">
        <w:rPr>
          <w:rFonts w:cstheme="minorHAnsi"/>
          <w:lang w:val="en-US"/>
        </w:rPr>
        <w:t xml:space="preserve">and </w:t>
      </w:r>
      <w:r w:rsidR="00247548" w:rsidRPr="006510BD">
        <w:rPr>
          <w:rFonts w:cstheme="minorHAnsi"/>
        </w:rPr>
        <w:t xml:space="preserve">regulations </w:t>
      </w:r>
      <w:r w:rsidR="00247548" w:rsidRPr="006510BD">
        <w:rPr>
          <w:rFonts w:cstheme="minorHAnsi"/>
          <w:lang w:val="en-US"/>
        </w:rPr>
        <w:t>to promote the</w:t>
      </w:r>
      <w:r w:rsidR="00247548" w:rsidRPr="006510BD">
        <w:rPr>
          <w:rFonts w:cstheme="minorHAnsi"/>
        </w:rPr>
        <w:t xml:space="preserve"> last mile </w:t>
      </w:r>
      <w:r w:rsidR="00247548" w:rsidRPr="006510BD">
        <w:rPr>
          <w:rFonts w:cstheme="minorHAnsi"/>
          <w:lang w:val="en-US"/>
        </w:rPr>
        <w:t xml:space="preserve">connectivity </w:t>
      </w:r>
      <w:r w:rsidR="00247548" w:rsidRPr="006510BD">
        <w:rPr>
          <w:rFonts w:cstheme="minorHAnsi"/>
        </w:rPr>
        <w:t>between and within countr</w:t>
      </w:r>
      <w:r w:rsidR="00247548" w:rsidRPr="006510BD">
        <w:rPr>
          <w:rFonts w:cstheme="minorHAnsi"/>
          <w:lang w:val="en-US"/>
        </w:rPr>
        <w:t>ies;</w:t>
      </w:r>
    </w:p>
    <w:p w14:paraId="199F33A6" w14:textId="2392D397" w:rsidR="00247548" w:rsidRPr="006510BD" w:rsidRDefault="00DE1078" w:rsidP="00810998">
      <w:pPr>
        <w:pStyle w:val="ListParagraph"/>
        <w:numPr>
          <w:ilvl w:val="0"/>
          <w:numId w:val="19"/>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Pr>
          <w:rFonts w:cstheme="minorHAnsi"/>
          <w:lang w:val="en-US"/>
        </w:rPr>
        <w:t>i</w:t>
      </w:r>
      <w:r w:rsidR="00247548" w:rsidRPr="006510BD">
        <w:rPr>
          <w:rFonts w:cstheme="minorHAnsi"/>
        </w:rPr>
        <w:t>nnovative thinking around financing, business and taxation models</w:t>
      </w:r>
      <w:r w:rsidR="00247548" w:rsidRPr="006510BD">
        <w:rPr>
          <w:rFonts w:cstheme="minorHAnsi"/>
          <w:lang w:val="en-US"/>
        </w:rPr>
        <w:t xml:space="preserve"> to promote last mile connectivity;</w:t>
      </w:r>
      <w:r w:rsidR="00BE016B">
        <w:rPr>
          <w:rFonts w:cstheme="minorHAnsi"/>
          <w:lang w:val="en-US"/>
        </w:rPr>
        <w:t xml:space="preserve"> </w:t>
      </w:r>
    </w:p>
    <w:p w14:paraId="0B8D372F" w14:textId="78DFC1BE" w:rsidR="00247548" w:rsidRPr="006510BD" w:rsidRDefault="00DE1078" w:rsidP="00810998">
      <w:pPr>
        <w:pStyle w:val="ListParagraph"/>
        <w:numPr>
          <w:ilvl w:val="0"/>
          <w:numId w:val="19"/>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Pr>
          <w:rFonts w:cstheme="minorHAnsi"/>
          <w:lang w:val="en-US"/>
        </w:rPr>
        <w:t>c</w:t>
      </w:r>
      <w:r w:rsidR="00247548" w:rsidRPr="006510BD">
        <w:rPr>
          <w:rFonts w:cstheme="minorHAnsi"/>
          <w:lang w:val="en-US"/>
        </w:rPr>
        <w:t xml:space="preserve">reation of a </w:t>
      </w:r>
      <w:r w:rsidR="00247548" w:rsidRPr="006510BD">
        <w:rPr>
          <w:rFonts w:cstheme="minorHAnsi"/>
        </w:rPr>
        <w:t>platform to engage stakeholders</w:t>
      </w:r>
      <w:r w:rsidR="00247548" w:rsidRPr="006510BD">
        <w:rPr>
          <w:rFonts w:cstheme="minorHAnsi"/>
          <w:lang w:val="en-US"/>
        </w:rPr>
        <w:t xml:space="preserve"> (e.g. through </w:t>
      </w:r>
      <w:r w:rsidR="00247548" w:rsidRPr="006510BD">
        <w:rPr>
          <w:rFonts w:cstheme="minorHAnsi"/>
        </w:rPr>
        <w:t>success stories and business cases</w:t>
      </w:r>
      <w:r w:rsidR="00247548" w:rsidRPr="006510BD">
        <w:rPr>
          <w:rFonts w:cstheme="minorHAnsi"/>
          <w:lang w:val="en-US"/>
        </w:rPr>
        <w:t>) and</w:t>
      </w:r>
      <w:r w:rsidR="00BE016B">
        <w:rPr>
          <w:rFonts w:cstheme="minorHAnsi"/>
          <w:lang w:val="en-US"/>
        </w:rPr>
        <w:t xml:space="preserve"> </w:t>
      </w:r>
      <w:r w:rsidR="00247548" w:rsidRPr="006510BD">
        <w:rPr>
          <w:rFonts w:cstheme="minorHAnsi"/>
          <w:lang w:val="en-US"/>
        </w:rPr>
        <w:t>promote c</w:t>
      </w:r>
      <w:r w:rsidR="00247548" w:rsidRPr="00DE1078">
        <w:rPr>
          <w:rFonts w:cstheme="minorHAnsi"/>
          <w:lang w:val="en-US"/>
        </w:rPr>
        <w:t>ooperation between</w:t>
      </w:r>
      <w:r w:rsidR="00247548" w:rsidRPr="006510BD">
        <w:rPr>
          <w:rFonts w:cstheme="minorHAnsi"/>
        </w:rPr>
        <w:t xml:space="preserve"> satellite and terrestrial operators </w:t>
      </w:r>
      <w:r w:rsidR="00247548" w:rsidRPr="006510BD">
        <w:rPr>
          <w:rFonts w:cstheme="minorHAnsi"/>
          <w:lang w:val="en-US"/>
        </w:rPr>
        <w:t>to provide last mile connectivity;</w:t>
      </w:r>
    </w:p>
    <w:p w14:paraId="438AAB50" w14:textId="38A9E7DB" w:rsidR="00247548" w:rsidRPr="006510BD" w:rsidRDefault="00DE1078" w:rsidP="00810998">
      <w:pPr>
        <w:pStyle w:val="ListParagraph"/>
        <w:numPr>
          <w:ilvl w:val="0"/>
          <w:numId w:val="19"/>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Pr>
          <w:rFonts w:cstheme="minorHAnsi"/>
          <w:lang w:val="en-US"/>
        </w:rPr>
        <w:t>u</w:t>
      </w:r>
      <w:r w:rsidR="00247548" w:rsidRPr="006510BD">
        <w:rPr>
          <w:rFonts w:cstheme="minorHAnsi"/>
        </w:rPr>
        <w:t xml:space="preserve">se the universal </w:t>
      </w:r>
      <w:r w:rsidR="00247548" w:rsidRPr="006510BD">
        <w:rPr>
          <w:rFonts w:cstheme="minorHAnsi"/>
          <w:lang w:val="en-US"/>
        </w:rPr>
        <w:t>service/access</w:t>
      </w:r>
      <w:r w:rsidR="00247548" w:rsidRPr="006510BD">
        <w:rPr>
          <w:rFonts w:cstheme="minorHAnsi"/>
        </w:rPr>
        <w:t xml:space="preserve"> funds</w:t>
      </w:r>
      <w:r w:rsidR="00247548" w:rsidRPr="006510BD">
        <w:rPr>
          <w:rFonts w:cstheme="minorHAnsi"/>
          <w:lang w:val="en-US"/>
        </w:rPr>
        <w:t xml:space="preserve"> </w:t>
      </w:r>
      <w:r w:rsidR="00247548">
        <w:rPr>
          <w:rFonts w:cstheme="minorHAnsi"/>
          <w:lang w:val="en-US"/>
        </w:rPr>
        <w:t xml:space="preserve">for </w:t>
      </w:r>
      <w:r w:rsidR="00247548" w:rsidRPr="006510BD">
        <w:rPr>
          <w:rFonts w:cstheme="minorHAnsi"/>
          <w:lang w:val="en-US"/>
        </w:rPr>
        <w:t>last mile connectivity projects;</w:t>
      </w:r>
    </w:p>
    <w:p w14:paraId="39DB0078" w14:textId="68E540D8" w:rsidR="00247548" w:rsidRPr="006510BD" w:rsidRDefault="00DE1078" w:rsidP="00810998">
      <w:pPr>
        <w:pStyle w:val="ListParagraph"/>
        <w:numPr>
          <w:ilvl w:val="0"/>
          <w:numId w:val="19"/>
        </w:numPr>
        <w:tabs>
          <w:tab w:val="clear" w:pos="1134"/>
          <w:tab w:val="clear" w:pos="1871"/>
          <w:tab w:val="clear" w:pos="2268"/>
        </w:tabs>
        <w:overflowPunct/>
        <w:autoSpaceDE/>
        <w:autoSpaceDN/>
        <w:adjustRightInd/>
        <w:spacing w:before="60"/>
        <w:ind w:left="567" w:hanging="567"/>
        <w:contextualSpacing w:val="0"/>
        <w:textAlignment w:val="auto"/>
        <w:rPr>
          <w:rFonts w:cstheme="minorHAnsi"/>
          <w:lang w:val="en-US"/>
        </w:rPr>
      </w:pPr>
      <w:r>
        <w:rPr>
          <w:rFonts w:cstheme="minorHAnsi"/>
          <w:lang w:val="en-US"/>
        </w:rPr>
        <w:t>c</w:t>
      </w:r>
      <w:r w:rsidR="00247548" w:rsidRPr="006510BD">
        <w:rPr>
          <w:rFonts w:cstheme="minorHAnsi"/>
          <w:lang w:val="en-US"/>
        </w:rPr>
        <w:t>reation of new business models to</w:t>
      </w:r>
      <w:r w:rsidR="00247548" w:rsidRPr="006510BD">
        <w:rPr>
          <w:rFonts w:cstheme="minorHAnsi"/>
        </w:rPr>
        <w:t xml:space="preserve"> attract </w:t>
      </w:r>
      <w:r w:rsidR="00247548" w:rsidRPr="006510BD">
        <w:rPr>
          <w:rFonts w:cstheme="minorHAnsi"/>
          <w:lang w:val="en-US"/>
        </w:rPr>
        <w:t xml:space="preserve">additional </w:t>
      </w:r>
      <w:r w:rsidR="00247548" w:rsidRPr="006510BD">
        <w:rPr>
          <w:rFonts w:cstheme="minorHAnsi"/>
        </w:rPr>
        <w:t>fun</w:t>
      </w:r>
      <w:r w:rsidR="00247548" w:rsidRPr="006510BD">
        <w:rPr>
          <w:rFonts w:cstheme="minorHAnsi"/>
          <w:lang w:val="en-US"/>
        </w:rPr>
        <w:t>ding.</w:t>
      </w:r>
    </w:p>
    <w:p w14:paraId="21ADBE5B" w14:textId="3EFF9053" w:rsidR="00247548" w:rsidRPr="006510BD" w:rsidRDefault="00247548" w:rsidP="00247548">
      <w:pPr>
        <w:spacing w:after="120"/>
        <w:rPr>
          <w:rFonts w:cstheme="minorHAnsi"/>
          <w:lang w:val="en-US"/>
        </w:rPr>
      </w:pPr>
      <w:r w:rsidRPr="006510BD">
        <w:rPr>
          <w:rFonts w:cstheme="minorHAnsi"/>
          <w:lang w:val="en-US"/>
        </w:rPr>
        <w:t xml:space="preserve">Regarding </w:t>
      </w:r>
      <w:r w:rsidR="00490F07">
        <w:rPr>
          <w:rFonts w:cstheme="minorHAnsi"/>
          <w:lang w:val="en-US"/>
        </w:rPr>
        <w:t>q</w:t>
      </w:r>
      <w:r w:rsidRPr="006510BD">
        <w:rPr>
          <w:rFonts w:cstheme="minorHAnsi"/>
          <w:lang w:val="en-US"/>
        </w:rPr>
        <w:t>uestion 2, the importance of the data being collected and displayed on the broadband map was acknowledged. These data provide reliable information on broadband, for example for investments. Drawing on another example from an NGO, access to the broadband map was recalled to promote innovation, allowing users to consider new solutions to connectivity problems. Recommendations were made for greater</w:t>
      </w:r>
      <w:r w:rsidRPr="006510BD">
        <w:rPr>
          <w:rFonts w:cstheme="minorHAnsi"/>
        </w:rPr>
        <w:t xml:space="preserve"> visibility </w:t>
      </w:r>
      <w:r w:rsidRPr="006510BD">
        <w:rPr>
          <w:rFonts w:cstheme="minorHAnsi"/>
          <w:lang w:val="en-US"/>
        </w:rPr>
        <w:t xml:space="preserve">of the broadband map </w:t>
      </w:r>
      <w:r w:rsidRPr="006510BD">
        <w:rPr>
          <w:rFonts w:cstheme="minorHAnsi"/>
        </w:rPr>
        <w:t>on the ITU website and other platforms,</w:t>
      </w:r>
      <w:r w:rsidRPr="006510BD">
        <w:rPr>
          <w:rFonts w:cstheme="minorHAnsi"/>
          <w:lang w:val="en-US"/>
        </w:rPr>
        <w:t xml:space="preserve"> to a</w:t>
      </w:r>
      <w:r w:rsidRPr="006510BD">
        <w:rPr>
          <w:rFonts w:cstheme="minorHAnsi"/>
        </w:rPr>
        <w:t xml:space="preserve">llow </w:t>
      </w:r>
      <w:r w:rsidRPr="006510BD">
        <w:rPr>
          <w:rFonts w:cstheme="minorHAnsi"/>
          <w:lang w:val="en-US"/>
        </w:rPr>
        <w:t xml:space="preserve">more </w:t>
      </w:r>
      <w:r w:rsidRPr="006510BD">
        <w:rPr>
          <w:rFonts w:cstheme="minorHAnsi"/>
        </w:rPr>
        <w:t xml:space="preserve">people to </w:t>
      </w:r>
      <w:r w:rsidRPr="006510BD">
        <w:rPr>
          <w:rFonts w:cstheme="minorHAnsi"/>
          <w:lang w:val="en-US"/>
        </w:rPr>
        <w:t xml:space="preserve">use and </w:t>
      </w:r>
      <w:r w:rsidRPr="006510BD">
        <w:rPr>
          <w:rFonts w:cstheme="minorHAnsi"/>
        </w:rPr>
        <w:t xml:space="preserve">contribute to </w:t>
      </w:r>
      <w:r w:rsidRPr="006510BD">
        <w:rPr>
          <w:rFonts w:cstheme="minorHAnsi"/>
          <w:lang w:val="en-US"/>
        </w:rPr>
        <w:t xml:space="preserve">the </w:t>
      </w:r>
      <w:r>
        <w:rPr>
          <w:rFonts w:cstheme="minorHAnsi"/>
          <w:lang w:val="en-US"/>
        </w:rPr>
        <w:t>m</w:t>
      </w:r>
      <w:r w:rsidRPr="006510BD">
        <w:rPr>
          <w:rFonts w:cstheme="minorHAnsi"/>
          <w:lang w:val="en-US"/>
        </w:rPr>
        <w:t>ap. Regulators</w:t>
      </w:r>
      <w:r w:rsidRPr="006510BD">
        <w:rPr>
          <w:rFonts w:cstheme="minorHAnsi"/>
        </w:rPr>
        <w:t xml:space="preserve"> and </w:t>
      </w:r>
      <w:r w:rsidRPr="006510BD">
        <w:rPr>
          <w:rFonts w:cstheme="minorHAnsi"/>
          <w:lang w:val="en-US"/>
        </w:rPr>
        <w:t>ICT ministries could be invited to include a link to the broadband map on their website, for example.</w:t>
      </w:r>
      <w:r w:rsidR="00BE016B">
        <w:rPr>
          <w:rFonts w:cstheme="minorHAnsi"/>
          <w:lang w:val="en-US"/>
        </w:rPr>
        <w:t xml:space="preserve"> </w:t>
      </w:r>
      <w:r w:rsidRPr="006510BD">
        <w:rPr>
          <w:rFonts w:cstheme="minorHAnsi"/>
          <w:lang w:val="en-US"/>
        </w:rPr>
        <w:t xml:space="preserve">Lastly, it was suggested that countries should be asked </w:t>
      </w:r>
      <w:r w:rsidRPr="006510BD">
        <w:rPr>
          <w:rFonts w:cstheme="minorHAnsi"/>
        </w:rPr>
        <w:t>to provide data</w:t>
      </w:r>
      <w:r w:rsidRPr="006510BD">
        <w:rPr>
          <w:rFonts w:cstheme="minorHAnsi"/>
          <w:lang w:val="en-US"/>
        </w:rPr>
        <w:t xml:space="preserve">. </w:t>
      </w:r>
    </w:p>
    <w:p w14:paraId="216C7CD5" w14:textId="6D508BC1" w:rsidR="00247548" w:rsidRPr="006510BD" w:rsidRDefault="00247548" w:rsidP="00490F07">
      <w:pPr>
        <w:spacing w:after="120"/>
        <w:rPr>
          <w:rFonts w:cstheme="minorHAnsi"/>
          <w:lang w:val="en-US"/>
        </w:rPr>
      </w:pPr>
      <w:r w:rsidRPr="006510BD">
        <w:rPr>
          <w:rFonts w:cstheme="minorHAnsi"/>
          <w:lang w:val="en-US"/>
        </w:rPr>
        <w:t xml:space="preserve">Concerning </w:t>
      </w:r>
      <w:r w:rsidR="00490F07">
        <w:rPr>
          <w:rFonts w:cstheme="minorHAnsi"/>
          <w:lang w:val="en-US"/>
        </w:rPr>
        <w:t>q</w:t>
      </w:r>
      <w:r w:rsidRPr="006510BD">
        <w:rPr>
          <w:rFonts w:cstheme="minorHAnsi"/>
          <w:lang w:val="en-US"/>
        </w:rPr>
        <w:t>uestion 3, participants recognized that migration issues were central to countries’ policies.</w:t>
      </w:r>
      <w:r w:rsidR="00BE016B">
        <w:rPr>
          <w:rFonts w:cstheme="minorHAnsi"/>
          <w:lang w:val="en-US"/>
        </w:rPr>
        <w:t xml:space="preserve"> </w:t>
      </w:r>
      <w:r>
        <w:rPr>
          <w:rFonts w:cstheme="minorHAnsi"/>
          <w:lang w:val="en-US"/>
        </w:rPr>
        <w:t>P</w:t>
      </w:r>
      <w:r w:rsidRPr="006510BD">
        <w:rPr>
          <w:rFonts w:cstheme="minorHAnsi"/>
        </w:rPr>
        <w:t>romot</w:t>
      </w:r>
      <w:r>
        <w:rPr>
          <w:rFonts w:cstheme="minorHAnsi"/>
        </w:rPr>
        <w:t>ion of</w:t>
      </w:r>
      <w:r w:rsidRPr="006510BD">
        <w:rPr>
          <w:rFonts w:cstheme="minorHAnsi"/>
        </w:rPr>
        <w:t xml:space="preserve"> the impact</w:t>
      </w:r>
      <w:r w:rsidRPr="006510BD">
        <w:rPr>
          <w:rFonts w:cstheme="minorHAnsi"/>
          <w:lang w:val="en-US"/>
        </w:rPr>
        <w:t>s</w:t>
      </w:r>
      <w:r w:rsidRPr="006510BD">
        <w:rPr>
          <w:rFonts w:cstheme="minorHAnsi"/>
        </w:rPr>
        <w:t xml:space="preserve"> and benefits of migration </w:t>
      </w:r>
      <w:r w:rsidRPr="006510BD">
        <w:rPr>
          <w:rFonts w:cstheme="minorHAnsi"/>
          <w:lang w:val="en-US"/>
        </w:rPr>
        <w:t xml:space="preserve">(e.g. through </w:t>
      </w:r>
      <w:r w:rsidRPr="006510BD">
        <w:rPr>
          <w:rFonts w:cstheme="minorHAnsi"/>
        </w:rPr>
        <w:t>workshops and platforms</w:t>
      </w:r>
      <w:r w:rsidRPr="006510BD">
        <w:rPr>
          <w:rFonts w:cstheme="minorHAnsi"/>
          <w:lang w:val="en-US"/>
        </w:rPr>
        <w:t>)</w:t>
      </w:r>
      <w:r w:rsidRPr="006510BD">
        <w:rPr>
          <w:rFonts w:cstheme="minorHAnsi"/>
        </w:rPr>
        <w:t xml:space="preserve"> </w:t>
      </w:r>
      <w:r w:rsidRPr="006510BD">
        <w:rPr>
          <w:rFonts w:cstheme="minorHAnsi"/>
          <w:lang w:val="en-US"/>
        </w:rPr>
        <w:t>and ITU</w:t>
      </w:r>
      <w:r>
        <w:rPr>
          <w:rFonts w:cstheme="minorHAnsi"/>
          <w:lang w:val="en-US"/>
        </w:rPr>
        <w:t>’s involvement</w:t>
      </w:r>
      <w:r w:rsidRPr="006510BD">
        <w:rPr>
          <w:rFonts w:cstheme="minorHAnsi"/>
        </w:rPr>
        <w:t xml:space="preserve"> in the policies, regulations and implementation</w:t>
      </w:r>
      <w:r w:rsidRPr="006510BD">
        <w:rPr>
          <w:rFonts w:cstheme="minorHAnsi"/>
          <w:lang w:val="en-US"/>
        </w:rPr>
        <w:t xml:space="preserve"> at country level</w:t>
      </w:r>
      <w:r>
        <w:rPr>
          <w:rFonts w:cstheme="minorHAnsi"/>
          <w:lang w:val="en-US"/>
        </w:rPr>
        <w:t xml:space="preserve"> was proposed</w:t>
      </w:r>
      <w:r w:rsidRPr="006510BD">
        <w:rPr>
          <w:rFonts w:cstheme="minorHAnsi"/>
          <w:lang w:val="en-US"/>
        </w:rPr>
        <w:t xml:space="preserve">. </w:t>
      </w:r>
    </w:p>
    <w:p w14:paraId="73FDA050" w14:textId="48A514B9" w:rsidR="00247548" w:rsidRPr="006510BD" w:rsidRDefault="00C27497" w:rsidP="00810998">
      <w:pPr>
        <w:keepNext/>
        <w:spacing w:before="240" w:after="120"/>
        <w:ind w:left="425" w:hanging="425"/>
        <w:rPr>
          <w:rFonts w:cstheme="minorHAnsi"/>
          <w:b/>
        </w:rPr>
      </w:pPr>
      <w:r>
        <w:rPr>
          <w:rFonts w:cstheme="minorHAnsi"/>
          <w:b/>
        </w:rPr>
        <w:t>2.4</w:t>
      </w:r>
      <w:r>
        <w:rPr>
          <w:rFonts w:cstheme="minorHAnsi"/>
          <w:b/>
        </w:rPr>
        <w:tab/>
      </w:r>
      <w:r w:rsidR="00247548" w:rsidRPr="006510BD">
        <w:rPr>
          <w:rFonts w:cstheme="minorHAnsi"/>
          <w:b/>
        </w:rPr>
        <w:t xml:space="preserve">Capacity </w:t>
      </w:r>
      <w:r w:rsidR="00247548" w:rsidRPr="00973CFA">
        <w:rPr>
          <w:rFonts w:cstheme="minorHAnsi"/>
          <w:b/>
        </w:rPr>
        <w:t>building and skills development</w:t>
      </w:r>
    </w:p>
    <w:p w14:paraId="63FC19AB" w14:textId="77777777" w:rsidR="00247548" w:rsidRPr="006510BD" w:rsidRDefault="00247548" w:rsidP="00810998">
      <w:pPr>
        <w:keepNext/>
        <w:spacing w:after="120"/>
        <w:rPr>
          <w:rFonts w:cstheme="minorHAnsi"/>
          <w:b/>
        </w:rPr>
      </w:pPr>
      <w:r w:rsidRPr="006510BD">
        <w:rPr>
          <w:rFonts w:cstheme="minorHAnsi"/>
          <w:b/>
        </w:rPr>
        <w:t>Key takeaways:</w:t>
      </w:r>
    </w:p>
    <w:p w14:paraId="597191A8" w14:textId="77777777" w:rsidR="00247548" w:rsidRPr="006510BD" w:rsidRDefault="00247548" w:rsidP="00810998">
      <w:pPr>
        <w:pStyle w:val="ListParagraph"/>
        <w:numPr>
          <w:ilvl w:val="0"/>
          <w:numId w:val="11"/>
        </w:numPr>
        <w:tabs>
          <w:tab w:val="clear" w:pos="1134"/>
          <w:tab w:val="clear" w:pos="1871"/>
          <w:tab w:val="clear" w:pos="2268"/>
        </w:tabs>
        <w:overflowPunct/>
        <w:autoSpaceDE/>
        <w:autoSpaceDN/>
        <w:adjustRightInd/>
        <w:spacing w:before="60"/>
        <w:ind w:left="567" w:hanging="567"/>
        <w:contextualSpacing w:val="0"/>
        <w:textAlignment w:val="auto"/>
        <w:rPr>
          <w:rFonts w:cstheme="minorHAnsi"/>
        </w:rPr>
      </w:pPr>
      <w:r w:rsidRPr="006510BD">
        <w:rPr>
          <w:rFonts w:cstheme="minorHAnsi"/>
        </w:rPr>
        <w:t>ITU should extend its capacity development activities and provide digital skills training to those at the bottom of the pyramid and reach the unconnected</w:t>
      </w:r>
      <w:r>
        <w:rPr>
          <w:rFonts w:cstheme="minorHAnsi"/>
        </w:rPr>
        <w:t>. T</w:t>
      </w:r>
      <w:r w:rsidRPr="006510BD">
        <w:rPr>
          <w:rFonts w:cstheme="minorHAnsi"/>
        </w:rPr>
        <w:t xml:space="preserve">raining-of-trainers is a good approach in this regard. </w:t>
      </w:r>
    </w:p>
    <w:p w14:paraId="74EDC061" w14:textId="77777777" w:rsidR="00247548" w:rsidRPr="006510BD" w:rsidRDefault="00247548" w:rsidP="00810998">
      <w:pPr>
        <w:pStyle w:val="ListParagraph"/>
        <w:numPr>
          <w:ilvl w:val="0"/>
          <w:numId w:val="11"/>
        </w:numPr>
        <w:tabs>
          <w:tab w:val="clear" w:pos="1134"/>
          <w:tab w:val="clear" w:pos="1871"/>
          <w:tab w:val="clear" w:pos="2268"/>
        </w:tabs>
        <w:overflowPunct/>
        <w:autoSpaceDE/>
        <w:autoSpaceDN/>
        <w:adjustRightInd/>
        <w:spacing w:before="60"/>
        <w:ind w:left="567" w:hanging="567"/>
        <w:contextualSpacing w:val="0"/>
        <w:textAlignment w:val="auto"/>
        <w:rPr>
          <w:rFonts w:cstheme="minorHAnsi"/>
        </w:rPr>
      </w:pPr>
      <w:r w:rsidRPr="006510BD">
        <w:rPr>
          <w:rFonts w:cstheme="minorHAnsi"/>
        </w:rPr>
        <w:t>ITU should also provide training for decision-makers, including from non-ICT sectors</w:t>
      </w:r>
      <w:r>
        <w:rPr>
          <w:rFonts w:cstheme="minorHAnsi"/>
        </w:rPr>
        <w:t>. T</w:t>
      </w:r>
      <w:r w:rsidRPr="006510BD">
        <w:rPr>
          <w:rFonts w:cstheme="minorHAnsi"/>
        </w:rPr>
        <w:t>his training should be policy-related and not overly technical.</w:t>
      </w:r>
    </w:p>
    <w:p w14:paraId="5FFA4E16" w14:textId="77777777" w:rsidR="00247548" w:rsidRPr="006510BD" w:rsidRDefault="00247548" w:rsidP="00810998">
      <w:pPr>
        <w:pStyle w:val="ListParagraph"/>
        <w:numPr>
          <w:ilvl w:val="0"/>
          <w:numId w:val="11"/>
        </w:numPr>
        <w:tabs>
          <w:tab w:val="clear" w:pos="1134"/>
          <w:tab w:val="clear" w:pos="1871"/>
          <w:tab w:val="clear" w:pos="2268"/>
        </w:tabs>
        <w:overflowPunct/>
        <w:autoSpaceDE/>
        <w:autoSpaceDN/>
        <w:adjustRightInd/>
        <w:spacing w:before="60"/>
        <w:ind w:left="567" w:hanging="567"/>
        <w:contextualSpacing w:val="0"/>
        <w:textAlignment w:val="auto"/>
        <w:rPr>
          <w:rFonts w:cstheme="minorHAnsi"/>
        </w:rPr>
      </w:pPr>
      <w:r w:rsidRPr="006510BD">
        <w:rPr>
          <w:rFonts w:cstheme="minorHAnsi"/>
        </w:rPr>
        <w:t>Certified training is the best approach towards capacity building as it adds value and has a greater impact.</w:t>
      </w:r>
    </w:p>
    <w:p w14:paraId="20927DC8" w14:textId="77777777" w:rsidR="00247548" w:rsidRPr="006510BD" w:rsidRDefault="00247548" w:rsidP="00810998">
      <w:pPr>
        <w:pStyle w:val="ListParagraph"/>
        <w:numPr>
          <w:ilvl w:val="0"/>
          <w:numId w:val="11"/>
        </w:numPr>
        <w:tabs>
          <w:tab w:val="clear" w:pos="1134"/>
          <w:tab w:val="clear" w:pos="1871"/>
          <w:tab w:val="clear" w:pos="2268"/>
        </w:tabs>
        <w:overflowPunct/>
        <w:autoSpaceDE/>
        <w:autoSpaceDN/>
        <w:adjustRightInd/>
        <w:spacing w:before="60"/>
        <w:ind w:left="567" w:hanging="567"/>
        <w:contextualSpacing w:val="0"/>
        <w:textAlignment w:val="auto"/>
        <w:rPr>
          <w:rFonts w:cstheme="minorHAnsi"/>
        </w:rPr>
      </w:pPr>
      <w:r w:rsidRPr="006510BD">
        <w:rPr>
          <w:rFonts w:cstheme="minorHAnsi"/>
        </w:rPr>
        <w:t xml:space="preserve">Regional telecommunication organizations and local community networks should be involved in identifying gaps and reaching out to all citizens. </w:t>
      </w:r>
    </w:p>
    <w:p w14:paraId="2EF028B1" w14:textId="77777777" w:rsidR="00247548" w:rsidRPr="006510BD" w:rsidRDefault="00247548" w:rsidP="00477A66">
      <w:pPr>
        <w:keepNext/>
        <w:spacing w:after="120"/>
        <w:rPr>
          <w:rFonts w:cstheme="minorHAnsi"/>
          <w:b/>
        </w:rPr>
      </w:pPr>
      <w:r w:rsidRPr="006510BD">
        <w:rPr>
          <w:rFonts w:cstheme="minorHAnsi"/>
          <w:b/>
        </w:rPr>
        <w:t>Discussion summary:</w:t>
      </w:r>
    </w:p>
    <w:p w14:paraId="638F1940" w14:textId="34644856" w:rsidR="00934A02" w:rsidRPr="00247548" w:rsidRDefault="00247548" w:rsidP="00477A66">
      <w:pPr>
        <w:spacing w:after="120"/>
        <w:rPr>
          <w:rStyle w:val="StyleComplex12pt"/>
          <w:rFonts w:cstheme="minorBidi"/>
          <w:lang w:val="en-US"/>
        </w:rPr>
      </w:pPr>
      <w:r w:rsidRPr="006510BD">
        <w:rPr>
          <w:rFonts w:cstheme="minorHAnsi"/>
        </w:rPr>
        <w:t>Around 30 delegates participated in the breakout group, including representatives from countries and Geneva missions. All three questions received due attention, with more emphasis on question 3 regarding extending ITU’s work on capacity and skills development to other target audiences. There was overall agreement that certified, structured training courses have greater value and impact compared with typical capacity-building workshops. In addition to the courses currently offered on the ITU Academy platform, training was also needed for policy</w:t>
      </w:r>
      <w:r w:rsidR="002672C2">
        <w:rPr>
          <w:rFonts w:cstheme="minorHAnsi"/>
        </w:rPr>
        <w:t>-</w:t>
      </w:r>
      <w:r w:rsidRPr="006510BD">
        <w:rPr>
          <w:rFonts w:cstheme="minorHAnsi"/>
        </w:rPr>
        <w:t>makers at decision-</w:t>
      </w:r>
      <w:r w:rsidRPr="006510BD">
        <w:rPr>
          <w:rFonts w:cstheme="minorHAnsi"/>
        </w:rPr>
        <w:lastRenderedPageBreak/>
        <w:t>making and less technical levels. There was agreement that ITU should expand its capacity development work and provide digital skills training to those at the bottom of the pyramid and outside the ICT sector. In order to reach those currently unconnected, basic digital skills training for all age g</w:t>
      </w:r>
      <w:r>
        <w:rPr>
          <w:rFonts w:cstheme="minorHAnsi"/>
        </w:rPr>
        <w:t>r</w:t>
      </w:r>
      <w:r w:rsidRPr="006510BD">
        <w:rPr>
          <w:rFonts w:cstheme="minorHAnsi"/>
        </w:rPr>
        <w:t xml:space="preserve">oups was required. Such capacity-building work could be performed by involving local community networks, and developing and implementing training-of-trainers courses. Regional telecommunication organizations could help in the process of mapping capacity development initiatives, selecting experts, and identifying digital skills gaps and needs in the regions. An interregional approach could strengthen capacity development efforts and increase impact. </w:t>
      </w:r>
    </w:p>
    <w:p w14:paraId="3211D0C4" w14:textId="13808896" w:rsidR="00965FD2" w:rsidRPr="00957B6C" w:rsidRDefault="00965FD2" w:rsidP="0062597A">
      <w:pPr>
        <w:spacing w:before="0"/>
        <w:jc w:val="center"/>
        <w:rPr>
          <w:bCs/>
        </w:rPr>
      </w:pPr>
      <w:r w:rsidRPr="00957B6C">
        <w:rPr>
          <w:rStyle w:val="StyleComplex12pt"/>
          <w:rFonts w:cstheme="minorBidi"/>
          <w:color w:val="000000" w:themeColor="text1"/>
        </w:rPr>
        <w:t>________________</w:t>
      </w:r>
    </w:p>
    <w:sectPr w:rsidR="00965FD2" w:rsidRPr="00957B6C" w:rsidSect="00164733">
      <w:headerReference w:type="default" r:id="rId68"/>
      <w:footerReference w:type="even" r:id="rId69"/>
      <w:footerReference w:type="first" r:id="rId70"/>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ED749" w14:textId="77777777" w:rsidR="007441E6" w:rsidRDefault="007441E6">
      <w:r>
        <w:separator/>
      </w:r>
    </w:p>
  </w:endnote>
  <w:endnote w:type="continuationSeparator" w:id="0">
    <w:p w14:paraId="0FF752D2" w14:textId="77777777" w:rsidR="007441E6" w:rsidRDefault="007441E6">
      <w:r>
        <w:continuationSeparator/>
      </w:r>
    </w:p>
  </w:endnote>
  <w:endnote w:type="continuationNotice" w:id="1">
    <w:p w14:paraId="5A9E4BDA" w14:textId="77777777" w:rsidR="007441E6" w:rsidRDefault="007441E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Droid Serif">
    <w:altName w:val="Times New Roman"/>
    <w:charset w:val="00"/>
    <w:family w:val="roman"/>
    <w:pitch w:val="variable"/>
    <w:sig w:usb0="00000001" w:usb1="4000205B" w:usb2="00000028"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6B84" w14:textId="77777777" w:rsidR="008B013F" w:rsidRDefault="008B013F">
    <w:pPr>
      <w:framePr w:wrap="around" w:vAnchor="text" w:hAnchor="margin" w:xAlign="right" w:y="1"/>
    </w:pPr>
    <w:r>
      <w:fldChar w:fldCharType="begin"/>
    </w:r>
    <w:r>
      <w:instrText xml:space="preserve">PAGE  </w:instrText>
    </w:r>
    <w:r>
      <w:fldChar w:fldCharType="separate"/>
    </w:r>
    <w:r>
      <w:rPr>
        <w:noProof/>
      </w:rPr>
      <w:t>1</w:t>
    </w:r>
    <w:r>
      <w:fldChar w:fldCharType="end"/>
    </w:r>
  </w:p>
  <w:p w14:paraId="187B8537" w14:textId="359E58D9" w:rsidR="008B013F" w:rsidRPr="0041348E" w:rsidRDefault="008B013F">
    <w:pPr>
      <w:ind w:right="360"/>
      <w:rPr>
        <w:lang w:val="en-US"/>
      </w:rPr>
    </w:pPr>
    <w:r>
      <w:fldChar w:fldCharType="begin"/>
    </w:r>
    <w:r w:rsidRPr="0041348E">
      <w:rPr>
        <w:lang w:val="en-US"/>
      </w:rPr>
      <w:instrText xml:space="preserve"> FILENAME \p  \* MERGEFORMAT </w:instrText>
    </w:r>
    <w:r>
      <w:fldChar w:fldCharType="separate"/>
    </w:r>
    <w:r>
      <w:rPr>
        <w:noProof/>
        <w:lang w:val="en-US"/>
      </w:rPr>
      <w:t>C:\Users\lusweti\AppData\Local\Microsoft\Windows\Temporary Internet Files\Content.Outlook\XGRA30ZM\TDAG -19_DRAFT-CHAIRMAN'S-REPORT-18APRIL_v8_clean.docx</w:t>
    </w:r>
    <w:r>
      <w:fldChar w:fldCharType="end"/>
    </w:r>
    <w:r w:rsidRPr="0041348E">
      <w:rPr>
        <w:lang w:val="en-US"/>
      </w:rPr>
      <w:tab/>
    </w:r>
    <w:r>
      <w:fldChar w:fldCharType="begin"/>
    </w:r>
    <w:r>
      <w:instrText xml:space="preserve"> SAVEDATE \@ DD.MM.YY </w:instrText>
    </w:r>
    <w:r>
      <w:fldChar w:fldCharType="separate"/>
    </w:r>
    <w:r w:rsidR="008F3283">
      <w:rPr>
        <w:noProof/>
      </w:rPr>
      <w:t>10.05.19</w:t>
    </w:r>
    <w:r>
      <w:fldChar w:fldCharType="end"/>
    </w:r>
    <w:r w:rsidRPr="0041348E">
      <w:rPr>
        <w:lang w:val="en-US"/>
      </w:rPr>
      <w:tab/>
    </w:r>
    <w:r>
      <w:fldChar w:fldCharType="begin"/>
    </w:r>
    <w:r>
      <w:instrText xml:space="preserve"> PRINTDATE \@ DD.MM.YY </w:instrText>
    </w:r>
    <w:r>
      <w:fldChar w:fldCharType="separate"/>
    </w:r>
    <w:r>
      <w:rPr>
        <w:noProof/>
      </w:rPr>
      <w:t>30.04.19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8B013F" w:rsidRPr="001B09A2" w14:paraId="7ED2B06A" w14:textId="77777777" w:rsidTr="007709CE">
      <w:tc>
        <w:tcPr>
          <w:tcW w:w="1526" w:type="dxa"/>
          <w:tcBorders>
            <w:top w:val="single" w:sz="4" w:space="0" w:color="000000" w:themeColor="text1"/>
          </w:tcBorders>
          <w:shd w:val="clear" w:color="auto" w:fill="auto"/>
        </w:tcPr>
        <w:p w14:paraId="3591F2D0" w14:textId="77777777" w:rsidR="008B013F" w:rsidRPr="004D495C" w:rsidRDefault="008B013F" w:rsidP="25A7936B">
          <w:pPr>
            <w:pStyle w:val="FirstFooter"/>
            <w:tabs>
              <w:tab w:val="left" w:pos="1559"/>
              <w:tab w:val="left" w:pos="3828"/>
            </w:tabs>
            <w:rPr>
              <w:sz w:val="18"/>
              <w:szCs w:val="18"/>
            </w:rPr>
          </w:pPr>
          <w:r w:rsidRPr="25A7936B">
            <w:rPr>
              <w:sz w:val="18"/>
              <w:szCs w:val="18"/>
              <w:lang w:val="en-US"/>
            </w:rPr>
            <w:t>Contact:</w:t>
          </w:r>
        </w:p>
      </w:tc>
      <w:tc>
        <w:tcPr>
          <w:tcW w:w="2410" w:type="dxa"/>
          <w:tcBorders>
            <w:top w:val="single" w:sz="4" w:space="0" w:color="000000" w:themeColor="text1"/>
          </w:tcBorders>
          <w:shd w:val="clear" w:color="auto" w:fill="auto"/>
        </w:tcPr>
        <w:p w14:paraId="3B1CD387" w14:textId="77777777" w:rsidR="008B013F" w:rsidRPr="004D495C" w:rsidRDefault="008B013F" w:rsidP="25A7936B">
          <w:pPr>
            <w:pStyle w:val="FirstFooter"/>
            <w:tabs>
              <w:tab w:val="left" w:pos="2302"/>
            </w:tabs>
            <w:ind w:left="2302" w:hanging="2302"/>
            <w:rPr>
              <w:sz w:val="18"/>
              <w:szCs w:val="18"/>
              <w:lang w:val="en-US"/>
            </w:rPr>
          </w:pPr>
          <w:r w:rsidRPr="25A7936B">
            <w:rPr>
              <w:sz w:val="18"/>
              <w:szCs w:val="18"/>
              <w:lang w:val="en-US"/>
            </w:rPr>
            <w:t>Name/Organization/Entity:</w:t>
          </w:r>
        </w:p>
      </w:tc>
      <w:tc>
        <w:tcPr>
          <w:tcW w:w="5987" w:type="dxa"/>
          <w:tcBorders>
            <w:top w:val="single" w:sz="4" w:space="0" w:color="000000" w:themeColor="text1"/>
          </w:tcBorders>
          <w:shd w:val="clear" w:color="auto" w:fill="auto"/>
        </w:tcPr>
        <w:p w14:paraId="5BEBC433" w14:textId="77777777" w:rsidR="008B013F" w:rsidRPr="001B09A2" w:rsidRDefault="008B013F" w:rsidP="2D9C0B70">
          <w:pPr>
            <w:pStyle w:val="FirstFooter"/>
            <w:tabs>
              <w:tab w:val="left" w:pos="2302"/>
            </w:tabs>
            <w:rPr>
              <w:sz w:val="18"/>
              <w:szCs w:val="18"/>
              <w:highlight w:val="yellow"/>
            </w:rPr>
          </w:pPr>
          <w:bookmarkStart w:id="15" w:name="OrgName"/>
          <w:bookmarkEnd w:id="15"/>
          <w:r w:rsidRPr="001B09A2">
            <w:rPr>
              <w:sz w:val="18"/>
              <w:szCs w:val="18"/>
            </w:rPr>
            <w:t xml:space="preserve">Ms Roxanne McElvane Webber, </w:t>
          </w:r>
          <w:r>
            <w:rPr>
              <w:sz w:val="18"/>
              <w:szCs w:val="18"/>
            </w:rPr>
            <w:t>TDAG Chairman</w:t>
          </w:r>
        </w:p>
      </w:tc>
    </w:tr>
    <w:tr w:rsidR="008B013F" w:rsidRPr="004D495C" w14:paraId="0E88BFB8" w14:textId="77777777" w:rsidTr="2D9C0B70">
      <w:tc>
        <w:tcPr>
          <w:tcW w:w="1526" w:type="dxa"/>
          <w:shd w:val="clear" w:color="auto" w:fill="auto"/>
        </w:tcPr>
        <w:p w14:paraId="73C6D52E" w14:textId="77777777" w:rsidR="008B013F" w:rsidRPr="001B09A2" w:rsidRDefault="008B013F" w:rsidP="00D83BF5">
          <w:pPr>
            <w:pStyle w:val="FirstFooter"/>
            <w:tabs>
              <w:tab w:val="left" w:pos="1559"/>
              <w:tab w:val="left" w:pos="3828"/>
            </w:tabs>
            <w:rPr>
              <w:sz w:val="20"/>
            </w:rPr>
          </w:pPr>
        </w:p>
      </w:tc>
      <w:tc>
        <w:tcPr>
          <w:tcW w:w="2410" w:type="dxa"/>
          <w:shd w:val="clear" w:color="auto" w:fill="auto"/>
        </w:tcPr>
        <w:p w14:paraId="2DED3D86" w14:textId="77777777" w:rsidR="008B013F" w:rsidRPr="004D495C" w:rsidRDefault="008B013F" w:rsidP="25A7936B">
          <w:pPr>
            <w:pStyle w:val="FirstFooter"/>
            <w:tabs>
              <w:tab w:val="left" w:pos="2302"/>
            </w:tabs>
            <w:rPr>
              <w:sz w:val="18"/>
              <w:szCs w:val="18"/>
              <w:lang w:val="en-US"/>
            </w:rPr>
          </w:pPr>
          <w:r w:rsidRPr="25A7936B">
            <w:rPr>
              <w:sz w:val="18"/>
              <w:szCs w:val="18"/>
              <w:lang w:val="en-US"/>
            </w:rPr>
            <w:t>Phone number:</w:t>
          </w:r>
        </w:p>
      </w:tc>
      <w:tc>
        <w:tcPr>
          <w:tcW w:w="5987" w:type="dxa"/>
          <w:shd w:val="clear" w:color="auto" w:fill="auto"/>
        </w:tcPr>
        <w:p w14:paraId="015E023E" w14:textId="77777777" w:rsidR="008B013F" w:rsidRPr="004D495C" w:rsidRDefault="008B013F" w:rsidP="2D9C0B70">
          <w:pPr>
            <w:pStyle w:val="FirstFooter"/>
            <w:tabs>
              <w:tab w:val="left" w:pos="2302"/>
            </w:tabs>
            <w:rPr>
              <w:sz w:val="18"/>
              <w:szCs w:val="18"/>
              <w:highlight w:val="yellow"/>
              <w:lang w:val="en-US"/>
            </w:rPr>
          </w:pPr>
          <w:bookmarkStart w:id="16" w:name="PhoneNo"/>
          <w:bookmarkEnd w:id="16"/>
          <w:r w:rsidRPr="001B09A2">
            <w:rPr>
              <w:sz w:val="18"/>
              <w:szCs w:val="18"/>
            </w:rPr>
            <w:t>+1 202 418 1489</w:t>
          </w:r>
        </w:p>
      </w:tc>
    </w:tr>
    <w:tr w:rsidR="008B013F" w:rsidRPr="004D495C" w14:paraId="49E9ABF5" w14:textId="77777777" w:rsidTr="2D9C0B70">
      <w:tc>
        <w:tcPr>
          <w:tcW w:w="1526" w:type="dxa"/>
          <w:shd w:val="clear" w:color="auto" w:fill="auto"/>
        </w:tcPr>
        <w:p w14:paraId="2F2FBC5B" w14:textId="77777777" w:rsidR="008B013F" w:rsidRPr="004D495C" w:rsidRDefault="008B013F" w:rsidP="00D83BF5">
          <w:pPr>
            <w:pStyle w:val="FirstFooter"/>
            <w:tabs>
              <w:tab w:val="left" w:pos="1559"/>
              <w:tab w:val="left" w:pos="3828"/>
            </w:tabs>
            <w:rPr>
              <w:sz w:val="20"/>
              <w:lang w:val="en-US"/>
            </w:rPr>
          </w:pPr>
        </w:p>
      </w:tc>
      <w:tc>
        <w:tcPr>
          <w:tcW w:w="2410" w:type="dxa"/>
          <w:shd w:val="clear" w:color="auto" w:fill="auto"/>
        </w:tcPr>
        <w:p w14:paraId="5559AB1D" w14:textId="77777777" w:rsidR="008B013F" w:rsidRPr="004D495C" w:rsidRDefault="008B013F" w:rsidP="25A7936B">
          <w:pPr>
            <w:pStyle w:val="FirstFooter"/>
            <w:tabs>
              <w:tab w:val="left" w:pos="2302"/>
            </w:tabs>
            <w:rPr>
              <w:sz w:val="18"/>
              <w:szCs w:val="18"/>
              <w:lang w:val="en-US"/>
            </w:rPr>
          </w:pPr>
          <w:r w:rsidRPr="25A7936B">
            <w:rPr>
              <w:sz w:val="18"/>
              <w:szCs w:val="18"/>
              <w:lang w:val="en-US"/>
            </w:rPr>
            <w:t>E-mail:</w:t>
          </w:r>
        </w:p>
      </w:tc>
      <w:bookmarkStart w:id="17" w:name="Email"/>
      <w:bookmarkEnd w:id="17"/>
      <w:tc>
        <w:tcPr>
          <w:tcW w:w="5987" w:type="dxa"/>
          <w:shd w:val="clear" w:color="auto" w:fill="auto"/>
        </w:tcPr>
        <w:p w14:paraId="6C0654A2" w14:textId="77777777" w:rsidR="008B013F" w:rsidRPr="004D495C" w:rsidRDefault="008B013F" w:rsidP="25A7936B">
          <w:pPr>
            <w:pStyle w:val="FirstFooter"/>
            <w:tabs>
              <w:tab w:val="left" w:pos="2302"/>
            </w:tabs>
            <w:rPr>
              <w:sz w:val="18"/>
              <w:szCs w:val="18"/>
              <w:highlight w:val="yellow"/>
              <w:lang w:val="en-US"/>
            </w:rPr>
          </w:pPr>
          <w:r w:rsidRPr="25A7936B">
            <w:fldChar w:fldCharType="begin"/>
          </w:r>
          <w:r>
            <w:rPr>
              <w:sz w:val="18"/>
              <w:szCs w:val="18"/>
              <w:lang w:val="en-US"/>
            </w:rPr>
            <w:instrText xml:space="preserve"> HYPERLINK "mailto:r</w:instrText>
          </w:r>
          <w:r w:rsidRPr="001B09A2">
            <w:rPr>
              <w:sz w:val="18"/>
              <w:szCs w:val="18"/>
              <w:lang w:val="en-US"/>
            </w:rPr>
            <w:instrText>oxanne.webber@fcc.gov</w:instrText>
          </w:r>
          <w:r>
            <w:rPr>
              <w:sz w:val="18"/>
              <w:szCs w:val="18"/>
              <w:lang w:val="en-US"/>
            </w:rPr>
            <w:instrText xml:space="preserve">" </w:instrText>
          </w:r>
          <w:r w:rsidRPr="25A7936B">
            <w:rPr>
              <w:sz w:val="18"/>
              <w:szCs w:val="18"/>
              <w:lang w:val="en-US"/>
            </w:rPr>
            <w:fldChar w:fldCharType="separate"/>
          </w:r>
          <w:r w:rsidRPr="008A25D1">
            <w:rPr>
              <w:rStyle w:val="Hyperlink"/>
              <w:sz w:val="18"/>
              <w:szCs w:val="18"/>
              <w:lang w:val="en-US"/>
            </w:rPr>
            <w:t>roxanne.webber@fcc.gov</w:t>
          </w:r>
          <w:r w:rsidRPr="25A7936B">
            <w:fldChar w:fldCharType="end"/>
          </w:r>
          <w:r>
            <w:rPr>
              <w:sz w:val="18"/>
              <w:szCs w:val="18"/>
              <w:lang w:val="en-US"/>
            </w:rPr>
            <w:t xml:space="preserve"> </w:t>
          </w:r>
        </w:p>
      </w:tc>
    </w:tr>
  </w:tbl>
  <w:p w14:paraId="2476BF6E" w14:textId="77777777" w:rsidR="008B013F" w:rsidRPr="00D83BF5" w:rsidRDefault="00B8346F" w:rsidP="001E252D">
    <w:pPr>
      <w:jc w:val="center"/>
    </w:pPr>
    <w:hyperlink r:id="rId1" w:history="1">
      <w:r w:rsidR="008B013F"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FDBCD" w14:textId="77777777" w:rsidR="007441E6" w:rsidRDefault="007441E6">
      <w:r>
        <w:rPr>
          <w:b/>
        </w:rPr>
        <w:t>_______________</w:t>
      </w:r>
    </w:p>
  </w:footnote>
  <w:footnote w:type="continuationSeparator" w:id="0">
    <w:p w14:paraId="4460F74D" w14:textId="77777777" w:rsidR="007441E6" w:rsidRDefault="007441E6">
      <w:r>
        <w:continuationSeparator/>
      </w:r>
    </w:p>
  </w:footnote>
  <w:footnote w:type="continuationNotice" w:id="1">
    <w:p w14:paraId="214DE234" w14:textId="77777777" w:rsidR="007441E6" w:rsidRDefault="007441E6">
      <w:pPr>
        <w:spacing w:before="0"/>
      </w:pPr>
    </w:p>
  </w:footnote>
  <w:footnote w:id="2">
    <w:p w14:paraId="601F628A" w14:textId="77777777" w:rsidR="008B013F" w:rsidRPr="00845A7E" w:rsidRDefault="008B013F" w:rsidP="002B0955">
      <w:pPr>
        <w:pStyle w:val="FootnoteText"/>
        <w:rPr>
          <w:sz w:val="20"/>
          <w:lang w:val="en-US"/>
        </w:rPr>
      </w:pPr>
      <w:r w:rsidRPr="00845A7E">
        <w:rPr>
          <w:rStyle w:val="FootnoteReference"/>
          <w:sz w:val="20"/>
        </w:rPr>
        <w:footnoteRef/>
      </w:r>
      <w:r w:rsidRPr="00845A7E">
        <w:rPr>
          <w:sz w:val="20"/>
        </w:rPr>
        <w:t>Key areas of work for members of the TDAG Bureau can be found in Annex 1 to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AC5B" w14:textId="1B5CEA3E" w:rsidR="008B013F" w:rsidRPr="00D83BF5" w:rsidRDefault="008B013F" w:rsidP="00066160">
    <w:pPr>
      <w:tabs>
        <w:tab w:val="clear" w:pos="1134"/>
        <w:tab w:val="clear" w:pos="1871"/>
        <w:tab w:val="clear" w:pos="2268"/>
        <w:tab w:val="center" w:pos="4820"/>
        <w:tab w:val="right" w:pos="10206"/>
      </w:tabs>
      <w:ind w:right="1"/>
      <w:rPr>
        <w:smallCaps/>
        <w:sz w:val="22"/>
        <w:szCs w:val="22"/>
        <w:lang w:val="es-ES"/>
      </w:rPr>
    </w:pPr>
    <w:r w:rsidRPr="004D495C">
      <w:rPr>
        <w:sz w:val="22"/>
        <w:szCs w:val="22"/>
      </w:rPr>
      <w:tab/>
    </w:r>
    <w:r w:rsidRPr="00D761DE">
      <w:rPr>
        <w:sz w:val="22"/>
        <w:szCs w:val="22"/>
        <w:lang w:val="es-ES"/>
      </w:rPr>
      <w:t>TDAG-19/</w:t>
    </w:r>
    <w:bookmarkStart w:id="14" w:name="DocNo2"/>
    <w:bookmarkEnd w:id="14"/>
    <w:r>
      <w:rPr>
        <w:sz w:val="22"/>
        <w:szCs w:val="22"/>
        <w:lang w:val="es-ES"/>
      </w:rPr>
      <w:t>4</w:t>
    </w:r>
    <w:r w:rsidR="00066160">
      <w:rPr>
        <w:sz w:val="22"/>
        <w:szCs w:val="22"/>
        <w:lang w:val="es-ES"/>
      </w:rPr>
      <w:t>4</w:t>
    </w:r>
    <w:r w:rsidRPr="00D761DE">
      <w:rPr>
        <w:sz w:val="22"/>
        <w:szCs w:val="22"/>
        <w:lang w:val="es-ES"/>
      </w:rPr>
      <w:t>-E</w:t>
    </w:r>
    <w:r w:rsidRPr="00D761DE">
      <w:rPr>
        <w:sz w:val="22"/>
        <w:szCs w:val="22"/>
        <w:lang w:val="es-ES_tradnl"/>
      </w:rPr>
      <w:tab/>
    </w:r>
    <w:r w:rsidRPr="00D761DE">
      <w:rPr>
        <w:sz w:val="22"/>
        <w:szCs w:val="22"/>
        <w:lang w:val="es-ES"/>
      </w:rPr>
      <w:t xml:space="preserve">Page </w:t>
    </w:r>
    <w:r w:rsidRPr="00D761DE">
      <w:rPr>
        <w:noProof/>
        <w:sz w:val="22"/>
        <w:szCs w:val="22"/>
        <w:lang w:val="es-ES"/>
      </w:rPr>
      <w:fldChar w:fldCharType="begin"/>
    </w:r>
    <w:r w:rsidRPr="00D761DE">
      <w:rPr>
        <w:sz w:val="22"/>
        <w:szCs w:val="22"/>
        <w:lang w:val="es-ES_tradnl"/>
      </w:rPr>
      <w:instrText xml:space="preserve"> PAGE </w:instrText>
    </w:r>
    <w:r w:rsidRPr="00D761DE">
      <w:rPr>
        <w:sz w:val="22"/>
        <w:szCs w:val="22"/>
      </w:rPr>
      <w:fldChar w:fldCharType="separate"/>
    </w:r>
    <w:r w:rsidR="00B8346F">
      <w:rPr>
        <w:noProof/>
        <w:sz w:val="22"/>
        <w:szCs w:val="22"/>
        <w:lang w:val="es-ES_tradnl"/>
      </w:rPr>
      <w:t>24</w:t>
    </w:r>
    <w:r w:rsidRPr="00D761DE">
      <w:rPr>
        <w:noProof/>
        <w:sz w:val="22"/>
        <w:szCs w:val="22"/>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214"/>
    <w:multiLevelType w:val="hybridMultilevel"/>
    <w:tmpl w:val="A580B41C"/>
    <w:lvl w:ilvl="0" w:tplc="0A14F2C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A303E2"/>
    <w:multiLevelType w:val="multilevel"/>
    <w:tmpl w:val="7B0E3E6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9A25AF"/>
    <w:multiLevelType w:val="hybridMultilevel"/>
    <w:tmpl w:val="7B1C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267DB"/>
    <w:multiLevelType w:val="hybridMultilevel"/>
    <w:tmpl w:val="3088566C"/>
    <w:lvl w:ilvl="0" w:tplc="C642754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393E18"/>
    <w:multiLevelType w:val="hybridMultilevel"/>
    <w:tmpl w:val="8C4EFD88"/>
    <w:lvl w:ilvl="0" w:tplc="08090001">
      <w:start w:val="1"/>
      <w:numFmt w:val="bullet"/>
      <w:lvlText w:val=""/>
      <w:lvlJc w:val="left"/>
      <w:pPr>
        <w:ind w:left="720" w:hanging="360"/>
      </w:pPr>
      <w:rPr>
        <w:rFonts w:ascii="Symbol" w:hAnsi="Symbol" w:hint="default"/>
      </w:rPr>
    </w:lvl>
    <w:lvl w:ilvl="1" w:tplc="06A2C15A">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E6B8A"/>
    <w:multiLevelType w:val="hybridMultilevel"/>
    <w:tmpl w:val="A600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B627B"/>
    <w:multiLevelType w:val="hybridMultilevel"/>
    <w:tmpl w:val="C322966C"/>
    <w:lvl w:ilvl="0" w:tplc="9CDC48F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436C61"/>
    <w:multiLevelType w:val="hybridMultilevel"/>
    <w:tmpl w:val="1B3C0D6C"/>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7327C1"/>
    <w:multiLevelType w:val="hybridMultilevel"/>
    <w:tmpl w:val="095C4C3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795DD7"/>
    <w:multiLevelType w:val="hybridMultilevel"/>
    <w:tmpl w:val="49D62F00"/>
    <w:lvl w:ilvl="0" w:tplc="8AA453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41F33"/>
    <w:multiLevelType w:val="hybridMultilevel"/>
    <w:tmpl w:val="2550C288"/>
    <w:lvl w:ilvl="0" w:tplc="2542BA02">
      <w:start w:val="1"/>
      <w:numFmt w:val="bullet"/>
      <w:lvlText w:val=""/>
      <w:lvlJc w:val="left"/>
      <w:pPr>
        <w:ind w:left="360" w:hanging="360"/>
      </w:pPr>
      <w:rPr>
        <w:rFonts w:ascii="Symbol" w:hAnsi="Symbol" w:hint="default"/>
      </w:rPr>
    </w:lvl>
    <w:lvl w:ilvl="1" w:tplc="2542BA0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E3561"/>
    <w:multiLevelType w:val="hybridMultilevel"/>
    <w:tmpl w:val="40F2136A"/>
    <w:lvl w:ilvl="0" w:tplc="2160DC14">
      <w:start w:val="1"/>
      <w:numFmt w:val="decimal"/>
      <w:pStyle w:val="normalWSIS"/>
      <w:lvlText w:val="%1."/>
      <w:lvlJc w:val="left"/>
      <w:pPr>
        <w:ind w:left="4613" w:hanging="360"/>
      </w:pPr>
      <w:rPr>
        <w:rFonts w:asciiTheme="minorHAnsi" w:hAnsiTheme="minorHAnsi" w:hint="default"/>
        <w:b w:val="0"/>
        <w:bCs w:val="0"/>
        <w:i w:val="0"/>
        <w:iCs w:val="0"/>
        <w:color w:val="auto"/>
        <w:sz w:val="24"/>
        <w:szCs w:val="24"/>
        <w:lang w:val="en-US"/>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2" w15:restartNumberingAfterBreak="0">
    <w:nsid w:val="3594368F"/>
    <w:multiLevelType w:val="hybridMultilevel"/>
    <w:tmpl w:val="E384DBE2"/>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C753E"/>
    <w:multiLevelType w:val="hybridMultilevel"/>
    <w:tmpl w:val="1A4C2D14"/>
    <w:lvl w:ilvl="0" w:tplc="9CDC48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296E5F"/>
    <w:multiLevelType w:val="hybridMultilevel"/>
    <w:tmpl w:val="E4BEF6A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F833D38"/>
    <w:multiLevelType w:val="hybridMultilevel"/>
    <w:tmpl w:val="C1DE079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402A5A61"/>
    <w:multiLevelType w:val="hybridMultilevel"/>
    <w:tmpl w:val="1D8E3AC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7A03D5"/>
    <w:multiLevelType w:val="hybridMultilevel"/>
    <w:tmpl w:val="F9A4CA94"/>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46F0F"/>
    <w:multiLevelType w:val="hybridMultilevel"/>
    <w:tmpl w:val="D8A25672"/>
    <w:lvl w:ilvl="0" w:tplc="2542BA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44244A"/>
    <w:multiLevelType w:val="hybridMultilevel"/>
    <w:tmpl w:val="C928A412"/>
    <w:lvl w:ilvl="0" w:tplc="AA003B62">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3D7552"/>
    <w:multiLevelType w:val="hybridMultilevel"/>
    <w:tmpl w:val="44C6E058"/>
    <w:lvl w:ilvl="0" w:tplc="AA24D3F6">
      <w:numFmt w:val="bullet"/>
      <w:lvlText w:val="•"/>
      <w:lvlJc w:val="left"/>
      <w:pPr>
        <w:ind w:left="720" w:hanging="72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3F5E0A"/>
    <w:multiLevelType w:val="hybridMultilevel"/>
    <w:tmpl w:val="B2A60E94"/>
    <w:lvl w:ilvl="0" w:tplc="2542BA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19210B"/>
    <w:multiLevelType w:val="hybridMultilevel"/>
    <w:tmpl w:val="221C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C5B29"/>
    <w:multiLevelType w:val="hybridMultilevel"/>
    <w:tmpl w:val="CD548AA2"/>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223C2"/>
    <w:multiLevelType w:val="hybridMultilevel"/>
    <w:tmpl w:val="E95614D8"/>
    <w:lvl w:ilvl="0" w:tplc="9CDC48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F358AC"/>
    <w:multiLevelType w:val="hybridMultilevel"/>
    <w:tmpl w:val="2006F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13"/>
  </w:num>
  <w:num w:numId="4">
    <w:abstractNumId w:val="25"/>
  </w:num>
  <w:num w:numId="5">
    <w:abstractNumId w:val="7"/>
  </w:num>
  <w:num w:numId="6">
    <w:abstractNumId w:val="4"/>
  </w:num>
  <w:num w:numId="7">
    <w:abstractNumId w:val="24"/>
  </w:num>
  <w:num w:numId="8">
    <w:abstractNumId w:val="10"/>
  </w:num>
  <w:num w:numId="9">
    <w:abstractNumId w:val="16"/>
  </w:num>
  <w:num w:numId="10">
    <w:abstractNumId w:val="20"/>
  </w:num>
  <w:num w:numId="11">
    <w:abstractNumId w:val="15"/>
  </w:num>
  <w:num w:numId="12">
    <w:abstractNumId w:val="21"/>
  </w:num>
  <w:num w:numId="13">
    <w:abstractNumId w:val="18"/>
  </w:num>
  <w:num w:numId="14">
    <w:abstractNumId w:val="3"/>
  </w:num>
  <w:num w:numId="15">
    <w:abstractNumId w:val="12"/>
  </w:num>
  <w:num w:numId="16">
    <w:abstractNumId w:val="17"/>
  </w:num>
  <w:num w:numId="17">
    <w:abstractNumId w:val="23"/>
  </w:num>
  <w:num w:numId="18">
    <w:abstractNumId w:val="0"/>
  </w:num>
  <w:num w:numId="19">
    <w:abstractNumId w:val="8"/>
  </w:num>
  <w:num w:numId="20">
    <w:abstractNumId w:val="6"/>
  </w:num>
  <w:num w:numId="21">
    <w:abstractNumId w:val="19"/>
  </w:num>
  <w:num w:numId="22">
    <w:abstractNumId w:val="2"/>
  </w:num>
  <w:num w:numId="23">
    <w:abstractNumId w:val="22"/>
  </w:num>
  <w:num w:numId="24">
    <w:abstractNumId w:val="9"/>
  </w:num>
  <w:num w:numId="25">
    <w:abstractNumId w:val="5"/>
  </w:num>
  <w:num w:numId="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04F04"/>
    <w:rsid w:val="00010F59"/>
    <w:rsid w:val="00011CFA"/>
    <w:rsid w:val="000144AD"/>
    <w:rsid w:val="00014F1A"/>
    <w:rsid w:val="00016C45"/>
    <w:rsid w:val="000213DA"/>
    <w:rsid w:val="0002217D"/>
    <w:rsid w:val="0002269B"/>
    <w:rsid w:val="00022A29"/>
    <w:rsid w:val="00023645"/>
    <w:rsid w:val="000247E7"/>
    <w:rsid w:val="0003556D"/>
    <w:rsid w:val="000355FD"/>
    <w:rsid w:val="000437AB"/>
    <w:rsid w:val="00044AA0"/>
    <w:rsid w:val="00045576"/>
    <w:rsid w:val="000457D3"/>
    <w:rsid w:val="00050E08"/>
    <w:rsid w:val="00051E39"/>
    <w:rsid w:val="000535D9"/>
    <w:rsid w:val="000542ED"/>
    <w:rsid w:val="00056327"/>
    <w:rsid w:val="00056D1A"/>
    <w:rsid w:val="00056F3E"/>
    <w:rsid w:val="000572AB"/>
    <w:rsid w:val="000575A8"/>
    <w:rsid w:val="0006001B"/>
    <w:rsid w:val="00062D6A"/>
    <w:rsid w:val="00064E76"/>
    <w:rsid w:val="00066160"/>
    <w:rsid w:val="00066228"/>
    <w:rsid w:val="000708BF"/>
    <w:rsid w:val="00071125"/>
    <w:rsid w:val="00071376"/>
    <w:rsid w:val="00072711"/>
    <w:rsid w:val="0007296F"/>
    <w:rsid w:val="00073987"/>
    <w:rsid w:val="00074293"/>
    <w:rsid w:val="00074BAA"/>
    <w:rsid w:val="00075206"/>
    <w:rsid w:val="0007538F"/>
    <w:rsid w:val="00075862"/>
    <w:rsid w:val="00075C63"/>
    <w:rsid w:val="00077239"/>
    <w:rsid w:val="000778E8"/>
    <w:rsid w:val="00077FDF"/>
    <w:rsid w:val="00080905"/>
    <w:rsid w:val="000822BE"/>
    <w:rsid w:val="00082B22"/>
    <w:rsid w:val="00084616"/>
    <w:rsid w:val="00086491"/>
    <w:rsid w:val="00087F9A"/>
    <w:rsid w:val="00091346"/>
    <w:rsid w:val="0009411B"/>
    <w:rsid w:val="00094D67"/>
    <w:rsid w:val="00095769"/>
    <w:rsid w:val="00096ED0"/>
    <w:rsid w:val="00096FD2"/>
    <w:rsid w:val="000A0585"/>
    <w:rsid w:val="000A3CE0"/>
    <w:rsid w:val="000A5CE0"/>
    <w:rsid w:val="000A7159"/>
    <w:rsid w:val="000A7C0C"/>
    <w:rsid w:val="000B1D14"/>
    <w:rsid w:val="000B1F31"/>
    <w:rsid w:val="000B2599"/>
    <w:rsid w:val="000B3109"/>
    <w:rsid w:val="000B3322"/>
    <w:rsid w:val="000B3816"/>
    <w:rsid w:val="000C3365"/>
    <w:rsid w:val="000C4E83"/>
    <w:rsid w:val="000C4F89"/>
    <w:rsid w:val="000C661C"/>
    <w:rsid w:val="000D065C"/>
    <w:rsid w:val="000D4875"/>
    <w:rsid w:val="000D5B8E"/>
    <w:rsid w:val="000D5BE6"/>
    <w:rsid w:val="000D6D02"/>
    <w:rsid w:val="000E169C"/>
    <w:rsid w:val="000E1FDE"/>
    <w:rsid w:val="000E3BD2"/>
    <w:rsid w:val="000E3F07"/>
    <w:rsid w:val="000E4031"/>
    <w:rsid w:val="000E4933"/>
    <w:rsid w:val="000E4D58"/>
    <w:rsid w:val="000E6331"/>
    <w:rsid w:val="000E6467"/>
    <w:rsid w:val="000F0DFC"/>
    <w:rsid w:val="000F16A2"/>
    <w:rsid w:val="000F2AAF"/>
    <w:rsid w:val="000F3E1F"/>
    <w:rsid w:val="000F43C6"/>
    <w:rsid w:val="000F4BFB"/>
    <w:rsid w:val="000F57CC"/>
    <w:rsid w:val="000F662E"/>
    <w:rsid w:val="000F6BAB"/>
    <w:rsid w:val="000F73FF"/>
    <w:rsid w:val="000F7C70"/>
    <w:rsid w:val="00100F60"/>
    <w:rsid w:val="00102DD4"/>
    <w:rsid w:val="0010364C"/>
    <w:rsid w:val="001046E2"/>
    <w:rsid w:val="0010476A"/>
    <w:rsid w:val="00111897"/>
    <w:rsid w:val="00112D28"/>
    <w:rsid w:val="0011382E"/>
    <w:rsid w:val="00113F80"/>
    <w:rsid w:val="001149D3"/>
    <w:rsid w:val="00114CF7"/>
    <w:rsid w:val="00116134"/>
    <w:rsid w:val="001162D0"/>
    <w:rsid w:val="00120DB3"/>
    <w:rsid w:val="00121136"/>
    <w:rsid w:val="00121A98"/>
    <w:rsid w:val="00123251"/>
    <w:rsid w:val="00123B68"/>
    <w:rsid w:val="00123F1D"/>
    <w:rsid w:val="00124DAF"/>
    <w:rsid w:val="001259C8"/>
    <w:rsid w:val="0012658E"/>
    <w:rsid w:val="00126F2E"/>
    <w:rsid w:val="001274C1"/>
    <w:rsid w:val="00127A5B"/>
    <w:rsid w:val="00134C0A"/>
    <w:rsid w:val="00134C1E"/>
    <w:rsid w:val="001353F2"/>
    <w:rsid w:val="0013724A"/>
    <w:rsid w:val="00137C23"/>
    <w:rsid w:val="00137F39"/>
    <w:rsid w:val="00140805"/>
    <w:rsid w:val="001437BD"/>
    <w:rsid w:val="00145AF0"/>
    <w:rsid w:val="00145F20"/>
    <w:rsid w:val="00146F6F"/>
    <w:rsid w:val="001470FB"/>
    <w:rsid w:val="00147ADC"/>
    <w:rsid w:val="00147DA1"/>
    <w:rsid w:val="001500A3"/>
    <w:rsid w:val="00150CCD"/>
    <w:rsid w:val="00152042"/>
    <w:rsid w:val="00152957"/>
    <w:rsid w:val="001532B8"/>
    <w:rsid w:val="00153505"/>
    <w:rsid w:val="001541C5"/>
    <w:rsid w:val="0015440A"/>
    <w:rsid w:val="00154494"/>
    <w:rsid w:val="00162C00"/>
    <w:rsid w:val="00163746"/>
    <w:rsid w:val="00163931"/>
    <w:rsid w:val="00163DB2"/>
    <w:rsid w:val="00164096"/>
    <w:rsid w:val="00164733"/>
    <w:rsid w:val="00172141"/>
    <w:rsid w:val="0017265C"/>
    <w:rsid w:val="0017319F"/>
    <w:rsid w:val="001739B0"/>
    <w:rsid w:val="001779D8"/>
    <w:rsid w:val="00180632"/>
    <w:rsid w:val="001809DF"/>
    <w:rsid w:val="001822FC"/>
    <w:rsid w:val="00184D22"/>
    <w:rsid w:val="001851AC"/>
    <w:rsid w:val="00185AB7"/>
    <w:rsid w:val="00187BD9"/>
    <w:rsid w:val="00190B55"/>
    <w:rsid w:val="00194CFB"/>
    <w:rsid w:val="00195A20"/>
    <w:rsid w:val="001A1440"/>
    <w:rsid w:val="001A1479"/>
    <w:rsid w:val="001A1C93"/>
    <w:rsid w:val="001A2DB2"/>
    <w:rsid w:val="001A2FDD"/>
    <w:rsid w:val="001B09A2"/>
    <w:rsid w:val="001B1D4B"/>
    <w:rsid w:val="001B2718"/>
    <w:rsid w:val="001B2ED3"/>
    <w:rsid w:val="001B6806"/>
    <w:rsid w:val="001B7E4B"/>
    <w:rsid w:val="001B7EA3"/>
    <w:rsid w:val="001C0982"/>
    <w:rsid w:val="001C1648"/>
    <w:rsid w:val="001C3B5F"/>
    <w:rsid w:val="001C77A7"/>
    <w:rsid w:val="001D0065"/>
    <w:rsid w:val="001D058F"/>
    <w:rsid w:val="001D3ABD"/>
    <w:rsid w:val="001D451B"/>
    <w:rsid w:val="001D471F"/>
    <w:rsid w:val="001D6026"/>
    <w:rsid w:val="001D7DAE"/>
    <w:rsid w:val="001E03AA"/>
    <w:rsid w:val="001E0B05"/>
    <w:rsid w:val="001E252D"/>
    <w:rsid w:val="001E2CFC"/>
    <w:rsid w:val="001E648B"/>
    <w:rsid w:val="001E662A"/>
    <w:rsid w:val="001E7494"/>
    <w:rsid w:val="001E76F4"/>
    <w:rsid w:val="001E7A51"/>
    <w:rsid w:val="001F056A"/>
    <w:rsid w:val="001F07C9"/>
    <w:rsid w:val="001F3540"/>
    <w:rsid w:val="001F4043"/>
    <w:rsid w:val="001F5057"/>
    <w:rsid w:val="001F72B2"/>
    <w:rsid w:val="002009EA"/>
    <w:rsid w:val="00201975"/>
    <w:rsid w:val="0020267D"/>
    <w:rsid w:val="00202CA0"/>
    <w:rsid w:val="0020482A"/>
    <w:rsid w:val="00204F56"/>
    <w:rsid w:val="00207086"/>
    <w:rsid w:val="00210652"/>
    <w:rsid w:val="0021287C"/>
    <w:rsid w:val="00213408"/>
    <w:rsid w:val="00213C89"/>
    <w:rsid w:val="0021504A"/>
    <w:rsid w:val="002154A6"/>
    <w:rsid w:val="00215CE9"/>
    <w:rsid w:val="002162CD"/>
    <w:rsid w:val="002205CD"/>
    <w:rsid w:val="0022155C"/>
    <w:rsid w:val="0022496E"/>
    <w:rsid w:val="00224F08"/>
    <w:rsid w:val="002255B3"/>
    <w:rsid w:val="00226E26"/>
    <w:rsid w:val="00227FD1"/>
    <w:rsid w:val="00231EE1"/>
    <w:rsid w:val="00231EFA"/>
    <w:rsid w:val="00233EEB"/>
    <w:rsid w:val="0023502B"/>
    <w:rsid w:val="00235C93"/>
    <w:rsid w:val="00236131"/>
    <w:rsid w:val="002369BC"/>
    <w:rsid w:val="00236E8A"/>
    <w:rsid w:val="00237BB0"/>
    <w:rsid w:val="00240545"/>
    <w:rsid w:val="002415A3"/>
    <w:rsid w:val="002441B5"/>
    <w:rsid w:val="002452C5"/>
    <w:rsid w:val="00247548"/>
    <w:rsid w:val="0025634D"/>
    <w:rsid w:val="00256AA7"/>
    <w:rsid w:val="0026038D"/>
    <w:rsid w:val="00260955"/>
    <w:rsid w:val="002628D8"/>
    <w:rsid w:val="00266C0F"/>
    <w:rsid w:val="002672C2"/>
    <w:rsid w:val="002679C0"/>
    <w:rsid w:val="0027042F"/>
    <w:rsid w:val="00271316"/>
    <w:rsid w:val="00271BD2"/>
    <w:rsid w:val="002725A9"/>
    <w:rsid w:val="00273821"/>
    <w:rsid w:val="00273ADF"/>
    <w:rsid w:val="0027570B"/>
    <w:rsid w:val="00276C1D"/>
    <w:rsid w:val="00277A26"/>
    <w:rsid w:val="002807C2"/>
    <w:rsid w:val="0028119E"/>
    <w:rsid w:val="00285B1E"/>
    <w:rsid w:val="002910A0"/>
    <w:rsid w:val="00291DFF"/>
    <w:rsid w:val="00293464"/>
    <w:rsid w:val="002943EA"/>
    <w:rsid w:val="00295071"/>
    <w:rsid w:val="002956EF"/>
    <w:rsid w:val="002962F0"/>
    <w:rsid w:val="00296313"/>
    <w:rsid w:val="002A067A"/>
    <w:rsid w:val="002A15B9"/>
    <w:rsid w:val="002A1CAA"/>
    <w:rsid w:val="002A30D1"/>
    <w:rsid w:val="002A5E8C"/>
    <w:rsid w:val="002B0955"/>
    <w:rsid w:val="002B3C84"/>
    <w:rsid w:val="002B7F3A"/>
    <w:rsid w:val="002C0BE1"/>
    <w:rsid w:val="002C1A73"/>
    <w:rsid w:val="002C2717"/>
    <w:rsid w:val="002C3571"/>
    <w:rsid w:val="002C474C"/>
    <w:rsid w:val="002C5BC9"/>
    <w:rsid w:val="002C724F"/>
    <w:rsid w:val="002C75E2"/>
    <w:rsid w:val="002D1ED3"/>
    <w:rsid w:val="002D3083"/>
    <w:rsid w:val="002D37BF"/>
    <w:rsid w:val="002D46A5"/>
    <w:rsid w:val="002D58BE"/>
    <w:rsid w:val="002D59D9"/>
    <w:rsid w:val="002D63CA"/>
    <w:rsid w:val="002D7D47"/>
    <w:rsid w:val="002D7E0D"/>
    <w:rsid w:val="002E1227"/>
    <w:rsid w:val="002E1947"/>
    <w:rsid w:val="002E1A52"/>
    <w:rsid w:val="002E2602"/>
    <w:rsid w:val="002E3CFA"/>
    <w:rsid w:val="002E6884"/>
    <w:rsid w:val="002F0268"/>
    <w:rsid w:val="002F1929"/>
    <w:rsid w:val="002F42F5"/>
    <w:rsid w:val="002F453A"/>
    <w:rsid w:val="002F7A8D"/>
    <w:rsid w:val="003013EE"/>
    <w:rsid w:val="00301A34"/>
    <w:rsid w:val="003022C7"/>
    <w:rsid w:val="00302903"/>
    <w:rsid w:val="00302A91"/>
    <w:rsid w:val="00303CB7"/>
    <w:rsid w:val="00304E62"/>
    <w:rsid w:val="00305C24"/>
    <w:rsid w:val="003063AB"/>
    <w:rsid w:val="00312094"/>
    <w:rsid w:val="00312B14"/>
    <w:rsid w:val="00312B9D"/>
    <w:rsid w:val="0031339B"/>
    <w:rsid w:val="00313E3D"/>
    <w:rsid w:val="00314F16"/>
    <w:rsid w:val="00317631"/>
    <w:rsid w:val="003179CD"/>
    <w:rsid w:val="00318574"/>
    <w:rsid w:val="0031E0FF"/>
    <w:rsid w:val="00321883"/>
    <w:rsid w:val="003220C6"/>
    <w:rsid w:val="003248A1"/>
    <w:rsid w:val="0032718C"/>
    <w:rsid w:val="0032798C"/>
    <w:rsid w:val="00333762"/>
    <w:rsid w:val="00340AA0"/>
    <w:rsid w:val="003422F4"/>
    <w:rsid w:val="00342628"/>
    <w:rsid w:val="00342FA7"/>
    <w:rsid w:val="00343542"/>
    <w:rsid w:val="00344536"/>
    <w:rsid w:val="00345B1A"/>
    <w:rsid w:val="00346FC5"/>
    <w:rsid w:val="00346FF9"/>
    <w:rsid w:val="00350027"/>
    <w:rsid w:val="003508E2"/>
    <w:rsid w:val="003520E3"/>
    <w:rsid w:val="00352431"/>
    <w:rsid w:val="00354CAF"/>
    <w:rsid w:val="0035598B"/>
    <w:rsid w:val="00356C74"/>
    <w:rsid w:val="0036021A"/>
    <w:rsid w:val="003607BA"/>
    <w:rsid w:val="00360AEB"/>
    <w:rsid w:val="00360CE5"/>
    <w:rsid w:val="00361A7A"/>
    <w:rsid w:val="00362C41"/>
    <w:rsid w:val="003637EA"/>
    <w:rsid w:val="00363F50"/>
    <w:rsid w:val="003655B2"/>
    <w:rsid w:val="00365A32"/>
    <w:rsid w:val="0036670C"/>
    <w:rsid w:val="00371B06"/>
    <w:rsid w:val="00371D91"/>
    <w:rsid w:val="00373BB6"/>
    <w:rsid w:val="003745A9"/>
    <w:rsid w:val="003746AB"/>
    <w:rsid w:val="00377230"/>
    <w:rsid w:val="00377BD3"/>
    <w:rsid w:val="00377E68"/>
    <w:rsid w:val="0038096E"/>
    <w:rsid w:val="00384088"/>
    <w:rsid w:val="0038489B"/>
    <w:rsid w:val="003860C6"/>
    <w:rsid w:val="0039169B"/>
    <w:rsid w:val="00394F72"/>
    <w:rsid w:val="003A0A38"/>
    <w:rsid w:val="003A1BEC"/>
    <w:rsid w:val="003A2AB3"/>
    <w:rsid w:val="003A2AEB"/>
    <w:rsid w:val="003A6222"/>
    <w:rsid w:val="003A7862"/>
    <w:rsid w:val="003A7F8C"/>
    <w:rsid w:val="003B1995"/>
    <w:rsid w:val="003B2171"/>
    <w:rsid w:val="003B2AC9"/>
    <w:rsid w:val="003B380B"/>
    <w:rsid w:val="003B4508"/>
    <w:rsid w:val="003B4A21"/>
    <w:rsid w:val="003B532E"/>
    <w:rsid w:val="003B551C"/>
    <w:rsid w:val="003B5BCE"/>
    <w:rsid w:val="003B6F14"/>
    <w:rsid w:val="003C05DA"/>
    <w:rsid w:val="003C13C8"/>
    <w:rsid w:val="003C17C9"/>
    <w:rsid w:val="003C1CCA"/>
    <w:rsid w:val="003C1E35"/>
    <w:rsid w:val="003C3435"/>
    <w:rsid w:val="003C3BBB"/>
    <w:rsid w:val="003C5944"/>
    <w:rsid w:val="003C5C8E"/>
    <w:rsid w:val="003D035E"/>
    <w:rsid w:val="003D0F8B"/>
    <w:rsid w:val="003D113B"/>
    <w:rsid w:val="003D243D"/>
    <w:rsid w:val="003D24CF"/>
    <w:rsid w:val="003D491D"/>
    <w:rsid w:val="003D75A4"/>
    <w:rsid w:val="003E3EEC"/>
    <w:rsid w:val="003E4BD0"/>
    <w:rsid w:val="003E5620"/>
    <w:rsid w:val="003E6A33"/>
    <w:rsid w:val="003F11A9"/>
    <w:rsid w:val="003F127E"/>
    <w:rsid w:val="003F186F"/>
    <w:rsid w:val="003F2B17"/>
    <w:rsid w:val="003F3176"/>
    <w:rsid w:val="003F3F5B"/>
    <w:rsid w:val="003F6DDB"/>
    <w:rsid w:val="00400022"/>
    <w:rsid w:val="00400B3F"/>
    <w:rsid w:val="004017F3"/>
    <w:rsid w:val="00403690"/>
    <w:rsid w:val="00403A52"/>
    <w:rsid w:val="00405691"/>
    <w:rsid w:val="004057D3"/>
    <w:rsid w:val="00406118"/>
    <w:rsid w:val="00406324"/>
    <w:rsid w:val="00406CFE"/>
    <w:rsid w:val="00410EC1"/>
    <w:rsid w:val="00410F99"/>
    <w:rsid w:val="00411CC6"/>
    <w:rsid w:val="004131D4"/>
    <w:rsid w:val="0041348E"/>
    <w:rsid w:val="004137CB"/>
    <w:rsid w:val="0041384E"/>
    <w:rsid w:val="00413A0F"/>
    <w:rsid w:val="00416761"/>
    <w:rsid w:val="0042062E"/>
    <w:rsid w:val="0042155B"/>
    <w:rsid w:val="00421631"/>
    <w:rsid w:val="00424DA6"/>
    <w:rsid w:val="00424E3B"/>
    <w:rsid w:val="00425F8C"/>
    <w:rsid w:val="0042720D"/>
    <w:rsid w:val="00427837"/>
    <w:rsid w:val="00430616"/>
    <w:rsid w:val="00430B57"/>
    <w:rsid w:val="00436A36"/>
    <w:rsid w:val="0043797D"/>
    <w:rsid w:val="00437F58"/>
    <w:rsid w:val="004407C3"/>
    <w:rsid w:val="004441F7"/>
    <w:rsid w:val="00444397"/>
    <w:rsid w:val="00445BE1"/>
    <w:rsid w:val="00447308"/>
    <w:rsid w:val="00452723"/>
    <w:rsid w:val="00452C03"/>
    <w:rsid w:val="00454882"/>
    <w:rsid w:val="004625D6"/>
    <w:rsid w:val="00462919"/>
    <w:rsid w:val="00462A5C"/>
    <w:rsid w:val="00464CDB"/>
    <w:rsid w:val="00465B18"/>
    <w:rsid w:val="00467B30"/>
    <w:rsid w:val="00470030"/>
    <w:rsid w:val="00471388"/>
    <w:rsid w:val="00471D40"/>
    <w:rsid w:val="00471FBF"/>
    <w:rsid w:val="00472113"/>
    <w:rsid w:val="0047299B"/>
    <w:rsid w:val="004750A2"/>
    <w:rsid w:val="0047517E"/>
    <w:rsid w:val="004765FF"/>
    <w:rsid w:val="00477A66"/>
    <w:rsid w:val="00477AE6"/>
    <w:rsid w:val="004822E4"/>
    <w:rsid w:val="004847F4"/>
    <w:rsid w:val="0048666F"/>
    <w:rsid w:val="004875F5"/>
    <w:rsid w:val="00490C93"/>
    <w:rsid w:val="00490F07"/>
    <w:rsid w:val="00491398"/>
    <w:rsid w:val="004918B4"/>
    <w:rsid w:val="00492025"/>
    <w:rsid w:val="00492075"/>
    <w:rsid w:val="00492A89"/>
    <w:rsid w:val="004938C8"/>
    <w:rsid w:val="004969AD"/>
    <w:rsid w:val="00497A8F"/>
    <w:rsid w:val="00497B67"/>
    <w:rsid w:val="004A016D"/>
    <w:rsid w:val="004A030E"/>
    <w:rsid w:val="004A212E"/>
    <w:rsid w:val="004A471E"/>
    <w:rsid w:val="004A693F"/>
    <w:rsid w:val="004A7616"/>
    <w:rsid w:val="004A7723"/>
    <w:rsid w:val="004B06A5"/>
    <w:rsid w:val="004B13CB"/>
    <w:rsid w:val="004B3EC2"/>
    <w:rsid w:val="004B4573"/>
    <w:rsid w:val="004B4FDF"/>
    <w:rsid w:val="004B6BFC"/>
    <w:rsid w:val="004B7C8C"/>
    <w:rsid w:val="004C0883"/>
    <w:rsid w:val="004C2663"/>
    <w:rsid w:val="004C2E3D"/>
    <w:rsid w:val="004C368B"/>
    <w:rsid w:val="004C4092"/>
    <w:rsid w:val="004C4F2F"/>
    <w:rsid w:val="004C547C"/>
    <w:rsid w:val="004C5AD0"/>
    <w:rsid w:val="004C5AD9"/>
    <w:rsid w:val="004C6601"/>
    <w:rsid w:val="004C75FD"/>
    <w:rsid w:val="004D0226"/>
    <w:rsid w:val="004D22C2"/>
    <w:rsid w:val="004D28C9"/>
    <w:rsid w:val="004D3BE3"/>
    <w:rsid w:val="004D5D5C"/>
    <w:rsid w:val="004D6280"/>
    <w:rsid w:val="004D65C8"/>
    <w:rsid w:val="004E205D"/>
    <w:rsid w:val="004E28F5"/>
    <w:rsid w:val="004E3B3A"/>
    <w:rsid w:val="004E4010"/>
    <w:rsid w:val="004E5E06"/>
    <w:rsid w:val="004E6C1E"/>
    <w:rsid w:val="004E7073"/>
    <w:rsid w:val="004E793D"/>
    <w:rsid w:val="004F0157"/>
    <w:rsid w:val="004F0EB6"/>
    <w:rsid w:val="004F33DD"/>
    <w:rsid w:val="004F3A09"/>
    <w:rsid w:val="004F5DF7"/>
    <w:rsid w:val="004F63D6"/>
    <w:rsid w:val="004F6937"/>
    <w:rsid w:val="004F71A0"/>
    <w:rsid w:val="0050139F"/>
    <w:rsid w:val="00502C46"/>
    <w:rsid w:val="00503D3F"/>
    <w:rsid w:val="005043A9"/>
    <w:rsid w:val="0050460B"/>
    <w:rsid w:val="00505271"/>
    <w:rsid w:val="00506B7F"/>
    <w:rsid w:val="00506EFE"/>
    <w:rsid w:val="00512476"/>
    <w:rsid w:val="0051271B"/>
    <w:rsid w:val="00512A66"/>
    <w:rsid w:val="00513D0F"/>
    <w:rsid w:val="00515678"/>
    <w:rsid w:val="00515BD8"/>
    <w:rsid w:val="00516DF8"/>
    <w:rsid w:val="00520DC2"/>
    <w:rsid w:val="00521223"/>
    <w:rsid w:val="005218B2"/>
    <w:rsid w:val="00522033"/>
    <w:rsid w:val="005224E9"/>
    <w:rsid w:val="00523D14"/>
    <w:rsid w:val="00523DC4"/>
    <w:rsid w:val="00523F52"/>
    <w:rsid w:val="0052435B"/>
    <w:rsid w:val="00524655"/>
    <w:rsid w:val="00524DF1"/>
    <w:rsid w:val="0053719A"/>
    <w:rsid w:val="00537DC9"/>
    <w:rsid w:val="0054005B"/>
    <w:rsid w:val="00544478"/>
    <w:rsid w:val="005445AD"/>
    <w:rsid w:val="005450E5"/>
    <w:rsid w:val="00546B83"/>
    <w:rsid w:val="005506AB"/>
    <w:rsid w:val="0055140B"/>
    <w:rsid w:val="005515E0"/>
    <w:rsid w:val="0055180A"/>
    <w:rsid w:val="0055277C"/>
    <w:rsid w:val="00554C4F"/>
    <w:rsid w:val="005576FA"/>
    <w:rsid w:val="00557DCB"/>
    <w:rsid w:val="005612D5"/>
    <w:rsid w:val="00561D72"/>
    <w:rsid w:val="00563D5C"/>
    <w:rsid w:val="00566DAF"/>
    <w:rsid w:val="005670F1"/>
    <w:rsid w:val="00571944"/>
    <w:rsid w:val="00571C74"/>
    <w:rsid w:val="005724E7"/>
    <w:rsid w:val="005745F5"/>
    <w:rsid w:val="0057675A"/>
    <w:rsid w:val="00576FCD"/>
    <w:rsid w:val="00577C1A"/>
    <w:rsid w:val="00577F3F"/>
    <w:rsid w:val="005809CA"/>
    <w:rsid w:val="00580AB4"/>
    <w:rsid w:val="005816BF"/>
    <w:rsid w:val="00582286"/>
    <w:rsid w:val="00583714"/>
    <w:rsid w:val="00590754"/>
    <w:rsid w:val="00590AF3"/>
    <w:rsid w:val="00595317"/>
    <w:rsid w:val="00595684"/>
    <w:rsid w:val="00595BD5"/>
    <w:rsid w:val="005964AB"/>
    <w:rsid w:val="005A0FE1"/>
    <w:rsid w:val="005A1DD5"/>
    <w:rsid w:val="005A4755"/>
    <w:rsid w:val="005A47C0"/>
    <w:rsid w:val="005A4C8C"/>
    <w:rsid w:val="005B0A1F"/>
    <w:rsid w:val="005B1840"/>
    <w:rsid w:val="005B1CAD"/>
    <w:rsid w:val="005B1F92"/>
    <w:rsid w:val="005B3A54"/>
    <w:rsid w:val="005B42D3"/>
    <w:rsid w:val="005B44F5"/>
    <w:rsid w:val="005C099A"/>
    <w:rsid w:val="005C2359"/>
    <w:rsid w:val="005C31A5"/>
    <w:rsid w:val="005C400E"/>
    <w:rsid w:val="005C4975"/>
    <w:rsid w:val="005C61F3"/>
    <w:rsid w:val="005C730F"/>
    <w:rsid w:val="005C78F4"/>
    <w:rsid w:val="005D0576"/>
    <w:rsid w:val="005D0EA5"/>
    <w:rsid w:val="005D33A0"/>
    <w:rsid w:val="005D498B"/>
    <w:rsid w:val="005D6DF6"/>
    <w:rsid w:val="005D7383"/>
    <w:rsid w:val="005E10C9"/>
    <w:rsid w:val="005E163E"/>
    <w:rsid w:val="005E187B"/>
    <w:rsid w:val="005E34CF"/>
    <w:rsid w:val="005E61DD"/>
    <w:rsid w:val="005E6321"/>
    <w:rsid w:val="005E65F8"/>
    <w:rsid w:val="005E7468"/>
    <w:rsid w:val="005F1A16"/>
    <w:rsid w:val="005F3123"/>
    <w:rsid w:val="005F4489"/>
    <w:rsid w:val="005F45BA"/>
    <w:rsid w:val="005F489F"/>
    <w:rsid w:val="005F73FE"/>
    <w:rsid w:val="0060083B"/>
    <w:rsid w:val="0060106F"/>
    <w:rsid w:val="006023DF"/>
    <w:rsid w:val="00603572"/>
    <w:rsid w:val="006045E7"/>
    <w:rsid w:val="006052D5"/>
    <w:rsid w:val="00605CEB"/>
    <w:rsid w:val="00606D44"/>
    <w:rsid w:val="00607E52"/>
    <w:rsid w:val="0061253A"/>
    <w:rsid w:val="00613524"/>
    <w:rsid w:val="00614A6D"/>
    <w:rsid w:val="00614FF6"/>
    <w:rsid w:val="00616F42"/>
    <w:rsid w:val="00617548"/>
    <w:rsid w:val="00617926"/>
    <w:rsid w:val="006205BE"/>
    <w:rsid w:val="0062097A"/>
    <w:rsid w:val="00621670"/>
    <w:rsid w:val="00622A59"/>
    <w:rsid w:val="00622E99"/>
    <w:rsid w:val="00623F86"/>
    <w:rsid w:val="00624B4D"/>
    <w:rsid w:val="0062597A"/>
    <w:rsid w:val="0062751D"/>
    <w:rsid w:val="00627AEB"/>
    <w:rsid w:val="00634DCE"/>
    <w:rsid w:val="00635715"/>
    <w:rsid w:val="00635D7C"/>
    <w:rsid w:val="00636129"/>
    <w:rsid w:val="00637B95"/>
    <w:rsid w:val="00640281"/>
    <w:rsid w:val="00640651"/>
    <w:rsid w:val="00642F8F"/>
    <w:rsid w:val="0064322F"/>
    <w:rsid w:val="0064648F"/>
    <w:rsid w:val="00646D24"/>
    <w:rsid w:val="006471E1"/>
    <w:rsid w:val="006505D0"/>
    <w:rsid w:val="0065102A"/>
    <w:rsid w:val="006511E4"/>
    <w:rsid w:val="0065307C"/>
    <w:rsid w:val="0065494F"/>
    <w:rsid w:val="006555CC"/>
    <w:rsid w:val="006559FD"/>
    <w:rsid w:val="0065615E"/>
    <w:rsid w:val="00657027"/>
    <w:rsid w:val="00657DE0"/>
    <w:rsid w:val="00660A4A"/>
    <w:rsid w:val="00660D9E"/>
    <w:rsid w:val="00661D2E"/>
    <w:rsid w:val="00662AA2"/>
    <w:rsid w:val="006634C4"/>
    <w:rsid w:val="00663DA1"/>
    <w:rsid w:val="00666922"/>
    <w:rsid w:val="006676D7"/>
    <w:rsid w:val="00670689"/>
    <w:rsid w:val="00670EB8"/>
    <w:rsid w:val="006715B0"/>
    <w:rsid w:val="0067199F"/>
    <w:rsid w:val="00671DD7"/>
    <w:rsid w:val="00674103"/>
    <w:rsid w:val="006746A3"/>
    <w:rsid w:val="00677048"/>
    <w:rsid w:val="00677895"/>
    <w:rsid w:val="00683512"/>
    <w:rsid w:val="00685313"/>
    <w:rsid w:val="00687283"/>
    <w:rsid w:val="006907E2"/>
    <w:rsid w:val="00691943"/>
    <w:rsid w:val="006920BF"/>
    <w:rsid w:val="00692A97"/>
    <w:rsid w:val="00692C4C"/>
    <w:rsid w:val="0069311E"/>
    <w:rsid w:val="00695B65"/>
    <w:rsid w:val="00696F2C"/>
    <w:rsid w:val="00697BFD"/>
    <w:rsid w:val="006A08DB"/>
    <w:rsid w:val="006A0B32"/>
    <w:rsid w:val="006A112E"/>
    <w:rsid w:val="006A16A1"/>
    <w:rsid w:val="006A1F0B"/>
    <w:rsid w:val="006A2507"/>
    <w:rsid w:val="006A6B70"/>
    <w:rsid w:val="006A6E9B"/>
    <w:rsid w:val="006B0198"/>
    <w:rsid w:val="006B3E2B"/>
    <w:rsid w:val="006B434E"/>
    <w:rsid w:val="006B4C24"/>
    <w:rsid w:val="006B5C68"/>
    <w:rsid w:val="006B6987"/>
    <w:rsid w:val="006B7C2A"/>
    <w:rsid w:val="006C23DA"/>
    <w:rsid w:val="006C3497"/>
    <w:rsid w:val="006C51A9"/>
    <w:rsid w:val="006C56B4"/>
    <w:rsid w:val="006C5F2C"/>
    <w:rsid w:val="006D0F1F"/>
    <w:rsid w:val="006D15A4"/>
    <w:rsid w:val="006D1838"/>
    <w:rsid w:val="006D1D68"/>
    <w:rsid w:val="006D45C3"/>
    <w:rsid w:val="006D48A6"/>
    <w:rsid w:val="006D4B10"/>
    <w:rsid w:val="006E00E3"/>
    <w:rsid w:val="006E0E2D"/>
    <w:rsid w:val="006E1701"/>
    <w:rsid w:val="006E3D45"/>
    <w:rsid w:val="006E3F81"/>
    <w:rsid w:val="006E6720"/>
    <w:rsid w:val="006E6A76"/>
    <w:rsid w:val="006E6BB6"/>
    <w:rsid w:val="006E6E93"/>
    <w:rsid w:val="006E73F1"/>
    <w:rsid w:val="006F0468"/>
    <w:rsid w:val="006F38BF"/>
    <w:rsid w:val="006F5C96"/>
    <w:rsid w:val="006F67EE"/>
    <w:rsid w:val="007008D1"/>
    <w:rsid w:val="00703784"/>
    <w:rsid w:val="00705894"/>
    <w:rsid w:val="007117C2"/>
    <w:rsid w:val="007133D0"/>
    <w:rsid w:val="00713AC3"/>
    <w:rsid w:val="007149F9"/>
    <w:rsid w:val="00715351"/>
    <w:rsid w:val="00716366"/>
    <w:rsid w:val="007167A9"/>
    <w:rsid w:val="00720527"/>
    <w:rsid w:val="00720F35"/>
    <w:rsid w:val="00722951"/>
    <w:rsid w:val="00723982"/>
    <w:rsid w:val="00725888"/>
    <w:rsid w:val="0072620E"/>
    <w:rsid w:val="0072639D"/>
    <w:rsid w:val="0073219E"/>
    <w:rsid w:val="00732296"/>
    <w:rsid w:val="0073381C"/>
    <w:rsid w:val="00733A30"/>
    <w:rsid w:val="00733E55"/>
    <w:rsid w:val="007354A7"/>
    <w:rsid w:val="00735F7F"/>
    <w:rsid w:val="00736E62"/>
    <w:rsid w:val="0073794C"/>
    <w:rsid w:val="00740407"/>
    <w:rsid w:val="00740481"/>
    <w:rsid w:val="00740598"/>
    <w:rsid w:val="007418C3"/>
    <w:rsid w:val="00741F40"/>
    <w:rsid w:val="0074204D"/>
    <w:rsid w:val="007441E6"/>
    <w:rsid w:val="007442BF"/>
    <w:rsid w:val="00745AEE"/>
    <w:rsid w:val="007479EA"/>
    <w:rsid w:val="00747DE8"/>
    <w:rsid w:val="00750F10"/>
    <w:rsid w:val="00751AD8"/>
    <w:rsid w:val="007527E2"/>
    <w:rsid w:val="00753429"/>
    <w:rsid w:val="007544FA"/>
    <w:rsid w:val="00754549"/>
    <w:rsid w:val="0075515D"/>
    <w:rsid w:val="00756B1C"/>
    <w:rsid w:val="00760C4A"/>
    <w:rsid w:val="007621F7"/>
    <w:rsid w:val="007627FC"/>
    <w:rsid w:val="00764C47"/>
    <w:rsid w:val="0076564E"/>
    <w:rsid w:val="00767AFD"/>
    <w:rsid w:val="00767CE0"/>
    <w:rsid w:val="007709CE"/>
    <w:rsid w:val="007725B9"/>
    <w:rsid w:val="0077277B"/>
    <w:rsid w:val="007742CA"/>
    <w:rsid w:val="00775330"/>
    <w:rsid w:val="00775FBB"/>
    <w:rsid w:val="00776353"/>
    <w:rsid w:val="00776A1E"/>
    <w:rsid w:val="0077718C"/>
    <w:rsid w:val="00782058"/>
    <w:rsid w:val="00782399"/>
    <w:rsid w:val="00782722"/>
    <w:rsid w:val="00783772"/>
    <w:rsid w:val="00784155"/>
    <w:rsid w:val="00785EFC"/>
    <w:rsid w:val="0078755A"/>
    <w:rsid w:val="00790B94"/>
    <w:rsid w:val="00793ACF"/>
    <w:rsid w:val="00793AF3"/>
    <w:rsid w:val="007962BF"/>
    <w:rsid w:val="00796747"/>
    <w:rsid w:val="007969D3"/>
    <w:rsid w:val="00796A48"/>
    <w:rsid w:val="007A23B0"/>
    <w:rsid w:val="007A247E"/>
    <w:rsid w:val="007A2485"/>
    <w:rsid w:val="007A3328"/>
    <w:rsid w:val="007A6140"/>
    <w:rsid w:val="007A7100"/>
    <w:rsid w:val="007A7F65"/>
    <w:rsid w:val="007B0316"/>
    <w:rsid w:val="007B1B0B"/>
    <w:rsid w:val="007B345D"/>
    <w:rsid w:val="007B3487"/>
    <w:rsid w:val="007B3C32"/>
    <w:rsid w:val="007B5299"/>
    <w:rsid w:val="007B7053"/>
    <w:rsid w:val="007B707C"/>
    <w:rsid w:val="007B7216"/>
    <w:rsid w:val="007C036A"/>
    <w:rsid w:val="007C1CEE"/>
    <w:rsid w:val="007C32FC"/>
    <w:rsid w:val="007C3321"/>
    <w:rsid w:val="007C5AF8"/>
    <w:rsid w:val="007C7763"/>
    <w:rsid w:val="007D00B2"/>
    <w:rsid w:val="007D04BF"/>
    <w:rsid w:val="007D06F0"/>
    <w:rsid w:val="007D1EF4"/>
    <w:rsid w:val="007D354E"/>
    <w:rsid w:val="007D41FD"/>
    <w:rsid w:val="007D45E3"/>
    <w:rsid w:val="007D5320"/>
    <w:rsid w:val="007D53CA"/>
    <w:rsid w:val="007D5C95"/>
    <w:rsid w:val="007D618D"/>
    <w:rsid w:val="007D64C8"/>
    <w:rsid w:val="007D6F9F"/>
    <w:rsid w:val="007D7831"/>
    <w:rsid w:val="007D7BA6"/>
    <w:rsid w:val="007E3823"/>
    <w:rsid w:val="007E684D"/>
    <w:rsid w:val="007E77F4"/>
    <w:rsid w:val="007F047F"/>
    <w:rsid w:val="007F0B1C"/>
    <w:rsid w:val="007F33FF"/>
    <w:rsid w:val="007F4258"/>
    <w:rsid w:val="007F694B"/>
    <w:rsid w:val="007F735C"/>
    <w:rsid w:val="00800972"/>
    <w:rsid w:val="00800E20"/>
    <w:rsid w:val="00801DFE"/>
    <w:rsid w:val="00802DFC"/>
    <w:rsid w:val="008031AE"/>
    <w:rsid w:val="00803583"/>
    <w:rsid w:val="00803756"/>
    <w:rsid w:val="00804475"/>
    <w:rsid w:val="0080695B"/>
    <w:rsid w:val="0081047D"/>
    <w:rsid w:val="00810998"/>
    <w:rsid w:val="0081101D"/>
    <w:rsid w:val="00811633"/>
    <w:rsid w:val="00811F77"/>
    <w:rsid w:val="00812D8D"/>
    <w:rsid w:val="0081545B"/>
    <w:rsid w:val="00816EA7"/>
    <w:rsid w:val="0081711A"/>
    <w:rsid w:val="00821C39"/>
    <w:rsid w:val="00821CEF"/>
    <w:rsid w:val="008245C9"/>
    <w:rsid w:val="00830432"/>
    <w:rsid w:val="0083161E"/>
    <w:rsid w:val="00832828"/>
    <w:rsid w:val="008334F3"/>
    <w:rsid w:val="00833775"/>
    <w:rsid w:val="00834102"/>
    <w:rsid w:val="0083645A"/>
    <w:rsid w:val="00836DA0"/>
    <w:rsid w:val="00840B0F"/>
    <w:rsid w:val="00840B82"/>
    <w:rsid w:val="008421E5"/>
    <w:rsid w:val="008433A5"/>
    <w:rsid w:val="00845A7E"/>
    <w:rsid w:val="00845C28"/>
    <w:rsid w:val="00845C81"/>
    <w:rsid w:val="00846CD6"/>
    <w:rsid w:val="008477F7"/>
    <w:rsid w:val="00850DF7"/>
    <w:rsid w:val="00852A91"/>
    <w:rsid w:val="0085532D"/>
    <w:rsid w:val="00855A13"/>
    <w:rsid w:val="0085653B"/>
    <w:rsid w:val="00856855"/>
    <w:rsid w:val="00857FD5"/>
    <w:rsid w:val="00860C54"/>
    <w:rsid w:val="00860F2E"/>
    <w:rsid w:val="00863D37"/>
    <w:rsid w:val="00863E30"/>
    <w:rsid w:val="00864DBC"/>
    <w:rsid w:val="0086560B"/>
    <w:rsid w:val="00865642"/>
    <w:rsid w:val="00865AA5"/>
    <w:rsid w:val="00865DF3"/>
    <w:rsid w:val="00867880"/>
    <w:rsid w:val="008711AE"/>
    <w:rsid w:val="00871900"/>
    <w:rsid w:val="00872FC8"/>
    <w:rsid w:val="00872FE4"/>
    <w:rsid w:val="0087323E"/>
    <w:rsid w:val="00873DBB"/>
    <w:rsid w:val="008747D2"/>
    <w:rsid w:val="00874B22"/>
    <w:rsid w:val="008772F7"/>
    <w:rsid w:val="00877D95"/>
    <w:rsid w:val="008801D3"/>
    <w:rsid w:val="00880C45"/>
    <w:rsid w:val="00882C2F"/>
    <w:rsid w:val="008830BC"/>
    <w:rsid w:val="008845D0"/>
    <w:rsid w:val="008854D0"/>
    <w:rsid w:val="008928EE"/>
    <w:rsid w:val="00892905"/>
    <w:rsid w:val="00895764"/>
    <w:rsid w:val="008977EC"/>
    <w:rsid w:val="00897E2C"/>
    <w:rsid w:val="008A0D8D"/>
    <w:rsid w:val="008A18F2"/>
    <w:rsid w:val="008A1F88"/>
    <w:rsid w:val="008A2B2B"/>
    <w:rsid w:val="008A2ECD"/>
    <w:rsid w:val="008A3918"/>
    <w:rsid w:val="008A3933"/>
    <w:rsid w:val="008A4072"/>
    <w:rsid w:val="008A41BC"/>
    <w:rsid w:val="008A50C3"/>
    <w:rsid w:val="008A5B1F"/>
    <w:rsid w:val="008A5D13"/>
    <w:rsid w:val="008A6805"/>
    <w:rsid w:val="008B0058"/>
    <w:rsid w:val="008B013F"/>
    <w:rsid w:val="008B07CE"/>
    <w:rsid w:val="008B1511"/>
    <w:rsid w:val="008B43F2"/>
    <w:rsid w:val="008B61EA"/>
    <w:rsid w:val="008B6CFF"/>
    <w:rsid w:val="008B7452"/>
    <w:rsid w:val="008C3044"/>
    <w:rsid w:val="008C3930"/>
    <w:rsid w:val="008C48E9"/>
    <w:rsid w:val="008C4B32"/>
    <w:rsid w:val="008D1FE4"/>
    <w:rsid w:val="008D20C7"/>
    <w:rsid w:val="008E151D"/>
    <w:rsid w:val="008E22B6"/>
    <w:rsid w:val="008E257A"/>
    <w:rsid w:val="008E2948"/>
    <w:rsid w:val="008E36B4"/>
    <w:rsid w:val="008F096E"/>
    <w:rsid w:val="008F0ADB"/>
    <w:rsid w:val="008F1D07"/>
    <w:rsid w:val="008F20E8"/>
    <w:rsid w:val="008F3283"/>
    <w:rsid w:val="008F6E86"/>
    <w:rsid w:val="009003A4"/>
    <w:rsid w:val="00902EEE"/>
    <w:rsid w:val="0090375C"/>
    <w:rsid w:val="0090377A"/>
    <w:rsid w:val="00903D75"/>
    <w:rsid w:val="009054E3"/>
    <w:rsid w:val="009062E7"/>
    <w:rsid w:val="00906823"/>
    <w:rsid w:val="0090694C"/>
    <w:rsid w:val="00907B06"/>
    <w:rsid w:val="0091009E"/>
    <w:rsid w:val="00910B26"/>
    <w:rsid w:val="00911B02"/>
    <w:rsid w:val="009122EF"/>
    <w:rsid w:val="0091250D"/>
    <w:rsid w:val="009126EC"/>
    <w:rsid w:val="009131D0"/>
    <w:rsid w:val="00913C21"/>
    <w:rsid w:val="00913E56"/>
    <w:rsid w:val="009148B3"/>
    <w:rsid w:val="00915F55"/>
    <w:rsid w:val="00916D81"/>
    <w:rsid w:val="00916F8F"/>
    <w:rsid w:val="00920758"/>
    <w:rsid w:val="00920EB4"/>
    <w:rsid w:val="0092217E"/>
    <w:rsid w:val="009226DA"/>
    <w:rsid w:val="00922B93"/>
    <w:rsid w:val="00922F12"/>
    <w:rsid w:val="009274B4"/>
    <w:rsid w:val="00927712"/>
    <w:rsid w:val="00931EE9"/>
    <w:rsid w:val="00933932"/>
    <w:rsid w:val="00934A02"/>
    <w:rsid w:val="00934EA2"/>
    <w:rsid w:val="00936CA9"/>
    <w:rsid w:val="00937459"/>
    <w:rsid w:val="00942A41"/>
    <w:rsid w:val="00944A5C"/>
    <w:rsid w:val="009452E0"/>
    <w:rsid w:val="009465C0"/>
    <w:rsid w:val="00946967"/>
    <w:rsid w:val="00946A78"/>
    <w:rsid w:val="0095001A"/>
    <w:rsid w:val="009506F8"/>
    <w:rsid w:val="00952A66"/>
    <w:rsid w:val="009554BD"/>
    <w:rsid w:val="00955599"/>
    <w:rsid w:val="009556DE"/>
    <w:rsid w:val="009557F3"/>
    <w:rsid w:val="0095585F"/>
    <w:rsid w:val="009578E6"/>
    <w:rsid w:val="00957A5C"/>
    <w:rsid w:val="00957A67"/>
    <w:rsid w:val="00957B6C"/>
    <w:rsid w:val="00963713"/>
    <w:rsid w:val="0096456E"/>
    <w:rsid w:val="00965FD2"/>
    <w:rsid w:val="00966064"/>
    <w:rsid w:val="009661EF"/>
    <w:rsid w:val="00966525"/>
    <w:rsid w:val="00967B57"/>
    <w:rsid w:val="00970CE5"/>
    <w:rsid w:val="0097149C"/>
    <w:rsid w:val="00972100"/>
    <w:rsid w:val="00972550"/>
    <w:rsid w:val="009725C3"/>
    <w:rsid w:val="00972EDF"/>
    <w:rsid w:val="00975459"/>
    <w:rsid w:val="00981393"/>
    <w:rsid w:val="009824CF"/>
    <w:rsid w:val="00983223"/>
    <w:rsid w:val="00984B33"/>
    <w:rsid w:val="00984E5D"/>
    <w:rsid w:val="00985626"/>
    <w:rsid w:val="009859B9"/>
    <w:rsid w:val="009869D1"/>
    <w:rsid w:val="0098724E"/>
    <w:rsid w:val="0098774E"/>
    <w:rsid w:val="00990B26"/>
    <w:rsid w:val="00993676"/>
    <w:rsid w:val="00994C94"/>
    <w:rsid w:val="009964C9"/>
    <w:rsid w:val="009A072B"/>
    <w:rsid w:val="009A0EE6"/>
    <w:rsid w:val="009A2418"/>
    <w:rsid w:val="009A31A0"/>
    <w:rsid w:val="009A33F6"/>
    <w:rsid w:val="009A4ACE"/>
    <w:rsid w:val="009A4E6F"/>
    <w:rsid w:val="009B12F1"/>
    <w:rsid w:val="009B25B5"/>
    <w:rsid w:val="009B3BB7"/>
    <w:rsid w:val="009B5B24"/>
    <w:rsid w:val="009B5BEF"/>
    <w:rsid w:val="009B75FF"/>
    <w:rsid w:val="009B7B81"/>
    <w:rsid w:val="009C0124"/>
    <w:rsid w:val="009C21E1"/>
    <w:rsid w:val="009C2369"/>
    <w:rsid w:val="009C4203"/>
    <w:rsid w:val="009C56E5"/>
    <w:rsid w:val="009C78B8"/>
    <w:rsid w:val="009D09B5"/>
    <w:rsid w:val="009D0FF8"/>
    <w:rsid w:val="009D1EB3"/>
    <w:rsid w:val="009D2DC8"/>
    <w:rsid w:val="009D4066"/>
    <w:rsid w:val="009D4E19"/>
    <w:rsid w:val="009E053F"/>
    <w:rsid w:val="009E23E0"/>
    <w:rsid w:val="009E25A0"/>
    <w:rsid w:val="009E4E51"/>
    <w:rsid w:val="009E5FC8"/>
    <w:rsid w:val="009E662D"/>
    <w:rsid w:val="009E687A"/>
    <w:rsid w:val="009E6972"/>
    <w:rsid w:val="009E70D3"/>
    <w:rsid w:val="009E7742"/>
    <w:rsid w:val="009F33B1"/>
    <w:rsid w:val="009F41DF"/>
    <w:rsid w:val="00A0066C"/>
    <w:rsid w:val="00A01B7E"/>
    <w:rsid w:val="00A02A1E"/>
    <w:rsid w:val="00A03200"/>
    <w:rsid w:val="00A03938"/>
    <w:rsid w:val="00A03997"/>
    <w:rsid w:val="00A03C5C"/>
    <w:rsid w:val="00A066F1"/>
    <w:rsid w:val="00A104D8"/>
    <w:rsid w:val="00A112E5"/>
    <w:rsid w:val="00A124B4"/>
    <w:rsid w:val="00A130CC"/>
    <w:rsid w:val="00A141AF"/>
    <w:rsid w:val="00A16282"/>
    <w:rsid w:val="00A16543"/>
    <w:rsid w:val="00A16726"/>
    <w:rsid w:val="00A16D29"/>
    <w:rsid w:val="00A170EA"/>
    <w:rsid w:val="00A201E2"/>
    <w:rsid w:val="00A20E5E"/>
    <w:rsid w:val="00A226BD"/>
    <w:rsid w:val="00A2370F"/>
    <w:rsid w:val="00A23775"/>
    <w:rsid w:val="00A2460E"/>
    <w:rsid w:val="00A26392"/>
    <w:rsid w:val="00A30305"/>
    <w:rsid w:val="00A3080B"/>
    <w:rsid w:val="00A31006"/>
    <w:rsid w:val="00A31D2D"/>
    <w:rsid w:val="00A3326D"/>
    <w:rsid w:val="00A3504D"/>
    <w:rsid w:val="00A36F2A"/>
    <w:rsid w:val="00A3726E"/>
    <w:rsid w:val="00A37565"/>
    <w:rsid w:val="00A40016"/>
    <w:rsid w:val="00A406FE"/>
    <w:rsid w:val="00A415B2"/>
    <w:rsid w:val="00A4351E"/>
    <w:rsid w:val="00A442BF"/>
    <w:rsid w:val="00A4464D"/>
    <w:rsid w:val="00A4600A"/>
    <w:rsid w:val="00A50014"/>
    <w:rsid w:val="00A503CC"/>
    <w:rsid w:val="00A52A78"/>
    <w:rsid w:val="00A5372D"/>
    <w:rsid w:val="00A538A6"/>
    <w:rsid w:val="00A54C25"/>
    <w:rsid w:val="00A64A50"/>
    <w:rsid w:val="00A6539E"/>
    <w:rsid w:val="00A65AF2"/>
    <w:rsid w:val="00A65CDF"/>
    <w:rsid w:val="00A710E7"/>
    <w:rsid w:val="00A7372E"/>
    <w:rsid w:val="00A738A3"/>
    <w:rsid w:val="00A74629"/>
    <w:rsid w:val="00A77729"/>
    <w:rsid w:val="00A81044"/>
    <w:rsid w:val="00A819EB"/>
    <w:rsid w:val="00A81EE6"/>
    <w:rsid w:val="00A8445F"/>
    <w:rsid w:val="00A84A57"/>
    <w:rsid w:val="00A856CE"/>
    <w:rsid w:val="00A86889"/>
    <w:rsid w:val="00A8689E"/>
    <w:rsid w:val="00A90501"/>
    <w:rsid w:val="00A90616"/>
    <w:rsid w:val="00A906F0"/>
    <w:rsid w:val="00A90A72"/>
    <w:rsid w:val="00A91026"/>
    <w:rsid w:val="00A91BE1"/>
    <w:rsid w:val="00A9215A"/>
    <w:rsid w:val="00A93B85"/>
    <w:rsid w:val="00A943E7"/>
    <w:rsid w:val="00A9489C"/>
    <w:rsid w:val="00A94C32"/>
    <w:rsid w:val="00A95FB6"/>
    <w:rsid w:val="00A969E2"/>
    <w:rsid w:val="00A97034"/>
    <w:rsid w:val="00AA0B18"/>
    <w:rsid w:val="00AA17CD"/>
    <w:rsid w:val="00AA1C4F"/>
    <w:rsid w:val="00AA2CDA"/>
    <w:rsid w:val="00AA30FD"/>
    <w:rsid w:val="00AA58D6"/>
    <w:rsid w:val="00AA5B01"/>
    <w:rsid w:val="00AA631F"/>
    <w:rsid w:val="00AA666F"/>
    <w:rsid w:val="00AB1BC6"/>
    <w:rsid w:val="00AB1E9C"/>
    <w:rsid w:val="00AB2B97"/>
    <w:rsid w:val="00AB4927"/>
    <w:rsid w:val="00AB4E29"/>
    <w:rsid w:val="00AB720C"/>
    <w:rsid w:val="00AC0040"/>
    <w:rsid w:val="00AC034F"/>
    <w:rsid w:val="00AC5C55"/>
    <w:rsid w:val="00AC6F62"/>
    <w:rsid w:val="00AD020D"/>
    <w:rsid w:val="00AD0D25"/>
    <w:rsid w:val="00AD0EFF"/>
    <w:rsid w:val="00AD25E0"/>
    <w:rsid w:val="00AD4EF3"/>
    <w:rsid w:val="00AE0C7E"/>
    <w:rsid w:val="00AE2809"/>
    <w:rsid w:val="00AE3E1D"/>
    <w:rsid w:val="00AE3E85"/>
    <w:rsid w:val="00AE629C"/>
    <w:rsid w:val="00AE6930"/>
    <w:rsid w:val="00AE6A69"/>
    <w:rsid w:val="00AE73C2"/>
    <w:rsid w:val="00AE7724"/>
    <w:rsid w:val="00AE7F56"/>
    <w:rsid w:val="00AF0F0D"/>
    <w:rsid w:val="00AF11BB"/>
    <w:rsid w:val="00AF2824"/>
    <w:rsid w:val="00AF3065"/>
    <w:rsid w:val="00B004E5"/>
    <w:rsid w:val="00B02ABA"/>
    <w:rsid w:val="00B02DD7"/>
    <w:rsid w:val="00B06431"/>
    <w:rsid w:val="00B06E28"/>
    <w:rsid w:val="00B11997"/>
    <w:rsid w:val="00B12CC9"/>
    <w:rsid w:val="00B12F8B"/>
    <w:rsid w:val="00B13EB0"/>
    <w:rsid w:val="00B141D3"/>
    <w:rsid w:val="00B15F9D"/>
    <w:rsid w:val="00B16F55"/>
    <w:rsid w:val="00B2101E"/>
    <w:rsid w:val="00B214A6"/>
    <w:rsid w:val="00B25599"/>
    <w:rsid w:val="00B26443"/>
    <w:rsid w:val="00B26BC7"/>
    <w:rsid w:val="00B30020"/>
    <w:rsid w:val="00B30941"/>
    <w:rsid w:val="00B31A42"/>
    <w:rsid w:val="00B31C9D"/>
    <w:rsid w:val="00B31F6A"/>
    <w:rsid w:val="00B33C77"/>
    <w:rsid w:val="00B40483"/>
    <w:rsid w:val="00B40C20"/>
    <w:rsid w:val="00B41208"/>
    <w:rsid w:val="00B41642"/>
    <w:rsid w:val="00B44154"/>
    <w:rsid w:val="00B467EC"/>
    <w:rsid w:val="00B47CB1"/>
    <w:rsid w:val="00B47E8C"/>
    <w:rsid w:val="00B5264D"/>
    <w:rsid w:val="00B5453F"/>
    <w:rsid w:val="00B57DC0"/>
    <w:rsid w:val="00B62312"/>
    <w:rsid w:val="00B639E9"/>
    <w:rsid w:val="00B64DA9"/>
    <w:rsid w:val="00B6515C"/>
    <w:rsid w:val="00B6528A"/>
    <w:rsid w:val="00B65765"/>
    <w:rsid w:val="00B668B8"/>
    <w:rsid w:val="00B67544"/>
    <w:rsid w:val="00B675B8"/>
    <w:rsid w:val="00B67BF4"/>
    <w:rsid w:val="00B71D57"/>
    <w:rsid w:val="00B72CA1"/>
    <w:rsid w:val="00B73531"/>
    <w:rsid w:val="00B765A9"/>
    <w:rsid w:val="00B77483"/>
    <w:rsid w:val="00B80F70"/>
    <w:rsid w:val="00B817CD"/>
    <w:rsid w:val="00B83340"/>
    <w:rsid w:val="00B8346F"/>
    <w:rsid w:val="00B85688"/>
    <w:rsid w:val="00B860DF"/>
    <w:rsid w:val="00B90F31"/>
    <w:rsid w:val="00B90FD2"/>
    <w:rsid w:val="00B911B2"/>
    <w:rsid w:val="00B930CB"/>
    <w:rsid w:val="00B931E3"/>
    <w:rsid w:val="00B937A3"/>
    <w:rsid w:val="00B94B2E"/>
    <w:rsid w:val="00B951D0"/>
    <w:rsid w:val="00B95DA2"/>
    <w:rsid w:val="00B9ACEA"/>
    <w:rsid w:val="00BA06BF"/>
    <w:rsid w:val="00BA084A"/>
    <w:rsid w:val="00BA25EA"/>
    <w:rsid w:val="00BA3E69"/>
    <w:rsid w:val="00BA3F40"/>
    <w:rsid w:val="00BA4677"/>
    <w:rsid w:val="00BA4719"/>
    <w:rsid w:val="00BA4B6A"/>
    <w:rsid w:val="00BA54A8"/>
    <w:rsid w:val="00BA6B37"/>
    <w:rsid w:val="00BB29C8"/>
    <w:rsid w:val="00BB3A95"/>
    <w:rsid w:val="00BB4000"/>
    <w:rsid w:val="00BB5279"/>
    <w:rsid w:val="00BB5BFB"/>
    <w:rsid w:val="00BB6500"/>
    <w:rsid w:val="00BC0382"/>
    <w:rsid w:val="00BC7C7D"/>
    <w:rsid w:val="00BD06BE"/>
    <w:rsid w:val="00BD167E"/>
    <w:rsid w:val="00BD1A73"/>
    <w:rsid w:val="00BD1E15"/>
    <w:rsid w:val="00BD2A33"/>
    <w:rsid w:val="00BD3C46"/>
    <w:rsid w:val="00BD4323"/>
    <w:rsid w:val="00BD62C6"/>
    <w:rsid w:val="00BD73B5"/>
    <w:rsid w:val="00BE016B"/>
    <w:rsid w:val="00BE317E"/>
    <w:rsid w:val="00BE3468"/>
    <w:rsid w:val="00BE43B4"/>
    <w:rsid w:val="00BE5E82"/>
    <w:rsid w:val="00BE7302"/>
    <w:rsid w:val="00BF002E"/>
    <w:rsid w:val="00BF0593"/>
    <w:rsid w:val="00BF152D"/>
    <w:rsid w:val="00BF38EA"/>
    <w:rsid w:val="00BF5283"/>
    <w:rsid w:val="00BF5B22"/>
    <w:rsid w:val="00BF5BFA"/>
    <w:rsid w:val="00BF6353"/>
    <w:rsid w:val="00C0018F"/>
    <w:rsid w:val="00C00FED"/>
    <w:rsid w:val="00C02A51"/>
    <w:rsid w:val="00C0624E"/>
    <w:rsid w:val="00C07024"/>
    <w:rsid w:val="00C07ECF"/>
    <w:rsid w:val="00C10F70"/>
    <w:rsid w:val="00C116B2"/>
    <w:rsid w:val="00C11EC8"/>
    <w:rsid w:val="00C15835"/>
    <w:rsid w:val="00C15C48"/>
    <w:rsid w:val="00C15EAC"/>
    <w:rsid w:val="00C20229"/>
    <w:rsid w:val="00C20466"/>
    <w:rsid w:val="00C2145C"/>
    <w:rsid w:val="00C214ED"/>
    <w:rsid w:val="00C21CB9"/>
    <w:rsid w:val="00C22711"/>
    <w:rsid w:val="00C234E6"/>
    <w:rsid w:val="00C257B3"/>
    <w:rsid w:val="00C25B78"/>
    <w:rsid w:val="00C27497"/>
    <w:rsid w:val="00C30C93"/>
    <w:rsid w:val="00C30F27"/>
    <w:rsid w:val="00C31722"/>
    <w:rsid w:val="00C322F5"/>
    <w:rsid w:val="00C324A8"/>
    <w:rsid w:val="00C32A81"/>
    <w:rsid w:val="00C334D0"/>
    <w:rsid w:val="00C336CC"/>
    <w:rsid w:val="00C33E1A"/>
    <w:rsid w:val="00C3542C"/>
    <w:rsid w:val="00C367B6"/>
    <w:rsid w:val="00C37705"/>
    <w:rsid w:val="00C40A09"/>
    <w:rsid w:val="00C41140"/>
    <w:rsid w:val="00C4216D"/>
    <w:rsid w:val="00C42733"/>
    <w:rsid w:val="00C436D4"/>
    <w:rsid w:val="00C43732"/>
    <w:rsid w:val="00C445F2"/>
    <w:rsid w:val="00C469C7"/>
    <w:rsid w:val="00C4791D"/>
    <w:rsid w:val="00C50BBF"/>
    <w:rsid w:val="00C51349"/>
    <w:rsid w:val="00C53029"/>
    <w:rsid w:val="00C54517"/>
    <w:rsid w:val="00C554E1"/>
    <w:rsid w:val="00C55E83"/>
    <w:rsid w:val="00C57180"/>
    <w:rsid w:val="00C576B3"/>
    <w:rsid w:val="00C610DC"/>
    <w:rsid w:val="00C622C1"/>
    <w:rsid w:val="00C62728"/>
    <w:rsid w:val="00C638AC"/>
    <w:rsid w:val="00C63D80"/>
    <w:rsid w:val="00C64A76"/>
    <w:rsid w:val="00C64CD8"/>
    <w:rsid w:val="00C65DDC"/>
    <w:rsid w:val="00C67140"/>
    <w:rsid w:val="00C676F1"/>
    <w:rsid w:val="00C67F6F"/>
    <w:rsid w:val="00C72C8F"/>
    <w:rsid w:val="00C759F3"/>
    <w:rsid w:val="00C77D8A"/>
    <w:rsid w:val="00C8339C"/>
    <w:rsid w:val="00C840D9"/>
    <w:rsid w:val="00C8426E"/>
    <w:rsid w:val="00C856FA"/>
    <w:rsid w:val="00C86369"/>
    <w:rsid w:val="00C91D5F"/>
    <w:rsid w:val="00C93261"/>
    <w:rsid w:val="00C93571"/>
    <w:rsid w:val="00C93C3A"/>
    <w:rsid w:val="00C97C68"/>
    <w:rsid w:val="00C97E63"/>
    <w:rsid w:val="00CA1A47"/>
    <w:rsid w:val="00CA2F79"/>
    <w:rsid w:val="00CA46E1"/>
    <w:rsid w:val="00CA5815"/>
    <w:rsid w:val="00CA5FD4"/>
    <w:rsid w:val="00CA65F5"/>
    <w:rsid w:val="00CA73F1"/>
    <w:rsid w:val="00CB4E0E"/>
    <w:rsid w:val="00CB5E3F"/>
    <w:rsid w:val="00CB6410"/>
    <w:rsid w:val="00CB6D62"/>
    <w:rsid w:val="00CB727A"/>
    <w:rsid w:val="00CB7522"/>
    <w:rsid w:val="00CC01DC"/>
    <w:rsid w:val="00CC0E03"/>
    <w:rsid w:val="00CC247A"/>
    <w:rsid w:val="00CC736E"/>
    <w:rsid w:val="00CD0068"/>
    <w:rsid w:val="00CD22A7"/>
    <w:rsid w:val="00CD2977"/>
    <w:rsid w:val="00CD401D"/>
    <w:rsid w:val="00CD46D2"/>
    <w:rsid w:val="00CD6467"/>
    <w:rsid w:val="00CD6966"/>
    <w:rsid w:val="00CD6A46"/>
    <w:rsid w:val="00CD7421"/>
    <w:rsid w:val="00CD77C7"/>
    <w:rsid w:val="00CD78F3"/>
    <w:rsid w:val="00CE01ED"/>
    <w:rsid w:val="00CE020E"/>
    <w:rsid w:val="00CE13E9"/>
    <w:rsid w:val="00CE27F9"/>
    <w:rsid w:val="00CE2FDD"/>
    <w:rsid w:val="00CE5C3D"/>
    <w:rsid w:val="00CE5E47"/>
    <w:rsid w:val="00CE63C7"/>
    <w:rsid w:val="00CE6488"/>
    <w:rsid w:val="00CE66B8"/>
    <w:rsid w:val="00CE6D21"/>
    <w:rsid w:val="00CE7E83"/>
    <w:rsid w:val="00CF0106"/>
    <w:rsid w:val="00CF020F"/>
    <w:rsid w:val="00CF0CFB"/>
    <w:rsid w:val="00CF0F21"/>
    <w:rsid w:val="00CF0FE5"/>
    <w:rsid w:val="00CF1CE4"/>
    <w:rsid w:val="00CF2B5B"/>
    <w:rsid w:val="00CF472D"/>
    <w:rsid w:val="00D0141A"/>
    <w:rsid w:val="00D02916"/>
    <w:rsid w:val="00D0334A"/>
    <w:rsid w:val="00D041DF"/>
    <w:rsid w:val="00D046A6"/>
    <w:rsid w:val="00D04B75"/>
    <w:rsid w:val="00D05C83"/>
    <w:rsid w:val="00D10685"/>
    <w:rsid w:val="00D115C0"/>
    <w:rsid w:val="00D1254F"/>
    <w:rsid w:val="00D1274F"/>
    <w:rsid w:val="00D132D1"/>
    <w:rsid w:val="00D14CE0"/>
    <w:rsid w:val="00D17BF5"/>
    <w:rsid w:val="00D21658"/>
    <w:rsid w:val="00D22395"/>
    <w:rsid w:val="00D23E88"/>
    <w:rsid w:val="00D24898"/>
    <w:rsid w:val="00D25374"/>
    <w:rsid w:val="00D25C0F"/>
    <w:rsid w:val="00D27DF1"/>
    <w:rsid w:val="00D30EB0"/>
    <w:rsid w:val="00D322DC"/>
    <w:rsid w:val="00D3353D"/>
    <w:rsid w:val="00D33BCB"/>
    <w:rsid w:val="00D36333"/>
    <w:rsid w:val="00D36645"/>
    <w:rsid w:val="00D4156F"/>
    <w:rsid w:val="00D41907"/>
    <w:rsid w:val="00D42026"/>
    <w:rsid w:val="00D42557"/>
    <w:rsid w:val="00D43272"/>
    <w:rsid w:val="00D43307"/>
    <w:rsid w:val="00D44740"/>
    <w:rsid w:val="00D44A61"/>
    <w:rsid w:val="00D45B2E"/>
    <w:rsid w:val="00D51D43"/>
    <w:rsid w:val="00D5651D"/>
    <w:rsid w:val="00D56577"/>
    <w:rsid w:val="00D56F21"/>
    <w:rsid w:val="00D56FE6"/>
    <w:rsid w:val="00D60305"/>
    <w:rsid w:val="00D60596"/>
    <w:rsid w:val="00D6080F"/>
    <w:rsid w:val="00D60EAA"/>
    <w:rsid w:val="00D616E4"/>
    <w:rsid w:val="00D62FDF"/>
    <w:rsid w:val="00D65E55"/>
    <w:rsid w:val="00D674F1"/>
    <w:rsid w:val="00D7086B"/>
    <w:rsid w:val="00D736C9"/>
    <w:rsid w:val="00D74427"/>
    <w:rsid w:val="00D74898"/>
    <w:rsid w:val="00D756FB"/>
    <w:rsid w:val="00D761DE"/>
    <w:rsid w:val="00D7686D"/>
    <w:rsid w:val="00D801ED"/>
    <w:rsid w:val="00D8267D"/>
    <w:rsid w:val="00D83BF5"/>
    <w:rsid w:val="00D84391"/>
    <w:rsid w:val="00D86CB8"/>
    <w:rsid w:val="00D87CE5"/>
    <w:rsid w:val="00D925C2"/>
    <w:rsid w:val="00D936BC"/>
    <w:rsid w:val="00D9621A"/>
    <w:rsid w:val="00D96530"/>
    <w:rsid w:val="00D96B4B"/>
    <w:rsid w:val="00D97E16"/>
    <w:rsid w:val="00DA0BEC"/>
    <w:rsid w:val="00DA0E89"/>
    <w:rsid w:val="00DA2345"/>
    <w:rsid w:val="00DA420B"/>
    <w:rsid w:val="00DA453A"/>
    <w:rsid w:val="00DA4FC4"/>
    <w:rsid w:val="00DA7078"/>
    <w:rsid w:val="00DB0554"/>
    <w:rsid w:val="00DB0BD2"/>
    <w:rsid w:val="00DB1819"/>
    <w:rsid w:val="00DB3AF1"/>
    <w:rsid w:val="00DB4748"/>
    <w:rsid w:val="00DB6404"/>
    <w:rsid w:val="00DB6FD7"/>
    <w:rsid w:val="00DC0BD6"/>
    <w:rsid w:val="00DC359C"/>
    <w:rsid w:val="00DC4121"/>
    <w:rsid w:val="00DC4864"/>
    <w:rsid w:val="00DC4CB0"/>
    <w:rsid w:val="00DC5429"/>
    <w:rsid w:val="00DC5A07"/>
    <w:rsid w:val="00DC5D72"/>
    <w:rsid w:val="00DD08B4"/>
    <w:rsid w:val="00DD44AF"/>
    <w:rsid w:val="00DD4A53"/>
    <w:rsid w:val="00DD5ACE"/>
    <w:rsid w:val="00DE08E2"/>
    <w:rsid w:val="00DE1078"/>
    <w:rsid w:val="00DE2273"/>
    <w:rsid w:val="00DE2289"/>
    <w:rsid w:val="00DE2AC3"/>
    <w:rsid w:val="00DE434C"/>
    <w:rsid w:val="00DE5381"/>
    <w:rsid w:val="00DE5692"/>
    <w:rsid w:val="00DF2C5B"/>
    <w:rsid w:val="00DF2E9D"/>
    <w:rsid w:val="00DF2E9E"/>
    <w:rsid w:val="00DF3899"/>
    <w:rsid w:val="00DF42F3"/>
    <w:rsid w:val="00DF6672"/>
    <w:rsid w:val="00DF68D8"/>
    <w:rsid w:val="00DF6F8E"/>
    <w:rsid w:val="00E002F6"/>
    <w:rsid w:val="00E00976"/>
    <w:rsid w:val="00E00DD7"/>
    <w:rsid w:val="00E013D7"/>
    <w:rsid w:val="00E03C94"/>
    <w:rsid w:val="00E050C2"/>
    <w:rsid w:val="00E05C30"/>
    <w:rsid w:val="00E069D4"/>
    <w:rsid w:val="00E07105"/>
    <w:rsid w:val="00E07ECE"/>
    <w:rsid w:val="00E1018A"/>
    <w:rsid w:val="00E13958"/>
    <w:rsid w:val="00E14147"/>
    <w:rsid w:val="00E150E9"/>
    <w:rsid w:val="00E16FDE"/>
    <w:rsid w:val="00E17885"/>
    <w:rsid w:val="00E248A6"/>
    <w:rsid w:val="00E2496A"/>
    <w:rsid w:val="00E24F09"/>
    <w:rsid w:val="00E25179"/>
    <w:rsid w:val="00E25977"/>
    <w:rsid w:val="00E26226"/>
    <w:rsid w:val="00E27C47"/>
    <w:rsid w:val="00E3076C"/>
    <w:rsid w:val="00E3151A"/>
    <w:rsid w:val="00E31A07"/>
    <w:rsid w:val="00E353F3"/>
    <w:rsid w:val="00E354B2"/>
    <w:rsid w:val="00E35548"/>
    <w:rsid w:val="00E358BF"/>
    <w:rsid w:val="00E41598"/>
    <w:rsid w:val="00E4165C"/>
    <w:rsid w:val="00E42E9A"/>
    <w:rsid w:val="00E44A93"/>
    <w:rsid w:val="00E45D05"/>
    <w:rsid w:val="00E46DD0"/>
    <w:rsid w:val="00E50990"/>
    <w:rsid w:val="00E51996"/>
    <w:rsid w:val="00E5217B"/>
    <w:rsid w:val="00E54A6E"/>
    <w:rsid w:val="00E55243"/>
    <w:rsid w:val="00E55816"/>
    <w:rsid w:val="00E55AEF"/>
    <w:rsid w:val="00E56ECA"/>
    <w:rsid w:val="00E57BDF"/>
    <w:rsid w:val="00E61017"/>
    <w:rsid w:val="00E62F97"/>
    <w:rsid w:val="00E64E9D"/>
    <w:rsid w:val="00E67082"/>
    <w:rsid w:val="00E70AE2"/>
    <w:rsid w:val="00E724AC"/>
    <w:rsid w:val="00E74E97"/>
    <w:rsid w:val="00E75B86"/>
    <w:rsid w:val="00E76468"/>
    <w:rsid w:val="00E76CED"/>
    <w:rsid w:val="00E8022A"/>
    <w:rsid w:val="00E824AD"/>
    <w:rsid w:val="00E83591"/>
    <w:rsid w:val="00E8715B"/>
    <w:rsid w:val="00E876AF"/>
    <w:rsid w:val="00E91A50"/>
    <w:rsid w:val="00E92948"/>
    <w:rsid w:val="00E954C2"/>
    <w:rsid w:val="00E96C9B"/>
    <w:rsid w:val="00E96CA8"/>
    <w:rsid w:val="00E974A1"/>
    <w:rsid w:val="00E975EE"/>
    <w:rsid w:val="00E976C1"/>
    <w:rsid w:val="00EA09FB"/>
    <w:rsid w:val="00EA12E5"/>
    <w:rsid w:val="00EA20A1"/>
    <w:rsid w:val="00EA2E73"/>
    <w:rsid w:val="00EA3A22"/>
    <w:rsid w:val="00EA3F1F"/>
    <w:rsid w:val="00EA49BF"/>
    <w:rsid w:val="00EA682C"/>
    <w:rsid w:val="00EA6B2A"/>
    <w:rsid w:val="00EB14E0"/>
    <w:rsid w:val="00EB1B45"/>
    <w:rsid w:val="00EB219D"/>
    <w:rsid w:val="00EB5336"/>
    <w:rsid w:val="00EB7782"/>
    <w:rsid w:val="00EC1B1E"/>
    <w:rsid w:val="00EC1D4F"/>
    <w:rsid w:val="00EC32E8"/>
    <w:rsid w:val="00EC4AEF"/>
    <w:rsid w:val="00EC4DCA"/>
    <w:rsid w:val="00EC4E9B"/>
    <w:rsid w:val="00EC70FB"/>
    <w:rsid w:val="00EC72E2"/>
    <w:rsid w:val="00EC73BB"/>
    <w:rsid w:val="00EC7813"/>
    <w:rsid w:val="00ED042F"/>
    <w:rsid w:val="00ED2DF3"/>
    <w:rsid w:val="00ED3073"/>
    <w:rsid w:val="00ED471E"/>
    <w:rsid w:val="00ED68E3"/>
    <w:rsid w:val="00ED7519"/>
    <w:rsid w:val="00ED754F"/>
    <w:rsid w:val="00EE411B"/>
    <w:rsid w:val="00EE72FE"/>
    <w:rsid w:val="00EE7C18"/>
    <w:rsid w:val="00EE7CDF"/>
    <w:rsid w:val="00EF3980"/>
    <w:rsid w:val="00EF49DB"/>
    <w:rsid w:val="00EF4A90"/>
    <w:rsid w:val="00EF6211"/>
    <w:rsid w:val="00F0014B"/>
    <w:rsid w:val="00F0158D"/>
    <w:rsid w:val="00F02766"/>
    <w:rsid w:val="00F0332A"/>
    <w:rsid w:val="00F0333E"/>
    <w:rsid w:val="00F04067"/>
    <w:rsid w:val="00F05897"/>
    <w:rsid w:val="00F05BD4"/>
    <w:rsid w:val="00F060E8"/>
    <w:rsid w:val="00F067E3"/>
    <w:rsid w:val="00F06F7D"/>
    <w:rsid w:val="00F078F4"/>
    <w:rsid w:val="00F10B92"/>
    <w:rsid w:val="00F11A98"/>
    <w:rsid w:val="00F11DA9"/>
    <w:rsid w:val="00F1256F"/>
    <w:rsid w:val="00F12624"/>
    <w:rsid w:val="00F13646"/>
    <w:rsid w:val="00F13C7E"/>
    <w:rsid w:val="00F17570"/>
    <w:rsid w:val="00F17F12"/>
    <w:rsid w:val="00F2199E"/>
    <w:rsid w:val="00F21A1D"/>
    <w:rsid w:val="00F21C52"/>
    <w:rsid w:val="00F21F05"/>
    <w:rsid w:val="00F22AC3"/>
    <w:rsid w:val="00F23B18"/>
    <w:rsid w:val="00F2442F"/>
    <w:rsid w:val="00F249C5"/>
    <w:rsid w:val="00F27747"/>
    <w:rsid w:val="00F305A4"/>
    <w:rsid w:val="00F30B4D"/>
    <w:rsid w:val="00F312C2"/>
    <w:rsid w:val="00F33027"/>
    <w:rsid w:val="00F34DFA"/>
    <w:rsid w:val="00F3581A"/>
    <w:rsid w:val="00F40734"/>
    <w:rsid w:val="00F414C1"/>
    <w:rsid w:val="00F41C43"/>
    <w:rsid w:val="00F421C6"/>
    <w:rsid w:val="00F44498"/>
    <w:rsid w:val="00F46BE0"/>
    <w:rsid w:val="00F4701E"/>
    <w:rsid w:val="00F47E14"/>
    <w:rsid w:val="00F50ECF"/>
    <w:rsid w:val="00F53E6A"/>
    <w:rsid w:val="00F549B5"/>
    <w:rsid w:val="00F54AA7"/>
    <w:rsid w:val="00F54BA7"/>
    <w:rsid w:val="00F55279"/>
    <w:rsid w:val="00F55421"/>
    <w:rsid w:val="00F60E3E"/>
    <w:rsid w:val="00F60EA3"/>
    <w:rsid w:val="00F613C6"/>
    <w:rsid w:val="00F63655"/>
    <w:rsid w:val="00F63781"/>
    <w:rsid w:val="00F637E8"/>
    <w:rsid w:val="00F65C19"/>
    <w:rsid w:val="00F6609E"/>
    <w:rsid w:val="00F70D2B"/>
    <w:rsid w:val="00F713ED"/>
    <w:rsid w:val="00F71863"/>
    <w:rsid w:val="00F7296C"/>
    <w:rsid w:val="00F729F8"/>
    <w:rsid w:val="00F72CBC"/>
    <w:rsid w:val="00F734CB"/>
    <w:rsid w:val="00F73726"/>
    <w:rsid w:val="00F73A25"/>
    <w:rsid w:val="00F74967"/>
    <w:rsid w:val="00F75A52"/>
    <w:rsid w:val="00F76C66"/>
    <w:rsid w:val="00F76EDA"/>
    <w:rsid w:val="00F807E1"/>
    <w:rsid w:val="00F80EA8"/>
    <w:rsid w:val="00F81ECE"/>
    <w:rsid w:val="00F824ED"/>
    <w:rsid w:val="00F84914"/>
    <w:rsid w:val="00F84E4E"/>
    <w:rsid w:val="00F85EEE"/>
    <w:rsid w:val="00F9192A"/>
    <w:rsid w:val="00F93541"/>
    <w:rsid w:val="00F9455A"/>
    <w:rsid w:val="00F9465A"/>
    <w:rsid w:val="00F951A6"/>
    <w:rsid w:val="00F953C1"/>
    <w:rsid w:val="00F9789D"/>
    <w:rsid w:val="00FA03AA"/>
    <w:rsid w:val="00FA16F3"/>
    <w:rsid w:val="00FA2672"/>
    <w:rsid w:val="00FA577E"/>
    <w:rsid w:val="00FA5FA0"/>
    <w:rsid w:val="00FA6433"/>
    <w:rsid w:val="00FA7338"/>
    <w:rsid w:val="00FA7579"/>
    <w:rsid w:val="00FA77C8"/>
    <w:rsid w:val="00FB1599"/>
    <w:rsid w:val="00FB1B6C"/>
    <w:rsid w:val="00FB24B8"/>
    <w:rsid w:val="00FB2701"/>
    <w:rsid w:val="00FB2897"/>
    <w:rsid w:val="00FB2DE4"/>
    <w:rsid w:val="00FB2FC4"/>
    <w:rsid w:val="00FB3618"/>
    <w:rsid w:val="00FB3707"/>
    <w:rsid w:val="00FB3AF8"/>
    <w:rsid w:val="00FB4E96"/>
    <w:rsid w:val="00FB608A"/>
    <w:rsid w:val="00FB6CD0"/>
    <w:rsid w:val="00FC08B8"/>
    <w:rsid w:val="00FC0C66"/>
    <w:rsid w:val="00FC1185"/>
    <w:rsid w:val="00FC1433"/>
    <w:rsid w:val="00FC2A63"/>
    <w:rsid w:val="00FC30AA"/>
    <w:rsid w:val="00FC3362"/>
    <w:rsid w:val="00FC385E"/>
    <w:rsid w:val="00FC4E4F"/>
    <w:rsid w:val="00FC4E8E"/>
    <w:rsid w:val="00FC4ED1"/>
    <w:rsid w:val="00FC5036"/>
    <w:rsid w:val="00FC7DCC"/>
    <w:rsid w:val="00FD0BC7"/>
    <w:rsid w:val="00FD1E59"/>
    <w:rsid w:val="00FD2546"/>
    <w:rsid w:val="00FD36D8"/>
    <w:rsid w:val="00FD4B6C"/>
    <w:rsid w:val="00FD7150"/>
    <w:rsid w:val="00FD772E"/>
    <w:rsid w:val="00FD787E"/>
    <w:rsid w:val="00FD7B51"/>
    <w:rsid w:val="00FE0804"/>
    <w:rsid w:val="00FE2D30"/>
    <w:rsid w:val="00FE3926"/>
    <w:rsid w:val="00FE741D"/>
    <w:rsid w:val="00FE78C7"/>
    <w:rsid w:val="00FE7EFB"/>
    <w:rsid w:val="00FF09D9"/>
    <w:rsid w:val="00FF3AEA"/>
    <w:rsid w:val="00FF43AC"/>
    <w:rsid w:val="00FF6B5A"/>
    <w:rsid w:val="00FF6C5E"/>
    <w:rsid w:val="00FF74DD"/>
    <w:rsid w:val="00FF7ABB"/>
    <w:rsid w:val="00FFFB83"/>
    <w:rsid w:val="010425A7"/>
    <w:rsid w:val="01EE12B0"/>
    <w:rsid w:val="01F5A425"/>
    <w:rsid w:val="032E65A2"/>
    <w:rsid w:val="037662B9"/>
    <w:rsid w:val="03A88665"/>
    <w:rsid w:val="03C4502A"/>
    <w:rsid w:val="04047801"/>
    <w:rsid w:val="042C05C3"/>
    <w:rsid w:val="0492C639"/>
    <w:rsid w:val="04A1AD47"/>
    <w:rsid w:val="04B414C9"/>
    <w:rsid w:val="05162F29"/>
    <w:rsid w:val="05178C15"/>
    <w:rsid w:val="058EAB85"/>
    <w:rsid w:val="0593804F"/>
    <w:rsid w:val="05A05A70"/>
    <w:rsid w:val="068594AB"/>
    <w:rsid w:val="06C61FF0"/>
    <w:rsid w:val="07902935"/>
    <w:rsid w:val="07C49612"/>
    <w:rsid w:val="07F51907"/>
    <w:rsid w:val="0822FABE"/>
    <w:rsid w:val="083374C4"/>
    <w:rsid w:val="087A383A"/>
    <w:rsid w:val="08978E7C"/>
    <w:rsid w:val="08AF52D3"/>
    <w:rsid w:val="08BB472A"/>
    <w:rsid w:val="097E639A"/>
    <w:rsid w:val="099BBFB8"/>
    <w:rsid w:val="0A4935EA"/>
    <w:rsid w:val="0A4CDC4A"/>
    <w:rsid w:val="0A7019CA"/>
    <w:rsid w:val="0AA3F288"/>
    <w:rsid w:val="0AEB8F58"/>
    <w:rsid w:val="0C17616B"/>
    <w:rsid w:val="0CD62641"/>
    <w:rsid w:val="0CEE6594"/>
    <w:rsid w:val="0D3DA80E"/>
    <w:rsid w:val="0D4187D3"/>
    <w:rsid w:val="0D919E0E"/>
    <w:rsid w:val="0D9C4D20"/>
    <w:rsid w:val="0DA7A21C"/>
    <w:rsid w:val="0DE6F7B3"/>
    <w:rsid w:val="0E1DA6EF"/>
    <w:rsid w:val="0E498BAC"/>
    <w:rsid w:val="0E7E5A0E"/>
    <w:rsid w:val="0EB95DBD"/>
    <w:rsid w:val="0EC27089"/>
    <w:rsid w:val="0EE5F698"/>
    <w:rsid w:val="0F40D1B4"/>
    <w:rsid w:val="0F418533"/>
    <w:rsid w:val="10300E59"/>
    <w:rsid w:val="1032D4BA"/>
    <w:rsid w:val="10B2455C"/>
    <w:rsid w:val="11663EA4"/>
    <w:rsid w:val="119B2B28"/>
    <w:rsid w:val="12851173"/>
    <w:rsid w:val="12A72035"/>
    <w:rsid w:val="12E081C2"/>
    <w:rsid w:val="130DBA36"/>
    <w:rsid w:val="136FE8A6"/>
    <w:rsid w:val="13BF467C"/>
    <w:rsid w:val="1439B875"/>
    <w:rsid w:val="14C1C2E9"/>
    <w:rsid w:val="14D7977F"/>
    <w:rsid w:val="1523C77A"/>
    <w:rsid w:val="15653C4F"/>
    <w:rsid w:val="165D35A4"/>
    <w:rsid w:val="17AAF5B6"/>
    <w:rsid w:val="1841E4F3"/>
    <w:rsid w:val="18E4C996"/>
    <w:rsid w:val="19D1C63F"/>
    <w:rsid w:val="1A0D569C"/>
    <w:rsid w:val="1AE8BD96"/>
    <w:rsid w:val="1B60507B"/>
    <w:rsid w:val="1B738F23"/>
    <w:rsid w:val="1C0881EC"/>
    <w:rsid w:val="1C9B6E9F"/>
    <w:rsid w:val="1CF00C2F"/>
    <w:rsid w:val="1D112DCA"/>
    <w:rsid w:val="1D18375E"/>
    <w:rsid w:val="1D1B3D86"/>
    <w:rsid w:val="1DA2128F"/>
    <w:rsid w:val="1DA67844"/>
    <w:rsid w:val="1E0D8212"/>
    <w:rsid w:val="1F571224"/>
    <w:rsid w:val="1FCC86D7"/>
    <w:rsid w:val="1FD62064"/>
    <w:rsid w:val="204B8EF8"/>
    <w:rsid w:val="20A06617"/>
    <w:rsid w:val="21951F0A"/>
    <w:rsid w:val="219BCB36"/>
    <w:rsid w:val="220DA55F"/>
    <w:rsid w:val="22125764"/>
    <w:rsid w:val="221D62CA"/>
    <w:rsid w:val="245BE3C4"/>
    <w:rsid w:val="24612B69"/>
    <w:rsid w:val="24713036"/>
    <w:rsid w:val="25154F43"/>
    <w:rsid w:val="253748A3"/>
    <w:rsid w:val="2548DB44"/>
    <w:rsid w:val="259A1721"/>
    <w:rsid w:val="25A7936B"/>
    <w:rsid w:val="25FF81C5"/>
    <w:rsid w:val="274F6ACB"/>
    <w:rsid w:val="27CC2B50"/>
    <w:rsid w:val="2803FAEC"/>
    <w:rsid w:val="284AEEEE"/>
    <w:rsid w:val="284E2C71"/>
    <w:rsid w:val="28876EB7"/>
    <w:rsid w:val="28AF3083"/>
    <w:rsid w:val="28CA0581"/>
    <w:rsid w:val="28D31664"/>
    <w:rsid w:val="2911BC3D"/>
    <w:rsid w:val="29E1A228"/>
    <w:rsid w:val="2A8452C1"/>
    <w:rsid w:val="2A84A358"/>
    <w:rsid w:val="2A916331"/>
    <w:rsid w:val="2A9C1243"/>
    <w:rsid w:val="2B085E9E"/>
    <w:rsid w:val="2B74758C"/>
    <w:rsid w:val="2BDAF343"/>
    <w:rsid w:val="2C11E9B7"/>
    <w:rsid w:val="2C5E8491"/>
    <w:rsid w:val="2C6F647C"/>
    <w:rsid w:val="2D024DEF"/>
    <w:rsid w:val="2D9C0B70"/>
    <w:rsid w:val="2F46A0B4"/>
    <w:rsid w:val="2F84A0A3"/>
    <w:rsid w:val="2FB92C9D"/>
    <w:rsid w:val="313FC3A1"/>
    <w:rsid w:val="3194CF26"/>
    <w:rsid w:val="321CE110"/>
    <w:rsid w:val="33752920"/>
    <w:rsid w:val="33DF4490"/>
    <w:rsid w:val="34089537"/>
    <w:rsid w:val="3436B8FA"/>
    <w:rsid w:val="34716339"/>
    <w:rsid w:val="34F5608B"/>
    <w:rsid w:val="35606219"/>
    <w:rsid w:val="3598417E"/>
    <w:rsid w:val="3621CAB5"/>
    <w:rsid w:val="369BEF95"/>
    <w:rsid w:val="372DBD21"/>
    <w:rsid w:val="37652C8F"/>
    <w:rsid w:val="3765744D"/>
    <w:rsid w:val="3782B97C"/>
    <w:rsid w:val="378C4FF3"/>
    <w:rsid w:val="37DF28B5"/>
    <w:rsid w:val="37FD2E16"/>
    <w:rsid w:val="37FD7D31"/>
    <w:rsid w:val="39844EFD"/>
    <w:rsid w:val="3A1E04DE"/>
    <w:rsid w:val="3A25BF93"/>
    <w:rsid w:val="3AB4C6BE"/>
    <w:rsid w:val="3AD0CF68"/>
    <w:rsid w:val="3ADAECDE"/>
    <w:rsid w:val="3B99ABBF"/>
    <w:rsid w:val="3BA706D1"/>
    <w:rsid w:val="3BB9BB10"/>
    <w:rsid w:val="3BFC77C6"/>
    <w:rsid w:val="3CE427E4"/>
    <w:rsid w:val="3D0F5763"/>
    <w:rsid w:val="3D5EEDCD"/>
    <w:rsid w:val="3E5B1B58"/>
    <w:rsid w:val="3EFC8BEE"/>
    <w:rsid w:val="405382E8"/>
    <w:rsid w:val="40B8AC49"/>
    <w:rsid w:val="40E1C3CE"/>
    <w:rsid w:val="4136E862"/>
    <w:rsid w:val="413EFEA2"/>
    <w:rsid w:val="418AF34F"/>
    <w:rsid w:val="41CA2BE4"/>
    <w:rsid w:val="42A340BB"/>
    <w:rsid w:val="42A78901"/>
    <w:rsid w:val="4390D873"/>
    <w:rsid w:val="451609B2"/>
    <w:rsid w:val="4516A3A1"/>
    <w:rsid w:val="45553BE5"/>
    <w:rsid w:val="4598DFE6"/>
    <w:rsid w:val="45BF4E63"/>
    <w:rsid w:val="46D82A44"/>
    <w:rsid w:val="46F5977A"/>
    <w:rsid w:val="47304D76"/>
    <w:rsid w:val="484FDEFB"/>
    <w:rsid w:val="48E551EC"/>
    <w:rsid w:val="48E71854"/>
    <w:rsid w:val="4912B0F3"/>
    <w:rsid w:val="496897BB"/>
    <w:rsid w:val="49D312BA"/>
    <w:rsid w:val="4A6A8185"/>
    <w:rsid w:val="4ABAABD0"/>
    <w:rsid w:val="4AE064F6"/>
    <w:rsid w:val="4AFCEA8D"/>
    <w:rsid w:val="4B7188FC"/>
    <w:rsid w:val="4BA30F97"/>
    <w:rsid w:val="4BF5AAF0"/>
    <w:rsid w:val="4C14BAE2"/>
    <w:rsid w:val="4C56A0CE"/>
    <w:rsid w:val="4C5D07F6"/>
    <w:rsid w:val="4C731B58"/>
    <w:rsid w:val="4C79E30A"/>
    <w:rsid w:val="4D580A70"/>
    <w:rsid w:val="4DA16215"/>
    <w:rsid w:val="4DB46AAC"/>
    <w:rsid w:val="4E3BC081"/>
    <w:rsid w:val="4E3DB67A"/>
    <w:rsid w:val="4E91C7C9"/>
    <w:rsid w:val="4EF2310F"/>
    <w:rsid w:val="4F37EB2D"/>
    <w:rsid w:val="4F6B90BE"/>
    <w:rsid w:val="4F80302C"/>
    <w:rsid w:val="4F90826E"/>
    <w:rsid w:val="4FF33D62"/>
    <w:rsid w:val="5156EEB0"/>
    <w:rsid w:val="51C9C2F6"/>
    <w:rsid w:val="51D96187"/>
    <w:rsid w:val="520B62CA"/>
    <w:rsid w:val="521A2A91"/>
    <w:rsid w:val="524D2D73"/>
    <w:rsid w:val="529F4FD2"/>
    <w:rsid w:val="5403A19B"/>
    <w:rsid w:val="54089DA3"/>
    <w:rsid w:val="54515338"/>
    <w:rsid w:val="5458F0A8"/>
    <w:rsid w:val="548BC911"/>
    <w:rsid w:val="54F1836F"/>
    <w:rsid w:val="55B75D35"/>
    <w:rsid w:val="55D53980"/>
    <w:rsid w:val="567B8A9D"/>
    <w:rsid w:val="5694BA52"/>
    <w:rsid w:val="56A03E88"/>
    <w:rsid w:val="570567E9"/>
    <w:rsid w:val="575FCA4E"/>
    <w:rsid w:val="57A25C05"/>
    <w:rsid w:val="58ABB745"/>
    <w:rsid w:val="5907E098"/>
    <w:rsid w:val="59CEAD61"/>
    <w:rsid w:val="59E0D684"/>
    <w:rsid w:val="5AB3B3C4"/>
    <w:rsid w:val="5AC72FD5"/>
    <w:rsid w:val="5AE35D5F"/>
    <w:rsid w:val="5B389306"/>
    <w:rsid w:val="5B842E2A"/>
    <w:rsid w:val="5B9486E7"/>
    <w:rsid w:val="5BA650E3"/>
    <w:rsid w:val="5BBA6188"/>
    <w:rsid w:val="5C349F77"/>
    <w:rsid w:val="5C7D661F"/>
    <w:rsid w:val="5C9D8980"/>
    <w:rsid w:val="5CFA0B7A"/>
    <w:rsid w:val="5D1C79D0"/>
    <w:rsid w:val="5E051D77"/>
    <w:rsid w:val="5E6FCF21"/>
    <w:rsid w:val="5ED4E838"/>
    <w:rsid w:val="5EE2525B"/>
    <w:rsid w:val="5FFD3D01"/>
    <w:rsid w:val="6008B5A4"/>
    <w:rsid w:val="608CD630"/>
    <w:rsid w:val="60C832F8"/>
    <w:rsid w:val="622A64A6"/>
    <w:rsid w:val="624853DC"/>
    <w:rsid w:val="62B840BB"/>
    <w:rsid w:val="630CAF59"/>
    <w:rsid w:val="6653C245"/>
    <w:rsid w:val="668843D1"/>
    <w:rsid w:val="6702C35F"/>
    <w:rsid w:val="673AB5D9"/>
    <w:rsid w:val="677AC14D"/>
    <w:rsid w:val="679FFC7F"/>
    <w:rsid w:val="67E09B4E"/>
    <w:rsid w:val="681D3CD0"/>
    <w:rsid w:val="6852D721"/>
    <w:rsid w:val="686A789A"/>
    <w:rsid w:val="688F082B"/>
    <w:rsid w:val="69A8829E"/>
    <w:rsid w:val="69DF822E"/>
    <w:rsid w:val="6A500801"/>
    <w:rsid w:val="6C13D31E"/>
    <w:rsid w:val="6C76B051"/>
    <w:rsid w:val="6DBE414E"/>
    <w:rsid w:val="6DDF6E20"/>
    <w:rsid w:val="6E370525"/>
    <w:rsid w:val="6EB786D8"/>
    <w:rsid w:val="6EE78E43"/>
    <w:rsid w:val="6F1684FE"/>
    <w:rsid w:val="6F49AD78"/>
    <w:rsid w:val="7096D01D"/>
    <w:rsid w:val="70DFEE33"/>
    <w:rsid w:val="70F8B7AC"/>
    <w:rsid w:val="7125ACB1"/>
    <w:rsid w:val="71808A12"/>
    <w:rsid w:val="725ED88C"/>
    <w:rsid w:val="72857F5F"/>
    <w:rsid w:val="72B9432B"/>
    <w:rsid w:val="7327AEAB"/>
    <w:rsid w:val="734D40EF"/>
    <w:rsid w:val="740B64BC"/>
    <w:rsid w:val="742E6F9D"/>
    <w:rsid w:val="7458D692"/>
    <w:rsid w:val="745A3853"/>
    <w:rsid w:val="74E5B751"/>
    <w:rsid w:val="755F6178"/>
    <w:rsid w:val="7616F1CC"/>
    <w:rsid w:val="76C686F4"/>
    <w:rsid w:val="77769A58"/>
    <w:rsid w:val="77EBF2C1"/>
    <w:rsid w:val="78146191"/>
    <w:rsid w:val="78817E97"/>
    <w:rsid w:val="7916FB00"/>
    <w:rsid w:val="7950CA50"/>
    <w:rsid w:val="7A87199F"/>
    <w:rsid w:val="7A95F66C"/>
    <w:rsid w:val="7AD206F6"/>
    <w:rsid w:val="7AEC7E0B"/>
    <w:rsid w:val="7B2D369C"/>
    <w:rsid w:val="7B33A7BD"/>
    <w:rsid w:val="7B9992D1"/>
    <w:rsid w:val="7C592E71"/>
    <w:rsid w:val="7D4D7D62"/>
    <w:rsid w:val="7D750F41"/>
    <w:rsid w:val="7DCC810A"/>
    <w:rsid w:val="7E03D864"/>
    <w:rsid w:val="7E578536"/>
    <w:rsid w:val="7E64B506"/>
    <w:rsid w:val="7E6AD8E4"/>
    <w:rsid w:val="7EC5A7EC"/>
    <w:rsid w:val="7ED1B57F"/>
    <w:rsid w:val="7EDBB073"/>
    <w:rsid w:val="7F2BACA9"/>
    <w:rsid w:val="7F4AD7C5"/>
    <w:rsid w:val="7F6E91EF"/>
    <w:rsid w:val="7FD3A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57EAB2"/>
  <w15:docId w15:val="{3AD86AC4-4539-4424-A3E1-344CF1CA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uiPriority w:val="99"/>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하이퍼링크21"/>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E411B"/>
    <w:rPr>
      <w:sz w:val="16"/>
      <w:szCs w:val="16"/>
    </w:rPr>
  </w:style>
  <w:style w:type="paragraph" w:styleId="CommentText">
    <w:name w:val="annotation text"/>
    <w:basedOn w:val="Normal"/>
    <w:link w:val="CommentTextChar"/>
    <w:uiPriority w:val="99"/>
    <w:semiHidden/>
    <w:unhideWhenUsed/>
    <w:rsid w:val="00EE411B"/>
    <w:rPr>
      <w:sz w:val="20"/>
    </w:rPr>
  </w:style>
  <w:style w:type="character" w:customStyle="1" w:styleId="CommentTextChar">
    <w:name w:val="Comment Text Char"/>
    <w:basedOn w:val="DefaultParagraphFont"/>
    <w:link w:val="CommentText"/>
    <w:uiPriority w:val="99"/>
    <w:semiHidden/>
    <w:rsid w:val="00EE411B"/>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E411B"/>
    <w:rPr>
      <w:b/>
      <w:bCs/>
    </w:rPr>
  </w:style>
  <w:style w:type="character" w:customStyle="1" w:styleId="CommentSubjectChar">
    <w:name w:val="Comment Subject Char"/>
    <w:basedOn w:val="CommentTextChar"/>
    <w:link w:val="CommentSubject"/>
    <w:semiHidden/>
    <w:rsid w:val="00EE411B"/>
    <w:rPr>
      <w:rFonts w:asciiTheme="minorHAnsi" w:hAnsiTheme="minorHAnsi"/>
      <w:b/>
      <w:bCs/>
      <w:lang w:val="en-GB" w:eastAsia="en-US"/>
    </w:rPr>
  </w:style>
  <w:style w:type="character" w:styleId="FollowedHyperlink">
    <w:name w:val="FollowedHyperlink"/>
    <w:basedOn w:val="DefaultParagraphFont"/>
    <w:semiHidden/>
    <w:unhideWhenUsed/>
    <w:rsid w:val="00B5453F"/>
    <w:rPr>
      <w:color w:val="800080" w:themeColor="followedHyperlink"/>
      <w:u w:val="single"/>
    </w:rPr>
  </w:style>
  <w:style w:type="paragraph" w:customStyle="1" w:styleId="paragraph">
    <w:name w:val="paragraph"/>
    <w:basedOn w:val="Normal"/>
    <w:rsid w:val="00834102"/>
    <w:pPr>
      <w:tabs>
        <w:tab w:val="clear" w:pos="1134"/>
        <w:tab w:val="clear" w:pos="1871"/>
        <w:tab w:val="clear" w:pos="2268"/>
      </w:tabs>
      <w:overflowPunct/>
      <w:autoSpaceDE/>
      <w:autoSpaceDN/>
      <w:adjustRightInd/>
      <w:spacing w:before="0"/>
      <w:textAlignment w:val="auto"/>
    </w:pPr>
    <w:rPr>
      <w:rFonts w:ascii="Times New Roman" w:hAnsi="Times New Roman"/>
      <w:szCs w:val="24"/>
      <w:lang w:eastAsia="zh-CN"/>
    </w:rPr>
  </w:style>
  <w:style w:type="character" w:customStyle="1" w:styleId="normaltextrun1">
    <w:name w:val="normaltextrun1"/>
    <w:basedOn w:val="DefaultParagraphFont"/>
    <w:rsid w:val="00834102"/>
  </w:style>
  <w:style w:type="character" w:customStyle="1" w:styleId="eop">
    <w:name w:val="eop"/>
    <w:basedOn w:val="DefaultParagraphFont"/>
    <w:rsid w:val="00834102"/>
  </w:style>
  <w:style w:type="paragraph" w:customStyle="1" w:styleId="CEONormal">
    <w:name w:val="CEO_Normal"/>
    <w:link w:val="CEONormalChar"/>
    <w:qFormat/>
    <w:rsid w:val="004F63D6"/>
    <w:pPr>
      <w:spacing w:before="120" w:after="120"/>
    </w:pPr>
    <w:rPr>
      <w:rFonts w:ascii="Verdana" w:eastAsia="SimHei" w:hAnsi="Verdana" w:cs="Simplified Arabic"/>
      <w:sz w:val="19"/>
      <w:szCs w:val="28"/>
      <w:lang w:val="en-GB" w:eastAsia="en-US"/>
    </w:rPr>
  </w:style>
  <w:style w:type="character" w:customStyle="1" w:styleId="CEONormalChar">
    <w:name w:val="CEO_Normal Char"/>
    <w:link w:val="CEONormal"/>
    <w:rsid w:val="004F63D6"/>
    <w:rPr>
      <w:rFonts w:ascii="Verdana" w:eastAsia="SimHei" w:hAnsi="Verdana" w:cs="Simplified Arabic"/>
      <w:sz w:val="19"/>
      <w:szCs w:val="28"/>
      <w:lang w:val="en-GB" w:eastAsia="en-US"/>
    </w:rPr>
  </w:style>
  <w:style w:type="paragraph" w:styleId="Revision">
    <w:name w:val="Revision"/>
    <w:hidden/>
    <w:uiPriority w:val="99"/>
    <w:semiHidden/>
    <w:rsid w:val="007F33FF"/>
    <w:rPr>
      <w:rFonts w:asciiTheme="minorHAnsi" w:hAnsiTheme="minorHAnsi"/>
      <w:sz w:val="24"/>
      <w:lang w:val="en-GB" w:eastAsia="en-US"/>
    </w:rPr>
  </w:style>
  <w:style w:type="character" w:customStyle="1" w:styleId="StyleComplexBodyCSArial">
    <w:name w:val="Style (Complex) +Body CS (Arial)"/>
    <w:basedOn w:val="DefaultParagraphFont"/>
    <w:rsid w:val="00865642"/>
    <w:rPr>
      <w:rFonts w:asciiTheme="minorHAnsi" w:hAnsiTheme="minorHAnsi" w:cstheme="minorBidi"/>
    </w:rPr>
  </w:style>
  <w:style w:type="character" w:customStyle="1" w:styleId="StyleComplexBodyCSArial1">
    <w:name w:val="Style (Complex) +Body CS (Arial)1"/>
    <w:basedOn w:val="DefaultParagraphFont"/>
    <w:rsid w:val="00865642"/>
    <w:rPr>
      <w:rFonts w:asciiTheme="minorHAnsi" w:hAnsiTheme="minorHAnsi" w:cstheme="minorBidi"/>
    </w:rPr>
  </w:style>
  <w:style w:type="character" w:customStyle="1" w:styleId="StyleComplexBodyCSArialCustomColorRGB686868">
    <w:name w:val="Style (Complex) +Body CS (Arial) Custom Color(RGB(686868))"/>
    <w:basedOn w:val="DefaultParagraphFont"/>
    <w:rsid w:val="00865642"/>
    <w:rPr>
      <w:rFonts w:asciiTheme="minorHAnsi" w:hAnsiTheme="minorHAnsi" w:cstheme="minorBidi"/>
      <w:color w:val="444444"/>
    </w:rPr>
  </w:style>
  <w:style w:type="character" w:customStyle="1" w:styleId="StyleComplex12pt">
    <w:name w:val="Style (Complex) 12 pt"/>
    <w:basedOn w:val="DefaultParagraphFont"/>
    <w:rsid w:val="00865642"/>
    <w:rPr>
      <w:rFonts w:asciiTheme="minorHAnsi" w:hAnsiTheme="minorHAnsi" w:cs="Calibri"/>
      <w:szCs w:val="24"/>
    </w:rPr>
  </w:style>
  <w:style w:type="character" w:customStyle="1" w:styleId="StyleComplexBodyCSArialBold">
    <w:name w:val="Style (Complex) +Body CS (Arial) Bold"/>
    <w:basedOn w:val="DefaultParagraphFont"/>
    <w:rsid w:val="00865642"/>
    <w:rPr>
      <w:rFonts w:asciiTheme="minorHAnsi" w:hAnsiTheme="minorHAnsi" w:cstheme="minorBidi"/>
      <w:b/>
      <w:bCs/>
    </w:rPr>
  </w:style>
  <w:style w:type="character" w:customStyle="1" w:styleId="StyleComplexBodyCSArialBold1">
    <w:name w:val="Style (Complex) +Body CS (Arial) Bold1"/>
    <w:basedOn w:val="DefaultParagraphFont"/>
    <w:rsid w:val="00865642"/>
    <w:rPr>
      <w:rFonts w:asciiTheme="minorHAnsi" w:hAnsiTheme="minorHAnsi" w:cstheme="minorBidi"/>
      <w:b/>
      <w:bCs/>
    </w:rPr>
  </w:style>
  <w:style w:type="character" w:customStyle="1" w:styleId="StyleComplexBodyCSArial2">
    <w:name w:val="Style (Complex) +Body CS (Arial)2"/>
    <w:basedOn w:val="DefaultParagraphFont"/>
    <w:rsid w:val="00865642"/>
    <w:rPr>
      <w:rFonts w:asciiTheme="minorHAnsi" w:hAnsiTheme="minorHAnsi" w:cs="Calibri"/>
    </w:rPr>
  </w:style>
  <w:style w:type="character" w:customStyle="1" w:styleId="StyleComplex12ptBold">
    <w:name w:val="Style (Complex) 12 pt Bold"/>
    <w:basedOn w:val="DefaultParagraphFont"/>
    <w:rsid w:val="00865642"/>
    <w:rPr>
      <w:rFonts w:asciiTheme="minorHAnsi" w:hAnsiTheme="minorHAnsi" w:cs="Calibri"/>
      <w:b/>
      <w:bCs/>
      <w:iCs w:val="0"/>
      <w:szCs w:val="24"/>
    </w:rPr>
  </w:style>
  <w:style w:type="character" w:customStyle="1" w:styleId="StyleComplexBodyCSArial3">
    <w:name w:val="Style (Complex) +Body CS (Arial)3"/>
    <w:basedOn w:val="DefaultParagraphFont"/>
    <w:rsid w:val="00865642"/>
    <w:rPr>
      <w:rFonts w:ascii="Calibri" w:hAnsi="Calibri" w:cs="Calibri"/>
    </w:rPr>
  </w:style>
  <w:style w:type="character" w:customStyle="1" w:styleId="StyleComplexBodyCSArial4">
    <w:name w:val="Style (Complex) +Body CS (Arial)4"/>
    <w:basedOn w:val="DefaultParagraphFont"/>
    <w:rsid w:val="00865642"/>
    <w:rPr>
      <w:rFonts w:asciiTheme="minorHAnsi" w:hAnsiTheme="minorHAnsi" w:cs="Calibri"/>
    </w:rPr>
  </w:style>
  <w:style w:type="character" w:customStyle="1" w:styleId="StyleComplexBodyCSArial5">
    <w:name w:val="Style (Complex) +Body CS (Arial)5"/>
    <w:basedOn w:val="DefaultParagraphFont"/>
    <w:rsid w:val="00865642"/>
    <w:rPr>
      <w:rFonts w:asciiTheme="minorHAnsi" w:hAnsiTheme="minorHAnsi" w:cs="Calibri"/>
    </w:rPr>
  </w:style>
  <w:style w:type="character" w:customStyle="1" w:styleId="StyleComplexBodyCSArial6">
    <w:name w:val="Style (Complex) +Body CS (Arial)6"/>
    <w:basedOn w:val="DefaultParagraphFont"/>
    <w:rsid w:val="00865642"/>
    <w:rPr>
      <w:rFonts w:asciiTheme="minorHAnsi" w:hAnsiTheme="minorHAnsi" w:cs="Calibri"/>
    </w:rPr>
  </w:style>
  <w:style w:type="character" w:customStyle="1" w:styleId="StyleComplexBodyCSArial7">
    <w:name w:val="Style (Complex) +Body CS (Arial)7"/>
    <w:basedOn w:val="DefaultParagraphFont"/>
    <w:rsid w:val="00865642"/>
    <w:rPr>
      <w:rFonts w:asciiTheme="minorHAnsi" w:hAnsiTheme="minorHAnsi" w:cs="Calibri"/>
    </w:rPr>
  </w:style>
  <w:style w:type="character" w:customStyle="1" w:styleId="StyleComplexBodyCSArial8">
    <w:name w:val="Style (Complex) +Body CS (Arial)8"/>
    <w:basedOn w:val="DefaultParagraphFont"/>
    <w:rsid w:val="00865642"/>
    <w:rPr>
      <w:rFonts w:asciiTheme="minorHAnsi" w:hAnsiTheme="minorHAnsi" w:cs="Calibri"/>
    </w:rPr>
  </w:style>
  <w:style w:type="character" w:customStyle="1" w:styleId="StyleComplexBodyCSArialComplex12pt">
    <w:name w:val="Style (Complex) +Body CS (Arial) (Complex) 12 pt"/>
    <w:basedOn w:val="DefaultParagraphFont"/>
    <w:rsid w:val="00865642"/>
    <w:rPr>
      <w:rFonts w:asciiTheme="minorHAnsi" w:hAnsiTheme="minorHAnsi" w:cs="Calibri"/>
      <w:szCs w:val="24"/>
    </w:rPr>
  </w:style>
  <w:style w:type="character" w:customStyle="1" w:styleId="StyleComplexBodyCSArialComplex12pt1">
    <w:name w:val="Style (Complex) +Body CS (Arial) (Complex) 12 pt1"/>
    <w:basedOn w:val="DefaultParagraphFont"/>
    <w:rsid w:val="00865642"/>
    <w:rPr>
      <w:rFonts w:asciiTheme="minorHAnsi" w:hAnsiTheme="minorHAnsi" w:cs="Calibri"/>
      <w:szCs w:val="24"/>
    </w:rPr>
  </w:style>
  <w:style w:type="character" w:customStyle="1" w:styleId="StyleComplexBodyCSArialBoldCustomColorRGB686868">
    <w:name w:val="Style (Complex) +Body CS (Arial) Bold Custom Color(RGB(686868))"/>
    <w:basedOn w:val="DefaultParagraphFont"/>
    <w:rsid w:val="00865642"/>
    <w:rPr>
      <w:rFonts w:asciiTheme="minorHAnsi" w:hAnsiTheme="minorHAnsi" w:cs="Calibri"/>
      <w:b/>
      <w:bCs/>
      <w:iCs w:val="0"/>
      <w:color w:val="444444"/>
    </w:rPr>
  </w:style>
  <w:style w:type="character" w:customStyle="1" w:styleId="StyleComplexBodyCSArialBoldCustomColorRGB6868681">
    <w:name w:val="Style (Complex) +Body CS (Arial) Bold Custom Color(RGB(686868))1"/>
    <w:basedOn w:val="DefaultParagraphFont"/>
    <w:rsid w:val="00865642"/>
    <w:rPr>
      <w:rFonts w:asciiTheme="minorHAnsi" w:hAnsiTheme="minorHAnsi" w:cs="Calibri"/>
      <w:b/>
      <w:bCs/>
      <w:iCs w:val="0"/>
      <w:color w:val="444444"/>
    </w:r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uiPriority w:val="34"/>
    <w:locked/>
    <w:rsid w:val="00F729F8"/>
    <w:rPr>
      <w:rFonts w:asciiTheme="minorHAnsi" w:hAnsiTheme="minorHAnsi"/>
      <w:sz w:val="24"/>
      <w:lang w:val="en-GB" w:eastAsia="en-US"/>
    </w:rPr>
  </w:style>
  <w:style w:type="paragraph" w:customStyle="1" w:styleId="Default">
    <w:name w:val="Default"/>
    <w:rsid w:val="00F60E3E"/>
    <w:pPr>
      <w:autoSpaceDE w:val="0"/>
      <w:autoSpaceDN w:val="0"/>
      <w:adjustRightInd w:val="0"/>
    </w:pPr>
    <w:rPr>
      <w:rFonts w:ascii="Calibri" w:eastAsiaTheme="minorEastAsia" w:hAnsi="Calibri" w:cs="Calibri"/>
      <w:color w:val="000000"/>
      <w:sz w:val="24"/>
      <w:szCs w:val="24"/>
    </w:rPr>
  </w:style>
  <w:style w:type="character" w:customStyle="1" w:styleId="xmsofootnotereference">
    <w:name w:val="x_msofootnotereference"/>
    <w:basedOn w:val="DefaultParagraphFont"/>
    <w:rsid w:val="00FB3618"/>
  </w:style>
  <w:style w:type="paragraph" w:styleId="NoSpacing">
    <w:name w:val="No Spacing"/>
    <w:uiPriority w:val="1"/>
    <w:qFormat/>
    <w:rsid w:val="00F93541"/>
    <w:pPr>
      <w:jc w:val="both"/>
    </w:pPr>
    <w:rPr>
      <w:rFonts w:ascii="Calibri" w:eastAsia="SimSun" w:hAnsi="Calibri" w:cs="Arial"/>
      <w:sz w:val="22"/>
      <w:szCs w:val="22"/>
    </w:rPr>
  </w:style>
  <w:style w:type="character" w:styleId="Emphasis">
    <w:name w:val="Emphasis"/>
    <w:basedOn w:val="DefaultParagraphFont"/>
    <w:uiPriority w:val="20"/>
    <w:qFormat/>
    <w:rsid w:val="005E65F8"/>
    <w:rPr>
      <w:i/>
      <w:iCs/>
    </w:rPr>
  </w:style>
  <w:style w:type="paragraph" w:customStyle="1" w:styleId="normalWSIS">
    <w:name w:val="normal WSIS"/>
    <w:basedOn w:val="ListParagraph"/>
    <w:link w:val="normalWSISChar"/>
    <w:qFormat/>
    <w:rsid w:val="004F0157"/>
    <w:pPr>
      <w:numPr>
        <w:numId w:val="2"/>
      </w:numPr>
      <w:tabs>
        <w:tab w:val="clear" w:pos="1134"/>
        <w:tab w:val="clear" w:pos="1871"/>
        <w:tab w:val="clear" w:pos="2268"/>
        <w:tab w:val="left" w:pos="426"/>
      </w:tabs>
      <w:overflowPunct/>
      <w:autoSpaceDE/>
      <w:autoSpaceDN/>
      <w:adjustRightInd/>
      <w:spacing w:after="200"/>
      <w:contextualSpacing w:val="0"/>
      <w:jc w:val="both"/>
      <w:textAlignment w:val="auto"/>
    </w:pPr>
    <w:rPr>
      <w:rFonts w:ascii="Calibri" w:eastAsia="SimSun" w:hAnsi="Calibri" w:cs="Arial"/>
      <w:sz w:val="22"/>
      <w:szCs w:val="24"/>
      <w:lang w:val="en-US" w:eastAsia="zh-CN"/>
    </w:rPr>
  </w:style>
  <w:style w:type="character" w:customStyle="1" w:styleId="Heading1Char">
    <w:name w:val="Heading 1 Char"/>
    <w:basedOn w:val="DefaultParagraphFont"/>
    <w:link w:val="Heading1"/>
    <w:uiPriority w:val="9"/>
    <w:rsid w:val="002452C5"/>
    <w:rPr>
      <w:rFonts w:asciiTheme="minorHAnsi" w:hAnsiTheme="minorHAnsi"/>
      <w:b/>
      <w:sz w:val="28"/>
      <w:lang w:val="en-GB" w:eastAsia="en-US"/>
    </w:rPr>
  </w:style>
  <w:style w:type="paragraph" w:customStyle="1" w:styleId="Bulletlist1">
    <w:name w:val="Bullet list 1"/>
    <w:basedOn w:val="Normal"/>
    <w:rsid w:val="00FD36D8"/>
    <w:pPr>
      <w:tabs>
        <w:tab w:val="clear" w:pos="1134"/>
        <w:tab w:val="clear" w:pos="1871"/>
        <w:tab w:val="clear" w:pos="2268"/>
      </w:tabs>
      <w:overflowPunct/>
      <w:autoSpaceDE/>
      <w:autoSpaceDN/>
      <w:adjustRightInd/>
      <w:ind w:left="425" w:hanging="425"/>
      <w:textAlignment w:val="auto"/>
    </w:pPr>
    <w:rPr>
      <w:rFonts w:ascii="Calibri" w:eastAsiaTheme="minorEastAsia" w:hAnsi="Calibri"/>
      <w:sz w:val="21"/>
      <w:szCs w:val="22"/>
      <w:lang w:val="en-US" w:eastAsia="fr-FR"/>
    </w:rPr>
  </w:style>
  <w:style w:type="paragraph" w:styleId="NormalWeb">
    <w:name w:val="Normal (Web)"/>
    <w:basedOn w:val="Normal"/>
    <w:uiPriority w:val="99"/>
    <w:unhideWhenUsed/>
    <w:rsid w:val="000572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normalWSISChar">
    <w:name w:val="normal WSIS Char"/>
    <w:basedOn w:val="DefaultParagraphFont"/>
    <w:link w:val="normalWSIS"/>
    <w:rsid w:val="000213DA"/>
    <w:rPr>
      <w:rFonts w:ascii="Calibri" w:eastAsia="SimSun" w:hAnsi="Calibri" w:cs="Arial"/>
      <w:sz w:val="22"/>
      <w:szCs w:val="24"/>
    </w:rPr>
  </w:style>
  <w:style w:type="paragraph" w:customStyle="1" w:styleId="Heading4nextpage">
    <w:name w:val="Heading 4 next page"/>
    <w:basedOn w:val="Heading4"/>
    <w:rsid w:val="00A03938"/>
    <w:pPr>
      <w:keepLines w:val="0"/>
      <w:tabs>
        <w:tab w:val="clear" w:pos="1871"/>
        <w:tab w:val="clear" w:pos="2268"/>
        <w:tab w:val="left" w:pos="993"/>
      </w:tabs>
      <w:overflowPunct/>
      <w:autoSpaceDE/>
      <w:autoSpaceDN/>
      <w:adjustRightInd/>
      <w:spacing w:before="240"/>
      <w:ind w:left="0" w:firstLine="0"/>
      <w:textAlignment w:val="auto"/>
    </w:pPr>
    <w:rPr>
      <w:rFonts w:ascii="Calibri" w:eastAsiaTheme="minorEastAsia" w:hAnsi="Calibri"/>
      <w:b w:val="0"/>
      <w:bCs/>
      <w:color w:val="548DD4" w:themeColor="text2" w:themeTint="99"/>
      <w:sz w:val="22"/>
      <w:szCs w:val="22"/>
      <w:lang w:eastAsia="en-CA"/>
    </w:rPr>
  </w:style>
  <w:style w:type="paragraph" w:customStyle="1" w:styleId="Heading2noindent">
    <w:name w:val="Heading 2 no indent"/>
    <w:basedOn w:val="Heading2"/>
    <w:next w:val="Normal"/>
    <w:rsid w:val="00A03938"/>
    <w:pPr>
      <w:keepLines w:val="0"/>
      <w:tabs>
        <w:tab w:val="clear" w:pos="1134"/>
        <w:tab w:val="clear" w:pos="1871"/>
        <w:tab w:val="clear" w:pos="2268"/>
        <w:tab w:val="left" w:pos="851"/>
      </w:tabs>
      <w:overflowPunct/>
      <w:autoSpaceDE/>
      <w:autoSpaceDN/>
      <w:adjustRightInd/>
      <w:spacing w:before="400"/>
      <w:ind w:left="0" w:firstLine="0"/>
      <w:textAlignment w:val="auto"/>
    </w:pPr>
    <w:rPr>
      <w:rFonts w:eastAsiaTheme="minorEastAsia" w:cs="Helvetica"/>
      <w:b w:val="0"/>
      <w:bCs/>
      <w:color w:val="548DD4" w:themeColor="text2" w:themeTint="99"/>
      <w:sz w:val="26"/>
      <w:szCs w:val="32"/>
      <w:lang w:val="en-US" w:eastAsia="fr-FR"/>
    </w:rPr>
  </w:style>
  <w:style w:type="character" w:customStyle="1" w:styleId="tlid-translation">
    <w:name w:val="tlid-translation"/>
    <w:basedOn w:val="DefaultParagraphFont"/>
    <w:rsid w:val="00C436D4"/>
  </w:style>
  <w:style w:type="paragraph" w:customStyle="1" w:styleId="Style180">
    <w:name w:val="Style180"/>
    <w:basedOn w:val="Normal"/>
    <w:uiPriority w:val="99"/>
    <w:rsid w:val="00C436D4"/>
    <w:pPr>
      <w:widowControl w:val="0"/>
      <w:tabs>
        <w:tab w:val="clear" w:pos="1134"/>
        <w:tab w:val="clear" w:pos="1871"/>
        <w:tab w:val="clear" w:pos="2268"/>
      </w:tabs>
      <w:overflowPunct/>
      <w:spacing w:before="0" w:line="259" w:lineRule="exact"/>
      <w:jc w:val="both"/>
      <w:textAlignment w:val="auto"/>
    </w:pPr>
    <w:rPr>
      <w:rFonts w:ascii="Calibri" w:eastAsiaTheme="minorEastAsia" w:hAnsi="Calibri"/>
      <w:szCs w:val="24"/>
      <w:lang w:val="ru-RU" w:eastAsia="ru-RU"/>
    </w:rPr>
  </w:style>
  <w:style w:type="paragraph" w:customStyle="1" w:styleId="ceonormal0">
    <w:name w:val="ceonormal0"/>
    <w:basedOn w:val="Normal"/>
    <w:rsid w:val="00754549"/>
    <w:pPr>
      <w:tabs>
        <w:tab w:val="clear" w:pos="1134"/>
        <w:tab w:val="clear" w:pos="1871"/>
        <w:tab w:val="clear" w:pos="2268"/>
      </w:tabs>
      <w:overflowPunct/>
      <w:autoSpaceDE/>
      <w:autoSpaceDN/>
      <w:adjustRightInd/>
      <w:spacing w:after="120"/>
      <w:textAlignment w:val="auto"/>
    </w:pPr>
    <w:rPr>
      <w:rFonts w:ascii="Verdana" w:eastAsiaTheme="minorEastAsia" w:hAnsi="Verdana"/>
      <w:sz w:val="20"/>
      <w:lang w:eastAsia="zh-CN"/>
    </w:rPr>
  </w:style>
  <w:style w:type="character" w:styleId="Strong">
    <w:name w:val="Strong"/>
    <w:basedOn w:val="DefaultParagraphFont"/>
    <w:uiPriority w:val="22"/>
    <w:qFormat/>
    <w:rsid w:val="009D0FF8"/>
    <w:rPr>
      <w:b/>
      <w:bCs/>
    </w:rPr>
  </w:style>
  <w:style w:type="paragraph" w:styleId="PlainText">
    <w:name w:val="Plain Text"/>
    <w:basedOn w:val="Normal"/>
    <w:link w:val="PlainTextChar"/>
    <w:uiPriority w:val="99"/>
    <w:unhideWhenUsed/>
    <w:rsid w:val="00E25179"/>
    <w:pPr>
      <w:tabs>
        <w:tab w:val="clear" w:pos="1134"/>
        <w:tab w:val="clear" w:pos="1871"/>
        <w:tab w:val="clear" w:pos="2268"/>
      </w:tabs>
      <w:overflowPunct/>
      <w:autoSpaceDE/>
      <w:autoSpaceDN/>
      <w:adjustRightInd/>
      <w:spacing w:before="0"/>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E25179"/>
    <w:rPr>
      <w:rFonts w:ascii="Calibri" w:eastAsiaTheme="minorEastAsia"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1608">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525557513">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771585369">
      <w:bodyDiv w:val="1"/>
      <w:marLeft w:val="0"/>
      <w:marRight w:val="0"/>
      <w:marTop w:val="0"/>
      <w:marBottom w:val="0"/>
      <w:divBdr>
        <w:top w:val="none" w:sz="0" w:space="0" w:color="auto"/>
        <w:left w:val="none" w:sz="0" w:space="0" w:color="auto"/>
        <w:bottom w:val="none" w:sz="0" w:space="0" w:color="auto"/>
        <w:right w:val="none" w:sz="0" w:space="0" w:color="auto"/>
      </w:divBdr>
      <w:divsChild>
        <w:div w:id="1952859901">
          <w:marLeft w:val="0"/>
          <w:marRight w:val="0"/>
          <w:marTop w:val="0"/>
          <w:marBottom w:val="0"/>
          <w:divBdr>
            <w:top w:val="none" w:sz="0" w:space="0" w:color="auto"/>
            <w:left w:val="none" w:sz="0" w:space="0" w:color="auto"/>
            <w:bottom w:val="none" w:sz="0" w:space="0" w:color="auto"/>
            <w:right w:val="none" w:sz="0" w:space="0" w:color="auto"/>
          </w:divBdr>
          <w:divsChild>
            <w:div w:id="1382317752">
              <w:marLeft w:val="0"/>
              <w:marRight w:val="0"/>
              <w:marTop w:val="0"/>
              <w:marBottom w:val="0"/>
              <w:divBdr>
                <w:top w:val="none" w:sz="0" w:space="0" w:color="auto"/>
                <w:left w:val="none" w:sz="0" w:space="0" w:color="auto"/>
                <w:bottom w:val="none" w:sz="0" w:space="0" w:color="auto"/>
                <w:right w:val="none" w:sz="0" w:space="0" w:color="auto"/>
              </w:divBdr>
              <w:divsChild>
                <w:div w:id="1725524318">
                  <w:marLeft w:val="0"/>
                  <w:marRight w:val="0"/>
                  <w:marTop w:val="0"/>
                  <w:marBottom w:val="0"/>
                  <w:divBdr>
                    <w:top w:val="none" w:sz="0" w:space="0" w:color="auto"/>
                    <w:left w:val="none" w:sz="0" w:space="0" w:color="auto"/>
                    <w:bottom w:val="none" w:sz="0" w:space="0" w:color="auto"/>
                    <w:right w:val="none" w:sz="0" w:space="0" w:color="auto"/>
                  </w:divBdr>
                  <w:divsChild>
                    <w:div w:id="721365941">
                      <w:marLeft w:val="0"/>
                      <w:marRight w:val="0"/>
                      <w:marTop w:val="0"/>
                      <w:marBottom w:val="0"/>
                      <w:divBdr>
                        <w:top w:val="none" w:sz="0" w:space="0" w:color="auto"/>
                        <w:left w:val="none" w:sz="0" w:space="0" w:color="auto"/>
                        <w:bottom w:val="none" w:sz="0" w:space="0" w:color="auto"/>
                        <w:right w:val="none" w:sz="0" w:space="0" w:color="auto"/>
                      </w:divBdr>
                      <w:divsChild>
                        <w:div w:id="1816723567">
                          <w:marLeft w:val="0"/>
                          <w:marRight w:val="0"/>
                          <w:marTop w:val="0"/>
                          <w:marBottom w:val="0"/>
                          <w:divBdr>
                            <w:top w:val="none" w:sz="0" w:space="0" w:color="auto"/>
                            <w:left w:val="none" w:sz="0" w:space="0" w:color="auto"/>
                            <w:bottom w:val="none" w:sz="0" w:space="0" w:color="auto"/>
                            <w:right w:val="none" w:sz="0" w:space="0" w:color="auto"/>
                          </w:divBdr>
                          <w:divsChild>
                            <w:div w:id="833297713">
                              <w:marLeft w:val="0"/>
                              <w:marRight w:val="0"/>
                              <w:marTop w:val="0"/>
                              <w:marBottom w:val="0"/>
                              <w:divBdr>
                                <w:top w:val="none" w:sz="0" w:space="0" w:color="auto"/>
                                <w:left w:val="none" w:sz="0" w:space="0" w:color="auto"/>
                                <w:bottom w:val="none" w:sz="0" w:space="0" w:color="auto"/>
                                <w:right w:val="none" w:sz="0" w:space="0" w:color="auto"/>
                              </w:divBdr>
                              <w:divsChild>
                                <w:div w:id="1706564147">
                                  <w:marLeft w:val="0"/>
                                  <w:marRight w:val="0"/>
                                  <w:marTop w:val="0"/>
                                  <w:marBottom w:val="0"/>
                                  <w:divBdr>
                                    <w:top w:val="none" w:sz="0" w:space="0" w:color="auto"/>
                                    <w:left w:val="none" w:sz="0" w:space="0" w:color="auto"/>
                                    <w:bottom w:val="none" w:sz="0" w:space="0" w:color="auto"/>
                                    <w:right w:val="none" w:sz="0" w:space="0" w:color="auto"/>
                                  </w:divBdr>
                                  <w:divsChild>
                                    <w:div w:id="1236040952">
                                      <w:marLeft w:val="0"/>
                                      <w:marRight w:val="0"/>
                                      <w:marTop w:val="0"/>
                                      <w:marBottom w:val="0"/>
                                      <w:divBdr>
                                        <w:top w:val="none" w:sz="0" w:space="0" w:color="auto"/>
                                        <w:left w:val="none" w:sz="0" w:space="0" w:color="auto"/>
                                        <w:bottom w:val="none" w:sz="0" w:space="0" w:color="auto"/>
                                        <w:right w:val="none" w:sz="0" w:space="0" w:color="auto"/>
                                      </w:divBdr>
                                      <w:divsChild>
                                        <w:div w:id="1552381442">
                                          <w:marLeft w:val="0"/>
                                          <w:marRight w:val="0"/>
                                          <w:marTop w:val="0"/>
                                          <w:marBottom w:val="0"/>
                                          <w:divBdr>
                                            <w:top w:val="none" w:sz="0" w:space="0" w:color="auto"/>
                                            <w:left w:val="none" w:sz="0" w:space="0" w:color="auto"/>
                                            <w:bottom w:val="none" w:sz="0" w:space="0" w:color="auto"/>
                                            <w:right w:val="none" w:sz="0" w:space="0" w:color="auto"/>
                                          </w:divBdr>
                                          <w:divsChild>
                                            <w:div w:id="430709911">
                                              <w:marLeft w:val="0"/>
                                              <w:marRight w:val="0"/>
                                              <w:marTop w:val="0"/>
                                              <w:marBottom w:val="0"/>
                                              <w:divBdr>
                                                <w:top w:val="none" w:sz="0" w:space="0" w:color="auto"/>
                                                <w:left w:val="none" w:sz="0" w:space="0" w:color="auto"/>
                                                <w:bottom w:val="none" w:sz="0" w:space="0" w:color="auto"/>
                                                <w:right w:val="none" w:sz="0" w:space="0" w:color="auto"/>
                                              </w:divBdr>
                                              <w:divsChild>
                                                <w:div w:id="55785220">
                                                  <w:marLeft w:val="0"/>
                                                  <w:marRight w:val="0"/>
                                                  <w:marTop w:val="0"/>
                                                  <w:marBottom w:val="0"/>
                                                  <w:divBdr>
                                                    <w:top w:val="single" w:sz="6" w:space="0" w:color="ABABAB"/>
                                                    <w:left w:val="single" w:sz="6" w:space="0" w:color="ABABAB"/>
                                                    <w:bottom w:val="none" w:sz="0" w:space="0" w:color="auto"/>
                                                    <w:right w:val="single" w:sz="6" w:space="0" w:color="ABABAB"/>
                                                  </w:divBdr>
                                                  <w:divsChild>
                                                    <w:div w:id="1664890817">
                                                      <w:marLeft w:val="0"/>
                                                      <w:marRight w:val="0"/>
                                                      <w:marTop w:val="0"/>
                                                      <w:marBottom w:val="0"/>
                                                      <w:divBdr>
                                                        <w:top w:val="none" w:sz="0" w:space="0" w:color="auto"/>
                                                        <w:left w:val="none" w:sz="0" w:space="0" w:color="auto"/>
                                                        <w:bottom w:val="none" w:sz="0" w:space="0" w:color="auto"/>
                                                        <w:right w:val="none" w:sz="0" w:space="0" w:color="auto"/>
                                                      </w:divBdr>
                                                      <w:divsChild>
                                                        <w:div w:id="1618482377">
                                                          <w:marLeft w:val="0"/>
                                                          <w:marRight w:val="0"/>
                                                          <w:marTop w:val="0"/>
                                                          <w:marBottom w:val="0"/>
                                                          <w:divBdr>
                                                            <w:top w:val="none" w:sz="0" w:space="0" w:color="auto"/>
                                                            <w:left w:val="none" w:sz="0" w:space="0" w:color="auto"/>
                                                            <w:bottom w:val="none" w:sz="0" w:space="0" w:color="auto"/>
                                                            <w:right w:val="none" w:sz="0" w:space="0" w:color="auto"/>
                                                          </w:divBdr>
                                                          <w:divsChild>
                                                            <w:div w:id="12418353">
                                                              <w:marLeft w:val="0"/>
                                                              <w:marRight w:val="0"/>
                                                              <w:marTop w:val="0"/>
                                                              <w:marBottom w:val="0"/>
                                                              <w:divBdr>
                                                                <w:top w:val="none" w:sz="0" w:space="0" w:color="auto"/>
                                                                <w:left w:val="none" w:sz="0" w:space="0" w:color="auto"/>
                                                                <w:bottom w:val="none" w:sz="0" w:space="0" w:color="auto"/>
                                                                <w:right w:val="none" w:sz="0" w:space="0" w:color="auto"/>
                                                              </w:divBdr>
                                                              <w:divsChild>
                                                                <w:div w:id="1595244192">
                                                                  <w:marLeft w:val="0"/>
                                                                  <w:marRight w:val="0"/>
                                                                  <w:marTop w:val="0"/>
                                                                  <w:marBottom w:val="0"/>
                                                                  <w:divBdr>
                                                                    <w:top w:val="none" w:sz="0" w:space="0" w:color="auto"/>
                                                                    <w:left w:val="none" w:sz="0" w:space="0" w:color="auto"/>
                                                                    <w:bottom w:val="none" w:sz="0" w:space="0" w:color="auto"/>
                                                                    <w:right w:val="none" w:sz="0" w:space="0" w:color="auto"/>
                                                                  </w:divBdr>
                                                                  <w:divsChild>
                                                                    <w:div w:id="699284396">
                                                                      <w:marLeft w:val="0"/>
                                                                      <w:marRight w:val="0"/>
                                                                      <w:marTop w:val="0"/>
                                                                      <w:marBottom w:val="0"/>
                                                                      <w:divBdr>
                                                                        <w:top w:val="none" w:sz="0" w:space="0" w:color="auto"/>
                                                                        <w:left w:val="none" w:sz="0" w:space="0" w:color="auto"/>
                                                                        <w:bottom w:val="none" w:sz="0" w:space="0" w:color="auto"/>
                                                                        <w:right w:val="none" w:sz="0" w:space="0" w:color="auto"/>
                                                                      </w:divBdr>
                                                                      <w:divsChild>
                                                                        <w:div w:id="1718773525">
                                                                          <w:marLeft w:val="0"/>
                                                                          <w:marRight w:val="0"/>
                                                                          <w:marTop w:val="0"/>
                                                                          <w:marBottom w:val="0"/>
                                                                          <w:divBdr>
                                                                            <w:top w:val="none" w:sz="0" w:space="0" w:color="auto"/>
                                                                            <w:left w:val="none" w:sz="0" w:space="0" w:color="auto"/>
                                                                            <w:bottom w:val="none" w:sz="0" w:space="0" w:color="auto"/>
                                                                            <w:right w:val="none" w:sz="0" w:space="0" w:color="auto"/>
                                                                          </w:divBdr>
                                                                          <w:divsChild>
                                                                            <w:div w:id="868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802617">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028366314">
      <w:bodyDiv w:val="1"/>
      <w:marLeft w:val="0"/>
      <w:marRight w:val="0"/>
      <w:marTop w:val="0"/>
      <w:marBottom w:val="0"/>
      <w:divBdr>
        <w:top w:val="none" w:sz="0" w:space="0" w:color="auto"/>
        <w:left w:val="none" w:sz="0" w:space="0" w:color="auto"/>
        <w:bottom w:val="none" w:sz="0" w:space="0" w:color="auto"/>
        <w:right w:val="none" w:sz="0" w:space="0" w:color="auto"/>
      </w:divBdr>
    </w:div>
    <w:div w:id="20965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TDAG24-C-0006/" TargetMode="External"/><Relationship Id="rId18" Type="http://schemas.openxmlformats.org/officeDocument/2006/relationships/hyperlink" Target="https://www.itu.int/md/D18-TDAG24-C-0012/" TargetMode="External"/><Relationship Id="rId26" Type="http://schemas.openxmlformats.org/officeDocument/2006/relationships/hyperlink" Target="https://www.itu.int/md/D18-TDAG24-C-0010/" TargetMode="External"/><Relationship Id="rId39" Type="http://schemas.openxmlformats.org/officeDocument/2006/relationships/hyperlink" Target="https://www.itu.int/md/D18-TDAG24-C-0036/" TargetMode="External"/><Relationship Id="rId21" Type="http://schemas.openxmlformats.org/officeDocument/2006/relationships/hyperlink" Target="https://www.itu.int/md/D18-TDAG24-C-0005/" TargetMode="External"/><Relationship Id="rId34" Type="http://schemas.openxmlformats.org/officeDocument/2006/relationships/hyperlink" Target="https://www.itu.int/md/D18-TDAG24-C-0034/" TargetMode="External"/><Relationship Id="rId42" Type="http://schemas.openxmlformats.org/officeDocument/2006/relationships/hyperlink" Target="https://www.itu.int/dms_pub/itu-d/opb/str/D-STR-CYB_GUIDE.01-2018-PDF-E.pdf" TargetMode="External"/><Relationship Id="rId47" Type="http://schemas.openxmlformats.org/officeDocument/2006/relationships/hyperlink" Target="https://www.itu.int/dms_pub/itu-d/opb/pref/D-PREF-BB.POW_ECO-2018-PDF-E.pdf" TargetMode="External"/><Relationship Id="rId50" Type="http://schemas.openxmlformats.org/officeDocument/2006/relationships/hyperlink" Target="https://www.itu.int/md/D18-TDAG24-C-0017/" TargetMode="External"/><Relationship Id="rId55" Type="http://schemas.openxmlformats.org/officeDocument/2006/relationships/hyperlink" Target="https://www.itu.int/md/D18-TDAG24-C-0035/" TargetMode="External"/><Relationship Id="rId63" Type="http://schemas.openxmlformats.org/officeDocument/2006/relationships/hyperlink" Target="https://www.itu.int/md/D18-TDAG24-C-0027/"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D18-TDAG24-C-0002/" TargetMode="External"/><Relationship Id="rId29" Type="http://schemas.openxmlformats.org/officeDocument/2006/relationships/hyperlink" Target="https://www.itu.int/md/D18-TDAG24-C-00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4-C-0007/" TargetMode="External"/><Relationship Id="rId24" Type="http://schemas.openxmlformats.org/officeDocument/2006/relationships/hyperlink" Target="https://www.itu.int/en/ITU-D/Conferences/TDAG/Pages/inter-sectoral-team-on-issues-of-mutual-interest.aspx" TargetMode="External"/><Relationship Id="rId32" Type="http://schemas.openxmlformats.org/officeDocument/2006/relationships/hyperlink" Target="https://www.itu.int/md/D18-TDAG24-C-0014/" TargetMode="External"/><Relationship Id="rId37" Type="http://schemas.openxmlformats.org/officeDocument/2006/relationships/hyperlink" Target="https://www.itu.int/md/D18-TDAG24-C-0029/" TargetMode="External"/><Relationship Id="rId40" Type="http://schemas.openxmlformats.org/officeDocument/2006/relationships/hyperlink" Target="https://www.itu.int/md/D18-TDAG24-C-0040/en" TargetMode="External"/><Relationship Id="rId45" Type="http://schemas.openxmlformats.org/officeDocument/2006/relationships/hyperlink" Target="https://www.itu.int/en/ITU-T/extcoop/figisymposium/Pages/default.aspx" TargetMode="External"/><Relationship Id="rId53" Type="http://schemas.openxmlformats.org/officeDocument/2006/relationships/hyperlink" Target="https://www.itu.int/en/ITU-D/Capacity-Building/Pages/events/CBS/2018/default.aspx" TargetMode="External"/><Relationship Id="rId58" Type="http://schemas.openxmlformats.org/officeDocument/2006/relationships/hyperlink" Target="https://www.itu.int/md/D18-TDAG24-C-0026/" TargetMode="External"/><Relationship Id="rId66" Type="http://schemas.openxmlformats.org/officeDocument/2006/relationships/hyperlink" Target="https://www.itu.int/md/D18-TDAG24-C-0021/" TargetMode="External"/><Relationship Id="rId5" Type="http://schemas.openxmlformats.org/officeDocument/2006/relationships/webSettings" Target="webSettings.xml"/><Relationship Id="rId15" Type="http://schemas.openxmlformats.org/officeDocument/2006/relationships/hyperlink" Target="https://www.itu.int/md/D18-TDAG24-C-0002/" TargetMode="External"/><Relationship Id="rId23" Type="http://schemas.openxmlformats.org/officeDocument/2006/relationships/hyperlink" Target="https://www.itu.int/en/ITU-D/Conferences/TDAG/Pages/inter-sectoral-team-on-issues-of-mutual-interest.aspx" TargetMode="External"/><Relationship Id="rId28" Type="http://schemas.openxmlformats.org/officeDocument/2006/relationships/hyperlink" Target="https://www.itu.int/md/D18-TDAG24-C-0024/" TargetMode="External"/><Relationship Id="rId36" Type="http://schemas.openxmlformats.org/officeDocument/2006/relationships/hyperlink" Target="https://www.itu.int/md/D18-TDAG24-C-0033/" TargetMode="External"/><Relationship Id="rId49" Type="http://schemas.openxmlformats.org/officeDocument/2006/relationships/hyperlink" Target="https://www.itu.int/en/ITU-D/Digital-Inclusion/Persons-with-Disabilities/Pages/Internet-for-@ll.aspx" TargetMode="External"/><Relationship Id="rId57" Type="http://schemas.openxmlformats.org/officeDocument/2006/relationships/hyperlink" Target="https://www.itu.int/en/ITU-D/Statistics/Pages/publications/misr2018.aspx" TargetMode="External"/><Relationship Id="rId61" Type="http://schemas.openxmlformats.org/officeDocument/2006/relationships/hyperlink" Target="https://www.itu.int/en/ITU-D/LDCs/Pages/Publications.aspx" TargetMode="External"/><Relationship Id="rId10" Type="http://schemas.openxmlformats.org/officeDocument/2006/relationships/hyperlink" Target="https://www.itu.int/md/D18-TDAG24-C-0001/" TargetMode="External"/><Relationship Id="rId19" Type="http://schemas.openxmlformats.org/officeDocument/2006/relationships/hyperlink" Target="https://www.itu.int/md/D18-TDAG24-C-0013/" TargetMode="External"/><Relationship Id="rId31" Type="http://schemas.openxmlformats.org/officeDocument/2006/relationships/hyperlink" Target="https://www.itu.int/md/meetingdoc.asp?lang=en&amp;parent=D18-TDAG24-C-0041" TargetMode="External"/><Relationship Id="rId44" Type="http://schemas.openxmlformats.org/officeDocument/2006/relationships/hyperlink" Target="https://www.itu.int/en/ITU-D/Regulatory-Market/Pages/bestpractices.aspx" TargetMode="External"/><Relationship Id="rId52" Type="http://schemas.openxmlformats.org/officeDocument/2006/relationships/hyperlink" Target="https://academy.itu.int/index.php?lang=en" TargetMode="External"/><Relationship Id="rId60" Type="http://schemas.openxmlformats.org/officeDocument/2006/relationships/hyperlink" Target="https://www.itu.int/en/ITU-D/Climate-Change/Pages/ewaste/A-New-Circular-Vision-for-Electronics-Time-for-a-Global-Reboot.aspx" TargetMode="External"/><Relationship Id="rId65" Type="http://schemas.openxmlformats.org/officeDocument/2006/relationships/hyperlink" Target="https://www.itu.int/md/D18-TDAG24-C-0020/" TargetMode="External"/><Relationship Id="rId4" Type="http://schemas.openxmlformats.org/officeDocument/2006/relationships/settings" Target="settings.xml"/><Relationship Id="rId9" Type="http://schemas.openxmlformats.org/officeDocument/2006/relationships/hyperlink" Target="https://www.itu.int/md/D18-TDAG24-190403-TD-0011/en" TargetMode="External"/><Relationship Id="rId14" Type="http://schemas.openxmlformats.org/officeDocument/2006/relationships/hyperlink" Target="https://www.itu.int/md/D18-TDAG24-C-0025/" TargetMode="External"/><Relationship Id="rId22" Type="http://schemas.openxmlformats.org/officeDocument/2006/relationships/hyperlink" Target="https://www.itu.int/en/ITU-D/Conferences/TDAG/Pages/inter-sectoral-team-on-issues-of-mutual-interest.aspx" TargetMode="External"/><Relationship Id="rId27" Type="http://schemas.openxmlformats.org/officeDocument/2006/relationships/hyperlink" Target="https://www.itu.int/md/D18-TDAG24-C-0011/" TargetMode="External"/><Relationship Id="rId30" Type="http://schemas.openxmlformats.org/officeDocument/2006/relationships/hyperlink" Target="https://www.itu.int/md/meetingdoc.asp?lang=en&amp;parent=D18-TDAG24-C-0038" TargetMode="External"/><Relationship Id="rId35" Type="http://schemas.openxmlformats.org/officeDocument/2006/relationships/hyperlink" Target="https://www.itu.int/md/D18-TDAG24-C-0037/" TargetMode="External"/><Relationship Id="rId43" Type="http://schemas.openxmlformats.org/officeDocument/2006/relationships/hyperlink" Target="https://www.itu.int/md/D18-TDAG24-C-0016/" TargetMode="External"/><Relationship Id="rId48" Type="http://schemas.openxmlformats.org/officeDocument/2006/relationships/hyperlink" Target="https://www.itu.int/md/D18-TDAG24-C-0031/" TargetMode="External"/><Relationship Id="rId56" Type="http://schemas.openxmlformats.org/officeDocument/2006/relationships/hyperlink" Target="https://www.itu.int/en/ITU-D/Statistics/Pages/publications/misr2018.aspx" TargetMode="External"/><Relationship Id="rId64" Type="http://schemas.openxmlformats.org/officeDocument/2006/relationships/hyperlink" Target="https://www.itu.int/md/D18-TDAG24-C-0022/"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itu.int/md/D18-TDAG24-C-0018/"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tu.int/md/D18-TDAG24-C-0004/" TargetMode="External"/><Relationship Id="rId17" Type="http://schemas.openxmlformats.org/officeDocument/2006/relationships/hyperlink" Target="https://www.itu.int/md/D18-TDAG24-C-0003/" TargetMode="External"/><Relationship Id="rId25" Type="http://schemas.openxmlformats.org/officeDocument/2006/relationships/hyperlink" Target="https://www.itu.int/md/D18-TDAG24-C-0009/" TargetMode="External"/><Relationship Id="rId33" Type="http://schemas.openxmlformats.org/officeDocument/2006/relationships/hyperlink" Target="https://www.itu.int/md/D18-TDAG24-C-0033/" TargetMode="External"/><Relationship Id="rId38" Type="http://schemas.openxmlformats.org/officeDocument/2006/relationships/hyperlink" Target="https://www.itu.int/md/D18-TDAG24-C-0032/" TargetMode="External"/><Relationship Id="rId46" Type="http://schemas.openxmlformats.org/officeDocument/2006/relationships/hyperlink" Target="https://www.itu.int/en/ITU-D/Regulatory-Market/Pages/Collaborative_Regulation/App_Economy.aspx" TargetMode="External"/><Relationship Id="rId59" Type="http://schemas.openxmlformats.org/officeDocument/2006/relationships/hyperlink" Target="https://www.itu.int/en/ITU-D/LDCs/Pages/ICTs-for-SDGs-in-LDCs-Report.aspx" TargetMode="External"/><Relationship Id="rId67" Type="http://schemas.openxmlformats.org/officeDocument/2006/relationships/hyperlink" Target="https://www.itu.int/md/D18-TDAG24-C-0015/" TargetMode="External"/><Relationship Id="rId20" Type="http://schemas.openxmlformats.org/officeDocument/2006/relationships/hyperlink" Target="https://www.itu.int/md/D18-TDAG24-C-0008/" TargetMode="External"/><Relationship Id="rId41" Type="http://schemas.openxmlformats.org/officeDocument/2006/relationships/hyperlink" Target="https://www.itu.int/md/D18-TDAG24-C-0030/" TargetMode="External"/><Relationship Id="rId54" Type="http://schemas.openxmlformats.org/officeDocument/2006/relationships/hyperlink" Target="https://www.itu.int/md/D18-TDAG24-C-0019/" TargetMode="External"/><Relationship Id="rId62" Type="http://schemas.openxmlformats.org/officeDocument/2006/relationships/hyperlink" Target="https://unctad.org/en/Pages/Publications/E-Trade-Readiness-Assessment.aspx" TargetMode="External"/><Relationship Id="rId7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TDAG/Pages/TDAG1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97C6-96C4-4B09-9A06-E6E3A683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18478</Words>
  <Characters>105326</Characters>
  <Application>Microsoft Office Word</Application>
  <DocSecurity>0</DocSecurity>
  <Lines>877</Lines>
  <Paragraphs>247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The Secretary-General also highlighted a recent meeting he had held with ICT min</vt:lpstr>
      <vt:lpstr>    Preparations for WTDC-21, including regional development forums and regional pre</vt:lpstr>
      <vt:lpstr>    Document 33: “Streamlining PP Resolution 208 and WTDC Resolutions 1 and 61” (Rus</vt:lpstr>
      <vt:lpstr>    Some 20 new projects, valued at around CHF 10.8 million, were developed and sign</vt:lpstr>
      <vt:lpstr>    As at year-end 2018, the ITU project portfolio had 63 ongoing projects, valued a</vt:lpstr>
    </vt:vector>
  </TitlesOfParts>
  <Manager/>
  <Company/>
  <LinksUpToDate>false</LinksUpToDate>
  <CharactersWithSpaces>123557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McElvane Webber</dc:creator>
  <cp:keywords/>
  <dc:description/>
  <cp:lastModifiedBy>BDT</cp:lastModifiedBy>
  <cp:revision>13</cp:revision>
  <cp:lastPrinted>2019-04-30T13:34:00Z</cp:lastPrinted>
  <dcterms:created xsi:type="dcterms:W3CDTF">2019-05-08T09:02:00Z</dcterms:created>
  <dcterms:modified xsi:type="dcterms:W3CDTF">2019-05-10T07:34:00Z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