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677EE071" w14:textId="77777777" w:rsidTr="00F03E94">
        <w:trPr>
          <w:cantSplit/>
          <w:trHeight w:val="1310"/>
        </w:trPr>
        <w:tc>
          <w:tcPr>
            <w:tcW w:w="6531" w:type="dxa"/>
          </w:tcPr>
          <w:p w14:paraId="4D99597F" w14:textId="77777777" w:rsidR="00783A69" w:rsidRPr="00783A69" w:rsidRDefault="00783A69" w:rsidP="00783A69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783A69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0F0B34BB" w14:textId="6A0CB86D" w:rsidR="00783A69" w:rsidRPr="00783A69" w:rsidRDefault="00CB26D1" w:rsidP="00783A6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CB26D1">
              <w:rPr>
                <w:b/>
                <w:bCs/>
                <w:sz w:val="26"/>
                <w:szCs w:val="26"/>
                <w:lang w:bidi="ar-EG"/>
              </w:rPr>
              <w:t>الاجتماع</w:t>
            </w:r>
            <w:proofErr w:type="spellEnd"/>
            <w:r w:rsidRPr="00CB26D1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CB26D1">
              <w:rPr>
                <w:b/>
                <w:bCs/>
                <w:sz w:val="26"/>
                <w:szCs w:val="26"/>
                <w:lang w:bidi="ar-EG"/>
              </w:rPr>
              <w:t>الخامس</w:t>
            </w:r>
            <w:proofErr w:type="spellEnd"/>
            <w:r w:rsidRPr="00CB26D1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CB26D1">
              <w:rPr>
                <w:b/>
                <w:bCs/>
                <w:sz w:val="26"/>
                <w:szCs w:val="26"/>
                <w:lang w:bidi="ar-EG"/>
              </w:rPr>
              <w:t>والعشرون</w:t>
            </w:r>
            <w:proofErr w:type="spellEnd"/>
            <w:r w:rsidRPr="00CB26D1">
              <w:rPr>
                <w:b/>
                <w:bCs/>
                <w:sz w:val="26"/>
                <w:szCs w:val="26"/>
                <w:lang w:bidi="ar-EG"/>
              </w:rPr>
              <w:t xml:space="preserve"> ، </w:t>
            </w:r>
            <w:proofErr w:type="spellStart"/>
            <w:r w:rsidRPr="00CB26D1">
              <w:rPr>
                <w:b/>
                <w:bCs/>
                <w:sz w:val="26"/>
                <w:szCs w:val="26"/>
                <w:lang w:bidi="ar-EG"/>
              </w:rPr>
              <w:t>جنيف</w:t>
            </w:r>
            <w:proofErr w:type="spellEnd"/>
            <w:r w:rsidRPr="00CB26D1">
              <w:rPr>
                <w:b/>
                <w:bCs/>
                <w:sz w:val="26"/>
                <w:szCs w:val="26"/>
                <w:lang w:bidi="ar-EG"/>
              </w:rPr>
              <w:t xml:space="preserve">، 2-5 </w:t>
            </w:r>
            <w:proofErr w:type="spellStart"/>
            <w:r w:rsidRPr="00CB26D1">
              <w:rPr>
                <w:b/>
                <w:bCs/>
                <w:sz w:val="26"/>
                <w:szCs w:val="26"/>
                <w:lang w:bidi="ar-EG"/>
              </w:rPr>
              <w:t>يونيو</w:t>
            </w:r>
            <w:proofErr w:type="spellEnd"/>
            <w:r w:rsidRPr="00CB26D1">
              <w:rPr>
                <w:b/>
                <w:bCs/>
                <w:sz w:val="26"/>
                <w:szCs w:val="26"/>
                <w:lang w:bidi="ar-EG"/>
              </w:rPr>
              <w:t xml:space="preserve"> 2020</w:t>
            </w:r>
            <w:bookmarkStart w:id="0" w:name="_GoBack"/>
            <w:bookmarkEnd w:id="0"/>
          </w:p>
        </w:tc>
        <w:tc>
          <w:tcPr>
            <w:tcW w:w="3108" w:type="dxa"/>
          </w:tcPr>
          <w:p w14:paraId="3BF2AA5F" w14:textId="77777777" w:rsidR="00783A69" w:rsidRPr="00783A69" w:rsidRDefault="00783A69" w:rsidP="00783A69">
            <w:pPr>
              <w:jc w:val="right"/>
              <w:rPr>
                <w:lang w:val="en-GB" w:bidi="ar-EG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149FD506" wp14:editId="52BBFDB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630D9B41" w14:textId="77777777" w:rsidTr="00F03E94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14:paraId="09753867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710189BA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628259B7" w14:textId="77777777" w:rsidTr="00F03E94">
        <w:trPr>
          <w:cantSplit/>
        </w:trPr>
        <w:tc>
          <w:tcPr>
            <w:tcW w:w="6531" w:type="dxa"/>
          </w:tcPr>
          <w:p w14:paraId="1C0A0207" w14:textId="7777777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46FC9238" w14:textId="69C3234F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83A69">
              <w:rPr>
                <w:b/>
                <w:bCs/>
                <w:lang w:bidi="ar-EG"/>
              </w:rPr>
              <w:t>TDAG-</w:t>
            </w:r>
            <w:r>
              <w:rPr>
                <w:b/>
                <w:bCs/>
                <w:lang w:bidi="ar-EG"/>
              </w:rPr>
              <w:t>20</w:t>
            </w:r>
            <w:r w:rsidRPr="00783A69">
              <w:rPr>
                <w:b/>
                <w:bCs/>
                <w:lang w:bidi="ar-EG"/>
              </w:rPr>
              <w:t>/</w:t>
            </w:r>
            <w:r w:rsidR="00A52887">
              <w:rPr>
                <w:b/>
                <w:bCs/>
                <w:lang w:bidi="ar-EG"/>
              </w:rPr>
              <w:t>25</w:t>
            </w:r>
            <w:r w:rsidRPr="00783A69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419BABF7" w14:textId="77777777" w:rsidTr="00F03E94">
        <w:trPr>
          <w:cantSplit/>
        </w:trPr>
        <w:tc>
          <w:tcPr>
            <w:tcW w:w="6531" w:type="dxa"/>
          </w:tcPr>
          <w:p w14:paraId="3DB8A67C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FD7B730" w14:textId="0CD80842" w:rsidR="00783A69" w:rsidRPr="00783A69" w:rsidRDefault="00A52887" w:rsidP="00783A69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10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43FA3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83A69">
              <w:rPr>
                <w:b/>
                <w:bCs/>
                <w:lang w:bidi="ar-EG"/>
              </w:rPr>
              <w:t>2020</w:t>
            </w:r>
          </w:p>
        </w:tc>
      </w:tr>
      <w:tr w:rsidR="00783A69" w:rsidRPr="00783A69" w14:paraId="7721BCC2" w14:textId="77777777" w:rsidTr="00F03E94">
        <w:trPr>
          <w:cantSplit/>
        </w:trPr>
        <w:tc>
          <w:tcPr>
            <w:tcW w:w="6531" w:type="dxa"/>
          </w:tcPr>
          <w:p w14:paraId="0C210291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96C345D" w14:textId="430D6D24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A5288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83A69" w:rsidRPr="00783A69" w14:paraId="6A648D69" w14:textId="77777777" w:rsidTr="00F03E94">
        <w:trPr>
          <w:cantSplit/>
        </w:trPr>
        <w:tc>
          <w:tcPr>
            <w:tcW w:w="9639" w:type="dxa"/>
            <w:gridSpan w:val="2"/>
          </w:tcPr>
          <w:p w14:paraId="64534AAC" w14:textId="3A98C657" w:rsidR="00783A69" w:rsidRPr="00783A69" w:rsidRDefault="00987CE8" w:rsidP="00783A69">
            <w:pPr>
              <w:pStyle w:val="Source"/>
              <w:rPr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مديرة مكتب تنمية الاتصالات</w:t>
            </w:r>
          </w:p>
        </w:tc>
      </w:tr>
      <w:tr w:rsidR="00783A69" w:rsidRPr="00783A69" w14:paraId="2E985EDD" w14:textId="77777777" w:rsidTr="00F03E94">
        <w:trPr>
          <w:cantSplit/>
        </w:trPr>
        <w:tc>
          <w:tcPr>
            <w:tcW w:w="9639" w:type="dxa"/>
            <w:gridSpan w:val="2"/>
          </w:tcPr>
          <w:p w14:paraId="2E91E8AF" w14:textId="15D457F3" w:rsidR="00783A69" w:rsidRPr="00783A69" w:rsidRDefault="005A20AF" w:rsidP="00783A69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استعراض الحضور الإقليمي للاتحاد</w:t>
            </w:r>
          </w:p>
        </w:tc>
      </w:tr>
      <w:tr w:rsidR="00783A69" w:rsidRPr="00783A69" w14:paraId="7DAE9C11" w14:textId="77777777" w:rsidTr="00882A17">
        <w:trPr>
          <w:cantSplit/>
        </w:trPr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14:paraId="267BFD3C" w14:textId="77777777" w:rsidR="00783A69" w:rsidRPr="00783A69" w:rsidRDefault="00783A69" w:rsidP="00783A69">
            <w:pPr>
              <w:rPr>
                <w:rtl/>
              </w:rPr>
            </w:pPr>
          </w:p>
        </w:tc>
      </w:tr>
      <w:tr w:rsidR="00783A69" w:rsidRPr="00783A69" w14:paraId="6C6C74E0" w14:textId="77777777" w:rsidTr="00882A17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3E00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ADE24FA" w14:textId="51E607B4" w:rsidR="00980897" w:rsidRPr="00980897" w:rsidRDefault="00980897" w:rsidP="00980897">
            <w:pPr>
              <w:rPr>
                <w:lang w:val="fr-FR" w:bidi="ar-SY"/>
              </w:rPr>
            </w:pPr>
            <w:r w:rsidRPr="00980897">
              <w:rPr>
                <w:rFonts w:hint="cs"/>
                <w:rtl/>
                <w:lang w:bidi="ar"/>
              </w:rPr>
              <w:t>تقدم هذه الوثيقة تقريراً عن حالة تنفيذ القرار 25 (المراج</w:t>
            </w:r>
            <w:r>
              <w:rPr>
                <w:rFonts w:hint="cs"/>
                <w:rtl/>
                <w:lang w:bidi="ar"/>
              </w:rPr>
              <w:t>َ</w:t>
            </w:r>
            <w:r w:rsidRPr="00980897">
              <w:rPr>
                <w:rFonts w:hint="cs"/>
                <w:rtl/>
                <w:lang w:bidi="ar"/>
              </w:rPr>
              <w:t>ع في دبي، 2018) لمؤتمر المندوبين المفوضين</w:t>
            </w:r>
            <w:r>
              <w:rPr>
                <w:rFonts w:hint="cs"/>
                <w:rtl/>
                <w:lang w:bidi="ar"/>
              </w:rPr>
              <w:t>،</w:t>
            </w:r>
            <w:r w:rsidRPr="00980897">
              <w:rPr>
                <w:rFonts w:hint="cs"/>
                <w:rtl/>
                <w:lang w:bidi="ar"/>
              </w:rPr>
              <w:t xml:space="preserve"> ومقرر المجلس 616 (2019).</w:t>
            </w:r>
          </w:p>
          <w:p w14:paraId="71FC3393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B45A36D" w14:textId="00C254CB" w:rsidR="00987CE8" w:rsidRPr="00783A69" w:rsidRDefault="00987CE8" w:rsidP="00987CE8">
            <w:pPr>
              <w:tabs>
                <w:tab w:val="left" w:pos="418"/>
              </w:tabs>
              <w:rPr>
                <w:rtl/>
                <w:lang w:bidi="ar-EG"/>
              </w:rPr>
            </w:pPr>
            <w:r w:rsidRPr="00FF0BCA">
              <w:rPr>
                <w:rFonts w:hint="cs"/>
                <w:rtl/>
              </w:rPr>
              <w:t xml:space="preserve">يُدعى </w:t>
            </w:r>
            <w:r w:rsidRPr="00FF0BCA">
              <w:rPr>
                <w:rFonts w:hint="eastAsia"/>
                <w:rtl/>
              </w:rPr>
              <w:t>الفريق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eastAsia"/>
                <w:rtl/>
              </w:rPr>
              <w:t>الاستشاري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eastAsia"/>
                <w:rtl/>
              </w:rPr>
              <w:t>لتنمية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eastAsia"/>
                <w:rtl/>
              </w:rPr>
              <w:t>الاتصالات</w:t>
            </w:r>
            <w:r w:rsidRPr="00FF0BCA">
              <w:rPr>
                <w:rFonts w:hint="cs"/>
                <w:rtl/>
              </w:rPr>
              <w:t xml:space="preserve"> </w:t>
            </w:r>
            <w:r w:rsidRPr="00FF0BCA">
              <w:rPr>
                <w:lang w:bidi="ar-EG"/>
              </w:rPr>
              <w:t>(TDAG)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cs"/>
                <w:rtl/>
                <w:lang w:bidi="ar-EG"/>
              </w:rPr>
              <w:t>إلى الإحاطة علماً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eastAsia"/>
                <w:rtl/>
              </w:rPr>
              <w:t>بهذ</w:t>
            </w:r>
            <w:r w:rsidRPr="00FF0BCA">
              <w:rPr>
                <w:rFonts w:hint="cs"/>
                <w:rtl/>
              </w:rPr>
              <w:t>ه الوثيقة</w:t>
            </w:r>
            <w:r w:rsidRPr="008D017C">
              <w:rPr>
                <w:rFonts w:hint="cs"/>
                <w:rtl/>
                <w:lang w:bidi="ar-SY"/>
              </w:rPr>
              <w:t>.</w:t>
            </w:r>
          </w:p>
          <w:p w14:paraId="630F160B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4CD8B79" w14:textId="5F1E8474" w:rsidR="00847778" w:rsidRPr="00987CE8" w:rsidRDefault="00CB26D1" w:rsidP="00987CE8">
            <w:pPr>
              <w:spacing w:after="120"/>
              <w:rPr>
                <w:lang w:val="fr-FR" w:bidi="ar-EG"/>
              </w:rPr>
            </w:pPr>
            <w:hyperlink r:id="rId9" w:history="1">
              <w:r w:rsidR="00A52887" w:rsidRPr="00A52887">
                <w:rPr>
                  <w:rStyle w:val="Hyperlink"/>
                  <w:rFonts w:hint="cs"/>
                  <w:rtl/>
                  <w:lang w:bidi="ar-EG"/>
                </w:rPr>
                <w:t xml:space="preserve">القرار </w:t>
              </w:r>
              <w:r w:rsidR="00A52887" w:rsidRPr="00A52887">
                <w:rPr>
                  <w:rStyle w:val="Hyperlink"/>
                  <w:lang w:bidi="ar-EG"/>
                </w:rPr>
                <w:t>25</w:t>
              </w:r>
              <w:r w:rsidR="00A52887" w:rsidRPr="00A52887">
                <w:rPr>
                  <w:rStyle w:val="Hyperlink"/>
                  <w:rFonts w:hint="cs"/>
                  <w:rtl/>
                  <w:lang w:bidi="ar-EG"/>
                </w:rPr>
                <w:t xml:space="preserve"> (المراجَع في دبي، </w:t>
              </w:r>
              <w:r w:rsidR="00A52887" w:rsidRPr="00A52887">
                <w:rPr>
                  <w:rStyle w:val="Hyperlink"/>
                  <w:lang w:bidi="ar-EG"/>
                </w:rPr>
                <w:t>2018</w:t>
              </w:r>
              <w:r w:rsidR="00A52887" w:rsidRPr="00A52887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  <w:r w:rsidR="00A52887">
              <w:rPr>
                <w:rFonts w:hint="cs"/>
                <w:rtl/>
                <w:lang w:bidi="ar-EG"/>
              </w:rPr>
              <w:t>،</w:t>
            </w:r>
            <w:r w:rsidR="00987CE8" w:rsidRPr="00987CE8">
              <w:rPr>
                <w:rFonts w:ascii="Calibri" w:hAnsi="Calibri" w:cs="Traditional Arabic" w:hint="cs"/>
                <w:szCs w:val="36"/>
                <w:rtl/>
              </w:rPr>
              <w:t xml:space="preserve"> </w:t>
            </w:r>
            <w:hyperlink r:id="rId10" w:history="1">
              <w:r w:rsidR="00987CE8" w:rsidRPr="00987CE8">
                <w:rPr>
                  <w:rStyle w:val="Hyperlink"/>
                  <w:rFonts w:hint="cs"/>
                  <w:rtl/>
                </w:rPr>
                <w:t xml:space="preserve">المقـرر </w:t>
              </w:r>
              <w:r w:rsidR="00987CE8" w:rsidRPr="00987CE8">
                <w:rPr>
                  <w:rStyle w:val="Hyperlink"/>
                  <w:lang w:val="fr-CH" w:bidi="ar-EG"/>
                </w:rPr>
                <w:t>616</w:t>
              </w:r>
              <w:r w:rsidR="00987CE8" w:rsidRPr="00987CE8">
                <w:rPr>
                  <w:rStyle w:val="Hyperlink"/>
                  <w:rFonts w:hint="cs"/>
                  <w:rtl/>
                  <w:lang w:val="fr-CH" w:bidi="ar-EG"/>
                </w:rPr>
                <w:t xml:space="preserve"> </w:t>
              </w:r>
              <w:r w:rsidR="00987CE8" w:rsidRPr="00987CE8">
                <w:rPr>
                  <w:rStyle w:val="Hyperlink"/>
                  <w:lang w:val="fr-FR" w:bidi="ar-EG"/>
                </w:rPr>
                <w:t>(2019)</w:t>
              </w:r>
            </w:hyperlink>
          </w:p>
        </w:tc>
      </w:tr>
    </w:tbl>
    <w:p w14:paraId="7AEA1F29" w14:textId="6C723377" w:rsidR="00D30494" w:rsidRDefault="00D5536E" w:rsidP="00D5536E">
      <w:pPr>
        <w:pStyle w:val="Heading1"/>
        <w:rPr>
          <w:rtl/>
        </w:rPr>
      </w:pPr>
      <w:r>
        <w:t>1</w:t>
      </w:r>
      <w:r>
        <w:rPr>
          <w:rtl/>
          <w:lang w:bidi="ar-EG"/>
        </w:rPr>
        <w:tab/>
      </w:r>
      <w:r w:rsidR="00C07A41">
        <w:rPr>
          <w:rFonts w:hint="cs"/>
          <w:rtl/>
          <w:lang w:bidi="ar-EG"/>
        </w:rPr>
        <w:t>ال</w:t>
      </w:r>
      <w:r w:rsidR="005A086A">
        <w:rPr>
          <w:rFonts w:hint="cs"/>
          <w:rtl/>
        </w:rPr>
        <w:t>خلفية</w:t>
      </w:r>
    </w:p>
    <w:p w14:paraId="3AD664F0" w14:textId="0214DD01" w:rsidR="005A086A" w:rsidRPr="005A086A" w:rsidRDefault="005A086A" w:rsidP="005A086A">
      <w:pPr>
        <w:rPr>
          <w:rtl/>
          <w:lang w:bidi="ar"/>
        </w:rPr>
      </w:pPr>
      <w:r w:rsidRPr="005A086A">
        <w:rPr>
          <w:rFonts w:hint="cs"/>
          <w:rtl/>
          <w:lang w:bidi="ar"/>
        </w:rPr>
        <w:t xml:space="preserve">خضع </w:t>
      </w:r>
      <w:r>
        <w:rPr>
          <w:rFonts w:hint="cs"/>
          <w:rtl/>
          <w:lang w:bidi="ar-EG"/>
        </w:rPr>
        <w:t>الحضور</w:t>
      </w:r>
      <w:r w:rsidRPr="005A086A">
        <w:rPr>
          <w:rFonts w:hint="cs"/>
          <w:rtl/>
          <w:lang w:bidi="ar"/>
        </w:rPr>
        <w:t xml:space="preserve"> الإقليمي للاتحاد لعدة </w:t>
      </w:r>
      <w:r>
        <w:rPr>
          <w:rFonts w:hint="cs"/>
          <w:rtl/>
          <w:lang w:bidi="ar"/>
        </w:rPr>
        <w:t>استعراضات</w:t>
      </w:r>
      <w:r w:rsidRPr="005A086A">
        <w:rPr>
          <w:rFonts w:hint="cs"/>
          <w:rtl/>
          <w:lang w:bidi="ar"/>
        </w:rPr>
        <w:t xml:space="preserve"> وتحسينات وتغييرات منذ أوائل التسعينيات. </w:t>
      </w:r>
      <w:r>
        <w:rPr>
          <w:rFonts w:hint="cs"/>
          <w:rtl/>
          <w:lang w:bidi="ar"/>
        </w:rPr>
        <w:t>وأقرّ</w:t>
      </w:r>
      <w:r w:rsidRPr="005A086A">
        <w:rPr>
          <w:rFonts w:hint="cs"/>
          <w:rtl/>
          <w:lang w:bidi="ar"/>
        </w:rPr>
        <w:t xml:space="preserve"> مؤتمر المندوبين المفوضين في نيس (</w:t>
      </w:r>
      <w:r>
        <w:rPr>
          <w:lang w:bidi="ar"/>
        </w:rPr>
        <w:t>1989</w:t>
      </w:r>
      <w:r w:rsidRPr="005A086A">
        <w:rPr>
          <w:rFonts w:hint="cs"/>
          <w:rtl/>
          <w:lang w:bidi="ar"/>
        </w:rPr>
        <w:t xml:space="preserve">) بإجراء أول استعراض </w:t>
      </w:r>
      <w:r>
        <w:rPr>
          <w:rFonts w:hint="cs"/>
          <w:rtl/>
          <w:lang w:bidi="ar-EG"/>
        </w:rPr>
        <w:t>دقيق</w:t>
      </w:r>
      <w:r w:rsidRPr="005A086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للحضور</w:t>
      </w:r>
      <w:r w:rsidRPr="005A086A">
        <w:rPr>
          <w:rFonts w:hint="cs"/>
          <w:rtl/>
          <w:lang w:bidi="ar"/>
        </w:rPr>
        <w:t xml:space="preserve"> الإقليمي للاتحاد، وكلف الأمين العام بإجراء دراسة </w:t>
      </w:r>
      <w:r>
        <w:rPr>
          <w:rFonts w:hint="cs"/>
          <w:rtl/>
          <w:lang w:bidi="ar"/>
        </w:rPr>
        <w:t>الهدف منها</w:t>
      </w:r>
      <w:r w:rsidRPr="005A086A">
        <w:rPr>
          <w:rFonts w:hint="cs"/>
          <w:rtl/>
          <w:lang w:bidi="ar"/>
        </w:rPr>
        <w:t xml:space="preserve"> تعزيز الحضور الإقليمي للاتحاد وزيادة كفاءته.</w:t>
      </w:r>
    </w:p>
    <w:p w14:paraId="7B83F56D" w14:textId="7C7DC8F3" w:rsidR="00847778" w:rsidRPr="001C28FF" w:rsidRDefault="005A086A" w:rsidP="001C28FF">
      <w:pPr>
        <w:rPr>
          <w:rtl/>
          <w:lang w:val="fr-FR"/>
        </w:rPr>
      </w:pPr>
      <w:r>
        <w:rPr>
          <w:rFonts w:hint="cs"/>
          <w:rtl/>
          <w:lang w:bidi="ar"/>
        </w:rPr>
        <w:t>و</w:t>
      </w:r>
      <w:r w:rsidRPr="005A086A">
        <w:rPr>
          <w:rFonts w:hint="cs"/>
          <w:rtl/>
          <w:lang w:bidi="ar"/>
        </w:rPr>
        <w:t xml:space="preserve">في مؤتمر المندوبين المفوضين لعام 2018 </w:t>
      </w:r>
      <w:r>
        <w:rPr>
          <w:rFonts w:hint="cs"/>
          <w:rtl/>
          <w:lang w:bidi="ar"/>
        </w:rPr>
        <w:t>الذي عُقد</w:t>
      </w:r>
      <w:r w:rsidRPr="005A086A">
        <w:rPr>
          <w:rFonts w:hint="cs"/>
          <w:rtl/>
          <w:lang w:bidi="ar"/>
        </w:rPr>
        <w:t xml:space="preserve"> في دبي، </w:t>
      </w:r>
      <w:r w:rsidR="001C28FF">
        <w:rPr>
          <w:rFonts w:hint="cs"/>
          <w:rtl/>
          <w:lang w:bidi="ar"/>
        </w:rPr>
        <w:t>نُوقش</w:t>
      </w:r>
      <w:r w:rsidRPr="005A086A">
        <w:rPr>
          <w:rFonts w:hint="cs"/>
          <w:rtl/>
          <w:lang w:bidi="ar"/>
        </w:rPr>
        <w:t xml:space="preserve"> موضوع </w:t>
      </w:r>
      <w:r w:rsidR="001C28FF">
        <w:rPr>
          <w:rFonts w:hint="cs"/>
          <w:rtl/>
          <w:lang w:bidi="ar"/>
        </w:rPr>
        <w:t>الحضور</w:t>
      </w:r>
      <w:r w:rsidRPr="005A086A">
        <w:rPr>
          <w:rFonts w:hint="cs"/>
          <w:rtl/>
          <w:lang w:bidi="ar"/>
        </w:rPr>
        <w:t xml:space="preserve"> الإقليمي </w:t>
      </w:r>
      <w:r w:rsidR="001C28FF">
        <w:rPr>
          <w:rFonts w:hint="cs"/>
          <w:rtl/>
          <w:lang w:bidi="ar"/>
        </w:rPr>
        <w:t>على نحو</w:t>
      </w:r>
      <w:r w:rsidRPr="005A086A">
        <w:rPr>
          <w:rFonts w:hint="cs"/>
          <w:rtl/>
          <w:lang w:bidi="ar"/>
        </w:rPr>
        <w:t xml:space="preserve"> مستفيض، </w:t>
      </w:r>
      <w:r w:rsidR="0091311B" w:rsidRPr="005A086A">
        <w:rPr>
          <w:rFonts w:hint="cs"/>
          <w:rtl/>
          <w:lang w:bidi="ar"/>
        </w:rPr>
        <w:t>و</w:t>
      </w:r>
      <w:r w:rsidR="0091311B">
        <w:rPr>
          <w:rFonts w:hint="cs"/>
          <w:rtl/>
          <w:lang w:bidi="ar"/>
        </w:rPr>
        <w:t xml:space="preserve">اعتمد </w:t>
      </w:r>
      <w:r w:rsidR="000D5C4A">
        <w:rPr>
          <w:rFonts w:hint="cs"/>
          <w:rtl/>
          <w:lang w:bidi="ar"/>
        </w:rPr>
        <w:t>ال</w:t>
      </w:r>
      <w:r w:rsidR="0091311B" w:rsidRPr="005A086A">
        <w:rPr>
          <w:rFonts w:hint="cs"/>
          <w:rtl/>
          <w:lang w:bidi="ar"/>
        </w:rPr>
        <w:t>أعضاء</w:t>
      </w:r>
      <w:r w:rsidR="001C28FF">
        <w:rPr>
          <w:rFonts w:hint="cs"/>
          <w:rtl/>
          <w:lang w:bidi="ar"/>
        </w:rPr>
        <w:t xml:space="preserve"> </w:t>
      </w:r>
      <w:r w:rsidR="001C28FF" w:rsidRPr="001C28FF">
        <w:rPr>
          <w:rtl/>
        </w:rPr>
        <w:t>القـرار المراجـع 25</w:t>
      </w:r>
      <w:r w:rsidR="001C28FF">
        <w:rPr>
          <w:rFonts w:hint="cs"/>
          <w:rtl/>
          <w:lang w:val="fr-FR"/>
        </w:rPr>
        <w:t xml:space="preserve"> </w:t>
      </w:r>
      <w:r w:rsidR="00A52887">
        <w:rPr>
          <w:rFonts w:hint="cs"/>
          <w:rtl/>
        </w:rPr>
        <w:t>("</w:t>
      </w:r>
      <w:r w:rsidR="00A52887" w:rsidRPr="00A52887">
        <w:rPr>
          <w:rFonts w:hint="cs"/>
          <w:rtl/>
        </w:rPr>
        <w:t>تقوية</w:t>
      </w:r>
      <w:r w:rsidR="00A52887" w:rsidRPr="00A52887">
        <w:rPr>
          <w:rtl/>
        </w:rPr>
        <w:t xml:space="preserve"> </w:t>
      </w:r>
      <w:r w:rsidR="00A52887" w:rsidRPr="00A52887">
        <w:rPr>
          <w:rFonts w:hint="cs"/>
          <w:rtl/>
        </w:rPr>
        <w:t>الحضور</w:t>
      </w:r>
      <w:r w:rsidR="00A52887" w:rsidRPr="00A52887">
        <w:rPr>
          <w:rtl/>
        </w:rPr>
        <w:t xml:space="preserve"> </w:t>
      </w:r>
      <w:r w:rsidR="00A52887" w:rsidRPr="00A52887">
        <w:rPr>
          <w:rFonts w:hint="cs"/>
          <w:rtl/>
        </w:rPr>
        <w:t>الإقليمي</w:t>
      </w:r>
      <w:r w:rsidR="00A52887">
        <w:rPr>
          <w:rFonts w:hint="cs"/>
          <w:rtl/>
        </w:rPr>
        <w:t>")</w:t>
      </w:r>
      <w:r w:rsidR="001C28FF">
        <w:rPr>
          <w:rFonts w:hint="cs"/>
          <w:rtl/>
        </w:rPr>
        <w:t>.</w:t>
      </w:r>
    </w:p>
    <w:p w14:paraId="1ED050AB" w14:textId="14DDE7B1" w:rsidR="00A52887" w:rsidRDefault="0091311B" w:rsidP="00B4515B">
      <w:pPr>
        <w:rPr>
          <w:rtl/>
          <w:lang w:bidi="ar-EG"/>
        </w:rPr>
      </w:pPr>
      <w:r>
        <w:rPr>
          <w:rFonts w:hint="cs"/>
          <w:rtl/>
          <w:lang w:bidi="ar"/>
        </w:rPr>
        <w:t>ونص</w:t>
      </w:r>
      <w:r w:rsidR="00B4515B">
        <w:rPr>
          <w:rFonts w:hint="cs"/>
          <w:rtl/>
          <w:lang w:bidi="ar"/>
        </w:rPr>
        <w:t>ّ</w:t>
      </w:r>
      <w:r>
        <w:rPr>
          <w:rFonts w:hint="cs"/>
          <w:rtl/>
          <w:lang w:bidi="ar"/>
        </w:rPr>
        <w:t xml:space="preserve"> </w:t>
      </w:r>
      <w:r w:rsidRPr="00980897">
        <w:rPr>
          <w:rFonts w:hint="cs"/>
          <w:rtl/>
          <w:lang w:bidi="ar"/>
        </w:rPr>
        <w:t>القرار 25 (المراج</w:t>
      </w:r>
      <w:r>
        <w:rPr>
          <w:rFonts w:hint="cs"/>
          <w:rtl/>
          <w:lang w:bidi="ar"/>
        </w:rPr>
        <w:t>َ</w:t>
      </w:r>
      <w:r w:rsidRPr="00980897">
        <w:rPr>
          <w:rFonts w:hint="cs"/>
          <w:rtl/>
          <w:lang w:bidi="ar"/>
        </w:rPr>
        <w:t>ع في دبي، 2018)</w:t>
      </w:r>
      <w:r>
        <w:rPr>
          <w:rFonts w:hint="cs"/>
          <w:rtl/>
          <w:lang w:bidi="ar"/>
        </w:rPr>
        <w:t xml:space="preserve"> على </w:t>
      </w:r>
      <w:r w:rsidR="00A52887" w:rsidRPr="00A52887">
        <w:rPr>
          <w:rtl/>
          <w:lang w:bidi="ar-EG"/>
        </w:rPr>
        <w:t>تقوية وظائف المكاتب الإقليمية</w:t>
      </w:r>
      <w:r w:rsidR="00B4515B">
        <w:rPr>
          <w:rFonts w:hint="cs"/>
          <w:rtl/>
          <w:lang w:bidi="ar-EG"/>
        </w:rPr>
        <w:t>، و</w:t>
      </w:r>
      <w:r w:rsidR="00B4515B" w:rsidRPr="00B4515B">
        <w:rPr>
          <w:rtl/>
        </w:rPr>
        <w:t>كلّف الأمين العام بإجراء استعراض شامل للحضور الإقليمي للاتحاد </w:t>
      </w:r>
      <w:r w:rsidR="00A52887" w:rsidRPr="00A52887">
        <w:rPr>
          <w:rtl/>
          <w:lang w:bidi="ar-EG"/>
        </w:rPr>
        <w:t xml:space="preserve">وتقديم تقرير إلى المجلس في دورته لعام </w:t>
      </w:r>
      <w:r w:rsidR="00A52887" w:rsidRPr="00A52887">
        <w:rPr>
          <w:lang w:bidi="ar"/>
        </w:rPr>
        <w:t>2020</w:t>
      </w:r>
      <w:r w:rsidR="00A52887" w:rsidRPr="00A52887">
        <w:rPr>
          <w:rtl/>
          <w:lang w:bidi="ar-EG"/>
        </w:rPr>
        <w:t xml:space="preserve"> يشمل اقتراح تدابير مناسبة لضمان استمرار فعالية وكفاءة الحضور الإقليمي للاتحاد</w:t>
      </w:r>
      <w:r w:rsidR="004B5BB6">
        <w:rPr>
          <w:rFonts w:hint="cs"/>
          <w:rtl/>
          <w:lang w:bidi="ar-EG"/>
        </w:rPr>
        <w:t>.</w:t>
      </w:r>
    </w:p>
    <w:p w14:paraId="5BFD2282" w14:textId="0AAF3E98" w:rsidR="00726E85" w:rsidRPr="00726E85" w:rsidRDefault="009C21FB" w:rsidP="00726E85">
      <w:pPr>
        <w:rPr>
          <w:lang w:val="fr-FR"/>
        </w:rPr>
      </w:pPr>
      <w:r>
        <w:rPr>
          <w:rFonts w:hint="cs"/>
          <w:rtl/>
          <w:lang w:bidi="ar"/>
        </w:rPr>
        <w:t>و</w:t>
      </w:r>
      <w:r w:rsidR="00726E85" w:rsidRPr="00726E85">
        <w:rPr>
          <w:rFonts w:hint="cs"/>
          <w:rtl/>
          <w:lang w:bidi="ar"/>
        </w:rPr>
        <w:t>اعتمد المجلس في دورته لعام 2019، ال</w:t>
      </w:r>
      <w:r w:rsidR="00726E85">
        <w:rPr>
          <w:rFonts w:hint="cs"/>
          <w:rtl/>
          <w:lang w:bidi="ar"/>
        </w:rPr>
        <w:t>مقرر</w:t>
      </w:r>
      <w:r w:rsidR="00726E85" w:rsidRPr="00726E85">
        <w:rPr>
          <w:rFonts w:hint="cs"/>
          <w:rtl/>
          <w:lang w:bidi="ar"/>
        </w:rPr>
        <w:t xml:space="preserve"> 616 الذي كل</w:t>
      </w:r>
      <w:r>
        <w:rPr>
          <w:rFonts w:hint="cs"/>
          <w:rtl/>
          <w:lang w:bidi="ar"/>
        </w:rPr>
        <w:t>ّ</w:t>
      </w:r>
      <w:r w:rsidR="00726E85" w:rsidRPr="00726E85">
        <w:rPr>
          <w:rFonts w:hint="cs"/>
          <w:rtl/>
          <w:lang w:bidi="ar"/>
        </w:rPr>
        <w:t xml:space="preserve">ف الأمين العام بتعيين </w:t>
      </w:r>
      <w:r w:rsidR="00726E85" w:rsidRPr="00726E85">
        <w:rPr>
          <w:rtl/>
        </w:rPr>
        <w:t>مكتب استشاري خارجي مستقل للإدارة </w:t>
      </w:r>
      <w:r w:rsidRPr="00244BB9">
        <w:rPr>
          <w:rFonts w:hint="cs"/>
          <w:rtl/>
          <w:lang w:bidi="ar-EG"/>
        </w:rPr>
        <w:t xml:space="preserve">وتكليفه بإجراء </w:t>
      </w:r>
      <w:r w:rsidR="00726E85" w:rsidRPr="00726E85">
        <w:rPr>
          <w:rtl/>
        </w:rPr>
        <w:t xml:space="preserve">تقييم واستعراض </w:t>
      </w:r>
      <w:proofErr w:type="spellStart"/>
      <w:r w:rsidR="00726E85" w:rsidRPr="00726E85">
        <w:rPr>
          <w:rtl/>
        </w:rPr>
        <w:t>برنامجيين</w:t>
      </w:r>
      <w:proofErr w:type="spellEnd"/>
      <w:r w:rsidR="00726E85" w:rsidRPr="00726E85">
        <w:rPr>
          <w:rtl/>
        </w:rPr>
        <w:t xml:space="preserve"> واستراتيجيين وماليين شاملين ل</w:t>
      </w:r>
      <w:r>
        <w:rPr>
          <w:rFonts w:hint="cs"/>
          <w:rtl/>
        </w:rPr>
        <w:t>ل</w:t>
      </w:r>
      <w:r w:rsidR="00726E85" w:rsidRPr="00726E85">
        <w:rPr>
          <w:rtl/>
        </w:rPr>
        <w:t>حضور الإقليمي للاتحاد</w:t>
      </w:r>
      <w:r>
        <w:rPr>
          <w:rFonts w:hint="cs"/>
          <w:rtl/>
        </w:rPr>
        <w:t>.</w:t>
      </w:r>
    </w:p>
    <w:p w14:paraId="330D144B" w14:textId="1D3EF815" w:rsidR="00847778" w:rsidRDefault="00D5536E" w:rsidP="00D5536E">
      <w:pPr>
        <w:pStyle w:val="Heading1"/>
        <w:rPr>
          <w:rtl/>
        </w:rPr>
      </w:pPr>
      <w:r>
        <w:lastRenderedPageBreak/>
        <w:t>2</w:t>
      </w:r>
      <w:r>
        <w:rPr>
          <w:rtl/>
          <w:lang w:bidi="ar-EG"/>
        </w:rPr>
        <w:tab/>
      </w:r>
      <w:r w:rsidR="009C21FB">
        <w:rPr>
          <w:rFonts w:hint="cs"/>
          <w:rtl/>
        </w:rPr>
        <w:t>حالة التنفيذ</w:t>
      </w:r>
    </w:p>
    <w:p w14:paraId="7AD4D63E" w14:textId="75DF9A58" w:rsidR="009C21FB" w:rsidRPr="009C21FB" w:rsidRDefault="009C21FB" w:rsidP="009C21FB">
      <w:pPr>
        <w:rPr>
          <w:rtl/>
          <w:lang w:bidi="ar"/>
        </w:rPr>
      </w:pPr>
      <w:r w:rsidRPr="009C21FB">
        <w:rPr>
          <w:rFonts w:hint="cs"/>
          <w:rtl/>
          <w:lang w:bidi="ar"/>
        </w:rPr>
        <w:t xml:space="preserve">بعد عملية تقديم عطاءات تنافسية، </w:t>
      </w:r>
      <w:r>
        <w:rPr>
          <w:rFonts w:hint="cs"/>
          <w:rtl/>
          <w:lang w:bidi="ar"/>
        </w:rPr>
        <w:t>ع</w:t>
      </w:r>
      <w:r w:rsidR="002538FC">
        <w:rPr>
          <w:rFonts w:hint="cs"/>
          <w:rtl/>
          <w:lang w:bidi="ar"/>
        </w:rPr>
        <w:t>ُ</w:t>
      </w:r>
      <w:r>
        <w:rPr>
          <w:rFonts w:hint="cs"/>
          <w:rtl/>
          <w:lang w:bidi="ar"/>
        </w:rPr>
        <w:t>يّنت مؤسسة</w:t>
      </w:r>
      <w:r w:rsidR="0086745C">
        <w:rPr>
          <w:rFonts w:hint="cs"/>
          <w:rtl/>
          <w:lang w:bidi="ar"/>
        </w:rPr>
        <w:t xml:space="preserve"> </w:t>
      </w:r>
      <w:r w:rsidRPr="009C21FB">
        <w:rPr>
          <w:rFonts w:hint="cs"/>
          <w:lang w:val="fr-FR"/>
        </w:rPr>
        <w:t>PricewaterhouseCoopers</w:t>
      </w:r>
      <w:r>
        <w:rPr>
          <w:rFonts w:hint="cs"/>
          <w:rtl/>
          <w:lang w:bidi="ar"/>
        </w:rPr>
        <w:t xml:space="preserve"> </w:t>
      </w:r>
      <w:r w:rsidRPr="009C21FB">
        <w:rPr>
          <w:rFonts w:hint="cs"/>
          <w:lang w:val="fr-FR"/>
        </w:rPr>
        <w:t>("PwC")</w:t>
      </w:r>
      <w:r w:rsidRPr="009C21F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9C21FB">
        <w:rPr>
          <w:rFonts w:hint="cs"/>
          <w:rtl/>
          <w:lang w:bidi="ar"/>
        </w:rPr>
        <w:t xml:space="preserve">إجراء هذا الاستعراض. </w:t>
      </w:r>
      <w:r w:rsidR="002538FC">
        <w:rPr>
          <w:rFonts w:hint="cs"/>
          <w:rtl/>
          <w:lang w:bidi="ar"/>
        </w:rPr>
        <w:t>وأُطلق</w:t>
      </w:r>
      <w:r w:rsidRPr="009C21FB">
        <w:rPr>
          <w:rFonts w:hint="cs"/>
          <w:rtl/>
          <w:lang w:bidi="ar"/>
        </w:rPr>
        <w:t xml:space="preserve"> المشروع في 4 نوفمبر 2019 تحت مسؤولية مدير</w:t>
      </w:r>
      <w:r w:rsidR="002538FC">
        <w:rPr>
          <w:rFonts w:hint="cs"/>
          <w:rtl/>
          <w:lang w:bidi="ar"/>
        </w:rPr>
        <w:t>ة</w:t>
      </w:r>
      <w:r w:rsidRPr="009C21FB">
        <w:rPr>
          <w:rFonts w:hint="cs"/>
          <w:rtl/>
          <w:lang w:bidi="ar"/>
        </w:rPr>
        <w:t xml:space="preserve"> مكتب تنمية الاتصالات، </w:t>
      </w:r>
      <w:r w:rsidR="002538FC">
        <w:rPr>
          <w:rFonts w:hint="cs"/>
          <w:rtl/>
          <w:lang w:bidi="ar"/>
        </w:rPr>
        <w:t>ويجري تنفيذه</w:t>
      </w:r>
      <w:r w:rsidRPr="009C21FB">
        <w:rPr>
          <w:rFonts w:hint="cs"/>
          <w:rtl/>
          <w:lang w:bidi="ar"/>
        </w:rPr>
        <w:t xml:space="preserve"> بالتعاون الوثيق مع المكاتب الإقليمية وغيرها من </w:t>
      </w:r>
      <w:r w:rsidR="002538FC">
        <w:rPr>
          <w:rFonts w:hint="cs"/>
          <w:rtl/>
          <w:lang w:bidi="ar"/>
        </w:rPr>
        <w:t>دوائر</w:t>
      </w:r>
      <w:r w:rsidRPr="009C21FB">
        <w:rPr>
          <w:rFonts w:hint="cs"/>
          <w:rtl/>
          <w:lang w:bidi="ar"/>
        </w:rPr>
        <w:t>/مكاتب الاتحاد ذات الصلة.</w:t>
      </w:r>
    </w:p>
    <w:p w14:paraId="616393EC" w14:textId="51562221" w:rsidR="00D5536E" w:rsidRPr="006F699D" w:rsidRDefault="002538FC" w:rsidP="006F699D">
      <w:pPr>
        <w:rPr>
          <w:rtl/>
          <w:lang w:val="fr-FR"/>
        </w:rPr>
      </w:pPr>
      <w:r>
        <w:rPr>
          <w:rFonts w:hint="cs"/>
          <w:rtl/>
          <w:lang w:bidi="ar"/>
        </w:rPr>
        <w:t>و</w:t>
      </w:r>
      <w:r w:rsidR="009C21FB" w:rsidRPr="009C21FB">
        <w:rPr>
          <w:rFonts w:hint="cs"/>
          <w:rtl/>
          <w:lang w:bidi="ar"/>
        </w:rPr>
        <w:t xml:space="preserve">يمكن تلخيص </w:t>
      </w:r>
      <w:r w:rsidR="00EA4C1B">
        <w:rPr>
          <w:rFonts w:hint="cs"/>
          <w:rtl/>
          <w:lang w:bidi="ar"/>
        </w:rPr>
        <w:t>ال</w:t>
      </w:r>
      <w:r w:rsidR="006F699D">
        <w:rPr>
          <w:rFonts w:hint="cs"/>
          <w:rtl/>
          <w:lang w:bidi="ar"/>
        </w:rPr>
        <w:t>نواتج</w:t>
      </w:r>
      <w:r w:rsidR="009C21FB" w:rsidRPr="009C21FB">
        <w:rPr>
          <w:rFonts w:hint="cs"/>
          <w:rtl/>
          <w:lang w:bidi="ar"/>
        </w:rPr>
        <w:t xml:space="preserve"> </w:t>
      </w:r>
      <w:r w:rsidR="00EA4C1B" w:rsidRPr="009C21FB">
        <w:rPr>
          <w:rFonts w:hint="cs"/>
          <w:rtl/>
          <w:lang w:bidi="ar"/>
        </w:rPr>
        <w:t xml:space="preserve">الرئيسية </w:t>
      </w:r>
      <w:r w:rsidR="00EA4C1B">
        <w:rPr>
          <w:rFonts w:hint="cs"/>
          <w:rtl/>
          <w:lang w:bidi="ar"/>
        </w:rPr>
        <w:t>لل</w:t>
      </w:r>
      <w:r w:rsidR="009C21FB" w:rsidRPr="009C21FB">
        <w:rPr>
          <w:rFonts w:hint="cs"/>
          <w:rtl/>
          <w:lang w:bidi="ar"/>
        </w:rPr>
        <w:t>مشروع على النحو التالي</w:t>
      </w:r>
      <w:r w:rsidR="00A1660D">
        <w:rPr>
          <w:rStyle w:val="FootnoteReference"/>
          <w:rtl/>
        </w:rPr>
        <w:footnoteReference w:id="1"/>
      </w:r>
      <w:r w:rsidR="00A1660D">
        <w:rPr>
          <w:rFonts w:hint="cs"/>
          <w:rtl/>
        </w:rPr>
        <w:t>:</w:t>
      </w:r>
    </w:p>
    <w:p w14:paraId="4F0156FC" w14:textId="0F2F4F79" w:rsidR="00D5536E" w:rsidRDefault="00A1660D" w:rsidP="004B5BB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A1660D">
        <w:rPr>
          <w:rFonts w:hint="cs"/>
          <w:rtl/>
        </w:rPr>
        <w:t>بيان لحالة الهيكل الحالي</w:t>
      </w:r>
      <w:r w:rsidR="008979A9">
        <w:rPr>
          <w:rFonts w:hint="cs"/>
          <w:rtl/>
        </w:rPr>
        <w:t xml:space="preserve"> لل</w:t>
      </w:r>
      <w:r w:rsidRPr="00A1660D">
        <w:rPr>
          <w:rFonts w:hint="cs"/>
          <w:rtl/>
        </w:rPr>
        <w:t>حضور الإقليمي، بما</w:t>
      </w:r>
      <w:r w:rsidRPr="00A1660D">
        <w:rPr>
          <w:rFonts w:hint="eastAsia"/>
          <w:rtl/>
        </w:rPr>
        <w:t> </w:t>
      </w:r>
      <w:r w:rsidRPr="00A1660D">
        <w:rPr>
          <w:rFonts w:hint="cs"/>
          <w:rtl/>
        </w:rPr>
        <w:t>في</w:t>
      </w:r>
      <w:r w:rsidRPr="00A1660D">
        <w:rPr>
          <w:rFonts w:hint="eastAsia"/>
          <w:rtl/>
        </w:rPr>
        <w:t> </w:t>
      </w:r>
      <w:r w:rsidRPr="00A1660D">
        <w:rPr>
          <w:rFonts w:hint="cs"/>
          <w:rtl/>
        </w:rPr>
        <w:t>ذلك الإجراءات ومؤشرات الأداء؛</w:t>
      </w:r>
    </w:p>
    <w:p w14:paraId="2C8B4B55" w14:textId="6FD9260D" w:rsidR="00D5536E" w:rsidRDefault="00A1660D" w:rsidP="004B5BB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A1660D">
        <w:rPr>
          <w:rFonts w:hint="cs"/>
          <w:rtl/>
        </w:rPr>
        <w:t xml:space="preserve">تحديد مَعلمات </w:t>
      </w:r>
      <w:r w:rsidR="008979A9">
        <w:rPr>
          <w:rFonts w:hint="cs"/>
          <w:rtl/>
        </w:rPr>
        <w:t>ال</w:t>
      </w:r>
      <w:r w:rsidRPr="00A1660D">
        <w:rPr>
          <w:rFonts w:hint="cs"/>
          <w:rtl/>
        </w:rPr>
        <w:t>كفاءة/</w:t>
      </w:r>
      <w:r w:rsidR="008979A9">
        <w:rPr>
          <w:rFonts w:hint="cs"/>
          <w:rtl/>
        </w:rPr>
        <w:t>ال</w:t>
      </w:r>
      <w:r w:rsidRPr="00A1660D">
        <w:rPr>
          <w:rFonts w:hint="cs"/>
          <w:rtl/>
        </w:rPr>
        <w:t>أداء؛</w:t>
      </w:r>
    </w:p>
    <w:p w14:paraId="3FBF2096" w14:textId="31E216B9" w:rsidR="00A1660D" w:rsidRDefault="00A1660D" w:rsidP="004B5BB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D0AA6" w:rsidRPr="00A1660D">
        <w:rPr>
          <w:rFonts w:hint="cs"/>
          <w:rtl/>
        </w:rPr>
        <w:t xml:space="preserve">تحديد </w:t>
      </w:r>
      <w:r w:rsidRPr="00A1660D">
        <w:rPr>
          <w:rFonts w:hint="cs"/>
          <w:rtl/>
        </w:rPr>
        <w:t xml:space="preserve">بيان </w:t>
      </w:r>
      <w:r w:rsidR="00AD0AA6">
        <w:rPr>
          <w:rFonts w:hint="cs"/>
          <w:rtl/>
        </w:rPr>
        <w:t>ا</w:t>
      </w:r>
      <w:r w:rsidRPr="00A1660D">
        <w:rPr>
          <w:rFonts w:hint="cs"/>
          <w:rtl/>
        </w:rPr>
        <w:t xml:space="preserve">لحالة </w:t>
      </w:r>
      <w:r w:rsidR="00AD0AA6">
        <w:rPr>
          <w:rFonts w:hint="cs"/>
          <w:rtl/>
        </w:rPr>
        <w:t>لل</w:t>
      </w:r>
      <w:r w:rsidRPr="00A1660D">
        <w:rPr>
          <w:rFonts w:hint="cs"/>
          <w:rtl/>
        </w:rPr>
        <w:t xml:space="preserve">هيكل المرجو </w:t>
      </w:r>
      <w:r w:rsidR="00AD0AA6">
        <w:rPr>
          <w:rFonts w:hint="cs"/>
          <w:rtl/>
        </w:rPr>
        <w:t>للحضور</w:t>
      </w:r>
      <w:r w:rsidRPr="00A1660D">
        <w:rPr>
          <w:rFonts w:hint="cs"/>
          <w:rtl/>
        </w:rPr>
        <w:t xml:space="preserve"> الإقليمي، </w:t>
      </w:r>
      <w:r w:rsidR="00B35F19">
        <w:rPr>
          <w:rFonts w:hint="cs"/>
          <w:rtl/>
        </w:rPr>
        <w:t xml:space="preserve">ووضع </w:t>
      </w:r>
      <w:r w:rsidRPr="00A1660D">
        <w:rPr>
          <w:rFonts w:hint="cs"/>
          <w:rtl/>
        </w:rPr>
        <w:t>الأهداف الإدارية التي تخدم التوجّه الاستراتيجي للمنظمة و</w:t>
      </w:r>
      <w:r w:rsidR="00B35F19">
        <w:rPr>
          <w:rFonts w:hint="cs"/>
          <w:rtl/>
        </w:rPr>
        <w:t xml:space="preserve">تحديد </w:t>
      </w:r>
      <w:r w:rsidRPr="00A1660D">
        <w:rPr>
          <w:rFonts w:hint="cs"/>
          <w:rtl/>
        </w:rPr>
        <w:t>مهارات الموظفين اللازمة لتنفيذها؛</w:t>
      </w:r>
    </w:p>
    <w:p w14:paraId="3C788E88" w14:textId="04A701A0" w:rsidR="00A1660D" w:rsidRDefault="00A1660D" w:rsidP="004B5BB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66D80">
        <w:rPr>
          <w:rFonts w:hint="cs"/>
          <w:rtl/>
        </w:rPr>
        <w:t xml:space="preserve">وضع </w:t>
      </w:r>
      <w:r w:rsidR="004B5BB6" w:rsidRPr="004B5BB6">
        <w:rPr>
          <w:rFonts w:hint="cs"/>
          <w:rtl/>
        </w:rPr>
        <w:t>خطة عمل للتغيير، تتناول جميع التوصيات ذات</w:t>
      </w:r>
      <w:r w:rsidR="004B5BB6" w:rsidRPr="004B5BB6">
        <w:rPr>
          <w:rFonts w:hint="eastAsia"/>
          <w:rtl/>
        </w:rPr>
        <w:t> </w:t>
      </w:r>
      <w:r w:rsidR="004B5BB6" w:rsidRPr="004B5BB6">
        <w:rPr>
          <w:rFonts w:hint="cs"/>
          <w:rtl/>
        </w:rPr>
        <w:t>الصلة المقدمة من المراجع</w:t>
      </w:r>
      <w:r w:rsidR="004B5BB6" w:rsidRPr="004B5BB6">
        <w:rPr>
          <w:rFonts w:hint="cs"/>
          <w:rtl/>
          <w:lang w:bidi="ar-EG"/>
        </w:rPr>
        <w:t xml:space="preserve"> الخارجي للحسابات</w:t>
      </w:r>
      <w:r w:rsidR="004B5BB6" w:rsidRPr="004B5BB6">
        <w:rPr>
          <w:rFonts w:hint="cs"/>
          <w:rtl/>
        </w:rPr>
        <w:t xml:space="preserve"> والمراجع الداخلي للحسابات واللجنة الاستشارية المستقلة للإدارة.</w:t>
      </w:r>
    </w:p>
    <w:p w14:paraId="604D2059" w14:textId="098D7BCB" w:rsidR="006F699D" w:rsidRPr="006F699D" w:rsidRDefault="001C1C5B" w:rsidP="006F699D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6F699D" w:rsidRPr="006F699D">
        <w:rPr>
          <w:rFonts w:hint="cs"/>
          <w:rtl/>
          <w:lang w:bidi="ar"/>
        </w:rPr>
        <w:t xml:space="preserve">بعد مرحلة أولية </w:t>
      </w:r>
      <w:r>
        <w:rPr>
          <w:rFonts w:hint="cs"/>
          <w:rtl/>
          <w:lang w:bidi="ar"/>
        </w:rPr>
        <w:t xml:space="preserve">من </w:t>
      </w:r>
      <w:r w:rsidR="006F699D" w:rsidRPr="006F699D">
        <w:rPr>
          <w:rFonts w:hint="cs"/>
          <w:rtl/>
          <w:lang w:bidi="ar"/>
        </w:rPr>
        <w:t xml:space="preserve">جمع البيانات وتقييم </w:t>
      </w:r>
      <w:r>
        <w:rPr>
          <w:rFonts w:hint="cs"/>
          <w:rtl/>
          <w:lang w:bidi="ar"/>
        </w:rPr>
        <w:t>دقيق</w:t>
      </w:r>
      <w:r w:rsidR="006F699D" w:rsidRPr="006F699D">
        <w:rPr>
          <w:rFonts w:hint="cs"/>
          <w:rtl/>
          <w:lang w:bidi="ar"/>
        </w:rPr>
        <w:t xml:space="preserve"> للأنشطة الميدانية الحالية، دخل المشروع الآن في مرحلة </w:t>
      </w:r>
      <w:r>
        <w:rPr>
          <w:rFonts w:hint="cs"/>
          <w:rtl/>
          <w:lang w:bidi="ar"/>
        </w:rPr>
        <w:t>التصميم وهي مرحلة يجري فيها وضع</w:t>
      </w:r>
      <w:r w:rsidR="006F699D" w:rsidRPr="006F699D">
        <w:rPr>
          <w:rFonts w:hint="cs"/>
          <w:rtl/>
          <w:lang w:bidi="ar"/>
        </w:rPr>
        <w:t xml:space="preserve"> وتقييم خيارات جديدة ممكنة ل</w:t>
      </w:r>
      <w:r>
        <w:rPr>
          <w:rFonts w:hint="cs"/>
          <w:rtl/>
          <w:lang w:bidi="ar"/>
        </w:rPr>
        <w:t>لحضور</w:t>
      </w:r>
      <w:r w:rsidR="006F699D" w:rsidRPr="006F699D">
        <w:rPr>
          <w:rFonts w:hint="cs"/>
          <w:rtl/>
          <w:lang w:bidi="ar"/>
        </w:rPr>
        <w:t xml:space="preserve"> الإقليمي</w:t>
      </w:r>
      <w:r>
        <w:rPr>
          <w:rFonts w:hint="cs"/>
          <w:rtl/>
          <w:lang w:bidi="ar"/>
        </w:rPr>
        <w:t xml:space="preserve"> للاتحاد</w:t>
      </w:r>
      <w:r w:rsidR="006F699D" w:rsidRPr="006F699D">
        <w:rPr>
          <w:rFonts w:hint="cs"/>
          <w:rtl/>
          <w:lang w:bidi="ar"/>
        </w:rPr>
        <w:t xml:space="preserve">. </w:t>
      </w:r>
      <w:r>
        <w:rPr>
          <w:rFonts w:hint="cs"/>
          <w:rtl/>
          <w:lang w:bidi="ar"/>
        </w:rPr>
        <w:t>و</w:t>
      </w:r>
      <w:r w:rsidR="006F699D" w:rsidRPr="006F699D">
        <w:rPr>
          <w:rFonts w:hint="cs"/>
          <w:rtl/>
          <w:lang w:bidi="ar"/>
        </w:rPr>
        <w:t>ستركز المرحلة الثالثة والأخيرة من المشروع على إعداد خارطة طريق لتنفيذ نموذج جديد مقترح.</w:t>
      </w:r>
    </w:p>
    <w:p w14:paraId="09DED951" w14:textId="3290BAEA" w:rsidR="006F699D" w:rsidRPr="006F699D" w:rsidRDefault="0010474F" w:rsidP="0010474F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="006F699D" w:rsidRPr="006F699D">
        <w:rPr>
          <w:rFonts w:hint="cs"/>
          <w:rtl/>
          <w:lang w:bidi="ar"/>
        </w:rPr>
        <w:t xml:space="preserve">في سياق المشروع، </w:t>
      </w:r>
      <w:r>
        <w:rPr>
          <w:rFonts w:hint="cs"/>
          <w:rtl/>
          <w:lang w:bidi="ar"/>
        </w:rPr>
        <w:t>استعرضت مؤسسة</w:t>
      </w:r>
      <w:r w:rsidR="006F699D" w:rsidRPr="006F699D">
        <w:rPr>
          <w:rFonts w:hint="cs"/>
          <w:rtl/>
          <w:lang w:bidi="ar"/>
        </w:rPr>
        <w:t xml:space="preserve"> </w:t>
      </w:r>
      <w:r w:rsidR="006F699D" w:rsidRPr="006F699D">
        <w:rPr>
          <w:rFonts w:hint="cs"/>
          <w:lang w:val="fr-FR" w:bidi="ar-EG"/>
        </w:rPr>
        <w:t>PwC</w:t>
      </w:r>
      <w:r w:rsidR="006F699D" w:rsidRPr="006F699D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حلّلت</w:t>
      </w:r>
      <w:r w:rsidR="006F699D" w:rsidRPr="006F699D">
        <w:rPr>
          <w:rFonts w:hint="cs"/>
          <w:rtl/>
          <w:lang w:bidi="ar"/>
        </w:rPr>
        <w:t xml:space="preserve"> أكثر من 100 وثيقة</w:t>
      </w:r>
      <w:r w:rsidR="006B78C6" w:rsidRPr="006B78C6">
        <w:rPr>
          <w:rFonts w:hint="cs"/>
          <w:rtl/>
          <w:lang w:bidi="ar"/>
        </w:rPr>
        <w:t xml:space="preserve"> </w:t>
      </w:r>
      <w:r w:rsidR="006B78C6" w:rsidRPr="006F699D">
        <w:rPr>
          <w:rFonts w:hint="cs"/>
          <w:rtl/>
          <w:lang w:bidi="ar"/>
        </w:rPr>
        <w:t>حتى الآن</w:t>
      </w:r>
      <w:r w:rsidR="006F699D" w:rsidRPr="006F699D">
        <w:rPr>
          <w:rFonts w:hint="cs"/>
          <w:rtl/>
          <w:lang w:bidi="ar"/>
        </w:rPr>
        <w:t>، و</w:t>
      </w:r>
      <w:r>
        <w:rPr>
          <w:rFonts w:hint="cs"/>
          <w:rtl/>
          <w:lang w:bidi="ar"/>
        </w:rPr>
        <w:t>أجرت</w:t>
      </w:r>
      <w:r w:rsidR="006F699D" w:rsidRPr="006F699D">
        <w:rPr>
          <w:rFonts w:hint="cs"/>
          <w:rtl/>
          <w:lang w:bidi="ar"/>
        </w:rPr>
        <w:t xml:space="preserve"> مقابلات مع أكثر من 100 من أصحاب المصلحة الداخليين والخارجيين، وجمع</w:t>
      </w:r>
      <w:r>
        <w:rPr>
          <w:rFonts w:hint="cs"/>
          <w:rtl/>
          <w:lang w:bidi="ar"/>
        </w:rPr>
        <w:t>ت</w:t>
      </w:r>
      <w:r w:rsidR="006F699D" w:rsidRPr="006F699D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مساهمات الأعضاء</w:t>
      </w:r>
      <w:r w:rsidR="006F699D" w:rsidRPr="006F699D">
        <w:rPr>
          <w:rFonts w:hint="cs"/>
          <w:rtl/>
          <w:lang w:bidi="ar"/>
        </w:rPr>
        <w:t xml:space="preserve"> من خلال استبيان عبر الإنترنت</w:t>
      </w:r>
      <w:r>
        <w:rPr>
          <w:rFonts w:hint="cs"/>
          <w:rtl/>
          <w:lang w:bidi="ar"/>
        </w:rPr>
        <w:t>،</w:t>
      </w:r>
      <w:r w:rsidR="006F699D" w:rsidRPr="006F699D">
        <w:rPr>
          <w:rFonts w:hint="cs"/>
          <w:rtl/>
          <w:lang w:bidi="ar"/>
        </w:rPr>
        <w:t xml:space="preserve"> ونظمت العديد من الجلسات والاجتماعات الإعلامية مع الأعضاء، بما في ذلك خلال اجتماعات </w:t>
      </w:r>
      <w:r w:rsidRPr="0010474F">
        <w:rPr>
          <w:rtl/>
          <w:lang w:val="fr-FR"/>
        </w:rPr>
        <w:t>أفرقة العمل التابعة</w:t>
      </w:r>
      <w:r w:rsidRPr="0010474F">
        <w:rPr>
          <w:rFonts w:hint="cs"/>
          <w:rtl/>
          <w:lang w:val="fr-FR" w:bidi="ar"/>
        </w:rPr>
        <w:t xml:space="preserve"> </w:t>
      </w:r>
      <w:r>
        <w:rPr>
          <w:rFonts w:hint="cs"/>
          <w:rtl/>
          <w:lang w:val="fr-FR" w:bidi="ar"/>
        </w:rPr>
        <w:t xml:space="preserve">للمجلس في </w:t>
      </w:r>
      <w:r w:rsidR="006F699D" w:rsidRPr="006F699D">
        <w:rPr>
          <w:rFonts w:hint="cs"/>
          <w:rtl/>
          <w:lang w:bidi="ar"/>
        </w:rPr>
        <w:t>فبراير 2020.</w:t>
      </w:r>
    </w:p>
    <w:p w14:paraId="481F72AD" w14:textId="1FE7D337" w:rsidR="004B5BB6" w:rsidRDefault="004B5BB6" w:rsidP="004B5BB6">
      <w:pPr>
        <w:pStyle w:val="Heading1"/>
        <w:rPr>
          <w:rtl/>
        </w:rPr>
      </w:pPr>
      <w:r>
        <w:t>3</w:t>
      </w:r>
      <w:r>
        <w:rPr>
          <w:rtl/>
          <w:lang w:bidi="ar-EG"/>
        </w:rPr>
        <w:tab/>
      </w:r>
      <w:r w:rsidR="006B78C6">
        <w:rPr>
          <w:rFonts w:hint="cs"/>
          <w:rtl/>
        </w:rPr>
        <w:t>الخلاصة</w:t>
      </w:r>
    </w:p>
    <w:p w14:paraId="2EA824B4" w14:textId="5944E038" w:rsidR="008979A9" w:rsidRPr="008979A9" w:rsidRDefault="007251B0" w:rsidP="008979A9">
      <w:pPr>
        <w:rPr>
          <w:rtl/>
          <w:lang w:bidi="ar"/>
        </w:rPr>
      </w:pPr>
      <w:r>
        <w:rPr>
          <w:rFonts w:hint="cs"/>
          <w:rtl/>
          <w:lang w:bidi="ar"/>
        </w:rPr>
        <w:t>يتقدم</w:t>
      </w:r>
      <w:r w:rsidR="008979A9" w:rsidRPr="008979A9">
        <w:rPr>
          <w:rFonts w:hint="cs"/>
          <w:rtl/>
          <w:lang w:bidi="ar"/>
        </w:rPr>
        <w:t xml:space="preserve"> المشروع </w:t>
      </w:r>
      <w:r>
        <w:rPr>
          <w:rFonts w:hint="cs"/>
          <w:rtl/>
          <w:lang w:bidi="ar"/>
        </w:rPr>
        <w:t>على النحو</w:t>
      </w:r>
      <w:r w:rsidR="008979A9" w:rsidRPr="008979A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="008979A9" w:rsidRPr="008979A9">
        <w:rPr>
          <w:rFonts w:hint="cs"/>
          <w:rtl/>
          <w:lang w:bidi="ar"/>
        </w:rPr>
        <w:t>مخطط له، وسي</w:t>
      </w:r>
      <w:r>
        <w:rPr>
          <w:rFonts w:hint="cs"/>
          <w:rtl/>
          <w:lang w:bidi="ar"/>
        </w:rPr>
        <w:t>ُقدم</w:t>
      </w:r>
      <w:r w:rsidR="008979A9" w:rsidRPr="008979A9">
        <w:rPr>
          <w:rFonts w:hint="cs"/>
          <w:rtl/>
          <w:lang w:bidi="ar"/>
        </w:rPr>
        <w:t xml:space="preserve"> تقرير</w:t>
      </w:r>
      <w:r>
        <w:rPr>
          <w:rFonts w:hint="cs"/>
          <w:rtl/>
          <w:lang w:bidi="ar"/>
        </w:rPr>
        <w:t xml:space="preserve"> مؤسسة</w:t>
      </w:r>
      <w:r w:rsidR="008979A9" w:rsidRPr="008979A9">
        <w:rPr>
          <w:rFonts w:hint="cs"/>
          <w:rtl/>
          <w:lang w:bidi="ar"/>
        </w:rPr>
        <w:t xml:space="preserve"> </w:t>
      </w:r>
      <w:r w:rsidR="008979A9" w:rsidRPr="008979A9">
        <w:rPr>
          <w:rFonts w:hint="cs"/>
          <w:lang w:val="fr-FR" w:bidi="ar-EG"/>
        </w:rPr>
        <w:t>PwC</w:t>
      </w:r>
      <w:r w:rsidR="008979A9" w:rsidRPr="008979A9">
        <w:rPr>
          <w:rFonts w:hint="cs"/>
          <w:rtl/>
          <w:lang w:bidi="ar"/>
        </w:rPr>
        <w:t xml:space="preserve"> إلى دورة المجلس لعام 2020، </w:t>
      </w:r>
      <w:r w:rsidRPr="007251B0">
        <w:rPr>
          <w:rtl/>
          <w:lang w:bidi="ar"/>
        </w:rPr>
        <w:t xml:space="preserve">على النحو المطلوب في </w:t>
      </w:r>
      <w:r w:rsidRPr="00980897">
        <w:rPr>
          <w:rFonts w:hint="cs"/>
          <w:rtl/>
          <w:lang w:bidi="ar"/>
        </w:rPr>
        <w:t>القرار 25 (المراج</w:t>
      </w:r>
      <w:r>
        <w:rPr>
          <w:rFonts w:hint="cs"/>
          <w:rtl/>
          <w:lang w:bidi="ar"/>
        </w:rPr>
        <w:t>َ</w:t>
      </w:r>
      <w:r w:rsidRPr="00980897">
        <w:rPr>
          <w:rFonts w:hint="cs"/>
          <w:rtl/>
          <w:lang w:bidi="ar"/>
        </w:rPr>
        <w:t>ع في دبي، 2018)</w:t>
      </w:r>
      <w:r w:rsidR="003F25BF">
        <w:rPr>
          <w:rFonts w:hint="cs"/>
          <w:rtl/>
          <w:lang w:bidi="ar"/>
        </w:rPr>
        <w:t>.</w:t>
      </w:r>
    </w:p>
    <w:p w14:paraId="0394EB34" w14:textId="742D3BFC" w:rsidR="008979A9" w:rsidRPr="008979A9" w:rsidRDefault="007251B0" w:rsidP="007251B0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="008979A9" w:rsidRPr="008979A9">
        <w:rPr>
          <w:rFonts w:hint="cs"/>
          <w:rtl/>
          <w:lang w:bidi="ar"/>
        </w:rPr>
        <w:t>ستقدم</w:t>
      </w:r>
      <w:r>
        <w:rPr>
          <w:rFonts w:hint="cs"/>
          <w:rtl/>
          <w:lang w:bidi="ar"/>
        </w:rPr>
        <w:t xml:space="preserve"> مؤسسة</w:t>
      </w:r>
      <w:r w:rsidR="008979A9" w:rsidRPr="008979A9">
        <w:rPr>
          <w:rFonts w:hint="cs"/>
          <w:rtl/>
          <w:lang w:bidi="ar"/>
        </w:rPr>
        <w:t xml:space="preserve"> </w:t>
      </w:r>
      <w:r w:rsidR="008979A9" w:rsidRPr="008979A9">
        <w:rPr>
          <w:rFonts w:hint="cs"/>
          <w:lang w:val="fr-FR" w:bidi="ar-EG"/>
        </w:rPr>
        <w:t>PwC</w:t>
      </w:r>
      <w:r w:rsidR="008979A9" w:rsidRPr="008979A9">
        <w:rPr>
          <w:rFonts w:hint="cs"/>
          <w:rtl/>
          <w:lang w:bidi="ar"/>
        </w:rPr>
        <w:t xml:space="preserve"> تقرير </w:t>
      </w:r>
      <w:r>
        <w:rPr>
          <w:rFonts w:hint="cs"/>
          <w:rtl/>
          <w:lang w:bidi="ar-EG"/>
        </w:rPr>
        <w:t>شفوي عن ال</w:t>
      </w:r>
      <w:r w:rsidR="008979A9" w:rsidRPr="008979A9">
        <w:rPr>
          <w:rFonts w:hint="cs"/>
          <w:rtl/>
          <w:lang w:bidi="ar"/>
        </w:rPr>
        <w:t xml:space="preserve">حالة خلال </w:t>
      </w:r>
      <w:r>
        <w:rPr>
          <w:rFonts w:hint="cs"/>
          <w:rtl/>
          <w:lang w:bidi="ar"/>
        </w:rPr>
        <w:t xml:space="preserve">اجتماع </w:t>
      </w:r>
      <w:r w:rsidRPr="007251B0">
        <w:rPr>
          <w:rtl/>
        </w:rPr>
        <w:t>الفريق الاستشاري لتنمية الاتصالات</w:t>
      </w:r>
      <w:r w:rsidR="008979A9" w:rsidRPr="008979A9">
        <w:rPr>
          <w:rFonts w:hint="cs"/>
          <w:rtl/>
          <w:lang w:bidi="ar"/>
        </w:rPr>
        <w:t>.</w:t>
      </w:r>
    </w:p>
    <w:p w14:paraId="0482450E" w14:textId="75588AA6" w:rsidR="00882A17" w:rsidRPr="0086745C" w:rsidRDefault="00DB1D53" w:rsidP="00DB1D53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86745C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882A17" w:rsidRPr="0086745C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C8FC" w14:textId="77777777" w:rsidR="00946D4F" w:rsidRDefault="00946D4F" w:rsidP="006C3242">
      <w:pPr>
        <w:spacing w:before="0" w:line="240" w:lineRule="auto"/>
      </w:pPr>
      <w:r>
        <w:separator/>
      </w:r>
    </w:p>
  </w:endnote>
  <w:endnote w:type="continuationSeparator" w:id="0">
    <w:p w14:paraId="7509F5CA" w14:textId="77777777" w:rsidR="00946D4F" w:rsidRDefault="00946D4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0FA4" w14:textId="349891E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3176D">
      <w:rPr>
        <w:noProof/>
        <w:sz w:val="16"/>
        <w:szCs w:val="16"/>
        <w:lang w:val="fr-FR"/>
      </w:rPr>
      <w:t>P:\ARA\ITU-D\CONF-D\TDAG20\000\025V2A.DOCX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A52887">
      <w:rPr>
        <w:rFonts w:hint="cs"/>
        <w:sz w:val="16"/>
        <w:szCs w:val="16"/>
        <w:rtl/>
        <w:lang w:val="fr-FR"/>
      </w:rPr>
      <w:t>467653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50C9C188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1FDF2F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65F928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B860DBC" w14:textId="2DBB6965" w:rsidR="00882A17" w:rsidRPr="00987CE8" w:rsidRDefault="00987CE8" w:rsidP="00847778">
          <w:pPr>
            <w:spacing w:before="60" w:after="40" w:line="260" w:lineRule="exact"/>
            <w:rPr>
              <w:position w:val="2"/>
              <w:sz w:val="18"/>
              <w:szCs w:val="18"/>
              <w:rtl/>
              <w:lang w:bidi="ar-EG"/>
            </w:rPr>
          </w:pPr>
          <w:r>
            <w:rPr>
              <w:position w:val="2"/>
              <w:sz w:val="18"/>
              <w:szCs w:val="18"/>
              <w:rtl/>
              <w:lang w:bidi="ar-EG"/>
            </w:rPr>
            <w:t>[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>يحدد لاحقاً</w:t>
          </w:r>
          <w:r>
            <w:rPr>
              <w:position w:val="2"/>
              <w:sz w:val="18"/>
              <w:szCs w:val="18"/>
              <w:rtl/>
              <w:lang w:bidi="ar-EG"/>
            </w:rPr>
            <w:t>]</w:t>
          </w:r>
        </w:p>
      </w:tc>
    </w:tr>
    <w:tr w:rsidR="00882A17" w:rsidRPr="005874F2" w14:paraId="52EB5B14" w14:textId="77777777" w:rsidTr="00F03E94">
      <w:tc>
        <w:tcPr>
          <w:tcW w:w="991" w:type="dxa"/>
        </w:tcPr>
        <w:p w14:paraId="67126F3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942B2D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ED455C6" w14:textId="5A7722DA" w:rsidR="00882A17" w:rsidRPr="005874F2" w:rsidRDefault="00882A17" w:rsidP="00D5536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</w:tr>
    <w:tr w:rsidR="00882A17" w:rsidRPr="005874F2" w14:paraId="31F93AF8" w14:textId="77777777" w:rsidTr="00F03E94">
      <w:tc>
        <w:tcPr>
          <w:tcW w:w="991" w:type="dxa"/>
        </w:tcPr>
        <w:p w14:paraId="2A11F96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E9A279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AEE45D1" w14:textId="2780FC68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</w:tr>
  </w:tbl>
  <w:p w14:paraId="4157FFFB" w14:textId="77777777" w:rsidR="0006468A" w:rsidRPr="0086745C" w:rsidRDefault="00CB26D1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lang w:val="fr-FR"/>
      </w:rPr>
    </w:pPr>
    <w:hyperlink r:id="rId1" w:history="1">
      <w:r w:rsidR="003971E3" w:rsidRPr="0086745C">
        <w:rPr>
          <w:rStyle w:val="Hyperlink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9584D" w14:textId="77777777" w:rsidR="00946D4F" w:rsidRDefault="00946D4F" w:rsidP="006C3242">
      <w:pPr>
        <w:spacing w:before="0" w:line="240" w:lineRule="auto"/>
      </w:pPr>
      <w:r>
        <w:separator/>
      </w:r>
    </w:p>
  </w:footnote>
  <w:footnote w:type="continuationSeparator" w:id="0">
    <w:p w14:paraId="466807FC" w14:textId="77777777" w:rsidR="00946D4F" w:rsidRDefault="00946D4F" w:rsidP="006C3242">
      <w:pPr>
        <w:spacing w:before="0" w:line="240" w:lineRule="auto"/>
      </w:pPr>
      <w:r>
        <w:continuationSeparator/>
      </w:r>
    </w:p>
  </w:footnote>
  <w:footnote w:id="1">
    <w:p w14:paraId="1767AA48" w14:textId="6705D4AF" w:rsidR="00A1660D" w:rsidRPr="006F699D" w:rsidRDefault="00A1660D" w:rsidP="0086745C">
      <w:pPr>
        <w:pStyle w:val="FootnoteText"/>
        <w:tabs>
          <w:tab w:val="clear" w:pos="794"/>
          <w:tab w:val="left" w:pos="283"/>
        </w:tabs>
        <w:rPr>
          <w:lang w:val="fr-FR" w:bidi="ar-EG"/>
        </w:rPr>
      </w:pPr>
      <w:r w:rsidRPr="00A1660D">
        <w:rPr>
          <w:rStyle w:val="FootnoteReference"/>
          <w:position w:val="0"/>
          <w:sz w:val="20"/>
          <w:szCs w:val="26"/>
        </w:rPr>
        <w:footnoteRef/>
      </w:r>
      <w:r w:rsidRPr="00A1660D">
        <w:rPr>
          <w:szCs w:val="20"/>
          <w:rtl/>
        </w:rPr>
        <w:tab/>
      </w:r>
      <w:r w:rsidR="00732CCE" w:rsidRPr="00C3176D">
        <w:rPr>
          <w:rFonts w:hint="cs"/>
          <w:sz w:val="12"/>
          <w:szCs w:val="18"/>
          <w:rtl/>
          <w:lang w:bidi="ar"/>
        </w:rPr>
        <w:t>ترد</w:t>
      </w:r>
      <w:r w:rsidR="006F699D" w:rsidRPr="00C3176D">
        <w:rPr>
          <w:rFonts w:hint="cs"/>
          <w:sz w:val="12"/>
          <w:szCs w:val="18"/>
          <w:rtl/>
          <w:lang w:bidi="ar"/>
        </w:rPr>
        <w:t xml:space="preserve"> القائمة الكاملة للنواتج في الملحق 1 </w:t>
      </w:r>
      <w:r w:rsidR="00732CCE" w:rsidRPr="00C3176D">
        <w:rPr>
          <w:rFonts w:hint="cs"/>
          <w:sz w:val="12"/>
          <w:szCs w:val="18"/>
          <w:rtl/>
          <w:lang w:bidi="ar"/>
        </w:rPr>
        <w:t>بمقرر</w:t>
      </w:r>
      <w:r w:rsidR="006F699D" w:rsidRPr="00C3176D">
        <w:rPr>
          <w:rFonts w:hint="cs"/>
          <w:sz w:val="12"/>
          <w:szCs w:val="18"/>
          <w:rtl/>
          <w:lang w:bidi="ar"/>
        </w:rPr>
        <w:t xml:space="preserve"> المجلس 616.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DA3D311" w14:textId="39818499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bookmarkStart w:id="2" w:name="DocNo2"/>
        <w:bookmarkEnd w:id="2"/>
        <w:r w:rsidR="00847778">
          <w:rPr>
            <w:sz w:val="20"/>
            <w:szCs w:val="20"/>
            <w:lang w:val="es-ES_tradnl"/>
          </w:rPr>
          <w:t>2</w:t>
        </w:r>
        <w:r w:rsidR="00A52887">
          <w:rPr>
            <w:sz w:val="20"/>
            <w:szCs w:val="20"/>
            <w:lang w:val="es-ES_tradnl"/>
          </w:rPr>
          <w:t>5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F"/>
    <w:rsid w:val="0006468A"/>
    <w:rsid w:val="00090574"/>
    <w:rsid w:val="000C1C0E"/>
    <w:rsid w:val="000C548A"/>
    <w:rsid w:val="000D5C4A"/>
    <w:rsid w:val="0010474F"/>
    <w:rsid w:val="001C0169"/>
    <w:rsid w:val="001C1C5B"/>
    <w:rsid w:val="001C28FF"/>
    <w:rsid w:val="001D1D50"/>
    <w:rsid w:val="001D6745"/>
    <w:rsid w:val="001E446E"/>
    <w:rsid w:val="002154EE"/>
    <w:rsid w:val="002276D2"/>
    <w:rsid w:val="0023283D"/>
    <w:rsid w:val="002538FC"/>
    <w:rsid w:val="0026373E"/>
    <w:rsid w:val="00271C43"/>
    <w:rsid w:val="00290728"/>
    <w:rsid w:val="002978F4"/>
    <w:rsid w:val="002A6BA8"/>
    <w:rsid w:val="002B028D"/>
    <w:rsid w:val="002E6541"/>
    <w:rsid w:val="00334924"/>
    <w:rsid w:val="003409BC"/>
    <w:rsid w:val="00357185"/>
    <w:rsid w:val="00383829"/>
    <w:rsid w:val="00392F2F"/>
    <w:rsid w:val="003971E3"/>
    <w:rsid w:val="003F25BF"/>
    <w:rsid w:val="003F4B29"/>
    <w:rsid w:val="0042686F"/>
    <w:rsid w:val="004317D8"/>
    <w:rsid w:val="00434183"/>
    <w:rsid w:val="00443869"/>
    <w:rsid w:val="00447F32"/>
    <w:rsid w:val="004B5BB6"/>
    <w:rsid w:val="004E11DC"/>
    <w:rsid w:val="00512295"/>
    <w:rsid w:val="00525DDD"/>
    <w:rsid w:val="005409AC"/>
    <w:rsid w:val="0055516A"/>
    <w:rsid w:val="0058491B"/>
    <w:rsid w:val="005874F2"/>
    <w:rsid w:val="00592EA5"/>
    <w:rsid w:val="005A086A"/>
    <w:rsid w:val="005A20AF"/>
    <w:rsid w:val="005A3170"/>
    <w:rsid w:val="006226DD"/>
    <w:rsid w:val="00677396"/>
    <w:rsid w:val="0069200F"/>
    <w:rsid w:val="006A65CB"/>
    <w:rsid w:val="006B78C6"/>
    <w:rsid w:val="006C3242"/>
    <w:rsid w:val="006C7CC0"/>
    <w:rsid w:val="006F63F7"/>
    <w:rsid w:val="006F699D"/>
    <w:rsid w:val="007025C7"/>
    <w:rsid w:val="00706D7A"/>
    <w:rsid w:val="00722F0D"/>
    <w:rsid w:val="007251B0"/>
    <w:rsid w:val="00726E85"/>
    <w:rsid w:val="00732CCE"/>
    <w:rsid w:val="00743FA3"/>
    <w:rsid w:val="0074420E"/>
    <w:rsid w:val="00783A69"/>
    <w:rsid w:val="00783E26"/>
    <w:rsid w:val="007C3BC7"/>
    <w:rsid w:val="007C3BCD"/>
    <w:rsid w:val="007D4ACF"/>
    <w:rsid w:val="007F0787"/>
    <w:rsid w:val="008010EC"/>
    <w:rsid w:val="00810B7B"/>
    <w:rsid w:val="0082358A"/>
    <w:rsid w:val="008235CD"/>
    <w:rsid w:val="008247DE"/>
    <w:rsid w:val="00840B10"/>
    <w:rsid w:val="00847778"/>
    <w:rsid w:val="008513CB"/>
    <w:rsid w:val="0086745C"/>
    <w:rsid w:val="00882A17"/>
    <w:rsid w:val="008979A9"/>
    <w:rsid w:val="008A7F84"/>
    <w:rsid w:val="0091311B"/>
    <w:rsid w:val="0091702E"/>
    <w:rsid w:val="00923B0C"/>
    <w:rsid w:val="0094021C"/>
    <w:rsid w:val="00946D4F"/>
    <w:rsid w:val="00952F86"/>
    <w:rsid w:val="00966D80"/>
    <w:rsid w:val="00980897"/>
    <w:rsid w:val="00982B28"/>
    <w:rsid w:val="00987CE8"/>
    <w:rsid w:val="009C21FB"/>
    <w:rsid w:val="009D313F"/>
    <w:rsid w:val="00A1660D"/>
    <w:rsid w:val="00A47A5A"/>
    <w:rsid w:val="00A52887"/>
    <w:rsid w:val="00A6683B"/>
    <w:rsid w:val="00A91C4D"/>
    <w:rsid w:val="00A97F94"/>
    <w:rsid w:val="00AA7EA2"/>
    <w:rsid w:val="00AD0AA6"/>
    <w:rsid w:val="00B03099"/>
    <w:rsid w:val="00B05BC8"/>
    <w:rsid w:val="00B35F19"/>
    <w:rsid w:val="00B4515B"/>
    <w:rsid w:val="00B64B47"/>
    <w:rsid w:val="00BA2978"/>
    <w:rsid w:val="00BC3498"/>
    <w:rsid w:val="00BC5B73"/>
    <w:rsid w:val="00C002DE"/>
    <w:rsid w:val="00C07A41"/>
    <w:rsid w:val="00C3176D"/>
    <w:rsid w:val="00C53BF8"/>
    <w:rsid w:val="00C66157"/>
    <w:rsid w:val="00C674FE"/>
    <w:rsid w:val="00C67501"/>
    <w:rsid w:val="00C75633"/>
    <w:rsid w:val="00CB26D1"/>
    <w:rsid w:val="00CE2EE1"/>
    <w:rsid w:val="00CE3349"/>
    <w:rsid w:val="00CE36E5"/>
    <w:rsid w:val="00CF27F5"/>
    <w:rsid w:val="00CF3FFD"/>
    <w:rsid w:val="00D10CCF"/>
    <w:rsid w:val="00D14548"/>
    <w:rsid w:val="00D30494"/>
    <w:rsid w:val="00D5536E"/>
    <w:rsid w:val="00D77D0F"/>
    <w:rsid w:val="00DA1CF0"/>
    <w:rsid w:val="00DB1407"/>
    <w:rsid w:val="00DB1D53"/>
    <w:rsid w:val="00DC1E02"/>
    <w:rsid w:val="00DC24B4"/>
    <w:rsid w:val="00DC5FB0"/>
    <w:rsid w:val="00DF16DC"/>
    <w:rsid w:val="00E45211"/>
    <w:rsid w:val="00E473C5"/>
    <w:rsid w:val="00E6256B"/>
    <w:rsid w:val="00E92863"/>
    <w:rsid w:val="00EA4C1B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AE0C7"/>
  <w15:chartTrackingRefBased/>
  <w15:docId w15:val="{08C16B57-B070-4457-80AF-DCE2FF3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288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99D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99D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1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25-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6A5A-59AD-4C09-9997-47489016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BDT</cp:lastModifiedBy>
  <cp:revision>4</cp:revision>
  <dcterms:created xsi:type="dcterms:W3CDTF">2020-02-18T09:48:00Z</dcterms:created>
  <dcterms:modified xsi:type="dcterms:W3CDTF">2020-03-10T13:28:00Z</dcterms:modified>
</cp:coreProperties>
</file>