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14:paraId="3FB95EA3" w14:textId="77777777" w:rsidTr="00940EE4">
        <w:trPr>
          <w:cantSplit/>
          <w:trHeight w:val="1134"/>
        </w:trPr>
        <w:tc>
          <w:tcPr>
            <w:tcW w:w="6804" w:type="dxa"/>
          </w:tcPr>
          <w:p w14:paraId="4D2805BC" w14:textId="77777777" w:rsidR="00175C4C" w:rsidRPr="001E252D" w:rsidRDefault="00175C4C" w:rsidP="00940EE4">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14:paraId="1370D9B0" w14:textId="484FE778" w:rsidR="00175C4C" w:rsidRPr="00A67CAE" w:rsidRDefault="00906A8D" w:rsidP="00940EE4">
            <w:pPr>
              <w:spacing w:after="48" w:line="240" w:lineRule="atLeast"/>
              <w:ind w:left="34"/>
              <w:rPr>
                <w:b/>
                <w:bCs/>
                <w:szCs w:val="24"/>
                <w:lang w:eastAsia="zh-CN"/>
              </w:rPr>
            </w:pPr>
            <w:r w:rsidRPr="00906A8D">
              <w:rPr>
                <w:rFonts w:hint="eastAsia"/>
                <w:b/>
                <w:bCs/>
                <w:szCs w:val="24"/>
                <w:lang w:val="fr-CH" w:eastAsia="zh-CN"/>
              </w:rPr>
              <w:t>第</w:t>
            </w:r>
            <w:r w:rsidRPr="00906A8D">
              <w:rPr>
                <w:rFonts w:hint="eastAsia"/>
                <w:b/>
                <w:bCs/>
                <w:szCs w:val="24"/>
                <w:lang w:val="fr-CH" w:eastAsia="zh-CN"/>
              </w:rPr>
              <w:t>25</w:t>
            </w:r>
            <w:r w:rsidRPr="00906A8D">
              <w:rPr>
                <w:rFonts w:hint="eastAsia"/>
                <w:b/>
                <w:bCs/>
                <w:szCs w:val="24"/>
                <w:lang w:val="fr-CH" w:eastAsia="zh-CN"/>
              </w:rPr>
              <w:t>次会议，</w:t>
            </w:r>
            <w:r w:rsidRPr="00906A8D">
              <w:rPr>
                <w:rFonts w:hint="eastAsia"/>
                <w:b/>
                <w:bCs/>
                <w:szCs w:val="24"/>
                <w:lang w:val="fr-CH" w:eastAsia="zh-CN"/>
              </w:rPr>
              <w:t>2020</w:t>
            </w:r>
            <w:r w:rsidRPr="00906A8D">
              <w:rPr>
                <w:rFonts w:hint="eastAsia"/>
                <w:b/>
                <w:bCs/>
                <w:szCs w:val="24"/>
                <w:lang w:val="fr-CH" w:eastAsia="zh-CN"/>
              </w:rPr>
              <w:t>年</w:t>
            </w:r>
            <w:r w:rsidRPr="00906A8D">
              <w:rPr>
                <w:rFonts w:hint="eastAsia"/>
                <w:b/>
                <w:bCs/>
                <w:szCs w:val="24"/>
                <w:lang w:val="fr-CH" w:eastAsia="zh-CN"/>
              </w:rPr>
              <w:t>6</w:t>
            </w:r>
            <w:r w:rsidRPr="00906A8D">
              <w:rPr>
                <w:rFonts w:hint="eastAsia"/>
                <w:b/>
                <w:bCs/>
                <w:szCs w:val="24"/>
                <w:lang w:val="fr-CH" w:eastAsia="zh-CN"/>
              </w:rPr>
              <w:t>月</w:t>
            </w:r>
            <w:r w:rsidRPr="00906A8D">
              <w:rPr>
                <w:rFonts w:hint="eastAsia"/>
                <w:b/>
                <w:bCs/>
                <w:szCs w:val="24"/>
                <w:lang w:val="fr-CH" w:eastAsia="zh-CN"/>
              </w:rPr>
              <w:t>2-5</w:t>
            </w:r>
            <w:r w:rsidRPr="00906A8D">
              <w:rPr>
                <w:rFonts w:hint="eastAsia"/>
                <w:b/>
                <w:bCs/>
                <w:szCs w:val="24"/>
                <w:lang w:val="fr-CH" w:eastAsia="zh-CN"/>
              </w:rPr>
              <w:t>日，日内瓦</w:t>
            </w:r>
            <w:bookmarkStart w:id="0" w:name="_GoBack"/>
            <w:bookmarkEnd w:id="0"/>
          </w:p>
        </w:tc>
        <w:tc>
          <w:tcPr>
            <w:tcW w:w="3227" w:type="dxa"/>
          </w:tcPr>
          <w:p w14:paraId="6B5BE6FD" w14:textId="77777777" w:rsidR="00175C4C" w:rsidRPr="00D96B4B" w:rsidRDefault="00175C4C" w:rsidP="00940EE4">
            <w:pPr>
              <w:spacing w:before="0" w:line="240" w:lineRule="atLeast"/>
              <w:jc w:val="right"/>
              <w:rPr>
                <w:rFonts w:cstheme="minorHAnsi"/>
              </w:rPr>
            </w:pPr>
            <w:bookmarkStart w:id="1" w:name="ditulogo"/>
            <w:bookmarkEnd w:id="1"/>
            <w:r w:rsidRPr="008E52B1">
              <w:rPr>
                <w:noProof/>
                <w:color w:val="3399FF"/>
                <w:lang w:eastAsia="en-GB"/>
              </w:rPr>
              <w:drawing>
                <wp:inline distT="0" distB="0" distL="0" distR="0" wp14:anchorId="52863DC7" wp14:editId="02FCED4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14:paraId="6376211D" w14:textId="77777777" w:rsidTr="00940EE4">
        <w:trPr>
          <w:cantSplit/>
        </w:trPr>
        <w:tc>
          <w:tcPr>
            <w:tcW w:w="6804" w:type="dxa"/>
            <w:tcBorders>
              <w:top w:val="single" w:sz="12" w:space="0" w:color="auto"/>
            </w:tcBorders>
          </w:tcPr>
          <w:p w14:paraId="45706E41" w14:textId="77777777" w:rsidR="00175C4C" w:rsidRPr="00D96B4B" w:rsidRDefault="00175C4C" w:rsidP="00940EE4">
            <w:pPr>
              <w:spacing w:before="0" w:after="48" w:line="240" w:lineRule="atLeast"/>
              <w:rPr>
                <w:rFonts w:cstheme="minorHAnsi"/>
                <w:b/>
                <w:smallCaps/>
                <w:sz w:val="20"/>
              </w:rPr>
            </w:pPr>
            <w:bookmarkStart w:id="2" w:name="dhead"/>
          </w:p>
        </w:tc>
        <w:tc>
          <w:tcPr>
            <w:tcW w:w="3227" w:type="dxa"/>
            <w:tcBorders>
              <w:top w:val="single" w:sz="12" w:space="0" w:color="auto"/>
            </w:tcBorders>
          </w:tcPr>
          <w:p w14:paraId="054281B1" w14:textId="77777777" w:rsidR="00175C4C" w:rsidRPr="00D96B4B" w:rsidRDefault="00175C4C" w:rsidP="00940EE4">
            <w:pPr>
              <w:spacing w:before="0" w:line="240" w:lineRule="atLeast"/>
              <w:rPr>
                <w:rFonts w:cstheme="minorHAnsi"/>
                <w:sz w:val="20"/>
              </w:rPr>
            </w:pPr>
          </w:p>
        </w:tc>
      </w:tr>
      <w:tr w:rsidR="00175C4C" w:rsidRPr="0038489B" w14:paraId="6A6F6177" w14:textId="77777777" w:rsidTr="00940EE4">
        <w:trPr>
          <w:cantSplit/>
          <w:trHeight w:val="23"/>
        </w:trPr>
        <w:tc>
          <w:tcPr>
            <w:tcW w:w="6804" w:type="dxa"/>
            <w:shd w:val="clear" w:color="auto" w:fill="auto"/>
          </w:tcPr>
          <w:p w14:paraId="45E1501E" w14:textId="77777777" w:rsidR="00175C4C" w:rsidRPr="00D96B4B" w:rsidRDefault="00175C4C" w:rsidP="00BA5B48">
            <w:pPr>
              <w:pStyle w:val="Committee"/>
              <w:spacing w:before="0"/>
            </w:pPr>
            <w:bookmarkStart w:id="3" w:name="dnum" w:colFirst="1" w:colLast="1"/>
            <w:bookmarkStart w:id="4" w:name="dmeeting" w:colFirst="0" w:colLast="0"/>
            <w:bookmarkEnd w:id="2"/>
          </w:p>
        </w:tc>
        <w:tc>
          <w:tcPr>
            <w:tcW w:w="3227" w:type="dxa"/>
          </w:tcPr>
          <w:p w14:paraId="6FCB6F07" w14:textId="39B419C9" w:rsidR="00175C4C" w:rsidRPr="00E07105" w:rsidRDefault="00175C4C" w:rsidP="00B52914">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5" w:name="DocRef1"/>
            <w:bookmarkEnd w:id="5"/>
            <w:r>
              <w:rPr>
                <w:b/>
                <w:bCs/>
                <w:szCs w:val="24"/>
                <w:lang w:val="es-ES_tradnl"/>
              </w:rPr>
              <w:t>TDAG-</w:t>
            </w:r>
            <w:r w:rsidR="00B52914">
              <w:rPr>
                <w:b/>
                <w:bCs/>
                <w:szCs w:val="24"/>
                <w:lang w:val="es-ES_tradnl"/>
              </w:rPr>
              <w:t>20</w:t>
            </w:r>
            <w:r w:rsidRPr="00147DA1">
              <w:rPr>
                <w:b/>
                <w:bCs/>
                <w:szCs w:val="24"/>
                <w:lang w:val="es-ES_tradnl"/>
              </w:rPr>
              <w:t>/</w:t>
            </w:r>
            <w:r w:rsidR="00B66097">
              <w:rPr>
                <w:b/>
                <w:bCs/>
                <w:szCs w:val="24"/>
                <w:lang w:val="es-ES_tradnl"/>
              </w:rPr>
              <w:t>25-</w:t>
            </w:r>
            <w:r>
              <w:rPr>
                <w:b/>
                <w:bCs/>
                <w:szCs w:val="24"/>
                <w:lang w:val="es-ES_tradnl"/>
              </w:rPr>
              <w:t>C</w:t>
            </w:r>
          </w:p>
        </w:tc>
      </w:tr>
      <w:tr w:rsidR="00175C4C" w:rsidRPr="00C324A8" w14:paraId="73FC5AC6" w14:textId="77777777" w:rsidTr="00940EE4">
        <w:trPr>
          <w:cantSplit/>
          <w:trHeight w:val="23"/>
        </w:trPr>
        <w:tc>
          <w:tcPr>
            <w:tcW w:w="6804" w:type="dxa"/>
            <w:shd w:val="clear" w:color="auto" w:fill="auto"/>
          </w:tcPr>
          <w:p w14:paraId="4DFB113C" w14:textId="77777777" w:rsidR="00175C4C" w:rsidRPr="00E07105" w:rsidRDefault="00175C4C" w:rsidP="00940EE4">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27" w:type="dxa"/>
          </w:tcPr>
          <w:p w14:paraId="33D10011" w14:textId="3525CDFF" w:rsidR="00175C4C" w:rsidRPr="00D96B4B" w:rsidRDefault="00175C4C" w:rsidP="00B52914">
            <w:pPr>
              <w:spacing w:before="0" w:line="240" w:lineRule="atLeast"/>
              <w:rPr>
                <w:rFonts w:cstheme="minorHAnsi"/>
                <w:szCs w:val="24"/>
                <w:lang w:eastAsia="zh-CN"/>
              </w:rPr>
            </w:pPr>
            <w:r>
              <w:rPr>
                <w:b/>
                <w:bCs/>
                <w:szCs w:val="24"/>
                <w:lang w:val="fr-FR"/>
              </w:rPr>
              <w:t>20</w:t>
            </w:r>
            <w:r w:rsidR="00B52914">
              <w:rPr>
                <w:b/>
                <w:bCs/>
                <w:szCs w:val="24"/>
                <w:lang w:val="fr-FR"/>
              </w:rPr>
              <w:t>20</w:t>
            </w:r>
            <w:r>
              <w:rPr>
                <w:rFonts w:hint="eastAsia"/>
                <w:b/>
                <w:bCs/>
                <w:szCs w:val="24"/>
                <w:lang w:val="fr-FR" w:eastAsia="zh-CN"/>
              </w:rPr>
              <w:t>年</w:t>
            </w:r>
            <w:r w:rsidR="00B66097">
              <w:rPr>
                <w:b/>
                <w:bCs/>
                <w:szCs w:val="24"/>
                <w:lang w:val="fr-FR" w:eastAsia="zh-CN"/>
              </w:rPr>
              <w:t>2</w:t>
            </w:r>
            <w:r>
              <w:rPr>
                <w:b/>
                <w:bCs/>
                <w:szCs w:val="24"/>
                <w:lang w:val="fr-FR" w:eastAsia="zh-CN"/>
              </w:rPr>
              <w:t>月</w:t>
            </w:r>
            <w:r w:rsidR="00B66097">
              <w:rPr>
                <w:b/>
                <w:bCs/>
                <w:szCs w:val="24"/>
                <w:lang w:val="fr-FR" w:eastAsia="zh-CN"/>
              </w:rPr>
              <w:t>10</w:t>
            </w:r>
            <w:r>
              <w:rPr>
                <w:b/>
                <w:bCs/>
                <w:szCs w:val="24"/>
                <w:lang w:val="fr-FR" w:eastAsia="zh-CN"/>
              </w:rPr>
              <w:t>日</w:t>
            </w:r>
          </w:p>
        </w:tc>
      </w:tr>
      <w:tr w:rsidR="00175C4C" w:rsidRPr="00C324A8" w14:paraId="20635B44" w14:textId="77777777" w:rsidTr="00940EE4">
        <w:trPr>
          <w:cantSplit/>
          <w:trHeight w:val="23"/>
        </w:trPr>
        <w:tc>
          <w:tcPr>
            <w:tcW w:w="6804" w:type="dxa"/>
            <w:shd w:val="clear" w:color="auto" w:fill="auto"/>
          </w:tcPr>
          <w:p w14:paraId="33334C86" w14:textId="77777777" w:rsidR="00175C4C" w:rsidRPr="00D96B4B" w:rsidRDefault="00175C4C" w:rsidP="00940EE4">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27" w:type="dxa"/>
          </w:tcPr>
          <w:p w14:paraId="520B8E6A" w14:textId="77777777"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14:paraId="07BE22BF" w14:textId="77777777" w:rsidTr="00940EE4">
        <w:trPr>
          <w:cantSplit/>
          <w:trHeight w:val="23"/>
        </w:trPr>
        <w:tc>
          <w:tcPr>
            <w:tcW w:w="10031" w:type="dxa"/>
            <w:gridSpan w:val="2"/>
            <w:shd w:val="clear" w:color="auto" w:fill="auto"/>
          </w:tcPr>
          <w:p w14:paraId="1EB1029E" w14:textId="5C94074F" w:rsidR="00175C4C" w:rsidRPr="009D5E2D" w:rsidRDefault="00A94AFA" w:rsidP="00175C4C">
            <w:pPr>
              <w:pStyle w:val="Source"/>
              <w:spacing w:before="240" w:after="240"/>
              <w:jc w:val="center"/>
              <w:rPr>
                <w:rFonts w:asciiTheme="majorEastAsia" w:eastAsiaTheme="majorEastAsia" w:hAnsiTheme="majorEastAsia"/>
                <w:sz w:val="28"/>
                <w:szCs w:val="28"/>
                <w:lang w:val="en-US" w:eastAsia="zh-CN"/>
              </w:rPr>
            </w:pPr>
            <w:proofErr w:type="spellStart"/>
            <w:r w:rsidRPr="009D5E2D">
              <w:rPr>
                <w:rFonts w:hint="eastAsia"/>
                <w:sz w:val="28"/>
                <w:szCs w:val="28"/>
              </w:rPr>
              <w:t>电信发展局主任</w:t>
            </w:r>
            <w:proofErr w:type="spellEnd"/>
          </w:p>
        </w:tc>
      </w:tr>
      <w:tr w:rsidR="00175C4C" w:rsidRPr="00C324A8" w14:paraId="6BF07544" w14:textId="77777777" w:rsidTr="007E5382">
        <w:trPr>
          <w:cantSplit/>
          <w:trHeight w:val="23"/>
        </w:trPr>
        <w:tc>
          <w:tcPr>
            <w:tcW w:w="10031" w:type="dxa"/>
            <w:gridSpan w:val="2"/>
            <w:shd w:val="clear" w:color="auto" w:fill="auto"/>
          </w:tcPr>
          <w:p w14:paraId="2447A778" w14:textId="2D59E96F" w:rsidR="00175C4C" w:rsidRPr="00175C4C" w:rsidRDefault="00CF730D"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CF730D">
              <w:rPr>
                <w:rFonts w:asciiTheme="majorEastAsia" w:eastAsiaTheme="majorEastAsia" w:hAnsiTheme="majorEastAsia" w:cs="Times New Roman" w:hint="eastAsia"/>
                <w:b w:val="0"/>
                <w:caps/>
                <w:sz w:val="28"/>
                <w:szCs w:val="28"/>
                <w:lang w:val="en-US" w:eastAsia="zh-CN"/>
              </w:rPr>
              <w:t>对于国际电联区域代表处情况的审查</w:t>
            </w:r>
          </w:p>
        </w:tc>
      </w:tr>
      <w:tr w:rsidR="00175C4C" w:rsidRPr="00C324A8" w14:paraId="7350B564" w14:textId="77777777" w:rsidTr="00940EE4">
        <w:trPr>
          <w:cantSplit/>
          <w:trHeight w:val="23"/>
        </w:trPr>
        <w:tc>
          <w:tcPr>
            <w:tcW w:w="10031" w:type="dxa"/>
            <w:gridSpan w:val="2"/>
            <w:tcBorders>
              <w:bottom w:val="single" w:sz="4" w:space="0" w:color="auto"/>
            </w:tcBorders>
            <w:shd w:val="clear" w:color="auto" w:fill="auto"/>
          </w:tcPr>
          <w:p w14:paraId="02CFA745" w14:textId="77777777" w:rsidR="00175C4C" w:rsidRPr="00B911B2" w:rsidRDefault="00175C4C" w:rsidP="00175C4C">
            <w:pPr>
              <w:pStyle w:val="Title1"/>
              <w:spacing w:before="120" w:after="120"/>
              <w:rPr>
                <w:caps/>
                <w:szCs w:val="28"/>
              </w:rPr>
            </w:pPr>
          </w:p>
        </w:tc>
      </w:tr>
      <w:tr w:rsidR="00175C4C" w:rsidRPr="00C324A8" w14:paraId="1E12A05E" w14:textId="77777777"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7A4BA76D" w14:textId="77777777"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14:paraId="4362F94F" w14:textId="36AB3052" w:rsidR="00175C4C" w:rsidRPr="00054016" w:rsidRDefault="002B746D" w:rsidP="00BA5B48">
            <w:pPr>
              <w:ind w:firstLineChars="200" w:firstLine="480"/>
              <w:rPr>
                <w:b/>
                <w:bCs/>
                <w:lang w:eastAsia="zh-CN"/>
              </w:rPr>
            </w:pPr>
            <w:r>
              <w:rPr>
                <w:rFonts w:hint="eastAsia"/>
                <w:bCs/>
                <w:szCs w:val="24"/>
                <w:lang w:eastAsia="zh-CN"/>
              </w:rPr>
              <w:t>本文</w:t>
            </w:r>
            <w:r w:rsidR="00A94AFA" w:rsidRPr="00A94AFA">
              <w:rPr>
                <w:rFonts w:hint="eastAsia"/>
                <w:bCs/>
                <w:szCs w:val="24"/>
                <w:lang w:eastAsia="zh-CN"/>
              </w:rPr>
              <w:t>报告了全权代表大会第</w:t>
            </w:r>
            <w:r w:rsidR="00A94AFA" w:rsidRPr="00A94AFA">
              <w:rPr>
                <w:rFonts w:hint="eastAsia"/>
                <w:bCs/>
                <w:szCs w:val="24"/>
                <w:lang w:eastAsia="zh-CN"/>
              </w:rPr>
              <w:t>25</w:t>
            </w:r>
            <w:r w:rsidR="00A94AFA" w:rsidRPr="00A94AFA">
              <w:rPr>
                <w:rFonts w:hint="eastAsia"/>
                <w:bCs/>
                <w:szCs w:val="24"/>
                <w:lang w:eastAsia="zh-CN"/>
              </w:rPr>
              <w:t>号决议（</w:t>
            </w:r>
            <w:r w:rsidR="00A94AFA" w:rsidRPr="00A94AFA">
              <w:rPr>
                <w:rFonts w:hint="eastAsia"/>
                <w:bCs/>
                <w:szCs w:val="24"/>
                <w:lang w:eastAsia="zh-CN"/>
              </w:rPr>
              <w:t>2018</w:t>
            </w:r>
            <w:r w:rsidR="00A94AFA" w:rsidRPr="00A94AFA">
              <w:rPr>
                <w:rFonts w:hint="eastAsia"/>
                <w:bCs/>
                <w:szCs w:val="24"/>
                <w:lang w:eastAsia="zh-CN"/>
              </w:rPr>
              <w:t>年，迪拜，修订版）和理事会第</w:t>
            </w:r>
            <w:r w:rsidR="00A94AFA" w:rsidRPr="00A94AFA">
              <w:rPr>
                <w:rFonts w:hint="eastAsia"/>
                <w:bCs/>
                <w:szCs w:val="24"/>
                <w:lang w:eastAsia="zh-CN"/>
              </w:rPr>
              <w:t>616</w:t>
            </w:r>
            <w:r>
              <w:rPr>
                <w:rFonts w:hint="eastAsia"/>
                <w:bCs/>
                <w:szCs w:val="24"/>
                <w:lang w:eastAsia="zh-CN"/>
              </w:rPr>
              <w:t>号决定</w:t>
            </w:r>
            <w:r w:rsidRPr="00A94AFA">
              <w:rPr>
                <w:rFonts w:hint="eastAsia"/>
                <w:bCs/>
                <w:szCs w:val="24"/>
                <w:lang w:eastAsia="zh-CN"/>
              </w:rPr>
              <w:t>（</w:t>
            </w:r>
            <w:r w:rsidRPr="00A94AFA">
              <w:rPr>
                <w:rFonts w:hint="eastAsia"/>
                <w:bCs/>
                <w:szCs w:val="24"/>
                <w:lang w:eastAsia="zh-CN"/>
              </w:rPr>
              <w:t>2019</w:t>
            </w:r>
            <w:r>
              <w:rPr>
                <w:rFonts w:hint="eastAsia"/>
                <w:bCs/>
                <w:szCs w:val="24"/>
                <w:lang w:eastAsia="zh-CN"/>
              </w:rPr>
              <w:t>年）的执行情况</w:t>
            </w:r>
            <w:r w:rsidR="00A94AFA" w:rsidRPr="00A94AFA">
              <w:rPr>
                <w:rFonts w:hint="eastAsia"/>
                <w:bCs/>
                <w:szCs w:val="24"/>
                <w:lang w:eastAsia="zh-CN"/>
              </w:rPr>
              <w:t>。</w:t>
            </w:r>
          </w:p>
          <w:p w14:paraId="47031727" w14:textId="5D9F8EA8" w:rsidR="00175C4C" w:rsidRPr="00054016" w:rsidRDefault="00A94AFA" w:rsidP="00175C4C">
            <w:pPr>
              <w:rPr>
                <w:b/>
                <w:bCs/>
                <w:lang w:eastAsia="zh-CN"/>
              </w:rPr>
            </w:pPr>
            <w:r>
              <w:rPr>
                <w:rFonts w:hint="eastAsia"/>
                <w:b/>
                <w:bCs/>
                <w:lang w:eastAsia="zh-CN"/>
              </w:rPr>
              <w:t>须</w:t>
            </w:r>
            <w:r w:rsidR="00175C4C" w:rsidRPr="00054016">
              <w:rPr>
                <w:b/>
                <w:bCs/>
                <w:lang w:eastAsia="zh-CN"/>
              </w:rPr>
              <w:t>采取</w:t>
            </w:r>
            <w:r w:rsidR="00175C4C">
              <w:rPr>
                <w:rFonts w:hint="eastAsia"/>
                <w:b/>
                <w:bCs/>
                <w:lang w:eastAsia="zh-CN"/>
              </w:rPr>
              <w:t>的</w:t>
            </w:r>
            <w:r w:rsidR="00175C4C" w:rsidRPr="00054016">
              <w:rPr>
                <w:b/>
                <w:bCs/>
                <w:lang w:eastAsia="zh-CN"/>
              </w:rPr>
              <w:t>行动：</w:t>
            </w:r>
          </w:p>
          <w:p w14:paraId="00503447" w14:textId="25AF5391" w:rsidR="00B66097" w:rsidRDefault="002B746D" w:rsidP="00BA5B48">
            <w:pPr>
              <w:spacing w:after="120"/>
              <w:ind w:firstLineChars="200" w:firstLine="480"/>
              <w:rPr>
                <w:bCs/>
                <w:lang w:eastAsia="zh-CN"/>
              </w:rPr>
            </w:pPr>
            <w:r w:rsidRPr="002B746D">
              <w:rPr>
                <w:rFonts w:hint="eastAsia"/>
                <w:bCs/>
                <w:lang w:eastAsia="zh-CN"/>
              </w:rPr>
              <w:t>请</w:t>
            </w:r>
            <w:r w:rsidRPr="002B746D">
              <w:rPr>
                <w:rFonts w:hint="eastAsia"/>
                <w:bCs/>
                <w:lang w:eastAsia="zh-CN"/>
              </w:rPr>
              <w:t>TDAG</w:t>
            </w:r>
            <w:r w:rsidRPr="002B746D">
              <w:rPr>
                <w:rFonts w:hint="eastAsia"/>
                <w:bCs/>
                <w:lang w:eastAsia="zh-CN"/>
              </w:rPr>
              <w:t>将本文件记录在案。</w:t>
            </w:r>
          </w:p>
          <w:p w14:paraId="28351622" w14:textId="77777777" w:rsidR="00175C4C" w:rsidRDefault="00175C4C" w:rsidP="00175C4C">
            <w:pPr>
              <w:spacing w:after="120"/>
              <w:rPr>
                <w:b/>
                <w:bCs/>
                <w:lang w:eastAsia="zh-CN"/>
              </w:rPr>
            </w:pPr>
            <w:r w:rsidRPr="00054016">
              <w:rPr>
                <w:rFonts w:hint="eastAsia"/>
                <w:b/>
                <w:bCs/>
                <w:lang w:eastAsia="zh-CN"/>
              </w:rPr>
              <w:t>参考文件</w:t>
            </w:r>
            <w:r w:rsidRPr="00054016">
              <w:rPr>
                <w:b/>
                <w:bCs/>
                <w:lang w:eastAsia="zh-CN"/>
              </w:rPr>
              <w:t>：</w:t>
            </w:r>
          </w:p>
          <w:p w14:paraId="692A7D37" w14:textId="4C9FCB99" w:rsidR="00B66097" w:rsidRPr="00D9621A" w:rsidRDefault="00906A8D" w:rsidP="00175C4C">
            <w:pPr>
              <w:spacing w:after="120"/>
              <w:rPr>
                <w:lang w:eastAsia="zh-CN"/>
              </w:rPr>
            </w:pPr>
            <w:hyperlink r:id="rId9" w:history="1">
              <w:r w:rsidR="002B746D">
                <w:rPr>
                  <w:rStyle w:val="Hyperlink"/>
                  <w:iCs/>
                  <w:lang w:val="en-US" w:eastAsia="zh-CN"/>
                </w:rPr>
                <w:t>第</w:t>
              </w:r>
              <w:r w:rsidR="002B746D">
                <w:rPr>
                  <w:rStyle w:val="Hyperlink"/>
                  <w:iCs/>
                  <w:lang w:val="en-US" w:eastAsia="zh-CN"/>
                </w:rPr>
                <w:t>25</w:t>
              </w:r>
              <w:r w:rsidR="002B746D">
                <w:rPr>
                  <w:rStyle w:val="Hyperlink"/>
                  <w:iCs/>
                  <w:lang w:val="en-US" w:eastAsia="zh-CN"/>
                </w:rPr>
                <w:t>号决议（</w:t>
              </w:r>
              <w:r w:rsidR="002B746D">
                <w:rPr>
                  <w:rStyle w:val="Hyperlink"/>
                  <w:iCs/>
                  <w:lang w:val="en-US" w:eastAsia="zh-CN"/>
                </w:rPr>
                <w:t>2018</w:t>
              </w:r>
              <w:r w:rsidR="002B746D">
                <w:rPr>
                  <w:rStyle w:val="Hyperlink"/>
                  <w:iCs/>
                  <w:lang w:val="en-US" w:eastAsia="zh-CN"/>
                </w:rPr>
                <w:t>年，迪拜，修订版）</w:t>
              </w:r>
            </w:hyperlink>
            <w:r w:rsidR="00BA5B48">
              <w:rPr>
                <w:rFonts w:asciiTheme="minorEastAsia" w:hAnsiTheme="minorEastAsia" w:hint="eastAsia"/>
                <w:bCs/>
                <w:lang w:eastAsia="zh-CN"/>
              </w:rPr>
              <w:t>；</w:t>
            </w:r>
            <w:hyperlink r:id="rId10" w:history="1">
              <w:r w:rsidR="002B746D">
                <w:rPr>
                  <w:rStyle w:val="Hyperlink"/>
                  <w:lang w:eastAsia="zh-CN"/>
                </w:rPr>
                <w:t>第</w:t>
              </w:r>
              <w:r w:rsidR="002B746D">
                <w:rPr>
                  <w:rStyle w:val="Hyperlink"/>
                  <w:lang w:eastAsia="zh-CN"/>
                </w:rPr>
                <w:t>616</w:t>
              </w:r>
              <w:r w:rsidR="002B746D">
                <w:rPr>
                  <w:rStyle w:val="Hyperlink"/>
                  <w:lang w:eastAsia="zh-CN"/>
                </w:rPr>
                <w:t>号决定（</w:t>
              </w:r>
              <w:r w:rsidR="002B746D">
                <w:rPr>
                  <w:rStyle w:val="Hyperlink"/>
                  <w:lang w:eastAsia="zh-CN"/>
                </w:rPr>
                <w:t>2019</w:t>
              </w:r>
              <w:r w:rsidR="002B746D">
                <w:rPr>
                  <w:rStyle w:val="Hyperlink"/>
                  <w:lang w:eastAsia="zh-CN"/>
                </w:rPr>
                <w:t>年）</w:t>
              </w:r>
            </w:hyperlink>
          </w:p>
        </w:tc>
      </w:tr>
      <w:bookmarkEnd w:id="8"/>
      <w:bookmarkEnd w:id="9"/>
    </w:tbl>
    <w:p w14:paraId="4B9EF384" w14:textId="77777777" w:rsidR="00175C4C" w:rsidRDefault="00175C4C" w:rsidP="00175C4C">
      <w:pPr>
        <w:overflowPunct/>
        <w:autoSpaceDE/>
        <w:autoSpaceDN/>
        <w:adjustRightInd/>
        <w:spacing w:before="0"/>
        <w:textAlignment w:val="auto"/>
        <w:rPr>
          <w:szCs w:val="24"/>
          <w:lang w:eastAsia="zh-CN"/>
        </w:rPr>
      </w:pPr>
    </w:p>
    <w:p w14:paraId="2BF0DFBA" w14:textId="77777777" w:rsidR="00B52914" w:rsidRDefault="00B52914">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14:paraId="23584DF0" w14:textId="5BDC6759" w:rsidR="00C563FD" w:rsidRPr="00BA5B48" w:rsidRDefault="00BA5B48" w:rsidP="00BA5B48">
      <w:pPr>
        <w:pStyle w:val="Heading1"/>
        <w:rPr>
          <w:sz w:val="28"/>
          <w:szCs w:val="28"/>
        </w:rPr>
      </w:pPr>
      <w:r w:rsidRPr="00BA5B48">
        <w:rPr>
          <w:rFonts w:hint="eastAsia"/>
          <w:sz w:val="28"/>
          <w:szCs w:val="28"/>
          <w:lang w:eastAsia="zh-CN"/>
        </w:rPr>
        <w:lastRenderedPageBreak/>
        <w:t>1</w:t>
      </w:r>
      <w:r w:rsidRPr="00BA5B48">
        <w:rPr>
          <w:sz w:val="28"/>
          <w:szCs w:val="28"/>
          <w:lang w:eastAsia="zh-CN"/>
        </w:rPr>
        <w:tab/>
      </w:r>
      <w:r w:rsidR="00A94AFA" w:rsidRPr="00BA5B48">
        <w:rPr>
          <w:rFonts w:hint="eastAsia"/>
          <w:sz w:val="28"/>
          <w:szCs w:val="28"/>
          <w:lang w:eastAsia="zh-CN"/>
        </w:rPr>
        <w:t>背景</w:t>
      </w:r>
    </w:p>
    <w:p w14:paraId="0DB2C60F" w14:textId="02D2848B" w:rsidR="00C563FD" w:rsidRPr="00FF10F2" w:rsidRDefault="00A94AFA" w:rsidP="00BA5B48">
      <w:pPr>
        <w:spacing w:after="120"/>
        <w:ind w:firstLineChars="200" w:firstLine="480"/>
        <w:rPr>
          <w:rFonts w:cstheme="minorHAnsi"/>
          <w:szCs w:val="24"/>
          <w:lang w:eastAsia="zh-CN"/>
        </w:rPr>
      </w:pPr>
      <w:r w:rsidRPr="00A94AFA">
        <w:rPr>
          <w:rFonts w:cstheme="minorHAnsi" w:hint="eastAsia"/>
          <w:szCs w:val="24"/>
          <w:lang w:eastAsia="zh-CN"/>
        </w:rPr>
        <w:t>自</w:t>
      </w:r>
      <w:r w:rsidRPr="00A94AFA">
        <w:rPr>
          <w:rFonts w:cstheme="minorHAnsi" w:hint="eastAsia"/>
          <w:szCs w:val="24"/>
          <w:lang w:eastAsia="zh-CN"/>
        </w:rPr>
        <w:t>1990</w:t>
      </w:r>
      <w:r w:rsidRPr="00A94AFA">
        <w:rPr>
          <w:rFonts w:cstheme="minorHAnsi" w:hint="eastAsia"/>
          <w:szCs w:val="24"/>
          <w:lang w:eastAsia="zh-CN"/>
        </w:rPr>
        <w:t>年代初以来，国际电联的区域代表处</w:t>
      </w:r>
      <w:r w:rsidR="00961EF0" w:rsidRPr="00A94AFA">
        <w:rPr>
          <w:rFonts w:cstheme="minorHAnsi" w:hint="eastAsia"/>
          <w:szCs w:val="24"/>
          <w:lang w:eastAsia="zh-CN"/>
        </w:rPr>
        <w:t>历</w:t>
      </w:r>
      <w:r w:rsidRPr="00A94AFA">
        <w:rPr>
          <w:rFonts w:cstheme="minorHAnsi" w:hint="eastAsia"/>
          <w:szCs w:val="24"/>
          <w:lang w:eastAsia="zh-CN"/>
        </w:rPr>
        <w:t>经了多次审查</w:t>
      </w:r>
      <w:r w:rsidR="00961EF0">
        <w:rPr>
          <w:rFonts w:cstheme="minorHAnsi" w:hint="eastAsia"/>
          <w:szCs w:val="24"/>
          <w:lang w:eastAsia="zh-CN"/>
        </w:rPr>
        <w:t>、</w:t>
      </w:r>
      <w:r w:rsidRPr="00A94AFA">
        <w:rPr>
          <w:rFonts w:cstheme="minorHAnsi" w:hint="eastAsia"/>
          <w:szCs w:val="24"/>
          <w:lang w:eastAsia="zh-CN"/>
        </w:rPr>
        <w:t>改进和</w:t>
      </w:r>
      <w:r w:rsidR="00961EF0">
        <w:rPr>
          <w:rFonts w:cstheme="minorHAnsi" w:hint="eastAsia"/>
          <w:szCs w:val="24"/>
          <w:lang w:eastAsia="zh-CN"/>
        </w:rPr>
        <w:t>改革</w:t>
      </w:r>
      <w:r w:rsidRPr="00A94AFA">
        <w:rPr>
          <w:rFonts w:cstheme="minorHAnsi" w:hint="eastAsia"/>
          <w:szCs w:val="24"/>
          <w:lang w:eastAsia="zh-CN"/>
        </w:rPr>
        <w:t>。尼斯全权代表大会（</w:t>
      </w:r>
      <w:r w:rsidRPr="00A94AFA">
        <w:rPr>
          <w:rFonts w:cstheme="minorHAnsi" w:hint="eastAsia"/>
          <w:szCs w:val="24"/>
          <w:lang w:eastAsia="zh-CN"/>
        </w:rPr>
        <w:t>1989</w:t>
      </w:r>
      <w:r w:rsidRPr="00A94AFA">
        <w:rPr>
          <w:rFonts w:cstheme="minorHAnsi" w:hint="eastAsia"/>
          <w:szCs w:val="24"/>
          <w:lang w:eastAsia="zh-CN"/>
        </w:rPr>
        <w:t>年）要求对国际电联的</w:t>
      </w:r>
      <w:r w:rsidR="00961EF0">
        <w:rPr>
          <w:rFonts w:cstheme="minorHAnsi" w:hint="eastAsia"/>
          <w:szCs w:val="24"/>
          <w:lang w:eastAsia="zh-CN"/>
        </w:rPr>
        <w:t>区域代表处</w:t>
      </w:r>
      <w:r w:rsidRPr="00A94AFA">
        <w:rPr>
          <w:rFonts w:cstheme="minorHAnsi" w:hint="eastAsia"/>
          <w:szCs w:val="24"/>
          <w:lang w:eastAsia="zh-CN"/>
        </w:rPr>
        <w:t>进行首次</w:t>
      </w:r>
      <w:r w:rsidR="00961EF0">
        <w:rPr>
          <w:rFonts w:cstheme="minorHAnsi" w:hint="eastAsia"/>
          <w:szCs w:val="24"/>
          <w:lang w:eastAsia="zh-CN"/>
        </w:rPr>
        <w:t>全面</w:t>
      </w:r>
      <w:r w:rsidRPr="00A94AFA">
        <w:rPr>
          <w:rFonts w:cstheme="minorHAnsi" w:hint="eastAsia"/>
          <w:szCs w:val="24"/>
          <w:lang w:eastAsia="zh-CN"/>
        </w:rPr>
        <w:t>审查，</w:t>
      </w:r>
      <w:r w:rsidR="00961EF0">
        <w:rPr>
          <w:rFonts w:cstheme="minorHAnsi" w:hint="eastAsia"/>
          <w:szCs w:val="24"/>
          <w:lang w:eastAsia="zh-CN"/>
        </w:rPr>
        <w:t>责成</w:t>
      </w:r>
      <w:r w:rsidRPr="00A94AFA">
        <w:rPr>
          <w:rFonts w:cstheme="minorHAnsi" w:hint="eastAsia"/>
          <w:szCs w:val="24"/>
          <w:lang w:eastAsia="zh-CN"/>
        </w:rPr>
        <w:t>秘书长进行研究，以加强国际电联</w:t>
      </w:r>
      <w:r w:rsidR="00961EF0">
        <w:rPr>
          <w:rFonts w:cstheme="minorHAnsi" w:hint="eastAsia"/>
          <w:szCs w:val="24"/>
          <w:lang w:eastAsia="zh-CN"/>
        </w:rPr>
        <w:t>区域代表处</w:t>
      </w:r>
      <w:r w:rsidRPr="00A94AFA">
        <w:rPr>
          <w:rFonts w:cstheme="minorHAnsi" w:hint="eastAsia"/>
          <w:szCs w:val="24"/>
          <w:lang w:eastAsia="zh-CN"/>
        </w:rPr>
        <w:t>并提高其效率。</w:t>
      </w:r>
    </w:p>
    <w:p w14:paraId="1E64E712" w14:textId="4C254094" w:rsidR="00C563FD" w:rsidRPr="00FF10F2" w:rsidRDefault="00A94AFA" w:rsidP="00BA5B48">
      <w:pPr>
        <w:spacing w:after="120"/>
        <w:ind w:firstLineChars="200" w:firstLine="480"/>
        <w:rPr>
          <w:rFonts w:cstheme="minorHAnsi"/>
          <w:szCs w:val="24"/>
          <w:lang w:eastAsia="zh-CN"/>
        </w:rPr>
      </w:pPr>
      <w:r w:rsidRPr="00A94AFA">
        <w:rPr>
          <w:rFonts w:cstheme="minorHAnsi" w:hint="eastAsia"/>
          <w:szCs w:val="24"/>
          <w:lang w:eastAsia="zh-CN"/>
        </w:rPr>
        <w:t>在迪拜举行的</w:t>
      </w:r>
      <w:r w:rsidRPr="00A94AFA">
        <w:rPr>
          <w:rFonts w:cstheme="minorHAnsi" w:hint="eastAsia"/>
          <w:szCs w:val="24"/>
          <w:lang w:eastAsia="zh-CN"/>
        </w:rPr>
        <w:t>2018</w:t>
      </w:r>
      <w:r w:rsidRPr="00A94AFA">
        <w:rPr>
          <w:rFonts w:cstheme="minorHAnsi" w:hint="eastAsia"/>
          <w:szCs w:val="24"/>
          <w:lang w:eastAsia="zh-CN"/>
        </w:rPr>
        <w:t>年全权代表大会上，</w:t>
      </w:r>
      <w:r w:rsidR="00961EF0">
        <w:rPr>
          <w:rFonts w:cstheme="minorHAnsi" w:hint="eastAsia"/>
          <w:szCs w:val="24"/>
          <w:lang w:eastAsia="zh-CN"/>
        </w:rPr>
        <w:t>全面</w:t>
      </w:r>
      <w:r w:rsidRPr="00A94AFA">
        <w:rPr>
          <w:rFonts w:cstheme="minorHAnsi" w:hint="eastAsia"/>
          <w:szCs w:val="24"/>
          <w:lang w:eastAsia="zh-CN"/>
        </w:rPr>
        <w:t>讨论了</w:t>
      </w:r>
      <w:r w:rsidR="00961EF0">
        <w:rPr>
          <w:rFonts w:cstheme="minorHAnsi" w:hint="eastAsia"/>
          <w:szCs w:val="24"/>
          <w:lang w:eastAsia="zh-CN"/>
        </w:rPr>
        <w:t>区域代表处</w:t>
      </w:r>
      <w:r w:rsidRPr="00A94AFA">
        <w:rPr>
          <w:rFonts w:cstheme="minorHAnsi" w:hint="eastAsia"/>
          <w:szCs w:val="24"/>
          <w:lang w:eastAsia="zh-CN"/>
        </w:rPr>
        <w:t>的</w:t>
      </w:r>
      <w:r w:rsidR="00961EF0">
        <w:rPr>
          <w:rFonts w:cstheme="minorHAnsi" w:hint="eastAsia"/>
          <w:szCs w:val="24"/>
          <w:lang w:eastAsia="zh-CN"/>
        </w:rPr>
        <w:t>议题，</w:t>
      </w:r>
      <w:r w:rsidRPr="00A94AFA">
        <w:rPr>
          <w:rFonts w:cstheme="minorHAnsi" w:hint="eastAsia"/>
          <w:szCs w:val="24"/>
          <w:lang w:eastAsia="zh-CN"/>
        </w:rPr>
        <w:t>成员们通过了经修订的</w:t>
      </w:r>
      <w:r w:rsidR="00961EF0">
        <w:rPr>
          <w:rFonts w:cstheme="minorHAnsi" w:hint="eastAsia"/>
          <w:szCs w:val="24"/>
          <w:lang w:eastAsia="zh-CN"/>
        </w:rPr>
        <w:t>第</w:t>
      </w:r>
      <w:r w:rsidRPr="00A94AFA">
        <w:rPr>
          <w:rFonts w:cstheme="minorHAnsi" w:hint="eastAsia"/>
          <w:szCs w:val="24"/>
          <w:lang w:eastAsia="zh-CN"/>
        </w:rPr>
        <w:t>25</w:t>
      </w:r>
      <w:r w:rsidR="00961EF0">
        <w:rPr>
          <w:rFonts w:cstheme="minorHAnsi" w:hint="eastAsia"/>
          <w:szCs w:val="24"/>
          <w:lang w:eastAsia="zh-CN"/>
        </w:rPr>
        <w:t>号</w:t>
      </w:r>
      <w:r w:rsidR="00961EF0" w:rsidRPr="00A94AFA">
        <w:rPr>
          <w:rFonts w:cstheme="minorHAnsi" w:hint="eastAsia"/>
          <w:szCs w:val="24"/>
          <w:lang w:eastAsia="zh-CN"/>
        </w:rPr>
        <w:t>决议</w:t>
      </w:r>
      <w:r w:rsidRPr="00A94AFA">
        <w:rPr>
          <w:rFonts w:cstheme="minorHAnsi" w:hint="eastAsia"/>
          <w:szCs w:val="24"/>
          <w:lang w:eastAsia="zh-CN"/>
        </w:rPr>
        <w:t>（“加强</w:t>
      </w:r>
      <w:r w:rsidR="00961EF0">
        <w:rPr>
          <w:rFonts w:cstheme="minorHAnsi" w:hint="eastAsia"/>
          <w:szCs w:val="24"/>
          <w:lang w:eastAsia="zh-CN"/>
        </w:rPr>
        <w:t>区域代表处</w:t>
      </w:r>
      <w:r w:rsidRPr="00A94AFA">
        <w:rPr>
          <w:rFonts w:cstheme="minorHAnsi" w:hint="eastAsia"/>
          <w:szCs w:val="24"/>
          <w:lang w:eastAsia="zh-CN"/>
        </w:rPr>
        <w:t>”）。</w:t>
      </w:r>
    </w:p>
    <w:p w14:paraId="20016B2B" w14:textId="751F99C8" w:rsidR="00C563FD" w:rsidRPr="00AC5423" w:rsidRDefault="00C563FD" w:rsidP="00BA5B48">
      <w:pPr>
        <w:spacing w:after="120"/>
        <w:ind w:firstLineChars="200" w:firstLine="480"/>
        <w:rPr>
          <w:rFonts w:ascii="Calibri" w:hAnsi="Calibri" w:cs="Calibri"/>
          <w:b/>
          <w:color w:val="800000"/>
          <w:sz w:val="22"/>
          <w:szCs w:val="24"/>
          <w:highlight w:val="cyan"/>
          <w:lang w:eastAsia="zh-CN"/>
        </w:rPr>
      </w:pPr>
      <w:r w:rsidRPr="00C563FD">
        <w:rPr>
          <w:rFonts w:cstheme="minorHAnsi"/>
          <w:szCs w:val="24"/>
          <w:lang w:val="en-US" w:eastAsia="zh-CN"/>
        </w:rPr>
        <w:t>第</w:t>
      </w:r>
      <w:r w:rsidRPr="00C563FD">
        <w:rPr>
          <w:rFonts w:cstheme="minorHAnsi"/>
          <w:szCs w:val="24"/>
          <w:lang w:val="en-US" w:eastAsia="zh-CN"/>
        </w:rPr>
        <w:t>25</w:t>
      </w:r>
      <w:r w:rsidRPr="00C563FD">
        <w:rPr>
          <w:rFonts w:cstheme="minorHAnsi"/>
          <w:szCs w:val="24"/>
          <w:lang w:val="en-US" w:eastAsia="zh-CN"/>
        </w:rPr>
        <w:t>号决议（</w:t>
      </w:r>
      <w:r w:rsidRPr="00C563FD">
        <w:rPr>
          <w:rFonts w:cstheme="minorHAnsi"/>
          <w:szCs w:val="24"/>
          <w:lang w:val="en-US" w:eastAsia="zh-CN"/>
        </w:rPr>
        <w:t>2018</w:t>
      </w:r>
      <w:r w:rsidRPr="00C563FD">
        <w:rPr>
          <w:rFonts w:cstheme="minorHAnsi"/>
          <w:szCs w:val="24"/>
          <w:lang w:val="en-US" w:eastAsia="zh-CN"/>
        </w:rPr>
        <w:t>年，迪拜，修订版</w:t>
      </w:r>
      <w:r w:rsidRPr="00C563FD">
        <w:rPr>
          <w:rFonts w:cstheme="minorHAnsi" w:hint="eastAsia"/>
          <w:szCs w:val="24"/>
          <w:lang w:val="en-US" w:eastAsia="zh-CN"/>
        </w:rPr>
        <w:t>）</w:t>
      </w:r>
      <w:r w:rsidR="001D24A9">
        <w:rPr>
          <w:rFonts w:hint="eastAsia"/>
          <w:lang w:eastAsia="zh-CN"/>
        </w:rPr>
        <w:t>做出决议，</w:t>
      </w:r>
      <w:r w:rsidRPr="00F56B89">
        <w:rPr>
          <w:rFonts w:cstheme="minorHAnsi"/>
          <w:szCs w:val="24"/>
          <w:lang w:val="en-US" w:eastAsia="zh-CN"/>
        </w:rPr>
        <w:t>加强区域代表处的职能，</w:t>
      </w:r>
      <w:r w:rsidR="001D24A9">
        <w:rPr>
          <w:rFonts w:cstheme="minorHAnsi" w:hint="eastAsia"/>
          <w:lang w:eastAsia="zh-CN"/>
        </w:rPr>
        <w:t>责成秘书长对国际电联区域代表处进行一次全面审查</w:t>
      </w:r>
      <w:r w:rsidRPr="00F56B89">
        <w:rPr>
          <w:rFonts w:cstheme="minorHAnsi"/>
          <w:lang w:eastAsia="zh-CN"/>
        </w:rPr>
        <w:t>，并且向</w:t>
      </w:r>
      <w:r w:rsidR="001D24A9" w:rsidRPr="00F56B89">
        <w:rPr>
          <w:rFonts w:cstheme="minorHAnsi"/>
          <w:lang w:eastAsia="zh-CN"/>
        </w:rPr>
        <w:t>2020</w:t>
      </w:r>
      <w:r w:rsidR="001D24A9" w:rsidRPr="00F56B89">
        <w:rPr>
          <w:rFonts w:cstheme="minorHAnsi"/>
          <w:lang w:eastAsia="zh-CN"/>
        </w:rPr>
        <w:t>年</w:t>
      </w:r>
      <w:r w:rsidRPr="00F56B89">
        <w:rPr>
          <w:rFonts w:cstheme="minorHAnsi"/>
          <w:lang w:eastAsia="zh-CN"/>
        </w:rPr>
        <w:t>理事会会议</w:t>
      </w:r>
      <w:r w:rsidR="001D24A9">
        <w:rPr>
          <w:rFonts w:cstheme="minorHAnsi" w:hint="eastAsia"/>
          <w:lang w:eastAsia="zh-CN"/>
        </w:rPr>
        <w:t>进行</w:t>
      </w:r>
      <w:r w:rsidRPr="00F56B89">
        <w:rPr>
          <w:rFonts w:cstheme="minorHAnsi"/>
          <w:lang w:eastAsia="zh-CN"/>
        </w:rPr>
        <w:t>汇报，其中包括建议采取相应措施以确保国际电联区域代表处持续有效且高效地发挥作用</w:t>
      </w:r>
      <w:r w:rsidR="001D24A9">
        <w:rPr>
          <w:rFonts w:cstheme="minorHAnsi"/>
          <w:lang w:eastAsia="zh-CN"/>
        </w:rPr>
        <w:t>。</w:t>
      </w:r>
    </w:p>
    <w:p w14:paraId="71790AFD" w14:textId="6CE122CA" w:rsidR="00C563FD" w:rsidRPr="00FF10F2" w:rsidRDefault="00A94AFA" w:rsidP="00BA5B48">
      <w:pPr>
        <w:spacing w:after="120"/>
        <w:ind w:firstLineChars="200" w:firstLine="480"/>
        <w:rPr>
          <w:rFonts w:cstheme="minorHAnsi"/>
          <w:szCs w:val="24"/>
          <w:lang w:eastAsia="zh-CN"/>
        </w:rPr>
      </w:pPr>
      <w:r w:rsidRPr="00A94AFA">
        <w:rPr>
          <w:rFonts w:cstheme="minorHAnsi" w:hint="eastAsia"/>
          <w:szCs w:val="24"/>
          <w:lang w:eastAsia="zh-CN"/>
        </w:rPr>
        <w:t>理事会在</w:t>
      </w:r>
      <w:r w:rsidRPr="00A94AFA">
        <w:rPr>
          <w:rFonts w:cstheme="minorHAnsi" w:hint="eastAsia"/>
          <w:szCs w:val="24"/>
          <w:lang w:eastAsia="zh-CN"/>
        </w:rPr>
        <w:t>2019</w:t>
      </w:r>
      <w:r w:rsidRPr="00A94AFA">
        <w:rPr>
          <w:rFonts w:cstheme="minorHAnsi" w:hint="eastAsia"/>
          <w:szCs w:val="24"/>
          <w:lang w:eastAsia="zh-CN"/>
        </w:rPr>
        <w:t>年会议上通过了第</w:t>
      </w:r>
      <w:r w:rsidRPr="00A94AFA">
        <w:rPr>
          <w:rFonts w:cstheme="minorHAnsi" w:hint="eastAsia"/>
          <w:szCs w:val="24"/>
          <w:lang w:eastAsia="zh-CN"/>
        </w:rPr>
        <w:t>616</w:t>
      </w:r>
      <w:r w:rsidRPr="00A94AFA">
        <w:rPr>
          <w:rFonts w:cstheme="minorHAnsi" w:hint="eastAsia"/>
          <w:szCs w:val="24"/>
          <w:lang w:eastAsia="zh-CN"/>
        </w:rPr>
        <w:t>号决议，</w:t>
      </w:r>
      <w:r w:rsidR="00961EF0">
        <w:rPr>
          <w:rFonts w:cstheme="minorHAnsi" w:hint="eastAsia"/>
          <w:szCs w:val="24"/>
          <w:lang w:eastAsia="zh-CN"/>
        </w:rPr>
        <w:t>责成</w:t>
      </w:r>
      <w:r w:rsidRPr="00A94AFA">
        <w:rPr>
          <w:rFonts w:cstheme="minorHAnsi" w:hint="eastAsia"/>
          <w:szCs w:val="24"/>
          <w:lang w:eastAsia="zh-CN"/>
        </w:rPr>
        <w:t>秘书长聘请独立的外部管理顾问，</w:t>
      </w:r>
      <w:r w:rsidR="00F55BC2">
        <w:rPr>
          <w:rFonts w:cstheme="minorHAnsi" w:hint="eastAsia"/>
          <w:szCs w:val="24"/>
          <w:lang w:eastAsia="zh-CN"/>
        </w:rPr>
        <w:t>对</w:t>
      </w:r>
      <w:r w:rsidR="00F55BC2" w:rsidRPr="00A94AFA">
        <w:rPr>
          <w:rFonts w:cstheme="minorHAnsi" w:hint="eastAsia"/>
          <w:szCs w:val="24"/>
          <w:lang w:eastAsia="zh-CN"/>
        </w:rPr>
        <w:t>国际电联区域代表</w:t>
      </w:r>
      <w:r w:rsidR="00F55BC2">
        <w:rPr>
          <w:rFonts w:cstheme="minorHAnsi" w:hint="eastAsia"/>
          <w:szCs w:val="24"/>
          <w:lang w:eastAsia="zh-CN"/>
        </w:rPr>
        <w:t>处进行全面的项目、</w:t>
      </w:r>
      <w:r w:rsidRPr="00A94AFA">
        <w:rPr>
          <w:rFonts w:cstheme="minorHAnsi" w:hint="eastAsia"/>
          <w:szCs w:val="24"/>
          <w:lang w:eastAsia="zh-CN"/>
        </w:rPr>
        <w:t>战略</w:t>
      </w:r>
      <w:r w:rsidR="00F55BC2">
        <w:rPr>
          <w:rFonts w:cstheme="minorHAnsi" w:hint="eastAsia"/>
          <w:szCs w:val="24"/>
          <w:lang w:eastAsia="zh-CN"/>
        </w:rPr>
        <w:t>、</w:t>
      </w:r>
      <w:r w:rsidRPr="00A94AFA">
        <w:rPr>
          <w:rFonts w:cstheme="minorHAnsi" w:hint="eastAsia"/>
          <w:szCs w:val="24"/>
          <w:lang w:eastAsia="zh-CN"/>
        </w:rPr>
        <w:t>财务评估</w:t>
      </w:r>
      <w:r w:rsidR="000159F0">
        <w:rPr>
          <w:rFonts w:cstheme="minorHAnsi" w:hint="eastAsia"/>
          <w:szCs w:val="24"/>
          <w:lang w:eastAsia="zh-CN"/>
        </w:rPr>
        <w:t>以及</w:t>
      </w:r>
      <w:r w:rsidRPr="00A94AFA">
        <w:rPr>
          <w:rFonts w:cstheme="minorHAnsi" w:hint="eastAsia"/>
          <w:szCs w:val="24"/>
          <w:lang w:eastAsia="zh-CN"/>
        </w:rPr>
        <w:t>审查。</w:t>
      </w:r>
    </w:p>
    <w:p w14:paraId="4BA778DB" w14:textId="5C7D8BBD" w:rsidR="00C563FD" w:rsidRPr="00BA5B48" w:rsidRDefault="00BA5B48" w:rsidP="00BA5B48">
      <w:pPr>
        <w:pStyle w:val="Heading1"/>
        <w:rPr>
          <w:sz w:val="28"/>
          <w:szCs w:val="28"/>
          <w:lang w:eastAsia="zh-CN"/>
        </w:rPr>
      </w:pPr>
      <w:r>
        <w:rPr>
          <w:rFonts w:hint="eastAsia"/>
          <w:sz w:val="28"/>
          <w:szCs w:val="28"/>
          <w:lang w:eastAsia="zh-CN"/>
        </w:rPr>
        <w:t>2</w:t>
      </w:r>
      <w:r>
        <w:rPr>
          <w:sz w:val="28"/>
          <w:szCs w:val="28"/>
          <w:lang w:eastAsia="zh-CN"/>
        </w:rPr>
        <w:tab/>
      </w:r>
      <w:r w:rsidR="00A94AFA" w:rsidRPr="00BA5B48">
        <w:rPr>
          <w:rFonts w:hint="eastAsia"/>
          <w:sz w:val="28"/>
          <w:szCs w:val="28"/>
          <w:lang w:eastAsia="zh-CN"/>
        </w:rPr>
        <w:t>执行情况</w:t>
      </w:r>
    </w:p>
    <w:p w14:paraId="72D44797" w14:textId="5D403E58" w:rsidR="00C563FD" w:rsidRPr="00FF10F2" w:rsidRDefault="00D56746" w:rsidP="00BA5B48">
      <w:pPr>
        <w:snapToGrid w:val="0"/>
        <w:spacing w:after="120"/>
        <w:ind w:firstLineChars="200" w:firstLine="480"/>
        <w:rPr>
          <w:rFonts w:cstheme="minorHAnsi"/>
          <w:szCs w:val="24"/>
          <w:lang w:eastAsia="zh-CN"/>
        </w:rPr>
      </w:pPr>
      <w:r>
        <w:rPr>
          <w:rFonts w:cstheme="minorHAnsi" w:hint="eastAsia"/>
          <w:szCs w:val="24"/>
          <w:lang w:eastAsia="zh-CN"/>
        </w:rPr>
        <w:t>经过竞</w:t>
      </w:r>
      <w:r w:rsidR="002B746D" w:rsidRPr="002B746D">
        <w:rPr>
          <w:rFonts w:cstheme="minorHAnsi" w:hint="eastAsia"/>
          <w:szCs w:val="24"/>
          <w:lang w:eastAsia="zh-CN"/>
        </w:rPr>
        <w:t>标程序，</w:t>
      </w:r>
      <w:r w:rsidR="000159F0" w:rsidRPr="000159F0">
        <w:rPr>
          <w:rFonts w:cstheme="minorHAnsi" w:hint="eastAsia"/>
          <w:szCs w:val="24"/>
          <w:lang w:eastAsia="zh-CN"/>
        </w:rPr>
        <w:t>普华永道公司</w:t>
      </w:r>
      <w:r w:rsidR="002B746D" w:rsidRPr="002B746D">
        <w:rPr>
          <w:rFonts w:cstheme="minorHAnsi" w:hint="eastAsia"/>
          <w:szCs w:val="24"/>
          <w:lang w:eastAsia="zh-CN"/>
        </w:rPr>
        <w:t>（“普华永道”）被任命进行此项审查。</w:t>
      </w:r>
      <w:r w:rsidRPr="002B746D">
        <w:rPr>
          <w:rFonts w:cstheme="minorHAnsi" w:hint="eastAsia"/>
          <w:szCs w:val="24"/>
          <w:lang w:eastAsia="zh-CN"/>
        </w:rPr>
        <w:t>在电信发展局主任的领导下</w:t>
      </w:r>
      <w:r>
        <w:rPr>
          <w:rFonts w:cstheme="minorHAnsi" w:hint="eastAsia"/>
          <w:szCs w:val="24"/>
          <w:lang w:eastAsia="zh-CN"/>
        </w:rPr>
        <w:t>，</w:t>
      </w:r>
      <w:r w:rsidR="002B746D" w:rsidRPr="002B746D">
        <w:rPr>
          <w:rFonts w:cstheme="minorHAnsi" w:hint="eastAsia"/>
          <w:szCs w:val="24"/>
          <w:lang w:eastAsia="zh-CN"/>
        </w:rPr>
        <w:t>该项目于</w:t>
      </w:r>
      <w:r w:rsidR="002B746D" w:rsidRPr="002B746D">
        <w:rPr>
          <w:rFonts w:cstheme="minorHAnsi" w:hint="eastAsia"/>
          <w:szCs w:val="24"/>
          <w:lang w:eastAsia="zh-CN"/>
        </w:rPr>
        <w:t>2019</w:t>
      </w:r>
      <w:r w:rsidR="002B746D" w:rsidRPr="002B746D">
        <w:rPr>
          <w:rFonts w:cstheme="minorHAnsi" w:hint="eastAsia"/>
          <w:szCs w:val="24"/>
          <w:lang w:eastAsia="zh-CN"/>
        </w:rPr>
        <w:t>年</w:t>
      </w:r>
      <w:r w:rsidR="002B746D" w:rsidRPr="002B746D">
        <w:rPr>
          <w:rFonts w:cstheme="minorHAnsi" w:hint="eastAsia"/>
          <w:szCs w:val="24"/>
          <w:lang w:eastAsia="zh-CN"/>
        </w:rPr>
        <w:t>11</w:t>
      </w:r>
      <w:r w:rsidR="002B746D" w:rsidRPr="002B746D">
        <w:rPr>
          <w:rFonts w:cstheme="minorHAnsi" w:hint="eastAsia"/>
          <w:szCs w:val="24"/>
          <w:lang w:eastAsia="zh-CN"/>
        </w:rPr>
        <w:t>月</w:t>
      </w:r>
      <w:r w:rsidR="002B746D" w:rsidRPr="002B746D">
        <w:rPr>
          <w:rFonts w:cstheme="minorHAnsi" w:hint="eastAsia"/>
          <w:szCs w:val="24"/>
          <w:lang w:eastAsia="zh-CN"/>
        </w:rPr>
        <w:t>4</w:t>
      </w:r>
      <w:r w:rsidR="002B746D" w:rsidRPr="002B746D">
        <w:rPr>
          <w:rFonts w:cstheme="minorHAnsi" w:hint="eastAsia"/>
          <w:szCs w:val="24"/>
          <w:lang w:eastAsia="zh-CN"/>
        </w:rPr>
        <w:t>日启动，</w:t>
      </w:r>
      <w:r>
        <w:rPr>
          <w:rFonts w:cstheme="minorHAnsi" w:hint="eastAsia"/>
          <w:szCs w:val="24"/>
          <w:lang w:eastAsia="zh-CN"/>
        </w:rPr>
        <w:t>在</w:t>
      </w:r>
      <w:r w:rsidR="002B746D" w:rsidRPr="002B746D">
        <w:rPr>
          <w:rFonts w:cstheme="minorHAnsi" w:hint="eastAsia"/>
          <w:szCs w:val="24"/>
          <w:lang w:eastAsia="zh-CN"/>
        </w:rPr>
        <w:t>与区域</w:t>
      </w:r>
      <w:r>
        <w:rPr>
          <w:rFonts w:cstheme="minorHAnsi" w:hint="eastAsia"/>
          <w:szCs w:val="24"/>
          <w:lang w:eastAsia="zh-CN"/>
        </w:rPr>
        <w:t>代表处</w:t>
      </w:r>
      <w:r w:rsidR="002B746D" w:rsidRPr="002B746D">
        <w:rPr>
          <w:rFonts w:cstheme="minorHAnsi" w:hint="eastAsia"/>
          <w:szCs w:val="24"/>
          <w:lang w:eastAsia="zh-CN"/>
        </w:rPr>
        <w:t>和国际电联其他相关部门</w:t>
      </w:r>
      <w:r w:rsidR="002B746D" w:rsidRPr="002B746D">
        <w:rPr>
          <w:rFonts w:cstheme="minorHAnsi" w:hint="eastAsia"/>
          <w:szCs w:val="24"/>
          <w:lang w:eastAsia="zh-CN"/>
        </w:rPr>
        <w:t>/</w:t>
      </w:r>
      <w:r>
        <w:rPr>
          <w:rFonts w:cstheme="minorHAnsi" w:hint="eastAsia"/>
          <w:szCs w:val="24"/>
          <w:lang w:eastAsia="zh-CN"/>
        </w:rPr>
        <w:t>局的</w:t>
      </w:r>
      <w:r w:rsidR="002B746D" w:rsidRPr="002B746D">
        <w:rPr>
          <w:rFonts w:cstheme="minorHAnsi" w:hint="eastAsia"/>
          <w:szCs w:val="24"/>
          <w:lang w:eastAsia="zh-CN"/>
        </w:rPr>
        <w:t>密切合作</w:t>
      </w:r>
      <w:r>
        <w:rPr>
          <w:rFonts w:cstheme="minorHAnsi" w:hint="eastAsia"/>
          <w:szCs w:val="24"/>
          <w:lang w:eastAsia="zh-CN"/>
        </w:rPr>
        <w:t>下，目前正</w:t>
      </w:r>
      <w:r w:rsidRPr="002B746D">
        <w:rPr>
          <w:rFonts w:cstheme="minorHAnsi" w:hint="eastAsia"/>
          <w:szCs w:val="24"/>
          <w:lang w:eastAsia="zh-CN"/>
        </w:rPr>
        <w:t>在</w:t>
      </w:r>
      <w:r>
        <w:rPr>
          <w:rFonts w:cstheme="minorHAnsi" w:hint="eastAsia"/>
          <w:szCs w:val="24"/>
          <w:lang w:eastAsia="zh-CN"/>
        </w:rPr>
        <w:t>执行</w:t>
      </w:r>
      <w:r w:rsidR="002B746D" w:rsidRPr="002B746D">
        <w:rPr>
          <w:rFonts w:cstheme="minorHAnsi" w:hint="eastAsia"/>
          <w:szCs w:val="24"/>
          <w:lang w:eastAsia="zh-CN"/>
        </w:rPr>
        <w:t>。</w:t>
      </w:r>
    </w:p>
    <w:p w14:paraId="54CB6A7C" w14:textId="3A691D5B" w:rsidR="00C563FD" w:rsidRPr="00FF10F2" w:rsidRDefault="002B746D" w:rsidP="00BA5B48">
      <w:pPr>
        <w:snapToGrid w:val="0"/>
        <w:spacing w:after="120"/>
        <w:ind w:firstLineChars="200" w:firstLine="480"/>
        <w:rPr>
          <w:rFonts w:cstheme="minorHAnsi"/>
          <w:szCs w:val="24"/>
          <w:lang w:eastAsia="zh-CN"/>
        </w:rPr>
      </w:pPr>
      <w:r w:rsidRPr="002B746D">
        <w:rPr>
          <w:rFonts w:cstheme="minorHAnsi" w:hint="eastAsia"/>
          <w:szCs w:val="24"/>
          <w:lang w:eastAsia="zh-CN"/>
        </w:rPr>
        <w:t>项目</w:t>
      </w:r>
      <w:r w:rsidR="00860FBB" w:rsidRPr="002B746D">
        <w:rPr>
          <w:rFonts w:cstheme="minorHAnsi" w:hint="eastAsia"/>
          <w:szCs w:val="24"/>
          <w:lang w:eastAsia="zh-CN"/>
        </w:rPr>
        <w:t>主要</w:t>
      </w:r>
      <w:r w:rsidR="00860FBB">
        <w:rPr>
          <w:rFonts w:cstheme="minorHAnsi" w:hint="eastAsia"/>
          <w:szCs w:val="24"/>
          <w:lang w:eastAsia="zh-CN"/>
        </w:rPr>
        <w:t>的实际</w:t>
      </w:r>
      <w:r w:rsidRPr="002B746D">
        <w:rPr>
          <w:rFonts w:cstheme="minorHAnsi" w:hint="eastAsia"/>
          <w:szCs w:val="24"/>
          <w:lang w:eastAsia="zh-CN"/>
        </w:rPr>
        <w:t>成果可总结如下</w:t>
      </w:r>
      <w:r w:rsidR="00C563FD" w:rsidRPr="00BA197E">
        <w:rPr>
          <w:rStyle w:val="FootnoteReference"/>
          <w:rFonts w:cstheme="minorHAnsi"/>
          <w:szCs w:val="24"/>
        </w:rPr>
        <w:footnoteReference w:id="1"/>
      </w:r>
      <w:r w:rsidR="00860FBB">
        <w:rPr>
          <w:rFonts w:cstheme="minorHAnsi" w:hint="eastAsia"/>
          <w:szCs w:val="24"/>
          <w:lang w:eastAsia="zh-CN"/>
        </w:rPr>
        <w:t>：</w:t>
      </w:r>
    </w:p>
    <w:p w14:paraId="1AC0EFFD" w14:textId="0E79544B" w:rsidR="00C563FD" w:rsidRPr="00FF10F2" w:rsidRDefault="00BA5B48" w:rsidP="00BA5B48">
      <w:pPr>
        <w:pStyle w:val="enumlev1"/>
        <w:rPr>
          <w:lang w:eastAsia="zh-CN"/>
        </w:rPr>
      </w:pPr>
      <w:r w:rsidRPr="00BA5B48">
        <w:rPr>
          <w:rFonts w:cs="Calibri"/>
          <w:lang w:val="en-US" w:eastAsia="zh-CN"/>
        </w:rPr>
        <w:t>–</w:t>
      </w:r>
      <w:r>
        <w:rPr>
          <w:rFonts w:cs="Calibri"/>
          <w:lang w:val="en-US" w:eastAsia="zh-CN"/>
        </w:rPr>
        <w:tab/>
      </w:r>
      <w:r w:rsidR="00ED2991" w:rsidRPr="00ED742F">
        <w:rPr>
          <w:rFonts w:cs="Calibri" w:hint="eastAsia"/>
          <w:lang w:val="en-US" w:eastAsia="zh-CN"/>
        </w:rPr>
        <w:t>概</w:t>
      </w:r>
      <w:r w:rsidR="00ED2991">
        <w:rPr>
          <w:rFonts w:cs="Calibri" w:hint="eastAsia"/>
          <w:lang w:val="en-US" w:eastAsia="zh-CN"/>
        </w:rPr>
        <w:t>要描述</w:t>
      </w:r>
      <w:r w:rsidR="00ED2991" w:rsidRPr="00ED742F">
        <w:rPr>
          <w:rFonts w:cs="Calibri" w:hint="eastAsia"/>
          <w:lang w:val="en-US" w:eastAsia="zh-CN"/>
        </w:rPr>
        <w:t>区域代表处</w:t>
      </w:r>
      <w:r w:rsidR="002B746D" w:rsidRPr="002B746D">
        <w:rPr>
          <w:rFonts w:hint="eastAsia"/>
          <w:lang w:eastAsia="zh-CN"/>
        </w:rPr>
        <w:t>的</w:t>
      </w:r>
      <w:r w:rsidR="00ED2991">
        <w:rPr>
          <w:rFonts w:cs="Calibri" w:hint="eastAsia"/>
          <w:lang w:val="en-US" w:eastAsia="zh-CN"/>
        </w:rPr>
        <w:t>现行</w:t>
      </w:r>
      <w:r w:rsidR="002B746D" w:rsidRPr="002B746D">
        <w:rPr>
          <w:rFonts w:hint="eastAsia"/>
          <w:lang w:eastAsia="zh-CN"/>
        </w:rPr>
        <w:t>结构，包括程序和绩效指标；</w:t>
      </w:r>
    </w:p>
    <w:p w14:paraId="76C387B0" w14:textId="1CC1AEE2" w:rsidR="00C563FD" w:rsidRPr="00FF10F2" w:rsidRDefault="00BA5B48" w:rsidP="00BA5B48">
      <w:pPr>
        <w:pStyle w:val="enumlev1"/>
        <w:rPr>
          <w:lang w:eastAsia="zh-CN"/>
        </w:rPr>
      </w:pPr>
      <w:r w:rsidRPr="00BA5B48">
        <w:rPr>
          <w:rFonts w:cs="Calibri"/>
          <w:lang w:val="en-US" w:eastAsia="zh-CN"/>
        </w:rPr>
        <w:t>–</w:t>
      </w:r>
      <w:r>
        <w:rPr>
          <w:rFonts w:cs="Calibri"/>
          <w:lang w:val="en-US" w:eastAsia="zh-CN"/>
        </w:rPr>
        <w:tab/>
      </w:r>
      <w:r w:rsidR="002B746D" w:rsidRPr="002B746D">
        <w:rPr>
          <w:rFonts w:hint="eastAsia"/>
          <w:lang w:eastAsia="zh-CN"/>
        </w:rPr>
        <w:t>确定效率</w:t>
      </w:r>
      <w:r w:rsidR="002B746D" w:rsidRPr="002B746D">
        <w:rPr>
          <w:rFonts w:hint="eastAsia"/>
          <w:lang w:eastAsia="zh-CN"/>
        </w:rPr>
        <w:t>/</w:t>
      </w:r>
      <w:r w:rsidR="00ED2991">
        <w:rPr>
          <w:rFonts w:hint="eastAsia"/>
          <w:lang w:eastAsia="zh-CN"/>
        </w:rPr>
        <w:t>绩效</w:t>
      </w:r>
      <w:r w:rsidR="002B746D" w:rsidRPr="002B746D">
        <w:rPr>
          <w:rFonts w:hint="eastAsia"/>
          <w:lang w:eastAsia="zh-CN"/>
        </w:rPr>
        <w:t>参数；</w:t>
      </w:r>
    </w:p>
    <w:p w14:paraId="46394F6B" w14:textId="4D5EC721" w:rsidR="00C563FD" w:rsidRDefault="00BA5B48" w:rsidP="00BA5B48">
      <w:pPr>
        <w:pStyle w:val="enumlev1"/>
        <w:rPr>
          <w:lang w:eastAsia="zh-CN"/>
        </w:rPr>
      </w:pPr>
      <w:r w:rsidRPr="00BA5B48">
        <w:rPr>
          <w:rFonts w:cs="Calibri"/>
          <w:lang w:val="en-US" w:eastAsia="zh-CN"/>
        </w:rPr>
        <w:t>–</w:t>
      </w:r>
      <w:r>
        <w:rPr>
          <w:rFonts w:cs="Calibri"/>
          <w:lang w:val="en-US" w:eastAsia="zh-CN"/>
        </w:rPr>
        <w:tab/>
      </w:r>
      <w:r w:rsidR="002B746D" w:rsidRPr="002B746D">
        <w:rPr>
          <w:rFonts w:hint="eastAsia"/>
          <w:lang w:eastAsia="zh-CN"/>
        </w:rPr>
        <w:t>确定区域代表</w:t>
      </w:r>
      <w:r w:rsidR="001C3811">
        <w:rPr>
          <w:rFonts w:hint="eastAsia"/>
          <w:lang w:eastAsia="zh-CN"/>
        </w:rPr>
        <w:t>处</w:t>
      </w:r>
      <w:r w:rsidR="002B746D" w:rsidRPr="002B746D">
        <w:rPr>
          <w:rFonts w:hint="eastAsia"/>
          <w:lang w:eastAsia="zh-CN"/>
        </w:rPr>
        <w:t>所需结构的概况，</w:t>
      </w:r>
      <w:r w:rsidR="002B746D" w:rsidRPr="0081197A">
        <w:rPr>
          <w:rFonts w:hint="eastAsia"/>
          <w:lang w:eastAsia="zh-CN"/>
        </w:rPr>
        <w:t>确定</w:t>
      </w:r>
      <w:r w:rsidR="001C3811" w:rsidRPr="0081197A">
        <w:rPr>
          <w:rFonts w:cs="Calibri" w:hint="eastAsia"/>
          <w:lang w:val="en-US" w:eastAsia="zh-CN"/>
        </w:rPr>
        <w:t>组织战略方向的管理目标以及实现这些目标所需的员工技能</w:t>
      </w:r>
      <w:r w:rsidR="002B746D" w:rsidRPr="0081197A">
        <w:rPr>
          <w:rFonts w:hint="eastAsia"/>
          <w:lang w:eastAsia="zh-CN"/>
        </w:rPr>
        <w:t>；</w:t>
      </w:r>
    </w:p>
    <w:p w14:paraId="1FA885AE" w14:textId="480A0B37" w:rsidR="00C563FD" w:rsidRPr="00CC2EA7" w:rsidRDefault="00BA5B48" w:rsidP="00BA5B48">
      <w:pPr>
        <w:pStyle w:val="enumlev1"/>
        <w:rPr>
          <w:lang w:eastAsia="zh-CN"/>
        </w:rPr>
      </w:pPr>
      <w:r w:rsidRPr="00BA5B48">
        <w:rPr>
          <w:rFonts w:cs="Calibri"/>
          <w:lang w:val="en-US" w:eastAsia="zh-CN"/>
        </w:rPr>
        <w:t>–</w:t>
      </w:r>
      <w:r>
        <w:rPr>
          <w:rFonts w:cs="Calibri"/>
          <w:lang w:val="en-US" w:eastAsia="zh-CN"/>
        </w:rPr>
        <w:tab/>
      </w:r>
      <w:r w:rsidR="0081197A" w:rsidRPr="0081197A">
        <w:rPr>
          <w:rFonts w:cs="Calibri" w:hint="eastAsia"/>
          <w:lang w:val="en-US" w:eastAsia="zh-CN"/>
        </w:rPr>
        <w:t>制定改革行动计划，以落实外部审计员、内部审计员和独立管理顾问委员会（</w:t>
      </w:r>
      <w:r w:rsidR="0081197A" w:rsidRPr="0081197A">
        <w:rPr>
          <w:rFonts w:cs="Calibri" w:hint="eastAsia"/>
          <w:lang w:val="en-US" w:eastAsia="zh-CN"/>
        </w:rPr>
        <w:t>IMAC</w:t>
      </w:r>
      <w:r w:rsidR="0081197A" w:rsidRPr="0081197A">
        <w:rPr>
          <w:rFonts w:cs="Calibri" w:hint="eastAsia"/>
          <w:lang w:val="en-US" w:eastAsia="zh-CN"/>
        </w:rPr>
        <w:t>）提出的各项相关建议</w:t>
      </w:r>
      <w:r w:rsidR="0081197A">
        <w:rPr>
          <w:rFonts w:cs="Calibri" w:hint="eastAsia"/>
          <w:lang w:val="en-US" w:eastAsia="zh-CN"/>
        </w:rPr>
        <w:t>。</w:t>
      </w:r>
    </w:p>
    <w:p w14:paraId="1F1D1478" w14:textId="76226628" w:rsidR="00C563FD" w:rsidRPr="00FF10F2" w:rsidRDefault="001C3C23" w:rsidP="00BA5B48">
      <w:pPr>
        <w:spacing w:after="120"/>
        <w:ind w:firstLineChars="200" w:firstLine="480"/>
        <w:rPr>
          <w:rFonts w:cstheme="minorHAnsi"/>
          <w:szCs w:val="24"/>
          <w:lang w:eastAsia="zh-CN"/>
        </w:rPr>
      </w:pPr>
      <w:r>
        <w:rPr>
          <w:rFonts w:hint="eastAsia"/>
          <w:lang w:eastAsia="zh-CN"/>
        </w:rPr>
        <w:t>项目开始时，先经过了数据</w:t>
      </w:r>
      <w:r w:rsidR="002B746D" w:rsidRPr="002B746D">
        <w:rPr>
          <w:rFonts w:cstheme="minorHAnsi" w:hint="eastAsia"/>
          <w:szCs w:val="24"/>
          <w:lang w:eastAsia="zh-CN"/>
        </w:rPr>
        <w:t>收集阶段和对当前</w:t>
      </w:r>
      <w:r>
        <w:rPr>
          <w:rFonts w:cstheme="minorHAnsi" w:hint="eastAsia"/>
          <w:szCs w:val="24"/>
          <w:lang w:eastAsia="zh-CN"/>
        </w:rPr>
        <w:t>实际工作</w:t>
      </w:r>
      <w:r w:rsidR="002B746D" w:rsidRPr="002B746D">
        <w:rPr>
          <w:rFonts w:cstheme="minorHAnsi" w:hint="eastAsia"/>
          <w:szCs w:val="24"/>
          <w:lang w:eastAsia="zh-CN"/>
        </w:rPr>
        <w:t>的全面评估，现已进入设计阶段，正在为国际电联区域代表处</w:t>
      </w:r>
      <w:r>
        <w:rPr>
          <w:rFonts w:cstheme="minorHAnsi" w:hint="eastAsia"/>
          <w:szCs w:val="24"/>
          <w:lang w:eastAsia="zh-CN"/>
        </w:rPr>
        <w:t>制定和评估可能的新选项</w:t>
      </w:r>
      <w:r w:rsidR="002B746D" w:rsidRPr="002B746D">
        <w:rPr>
          <w:rFonts w:cstheme="minorHAnsi" w:hint="eastAsia"/>
          <w:szCs w:val="24"/>
          <w:lang w:eastAsia="zh-CN"/>
        </w:rPr>
        <w:t>。项目的第三个也是最后一个阶段将集中于</w:t>
      </w:r>
      <w:r w:rsidRPr="002B746D">
        <w:rPr>
          <w:rFonts w:cstheme="minorHAnsi" w:hint="eastAsia"/>
          <w:szCs w:val="24"/>
          <w:lang w:eastAsia="zh-CN"/>
        </w:rPr>
        <w:t>准备路线图</w:t>
      </w:r>
      <w:r>
        <w:rPr>
          <w:rFonts w:cstheme="minorHAnsi" w:hint="eastAsia"/>
          <w:szCs w:val="24"/>
          <w:lang w:eastAsia="zh-CN"/>
        </w:rPr>
        <w:t>以</w:t>
      </w:r>
      <w:r w:rsidR="002B746D" w:rsidRPr="002B746D">
        <w:rPr>
          <w:rFonts w:cstheme="minorHAnsi" w:hint="eastAsia"/>
          <w:szCs w:val="24"/>
          <w:lang w:eastAsia="zh-CN"/>
        </w:rPr>
        <w:t>实施拟议的新</w:t>
      </w:r>
      <w:r>
        <w:rPr>
          <w:rFonts w:cstheme="minorHAnsi" w:hint="eastAsia"/>
          <w:szCs w:val="24"/>
          <w:lang w:eastAsia="zh-CN"/>
        </w:rPr>
        <w:t>模式</w:t>
      </w:r>
      <w:r w:rsidR="002B746D" w:rsidRPr="002B746D">
        <w:rPr>
          <w:rFonts w:cstheme="minorHAnsi" w:hint="eastAsia"/>
          <w:szCs w:val="24"/>
          <w:lang w:eastAsia="zh-CN"/>
        </w:rPr>
        <w:t>。</w:t>
      </w:r>
    </w:p>
    <w:p w14:paraId="39A6F22C" w14:textId="61C1A987" w:rsidR="00C563FD" w:rsidRPr="00FF10F2" w:rsidRDefault="005F4E47" w:rsidP="00BA5B48">
      <w:pPr>
        <w:spacing w:after="120"/>
        <w:ind w:firstLineChars="200" w:firstLine="480"/>
        <w:rPr>
          <w:rFonts w:cstheme="minorHAnsi"/>
          <w:szCs w:val="24"/>
          <w:lang w:eastAsia="zh-CN"/>
        </w:rPr>
      </w:pPr>
      <w:r>
        <w:rPr>
          <w:rFonts w:cstheme="minorHAnsi" w:hint="eastAsia"/>
          <w:szCs w:val="24"/>
          <w:lang w:eastAsia="zh-CN"/>
        </w:rPr>
        <w:t>为了这个</w:t>
      </w:r>
      <w:r w:rsidR="002B746D" w:rsidRPr="002B746D">
        <w:rPr>
          <w:rFonts w:cstheme="minorHAnsi" w:hint="eastAsia"/>
          <w:szCs w:val="24"/>
          <w:lang w:eastAsia="zh-CN"/>
        </w:rPr>
        <w:t>项目，普华永道迄今已审查和分析了</w:t>
      </w:r>
      <w:r w:rsidR="002B746D" w:rsidRPr="002B746D">
        <w:rPr>
          <w:rFonts w:cstheme="minorHAnsi" w:hint="eastAsia"/>
          <w:szCs w:val="24"/>
          <w:lang w:eastAsia="zh-CN"/>
        </w:rPr>
        <w:t>100</w:t>
      </w:r>
      <w:r>
        <w:rPr>
          <w:rFonts w:cstheme="minorHAnsi" w:hint="eastAsia"/>
          <w:szCs w:val="24"/>
          <w:lang w:eastAsia="zh-CN"/>
        </w:rPr>
        <w:t>多份</w:t>
      </w:r>
      <w:r w:rsidR="002B746D" w:rsidRPr="002B746D">
        <w:rPr>
          <w:rFonts w:cstheme="minorHAnsi" w:hint="eastAsia"/>
          <w:szCs w:val="24"/>
          <w:lang w:eastAsia="zh-CN"/>
        </w:rPr>
        <w:t>文件，</w:t>
      </w:r>
      <w:r>
        <w:rPr>
          <w:rFonts w:cstheme="minorHAnsi" w:hint="eastAsia"/>
          <w:szCs w:val="24"/>
          <w:lang w:eastAsia="zh-CN"/>
        </w:rPr>
        <w:t>访谈了</w:t>
      </w:r>
      <w:r w:rsidR="002B746D" w:rsidRPr="002B746D">
        <w:rPr>
          <w:rFonts w:cstheme="minorHAnsi" w:hint="eastAsia"/>
          <w:szCs w:val="24"/>
          <w:lang w:eastAsia="zh-CN"/>
        </w:rPr>
        <w:t>100</w:t>
      </w:r>
      <w:r w:rsidR="002B746D" w:rsidRPr="002B746D">
        <w:rPr>
          <w:rFonts w:cstheme="minorHAnsi" w:hint="eastAsia"/>
          <w:szCs w:val="24"/>
          <w:lang w:eastAsia="zh-CN"/>
        </w:rPr>
        <w:t>多个内部和外部利益相关者，通过在线</w:t>
      </w:r>
      <w:r w:rsidR="00396EC1">
        <w:rPr>
          <w:rFonts w:cstheme="minorHAnsi" w:hint="eastAsia"/>
          <w:szCs w:val="24"/>
          <w:lang w:eastAsia="zh-CN"/>
        </w:rPr>
        <w:t>调查</w:t>
      </w:r>
      <w:r w:rsidR="002B746D" w:rsidRPr="002B746D">
        <w:rPr>
          <w:rFonts w:cstheme="minorHAnsi" w:hint="eastAsia"/>
          <w:szCs w:val="24"/>
          <w:lang w:eastAsia="zh-CN"/>
        </w:rPr>
        <w:t>问卷收集了成员的意见，并组织了各种信息</w:t>
      </w:r>
      <w:r>
        <w:rPr>
          <w:rFonts w:cstheme="minorHAnsi" w:hint="eastAsia"/>
          <w:szCs w:val="24"/>
          <w:lang w:eastAsia="zh-CN"/>
        </w:rPr>
        <w:t>交流</w:t>
      </w:r>
      <w:r w:rsidR="002B746D" w:rsidRPr="002B746D">
        <w:rPr>
          <w:rFonts w:cstheme="minorHAnsi" w:hint="eastAsia"/>
          <w:szCs w:val="24"/>
          <w:lang w:eastAsia="zh-CN"/>
        </w:rPr>
        <w:t>会议和成员会议，</w:t>
      </w:r>
      <w:r>
        <w:rPr>
          <w:rFonts w:cstheme="minorHAnsi" w:hint="eastAsia"/>
          <w:szCs w:val="24"/>
          <w:lang w:eastAsia="zh-CN"/>
        </w:rPr>
        <w:t>其中</w:t>
      </w:r>
      <w:r w:rsidR="002B746D" w:rsidRPr="002B746D">
        <w:rPr>
          <w:rFonts w:cstheme="minorHAnsi" w:hint="eastAsia"/>
          <w:szCs w:val="24"/>
          <w:lang w:eastAsia="zh-CN"/>
        </w:rPr>
        <w:t>包括</w:t>
      </w:r>
      <w:r w:rsidR="002B746D" w:rsidRPr="002B746D">
        <w:rPr>
          <w:rFonts w:cstheme="minorHAnsi" w:hint="eastAsia"/>
          <w:szCs w:val="24"/>
          <w:lang w:eastAsia="zh-CN"/>
        </w:rPr>
        <w:t>2020</w:t>
      </w:r>
      <w:r w:rsidR="002B746D" w:rsidRPr="002B746D">
        <w:rPr>
          <w:rFonts w:cstheme="minorHAnsi" w:hint="eastAsia"/>
          <w:szCs w:val="24"/>
          <w:lang w:eastAsia="zh-CN"/>
        </w:rPr>
        <w:t>年</w:t>
      </w:r>
      <w:r w:rsidR="002B746D" w:rsidRPr="002B746D">
        <w:rPr>
          <w:rFonts w:cstheme="minorHAnsi" w:hint="eastAsia"/>
          <w:szCs w:val="24"/>
          <w:lang w:eastAsia="zh-CN"/>
        </w:rPr>
        <w:t>2</w:t>
      </w:r>
      <w:r w:rsidR="002B746D" w:rsidRPr="002B746D">
        <w:rPr>
          <w:rFonts w:cstheme="minorHAnsi" w:hint="eastAsia"/>
          <w:szCs w:val="24"/>
          <w:lang w:eastAsia="zh-CN"/>
        </w:rPr>
        <w:t>月的</w:t>
      </w:r>
      <w:r>
        <w:rPr>
          <w:rFonts w:cstheme="minorHAnsi" w:hint="eastAsia"/>
          <w:szCs w:val="24"/>
          <w:lang w:eastAsia="zh-CN"/>
        </w:rPr>
        <w:t>理事会工作组（</w:t>
      </w:r>
      <w:r w:rsidR="002B746D" w:rsidRPr="002B746D">
        <w:rPr>
          <w:rFonts w:cstheme="minorHAnsi" w:hint="eastAsia"/>
          <w:szCs w:val="24"/>
          <w:lang w:eastAsia="zh-CN"/>
        </w:rPr>
        <w:t>CWG</w:t>
      </w:r>
      <w:r>
        <w:rPr>
          <w:rFonts w:cstheme="minorHAnsi" w:hint="eastAsia"/>
          <w:szCs w:val="24"/>
          <w:lang w:eastAsia="zh-CN"/>
        </w:rPr>
        <w:t>）</w:t>
      </w:r>
      <w:r w:rsidR="002B746D" w:rsidRPr="002B746D">
        <w:rPr>
          <w:rFonts w:cstheme="minorHAnsi" w:hint="eastAsia"/>
          <w:szCs w:val="24"/>
          <w:lang w:eastAsia="zh-CN"/>
        </w:rPr>
        <w:t>会议。</w:t>
      </w:r>
    </w:p>
    <w:p w14:paraId="54A54CC3" w14:textId="2DEF2B02" w:rsidR="00C563FD" w:rsidRPr="00BA5B48" w:rsidRDefault="00BA5B48" w:rsidP="00BA5B48">
      <w:pPr>
        <w:pStyle w:val="Heading1"/>
        <w:rPr>
          <w:sz w:val="28"/>
          <w:szCs w:val="28"/>
          <w:lang w:eastAsia="zh-CN"/>
        </w:rPr>
      </w:pPr>
      <w:r>
        <w:rPr>
          <w:rFonts w:hint="eastAsia"/>
          <w:sz w:val="28"/>
          <w:szCs w:val="28"/>
          <w:lang w:eastAsia="zh-CN"/>
        </w:rPr>
        <w:t>3</w:t>
      </w:r>
      <w:r>
        <w:rPr>
          <w:sz w:val="28"/>
          <w:szCs w:val="28"/>
          <w:lang w:eastAsia="zh-CN"/>
        </w:rPr>
        <w:tab/>
      </w:r>
      <w:r w:rsidR="002B746D" w:rsidRPr="00BA5B48">
        <w:rPr>
          <w:rFonts w:hint="eastAsia"/>
          <w:sz w:val="28"/>
          <w:szCs w:val="28"/>
          <w:lang w:eastAsia="zh-CN"/>
        </w:rPr>
        <w:t>结论</w:t>
      </w:r>
    </w:p>
    <w:p w14:paraId="647EB951" w14:textId="439F2A76" w:rsidR="00C563FD" w:rsidRPr="00FF10F2" w:rsidRDefault="002B746D" w:rsidP="00BA5B48">
      <w:pPr>
        <w:spacing w:after="120"/>
        <w:ind w:firstLineChars="200" w:firstLine="480"/>
        <w:rPr>
          <w:rFonts w:cstheme="minorHAnsi"/>
          <w:szCs w:val="24"/>
          <w:lang w:eastAsia="zh-CN"/>
        </w:rPr>
      </w:pPr>
      <w:r w:rsidRPr="002B746D">
        <w:rPr>
          <w:rFonts w:cstheme="minorHAnsi" w:hint="eastAsia"/>
          <w:szCs w:val="24"/>
          <w:lang w:eastAsia="zh-CN"/>
        </w:rPr>
        <w:t>该项目正在按计划进行，</w:t>
      </w:r>
      <w:r w:rsidR="00396EC1" w:rsidRPr="002B746D">
        <w:rPr>
          <w:rFonts w:cstheme="minorHAnsi" w:hint="eastAsia"/>
          <w:szCs w:val="24"/>
          <w:lang w:eastAsia="zh-CN"/>
        </w:rPr>
        <w:t>按照第</w:t>
      </w:r>
      <w:r w:rsidR="00396EC1" w:rsidRPr="002B746D">
        <w:rPr>
          <w:rFonts w:cstheme="minorHAnsi" w:hint="eastAsia"/>
          <w:szCs w:val="24"/>
          <w:lang w:eastAsia="zh-CN"/>
        </w:rPr>
        <w:t>25</w:t>
      </w:r>
      <w:r w:rsidR="00396EC1" w:rsidRPr="002B746D">
        <w:rPr>
          <w:rFonts w:cstheme="minorHAnsi" w:hint="eastAsia"/>
          <w:szCs w:val="24"/>
          <w:lang w:eastAsia="zh-CN"/>
        </w:rPr>
        <w:t>号决议（</w:t>
      </w:r>
      <w:r w:rsidR="00396EC1" w:rsidRPr="002B746D">
        <w:rPr>
          <w:rFonts w:cstheme="minorHAnsi" w:hint="eastAsia"/>
          <w:szCs w:val="24"/>
          <w:lang w:eastAsia="zh-CN"/>
        </w:rPr>
        <w:t>2018</w:t>
      </w:r>
      <w:r w:rsidR="00396EC1" w:rsidRPr="002B746D">
        <w:rPr>
          <w:rFonts w:cstheme="minorHAnsi" w:hint="eastAsia"/>
          <w:szCs w:val="24"/>
          <w:lang w:eastAsia="zh-CN"/>
        </w:rPr>
        <w:t>年</w:t>
      </w:r>
      <w:r w:rsidR="00396EC1">
        <w:rPr>
          <w:rFonts w:cstheme="minorHAnsi" w:hint="eastAsia"/>
          <w:szCs w:val="24"/>
          <w:lang w:eastAsia="zh-CN"/>
        </w:rPr>
        <w:t>，迪拜，修订版</w:t>
      </w:r>
      <w:r w:rsidR="00396EC1" w:rsidRPr="002B746D">
        <w:rPr>
          <w:rFonts w:cstheme="minorHAnsi" w:hint="eastAsia"/>
          <w:szCs w:val="24"/>
          <w:lang w:eastAsia="zh-CN"/>
        </w:rPr>
        <w:t>）</w:t>
      </w:r>
      <w:r w:rsidR="000B280C">
        <w:rPr>
          <w:rFonts w:cstheme="minorHAnsi" w:hint="eastAsia"/>
          <w:szCs w:val="24"/>
          <w:lang w:eastAsia="zh-CN"/>
        </w:rPr>
        <w:t>的要求，</w:t>
      </w:r>
      <w:r w:rsidRPr="002B746D">
        <w:rPr>
          <w:rFonts w:cstheme="minorHAnsi" w:hint="eastAsia"/>
          <w:szCs w:val="24"/>
          <w:lang w:eastAsia="zh-CN"/>
        </w:rPr>
        <w:t>普华永道</w:t>
      </w:r>
      <w:r w:rsidR="000B280C">
        <w:rPr>
          <w:rFonts w:cstheme="minorHAnsi" w:hint="eastAsia"/>
          <w:szCs w:val="24"/>
          <w:lang w:eastAsia="zh-CN"/>
        </w:rPr>
        <w:t>将向</w:t>
      </w:r>
      <w:r w:rsidR="000B280C">
        <w:rPr>
          <w:rFonts w:cstheme="minorHAnsi" w:hint="eastAsia"/>
          <w:szCs w:val="24"/>
          <w:lang w:eastAsia="zh-CN"/>
        </w:rPr>
        <w:t>2020</w:t>
      </w:r>
      <w:r w:rsidR="000B280C">
        <w:rPr>
          <w:rFonts w:cstheme="minorHAnsi" w:hint="eastAsia"/>
          <w:szCs w:val="24"/>
          <w:lang w:eastAsia="zh-CN"/>
        </w:rPr>
        <w:t>年理事会会议提交</w:t>
      </w:r>
      <w:r w:rsidRPr="002B746D">
        <w:rPr>
          <w:rFonts w:cstheme="minorHAnsi" w:hint="eastAsia"/>
          <w:szCs w:val="24"/>
          <w:lang w:eastAsia="zh-CN"/>
        </w:rPr>
        <w:t>报告。</w:t>
      </w:r>
    </w:p>
    <w:p w14:paraId="6C984884" w14:textId="33173046" w:rsidR="00C563FD" w:rsidRPr="002B746D" w:rsidRDefault="002B746D" w:rsidP="00BA5B48">
      <w:pPr>
        <w:pStyle w:val="Default"/>
        <w:spacing w:before="120" w:after="120"/>
        <w:ind w:firstLineChars="200" w:firstLine="480"/>
        <w:rPr>
          <w:rFonts w:asciiTheme="minorEastAsia" w:eastAsiaTheme="minorEastAsia" w:hAnsiTheme="minorEastAsia" w:cstheme="minorHAnsi"/>
          <w:color w:val="auto"/>
          <w:lang w:val="en-GB" w:eastAsia="zh-CN"/>
        </w:rPr>
      </w:pPr>
      <w:r w:rsidRPr="002B746D">
        <w:rPr>
          <w:rFonts w:asciiTheme="minorEastAsia" w:eastAsiaTheme="minorEastAsia" w:hAnsiTheme="minorEastAsia" w:cs="Microsoft YaHei" w:hint="eastAsia"/>
          <w:color w:val="auto"/>
          <w:lang w:val="en-GB" w:eastAsia="zh-CN"/>
        </w:rPr>
        <w:t>普华永道将</w:t>
      </w:r>
      <w:r w:rsidR="002638DB">
        <w:rPr>
          <w:rFonts w:asciiTheme="minorEastAsia" w:eastAsiaTheme="minorEastAsia" w:hAnsiTheme="minorEastAsia" w:cs="Microsoft YaHei" w:hint="eastAsia"/>
          <w:color w:val="auto"/>
          <w:lang w:val="en-GB" w:eastAsia="zh-CN"/>
        </w:rPr>
        <w:t>向</w:t>
      </w:r>
      <w:r w:rsidR="002638DB" w:rsidRPr="00FF10F2">
        <w:rPr>
          <w:rFonts w:asciiTheme="minorHAnsi" w:hAnsiTheme="minorHAnsi" w:cstheme="minorHAnsi"/>
          <w:color w:val="auto"/>
          <w:lang w:val="en-GB" w:eastAsia="zh-CN"/>
        </w:rPr>
        <w:t>TDAG</w:t>
      </w:r>
      <w:r w:rsidR="002638DB">
        <w:rPr>
          <w:rFonts w:asciiTheme="minorEastAsia" w:eastAsiaTheme="minorEastAsia" w:hAnsiTheme="minorEastAsia" w:cstheme="minorHAnsi" w:hint="eastAsia"/>
          <w:color w:val="auto"/>
          <w:lang w:val="en-GB" w:eastAsia="zh-CN"/>
        </w:rPr>
        <w:t>进行</w:t>
      </w:r>
      <w:r w:rsidRPr="002B746D">
        <w:rPr>
          <w:rFonts w:asciiTheme="minorEastAsia" w:eastAsiaTheme="minorEastAsia" w:hAnsiTheme="minorEastAsia" w:cs="Microsoft YaHei" w:hint="eastAsia"/>
          <w:color w:val="auto"/>
          <w:lang w:val="en-GB" w:eastAsia="zh-CN"/>
        </w:rPr>
        <w:t>口头</w:t>
      </w:r>
      <w:r w:rsidR="002638DB">
        <w:rPr>
          <w:rFonts w:asciiTheme="minorEastAsia" w:eastAsiaTheme="minorEastAsia" w:hAnsiTheme="minorEastAsia" w:cs="Microsoft YaHei" w:hint="eastAsia"/>
          <w:color w:val="auto"/>
          <w:lang w:val="en-GB" w:eastAsia="zh-CN"/>
        </w:rPr>
        <w:t>情况汇报</w:t>
      </w:r>
      <w:r w:rsidRPr="002B746D">
        <w:rPr>
          <w:rFonts w:asciiTheme="minorEastAsia" w:eastAsiaTheme="minorEastAsia" w:hAnsiTheme="minorEastAsia" w:cs="Microsoft YaHei" w:hint="eastAsia"/>
          <w:color w:val="auto"/>
          <w:lang w:val="en-GB" w:eastAsia="zh-CN"/>
        </w:rPr>
        <w:t>。</w:t>
      </w:r>
    </w:p>
    <w:p w14:paraId="78AFED84" w14:textId="77777777" w:rsidR="00C563FD" w:rsidRPr="00FF10F2" w:rsidRDefault="00C563FD" w:rsidP="00C563FD">
      <w:pPr>
        <w:pStyle w:val="Default"/>
        <w:spacing w:before="120" w:after="120"/>
        <w:rPr>
          <w:rFonts w:asciiTheme="minorHAnsi" w:hAnsiTheme="minorHAnsi" w:cstheme="minorHAnsi"/>
          <w:lang w:eastAsia="zh-CN"/>
        </w:rPr>
      </w:pPr>
    </w:p>
    <w:p w14:paraId="3BFF7708" w14:textId="1037C9B5" w:rsidR="003C58BF" w:rsidRPr="00175C4C" w:rsidRDefault="00175C4C" w:rsidP="00C563FD">
      <w:pPr>
        <w:jc w:val="center"/>
        <w:rPr>
          <w:lang w:eastAsia="zh-CN"/>
        </w:rPr>
      </w:pPr>
      <w:r>
        <w:rPr>
          <w:lang w:eastAsia="zh-CN"/>
        </w:rPr>
        <w:t>______________</w:t>
      </w:r>
    </w:p>
    <w:sectPr w:rsidR="003C58BF" w:rsidRPr="00175C4C" w:rsidSect="00CC4B75">
      <w:headerReference w:type="default" r:id="rId11"/>
      <w:footerReference w:type="default" r:id="rId12"/>
      <w:footerReference w:type="first" r:id="rId13"/>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61CB" w14:textId="77777777" w:rsidR="00B66097" w:rsidRDefault="00B66097">
      <w:r>
        <w:separator/>
      </w:r>
    </w:p>
  </w:endnote>
  <w:endnote w:type="continuationSeparator" w:id="0">
    <w:p w14:paraId="7E0CEEB6" w14:textId="77777777" w:rsidR="00B66097" w:rsidRDefault="00B6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0C65" w14:textId="489A0E25" w:rsidR="00721657" w:rsidRPr="009D5E2D" w:rsidRDefault="00D6485C" w:rsidP="00C563FD">
    <w:pPr>
      <w:pStyle w:val="Footer"/>
      <w:rPr>
        <w:lang w:val="fr-CH"/>
      </w:rPr>
    </w:pPr>
    <w:r>
      <w:fldChar w:fldCharType="begin"/>
    </w:r>
    <w:r w:rsidRPr="009D5E2D">
      <w:rPr>
        <w:lang w:val="fr-CH"/>
      </w:rPr>
      <w:instrText xml:space="preserve"> FILENAME \p  \* MERGEFORMAT </w:instrText>
    </w:r>
    <w:r>
      <w:fldChar w:fldCharType="separate"/>
    </w:r>
    <w:r w:rsidR="009D5E2D" w:rsidRPr="009D5E2D">
      <w:rPr>
        <w:lang w:val="fr-CH"/>
      </w:rPr>
      <w:t>P:\CHI\ITU-D\CONF-D\TDAG20\000\025C.docx</w:t>
    </w:r>
    <w:r>
      <w:fldChar w:fldCharType="end"/>
    </w:r>
    <w:r w:rsidR="00C563FD" w:rsidRPr="009D5E2D">
      <w:rPr>
        <w:lang w:val="fr-CH"/>
      </w:rPr>
      <w:t xml:space="preserve"> (467653)</w:t>
    </w:r>
    <w:r w:rsidR="00C62DE8" w:rsidRPr="009D5E2D">
      <w:rPr>
        <w:lang w:val="fr-CH"/>
      </w:rPr>
      <w:tab/>
    </w:r>
    <w:r w:rsidR="00721657" w:rsidRPr="009D5E2D">
      <w:rPr>
        <w:lang w:val="fr-CH"/>
      </w:rPr>
      <w:tab/>
    </w:r>
    <w:r w:rsidR="00915C8E" w:rsidRPr="009D5E2D">
      <w:rPr>
        <w:lang w:val="fr-CH"/>
      </w:rPr>
      <w:t>0</w:t>
    </w:r>
    <w:r w:rsidR="00F93D2E" w:rsidRPr="009D5E2D">
      <w:rPr>
        <w:lang w:val="fr-CH"/>
      </w:rPr>
      <w:t>5</w:t>
    </w:r>
    <w:r w:rsidR="00777265" w:rsidRPr="009D5E2D">
      <w:rPr>
        <w:lang w:val="fr-CH"/>
      </w:rPr>
      <w:t>.</w:t>
    </w:r>
    <w:r w:rsidR="00915C8E" w:rsidRPr="009D5E2D">
      <w:rPr>
        <w:lang w:val="fr-CH"/>
      </w:rPr>
      <w:t>1</w:t>
    </w:r>
    <w:r w:rsidR="00717FED" w:rsidRPr="009D5E2D">
      <w:rPr>
        <w:lang w:val="fr-CH"/>
      </w:rPr>
      <w:t>0</w:t>
    </w:r>
    <w:r w:rsidR="00777265" w:rsidRPr="009D5E2D">
      <w:rPr>
        <w:lang w:val="fr-CH"/>
      </w:rPr>
      <w:t>.201</w:t>
    </w:r>
    <w:r w:rsidR="00915C8E" w:rsidRPr="009D5E2D">
      <w:rPr>
        <w:lang w:val="fr-CH"/>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175C4C" w:rsidRPr="004D495C" w14:paraId="29C3D2ED" w14:textId="77777777" w:rsidTr="00940EE4">
      <w:tc>
        <w:tcPr>
          <w:tcW w:w="1526" w:type="dxa"/>
          <w:tcBorders>
            <w:top w:val="single" w:sz="4" w:space="0" w:color="000000"/>
          </w:tcBorders>
          <w:shd w:val="clear" w:color="auto" w:fill="auto"/>
        </w:tcPr>
        <w:p w14:paraId="6020B176" w14:textId="77777777" w:rsidR="00175C4C" w:rsidRPr="004D495C" w:rsidRDefault="00175C4C" w:rsidP="00175C4C">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14:paraId="6144F57A" w14:textId="77777777" w:rsidR="00175C4C" w:rsidRPr="004D495C" w:rsidRDefault="00175C4C" w:rsidP="00175C4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14:paraId="2D8A3299" w14:textId="37C02047" w:rsidR="00175C4C" w:rsidRPr="005455CE" w:rsidRDefault="00C563FD" w:rsidP="00175C4C">
          <w:pPr>
            <w:pStyle w:val="FirstFooter"/>
            <w:tabs>
              <w:tab w:val="left" w:pos="2302"/>
            </w:tabs>
            <w:ind w:left="2302" w:hanging="2302"/>
            <w:rPr>
              <w:sz w:val="18"/>
              <w:szCs w:val="18"/>
              <w:lang w:val="en-US"/>
            </w:rPr>
          </w:pPr>
          <w:r w:rsidRPr="00C563FD">
            <w:rPr>
              <w:sz w:val="18"/>
              <w:szCs w:val="18"/>
              <w:lang w:val="en-US"/>
            </w:rPr>
            <w:t>[TBC]</w:t>
          </w:r>
        </w:p>
      </w:tc>
    </w:tr>
    <w:tr w:rsidR="00175C4C" w:rsidRPr="004D495C" w14:paraId="093874B1" w14:textId="77777777" w:rsidTr="00940EE4">
      <w:tc>
        <w:tcPr>
          <w:tcW w:w="1526" w:type="dxa"/>
          <w:shd w:val="clear" w:color="auto" w:fill="auto"/>
        </w:tcPr>
        <w:p w14:paraId="587FA28A" w14:textId="77777777"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14:paraId="338B7D2C" w14:textId="77777777"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shd w:val="clear" w:color="auto" w:fill="auto"/>
        </w:tcPr>
        <w:p w14:paraId="094DD030" w14:textId="77777777" w:rsidR="00175C4C" w:rsidRPr="005455CE" w:rsidRDefault="00175C4C" w:rsidP="00175C4C">
          <w:pPr>
            <w:pStyle w:val="FirstFooter"/>
            <w:tabs>
              <w:tab w:val="left" w:pos="2302"/>
            </w:tabs>
            <w:rPr>
              <w:sz w:val="18"/>
              <w:szCs w:val="18"/>
              <w:lang w:val="en-US"/>
            </w:rPr>
          </w:pPr>
          <w:bookmarkStart w:id="11" w:name="PhoneNo"/>
          <w:bookmarkEnd w:id="11"/>
        </w:p>
      </w:tc>
    </w:tr>
    <w:tr w:rsidR="00175C4C" w:rsidRPr="004D495C" w14:paraId="4CD361A1" w14:textId="77777777" w:rsidTr="00940EE4">
      <w:tc>
        <w:tcPr>
          <w:tcW w:w="1526" w:type="dxa"/>
          <w:shd w:val="clear" w:color="auto" w:fill="auto"/>
        </w:tcPr>
        <w:p w14:paraId="55E16711" w14:textId="77777777" w:rsidR="00175C4C" w:rsidRPr="004D495C" w:rsidRDefault="00175C4C" w:rsidP="00175C4C">
          <w:pPr>
            <w:pStyle w:val="FirstFooter"/>
            <w:tabs>
              <w:tab w:val="left" w:pos="1559"/>
              <w:tab w:val="left" w:pos="3828"/>
            </w:tabs>
            <w:rPr>
              <w:sz w:val="20"/>
              <w:lang w:val="en-US"/>
            </w:rPr>
          </w:pPr>
        </w:p>
      </w:tc>
      <w:tc>
        <w:tcPr>
          <w:tcW w:w="2410" w:type="dxa"/>
          <w:shd w:val="clear" w:color="auto" w:fill="auto"/>
        </w:tcPr>
        <w:p w14:paraId="433BDCEE" w14:textId="77777777" w:rsidR="00175C4C" w:rsidRPr="004D495C" w:rsidRDefault="00175C4C" w:rsidP="00175C4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14:paraId="6A97638F" w14:textId="77777777" w:rsidR="00175C4C" w:rsidRPr="005455CE" w:rsidRDefault="00175C4C" w:rsidP="00175C4C">
          <w:pPr>
            <w:pStyle w:val="FirstFooter"/>
            <w:tabs>
              <w:tab w:val="left" w:pos="2302"/>
            </w:tabs>
            <w:rPr>
              <w:sz w:val="18"/>
              <w:szCs w:val="18"/>
              <w:lang w:val="en-US"/>
            </w:rPr>
          </w:pPr>
          <w:bookmarkStart w:id="12" w:name="Email"/>
          <w:bookmarkEnd w:id="12"/>
        </w:p>
      </w:tc>
    </w:tr>
  </w:tbl>
  <w:p w14:paraId="645540EB" w14:textId="77777777" w:rsidR="00175C4C" w:rsidRDefault="00175C4C" w:rsidP="00175C4C">
    <w:pPr>
      <w:pStyle w:val="Footer"/>
      <w:jc w:val="center"/>
    </w:pPr>
  </w:p>
  <w:p w14:paraId="35A852A2" w14:textId="77777777" w:rsidR="00175C4C" w:rsidRPr="0059420B" w:rsidRDefault="00906A8D" w:rsidP="00175C4C">
    <w:pPr>
      <w:pStyle w:val="Footer"/>
      <w:jc w:val="center"/>
    </w:pPr>
    <w:hyperlink r:id="rId1" w:history="1">
      <w:r w:rsidR="00175C4C">
        <w:rPr>
          <w:rStyle w:val="Hyperlink"/>
          <w:caps w:val="0"/>
          <w:noProof w:val="0"/>
          <w:sz w:val="18"/>
          <w:szCs w:val="18"/>
          <w:lang w:val="en-US"/>
        </w:rPr>
        <w:t>TDAG</w:t>
      </w:r>
    </w:hyperlink>
  </w:p>
  <w:p w14:paraId="1576F3D6" w14:textId="77777777" w:rsidR="003A5AFE" w:rsidRPr="00175C4C" w:rsidRDefault="003A5AFE" w:rsidP="00175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6E162" w14:textId="77777777" w:rsidR="00B66097" w:rsidRDefault="00B66097">
      <w:r>
        <w:t>____________________</w:t>
      </w:r>
    </w:p>
  </w:footnote>
  <w:footnote w:type="continuationSeparator" w:id="0">
    <w:p w14:paraId="54A2ED8F" w14:textId="77777777" w:rsidR="00B66097" w:rsidRDefault="00B66097">
      <w:r>
        <w:continuationSeparator/>
      </w:r>
    </w:p>
  </w:footnote>
  <w:footnote w:id="1">
    <w:p w14:paraId="2922E5F8" w14:textId="753FDD66" w:rsidR="00C563FD" w:rsidRPr="004B23F5" w:rsidRDefault="00C563FD" w:rsidP="008C2D47">
      <w:pPr>
        <w:pStyle w:val="FootnoteText"/>
        <w:rPr>
          <w:sz w:val="20"/>
          <w:szCs w:val="18"/>
          <w:lang w:eastAsia="zh-CN"/>
        </w:rPr>
      </w:pPr>
      <w:r w:rsidRPr="00FF627C">
        <w:rPr>
          <w:rStyle w:val="FootnoteReference"/>
          <w:szCs w:val="18"/>
        </w:rPr>
        <w:footnoteRef/>
      </w:r>
      <w:r w:rsidRPr="00FF627C">
        <w:rPr>
          <w:sz w:val="18"/>
          <w:szCs w:val="18"/>
          <w:lang w:eastAsia="zh-CN"/>
        </w:rPr>
        <w:t xml:space="preserve"> </w:t>
      </w:r>
      <w:r w:rsidR="008C2D47">
        <w:rPr>
          <w:rFonts w:hint="eastAsia"/>
          <w:sz w:val="20"/>
          <w:szCs w:val="18"/>
          <w:lang w:eastAsia="zh-CN"/>
        </w:rPr>
        <w:t>完整的实际</w:t>
      </w:r>
      <w:r w:rsidR="002B746D" w:rsidRPr="002B746D">
        <w:rPr>
          <w:rFonts w:hint="eastAsia"/>
          <w:sz w:val="20"/>
          <w:szCs w:val="18"/>
          <w:lang w:eastAsia="zh-CN"/>
        </w:rPr>
        <w:t>成果清单</w:t>
      </w:r>
      <w:r w:rsidR="008C2D47">
        <w:rPr>
          <w:rFonts w:hint="eastAsia"/>
          <w:sz w:val="20"/>
          <w:szCs w:val="18"/>
          <w:lang w:eastAsia="zh-CN"/>
        </w:rPr>
        <w:t>参见</w:t>
      </w:r>
      <w:r w:rsidR="002B746D" w:rsidRPr="002B746D">
        <w:rPr>
          <w:rFonts w:hint="eastAsia"/>
          <w:sz w:val="20"/>
          <w:szCs w:val="18"/>
          <w:lang w:eastAsia="zh-CN"/>
        </w:rPr>
        <w:t>理事会第</w:t>
      </w:r>
      <w:r w:rsidR="002B746D" w:rsidRPr="002B746D">
        <w:rPr>
          <w:rFonts w:hint="eastAsia"/>
          <w:sz w:val="20"/>
          <w:szCs w:val="18"/>
          <w:lang w:eastAsia="zh-CN"/>
        </w:rPr>
        <w:t>616</w:t>
      </w:r>
      <w:r w:rsidR="002B746D" w:rsidRPr="002B746D">
        <w:rPr>
          <w:rFonts w:hint="eastAsia"/>
          <w:sz w:val="20"/>
          <w:szCs w:val="18"/>
          <w:lang w:eastAsia="zh-CN"/>
        </w:rPr>
        <w:t>号决定的附件</w:t>
      </w:r>
      <w:r w:rsidR="008C2D47">
        <w:rPr>
          <w:rFonts w:hint="eastAsia"/>
          <w:sz w:val="20"/>
          <w:szCs w:val="18"/>
          <w:lang w:eastAsia="zh-CN"/>
        </w:rPr>
        <w:t>1</w:t>
      </w:r>
      <w:r w:rsidR="008C2D47">
        <w:rPr>
          <w:rFonts w:hint="eastAsia"/>
          <w:sz w:val="20"/>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B9D0" w14:textId="5739759D" w:rsidR="00721657" w:rsidRPr="00C563FD" w:rsidRDefault="00175C4C" w:rsidP="00C563FD">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22"/>
        <w:szCs w:val="18"/>
        <w:lang w:val="es-ES_tradnl"/>
      </w:rPr>
    </w:pPr>
    <w:r w:rsidRPr="00B52914">
      <w:rPr>
        <w:rFonts w:ascii="Calibri" w:eastAsia="SimSun" w:hAnsi="Calibri"/>
        <w:sz w:val="22"/>
        <w:szCs w:val="18"/>
      </w:rPr>
      <w:tab/>
    </w:r>
    <w:r w:rsidRPr="00B52914">
      <w:rPr>
        <w:rFonts w:ascii="Calibri" w:eastAsia="SimSun" w:hAnsi="Calibri"/>
        <w:sz w:val="22"/>
        <w:szCs w:val="18"/>
        <w:lang w:val="es-ES_tradnl"/>
      </w:rPr>
      <w:t>TDAG-</w:t>
    </w:r>
    <w:r w:rsidR="005245E7">
      <w:rPr>
        <w:rFonts w:ascii="Calibri" w:eastAsia="SimSun" w:hAnsi="Calibri"/>
        <w:sz w:val="22"/>
        <w:szCs w:val="18"/>
        <w:lang w:val="es-ES_tradnl"/>
      </w:rPr>
      <w:t>20</w:t>
    </w:r>
    <w:r w:rsidRPr="00B52914">
      <w:rPr>
        <w:rFonts w:ascii="Calibri" w:eastAsia="SimSun" w:hAnsi="Calibri"/>
        <w:sz w:val="22"/>
        <w:szCs w:val="18"/>
        <w:lang w:val="es-ES_tradnl"/>
      </w:rPr>
      <w:t>/</w:t>
    </w:r>
    <w:bookmarkStart w:id="10" w:name="DocNo2"/>
    <w:bookmarkEnd w:id="10"/>
    <w:r w:rsidR="00C563FD">
      <w:rPr>
        <w:rFonts w:ascii="Calibri" w:eastAsia="SimSun" w:hAnsi="Calibri"/>
        <w:sz w:val="22"/>
        <w:szCs w:val="18"/>
        <w:lang w:val="es-ES_tradnl"/>
      </w:rPr>
      <w:t>25</w:t>
    </w:r>
    <w:r w:rsidRPr="00B52914">
      <w:rPr>
        <w:rFonts w:ascii="Calibri" w:eastAsia="SimSun" w:hAnsi="Calibri"/>
        <w:sz w:val="22"/>
        <w:szCs w:val="18"/>
        <w:lang w:val="es-ES_tradnl"/>
      </w:rPr>
      <w:t>-C</w:t>
    </w:r>
    <w:r w:rsidRPr="00B52914">
      <w:rPr>
        <w:rFonts w:ascii="Calibri" w:eastAsia="SimSun" w:hAnsi="Calibri"/>
        <w:sz w:val="22"/>
        <w:szCs w:val="18"/>
        <w:lang w:val="es-ES_tradnl"/>
      </w:rPr>
      <w:tab/>
    </w:r>
    <w:r w:rsidRPr="00B52914">
      <w:rPr>
        <w:rFonts w:ascii="Calibri" w:eastAsia="SimSun" w:hAnsi="Calibri"/>
        <w:sz w:val="22"/>
        <w:szCs w:val="18"/>
      </w:rPr>
      <w:fldChar w:fldCharType="begin"/>
    </w:r>
    <w:r w:rsidRPr="00B52914">
      <w:rPr>
        <w:rFonts w:ascii="Calibri" w:eastAsia="SimSun" w:hAnsi="Calibri"/>
        <w:sz w:val="22"/>
        <w:szCs w:val="18"/>
        <w:lang w:val="es-ES_tradnl"/>
      </w:rPr>
      <w:instrText xml:space="preserve"> PAGE </w:instrText>
    </w:r>
    <w:r w:rsidRPr="00B52914">
      <w:rPr>
        <w:rFonts w:ascii="Calibri" w:eastAsia="SimSun" w:hAnsi="Calibri"/>
        <w:sz w:val="22"/>
        <w:szCs w:val="18"/>
      </w:rPr>
      <w:fldChar w:fldCharType="separate"/>
    </w:r>
    <w:r w:rsidR="00CF730D">
      <w:rPr>
        <w:rFonts w:ascii="Calibri" w:eastAsia="SimSun" w:hAnsi="Calibri"/>
        <w:noProof/>
        <w:sz w:val="22"/>
        <w:szCs w:val="18"/>
        <w:lang w:val="es-ES_tradnl"/>
      </w:rPr>
      <w:t>2</w:t>
    </w:r>
    <w:r w:rsidRPr="00B52914">
      <w:rPr>
        <w:rFonts w:ascii="Calibri" w:eastAsia="SimSun" w:hAnsi="Calibri"/>
        <w:sz w:val="22"/>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5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5C017E"/>
    <w:multiLevelType w:val="hybridMultilevel"/>
    <w:tmpl w:val="DDDCF06A"/>
    <w:lvl w:ilvl="0" w:tplc="B80E9A42">
      <w:start w:val="1"/>
      <w:numFmt w:val="bullet"/>
      <w:lvlText w:val=""/>
      <w:lvlJc w:val="left"/>
      <w:pPr>
        <w:tabs>
          <w:tab w:val="num" w:pos="360"/>
        </w:tabs>
        <w:ind w:left="360" w:hanging="360"/>
      </w:pPr>
      <w:rPr>
        <w:rFonts w:ascii="Symbol" w:hAnsi="Symbol" w:hint="default"/>
      </w:rPr>
    </w:lvl>
    <w:lvl w:ilvl="1" w:tplc="E8023860">
      <w:numFmt w:val="bullet"/>
      <w:lvlText w:val="•"/>
      <w:lvlJc w:val="left"/>
      <w:pPr>
        <w:tabs>
          <w:tab w:val="num" w:pos="1080"/>
        </w:tabs>
        <w:ind w:left="1080" w:hanging="360"/>
      </w:pPr>
      <w:rPr>
        <w:rFonts w:ascii="Arial" w:hAnsi="Arial" w:cs="Times New Roman" w:hint="default"/>
      </w:rPr>
    </w:lvl>
    <w:lvl w:ilvl="2" w:tplc="2E1C713E">
      <w:start w:val="1"/>
      <w:numFmt w:val="bullet"/>
      <w:lvlText w:val="•"/>
      <w:lvlJc w:val="left"/>
      <w:pPr>
        <w:tabs>
          <w:tab w:val="num" w:pos="1800"/>
        </w:tabs>
        <w:ind w:left="1800" w:hanging="360"/>
      </w:pPr>
      <w:rPr>
        <w:rFonts w:ascii="Arial" w:hAnsi="Arial" w:cs="Times New Roman" w:hint="default"/>
      </w:rPr>
    </w:lvl>
    <w:lvl w:ilvl="3" w:tplc="E0B4064C">
      <w:start w:val="1"/>
      <w:numFmt w:val="bullet"/>
      <w:lvlText w:val="•"/>
      <w:lvlJc w:val="left"/>
      <w:pPr>
        <w:tabs>
          <w:tab w:val="num" w:pos="2520"/>
        </w:tabs>
        <w:ind w:left="2520" w:hanging="360"/>
      </w:pPr>
      <w:rPr>
        <w:rFonts w:ascii="Arial" w:hAnsi="Arial" w:cs="Times New Roman" w:hint="default"/>
      </w:rPr>
    </w:lvl>
    <w:lvl w:ilvl="4" w:tplc="FDDEEE8C">
      <w:start w:val="1"/>
      <w:numFmt w:val="bullet"/>
      <w:lvlText w:val="•"/>
      <w:lvlJc w:val="left"/>
      <w:pPr>
        <w:tabs>
          <w:tab w:val="num" w:pos="3240"/>
        </w:tabs>
        <w:ind w:left="3240" w:hanging="360"/>
      </w:pPr>
      <w:rPr>
        <w:rFonts w:ascii="Arial" w:hAnsi="Arial" w:cs="Times New Roman" w:hint="default"/>
      </w:rPr>
    </w:lvl>
    <w:lvl w:ilvl="5" w:tplc="11AC47DE">
      <w:start w:val="1"/>
      <w:numFmt w:val="bullet"/>
      <w:lvlText w:val="•"/>
      <w:lvlJc w:val="left"/>
      <w:pPr>
        <w:tabs>
          <w:tab w:val="num" w:pos="3960"/>
        </w:tabs>
        <w:ind w:left="3960" w:hanging="360"/>
      </w:pPr>
      <w:rPr>
        <w:rFonts w:ascii="Arial" w:hAnsi="Arial" w:cs="Times New Roman" w:hint="default"/>
      </w:rPr>
    </w:lvl>
    <w:lvl w:ilvl="6" w:tplc="5DAE2E70">
      <w:start w:val="1"/>
      <w:numFmt w:val="bullet"/>
      <w:lvlText w:val="•"/>
      <w:lvlJc w:val="left"/>
      <w:pPr>
        <w:tabs>
          <w:tab w:val="num" w:pos="4680"/>
        </w:tabs>
        <w:ind w:left="4680" w:hanging="360"/>
      </w:pPr>
      <w:rPr>
        <w:rFonts w:ascii="Arial" w:hAnsi="Arial" w:cs="Times New Roman" w:hint="default"/>
      </w:rPr>
    </w:lvl>
    <w:lvl w:ilvl="7" w:tplc="0B98023A">
      <w:start w:val="1"/>
      <w:numFmt w:val="bullet"/>
      <w:lvlText w:val="•"/>
      <w:lvlJc w:val="left"/>
      <w:pPr>
        <w:tabs>
          <w:tab w:val="num" w:pos="5400"/>
        </w:tabs>
        <w:ind w:left="5400" w:hanging="360"/>
      </w:pPr>
      <w:rPr>
        <w:rFonts w:ascii="Arial" w:hAnsi="Arial" w:cs="Times New Roman" w:hint="default"/>
      </w:rPr>
    </w:lvl>
    <w:lvl w:ilvl="8" w:tplc="CCF8F130">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97"/>
    <w:rsid w:val="00002716"/>
    <w:rsid w:val="00005791"/>
    <w:rsid w:val="000159F0"/>
    <w:rsid w:val="0002520B"/>
    <w:rsid w:val="00037A9E"/>
    <w:rsid w:val="00037F91"/>
    <w:rsid w:val="000539F1"/>
    <w:rsid w:val="00055A2A"/>
    <w:rsid w:val="000615C1"/>
    <w:rsid w:val="0009225C"/>
    <w:rsid w:val="000A17C4"/>
    <w:rsid w:val="000A346A"/>
    <w:rsid w:val="000B2352"/>
    <w:rsid w:val="000B280C"/>
    <w:rsid w:val="000C7B84"/>
    <w:rsid w:val="000D261B"/>
    <w:rsid w:val="000D58A3"/>
    <w:rsid w:val="000E3ED4"/>
    <w:rsid w:val="000E4FFA"/>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3811"/>
    <w:rsid w:val="001C3C23"/>
    <w:rsid w:val="001C4656"/>
    <w:rsid w:val="001D24A9"/>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38DB"/>
    <w:rsid w:val="002650F4"/>
    <w:rsid w:val="002715FD"/>
    <w:rsid w:val="00285B33"/>
    <w:rsid w:val="002B746D"/>
    <w:rsid w:val="002C1EC7"/>
    <w:rsid w:val="002C7EA3"/>
    <w:rsid w:val="002D20AE"/>
    <w:rsid w:val="002D6C61"/>
    <w:rsid w:val="002E2104"/>
    <w:rsid w:val="002E4DA2"/>
    <w:rsid w:val="002E6963"/>
    <w:rsid w:val="002F05D8"/>
    <w:rsid w:val="002F1114"/>
    <w:rsid w:val="002F2DE0"/>
    <w:rsid w:val="002F5E25"/>
    <w:rsid w:val="003125C3"/>
    <w:rsid w:val="00312AE6"/>
    <w:rsid w:val="00317D1A"/>
    <w:rsid w:val="003211FF"/>
    <w:rsid w:val="00327247"/>
    <w:rsid w:val="00327A9D"/>
    <w:rsid w:val="0033130E"/>
    <w:rsid w:val="00360B73"/>
    <w:rsid w:val="0038365A"/>
    <w:rsid w:val="00386A89"/>
    <w:rsid w:val="0039648E"/>
    <w:rsid w:val="00396EC1"/>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411E"/>
    <w:rsid w:val="00453435"/>
    <w:rsid w:val="00466398"/>
    <w:rsid w:val="0049128B"/>
    <w:rsid w:val="00493B49"/>
    <w:rsid w:val="00495501"/>
    <w:rsid w:val="004A070A"/>
    <w:rsid w:val="004A320E"/>
    <w:rsid w:val="004A4E9C"/>
    <w:rsid w:val="004B1A3C"/>
    <w:rsid w:val="004C5C6B"/>
    <w:rsid w:val="004D2CC3"/>
    <w:rsid w:val="004D35CB"/>
    <w:rsid w:val="004E20E5"/>
    <w:rsid w:val="004E64EA"/>
    <w:rsid w:val="004E7828"/>
    <w:rsid w:val="004F46AA"/>
    <w:rsid w:val="004F6A70"/>
    <w:rsid w:val="00502ABF"/>
    <w:rsid w:val="00504DB0"/>
    <w:rsid w:val="005245E7"/>
    <w:rsid w:val="0054420E"/>
    <w:rsid w:val="00544D1B"/>
    <w:rsid w:val="00545DC0"/>
    <w:rsid w:val="00545F6C"/>
    <w:rsid w:val="00554989"/>
    <w:rsid w:val="0055603D"/>
    <w:rsid w:val="0055720C"/>
    <w:rsid w:val="00563F32"/>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4E47"/>
    <w:rsid w:val="005F51A9"/>
    <w:rsid w:val="005F7416"/>
    <w:rsid w:val="00600C11"/>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5F13"/>
    <w:rsid w:val="00752258"/>
    <w:rsid w:val="00762880"/>
    <w:rsid w:val="00772290"/>
    <w:rsid w:val="00777265"/>
    <w:rsid w:val="007805E7"/>
    <w:rsid w:val="0078222A"/>
    <w:rsid w:val="00787D48"/>
    <w:rsid w:val="007A4E50"/>
    <w:rsid w:val="007B18A7"/>
    <w:rsid w:val="007B250E"/>
    <w:rsid w:val="007C27FC"/>
    <w:rsid w:val="007C51FF"/>
    <w:rsid w:val="007D50E4"/>
    <w:rsid w:val="008028CE"/>
    <w:rsid w:val="0080332E"/>
    <w:rsid w:val="0081197A"/>
    <w:rsid w:val="008141E0"/>
    <w:rsid w:val="00816EE1"/>
    <w:rsid w:val="00816F88"/>
    <w:rsid w:val="00822323"/>
    <w:rsid w:val="00823118"/>
    <w:rsid w:val="00833024"/>
    <w:rsid w:val="00844A56"/>
    <w:rsid w:val="00852081"/>
    <w:rsid w:val="00860FBB"/>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2D47"/>
    <w:rsid w:val="008C4010"/>
    <w:rsid w:val="008C4FDF"/>
    <w:rsid w:val="008C6B1F"/>
    <w:rsid w:val="008D5E4F"/>
    <w:rsid w:val="008F14F5"/>
    <w:rsid w:val="008F71C1"/>
    <w:rsid w:val="00902D41"/>
    <w:rsid w:val="00906A8D"/>
    <w:rsid w:val="00914004"/>
    <w:rsid w:val="00915C8E"/>
    <w:rsid w:val="00922EC1"/>
    <w:rsid w:val="009301F1"/>
    <w:rsid w:val="009359B8"/>
    <w:rsid w:val="009431F8"/>
    <w:rsid w:val="00947A35"/>
    <w:rsid w:val="00961EF0"/>
    <w:rsid w:val="00966CB5"/>
    <w:rsid w:val="00975786"/>
    <w:rsid w:val="00981CB7"/>
    <w:rsid w:val="00983E1F"/>
    <w:rsid w:val="00993F46"/>
    <w:rsid w:val="00997358"/>
    <w:rsid w:val="009A452B"/>
    <w:rsid w:val="009B050C"/>
    <w:rsid w:val="009B087F"/>
    <w:rsid w:val="009C110B"/>
    <w:rsid w:val="009C5441"/>
    <w:rsid w:val="009D119F"/>
    <w:rsid w:val="009D5E2D"/>
    <w:rsid w:val="009F3940"/>
    <w:rsid w:val="009F3EB2"/>
    <w:rsid w:val="009F6EB1"/>
    <w:rsid w:val="00A20267"/>
    <w:rsid w:val="00A3158C"/>
    <w:rsid w:val="00A33E32"/>
    <w:rsid w:val="00A53E7C"/>
    <w:rsid w:val="00A60087"/>
    <w:rsid w:val="00A67D34"/>
    <w:rsid w:val="00A705E8"/>
    <w:rsid w:val="00A9392C"/>
    <w:rsid w:val="00A9462B"/>
    <w:rsid w:val="00A94AFA"/>
    <w:rsid w:val="00A97D59"/>
    <w:rsid w:val="00AA193B"/>
    <w:rsid w:val="00AA3E09"/>
    <w:rsid w:val="00AA4BEF"/>
    <w:rsid w:val="00AB4962"/>
    <w:rsid w:val="00AB740F"/>
    <w:rsid w:val="00AC1101"/>
    <w:rsid w:val="00AC7221"/>
    <w:rsid w:val="00AD0A21"/>
    <w:rsid w:val="00AE5961"/>
    <w:rsid w:val="00AF4971"/>
    <w:rsid w:val="00B01046"/>
    <w:rsid w:val="00B310F9"/>
    <w:rsid w:val="00B37866"/>
    <w:rsid w:val="00B412FB"/>
    <w:rsid w:val="00B4576B"/>
    <w:rsid w:val="00B46350"/>
    <w:rsid w:val="00B52914"/>
    <w:rsid w:val="00B66097"/>
    <w:rsid w:val="00B83D5E"/>
    <w:rsid w:val="00B8460A"/>
    <w:rsid w:val="00B8650D"/>
    <w:rsid w:val="00B879B4"/>
    <w:rsid w:val="00B90F07"/>
    <w:rsid w:val="00B97BB9"/>
    <w:rsid w:val="00BA0009"/>
    <w:rsid w:val="00BA4D75"/>
    <w:rsid w:val="00BA5B48"/>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563FD"/>
    <w:rsid w:val="00C60A41"/>
    <w:rsid w:val="00C62DE8"/>
    <w:rsid w:val="00C62DFB"/>
    <w:rsid w:val="00C66F4D"/>
    <w:rsid w:val="00C86600"/>
    <w:rsid w:val="00C87BCA"/>
    <w:rsid w:val="00C94506"/>
    <w:rsid w:val="00C954BC"/>
    <w:rsid w:val="00CA1F0B"/>
    <w:rsid w:val="00CB110F"/>
    <w:rsid w:val="00CB2A2E"/>
    <w:rsid w:val="00CB338A"/>
    <w:rsid w:val="00CB79C5"/>
    <w:rsid w:val="00CC2EA7"/>
    <w:rsid w:val="00CC411F"/>
    <w:rsid w:val="00CC4B75"/>
    <w:rsid w:val="00CC732E"/>
    <w:rsid w:val="00CD7207"/>
    <w:rsid w:val="00CE0DBE"/>
    <w:rsid w:val="00CE5E4D"/>
    <w:rsid w:val="00CF02C4"/>
    <w:rsid w:val="00CF167F"/>
    <w:rsid w:val="00CF72E5"/>
    <w:rsid w:val="00CF730D"/>
    <w:rsid w:val="00D01F54"/>
    <w:rsid w:val="00D10FC7"/>
    <w:rsid w:val="00D20E99"/>
    <w:rsid w:val="00D21C83"/>
    <w:rsid w:val="00D35BDD"/>
    <w:rsid w:val="00D56746"/>
    <w:rsid w:val="00D63006"/>
    <w:rsid w:val="00D6485C"/>
    <w:rsid w:val="00D709AA"/>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65B12"/>
    <w:rsid w:val="00E83810"/>
    <w:rsid w:val="00E86933"/>
    <w:rsid w:val="00E97298"/>
    <w:rsid w:val="00E97753"/>
    <w:rsid w:val="00E97E58"/>
    <w:rsid w:val="00EA2BC2"/>
    <w:rsid w:val="00EA7DE7"/>
    <w:rsid w:val="00EB7A8A"/>
    <w:rsid w:val="00ED2991"/>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55BC2"/>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3987"/>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1DC337"/>
  <w15:docId w15:val="{4AEB6999-6D63-4341-B500-55EF8A6E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character" w:customStyle="1" w:styleId="UnresolvedMention1">
    <w:name w:val="Unresolved Mention1"/>
    <w:basedOn w:val="DefaultParagraphFont"/>
    <w:uiPriority w:val="99"/>
    <w:semiHidden/>
    <w:unhideWhenUsed/>
    <w:rsid w:val="00B66097"/>
    <w:rPr>
      <w:color w:val="605E5C"/>
      <w:shd w:val="clear" w:color="auto" w:fill="E1DFDD"/>
    </w:rPr>
  </w:style>
  <w:style w:type="paragraph" w:styleId="ListParagraph">
    <w:name w:val="List Paragraph"/>
    <w:basedOn w:val="Normal"/>
    <w:uiPriority w:val="34"/>
    <w:qFormat/>
    <w:rsid w:val="00C563FD"/>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Default">
    <w:name w:val="Default"/>
    <w:rsid w:val="00C563FD"/>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rsid w:val="00C563FD"/>
    <w:rPr>
      <w:rFonts w:asciiTheme="minorHAnsi" w:hAnsiTheme="minorHAnsi"/>
      <w:sz w:val="24"/>
      <w:lang w:val="en-GB" w:eastAsia="en-US"/>
    </w:rPr>
  </w:style>
  <w:style w:type="character" w:styleId="FollowedHyperlink">
    <w:name w:val="FollowedHyperlink"/>
    <w:basedOn w:val="DefaultParagraphFont"/>
    <w:semiHidden/>
    <w:unhideWhenUsed/>
    <w:rsid w:val="00C563FD"/>
    <w:rPr>
      <w:color w:val="800080" w:themeColor="followedHyperlink"/>
      <w:u w:val="single"/>
    </w:rPr>
  </w:style>
  <w:style w:type="character" w:customStyle="1" w:styleId="enumlev1Char">
    <w:name w:val="enumlev1 Char"/>
    <w:basedOn w:val="DefaultParagraphFont"/>
    <w:link w:val="enumlev1"/>
    <w:qFormat/>
    <w:rsid w:val="00C563FD"/>
    <w:rPr>
      <w:rFonts w:asciiTheme="minorHAnsi" w:hAnsiTheme="minorHAnsi"/>
      <w:sz w:val="24"/>
      <w:lang w:val="en-GB" w:eastAsia="en-US"/>
    </w:rPr>
  </w:style>
  <w:style w:type="paragraph" w:customStyle="1" w:styleId="CEOIndent-bulletsblackdot">
    <w:name w:val="CEO_Indent-bulletsblackdot"/>
    <w:basedOn w:val="Normal"/>
    <w:rsid w:val="00C563FD"/>
    <w:pPr>
      <w:numPr>
        <w:numId w:val="3"/>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9-CL-C-0133/en" TargetMode="External"/><Relationship Id="rId4" Type="http://schemas.openxmlformats.org/officeDocument/2006/relationships/settings" Target="settings.xml"/><Relationship Id="rId9" Type="http://schemas.openxmlformats.org/officeDocument/2006/relationships/hyperlink" Target="https://www.itu.int/en/council/Documents/basic-texts/RES-025-E.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F42C-2A9F-4C7C-97E9-554A71CF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PC_TDAG20.dotx</Template>
  <TotalTime>3</TotalTime>
  <Pages>2</Pages>
  <Words>991</Words>
  <Characters>310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Kong, Hongli</dc:creator>
  <cp:lastModifiedBy>BDT</cp:lastModifiedBy>
  <cp:revision>6</cp:revision>
  <cp:lastPrinted>2020-02-14T16:17:00Z</cp:lastPrinted>
  <dcterms:created xsi:type="dcterms:W3CDTF">2020-02-17T14:01:00Z</dcterms:created>
  <dcterms:modified xsi:type="dcterms:W3CDTF">2020-03-10T13:27:00Z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