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4510B" w14:paraId="135D210A" w14:textId="77777777" w:rsidTr="00D92762">
        <w:trPr>
          <w:cantSplit/>
          <w:trHeight w:val="1134"/>
        </w:trPr>
        <w:tc>
          <w:tcPr>
            <w:tcW w:w="6663" w:type="dxa"/>
            <w:tcBorders>
              <w:bottom w:val="single" w:sz="12" w:space="0" w:color="auto"/>
            </w:tcBorders>
          </w:tcPr>
          <w:p w14:paraId="68ED37D3" w14:textId="77777777" w:rsidR="0014510B" w:rsidRPr="0014510B" w:rsidRDefault="0014510B" w:rsidP="0014510B">
            <w:pPr>
              <w:rPr>
                <w:rFonts w:cstheme="minorHAnsi"/>
                <w:b/>
                <w:bCs/>
                <w:sz w:val="32"/>
                <w:szCs w:val="32"/>
                <w:lang w:val="es-ES_tradnl"/>
              </w:rPr>
            </w:pPr>
            <w:r w:rsidRPr="0014510B">
              <w:rPr>
                <w:rFonts w:cstheme="minorHAnsi"/>
                <w:b/>
                <w:bCs/>
                <w:sz w:val="32"/>
                <w:szCs w:val="32"/>
                <w:lang w:val="es-ES_tradnl"/>
              </w:rPr>
              <w:t>Grupo Asesor de Desarrollo de las Telecomunicaciones (GADT)</w:t>
            </w:r>
          </w:p>
          <w:p w14:paraId="53142101" w14:textId="26FE04A5" w:rsidR="00D372A5" w:rsidRPr="0014510B" w:rsidRDefault="0014510B" w:rsidP="0014510B">
            <w:pPr>
              <w:spacing w:before="100" w:after="120"/>
              <w:rPr>
                <w:b/>
                <w:bCs/>
                <w:sz w:val="26"/>
                <w:szCs w:val="26"/>
                <w:lang w:val="es-ES_tradnl"/>
              </w:rPr>
            </w:pPr>
            <w:r w:rsidRPr="0014510B">
              <w:rPr>
                <w:b/>
                <w:bCs/>
                <w:sz w:val="26"/>
                <w:szCs w:val="26"/>
                <w:lang w:val="es-ES_tradnl"/>
              </w:rPr>
              <w:t xml:space="preserve">25ª reunión, Ginebra, </w:t>
            </w:r>
            <w:r w:rsidR="00BE488E">
              <w:rPr>
                <w:b/>
                <w:bCs/>
                <w:sz w:val="26"/>
                <w:szCs w:val="26"/>
                <w:lang w:val="es-ES_tradnl"/>
              </w:rPr>
              <w:t xml:space="preserve">2-5 </w:t>
            </w:r>
            <w:r w:rsidR="008870A7">
              <w:rPr>
                <w:b/>
                <w:bCs/>
                <w:sz w:val="26"/>
                <w:szCs w:val="26"/>
                <w:lang w:val="es-ES_tradnl"/>
              </w:rPr>
              <w:t>de junio</w:t>
            </w:r>
            <w:bookmarkStart w:id="0" w:name="_GoBack"/>
            <w:bookmarkEnd w:id="0"/>
            <w:r w:rsidRPr="0014510B">
              <w:rPr>
                <w:b/>
                <w:bCs/>
                <w:sz w:val="26"/>
                <w:szCs w:val="26"/>
                <w:lang w:val="es-ES_tradnl"/>
              </w:rPr>
              <w:t xml:space="preserve"> de 2020</w:t>
            </w:r>
          </w:p>
        </w:tc>
        <w:tc>
          <w:tcPr>
            <w:tcW w:w="3225" w:type="dxa"/>
            <w:tcBorders>
              <w:bottom w:val="single" w:sz="12" w:space="0" w:color="auto"/>
            </w:tcBorders>
          </w:tcPr>
          <w:p w14:paraId="4642FFD3" w14:textId="7FDAB9F5" w:rsidR="00D372A5" w:rsidRPr="0014510B" w:rsidRDefault="0014510B" w:rsidP="004E7861">
            <w:pPr>
              <w:spacing w:before="40" w:after="80"/>
              <w:ind w:right="142"/>
              <w:jc w:val="right"/>
              <w:rPr>
                <w:lang w:val="es-ES_tradnl"/>
              </w:rPr>
            </w:pPr>
            <w:r w:rsidRPr="0014510B">
              <w:rPr>
                <w:noProof/>
                <w:lang w:val="es-ES_tradnl"/>
              </w:rPr>
              <w:drawing>
                <wp:inline distT="0" distB="0" distL="0" distR="0" wp14:anchorId="051CDA87" wp14:editId="3EF81D8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4510B" w:rsidRPr="0014510B" w14:paraId="79626423" w14:textId="77777777" w:rsidTr="004B7893">
        <w:trPr>
          <w:cantSplit/>
        </w:trPr>
        <w:tc>
          <w:tcPr>
            <w:tcW w:w="6663" w:type="dxa"/>
            <w:tcBorders>
              <w:top w:val="single" w:sz="12" w:space="0" w:color="auto"/>
            </w:tcBorders>
          </w:tcPr>
          <w:p w14:paraId="76C938DF" w14:textId="77777777" w:rsidR="0014510B" w:rsidRPr="0014510B" w:rsidRDefault="0014510B" w:rsidP="0014510B">
            <w:pPr>
              <w:spacing w:before="0"/>
              <w:rPr>
                <w:rFonts w:cs="Arial"/>
                <w:b/>
                <w:bCs/>
                <w:sz w:val="20"/>
                <w:lang w:val="es-ES_tradnl"/>
              </w:rPr>
            </w:pPr>
          </w:p>
        </w:tc>
        <w:tc>
          <w:tcPr>
            <w:tcW w:w="3225" w:type="dxa"/>
            <w:tcBorders>
              <w:top w:val="single" w:sz="12" w:space="0" w:color="auto"/>
            </w:tcBorders>
          </w:tcPr>
          <w:p w14:paraId="2097C4B7" w14:textId="77777777" w:rsidR="0014510B" w:rsidRPr="0014510B" w:rsidRDefault="0014510B" w:rsidP="0014510B">
            <w:pPr>
              <w:spacing w:before="0"/>
              <w:rPr>
                <w:b/>
                <w:bCs/>
                <w:sz w:val="20"/>
                <w:lang w:val="es-ES_tradnl"/>
              </w:rPr>
            </w:pPr>
          </w:p>
        </w:tc>
      </w:tr>
      <w:tr w:rsidR="0014510B" w:rsidRPr="0014510B" w14:paraId="7E08B2EC" w14:textId="77777777" w:rsidTr="004B7893">
        <w:trPr>
          <w:cantSplit/>
        </w:trPr>
        <w:tc>
          <w:tcPr>
            <w:tcW w:w="6663" w:type="dxa"/>
          </w:tcPr>
          <w:p w14:paraId="4EA893BE" w14:textId="77777777" w:rsidR="0014510B" w:rsidRPr="0014510B" w:rsidRDefault="0014510B" w:rsidP="00FB01FE">
            <w:pPr>
              <w:pStyle w:val="Committee"/>
              <w:spacing w:before="0"/>
              <w:rPr>
                <w:b w:val="0"/>
                <w:lang w:val="es-ES_tradnl"/>
              </w:rPr>
            </w:pPr>
          </w:p>
        </w:tc>
        <w:tc>
          <w:tcPr>
            <w:tcW w:w="3225" w:type="dxa"/>
          </w:tcPr>
          <w:p w14:paraId="3438B1C5" w14:textId="077D98E1" w:rsidR="0014510B" w:rsidRPr="0014510B" w:rsidRDefault="0014510B" w:rsidP="00FB01FE">
            <w:pPr>
              <w:spacing w:before="0"/>
              <w:rPr>
                <w:bCs/>
                <w:lang w:val="es-ES_tradnl"/>
              </w:rPr>
            </w:pPr>
            <w:r w:rsidRPr="00192511">
              <w:rPr>
                <w:b/>
                <w:bCs/>
                <w:lang w:val="es-ES_tradnl"/>
              </w:rPr>
              <w:t>Documento TDAG-</w:t>
            </w:r>
            <w:r>
              <w:rPr>
                <w:b/>
                <w:bCs/>
                <w:lang w:val="es-ES_tradnl"/>
              </w:rPr>
              <w:t>20</w:t>
            </w:r>
            <w:r w:rsidRPr="00192511">
              <w:rPr>
                <w:b/>
                <w:bCs/>
                <w:lang w:val="es-ES_tradnl"/>
              </w:rPr>
              <w:t>/</w:t>
            </w:r>
            <w:r>
              <w:rPr>
                <w:b/>
                <w:bCs/>
                <w:lang w:val="es-ES_tradnl"/>
              </w:rPr>
              <w:t>25</w:t>
            </w:r>
            <w:r w:rsidRPr="00192511">
              <w:rPr>
                <w:b/>
                <w:bCs/>
                <w:lang w:val="es-ES_tradnl"/>
              </w:rPr>
              <w:t>-S</w:t>
            </w:r>
          </w:p>
        </w:tc>
      </w:tr>
      <w:tr w:rsidR="0014510B" w:rsidRPr="0014510B" w14:paraId="2BB3FB25" w14:textId="77777777" w:rsidTr="004B7893">
        <w:trPr>
          <w:cantSplit/>
        </w:trPr>
        <w:tc>
          <w:tcPr>
            <w:tcW w:w="6663" w:type="dxa"/>
          </w:tcPr>
          <w:p w14:paraId="2EC4F834" w14:textId="77777777" w:rsidR="0014510B" w:rsidRPr="0014510B" w:rsidRDefault="0014510B" w:rsidP="00FB01FE">
            <w:pPr>
              <w:spacing w:before="0"/>
              <w:rPr>
                <w:b/>
                <w:bCs/>
                <w:smallCaps/>
                <w:lang w:val="es-ES_tradnl"/>
              </w:rPr>
            </w:pPr>
          </w:p>
        </w:tc>
        <w:tc>
          <w:tcPr>
            <w:tcW w:w="3225" w:type="dxa"/>
          </w:tcPr>
          <w:p w14:paraId="5572AF17" w14:textId="785E981F" w:rsidR="0014510B" w:rsidRPr="0014510B" w:rsidRDefault="0014510B" w:rsidP="00FB01FE">
            <w:pPr>
              <w:spacing w:before="0"/>
              <w:rPr>
                <w:b/>
                <w:lang w:val="es-ES_tradnl"/>
              </w:rPr>
            </w:pPr>
            <w:bookmarkStart w:id="1" w:name="CreationDate"/>
            <w:bookmarkEnd w:id="1"/>
            <w:r w:rsidRPr="00192511">
              <w:rPr>
                <w:b/>
                <w:bCs/>
                <w:szCs w:val="28"/>
                <w:lang w:val="es-ES_tradnl"/>
              </w:rPr>
              <w:t>1</w:t>
            </w:r>
            <w:r>
              <w:rPr>
                <w:b/>
                <w:bCs/>
                <w:szCs w:val="28"/>
                <w:lang w:val="es-ES_tradnl"/>
              </w:rPr>
              <w:t>0</w:t>
            </w:r>
            <w:r w:rsidRPr="00192511">
              <w:rPr>
                <w:b/>
                <w:bCs/>
                <w:szCs w:val="28"/>
                <w:lang w:val="es-ES_tradnl"/>
              </w:rPr>
              <w:t xml:space="preserve"> de febrero de 20</w:t>
            </w:r>
            <w:r>
              <w:rPr>
                <w:b/>
                <w:bCs/>
                <w:szCs w:val="28"/>
                <w:lang w:val="es-ES_tradnl"/>
              </w:rPr>
              <w:t>20</w:t>
            </w:r>
          </w:p>
        </w:tc>
      </w:tr>
      <w:tr w:rsidR="0014510B" w:rsidRPr="0014510B" w14:paraId="53768335" w14:textId="77777777" w:rsidTr="004B7893">
        <w:trPr>
          <w:cantSplit/>
        </w:trPr>
        <w:tc>
          <w:tcPr>
            <w:tcW w:w="6663" w:type="dxa"/>
          </w:tcPr>
          <w:p w14:paraId="32B68299" w14:textId="77777777" w:rsidR="0014510B" w:rsidRPr="0014510B" w:rsidRDefault="0014510B" w:rsidP="00FB01FE">
            <w:pPr>
              <w:spacing w:before="0"/>
              <w:rPr>
                <w:b/>
                <w:bCs/>
                <w:smallCaps/>
                <w:lang w:val="es-ES_tradnl"/>
              </w:rPr>
            </w:pPr>
          </w:p>
        </w:tc>
        <w:tc>
          <w:tcPr>
            <w:tcW w:w="3225" w:type="dxa"/>
          </w:tcPr>
          <w:p w14:paraId="1EBCFE5A" w14:textId="5FFED9CA" w:rsidR="0014510B" w:rsidRPr="0014510B" w:rsidRDefault="0014510B" w:rsidP="00FB01FE">
            <w:pPr>
              <w:spacing w:before="0"/>
              <w:rPr>
                <w:szCs w:val="24"/>
                <w:lang w:val="es-ES_tradnl"/>
              </w:rPr>
            </w:pPr>
            <w:r w:rsidRPr="00192511">
              <w:rPr>
                <w:b/>
                <w:lang w:val="es-ES_tradnl"/>
              </w:rPr>
              <w:t>Original: inglés</w:t>
            </w:r>
          </w:p>
        </w:tc>
      </w:tr>
      <w:tr w:rsidR="0014510B" w:rsidRPr="00FB01FE" w14:paraId="4DC5CA65" w14:textId="77777777" w:rsidTr="004B7893">
        <w:trPr>
          <w:cantSplit/>
          <w:trHeight w:val="852"/>
        </w:trPr>
        <w:tc>
          <w:tcPr>
            <w:tcW w:w="9888" w:type="dxa"/>
            <w:gridSpan w:val="2"/>
          </w:tcPr>
          <w:p w14:paraId="04947128" w14:textId="53F70AEF" w:rsidR="0014510B" w:rsidRPr="0014510B" w:rsidRDefault="0014510B" w:rsidP="00FB01FE">
            <w:pPr>
              <w:pStyle w:val="Source"/>
              <w:rPr>
                <w:szCs w:val="28"/>
                <w:lang w:val="es-ES_tradnl"/>
              </w:rPr>
            </w:pPr>
            <w:r w:rsidRPr="0014510B">
              <w:rPr>
                <w:szCs w:val="28"/>
                <w:lang w:val="es-ES_tradnl"/>
              </w:rPr>
              <w:t>Directora, Oficina de Desarrollo de las Telecomunicaciones</w:t>
            </w:r>
          </w:p>
        </w:tc>
      </w:tr>
      <w:tr w:rsidR="0014510B" w:rsidRPr="00FB01FE" w14:paraId="6A68DED3" w14:textId="77777777" w:rsidTr="004B7893">
        <w:trPr>
          <w:cantSplit/>
        </w:trPr>
        <w:tc>
          <w:tcPr>
            <w:tcW w:w="9888" w:type="dxa"/>
            <w:gridSpan w:val="2"/>
          </w:tcPr>
          <w:p w14:paraId="37F26DBE" w14:textId="2D04D987" w:rsidR="0014510B" w:rsidRPr="0014510B" w:rsidRDefault="0055509E" w:rsidP="00FB01FE">
            <w:pPr>
              <w:pStyle w:val="Title1"/>
              <w:rPr>
                <w:bCs/>
                <w:szCs w:val="28"/>
                <w:lang w:val="es-ES_tradnl"/>
              </w:rPr>
            </w:pPr>
            <w:bookmarkStart w:id="2" w:name="Title"/>
            <w:bookmarkEnd w:id="2"/>
            <w:r w:rsidRPr="0055509E">
              <w:rPr>
                <w:bCs/>
                <w:szCs w:val="28"/>
                <w:lang w:val="es-ES_tradnl"/>
              </w:rPr>
              <w:t>Examen de la presencia regional de la UIT</w:t>
            </w:r>
          </w:p>
        </w:tc>
      </w:tr>
      <w:tr w:rsidR="0014510B" w:rsidRPr="00FB01FE" w14:paraId="2F5EED6B" w14:textId="77777777" w:rsidTr="004B7893">
        <w:trPr>
          <w:cantSplit/>
        </w:trPr>
        <w:tc>
          <w:tcPr>
            <w:tcW w:w="9888" w:type="dxa"/>
            <w:gridSpan w:val="2"/>
            <w:tcBorders>
              <w:bottom w:val="single" w:sz="4" w:space="0" w:color="auto"/>
            </w:tcBorders>
          </w:tcPr>
          <w:p w14:paraId="54392575" w14:textId="77777777" w:rsidR="0014510B" w:rsidRPr="0014510B" w:rsidRDefault="0014510B" w:rsidP="00FB01FE">
            <w:pPr>
              <w:rPr>
                <w:lang w:val="es-ES_tradnl"/>
              </w:rPr>
            </w:pPr>
          </w:p>
        </w:tc>
      </w:tr>
      <w:tr w:rsidR="0014510B" w:rsidRPr="00FB01FE" w14:paraId="4D3EBCDD"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6A73C697" w14:textId="77777777" w:rsidR="0014510B" w:rsidRPr="0014510B" w:rsidRDefault="0014510B" w:rsidP="00FB01FE">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14510B">
              <w:rPr>
                <w:b/>
                <w:bCs/>
                <w:lang w:val="es-ES_tradnl"/>
              </w:rPr>
              <w:t>Resumen:</w:t>
            </w:r>
          </w:p>
          <w:p w14:paraId="769674FB" w14:textId="20B2B352" w:rsidR="0014510B" w:rsidRPr="0014510B" w:rsidRDefault="0014510B" w:rsidP="00FB01FE">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14510B">
              <w:rPr>
                <w:lang w:val="es-ES_tradnl"/>
              </w:rPr>
              <w:t>En el presente documento se informa acerca de la situación de la implementación de la Resolución</w:t>
            </w:r>
            <w:r w:rsidR="00C16A1C">
              <w:rPr>
                <w:lang w:val="es-ES_tradnl"/>
              </w:rPr>
              <w:t> </w:t>
            </w:r>
            <w:r w:rsidRPr="0014510B">
              <w:rPr>
                <w:lang w:val="es-ES_tradnl"/>
              </w:rPr>
              <w:t>25 (Rev. Dubái, 2018) de la Conferencia de Plenipotenciarios y del Acuerdo 616 (2019) del Consejo.</w:t>
            </w:r>
          </w:p>
          <w:p w14:paraId="75C6D0FF" w14:textId="77777777" w:rsidR="0014510B" w:rsidRPr="0014510B" w:rsidRDefault="0014510B" w:rsidP="00FB01FE">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14510B">
              <w:rPr>
                <w:b/>
                <w:bCs/>
                <w:lang w:val="es-ES_tradnl"/>
              </w:rPr>
              <w:t>Acción solicitada:</w:t>
            </w:r>
          </w:p>
          <w:p w14:paraId="674CB4DB" w14:textId="77777777" w:rsidR="0014510B" w:rsidRPr="0014510B" w:rsidRDefault="0014510B" w:rsidP="00FB01FE">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14510B">
              <w:rPr>
                <w:lang w:val="es-ES_tradnl"/>
              </w:rPr>
              <w:t>Se invita al GADT a tomar nota de este Informe.</w:t>
            </w:r>
          </w:p>
          <w:p w14:paraId="68877812" w14:textId="04C316E5" w:rsidR="0014510B" w:rsidRPr="0014510B" w:rsidRDefault="0014510B" w:rsidP="00FB01FE">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14510B">
              <w:rPr>
                <w:b/>
                <w:bCs/>
                <w:lang w:val="es-ES_tradnl"/>
              </w:rPr>
              <w:t>Referencias:</w:t>
            </w:r>
          </w:p>
          <w:p w14:paraId="14BA6198" w14:textId="0964F23E" w:rsidR="0014510B" w:rsidRPr="0014510B" w:rsidRDefault="008870A7" w:rsidP="00FB01FE">
            <w:pPr>
              <w:tabs>
                <w:tab w:val="clear" w:pos="794"/>
                <w:tab w:val="clear" w:pos="1191"/>
                <w:tab w:val="clear" w:pos="1588"/>
                <w:tab w:val="clear" w:pos="1985"/>
              </w:tabs>
              <w:overflowPunct/>
              <w:autoSpaceDE/>
              <w:autoSpaceDN/>
              <w:adjustRightInd/>
              <w:spacing w:before="0" w:after="200"/>
              <w:textAlignment w:val="auto"/>
              <w:rPr>
                <w:b/>
                <w:bCs/>
                <w:lang w:val="es-ES_tradnl"/>
              </w:rPr>
            </w:pPr>
            <w:hyperlink r:id="rId8" w:history="1">
              <w:r w:rsidR="0014510B" w:rsidRPr="0014510B">
                <w:rPr>
                  <w:rStyle w:val="Hyperlink"/>
                  <w:iCs/>
                  <w:lang w:val="es-ES_tradnl"/>
                </w:rPr>
                <w:t>Resolución 25 (Rev. Dubái, 2018)</w:t>
              </w:r>
            </w:hyperlink>
            <w:r w:rsidR="0014510B" w:rsidRPr="000D31D6">
              <w:rPr>
                <w:lang w:val="es-ES"/>
              </w:rPr>
              <w:t xml:space="preserve">; </w:t>
            </w:r>
            <w:hyperlink r:id="rId9" w:history="1">
              <w:r w:rsidR="0014510B" w:rsidRPr="0014510B">
                <w:rPr>
                  <w:rStyle w:val="Hyperlink"/>
                  <w:iCs/>
                  <w:lang w:val="es-ES_tradnl"/>
                </w:rPr>
                <w:t>Acuerdo 616 (2019)</w:t>
              </w:r>
            </w:hyperlink>
          </w:p>
        </w:tc>
      </w:tr>
    </w:tbl>
    <w:p w14:paraId="26E3C36F" w14:textId="19518897" w:rsidR="00AA076A"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67F1BA4E" w14:textId="77777777" w:rsidR="0014510B" w:rsidRDefault="0014510B">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4F7BEBF5" w14:textId="77777777" w:rsidR="00866A41" w:rsidRDefault="00866A41" w:rsidP="00E32E6C">
      <w:pPr>
        <w:pStyle w:val="Heading1"/>
        <w:rPr>
          <w:lang w:val="es-ES_tradnl"/>
        </w:rPr>
        <w:sectPr w:rsidR="00866A41"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pPr>
    </w:p>
    <w:p w14:paraId="339B53F2" w14:textId="13DE3AA1" w:rsidR="00866A41" w:rsidRPr="00192511" w:rsidRDefault="00866A41" w:rsidP="00E32E6C">
      <w:pPr>
        <w:pStyle w:val="Heading1"/>
        <w:rPr>
          <w:lang w:val="es-ES_tradnl"/>
        </w:rPr>
      </w:pPr>
      <w:r w:rsidRPr="00192511">
        <w:rPr>
          <w:lang w:val="es-ES_tradnl"/>
        </w:rPr>
        <w:lastRenderedPageBreak/>
        <w:t>1</w:t>
      </w:r>
      <w:r w:rsidRPr="00192511">
        <w:rPr>
          <w:lang w:val="es-ES_tradnl"/>
        </w:rPr>
        <w:tab/>
        <w:t>Antecedentes</w:t>
      </w:r>
    </w:p>
    <w:p w14:paraId="68F04CB1" w14:textId="77777777" w:rsidR="00866A41" w:rsidRDefault="00866A41" w:rsidP="003476D9">
      <w:pPr>
        <w:rPr>
          <w:lang w:val="es-ES_tradnl"/>
        </w:rPr>
      </w:pPr>
      <w:r w:rsidRPr="007E5202">
        <w:rPr>
          <w:lang w:val="es-ES_tradnl"/>
        </w:rPr>
        <w:t>La presencia regional de la UIT ha sido objeto de varios exámenes, mejoras y cambios desde principios del decenio de 1990. El primer examen exhaustivo de la presencia regional de la UIT fue encargado por la Conferencia de Plenipotenciarios de Niza (1989), que encargó al Secretario General que realizara un estudio con el fin de fortalecer la presencia regional de la UIT y aumentar su eficacia.</w:t>
      </w:r>
    </w:p>
    <w:p w14:paraId="65BB2413" w14:textId="6CC468A6" w:rsidR="00866A41" w:rsidRPr="00192511" w:rsidRDefault="00866A41" w:rsidP="003476D9">
      <w:pPr>
        <w:rPr>
          <w:lang w:val="es-ES_tradnl"/>
        </w:rPr>
      </w:pPr>
      <w:r w:rsidRPr="007E5202">
        <w:rPr>
          <w:lang w:val="es-ES_tradnl"/>
        </w:rPr>
        <w:t xml:space="preserve">En la Conferencia de Plenipotenciarios de 2018, celebrada en Dubái, se debatió a fondo el tema de la presencia regional, y los miembros aprobaron una </w:t>
      </w:r>
      <w:r>
        <w:rPr>
          <w:lang w:val="es-ES_tradnl"/>
        </w:rPr>
        <w:t>revisión de la R</w:t>
      </w:r>
      <w:r w:rsidRPr="007E5202">
        <w:rPr>
          <w:lang w:val="es-ES_tradnl"/>
        </w:rPr>
        <w:t>esolución 25 (</w:t>
      </w:r>
      <w:r w:rsidR="00FB01FE">
        <w:rPr>
          <w:rFonts w:cstheme="minorHAnsi"/>
          <w:lang w:val="es-ES_tradnl"/>
        </w:rPr>
        <w:t>"</w:t>
      </w:r>
      <w:r w:rsidRPr="007E5202">
        <w:rPr>
          <w:lang w:val="es-ES_tradnl"/>
        </w:rPr>
        <w:t>Fortalecimiento de la presencia regional</w:t>
      </w:r>
      <w:r w:rsidR="00FB01FE">
        <w:rPr>
          <w:lang w:val="es-ES_tradnl"/>
        </w:rPr>
        <w:t>"</w:t>
      </w:r>
      <w:r w:rsidRPr="007E5202">
        <w:rPr>
          <w:lang w:val="es-ES_tradnl"/>
        </w:rPr>
        <w:t>)</w:t>
      </w:r>
      <w:r>
        <w:rPr>
          <w:lang w:val="es-ES_tradnl"/>
        </w:rPr>
        <w:t>.</w:t>
      </w:r>
    </w:p>
    <w:p w14:paraId="5763DDD1" w14:textId="77777777" w:rsidR="00866A41" w:rsidRDefault="00866A41" w:rsidP="00E32E6C">
      <w:pPr>
        <w:rPr>
          <w:lang w:val="es-ES_tradnl"/>
        </w:rPr>
      </w:pPr>
      <w:r w:rsidRPr="00223831">
        <w:rPr>
          <w:lang w:val="es-ES_tradnl"/>
        </w:rPr>
        <w:t>En la Resolución 25 (Rev. Dubái, 2018) se resolvió fortalecer las funciones de las oficinas regionales y se encargó además al Secretario General que llevara a cabo un examen general de la presencia regional de la UIT y presentara un informe al Consejo 2020, en el que se sugirieran medidas adecuadas para garantizar la eficacia y eficiencia continuas de la presencia regional de la UIT</w:t>
      </w:r>
      <w:r>
        <w:rPr>
          <w:lang w:val="es-ES_tradnl"/>
        </w:rPr>
        <w:t>.</w:t>
      </w:r>
    </w:p>
    <w:p w14:paraId="2D4190DD" w14:textId="77777777" w:rsidR="00866A41" w:rsidRPr="00192511" w:rsidRDefault="00866A41" w:rsidP="00E32E6C">
      <w:pPr>
        <w:rPr>
          <w:lang w:val="es-ES_tradnl"/>
        </w:rPr>
      </w:pPr>
      <w:r w:rsidRPr="00223831">
        <w:rPr>
          <w:lang w:val="es-ES_tradnl"/>
        </w:rPr>
        <w:t xml:space="preserve">En su reunión de 2019, el Consejo aprobó </w:t>
      </w:r>
      <w:r>
        <w:rPr>
          <w:lang w:val="es-ES_tradnl"/>
        </w:rPr>
        <w:t>el Acuerdo</w:t>
      </w:r>
      <w:r w:rsidRPr="00223831">
        <w:rPr>
          <w:lang w:val="es-ES_tradnl"/>
        </w:rPr>
        <w:t xml:space="preserve"> 616, en </w:t>
      </w:r>
      <w:r>
        <w:rPr>
          <w:lang w:val="es-ES_tradnl"/>
        </w:rPr>
        <w:t>el</w:t>
      </w:r>
      <w:r w:rsidRPr="00223831">
        <w:rPr>
          <w:lang w:val="es-ES_tradnl"/>
        </w:rPr>
        <w:t xml:space="preserve"> que se encargaba al Secretario General que contratara a una consultoría de gestión externa e independiente para que realizara una evaluación programática, estratégica y financiera exhaustiva y un examen de la presencia regional de la UIT</w:t>
      </w:r>
      <w:r w:rsidRPr="00192511">
        <w:rPr>
          <w:lang w:val="es-ES_tradnl"/>
        </w:rPr>
        <w:t>.</w:t>
      </w:r>
    </w:p>
    <w:p w14:paraId="2CCF0BC4" w14:textId="77777777" w:rsidR="00866A41" w:rsidRPr="00192511" w:rsidRDefault="00866A41" w:rsidP="00E32E6C">
      <w:pPr>
        <w:pStyle w:val="Heading1"/>
        <w:rPr>
          <w:lang w:val="es-ES_tradnl"/>
        </w:rPr>
      </w:pPr>
      <w:r w:rsidRPr="00192511">
        <w:rPr>
          <w:lang w:val="es-ES_tradnl"/>
        </w:rPr>
        <w:t>2</w:t>
      </w:r>
      <w:r w:rsidRPr="00192511">
        <w:rPr>
          <w:lang w:val="es-ES_tradnl"/>
        </w:rPr>
        <w:tab/>
      </w:r>
      <w:r>
        <w:rPr>
          <w:lang w:val="es-ES_tradnl"/>
        </w:rPr>
        <w:t>Situación de la implementación</w:t>
      </w:r>
    </w:p>
    <w:p w14:paraId="1E031F78" w14:textId="4150E829" w:rsidR="00866A41" w:rsidRDefault="00866A41" w:rsidP="00E32E6C">
      <w:pPr>
        <w:rPr>
          <w:lang w:val="es-ES_tradnl"/>
        </w:rPr>
      </w:pPr>
      <w:r w:rsidRPr="00223831">
        <w:rPr>
          <w:lang w:val="es-ES_tradnl"/>
        </w:rPr>
        <w:t>Tras un proceso de licitación, se nombró a PricewaterhouseCoopers (</w:t>
      </w:r>
      <w:r w:rsidR="00FB01FE">
        <w:rPr>
          <w:rFonts w:cstheme="minorHAnsi"/>
          <w:lang w:val="es-ES_tradnl"/>
        </w:rPr>
        <w:t>"</w:t>
      </w:r>
      <w:r w:rsidRPr="00223831">
        <w:rPr>
          <w:lang w:val="es-ES_tradnl"/>
        </w:rPr>
        <w:t>PwC</w:t>
      </w:r>
      <w:r w:rsidR="00FB01FE">
        <w:rPr>
          <w:rFonts w:cstheme="minorHAnsi"/>
          <w:lang w:val="es-ES_tradnl"/>
        </w:rPr>
        <w:t>"</w:t>
      </w:r>
      <w:r w:rsidRPr="00223831">
        <w:rPr>
          <w:lang w:val="es-ES_tradnl"/>
        </w:rPr>
        <w:t>) para que realizara este examen. El proyecto se puso en marcha el 4 de noviembre de 2019 bajo la responsabilidad de</w:t>
      </w:r>
      <w:r>
        <w:rPr>
          <w:lang w:val="es-ES_tradnl"/>
        </w:rPr>
        <w:t xml:space="preserve"> </w:t>
      </w:r>
      <w:r w:rsidRPr="00223831">
        <w:rPr>
          <w:lang w:val="es-ES_tradnl"/>
        </w:rPr>
        <w:t>l</w:t>
      </w:r>
      <w:r>
        <w:rPr>
          <w:lang w:val="es-ES_tradnl"/>
        </w:rPr>
        <w:t>a</w:t>
      </w:r>
      <w:r w:rsidRPr="00223831">
        <w:rPr>
          <w:lang w:val="es-ES_tradnl"/>
        </w:rPr>
        <w:t xml:space="preserve"> Director</w:t>
      </w:r>
      <w:r>
        <w:rPr>
          <w:lang w:val="es-ES_tradnl"/>
        </w:rPr>
        <w:t>a</w:t>
      </w:r>
      <w:r w:rsidRPr="00223831">
        <w:rPr>
          <w:lang w:val="es-ES_tradnl"/>
        </w:rPr>
        <w:t xml:space="preserve"> de la BDT, y se está ejecutando en estrecha colaboración con las oficinas regionales y otros departamentos/oficinas pertinentes de la UIT. </w:t>
      </w:r>
    </w:p>
    <w:p w14:paraId="78DAFA15" w14:textId="77777777" w:rsidR="00866A41" w:rsidRPr="00811678" w:rsidRDefault="00866A41" w:rsidP="00811678">
      <w:pPr>
        <w:rPr>
          <w:lang w:val="es-ES_tradnl"/>
        </w:rPr>
      </w:pPr>
      <w:r>
        <w:rPr>
          <w:lang w:val="es-ES_tradnl"/>
        </w:rPr>
        <w:t xml:space="preserve">Los </w:t>
      </w:r>
      <w:r w:rsidRPr="00811678">
        <w:rPr>
          <w:lang w:val="es-ES_tradnl"/>
        </w:rPr>
        <w:t xml:space="preserve">resultados </w:t>
      </w:r>
      <w:r>
        <w:rPr>
          <w:lang w:val="es-ES_tradnl"/>
        </w:rPr>
        <w:t xml:space="preserve">del </w:t>
      </w:r>
      <w:r w:rsidRPr="00811678">
        <w:rPr>
          <w:lang w:val="es-ES_tradnl"/>
        </w:rPr>
        <w:t xml:space="preserve">proyecto </w:t>
      </w:r>
      <w:r>
        <w:rPr>
          <w:lang w:val="es-ES_tradnl"/>
        </w:rPr>
        <w:t>pueden resumirse como sigue</w:t>
      </w:r>
      <w:r w:rsidRPr="00811678">
        <w:rPr>
          <w:rFonts w:ascii="Calibri" w:hAnsi="Calibri" w:cs="Calibri"/>
          <w:position w:val="6"/>
          <w:sz w:val="18"/>
          <w:szCs w:val="24"/>
          <w:lang w:val="en-GB"/>
        </w:rPr>
        <w:footnoteReference w:id="1"/>
      </w:r>
      <w:r w:rsidRPr="00811678">
        <w:rPr>
          <w:lang w:val="es-ES_tradnl"/>
        </w:rPr>
        <w:t>:</w:t>
      </w:r>
    </w:p>
    <w:p w14:paraId="03B90061" w14:textId="4BEE2101" w:rsidR="00866A41" w:rsidRPr="00B7450F" w:rsidRDefault="00B7450F" w:rsidP="00FB01FE">
      <w:pPr>
        <w:pStyle w:val="enumlev1"/>
        <w:rPr>
          <w:lang w:val="es-ES_tradnl"/>
        </w:rPr>
      </w:pPr>
      <w:r w:rsidRPr="00B7450F">
        <w:rPr>
          <w:lang w:val="es-ES_tradnl"/>
        </w:rPr>
        <w:t>–</w:t>
      </w:r>
      <w:r>
        <w:rPr>
          <w:lang w:val="es-ES_tradnl"/>
        </w:rPr>
        <w:tab/>
      </w:r>
      <w:r w:rsidRPr="00FB01FE">
        <w:rPr>
          <w:lang w:val="es-ES"/>
        </w:rPr>
        <w:t>p</w:t>
      </w:r>
      <w:r w:rsidR="00866A41" w:rsidRPr="00FB01FE">
        <w:rPr>
          <w:lang w:val="es-ES"/>
        </w:rPr>
        <w:t>erfil</w:t>
      </w:r>
      <w:r w:rsidR="00866A41" w:rsidRPr="00B7450F">
        <w:rPr>
          <w:lang w:val="es-ES_tradnl"/>
        </w:rPr>
        <w:t xml:space="preserve"> de la estructura actual de nuestra presencia regional, incluidos los procedimientos e indicadores de rendimiento;</w:t>
      </w:r>
    </w:p>
    <w:p w14:paraId="6B502961" w14:textId="6A3EED3F" w:rsidR="00866A41" w:rsidRPr="00B7450F" w:rsidRDefault="00B7450F" w:rsidP="00FB01FE">
      <w:pPr>
        <w:pStyle w:val="enumlev1"/>
        <w:rPr>
          <w:lang w:val="es-ES_tradnl"/>
        </w:rPr>
      </w:pPr>
      <w:r w:rsidRPr="00B7450F">
        <w:rPr>
          <w:lang w:val="es-ES_tradnl"/>
        </w:rPr>
        <w:t>–</w:t>
      </w:r>
      <w:r>
        <w:rPr>
          <w:lang w:val="es-ES_tradnl"/>
        </w:rPr>
        <w:tab/>
      </w:r>
      <w:r w:rsidR="00866A41" w:rsidRPr="00B7450F">
        <w:rPr>
          <w:lang w:val="es-ES_tradnl"/>
        </w:rPr>
        <w:t>definir parámetros de eficacia/rendimiento</w:t>
      </w:r>
      <w:r w:rsidR="00C84877" w:rsidRPr="00B7450F">
        <w:rPr>
          <w:lang w:val="es-ES_tradnl"/>
        </w:rPr>
        <w:t>;</w:t>
      </w:r>
    </w:p>
    <w:p w14:paraId="7D506B84" w14:textId="792DB3BC" w:rsidR="00866A41" w:rsidRPr="00B7450F" w:rsidRDefault="00B7450F" w:rsidP="00FB01FE">
      <w:pPr>
        <w:pStyle w:val="enumlev1"/>
        <w:rPr>
          <w:lang w:val="es-ES_tradnl"/>
        </w:rPr>
      </w:pPr>
      <w:r w:rsidRPr="00B7450F">
        <w:rPr>
          <w:lang w:val="es-ES_tradnl"/>
        </w:rPr>
        <w:t>–</w:t>
      </w:r>
      <w:r>
        <w:rPr>
          <w:lang w:val="es-ES_tradnl"/>
        </w:rPr>
        <w:tab/>
      </w:r>
      <w:r w:rsidR="00866A41" w:rsidRPr="00FB01FE">
        <w:rPr>
          <w:lang w:val="es-ES"/>
        </w:rPr>
        <w:t>definir</w:t>
      </w:r>
      <w:r w:rsidR="00866A41" w:rsidRPr="00B7450F">
        <w:rPr>
          <w:lang w:val="es-ES_tradnl"/>
        </w:rPr>
        <w:t xml:space="preserve"> el perfil de la estructura deseada de la presencia regional, fijar objetivos de gestión que respondan a la orientación estratégica de la organización y determinar las aptitudes del personal necesarias para alcanzar dichos objetivos</w:t>
      </w:r>
      <w:r w:rsidR="00C84877" w:rsidRPr="00B7450F">
        <w:rPr>
          <w:lang w:val="es-ES_tradnl"/>
        </w:rPr>
        <w:t>, y</w:t>
      </w:r>
    </w:p>
    <w:p w14:paraId="11399BC5" w14:textId="010DB0A3" w:rsidR="00866A41" w:rsidRPr="00192511" w:rsidRDefault="00B7450F" w:rsidP="00FB01FE">
      <w:pPr>
        <w:pStyle w:val="enumlev1"/>
        <w:rPr>
          <w:lang w:val="es-ES_tradnl"/>
        </w:rPr>
      </w:pPr>
      <w:r w:rsidRPr="00B7450F">
        <w:rPr>
          <w:lang w:val="es-ES_tradnl"/>
        </w:rPr>
        <w:t>–</w:t>
      </w:r>
      <w:r>
        <w:rPr>
          <w:lang w:val="es-ES_tradnl"/>
        </w:rPr>
        <w:tab/>
      </w:r>
      <w:r w:rsidR="00866A41" w:rsidRPr="00FB01FE">
        <w:rPr>
          <w:lang w:val="es-ES"/>
        </w:rPr>
        <w:t>establecer</w:t>
      </w:r>
      <w:r w:rsidR="00866A41">
        <w:rPr>
          <w:lang w:val="es-ES_tradnl"/>
        </w:rPr>
        <w:t xml:space="preserve"> un p</w:t>
      </w:r>
      <w:r w:rsidR="00866A41" w:rsidRPr="00811678">
        <w:rPr>
          <w:lang w:val="es-ES_tradnl"/>
        </w:rPr>
        <w:t>lan de acción para el cambio destinado a poner en práctica todas las recomendaciones conexas formuladas por el Auditor Externo, el Auditor Interno y el CAIG</w:t>
      </w:r>
      <w:r w:rsidR="00866A41" w:rsidRPr="00192511">
        <w:rPr>
          <w:lang w:val="es-ES_tradnl"/>
        </w:rPr>
        <w:t>.</w:t>
      </w:r>
    </w:p>
    <w:p w14:paraId="6A198EEF" w14:textId="77777777" w:rsidR="00866A41" w:rsidRDefault="00866A41" w:rsidP="00811678">
      <w:pPr>
        <w:tabs>
          <w:tab w:val="clear" w:pos="794"/>
          <w:tab w:val="clear" w:pos="1191"/>
          <w:tab w:val="clear" w:pos="1588"/>
          <w:tab w:val="clear" w:pos="1985"/>
        </w:tabs>
        <w:overflowPunct/>
        <w:autoSpaceDE/>
        <w:autoSpaceDN/>
        <w:adjustRightInd/>
        <w:spacing w:after="200" w:line="276" w:lineRule="auto"/>
        <w:textAlignment w:val="auto"/>
        <w:rPr>
          <w:szCs w:val="24"/>
          <w:lang w:val="es-ES_tradnl"/>
        </w:rPr>
      </w:pPr>
      <w:r w:rsidRPr="00811678">
        <w:rPr>
          <w:szCs w:val="24"/>
          <w:lang w:val="es-ES_tradnl"/>
        </w:rPr>
        <w:t xml:space="preserve">Tras una fase inicial de recopilación de datos y una evaluación minuciosa de las actuales actividades sobre el terreno, el proyecto ha entrado ahora en su fase de diseño, en la que se están elaborando y evaluando posibles nuevas opciones </w:t>
      </w:r>
      <w:r>
        <w:rPr>
          <w:szCs w:val="24"/>
          <w:lang w:val="es-ES_tradnl"/>
        </w:rPr>
        <w:t>de</w:t>
      </w:r>
      <w:r w:rsidRPr="00811678">
        <w:rPr>
          <w:szCs w:val="24"/>
          <w:lang w:val="es-ES_tradnl"/>
        </w:rPr>
        <w:t xml:space="preserve"> presencia regional de la UIT. La tercera y última fase del proyecto se centrará en la preparación de una hoja de ruta para la aplicación de</w:t>
      </w:r>
      <w:r>
        <w:rPr>
          <w:szCs w:val="24"/>
          <w:lang w:val="es-ES_tradnl"/>
        </w:rPr>
        <w:t>l</w:t>
      </w:r>
      <w:r w:rsidRPr="00811678">
        <w:rPr>
          <w:szCs w:val="24"/>
          <w:lang w:val="es-ES_tradnl"/>
        </w:rPr>
        <w:t xml:space="preserve"> nuevo modelo </w:t>
      </w:r>
      <w:r>
        <w:rPr>
          <w:szCs w:val="24"/>
          <w:lang w:val="es-ES_tradnl"/>
        </w:rPr>
        <w:t>que se proponga</w:t>
      </w:r>
      <w:r w:rsidRPr="00811678">
        <w:rPr>
          <w:szCs w:val="24"/>
          <w:lang w:val="es-ES_tradnl"/>
        </w:rPr>
        <w:t>.</w:t>
      </w:r>
    </w:p>
    <w:p w14:paraId="718D53C4" w14:textId="67EBFB3E" w:rsidR="00866A41" w:rsidRPr="00192511" w:rsidRDefault="00866A41" w:rsidP="00811678">
      <w:pPr>
        <w:tabs>
          <w:tab w:val="clear" w:pos="794"/>
          <w:tab w:val="clear" w:pos="1191"/>
          <w:tab w:val="clear" w:pos="1588"/>
          <w:tab w:val="clear" w:pos="1985"/>
        </w:tabs>
        <w:overflowPunct/>
        <w:autoSpaceDE/>
        <w:autoSpaceDN/>
        <w:adjustRightInd/>
        <w:spacing w:after="200" w:line="276" w:lineRule="auto"/>
        <w:textAlignment w:val="auto"/>
        <w:rPr>
          <w:szCs w:val="24"/>
          <w:lang w:val="es-ES_tradnl"/>
        </w:rPr>
      </w:pPr>
      <w:r w:rsidRPr="00811678">
        <w:rPr>
          <w:szCs w:val="24"/>
          <w:lang w:val="es-ES_tradnl"/>
        </w:rPr>
        <w:lastRenderedPageBreak/>
        <w:t>En el contexto del proyecto, PwC ha examinado y analizado hasta la fecha más de 100</w:t>
      </w:r>
      <w:r w:rsidR="00C84877">
        <w:rPr>
          <w:szCs w:val="24"/>
          <w:lang w:val="es-ES_tradnl"/>
        </w:rPr>
        <w:t> </w:t>
      </w:r>
      <w:r w:rsidRPr="00811678">
        <w:rPr>
          <w:szCs w:val="24"/>
          <w:lang w:val="es-ES_tradnl"/>
        </w:rPr>
        <w:t xml:space="preserve">documentos, ha realizado entrevistas con más de 100 interesados internos y externos, ha reunido las aportaciones de los miembros mediante un cuestionario en línea y ha organizado diversas sesiones de información y reuniones con los miembros, incluso durante las reuniones </w:t>
      </w:r>
      <w:r>
        <w:rPr>
          <w:szCs w:val="24"/>
          <w:lang w:val="es-ES_tradnl"/>
        </w:rPr>
        <w:t>de los GTC</w:t>
      </w:r>
      <w:r w:rsidRPr="00811678">
        <w:rPr>
          <w:szCs w:val="24"/>
          <w:lang w:val="es-ES_tradnl"/>
        </w:rPr>
        <w:t xml:space="preserve"> de febrero de 2020.</w:t>
      </w:r>
    </w:p>
    <w:p w14:paraId="55D38A73" w14:textId="77777777" w:rsidR="00866A41" w:rsidRPr="00192511" w:rsidRDefault="00866A41" w:rsidP="00E32E6C">
      <w:pPr>
        <w:pStyle w:val="Heading1"/>
        <w:rPr>
          <w:lang w:val="es-ES_tradnl"/>
        </w:rPr>
      </w:pPr>
      <w:r w:rsidRPr="00192511">
        <w:rPr>
          <w:lang w:val="es-ES_tradnl"/>
        </w:rPr>
        <w:t>3</w:t>
      </w:r>
      <w:r w:rsidRPr="00192511">
        <w:rPr>
          <w:lang w:val="es-ES_tradnl"/>
        </w:rPr>
        <w:tab/>
        <w:t>Conclusiones</w:t>
      </w:r>
    </w:p>
    <w:p w14:paraId="2F734E8C" w14:textId="490D8C63" w:rsidR="00866A41" w:rsidRPr="004D79DA" w:rsidRDefault="00866A41" w:rsidP="004D79DA">
      <w:pPr>
        <w:overflowPunct/>
        <w:autoSpaceDE/>
        <w:autoSpaceDN/>
        <w:adjustRightInd/>
        <w:textAlignment w:val="auto"/>
        <w:rPr>
          <w:lang w:val="es-ES_tradnl"/>
        </w:rPr>
      </w:pPr>
      <w:r w:rsidRPr="004D79DA">
        <w:rPr>
          <w:lang w:val="es-ES_tradnl"/>
        </w:rPr>
        <w:t xml:space="preserve">El proyecto avanza según lo previsto, y el informe de PwC se presentará al Consejo en </w:t>
      </w:r>
      <w:r w:rsidR="00FB01FE">
        <w:rPr>
          <w:lang w:val="es-ES_tradnl"/>
        </w:rPr>
        <w:t xml:space="preserve">la </w:t>
      </w:r>
      <w:r>
        <w:rPr>
          <w:lang w:val="es-ES_tradnl"/>
        </w:rPr>
        <w:t>reunión</w:t>
      </w:r>
      <w:r w:rsidRPr="004D79DA">
        <w:rPr>
          <w:lang w:val="es-ES_tradnl"/>
        </w:rPr>
        <w:t xml:space="preserve"> de 2020, </w:t>
      </w:r>
      <w:r>
        <w:rPr>
          <w:lang w:val="es-ES_tradnl"/>
        </w:rPr>
        <w:t xml:space="preserve">tal y </w:t>
      </w:r>
      <w:r w:rsidRPr="004D79DA">
        <w:rPr>
          <w:lang w:val="es-ES_tradnl"/>
        </w:rPr>
        <w:t xml:space="preserve">como se </w:t>
      </w:r>
      <w:r>
        <w:rPr>
          <w:lang w:val="es-ES_tradnl"/>
        </w:rPr>
        <w:t>requiere</w:t>
      </w:r>
      <w:r w:rsidRPr="004D79DA">
        <w:rPr>
          <w:lang w:val="es-ES_tradnl"/>
        </w:rPr>
        <w:t xml:space="preserve"> en la </w:t>
      </w:r>
      <w:r>
        <w:rPr>
          <w:lang w:val="es-ES_tradnl"/>
        </w:rPr>
        <w:t>R</w:t>
      </w:r>
      <w:r w:rsidRPr="004D79DA">
        <w:rPr>
          <w:lang w:val="es-ES_tradnl"/>
        </w:rPr>
        <w:t>esolución 25 (Rev. Dubái, 2018).</w:t>
      </w:r>
    </w:p>
    <w:p w14:paraId="0E6E45CB" w14:textId="77777777" w:rsidR="006B4E45" w:rsidRPr="00FB01FE" w:rsidRDefault="00866A41" w:rsidP="006B4E45">
      <w:pPr>
        <w:overflowPunct/>
        <w:autoSpaceDE/>
        <w:autoSpaceDN/>
        <w:adjustRightInd/>
        <w:textAlignment w:val="auto"/>
        <w:rPr>
          <w:lang w:val="es-ES"/>
        </w:rPr>
      </w:pPr>
      <w:r w:rsidRPr="004D79DA">
        <w:rPr>
          <w:lang w:val="es-ES_tradnl"/>
        </w:rPr>
        <w:t>PwC presentará un informe oral sobre la situación durante el GADT</w:t>
      </w:r>
      <w:r w:rsidRPr="00192511">
        <w:rPr>
          <w:lang w:val="es-ES_tradnl"/>
        </w:rPr>
        <w:t>.</w:t>
      </w:r>
    </w:p>
    <w:p w14:paraId="60E440C3" w14:textId="77777777" w:rsidR="006B4E45" w:rsidRPr="00FB01FE" w:rsidRDefault="006B4E45" w:rsidP="006B4E45">
      <w:pPr>
        <w:overflowPunct/>
        <w:autoSpaceDE/>
        <w:autoSpaceDN/>
        <w:adjustRightInd/>
        <w:textAlignment w:val="auto"/>
        <w:rPr>
          <w:lang w:val="es-ES"/>
        </w:rPr>
      </w:pPr>
    </w:p>
    <w:p w14:paraId="2F955D52" w14:textId="77777777" w:rsidR="006B4E45" w:rsidRDefault="006B4E45">
      <w:pPr>
        <w:jc w:val="center"/>
      </w:pPr>
      <w:r>
        <w:t>______________</w:t>
      </w:r>
    </w:p>
    <w:p w14:paraId="0C67707A" w14:textId="3E8A762C" w:rsidR="00866A41" w:rsidRPr="00192511" w:rsidRDefault="00866A41" w:rsidP="006B4E45">
      <w:pPr>
        <w:overflowPunct/>
        <w:autoSpaceDE/>
        <w:autoSpaceDN/>
        <w:adjustRightInd/>
        <w:textAlignment w:val="auto"/>
        <w:rPr>
          <w:lang w:val="es-ES_tradnl"/>
        </w:rPr>
      </w:pPr>
    </w:p>
    <w:p w14:paraId="1C9F0271" w14:textId="77777777" w:rsidR="000725A1" w:rsidRDefault="000725A1" w:rsidP="00866A41"/>
    <w:sectPr w:rsidR="000725A1" w:rsidSect="004B7893">
      <w:headerReference w:type="default" r:id="rId13"/>
      <w:footerReference w:type="default" r:id="rId14"/>
      <w:headerReference w:type="firs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3670" w14:textId="77777777" w:rsidR="00866A41" w:rsidRDefault="00866A41" w:rsidP="0088106F">
      <w:r>
        <w:separator/>
      </w:r>
    </w:p>
  </w:endnote>
  <w:endnote w:type="continuationSeparator" w:id="0">
    <w:p w14:paraId="2A7AD9A6" w14:textId="77777777" w:rsidR="00866A41" w:rsidRDefault="00866A4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72CC" w14:textId="7D1D2B88" w:rsidR="009A6FC4" w:rsidRDefault="0055509E">
    <w:pPr>
      <w:pStyle w:val="Footer"/>
    </w:pPr>
    <w:fldSimple w:instr=" FILENAME \p  \* MERGEFORMAT ">
      <w:r w:rsidR="00B7450F">
        <w:t>P:\ESP\ITU-D\CONF-D\TDAG20\000\025S.docx</w:t>
      </w:r>
    </w:fldSimple>
    <w:r w:rsidR="009A6FC4">
      <w:tab/>
    </w:r>
    <w:r w:rsidR="009A6FC4">
      <w:fldChar w:fldCharType="begin"/>
    </w:r>
    <w:r w:rsidR="009A6FC4">
      <w:instrText xml:space="preserve"> SAVEDATE \@ DD.MM.YY </w:instrText>
    </w:r>
    <w:r w:rsidR="009A6FC4">
      <w:fldChar w:fldCharType="separate"/>
    </w:r>
    <w:r w:rsidR="00BE488E">
      <w:t>26.02.20</w:t>
    </w:r>
    <w:r w:rsidR="009A6FC4">
      <w:fldChar w:fldCharType="end"/>
    </w:r>
    <w:r w:rsidR="009A6FC4">
      <w:tab/>
    </w:r>
    <w:r w:rsidR="009A6FC4">
      <w:fldChar w:fldCharType="begin"/>
    </w:r>
    <w:r w:rsidR="009A6FC4">
      <w:instrText xml:space="preserve"> PRINTDATE \@ DD.MM.YY </w:instrText>
    </w:r>
    <w:r w:rsidR="009A6FC4">
      <w:fldChar w:fldCharType="separate"/>
    </w:r>
    <w:r w:rsidR="00B7450F">
      <w:t>24.02.20</w:t>
    </w:r>
    <w:r w:rsidR="009A6FC4">
      <w:fldChar w:fldCharType="end"/>
    </w:r>
  </w:p>
  <w:p w14:paraId="40E9CFA8" w14:textId="77777777" w:rsidR="0088106F" w:rsidRPr="009A6FC4" w:rsidRDefault="0088106F" w:rsidP="009A6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9D1BD4" w:rsidRPr="004D495C" w14:paraId="07C663B1" w14:textId="77777777" w:rsidTr="004E3CF5">
      <w:tc>
        <w:tcPr>
          <w:tcW w:w="1134" w:type="dxa"/>
          <w:tcBorders>
            <w:top w:val="single" w:sz="4" w:space="0" w:color="000000"/>
          </w:tcBorders>
          <w:shd w:val="clear" w:color="auto" w:fill="auto"/>
        </w:tcPr>
        <w:p w14:paraId="076A1418" w14:textId="77777777"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0B9186E8" w14:textId="77777777"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68F12FDF" w14:textId="6B94F593" w:rsidR="009D1BD4" w:rsidRPr="00050E06" w:rsidRDefault="00B64383" w:rsidP="009D1BD4">
          <w:pPr>
            <w:pStyle w:val="FirstFooter"/>
            <w:tabs>
              <w:tab w:val="left" w:pos="2302"/>
            </w:tabs>
            <w:ind w:left="2302" w:hanging="2302"/>
            <w:rPr>
              <w:sz w:val="18"/>
              <w:szCs w:val="18"/>
              <w:lang w:val="en-US"/>
            </w:rPr>
          </w:pPr>
          <w:bookmarkStart w:id="3" w:name="OrgName"/>
          <w:bookmarkEnd w:id="3"/>
          <w:r>
            <w:rPr>
              <w:sz w:val="18"/>
              <w:szCs w:val="18"/>
              <w:lang w:val="en-US"/>
            </w:rPr>
            <w:t>[Por confirmar]</w:t>
          </w:r>
        </w:p>
      </w:tc>
    </w:tr>
    <w:tr w:rsidR="009D1BD4" w:rsidRPr="004D495C" w14:paraId="361FA9FA" w14:textId="77777777" w:rsidTr="004E3CF5">
      <w:tc>
        <w:tcPr>
          <w:tcW w:w="1134" w:type="dxa"/>
          <w:shd w:val="clear" w:color="auto" w:fill="auto"/>
        </w:tcPr>
        <w:p w14:paraId="60EB436F"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3C86D3C3" w14:textId="77777777"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1B76C2E6" w14:textId="77777777" w:rsidR="009D1BD4" w:rsidRPr="00050E06" w:rsidRDefault="009D1BD4" w:rsidP="009D1BD4">
          <w:pPr>
            <w:pStyle w:val="FirstFooter"/>
            <w:tabs>
              <w:tab w:val="left" w:pos="2302"/>
            </w:tabs>
            <w:rPr>
              <w:sz w:val="18"/>
              <w:szCs w:val="18"/>
              <w:lang w:val="en-US"/>
            </w:rPr>
          </w:pPr>
          <w:bookmarkStart w:id="4" w:name="PhoneNo"/>
          <w:bookmarkEnd w:id="4"/>
        </w:p>
      </w:tc>
    </w:tr>
    <w:tr w:rsidR="009D1BD4" w:rsidRPr="004D495C" w14:paraId="260AA875" w14:textId="77777777" w:rsidTr="004E3CF5">
      <w:tc>
        <w:tcPr>
          <w:tcW w:w="1134" w:type="dxa"/>
          <w:shd w:val="clear" w:color="auto" w:fill="auto"/>
        </w:tcPr>
        <w:p w14:paraId="77C8AD0A"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68A354F0" w14:textId="77777777"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14:paraId="5CFE6236" w14:textId="77777777" w:rsidR="009D1BD4" w:rsidRPr="00050E06" w:rsidRDefault="009D1BD4" w:rsidP="009D1BD4">
          <w:pPr>
            <w:pStyle w:val="FirstFooter"/>
            <w:tabs>
              <w:tab w:val="left" w:pos="2302"/>
            </w:tabs>
            <w:rPr>
              <w:sz w:val="18"/>
              <w:szCs w:val="18"/>
              <w:lang w:val="en-US"/>
            </w:rPr>
          </w:pPr>
          <w:bookmarkStart w:id="5" w:name="Email"/>
          <w:bookmarkEnd w:id="5"/>
        </w:p>
      </w:tc>
    </w:tr>
  </w:tbl>
  <w:p w14:paraId="01ED4721"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06CE806D" w14:textId="2337C56E" w:rsidR="006E4AB3" w:rsidRPr="006E4AB3" w:rsidRDefault="008870A7"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1A8C" w14:textId="7F6BC0E7" w:rsidR="00866A41" w:rsidRPr="00866A41" w:rsidRDefault="006854F9" w:rsidP="00866A41">
    <w:pPr>
      <w:pStyle w:val="Footer"/>
    </w:pPr>
    <w:r>
      <w:t>P</w:t>
    </w:r>
    <w:r w:rsidRPr="006854F9">
      <w:t>:\ESP\ITU-D\CONF-D\TDAG20\000\02</w:t>
    </w:r>
    <w:r>
      <w:t>5</w:t>
    </w:r>
    <w:r w:rsidRPr="006854F9">
      <w:t>S.docx (46765</w:t>
    </w:r>
    <w:r>
      <w:t>3</w:t>
    </w:r>
    <w:r w:rsidRPr="006854F9">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4244" w14:textId="40DA5897" w:rsidR="00866A41" w:rsidRPr="006854F9" w:rsidRDefault="006854F9" w:rsidP="006854F9">
    <w:pPr>
      <w:pStyle w:val="Footer"/>
    </w:pPr>
    <w:r>
      <w:t>P</w:t>
    </w:r>
    <w:r w:rsidRPr="006854F9">
      <w:t>:\ESP\ITU-D\CONF-D\TDAG20\000\02</w:t>
    </w:r>
    <w:r>
      <w:t>5</w:t>
    </w:r>
    <w:r w:rsidRPr="006854F9">
      <w:t>S.docx (46765</w:t>
    </w:r>
    <w:r>
      <w:t>3</w:t>
    </w:r>
    <w:r w:rsidRPr="006854F9">
      <w:t>)</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3527" w14:textId="77777777" w:rsidR="00866A41" w:rsidRDefault="00866A41" w:rsidP="0088106F">
      <w:r>
        <w:separator/>
      </w:r>
    </w:p>
  </w:footnote>
  <w:footnote w:type="continuationSeparator" w:id="0">
    <w:p w14:paraId="22C84977" w14:textId="77777777" w:rsidR="00866A41" w:rsidRDefault="00866A41" w:rsidP="0088106F">
      <w:r>
        <w:continuationSeparator/>
      </w:r>
    </w:p>
  </w:footnote>
  <w:footnote w:id="1">
    <w:p w14:paraId="4BC4DDB0" w14:textId="77777777" w:rsidR="00866A41" w:rsidRPr="00811678" w:rsidRDefault="00866A41" w:rsidP="00811678">
      <w:pPr>
        <w:pStyle w:val="FootnoteText"/>
        <w:rPr>
          <w:sz w:val="20"/>
          <w:szCs w:val="18"/>
          <w:lang w:val="es-ES_tradnl"/>
        </w:rPr>
      </w:pPr>
      <w:r w:rsidRPr="00811678">
        <w:rPr>
          <w:rStyle w:val="FootnoteReference"/>
          <w:szCs w:val="18"/>
          <w:lang w:val="es-ES_tradnl"/>
        </w:rPr>
        <w:footnoteRef/>
      </w:r>
      <w:r w:rsidRPr="00811678">
        <w:rPr>
          <w:sz w:val="18"/>
          <w:szCs w:val="18"/>
          <w:lang w:val="es-ES_tradnl"/>
        </w:rPr>
        <w:t xml:space="preserve"> La lista completa de resultados finales </w:t>
      </w:r>
      <w:r>
        <w:rPr>
          <w:sz w:val="18"/>
          <w:szCs w:val="18"/>
          <w:lang w:val="es-ES_tradnl"/>
        </w:rPr>
        <w:t xml:space="preserve">se menciona en el Anexo 1 al Acuerdo 616 del Consejo.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B357" w14:textId="77777777"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/x-S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p w14:paraId="3D88F5FC" w14:textId="77777777" w:rsidR="009A6FC4" w:rsidRPr="009A6FC4" w:rsidRDefault="009A6FC4" w:rsidP="009A6FC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9C97" w14:textId="2E3B60AA" w:rsidR="00866A41" w:rsidRPr="009A6FC4" w:rsidRDefault="00866A41"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25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p w14:paraId="1CB52C51" w14:textId="77777777" w:rsidR="00866A41" w:rsidRPr="009A6FC4" w:rsidRDefault="00866A41" w:rsidP="009A6FC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036" w14:textId="2427C850" w:rsidR="00866A41" w:rsidRPr="0014510B" w:rsidRDefault="00866A41" w:rsidP="0014510B">
    <w:pPr>
      <w:tabs>
        <w:tab w:val="clear" w:pos="794"/>
        <w:tab w:val="clear" w:pos="1191"/>
        <w:tab w:val="clear" w:pos="1588"/>
        <w:tab w:val="clear" w:pos="1985"/>
        <w:tab w:val="center" w:pos="4536"/>
        <w:tab w:val="right" w:pos="9639"/>
      </w:tabs>
      <w:ind w:right="1"/>
      <w:jc w:val="right"/>
      <w:rPr>
        <w:smallCaps/>
        <w:spacing w:val="24"/>
        <w:sz w:val="22"/>
        <w:szCs w:val="22"/>
        <w:lang w:val="en-US"/>
      </w:rPr>
    </w:pPr>
    <w:r w:rsidRPr="003D4CFB">
      <w:rPr>
        <w:sz w:val="22"/>
        <w:szCs w:val="22"/>
        <w:lang w:val="en-US"/>
      </w:rPr>
      <w:t>TDAG</w:t>
    </w:r>
    <w:r>
      <w:rPr>
        <w:sz w:val="22"/>
        <w:szCs w:val="22"/>
        <w:lang w:val="en-US"/>
      </w:rPr>
      <w:t>-20</w:t>
    </w:r>
    <w:r w:rsidRPr="003D4CFB">
      <w:rPr>
        <w:sz w:val="22"/>
        <w:szCs w:val="22"/>
        <w:lang w:val="en-US"/>
      </w:rPr>
      <w:t>/</w:t>
    </w:r>
    <w:r>
      <w:rPr>
        <w:sz w:val="22"/>
        <w:szCs w:val="22"/>
        <w:lang w:val="en-US"/>
      </w:rPr>
      <w:t>25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41"/>
    <w:rsid w:val="000135AE"/>
    <w:rsid w:val="00033D49"/>
    <w:rsid w:val="00056110"/>
    <w:rsid w:val="000725A1"/>
    <w:rsid w:val="000C0AA7"/>
    <w:rsid w:val="000D31D6"/>
    <w:rsid w:val="000E7A0A"/>
    <w:rsid w:val="0014510B"/>
    <w:rsid w:val="00194CB2"/>
    <w:rsid w:val="00213302"/>
    <w:rsid w:val="00221C14"/>
    <w:rsid w:val="00225D2E"/>
    <w:rsid w:val="0023766B"/>
    <w:rsid w:val="00241CB9"/>
    <w:rsid w:val="002A7FAB"/>
    <w:rsid w:val="002D4BE6"/>
    <w:rsid w:val="002D6772"/>
    <w:rsid w:val="00302736"/>
    <w:rsid w:val="0033649F"/>
    <w:rsid w:val="00360762"/>
    <w:rsid w:val="00390391"/>
    <w:rsid w:val="003D4CFB"/>
    <w:rsid w:val="00482632"/>
    <w:rsid w:val="004B0520"/>
    <w:rsid w:val="004B7893"/>
    <w:rsid w:val="004E7861"/>
    <w:rsid w:val="004F497E"/>
    <w:rsid w:val="00535C50"/>
    <w:rsid w:val="0055509E"/>
    <w:rsid w:val="005557A3"/>
    <w:rsid w:val="005637B9"/>
    <w:rsid w:val="005643DC"/>
    <w:rsid w:val="00602B27"/>
    <w:rsid w:val="006339E7"/>
    <w:rsid w:val="00635A62"/>
    <w:rsid w:val="006854F9"/>
    <w:rsid w:val="006B4E45"/>
    <w:rsid w:val="006E4AB3"/>
    <w:rsid w:val="006F39EB"/>
    <w:rsid w:val="007C3061"/>
    <w:rsid w:val="007E471D"/>
    <w:rsid w:val="00835A77"/>
    <w:rsid w:val="0086435F"/>
    <w:rsid w:val="00866A41"/>
    <w:rsid w:val="0088106F"/>
    <w:rsid w:val="008870A7"/>
    <w:rsid w:val="008C1852"/>
    <w:rsid w:val="008D789A"/>
    <w:rsid w:val="00917B12"/>
    <w:rsid w:val="009752D2"/>
    <w:rsid w:val="00991B13"/>
    <w:rsid w:val="009952F6"/>
    <w:rsid w:val="009A6FC4"/>
    <w:rsid w:val="009D1BD4"/>
    <w:rsid w:val="00A33516"/>
    <w:rsid w:val="00A87DD9"/>
    <w:rsid w:val="00AA076A"/>
    <w:rsid w:val="00AE1BA7"/>
    <w:rsid w:val="00AF563E"/>
    <w:rsid w:val="00B64383"/>
    <w:rsid w:val="00B7450F"/>
    <w:rsid w:val="00BC7208"/>
    <w:rsid w:val="00BE488E"/>
    <w:rsid w:val="00C16A1C"/>
    <w:rsid w:val="00C84877"/>
    <w:rsid w:val="00CF0023"/>
    <w:rsid w:val="00D16175"/>
    <w:rsid w:val="00D372A5"/>
    <w:rsid w:val="00E17138"/>
    <w:rsid w:val="00E204A0"/>
    <w:rsid w:val="00E3519F"/>
    <w:rsid w:val="00E51C72"/>
    <w:rsid w:val="00E827C2"/>
    <w:rsid w:val="00EB6D19"/>
    <w:rsid w:val="00ED2681"/>
    <w:rsid w:val="00F01E28"/>
    <w:rsid w:val="00F12690"/>
    <w:rsid w:val="00FA67A2"/>
    <w:rsid w:val="00FB01FE"/>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84DB1"/>
  <w15:docId w15:val="{8F08194D-CD9A-4B43-88C6-CB4F49C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14510B"/>
    <w:rPr>
      <w:color w:val="605E5C"/>
      <w:shd w:val="clear" w:color="auto" w:fill="E1DFDD"/>
    </w:rPr>
  </w:style>
  <w:style w:type="character" w:styleId="FollowedHyperlink">
    <w:name w:val="FollowedHyperlink"/>
    <w:basedOn w:val="DefaultParagraphFont"/>
    <w:uiPriority w:val="99"/>
    <w:semiHidden/>
    <w:unhideWhenUsed/>
    <w:rsid w:val="00145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S.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9-CL-C-0133/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defaul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6C1F-285F-48CC-8383-6146E63F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36</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27</cp:revision>
  <cp:lastPrinted>2020-02-24T10:52:00Z</cp:lastPrinted>
  <dcterms:created xsi:type="dcterms:W3CDTF">2020-02-24T10:27:00Z</dcterms:created>
  <dcterms:modified xsi:type="dcterms:W3CDTF">2020-03-10T13:28:00Z</dcterms:modified>
</cp:coreProperties>
</file>