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56182D" w14:paraId="04B1B9AE" w14:textId="77777777" w:rsidTr="006D7E3A">
        <w:trPr>
          <w:cantSplit/>
          <w:trHeight w:val="1134"/>
        </w:trPr>
        <w:tc>
          <w:tcPr>
            <w:tcW w:w="7251" w:type="dxa"/>
          </w:tcPr>
          <w:p w14:paraId="05B4AB45" w14:textId="77777777" w:rsidR="0021438F" w:rsidRPr="0056182D" w:rsidRDefault="0021438F" w:rsidP="00CF3E07">
            <w:pPr>
              <w:tabs>
                <w:tab w:val="left" w:pos="1871"/>
                <w:tab w:val="left" w:pos="2268"/>
              </w:tabs>
              <w:spacing w:before="20" w:after="48"/>
              <w:ind w:left="34"/>
              <w:rPr>
                <w:b/>
                <w:bCs/>
                <w:sz w:val="32"/>
                <w:szCs w:val="32"/>
                <w:lang w:val="fr-FR"/>
              </w:rPr>
            </w:pPr>
            <w:r w:rsidRPr="0056182D">
              <w:rPr>
                <w:b/>
                <w:sz w:val="32"/>
                <w:szCs w:val="32"/>
                <w:lang w:val="fr-FR"/>
              </w:rPr>
              <w:t>Groupe</w:t>
            </w:r>
            <w:r w:rsidRPr="0056182D">
              <w:rPr>
                <w:b/>
                <w:bCs/>
                <w:sz w:val="32"/>
                <w:szCs w:val="32"/>
                <w:lang w:val="fr-FR"/>
              </w:rPr>
              <w:t xml:space="preserve"> consultatif pour le développement </w:t>
            </w:r>
            <w:r w:rsidRPr="0056182D">
              <w:rPr>
                <w:b/>
                <w:bCs/>
                <w:sz w:val="32"/>
                <w:szCs w:val="32"/>
                <w:lang w:val="fr-FR"/>
              </w:rPr>
              <w:br/>
              <w:t>des télécommunications (GCDT)</w:t>
            </w:r>
          </w:p>
          <w:p w14:paraId="7F1B377A" w14:textId="0336BFE3" w:rsidR="0021438F" w:rsidRPr="0056182D" w:rsidRDefault="00D87E6C" w:rsidP="00CF3E07">
            <w:pPr>
              <w:tabs>
                <w:tab w:val="clear" w:pos="1191"/>
                <w:tab w:val="clear" w:pos="1588"/>
                <w:tab w:val="clear" w:pos="1985"/>
              </w:tabs>
              <w:spacing w:before="100" w:after="120"/>
              <w:ind w:left="34"/>
              <w:rPr>
                <w:rFonts w:ascii="Verdana" w:hAnsi="Verdana"/>
                <w:sz w:val="28"/>
                <w:szCs w:val="28"/>
                <w:lang w:val="fr-FR"/>
              </w:rPr>
            </w:pPr>
            <w:r w:rsidRPr="0056182D">
              <w:rPr>
                <w:b/>
                <w:bCs/>
                <w:sz w:val="26"/>
                <w:szCs w:val="26"/>
                <w:lang w:val="fr-FR"/>
              </w:rPr>
              <w:t>2</w:t>
            </w:r>
            <w:r w:rsidR="002577C1" w:rsidRPr="0056182D">
              <w:rPr>
                <w:b/>
                <w:bCs/>
                <w:sz w:val="26"/>
                <w:szCs w:val="26"/>
                <w:lang w:val="fr-FR"/>
              </w:rPr>
              <w:t>5</w:t>
            </w:r>
            <w:r w:rsidRPr="0056182D">
              <w:rPr>
                <w:b/>
                <w:bCs/>
                <w:sz w:val="26"/>
                <w:szCs w:val="26"/>
                <w:lang w:val="fr-FR"/>
              </w:rPr>
              <w:t xml:space="preserve">ème réunion, Genève, </w:t>
            </w:r>
            <w:r w:rsidR="00764102">
              <w:rPr>
                <w:b/>
                <w:bCs/>
                <w:sz w:val="26"/>
                <w:szCs w:val="26"/>
                <w:lang w:val="fr-FR"/>
              </w:rPr>
              <w:t>2-5 juin</w:t>
            </w:r>
            <w:r w:rsidR="009524F2">
              <w:rPr>
                <w:b/>
                <w:bCs/>
                <w:sz w:val="26"/>
                <w:szCs w:val="26"/>
                <w:lang w:val="fr-FR"/>
              </w:rPr>
              <w:t xml:space="preserve"> </w:t>
            </w:r>
            <w:bookmarkStart w:id="0" w:name="_GoBack"/>
            <w:bookmarkEnd w:id="0"/>
            <w:r w:rsidRPr="0056182D">
              <w:rPr>
                <w:b/>
                <w:bCs/>
                <w:sz w:val="26"/>
                <w:szCs w:val="26"/>
                <w:lang w:val="fr-FR"/>
              </w:rPr>
              <w:t>20</w:t>
            </w:r>
            <w:r w:rsidR="00CC427E" w:rsidRPr="0056182D">
              <w:rPr>
                <w:b/>
                <w:bCs/>
                <w:sz w:val="26"/>
                <w:szCs w:val="26"/>
                <w:lang w:val="fr-FR"/>
              </w:rPr>
              <w:t>20</w:t>
            </w:r>
          </w:p>
        </w:tc>
        <w:tc>
          <w:tcPr>
            <w:tcW w:w="2996" w:type="dxa"/>
          </w:tcPr>
          <w:p w14:paraId="522C331D" w14:textId="77777777" w:rsidR="0021438F" w:rsidRPr="0056182D" w:rsidRDefault="00D87E6C" w:rsidP="00CF3E07">
            <w:pPr>
              <w:spacing w:before="0"/>
              <w:ind w:right="142"/>
              <w:jc w:val="right"/>
              <w:rPr>
                <w:lang w:val="fr-FR"/>
              </w:rPr>
            </w:pPr>
            <w:r w:rsidRPr="0056182D">
              <w:rPr>
                <w:noProof/>
                <w:color w:val="3399FF"/>
                <w:lang w:val="fr-FR" w:eastAsia="en-GB"/>
              </w:rPr>
              <w:drawing>
                <wp:inline distT="0" distB="0" distL="0" distR="0" wp14:anchorId="3336B318" wp14:editId="54815DF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56182D" w14:paraId="1DCA1B4A" w14:textId="77777777" w:rsidTr="000C61E9">
        <w:trPr>
          <w:cantSplit/>
        </w:trPr>
        <w:tc>
          <w:tcPr>
            <w:tcW w:w="7251" w:type="dxa"/>
            <w:tcBorders>
              <w:top w:val="single" w:sz="12" w:space="0" w:color="auto"/>
            </w:tcBorders>
          </w:tcPr>
          <w:p w14:paraId="312CE908" w14:textId="77777777" w:rsidR="00683C32" w:rsidRPr="0056182D" w:rsidRDefault="00683C32" w:rsidP="00CF3E07">
            <w:pPr>
              <w:spacing w:before="0"/>
              <w:rPr>
                <w:rFonts w:cs="Arial"/>
                <w:b/>
                <w:bCs/>
                <w:sz w:val="20"/>
                <w:lang w:val="fr-FR"/>
              </w:rPr>
            </w:pPr>
          </w:p>
        </w:tc>
        <w:tc>
          <w:tcPr>
            <w:tcW w:w="2996" w:type="dxa"/>
            <w:tcBorders>
              <w:top w:val="single" w:sz="12" w:space="0" w:color="auto"/>
            </w:tcBorders>
          </w:tcPr>
          <w:p w14:paraId="22F4A0D0" w14:textId="77777777" w:rsidR="00683C32" w:rsidRPr="0056182D" w:rsidRDefault="00683C32" w:rsidP="00CF3E07">
            <w:pPr>
              <w:spacing w:before="0"/>
              <w:rPr>
                <w:b/>
                <w:bCs/>
                <w:sz w:val="20"/>
                <w:lang w:val="fr-FR"/>
              </w:rPr>
            </w:pPr>
          </w:p>
        </w:tc>
      </w:tr>
      <w:tr w:rsidR="00683C32" w:rsidRPr="0056182D" w14:paraId="42FF2363" w14:textId="77777777" w:rsidTr="000C61E9">
        <w:trPr>
          <w:cantSplit/>
        </w:trPr>
        <w:tc>
          <w:tcPr>
            <w:tcW w:w="7251" w:type="dxa"/>
          </w:tcPr>
          <w:p w14:paraId="6D85A38C" w14:textId="77777777" w:rsidR="00683C32" w:rsidRPr="0056182D" w:rsidRDefault="00683C32" w:rsidP="00CF3E07">
            <w:pPr>
              <w:pStyle w:val="Committee"/>
              <w:spacing w:before="0"/>
              <w:rPr>
                <w:b w:val="0"/>
                <w:szCs w:val="24"/>
                <w:lang w:val="fr-FR"/>
              </w:rPr>
            </w:pPr>
          </w:p>
        </w:tc>
        <w:tc>
          <w:tcPr>
            <w:tcW w:w="2996" w:type="dxa"/>
          </w:tcPr>
          <w:p w14:paraId="3AE01E82" w14:textId="1616D547" w:rsidR="00683C32" w:rsidRPr="0056182D" w:rsidRDefault="00323587" w:rsidP="00CF3E07">
            <w:pPr>
              <w:spacing w:before="0"/>
              <w:rPr>
                <w:bCs/>
                <w:szCs w:val="24"/>
                <w:lang w:val="fr-FR"/>
              </w:rPr>
            </w:pPr>
            <w:r w:rsidRPr="0056182D">
              <w:rPr>
                <w:b/>
                <w:bCs/>
                <w:szCs w:val="28"/>
                <w:lang w:val="fr-FR"/>
              </w:rPr>
              <w:t xml:space="preserve">Document </w:t>
            </w:r>
            <w:bookmarkStart w:id="1" w:name="DocRef1"/>
            <w:bookmarkEnd w:id="1"/>
            <w:r w:rsidRPr="0056182D">
              <w:rPr>
                <w:b/>
                <w:bCs/>
                <w:szCs w:val="28"/>
                <w:lang w:val="fr-FR"/>
              </w:rPr>
              <w:t>TDAG</w:t>
            </w:r>
            <w:r w:rsidR="008F20EB" w:rsidRPr="0056182D">
              <w:rPr>
                <w:b/>
                <w:bCs/>
                <w:szCs w:val="28"/>
                <w:lang w:val="fr-FR"/>
              </w:rPr>
              <w:t>-</w:t>
            </w:r>
            <w:r w:rsidR="002577C1" w:rsidRPr="0056182D">
              <w:rPr>
                <w:b/>
                <w:bCs/>
                <w:szCs w:val="28"/>
                <w:lang w:val="fr-FR"/>
              </w:rPr>
              <w:t>20</w:t>
            </w:r>
            <w:r w:rsidRPr="0056182D">
              <w:rPr>
                <w:b/>
                <w:bCs/>
                <w:szCs w:val="28"/>
                <w:lang w:val="fr-FR"/>
              </w:rPr>
              <w:t>/</w:t>
            </w:r>
            <w:bookmarkStart w:id="2" w:name="DocNo1"/>
            <w:bookmarkEnd w:id="2"/>
            <w:r w:rsidR="00CC427E" w:rsidRPr="0056182D">
              <w:rPr>
                <w:b/>
                <w:bCs/>
                <w:szCs w:val="28"/>
                <w:lang w:val="fr-FR"/>
              </w:rPr>
              <w:t>27</w:t>
            </w:r>
            <w:r w:rsidRPr="0056182D">
              <w:rPr>
                <w:b/>
                <w:bCs/>
                <w:szCs w:val="28"/>
                <w:lang w:val="fr-FR"/>
              </w:rPr>
              <w:t>-F</w:t>
            </w:r>
          </w:p>
        </w:tc>
      </w:tr>
      <w:tr w:rsidR="00683C32" w:rsidRPr="0056182D" w14:paraId="741EAADB" w14:textId="77777777" w:rsidTr="000C61E9">
        <w:trPr>
          <w:cantSplit/>
        </w:trPr>
        <w:tc>
          <w:tcPr>
            <w:tcW w:w="7251" w:type="dxa"/>
          </w:tcPr>
          <w:p w14:paraId="50FD75B7" w14:textId="77777777" w:rsidR="00683C32" w:rsidRPr="0056182D" w:rsidRDefault="00683C32" w:rsidP="00CF3E07">
            <w:pPr>
              <w:spacing w:before="0"/>
              <w:rPr>
                <w:b/>
                <w:bCs/>
                <w:smallCaps/>
                <w:szCs w:val="24"/>
                <w:lang w:val="fr-FR"/>
              </w:rPr>
            </w:pPr>
          </w:p>
        </w:tc>
        <w:tc>
          <w:tcPr>
            <w:tcW w:w="2996" w:type="dxa"/>
          </w:tcPr>
          <w:p w14:paraId="2699C4C6" w14:textId="26FA29B0" w:rsidR="00683C32" w:rsidRPr="0056182D" w:rsidRDefault="00CC427E" w:rsidP="00CF3E07">
            <w:pPr>
              <w:spacing w:before="0"/>
              <w:rPr>
                <w:b/>
                <w:szCs w:val="24"/>
                <w:lang w:val="fr-FR"/>
              </w:rPr>
            </w:pPr>
            <w:bookmarkStart w:id="3" w:name="CreationDate"/>
            <w:bookmarkEnd w:id="3"/>
            <w:r w:rsidRPr="0056182D">
              <w:rPr>
                <w:b/>
                <w:bCs/>
                <w:szCs w:val="28"/>
                <w:lang w:val="fr-FR"/>
              </w:rPr>
              <w:t xml:space="preserve">31 janvier </w:t>
            </w:r>
            <w:r w:rsidR="00323587" w:rsidRPr="0056182D">
              <w:rPr>
                <w:b/>
                <w:bCs/>
                <w:szCs w:val="28"/>
                <w:lang w:val="fr-FR"/>
              </w:rPr>
              <w:t>20</w:t>
            </w:r>
            <w:r w:rsidR="002577C1" w:rsidRPr="0056182D">
              <w:rPr>
                <w:b/>
                <w:bCs/>
                <w:szCs w:val="28"/>
                <w:lang w:val="fr-FR"/>
              </w:rPr>
              <w:t>20</w:t>
            </w:r>
          </w:p>
        </w:tc>
      </w:tr>
      <w:tr w:rsidR="00683C32" w:rsidRPr="0056182D" w14:paraId="64F84BF7" w14:textId="77777777" w:rsidTr="000C61E9">
        <w:trPr>
          <w:cantSplit/>
        </w:trPr>
        <w:tc>
          <w:tcPr>
            <w:tcW w:w="7251" w:type="dxa"/>
          </w:tcPr>
          <w:p w14:paraId="578D85F9" w14:textId="77777777" w:rsidR="00683C32" w:rsidRPr="0056182D" w:rsidRDefault="00683C32" w:rsidP="00CF3E07">
            <w:pPr>
              <w:spacing w:before="0"/>
              <w:rPr>
                <w:b/>
                <w:bCs/>
                <w:smallCaps/>
                <w:szCs w:val="24"/>
                <w:lang w:val="fr-FR"/>
              </w:rPr>
            </w:pPr>
          </w:p>
        </w:tc>
        <w:tc>
          <w:tcPr>
            <w:tcW w:w="2996" w:type="dxa"/>
          </w:tcPr>
          <w:p w14:paraId="6B598961" w14:textId="01DAF2C5" w:rsidR="00514D2F" w:rsidRPr="0056182D" w:rsidRDefault="00323587" w:rsidP="00CF3E07">
            <w:pPr>
              <w:spacing w:before="0"/>
              <w:rPr>
                <w:szCs w:val="24"/>
                <w:lang w:val="fr-FR"/>
              </w:rPr>
            </w:pPr>
            <w:r w:rsidRPr="0056182D">
              <w:rPr>
                <w:b/>
                <w:szCs w:val="28"/>
                <w:lang w:val="fr-FR"/>
              </w:rPr>
              <w:t>Original:</w:t>
            </w:r>
            <w:bookmarkStart w:id="4" w:name="Original"/>
            <w:bookmarkEnd w:id="4"/>
            <w:r w:rsidR="00CC427E" w:rsidRPr="0056182D">
              <w:rPr>
                <w:b/>
                <w:bCs/>
                <w:szCs w:val="24"/>
                <w:lang w:val="fr-FR"/>
              </w:rPr>
              <w:t xml:space="preserve"> </w:t>
            </w:r>
            <w:r w:rsidR="00CC427E" w:rsidRPr="0056182D">
              <w:rPr>
                <w:b/>
                <w:bCs/>
                <w:szCs w:val="28"/>
                <w:lang w:val="fr-FR"/>
              </w:rPr>
              <w:t>anglais</w:t>
            </w:r>
          </w:p>
        </w:tc>
      </w:tr>
      <w:tr w:rsidR="00A13162" w:rsidRPr="0056182D" w14:paraId="72F4A9F1" w14:textId="77777777" w:rsidTr="000C61E9">
        <w:trPr>
          <w:cantSplit/>
          <w:trHeight w:val="852"/>
        </w:trPr>
        <w:tc>
          <w:tcPr>
            <w:tcW w:w="10247" w:type="dxa"/>
            <w:gridSpan w:val="2"/>
          </w:tcPr>
          <w:p w14:paraId="24873B24" w14:textId="73B770EF" w:rsidR="00A13162" w:rsidRPr="0056182D" w:rsidRDefault="00CC427E" w:rsidP="00CF3E07">
            <w:pPr>
              <w:pStyle w:val="Source"/>
              <w:rPr>
                <w:lang w:val="fr-FR"/>
              </w:rPr>
            </w:pPr>
            <w:bookmarkStart w:id="5" w:name="Source"/>
            <w:bookmarkEnd w:id="5"/>
            <w:r w:rsidRPr="0056182D">
              <w:rPr>
                <w:lang w:val="fr-FR"/>
              </w:rPr>
              <w:t>Président</w:t>
            </w:r>
            <w:r w:rsidR="0088155B" w:rsidRPr="0056182D">
              <w:rPr>
                <w:lang w:val="fr-FR"/>
              </w:rPr>
              <w:t>e</w:t>
            </w:r>
            <w:r w:rsidRPr="0056182D">
              <w:rPr>
                <w:lang w:val="fr-FR"/>
              </w:rPr>
              <w:t xml:space="preserve"> du Groupe sur les initiatives pour le renforcement des capacités (GCBI)</w:t>
            </w:r>
          </w:p>
        </w:tc>
      </w:tr>
      <w:tr w:rsidR="00AC6F14" w:rsidRPr="0056182D" w14:paraId="4118AD41" w14:textId="77777777" w:rsidTr="000C61E9">
        <w:trPr>
          <w:cantSplit/>
        </w:trPr>
        <w:tc>
          <w:tcPr>
            <w:tcW w:w="10247" w:type="dxa"/>
            <w:gridSpan w:val="2"/>
          </w:tcPr>
          <w:p w14:paraId="2F2888E6" w14:textId="207D22BC" w:rsidR="00AC6F14" w:rsidRPr="0056182D" w:rsidRDefault="00CC427E" w:rsidP="00CF3E07">
            <w:pPr>
              <w:pStyle w:val="Title1"/>
              <w:rPr>
                <w:lang w:val="fr-FR"/>
              </w:rPr>
            </w:pPr>
            <w:bookmarkStart w:id="6" w:name="Title"/>
            <w:bookmarkEnd w:id="6"/>
            <w:r w:rsidRPr="0056182D">
              <w:rPr>
                <w:lang w:val="fr-FR"/>
              </w:rPr>
              <w:t>RAPPORT SUR LES TRAVAUX DU GROUPE SUR LES INITIATIVES</w:t>
            </w:r>
            <w:r w:rsidRPr="0056182D">
              <w:rPr>
                <w:lang w:val="fr-FR"/>
              </w:rPr>
              <w:br/>
              <w:t>POUR LE RENFORCEMENT DES CAPACITÉS (GCBI) AU GCDT</w:t>
            </w:r>
          </w:p>
        </w:tc>
      </w:tr>
      <w:tr w:rsidR="00A721F4" w:rsidRPr="0056182D" w14:paraId="35E9ABE3" w14:textId="77777777" w:rsidTr="000C61E9">
        <w:trPr>
          <w:cantSplit/>
        </w:trPr>
        <w:tc>
          <w:tcPr>
            <w:tcW w:w="10247" w:type="dxa"/>
            <w:gridSpan w:val="2"/>
            <w:tcBorders>
              <w:bottom w:val="single" w:sz="4" w:space="0" w:color="auto"/>
            </w:tcBorders>
          </w:tcPr>
          <w:p w14:paraId="6ABB7E50" w14:textId="77777777" w:rsidR="00A721F4" w:rsidRPr="0056182D" w:rsidRDefault="00A721F4" w:rsidP="00CF3E07">
            <w:pPr>
              <w:rPr>
                <w:lang w:val="fr-FR"/>
              </w:rPr>
            </w:pPr>
          </w:p>
        </w:tc>
      </w:tr>
      <w:tr w:rsidR="00A721F4" w:rsidRPr="0056182D" w14:paraId="74446DF9"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607401B9" w14:textId="77777777" w:rsidR="00A721F4" w:rsidRPr="0056182D" w:rsidRDefault="00156BF6" w:rsidP="00CF3E07">
            <w:pPr>
              <w:rPr>
                <w:b/>
                <w:bCs/>
                <w:szCs w:val="24"/>
                <w:lang w:val="fr-FR"/>
              </w:rPr>
            </w:pPr>
            <w:r w:rsidRPr="0056182D">
              <w:rPr>
                <w:b/>
                <w:bCs/>
                <w:szCs w:val="24"/>
                <w:lang w:val="fr-FR"/>
              </w:rPr>
              <w:t>Résumé:</w:t>
            </w:r>
          </w:p>
          <w:p w14:paraId="5D730360" w14:textId="1A4F1C8E" w:rsidR="00A721F4" w:rsidRPr="0056182D" w:rsidRDefault="00CC427E" w:rsidP="00CF3E07">
            <w:pPr>
              <w:rPr>
                <w:szCs w:val="24"/>
                <w:lang w:val="fr-FR"/>
              </w:rPr>
            </w:pPr>
            <w:r w:rsidRPr="0056182D">
              <w:rPr>
                <w:szCs w:val="24"/>
                <w:lang w:val="fr-FR"/>
              </w:rPr>
              <w:t>Le présent document traite des travaux entrepris par le Groupe sur les initiatives pour le renforcement des capacités (GCBI). Ce Groupe a été établi en application de la Résolution 40, adoptée par la Conférence mondiale de développement des télécommunications de 2010 (CMDT-10) et modifiée par la CMDT-17, en vue de donner des avis au Directeur du Bureau de développement des télécommunications (BDT) sur les questions liées au renforcement des capacités.</w:t>
            </w:r>
          </w:p>
          <w:p w14:paraId="20556CAB" w14:textId="1FC1A651" w:rsidR="00A721F4" w:rsidRPr="0056182D" w:rsidRDefault="00CC427E" w:rsidP="00CF3E07">
            <w:pPr>
              <w:rPr>
                <w:b/>
                <w:bCs/>
                <w:szCs w:val="24"/>
                <w:lang w:val="fr-FR"/>
              </w:rPr>
            </w:pPr>
            <w:r w:rsidRPr="0056182D">
              <w:rPr>
                <w:b/>
                <w:bCs/>
                <w:szCs w:val="24"/>
                <w:lang w:val="fr-FR"/>
              </w:rPr>
              <w:t>Action demandée:</w:t>
            </w:r>
          </w:p>
          <w:p w14:paraId="08369A17" w14:textId="1391E98C" w:rsidR="00A721F4" w:rsidRPr="0056182D" w:rsidRDefault="00CC427E" w:rsidP="00CF3E07">
            <w:pPr>
              <w:rPr>
                <w:szCs w:val="24"/>
                <w:lang w:val="fr-FR"/>
              </w:rPr>
            </w:pPr>
            <w:r w:rsidRPr="0056182D">
              <w:rPr>
                <w:szCs w:val="24"/>
                <w:lang w:val="fr-FR"/>
              </w:rPr>
              <w:t>Le GCDT est invité à prendre note du présent document et à fournir les indications qu'il jugera utiles.</w:t>
            </w:r>
          </w:p>
          <w:p w14:paraId="31C22026" w14:textId="77777777" w:rsidR="00A721F4" w:rsidRPr="0056182D" w:rsidRDefault="00156BF6" w:rsidP="00CF3E07">
            <w:pPr>
              <w:rPr>
                <w:b/>
                <w:bCs/>
                <w:szCs w:val="24"/>
                <w:lang w:val="fr-FR"/>
              </w:rPr>
            </w:pPr>
            <w:r w:rsidRPr="0056182D">
              <w:rPr>
                <w:b/>
                <w:bCs/>
                <w:szCs w:val="24"/>
                <w:lang w:val="fr-FR"/>
              </w:rPr>
              <w:t>Références:</w:t>
            </w:r>
          </w:p>
          <w:p w14:paraId="57881343" w14:textId="60CE7D2B" w:rsidR="00CC427E" w:rsidRPr="0056182D" w:rsidRDefault="00CC427E" w:rsidP="00CF3E07">
            <w:pPr>
              <w:rPr>
                <w:lang w:val="fr-FR"/>
              </w:rPr>
            </w:pPr>
            <w:r w:rsidRPr="0056182D">
              <w:rPr>
                <w:lang w:val="fr-FR"/>
              </w:rPr>
              <w:t>Résolution 40 (Rév. Buenos Aires, 2017) de la CMDT, intitulée "Groupe sur les initiatives pour le renforcement des capacités"</w:t>
            </w:r>
            <w:r w:rsidR="00D15523" w:rsidRPr="0056182D">
              <w:rPr>
                <w:lang w:val="fr-FR"/>
              </w:rPr>
              <w:t>.</w:t>
            </w:r>
          </w:p>
          <w:p w14:paraId="1A57C88F" w14:textId="6CA4C6D1" w:rsidR="00CC427E" w:rsidRPr="0056182D" w:rsidRDefault="00CC427E" w:rsidP="00CF3E07">
            <w:pPr>
              <w:rPr>
                <w:lang w:val="fr-FR"/>
              </w:rPr>
            </w:pPr>
            <w:r w:rsidRPr="0056182D">
              <w:rPr>
                <w:lang w:val="fr-FR"/>
              </w:rPr>
              <w:t>Résolution 73 (Rév. Buenos Aires, 2017) de la CMDT</w:t>
            </w:r>
            <w:r w:rsidR="000D6796" w:rsidRPr="0056182D">
              <w:rPr>
                <w:lang w:val="fr-FR"/>
              </w:rPr>
              <w:t>,</w:t>
            </w:r>
            <w:r w:rsidRPr="0056182D">
              <w:rPr>
                <w:lang w:val="fr-FR"/>
              </w:rPr>
              <w:t xml:space="preserve"> sur les Centres d'excellence de l'UIT</w:t>
            </w:r>
            <w:r w:rsidR="00D15523" w:rsidRPr="0056182D">
              <w:rPr>
                <w:lang w:val="fr-FR"/>
              </w:rPr>
              <w:t>.</w:t>
            </w:r>
          </w:p>
          <w:p w14:paraId="7F5829B1" w14:textId="086C24DC" w:rsidR="00A721F4" w:rsidRPr="0056182D" w:rsidRDefault="00CC427E" w:rsidP="00CF3E07">
            <w:pPr>
              <w:spacing w:after="120"/>
              <w:rPr>
                <w:lang w:val="fr-FR"/>
              </w:rPr>
            </w:pPr>
            <w:r w:rsidRPr="0056182D">
              <w:rPr>
                <w:lang w:val="fr-FR"/>
              </w:rPr>
              <w:t>Résolution 169 (Rév. Dubaï, 2018) de la Conférence de plénipotentiaires, sur l'admission d'établissements universitaires à participer aux travaux de l'Union</w:t>
            </w:r>
            <w:r w:rsidR="00D15523" w:rsidRPr="0056182D">
              <w:rPr>
                <w:lang w:val="fr-FR"/>
              </w:rPr>
              <w:t>.</w:t>
            </w:r>
          </w:p>
        </w:tc>
      </w:tr>
    </w:tbl>
    <w:p w14:paraId="416B7CD0" w14:textId="77777777" w:rsidR="002577C1" w:rsidRPr="0056182D" w:rsidRDefault="002577C1" w:rsidP="00CF3E07">
      <w:pPr>
        <w:tabs>
          <w:tab w:val="clear" w:pos="794"/>
          <w:tab w:val="clear" w:pos="1191"/>
          <w:tab w:val="clear" w:pos="1588"/>
          <w:tab w:val="clear" w:pos="1985"/>
        </w:tabs>
        <w:overflowPunct/>
        <w:autoSpaceDE/>
        <w:autoSpaceDN/>
        <w:adjustRightInd/>
        <w:spacing w:before="0"/>
        <w:textAlignment w:val="auto"/>
        <w:rPr>
          <w:lang w:val="fr-FR"/>
        </w:rPr>
      </w:pPr>
      <w:r w:rsidRPr="0056182D">
        <w:rPr>
          <w:lang w:val="fr-FR"/>
        </w:rPr>
        <w:br w:type="page"/>
      </w:r>
    </w:p>
    <w:p w14:paraId="6D412A69" w14:textId="77777777" w:rsidR="00CC427E" w:rsidRPr="0056182D" w:rsidRDefault="00CC427E" w:rsidP="00CF3E07">
      <w:pPr>
        <w:spacing w:after="120"/>
        <w:rPr>
          <w:lang w:val="fr-FR"/>
        </w:rPr>
      </w:pPr>
      <w:r w:rsidRPr="0056182D">
        <w:rPr>
          <w:lang w:val="fr-FR"/>
        </w:rPr>
        <w:lastRenderedPageBreak/>
        <w:t>Le Groupe sur les initiatives pour le renforcement des capacités (GCBI) a été créé en application de la Résolution 40, adoptée par la Conférence mondiale de développement des télécommunications de 2010 (CMDT-10) et révisée par la CMDT-17, en vue de donner des avis au Directeur du Bureau de développement des télécommunications (BDT) sur les questions relatives au renforcement des capacités.</w:t>
      </w:r>
    </w:p>
    <w:p w14:paraId="7804F547" w14:textId="4D419584" w:rsidR="00CC427E" w:rsidRPr="0056182D" w:rsidRDefault="00CF3E07" w:rsidP="00CF3E07">
      <w:pPr>
        <w:pStyle w:val="Heading1"/>
        <w:rPr>
          <w:lang w:val="fr-FR"/>
        </w:rPr>
      </w:pPr>
      <w:r w:rsidRPr="0056182D">
        <w:rPr>
          <w:lang w:val="fr-FR"/>
        </w:rPr>
        <w:t>1</w:t>
      </w:r>
      <w:r w:rsidRPr="0056182D">
        <w:rPr>
          <w:lang w:val="fr-FR"/>
        </w:rPr>
        <w:tab/>
      </w:r>
      <w:r w:rsidR="00CC427E" w:rsidRPr="0056182D">
        <w:rPr>
          <w:lang w:val="fr-FR"/>
        </w:rPr>
        <w:t>Rapport de la septième réunion du Groupe GCBI (19-20 mars 2019)</w:t>
      </w:r>
    </w:p>
    <w:p w14:paraId="71429DCD" w14:textId="28399DF0" w:rsidR="00CC427E" w:rsidRPr="0056182D" w:rsidRDefault="00CC427E" w:rsidP="00CF3E07">
      <w:pPr>
        <w:spacing w:after="120"/>
        <w:rPr>
          <w:lang w:val="fr-FR"/>
        </w:rPr>
      </w:pPr>
      <w:r w:rsidRPr="0056182D">
        <w:rPr>
          <w:lang w:val="fr-FR"/>
        </w:rPr>
        <w:t>Le Groupe GCBI a tenu sa septième réunion les 19 et 20 mars 2019, à Genève. Cette réunion était la première que le Groupe GCBI tenait sous la nouvelle composition, à la suite de l</w:t>
      </w:r>
      <w:r w:rsidR="00A241C9" w:rsidRPr="0056182D">
        <w:rPr>
          <w:lang w:val="fr-FR"/>
        </w:rPr>
        <w:t>'</w:t>
      </w:r>
      <w:r w:rsidRPr="0056182D">
        <w:rPr>
          <w:lang w:val="fr-FR"/>
        </w:rPr>
        <w:t>invitation envoyée en 2018 par le Directeur du BDT à l</w:t>
      </w:r>
      <w:r w:rsidR="00A241C9" w:rsidRPr="0056182D">
        <w:rPr>
          <w:lang w:val="fr-FR"/>
        </w:rPr>
        <w:t>'</w:t>
      </w:r>
      <w:r w:rsidRPr="0056182D">
        <w:rPr>
          <w:lang w:val="fr-FR"/>
        </w:rPr>
        <w:t>intention des organisations régionales de télécommunication, en vue de la désignation de nouveaux membres du groupe, le mandat de plusieurs de ses membres parvenant à échéance en décembre 2018. En conséquence, huit nouveaux membres ont été désignés, et le mandat de quatre membres a été renouvelé. Le Groupe a approuvé la désignation de Mme Lidia Stępińska-Ustasiak, Conseillère et Chef de l</w:t>
      </w:r>
      <w:r w:rsidR="00A241C9" w:rsidRPr="0056182D">
        <w:rPr>
          <w:lang w:val="fr-FR"/>
        </w:rPr>
        <w:t>'</w:t>
      </w:r>
      <w:r w:rsidR="000D6796" w:rsidRPr="0056182D">
        <w:rPr>
          <w:lang w:val="fr-FR"/>
        </w:rPr>
        <w:t>U</w:t>
      </w:r>
      <w:r w:rsidRPr="0056182D">
        <w:rPr>
          <w:lang w:val="fr-FR"/>
        </w:rPr>
        <w:t>nité des politiques sociale</w:t>
      </w:r>
      <w:r w:rsidR="000D6796" w:rsidRPr="0056182D">
        <w:rPr>
          <w:lang w:val="fr-FR"/>
        </w:rPr>
        <w:t>s</w:t>
      </w:r>
      <w:r w:rsidRPr="0056182D">
        <w:rPr>
          <w:lang w:val="fr-FR"/>
        </w:rPr>
        <w:t xml:space="preserve"> du Bureau des communications électroniques (UKE) (Pologne), à la présidence du Groupe GCBI. Mme Gladys Ogallo, P.</w:t>
      </w:r>
      <w:r w:rsidR="0088155B" w:rsidRPr="0056182D">
        <w:rPr>
          <w:lang w:val="fr-FR"/>
        </w:rPr>
        <w:t>-</w:t>
      </w:r>
      <w:r w:rsidRPr="0056182D">
        <w:rPr>
          <w:lang w:val="fr-FR"/>
        </w:rPr>
        <w:t>D.</w:t>
      </w:r>
      <w:r w:rsidR="0088155B" w:rsidRPr="0056182D">
        <w:rPr>
          <w:lang w:val="fr-FR"/>
        </w:rPr>
        <w:t> </w:t>
      </w:r>
      <w:r w:rsidRPr="0056182D">
        <w:rPr>
          <w:lang w:val="fr-FR"/>
        </w:rPr>
        <w:t>G et Fondatrice de l</w:t>
      </w:r>
      <w:r w:rsidR="00A241C9" w:rsidRPr="0056182D">
        <w:rPr>
          <w:lang w:val="fr-FR"/>
        </w:rPr>
        <w:t>'</w:t>
      </w:r>
      <w:r w:rsidRPr="0056182D">
        <w:rPr>
          <w:lang w:val="fr-FR"/>
        </w:rPr>
        <w:t>entreprise Virtual Human Resources Services (Kenya) a été reconduite dans ses fonctions de Vice-Présidente du Groupe</w:t>
      </w:r>
      <w:r w:rsidR="0056182D" w:rsidRPr="0056182D">
        <w:rPr>
          <w:lang w:val="fr-FR"/>
        </w:rPr>
        <w:t> </w:t>
      </w:r>
      <w:r w:rsidRPr="0056182D">
        <w:rPr>
          <w:lang w:val="fr-FR"/>
        </w:rPr>
        <w:t>GCBI.</w:t>
      </w:r>
    </w:p>
    <w:p w14:paraId="23ACA8CD" w14:textId="4D9724D7" w:rsidR="00CC427E" w:rsidRPr="0056182D" w:rsidRDefault="00CC427E" w:rsidP="00CF3E07">
      <w:pPr>
        <w:spacing w:after="120"/>
        <w:rPr>
          <w:lang w:val="fr-FR"/>
        </w:rPr>
      </w:pPr>
      <w:r w:rsidRPr="0056182D">
        <w:rPr>
          <w:lang w:val="fr-FR"/>
        </w:rPr>
        <w:t>Les participants ont examiné les thèmes de travail futurs, les priorités régionales en matière de renforcement des capacités, les propositions visant à renforcer la participation des acteurs régionaux et les activités de l</w:t>
      </w:r>
      <w:r w:rsidR="00A241C9" w:rsidRPr="0056182D">
        <w:rPr>
          <w:lang w:val="fr-FR"/>
        </w:rPr>
        <w:t>'</w:t>
      </w:r>
      <w:r w:rsidRPr="0056182D">
        <w:rPr>
          <w:lang w:val="fr-FR"/>
        </w:rPr>
        <w:t>UIT en matière de renforcement des capacités et des compétences numériques.</w:t>
      </w:r>
    </w:p>
    <w:p w14:paraId="31D48688" w14:textId="7031F8B9" w:rsidR="00CC427E" w:rsidRPr="0056182D" w:rsidRDefault="00CC427E" w:rsidP="00CF3E07">
      <w:pPr>
        <w:tabs>
          <w:tab w:val="left" w:pos="884"/>
        </w:tabs>
        <w:spacing w:after="120"/>
        <w:rPr>
          <w:rFonts w:ascii="Calibri" w:eastAsia="SimSun" w:hAnsi="Calibri" w:cs="Traditional Arabic"/>
          <w:lang w:val="fr-FR"/>
        </w:rPr>
      </w:pPr>
      <w:r w:rsidRPr="0056182D">
        <w:rPr>
          <w:lang w:val="fr-FR"/>
        </w:rPr>
        <w:t>Le Groupe a pris note de la clôture du précédent cycle des Centres d</w:t>
      </w:r>
      <w:r w:rsidR="00A241C9" w:rsidRPr="0056182D">
        <w:rPr>
          <w:lang w:val="fr-FR"/>
        </w:rPr>
        <w:t>'</w:t>
      </w:r>
      <w:r w:rsidRPr="0056182D">
        <w:rPr>
          <w:lang w:val="fr-FR"/>
        </w:rPr>
        <w:t>excellence, à savoir 2015</w:t>
      </w:r>
      <w:r w:rsidR="00F5364D" w:rsidRPr="0056182D">
        <w:rPr>
          <w:lang w:val="fr-FR"/>
        </w:rPr>
        <w:noBreakHyphen/>
      </w:r>
      <w:r w:rsidRPr="0056182D">
        <w:rPr>
          <w:lang w:val="fr-FR"/>
        </w:rPr>
        <w:t>2018, de l</w:t>
      </w:r>
      <w:r w:rsidR="00A241C9" w:rsidRPr="0056182D">
        <w:rPr>
          <w:lang w:val="fr-FR"/>
        </w:rPr>
        <w:t>'</w:t>
      </w:r>
      <w:r w:rsidRPr="0056182D">
        <w:rPr>
          <w:lang w:val="fr-FR"/>
        </w:rPr>
        <w:t>évaluation des résultats des centres qui ont exercé leurs activités pendant cette période et de la sélection des nouveaux Centres d</w:t>
      </w:r>
      <w:r w:rsidR="00A241C9" w:rsidRPr="0056182D">
        <w:rPr>
          <w:lang w:val="fr-FR"/>
        </w:rPr>
        <w:t>'</w:t>
      </w:r>
      <w:r w:rsidRPr="0056182D">
        <w:rPr>
          <w:lang w:val="fr-FR"/>
        </w:rPr>
        <w:t>excellence pour le cycle 2019-2022 actuel. S</w:t>
      </w:r>
      <w:r w:rsidR="00A241C9" w:rsidRPr="0056182D">
        <w:rPr>
          <w:lang w:val="fr-FR"/>
        </w:rPr>
        <w:t>'</w:t>
      </w:r>
      <w:r w:rsidRPr="0056182D">
        <w:rPr>
          <w:lang w:val="fr-FR"/>
        </w:rPr>
        <w:t>agissant du cycle 2015-2018, le Groupe a observé que plus de 5 000 personnes avaient reçu une formation dans le cadre du programme des Centres d</w:t>
      </w:r>
      <w:r w:rsidR="00A241C9" w:rsidRPr="0056182D">
        <w:rPr>
          <w:lang w:val="fr-FR"/>
        </w:rPr>
        <w:t>'</w:t>
      </w:r>
      <w:r w:rsidRPr="0056182D">
        <w:rPr>
          <w:lang w:val="fr-FR"/>
        </w:rPr>
        <w:t>excellence, 55% des formations ayant été dispensées sous la forme de cours présentiels. En ce qui concerne le nouveau cycle, 29 centres ont été sélectionnés au niveau mondial. Ils déploient leurs activités dans 15 domaines prioritaires identifiés par les membres lors de la CMDT-17.</w:t>
      </w:r>
    </w:p>
    <w:p w14:paraId="4139E2E0" w14:textId="6C584B97" w:rsidR="00CC427E" w:rsidRPr="0056182D" w:rsidRDefault="00CC427E" w:rsidP="00CF3E07">
      <w:pPr>
        <w:spacing w:after="120"/>
        <w:rPr>
          <w:rFonts w:ascii="Calibri" w:eastAsia="SimSun" w:hAnsi="Calibri" w:cs="Traditional Arabic"/>
          <w:lang w:val="fr-FR"/>
        </w:rPr>
      </w:pPr>
      <w:r w:rsidRPr="0056182D">
        <w:rPr>
          <w:rFonts w:ascii="Calibri" w:eastAsia="SimSun" w:hAnsi="Calibri" w:cs="Traditional Arabic"/>
          <w:lang w:val="fr-FR"/>
        </w:rPr>
        <w:t>Le Groupe a mis en avant un certain nombre de défis et de possibilités en matière de renforcement des capacités qui pourraient être pris en considération dans l</w:t>
      </w:r>
      <w:r w:rsidR="00A241C9" w:rsidRPr="0056182D">
        <w:rPr>
          <w:rFonts w:ascii="Calibri" w:eastAsia="SimSun" w:hAnsi="Calibri" w:cs="Traditional Arabic"/>
          <w:lang w:val="fr-FR"/>
        </w:rPr>
        <w:t>'</w:t>
      </w:r>
      <w:r w:rsidRPr="0056182D">
        <w:rPr>
          <w:rFonts w:ascii="Calibri" w:eastAsia="SimSun" w:hAnsi="Calibri" w:cs="Traditional Arabic"/>
          <w:lang w:val="fr-FR"/>
        </w:rPr>
        <w:t>élaboration de stratégies de renforcement des capacités dans une perspective d</w:t>
      </w:r>
      <w:r w:rsidR="00A241C9" w:rsidRPr="0056182D">
        <w:rPr>
          <w:rFonts w:ascii="Calibri" w:eastAsia="SimSun" w:hAnsi="Calibri" w:cs="Traditional Arabic"/>
          <w:lang w:val="fr-FR"/>
        </w:rPr>
        <w:t>'</w:t>
      </w:r>
      <w:r w:rsidRPr="0056182D">
        <w:rPr>
          <w:rFonts w:ascii="Calibri" w:eastAsia="SimSun" w:hAnsi="Calibri" w:cs="Traditional Arabic"/>
          <w:lang w:val="fr-FR"/>
        </w:rPr>
        <w:t>avenir. Parmi les possibilités, on peut citer la mission importante des membres de l</w:t>
      </w:r>
      <w:r w:rsidR="00A241C9" w:rsidRPr="0056182D">
        <w:rPr>
          <w:rFonts w:ascii="Calibri" w:eastAsia="SimSun" w:hAnsi="Calibri" w:cs="Traditional Arabic"/>
          <w:lang w:val="fr-FR"/>
        </w:rPr>
        <w:t>'</w:t>
      </w:r>
      <w:r w:rsidRPr="0056182D">
        <w:rPr>
          <w:rFonts w:ascii="Calibri" w:eastAsia="SimSun" w:hAnsi="Calibri" w:cs="Traditional Arabic"/>
          <w:lang w:val="fr-FR"/>
        </w:rPr>
        <w:t>UIT, les réseaux de partenariats existants ou encore les connaissances spécialisées que possèdent les membres et qui sont à la disposition de l</w:t>
      </w:r>
      <w:r w:rsidR="00A241C9" w:rsidRPr="0056182D">
        <w:rPr>
          <w:rFonts w:ascii="Calibri" w:eastAsia="SimSun" w:hAnsi="Calibri" w:cs="Traditional Arabic"/>
          <w:lang w:val="fr-FR"/>
        </w:rPr>
        <w:t>'</w:t>
      </w:r>
      <w:r w:rsidRPr="0056182D">
        <w:rPr>
          <w:rFonts w:ascii="Calibri" w:eastAsia="SimSun" w:hAnsi="Calibri" w:cs="Traditional Arabic"/>
          <w:lang w:val="fr-FR"/>
        </w:rPr>
        <w:t>UIT. Les défis tiennent notamment à l</w:t>
      </w:r>
      <w:r w:rsidR="00A241C9" w:rsidRPr="0056182D">
        <w:rPr>
          <w:rFonts w:ascii="Calibri" w:eastAsia="SimSun" w:hAnsi="Calibri" w:cs="Traditional Arabic"/>
          <w:lang w:val="fr-FR"/>
        </w:rPr>
        <w:t>'</w:t>
      </w:r>
      <w:r w:rsidRPr="0056182D">
        <w:rPr>
          <w:rFonts w:ascii="Calibri" w:eastAsia="SimSun" w:hAnsi="Calibri" w:cs="Traditional Arabic"/>
          <w:lang w:val="fr-FR"/>
        </w:rPr>
        <w:t>identification des lacunes en matière de compétences numériques aux niveaux national et régional et à la manière de mesurer les incidences de certaines des activités de renforcement des capacités sur le plan qualitatif.</w:t>
      </w:r>
    </w:p>
    <w:p w14:paraId="64C1928D" w14:textId="7D7615A3" w:rsidR="00CC427E" w:rsidRPr="0056182D" w:rsidRDefault="00CC427E" w:rsidP="00CF3E07">
      <w:pPr>
        <w:tabs>
          <w:tab w:val="left" w:pos="884"/>
        </w:tabs>
        <w:spacing w:after="120"/>
        <w:rPr>
          <w:rFonts w:ascii="Calibri" w:eastAsia="SimSun" w:hAnsi="Calibri" w:cs="Traditional Arabic"/>
          <w:lang w:val="fr-FR"/>
        </w:rPr>
      </w:pPr>
      <w:r w:rsidRPr="0056182D">
        <w:rPr>
          <w:rFonts w:ascii="Calibri" w:eastAsia="SimSun" w:hAnsi="Calibri" w:cs="Traditional Arabic"/>
          <w:lang w:val="fr-FR"/>
        </w:rPr>
        <w:t>Les membres du Groupe GCBI ont fait des présentations concernant les tendances régionales dans le domaine des TIC et leurs incidences en matière de développement des capacités, en mettant en avant les lacunes et les besoins en termes de compétences dans leurs régions; les domaines d</w:t>
      </w:r>
      <w:r w:rsidR="00A241C9" w:rsidRPr="0056182D">
        <w:rPr>
          <w:rFonts w:ascii="Calibri" w:eastAsia="SimSun" w:hAnsi="Calibri" w:cs="Traditional Arabic"/>
          <w:lang w:val="fr-FR"/>
        </w:rPr>
        <w:t>'</w:t>
      </w:r>
      <w:r w:rsidRPr="0056182D">
        <w:rPr>
          <w:rFonts w:ascii="Calibri" w:eastAsia="SimSun" w:hAnsi="Calibri" w:cs="Traditional Arabic"/>
          <w:lang w:val="fr-FR"/>
        </w:rPr>
        <w:t>action prioritaires pour le renforcement des capacités et la formation; et les suggestions quant à la façon dont le Groupe GCBI pourrait associer diverses parties prenantes dans les régions en vue d</w:t>
      </w:r>
      <w:r w:rsidR="00A241C9" w:rsidRPr="0056182D">
        <w:rPr>
          <w:rFonts w:ascii="Calibri" w:eastAsia="SimSun" w:hAnsi="Calibri" w:cs="Traditional Arabic"/>
          <w:lang w:val="fr-FR"/>
        </w:rPr>
        <w:t>'</w:t>
      </w:r>
      <w:r w:rsidRPr="0056182D">
        <w:rPr>
          <w:rFonts w:ascii="Calibri" w:eastAsia="SimSun" w:hAnsi="Calibri" w:cs="Traditional Arabic"/>
          <w:lang w:val="fr-FR"/>
        </w:rPr>
        <w:t>identifier les priorités pour les initiatives de renforcement des compétences et des capacités.</w:t>
      </w:r>
    </w:p>
    <w:p w14:paraId="1149B6DC" w14:textId="77777777" w:rsidR="00A241C9" w:rsidRPr="0056182D" w:rsidRDefault="00A241C9" w:rsidP="00CF3E07">
      <w:pPr>
        <w:tabs>
          <w:tab w:val="left" w:pos="884"/>
        </w:tabs>
        <w:spacing w:after="120"/>
        <w:rPr>
          <w:rFonts w:ascii="Calibri" w:eastAsia="SimSun" w:hAnsi="Calibri" w:cs="Traditional Arabic"/>
          <w:lang w:val="fr-FR"/>
        </w:rPr>
      </w:pPr>
      <w:r w:rsidRPr="0056182D">
        <w:rPr>
          <w:rFonts w:ascii="Calibri" w:eastAsia="SimSun" w:hAnsi="Calibri" w:cs="Traditional Arabic"/>
          <w:lang w:val="fr-FR"/>
        </w:rPr>
        <w:br w:type="page"/>
      </w:r>
    </w:p>
    <w:p w14:paraId="712009A1" w14:textId="205FABAC" w:rsidR="00CC427E" w:rsidRPr="0056182D" w:rsidRDefault="00CC427E" w:rsidP="00CF3E07">
      <w:pPr>
        <w:tabs>
          <w:tab w:val="left" w:pos="884"/>
        </w:tabs>
        <w:spacing w:after="120"/>
        <w:rPr>
          <w:rFonts w:ascii="Calibri" w:eastAsia="SimSun" w:hAnsi="Calibri" w:cs="Traditional Arabic"/>
          <w:lang w:val="fr-FR"/>
        </w:rPr>
      </w:pPr>
      <w:r w:rsidRPr="0056182D">
        <w:rPr>
          <w:rFonts w:ascii="Calibri" w:eastAsia="SimSun" w:hAnsi="Calibri" w:cs="Traditional Arabic"/>
          <w:lang w:val="fr-FR"/>
        </w:rPr>
        <w:lastRenderedPageBreak/>
        <w:t>Un certain nombre de conclusions ont été formulées:</w:t>
      </w:r>
    </w:p>
    <w:p w14:paraId="751E6098" w14:textId="22F620FB" w:rsidR="00CC427E" w:rsidRPr="0056182D" w:rsidRDefault="00CF3E07" w:rsidP="00CF3E07">
      <w:pPr>
        <w:pStyle w:val="enumlev1"/>
        <w:rPr>
          <w:rFonts w:eastAsia="SimSun"/>
          <w:lang w:val="fr-FR"/>
        </w:rPr>
      </w:pPr>
      <w:r w:rsidRPr="0056182D">
        <w:rPr>
          <w:rFonts w:eastAsia="SimSun"/>
          <w:lang w:val="fr-FR"/>
        </w:rPr>
        <w:t>1)</w:t>
      </w:r>
      <w:r w:rsidRPr="0056182D">
        <w:rPr>
          <w:rFonts w:eastAsia="SimSun"/>
          <w:lang w:val="fr-FR"/>
        </w:rPr>
        <w:tab/>
      </w:r>
      <w:r w:rsidR="00CC427E" w:rsidRPr="0056182D">
        <w:rPr>
          <w:rFonts w:eastAsia="SimSun"/>
          <w:lang w:val="fr-FR"/>
        </w:rPr>
        <w:t>Le renforcement des capacités constitue une activité fondamentale du Secteur du développement des télécommunications. Il est nécessaire d</w:t>
      </w:r>
      <w:r w:rsidR="00A241C9" w:rsidRPr="0056182D">
        <w:rPr>
          <w:rFonts w:eastAsia="SimSun"/>
          <w:lang w:val="fr-FR"/>
        </w:rPr>
        <w:t>'</w:t>
      </w:r>
      <w:r w:rsidR="00CC427E" w:rsidRPr="0056182D">
        <w:rPr>
          <w:rFonts w:eastAsia="SimSun"/>
          <w:lang w:val="fr-FR"/>
        </w:rPr>
        <w:t>élaborer un cadre général pour le renforcement des capacités à l</w:t>
      </w:r>
      <w:r w:rsidR="00A241C9" w:rsidRPr="0056182D">
        <w:rPr>
          <w:rFonts w:eastAsia="SimSun"/>
          <w:lang w:val="fr-FR"/>
        </w:rPr>
        <w:t>'</w:t>
      </w:r>
      <w:r w:rsidR="00CC427E" w:rsidRPr="0056182D">
        <w:rPr>
          <w:rFonts w:eastAsia="SimSun"/>
          <w:lang w:val="fr-FR"/>
        </w:rPr>
        <w:t xml:space="preserve">UIT, dans lequel on pourrait notamment intégrer les éléments suivants: </w:t>
      </w:r>
    </w:p>
    <w:p w14:paraId="296C91D8" w14:textId="29DE0DB0" w:rsidR="00CC427E" w:rsidRPr="0056182D" w:rsidRDefault="00CF3E07" w:rsidP="00CF3E07">
      <w:pPr>
        <w:pStyle w:val="enumlev2"/>
        <w:rPr>
          <w:rFonts w:eastAsia="SimSun"/>
          <w:lang w:val="fr-FR"/>
        </w:rPr>
      </w:pPr>
      <w:r w:rsidRPr="0056182D">
        <w:rPr>
          <w:rFonts w:eastAsia="SimSun"/>
          <w:lang w:val="fr-FR"/>
        </w:rPr>
        <w:t>–</w:t>
      </w:r>
      <w:r w:rsidRPr="0056182D">
        <w:rPr>
          <w:rFonts w:eastAsia="SimSun"/>
          <w:lang w:val="fr-FR"/>
        </w:rPr>
        <w:tab/>
      </w:r>
      <w:r w:rsidR="00CC427E" w:rsidRPr="0056182D">
        <w:rPr>
          <w:rFonts w:eastAsia="SimSun"/>
          <w:lang w:val="fr-FR"/>
        </w:rPr>
        <w:t>Une analyse des initiatives de renforcement des capacités de tous les Secteurs de l</w:t>
      </w:r>
      <w:r w:rsidR="00A241C9" w:rsidRPr="0056182D">
        <w:rPr>
          <w:rFonts w:eastAsia="SimSun"/>
          <w:lang w:val="fr-FR"/>
        </w:rPr>
        <w:t>'</w:t>
      </w:r>
      <w:r w:rsidR="00CC427E" w:rsidRPr="0056182D">
        <w:rPr>
          <w:rFonts w:eastAsia="SimSun"/>
          <w:lang w:val="fr-FR"/>
        </w:rPr>
        <w:t>UIT, afin de regrouper les thèmes et d</w:t>
      </w:r>
      <w:r w:rsidR="00A241C9" w:rsidRPr="0056182D">
        <w:rPr>
          <w:rFonts w:eastAsia="SimSun"/>
          <w:lang w:val="fr-FR"/>
        </w:rPr>
        <w:t>'</w:t>
      </w:r>
      <w:r w:rsidR="00CC427E" w:rsidRPr="0056182D">
        <w:rPr>
          <w:rFonts w:eastAsia="SimSun"/>
          <w:lang w:val="fr-FR"/>
        </w:rPr>
        <w:t>éviter les chevauchements.</w:t>
      </w:r>
    </w:p>
    <w:p w14:paraId="4523D13A" w14:textId="20277168" w:rsidR="00CC427E" w:rsidRPr="0056182D" w:rsidRDefault="00CF3E07" w:rsidP="00CF3E07">
      <w:pPr>
        <w:pStyle w:val="enumlev2"/>
        <w:rPr>
          <w:rFonts w:eastAsia="SimSun"/>
          <w:lang w:val="fr-FR"/>
        </w:rPr>
      </w:pPr>
      <w:r w:rsidRPr="0056182D">
        <w:rPr>
          <w:rFonts w:eastAsia="SimSun"/>
          <w:lang w:val="fr-FR"/>
        </w:rPr>
        <w:t>–</w:t>
      </w:r>
      <w:r w:rsidRPr="0056182D">
        <w:rPr>
          <w:rFonts w:eastAsia="SimSun"/>
          <w:lang w:val="fr-FR"/>
        </w:rPr>
        <w:tab/>
      </w:r>
      <w:r w:rsidR="00CC427E" w:rsidRPr="0056182D">
        <w:rPr>
          <w:rFonts w:eastAsia="SimSun"/>
          <w:lang w:val="fr-FR"/>
        </w:rPr>
        <w:t>L</w:t>
      </w:r>
      <w:r w:rsidR="00A241C9" w:rsidRPr="0056182D">
        <w:rPr>
          <w:rFonts w:eastAsia="SimSun"/>
          <w:lang w:val="fr-FR"/>
        </w:rPr>
        <w:t>'</w:t>
      </w:r>
      <w:r w:rsidR="00CC427E" w:rsidRPr="0056182D">
        <w:rPr>
          <w:rFonts w:eastAsia="SimSun"/>
          <w:lang w:val="fr-FR"/>
        </w:rPr>
        <w:t>élaboration d</w:t>
      </w:r>
      <w:r w:rsidR="00A241C9" w:rsidRPr="0056182D">
        <w:rPr>
          <w:rFonts w:eastAsia="SimSun"/>
          <w:lang w:val="fr-FR"/>
        </w:rPr>
        <w:t>'</w:t>
      </w:r>
      <w:r w:rsidR="00CC427E" w:rsidRPr="0056182D">
        <w:rPr>
          <w:rFonts w:eastAsia="SimSun"/>
          <w:lang w:val="fr-FR"/>
        </w:rPr>
        <w:t>une taxonomie/classification des activités de renforcement des capacités qui reflète les objectifs de tous les Secteurs de l</w:t>
      </w:r>
      <w:r w:rsidR="00A241C9" w:rsidRPr="0056182D">
        <w:rPr>
          <w:rFonts w:eastAsia="SimSun"/>
          <w:lang w:val="fr-FR"/>
        </w:rPr>
        <w:t>'</w:t>
      </w:r>
      <w:r w:rsidR="00CC427E" w:rsidRPr="0056182D">
        <w:rPr>
          <w:rFonts w:eastAsia="SimSun"/>
          <w:lang w:val="fr-FR"/>
        </w:rPr>
        <w:t>UIT ainsi que leurs priorités.</w:t>
      </w:r>
    </w:p>
    <w:p w14:paraId="0A1E7C09" w14:textId="715D1285" w:rsidR="00CC427E" w:rsidRPr="0056182D" w:rsidRDefault="00CF3E07" w:rsidP="00CF3E07">
      <w:pPr>
        <w:pStyle w:val="enumlev2"/>
        <w:rPr>
          <w:rFonts w:eastAsia="SimSun"/>
          <w:lang w:val="fr-FR"/>
        </w:rPr>
      </w:pPr>
      <w:r w:rsidRPr="0056182D">
        <w:rPr>
          <w:rFonts w:eastAsia="SimSun"/>
          <w:lang w:val="fr-FR"/>
        </w:rPr>
        <w:t>–</w:t>
      </w:r>
      <w:r w:rsidRPr="0056182D">
        <w:rPr>
          <w:rFonts w:eastAsia="SimSun"/>
          <w:lang w:val="fr-FR"/>
        </w:rPr>
        <w:tab/>
      </w:r>
      <w:r w:rsidR="00CC427E" w:rsidRPr="0056182D">
        <w:rPr>
          <w:rFonts w:eastAsia="SimSun"/>
          <w:lang w:val="fr-FR"/>
        </w:rPr>
        <w:t>La création d</w:t>
      </w:r>
      <w:r w:rsidR="00A241C9" w:rsidRPr="0056182D">
        <w:rPr>
          <w:rFonts w:eastAsia="SimSun"/>
          <w:lang w:val="fr-FR"/>
        </w:rPr>
        <w:t>'</w:t>
      </w:r>
      <w:r w:rsidR="00CC427E" w:rsidRPr="0056182D">
        <w:rPr>
          <w:rFonts w:eastAsia="SimSun"/>
          <w:lang w:val="fr-FR"/>
        </w:rPr>
        <w:t>un catalogue commun répertoriant toutes les initiatives de renforcement des capacités sous l</w:t>
      </w:r>
      <w:r w:rsidR="00A241C9" w:rsidRPr="0056182D">
        <w:rPr>
          <w:rFonts w:eastAsia="SimSun"/>
          <w:lang w:val="fr-FR"/>
        </w:rPr>
        <w:t>'</w:t>
      </w:r>
      <w:r w:rsidR="00CC427E" w:rsidRPr="0056182D">
        <w:rPr>
          <w:rFonts w:eastAsia="SimSun"/>
          <w:lang w:val="fr-FR"/>
        </w:rPr>
        <w:t>égide de l</w:t>
      </w:r>
      <w:r w:rsidR="00A241C9" w:rsidRPr="0056182D">
        <w:rPr>
          <w:rFonts w:eastAsia="SimSun"/>
          <w:lang w:val="fr-FR"/>
        </w:rPr>
        <w:t>'</w:t>
      </w:r>
      <w:r w:rsidR="00CC427E" w:rsidRPr="0056182D">
        <w:rPr>
          <w:rFonts w:eastAsia="SimSun"/>
          <w:lang w:val="fr-FR"/>
        </w:rPr>
        <w:t>Académie de l</w:t>
      </w:r>
      <w:r w:rsidR="00A241C9" w:rsidRPr="0056182D">
        <w:rPr>
          <w:rFonts w:eastAsia="SimSun"/>
          <w:lang w:val="fr-FR"/>
        </w:rPr>
        <w:t>'</w:t>
      </w:r>
      <w:r w:rsidR="00CC427E" w:rsidRPr="0056182D">
        <w:rPr>
          <w:rFonts w:eastAsia="SimSun"/>
          <w:lang w:val="fr-FR"/>
        </w:rPr>
        <w:t>UIT.</w:t>
      </w:r>
    </w:p>
    <w:p w14:paraId="4E891034" w14:textId="1CBBC781" w:rsidR="00CC427E" w:rsidRPr="0056182D" w:rsidRDefault="00CF3E07" w:rsidP="00CF3E07">
      <w:pPr>
        <w:pStyle w:val="enumlev2"/>
        <w:rPr>
          <w:rFonts w:eastAsia="SimSun"/>
          <w:lang w:val="fr-FR"/>
        </w:rPr>
      </w:pPr>
      <w:r w:rsidRPr="0056182D">
        <w:rPr>
          <w:rFonts w:eastAsia="SimSun"/>
          <w:lang w:val="fr-FR"/>
        </w:rPr>
        <w:t>–</w:t>
      </w:r>
      <w:r w:rsidRPr="0056182D">
        <w:rPr>
          <w:rFonts w:eastAsia="SimSun"/>
          <w:lang w:val="fr-FR"/>
        </w:rPr>
        <w:tab/>
      </w:r>
      <w:r w:rsidR="00CC427E" w:rsidRPr="0056182D">
        <w:rPr>
          <w:rFonts w:eastAsia="SimSun"/>
          <w:lang w:val="fr-FR"/>
        </w:rPr>
        <w:t>La définition des différents niveaux de compétences et de ce qui en découle (par exemple, des compétences numériques élémentaires, intermédiaires ou avancées).</w:t>
      </w:r>
    </w:p>
    <w:p w14:paraId="7B3F77CC" w14:textId="03818ED7" w:rsidR="00CC427E" w:rsidRPr="0056182D" w:rsidRDefault="00CF3E07" w:rsidP="00CF3E07">
      <w:pPr>
        <w:pStyle w:val="enumlev2"/>
        <w:rPr>
          <w:rFonts w:eastAsia="SimSun"/>
          <w:lang w:val="fr-FR"/>
        </w:rPr>
      </w:pPr>
      <w:r w:rsidRPr="0056182D">
        <w:rPr>
          <w:rFonts w:eastAsia="SimSun"/>
          <w:lang w:val="fr-FR"/>
        </w:rPr>
        <w:t>–</w:t>
      </w:r>
      <w:r w:rsidRPr="0056182D">
        <w:rPr>
          <w:rFonts w:eastAsia="SimSun"/>
          <w:lang w:val="fr-FR"/>
        </w:rPr>
        <w:tab/>
      </w:r>
      <w:r w:rsidR="00CC427E" w:rsidRPr="0056182D">
        <w:rPr>
          <w:rFonts w:eastAsia="SimSun"/>
          <w:lang w:val="fr-FR"/>
        </w:rPr>
        <w:t>La définition des principaux publics visés et l</w:t>
      </w:r>
      <w:r w:rsidR="00A241C9" w:rsidRPr="0056182D">
        <w:rPr>
          <w:rFonts w:eastAsia="SimSun"/>
          <w:lang w:val="fr-FR"/>
        </w:rPr>
        <w:t>'</w:t>
      </w:r>
      <w:r w:rsidR="00CC427E" w:rsidRPr="0056182D">
        <w:rPr>
          <w:rFonts w:eastAsia="SimSun"/>
          <w:lang w:val="fr-FR"/>
        </w:rPr>
        <w:t>identification de l</w:t>
      </w:r>
      <w:r w:rsidR="00A241C9" w:rsidRPr="0056182D">
        <w:rPr>
          <w:rFonts w:eastAsia="SimSun"/>
          <w:lang w:val="fr-FR"/>
        </w:rPr>
        <w:t>'</w:t>
      </w:r>
      <w:r w:rsidR="00CC427E" w:rsidRPr="0056182D">
        <w:rPr>
          <w:rFonts w:eastAsia="SimSun"/>
          <w:lang w:val="fr-FR"/>
        </w:rPr>
        <w:t>avantage comparatif de l</w:t>
      </w:r>
      <w:r w:rsidR="00A241C9" w:rsidRPr="0056182D">
        <w:rPr>
          <w:rFonts w:eastAsia="SimSun"/>
          <w:lang w:val="fr-FR"/>
        </w:rPr>
        <w:t>'</w:t>
      </w:r>
      <w:r w:rsidR="00CC427E" w:rsidRPr="0056182D">
        <w:rPr>
          <w:rFonts w:eastAsia="SimSun"/>
          <w:lang w:val="fr-FR"/>
        </w:rPr>
        <w:t>UIT en matière de renforcement des compétences et des capacités.</w:t>
      </w:r>
    </w:p>
    <w:p w14:paraId="4CE3D64D" w14:textId="29D6B679" w:rsidR="00CC427E" w:rsidRPr="0056182D" w:rsidRDefault="00CF3E07" w:rsidP="00CF3E07">
      <w:pPr>
        <w:pStyle w:val="enumlev1"/>
        <w:rPr>
          <w:rFonts w:eastAsia="SimSun"/>
          <w:lang w:val="fr-FR"/>
        </w:rPr>
      </w:pPr>
      <w:r w:rsidRPr="0056182D">
        <w:rPr>
          <w:rFonts w:eastAsia="SimSun"/>
          <w:lang w:val="fr-FR"/>
        </w:rPr>
        <w:t>2)</w:t>
      </w:r>
      <w:r w:rsidRPr="0056182D">
        <w:rPr>
          <w:rFonts w:eastAsia="SimSun"/>
          <w:lang w:val="fr-FR"/>
        </w:rPr>
        <w:tab/>
      </w:r>
      <w:r w:rsidR="00CC427E" w:rsidRPr="0056182D">
        <w:rPr>
          <w:rFonts w:eastAsia="SimSun"/>
          <w:lang w:val="fr-FR"/>
        </w:rPr>
        <w:t>La plate-forme de l</w:t>
      </w:r>
      <w:r w:rsidR="00A241C9" w:rsidRPr="0056182D">
        <w:rPr>
          <w:rFonts w:eastAsia="SimSun"/>
          <w:lang w:val="fr-FR"/>
        </w:rPr>
        <w:t>'</w:t>
      </w:r>
      <w:r w:rsidR="00CC427E" w:rsidRPr="0056182D">
        <w:rPr>
          <w:rFonts w:eastAsia="SimSun"/>
          <w:lang w:val="fr-FR"/>
        </w:rPr>
        <w:t>Académie de l</w:t>
      </w:r>
      <w:r w:rsidR="00A241C9" w:rsidRPr="0056182D">
        <w:rPr>
          <w:rFonts w:eastAsia="SimSun"/>
          <w:lang w:val="fr-FR"/>
        </w:rPr>
        <w:t>'</w:t>
      </w:r>
      <w:r w:rsidR="00CC427E" w:rsidRPr="0056182D">
        <w:rPr>
          <w:rFonts w:eastAsia="SimSun"/>
          <w:lang w:val="fr-FR"/>
        </w:rPr>
        <w:t>UIT s</w:t>
      </w:r>
      <w:r w:rsidR="00A241C9" w:rsidRPr="0056182D">
        <w:rPr>
          <w:rFonts w:eastAsia="SimSun"/>
          <w:lang w:val="fr-FR"/>
        </w:rPr>
        <w:t>'</w:t>
      </w:r>
      <w:r w:rsidR="00CC427E" w:rsidRPr="0056182D">
        <w:rPr>
          <w:rFonts w:eastAsia="SimSun"/>
          <w:lang w:val="fr-FR"/>
        </w:rPr>
        <w:t>est révélée être à la fois une source fiable et un outil utile pour dispenser des cours de formation et promouvoir les activités de renforcement des capacités de l</w:t>
      </w:r>
      <w:r w:rsidR="00A241C9" w:rsidRPr="0056182D">
        <w:rPr>
          <w:rFonts w:eastAsia="SimSun"/>
          <w:lang w:val="fr-FR"/>
        </w:rPr>
        <w:t>'</w:t>
      </w:r>
      <w:r w:rsidR="00CC427E" w:rsidRPr="0056182D">
        <w:rPr>
          <w:rFonts w:eastAsia="SimSun"/>
          <w:lang w:val="fr-FR"/>
        </w:rPr>
        <w:t>UIT. Elle devrait être renforcée et améliorée. Il conviendrait d</w:t>
      </w:r>
      <w:r w:rsidR="00A241C9" w:rsidRPr="0056182D">
        <w:rPr>
          <w:rFonts w:eastAsia="SimSun"/>
          <w:lang w:val="fr-FR"/>
        </w:rPr>
        <w:t>'</w:t>
      </w:r>
      <w:r w:rsidR="00CC427E" w:rsidRPr="0056182D">
        <w:rPr>
          <w:rFonts w:eastAsia="SimSun"/>
          <w:lang w:val="fr-FR"/>
        </w:rPr>
        <w:t>étudier de nouvelles approches, comme l</w:t>
      </w:r>
      <w:r w:rsidR="00A241C9" w:rsidRPr="0056182D">
        <w:rPr>
          <w:rFonts w:eastAsia="SimSun"/>
          <w:lang w:val="fr-FR"/>
        </w:rPr>
        <w:t>'</w:t>
      </w:r>
      <w:r w:rsidR="00CC427E" w:rsidRPr="0056182D">
        <w:rPr>
          <w:rFonts w:eastAsia="SimSun"/>
          <w:lang w:val="fr-FR"/>
        </w:rPr>
        <w:t>apprentissage par la pratique, ainsi que de nouveaux supports, par exemple des vidéos de formation accélérée.</w:t>
      </w:r>
    </w:p>
    <w:p w14:paraId="5BA1384A" w14:textId="6C16041A" w:rsidR="00CC427E" w:rsidRPr="0056182D" w:rsidRDefault="00CF3E07" w:rsidP="00CF3E07">
      <w:pPr>
        <w:pStyle w:val="enumlev1"/>
        <w:rPr>
          <w:rFonts w:eastAsia="SimSun"/>
          <w:lang w:val="fr-FR"/>
        </w:rPr>
      </w:pPr>
      <w:r w:rsidRPr="0056182D">
        <w:rPr>
          <w:rFonts w:eastAsia="SimSun"/>
          <w:lang w:val="fr-FR"/>
        </w:rPr>
        <w:t>3)</w:t>
      </w:r>
      <w:r w:rsidRPr="0056182D">
        <w:rPr>
          <w:rFonts w:eastAsia="SimSun"/>
          <w:lang w:val="fr-FR"/>
        </w:rPr>
        <w:tab/>
      </w:r>
      <w:r w:rsidR="00CC427E" w:rsidRPr="0056182D">
        <w:rPr>
          <w:rFonts w:eastAsia="SimSun"/>
          <w:lang w:val="fr-FR"/>
        </w:rPr>
        <w:t>L</w:t>
      </w:r>
      <w:r w:rsidR="00A241C9" w:rsidRPr="0056182D">
        <w:rPr>
          <w:rFonts w:eastAsia="SimSun"/>
          <w:lang w:val="fr-FR"/>
        </w:rPr>
        <w:t>'</w:t>
      </w:r>
      <w:r w:rsidR="00CC427E" w:rsidRPr="0056182D">
        <w:rPr>
          <w:rFonts w:eastAsia="SimSun"/>
          <w:lang w:val="fr-FR"/>
        </w:rPr>
        <w:t>UIT doit renforcer ses programmes de renforcement des capacités existants et intégrer des activités destinées aux populations/communautés au niveau local, afin de cibler les groupes pour lesquels le défaut de compétences constitue le principal obstacle à l</w:t>
      </w:r>
      <w:r w:rsidR="00A241C9" w:rsidRPr="0056182D">
        <w:rPr>
          <w:rFonts w:eastAsia="SimSun"/>
          <w:lang w:val="fr-FR"/>
        </w:rPr>
        <w:t>'</w:t>
      </w:r>
      <w:r w:rsidR="00CC427E" w:rsidRPr="0056182D">
        <w:rPr>
          <w:rFonts w:eastAsia="SimSun"/>
          <w:lang w:val="fr-FR"/>
        </w:rPr>
        <w:t>inclusion numérique. À cet égard, il est nécessaire de créer des programmes visant à compléter le programme des Centres d</w:t>
      </w:r>
      <w:r w:rsidR="00A241C9" w:rsidRPr="0056182D">
        <w:rPr>
          <w:rFonts w:eastAsia="SimSun"/>
          <w:lang w:val="fr-FR"/>
        </w:rPr>
        <w:t>'</w:t>
      </w:r>
      <w:r w:rsidR="00CC427E" w:rsidRPr="0056182D">
        <w:rPr>
          <w:rFonts w:eastAsia="SimSun"/>
          <w:lang w:val="fr-FR"/>
        </w:rPr>
        <w:t>excellence et axé essentiellement sur la formation des professionnels du secteur des TIC.</w:t>
      </w:r>
      <w:r w:rsidR="00A241C9" w:rsidRPr="0056182D">
        <w:rPr>
          <w:rFonts w:eastAsia="SimSun"/>
          <w:lang w:val="fr-FR"/>
        </w:rPr>
        <w:t xml:space="preserve"> </w:t>
      </w:r>
      <w:r w:rsidR="00CC427E" w:rsidRPr="0056182D">
        <w:rPr>
          <w:rFonts w:eastAsia="SimSun"/>
          <w:lang w:val="fr-FR"/>
        </w:rPr>
        <w:t>Ces programmes devraient porter particulièrement sur le renforcement des compétences numériques élémentaires et intermédiaires, et la formation des formateurs devrait y occuper une place centrale.</w:t>
      </w:r>
    </w:p>
    <w:p w14:paraId="52F95370" w14:textId="09596B86" w:rsidR="00CC427E" w:rsidRPr="0056182D" w:rsidRDefault="00CF3E07" w:rsidP="00CF3E07">
      <w:pPr>
        <w:pStyle w:val="enumlev1"/>
        <w:rPr>
          <w:rFonts w:eastAsia="SimSun"/>
          <w:lang w:val="fr-FR"/>
        </w:rPr>
      </w:pPr>
      <w:r w:rsidRPr="0056182D">
        <w:rPr>
          <w:rFonts w:eastAsia="SimSun"/>
          <w:lang w:val="fr-FR"/>
        </w:rPr>
        <w:t>4)</w:t>
      </w:r>
      <w:r w:rsidRPr="0056182D">
        <w:rPr>
          <w:rFonts w:eastAsia="SimSun"/>
          <w:lang w:val="fr-FR"/>
        </w:rPr>
        <w:tab/>
      </w:r>
      <w:r w:rsidR="00CC427E" w:rsidRPr="0056182D">
        <w:rPr>
          <w:rFonts w:eastAsia="SimSun"/>
          <w:lang w:val="fr-FR"/>
        </w:rPr>
        <w:t xml:space="preserve">Il est nécessaire de procéder à des évaluations des compétences numériques au niveau national pour mettre en évidence les besoins en matière de renforcement des capacités dans les pays et les régions. Dans ce contexte, il convient </w:t>
      </w:r>
      <w:r w:rsidR="000D6796" w:rsidRPr="0056182D">
        <w:rPr>
          <w:rFonts w:eastAsia="SimSun"/>
          <w:lang w:val="fr-FR"/>
        </w:rPr>
        <w:t>d'élaborer</w:t>
      </w:r>
      <w:r w:rsidR="00CC427E" w:rsidRPr="0056182D">
        <w:rPr>
          <w:rFonts w:eastAsia="SimSun"/>
          <w:lang w:val="fr-FR"/>
        </w:rPr>
        <w:t xml:space="preserve"> un ensemble de mesures visant à évaluer le niveau de compétences numériques </w:t>
      </w:r>
      <w:r w:rsidR="000D6796" w:rsidRPr="0056182D">
        <w:rPr>
          <w:rFonts w:eastAsia="SimSun"/>
          <w:lang w:val="fr-FR"/>
        </w:rPr>
        <w:t>et à définir</w:t>
      </w:r>
      <w:r w:rsidR="00CC427E" w:rsidRPr="0056182D">
        <w:rPr>
          <w:rFonts w:eastAsia="SimSun"/>
          <w:lang w:val="fr-FR"/>
        </w:rPr>
        <w:t xml:space="preserve"> des cibles à atteindre dans le cadre du renforcement des capacités et de la formation. L</w:t>
      </w:r>
      <w:r w:rsidR="00A241C9" w:rsidRPr="0056182D">
        <w:rPr>
          <w:rFonts w:eastAsia="SimSun"/>
          <w:lang w:val="fr-FR"/>
        </w:rPr>
        <w:t>'</w:t>
      </w:r>
      <w:r w:rsidR="00CC427E" w:rsidRPr="0056182D">
        <w:rPr>
          <w:rFonts w:eastAsia="SimSun"/>
          <w:lang w:val="fr-FR"/>
        </w:rPr>
        <w:t>UIT devrait fournir un appui aux pays à cet égard.</w:t>
      </w:r>
    </w:p>
    <w:p w14:paraId="4202C063" w14:textId="6F3A05DC" w:rsidR="00CC427E" w:rsidRPr="0056182D" w:rsidRDefault="00CF3E07" w:rsidP="00CF3E07">
      <w:pPr>
        <w:pStyle w:val="enumlev1"/>
        <w:rPr>
          <w:rFonts w:eastAsia="SimSun"/>
          <w:lang w:val="fr-FR"/>
        </w:rPr>
      </w:pPr>
      <w:r w:rsidRPr="0056182D">
        <w:rPr>
          <w:rFonts w:eastAsia="SimSun"/>
          <w:lang w:val="fr-FR"/>
        </w:rPr>
        <w:t>5)</w:t>
      </w:r>
      <w:r w:rsidRPr="0056182D">
        <w:rPr>
          <w:rFonts w:eastAsia="SimSun"/>
          <w:lang w:val="fr-FR"/>
        </w:rPr>
        <w:tab/>
      </w:r>
      <w:r w:rsidR="00CC427E" w:rsidRPr="0056182D">
        <w:rPr>
          <w:rFonts w:eastAsia="SimSun"/>
          <w:lang w:val="fr-FR"/>
        </w:rPr>
        <w:t>Les membres du Groupe GCBI devraient dialoguer avec les organisations régionales qui les ont désignés et avec d</w:t>
      </w:r>
      <w:r w:rsidR="00A241C9" w:rsidRPr="0056182D">
        <w:rPr>
          <w:rFonts w:eastAsia="SimSun"/>
          <w:lang w:val="fr-FR"/>
        </w:rPr>
        <w:t>'</w:t>
      </w:r>
      <w:r w:rsidR="00CC427E" w:rsidRPr="0056182D">
        <w:rPr>
          <w:rFonts w:eastAsia="SimSun"/>
          <w:lang w:val="fr-FR"/>
        </w:rPr>
        <w:t>autres parties prenantes régionales pour recueillir des informations complètes sur les lacunes en matière de compétences et les besoins en termes de renforcement des capacités dans les régions, afin de contribuer aux travaux. La création de liens plus étroits avec les régions permettra d</w:t>
      </w:r>
      <w:r w:rsidR="00A241C9" w:rsidRPr="0056182D">
        <w:rPr>
          <w:rFonts w:eastAsia="SimSun"/>
          <w:lang w:val="fr-FR"/>
        </w:rPr>
        <w:t>'</w:t>
      </w:r>
      <w:r w:rsidR="00CC427E" w:rsidRPr="0056182D">
        <w:rPr>
          <w:rFonts w:eastAsia="SimSun"/>
          <w:lang w:val="fr-FR"/>
        </w:rPr>
        <w:t>identifier les lacunes potentielles en matière de compétences et, en conséquence, contribuera à la formulation de conseils stratégiques plus pertinents à l</w:t>
      </w:r>
      <w:r w:rsidR="00A241C9" w:rsidRPr="0056182D">
        <w:rPr>
          <w:rFonts w:eastAsia="SimSun"/>
          <w:lang w:val="fr-FR"/>
        </w:rPr>
        <w:t>'</w:t>
      </w:r>
      <w:r w:rsidR="00CC427E" w:rsidRPr="0056182D">
        <w:rPr>
          <w:rFonts w:eastAsia="SimSun"/>
          <w:lang w:val="fr-FR"/>
        </w:rPr>
        <w:t>intention de la Directrice du BDT.</w:t>
      </w:r>
    </w:p>
    <w:p w14:paraId="2F3F420F" w14:textId="77777777" w:rsidR="0088155B" w:rsidRPr="0056182D" w:rsidRDefault="0088155B" w:rsidP="00CF3E07">
      <w:pPr>
        <w:pStyle w:val="enumlev1"/>
        <w:rPr>
          <w:rFonts w:eastAsia="SimSun"/>
          <w:lang w:val="fr-FR"/>
        </w:rPr>
      </w:pPr>
      <w:r w:rsidRPr="0056182D">
        <w:rPr>
          <w:rFonts w:eastAsia="SimSun"/>
          <w:lang w:val="fr-FR"/>
        </w:rPr>
        <w:br w:type="page"/>
      </w:r>
    </w:p>
    <w:p w14:paraId="7E9B617D" w14:textId="20C135F2" w:rsidR="00CC427E" w:rsidRPr="0056182D" w:rsidRDefault="00CF3E07" w:rsidP="00CF3E07">
      <w:pPr>
        <w:pStyle w:val="enumlev1"/>
        <w:rPr>
          <w:rFonts w:eastAsia="SimSun"/>
          <w:lang w:val="fr-FR"/>
        </w:rPr>
      </w:pPr>
      <w:r w:rsidRPr="0056182D">
        <w:rPr>
          <w:rFonts w:eastAsia="SimSun"/>
          <w:lang w:val="fr-FR"/>
        </w:rPr>
        <w:lastRenderedPageBreak/>
        <w:t>6)</w:t>
      </w:r>
      <w:r w:rsidRPr="0056182D">
        <w:rPr>
          <w:rFonts w:eastAsia="SimSun"/>
          <w:lang w:val="fr-FR"/>
        </w:rPr>
        <w:tab/>
      </w:r>
      <w:r w:rsidR="00CC427E" w:rsidRPr="0056182D">
        <w:rPr>
          <w:rFonts w:eastAsia="SimSun"/>
          <w:lang w:val="fr-FR"/>
        </w:rPr>
        <w:t>Il est nécessaire de proposer de nouvelles manières de dresser un bilan, afin d</w:t>
      </w:r>
      <w:r w:rsidR="00A241C9" w:rsidRPr="0056182D">
        <w:rPr>
          <w:rFonts w:eastAsia="SimSun"/>
          <w:lang w:val="fr-FR"/>
        </w:rPr>
        <w:t>'</w:t>
      </w:r>
      <w:r w:rsidR="00CC427E" w:rsidRPr="0056182D">
        <w:rPr>
          <w:rFonts w:eastAsia="SimSun"/>
          <w:lang w:val="fr-FR"/>
        </w:rPr>
        <w:t>améliorer la capacité consultative du Groupe GCBI dans le cadre d</w:t>
      </w:r>
      <w:r w:rsidR="00A241C9" w:rsidRPr="0056182D">
        <w:rPr>
          <w:rFonts w:eastAsia="SimSun"/>
          <w:lang w:val="fr-FR"/>
        </w:rPr>
        <w:t>'</w:t>
      </w:r>
      <w:r w:rsidR="00CC427E" w:rsidRPr="0056182D">
        <w:rPr>
          <w:rFonts w:eastAsia="SimSun"/>
          <w:lang w:val="fr-FR"/>
        </w:rPr>
        <w:t>une approche fondée sur des bases factuelles. Pour faciliter et harmoniser le processus de bilan dans les régions, un nouvel outil (en ligne ou non) pourrait être créé afin de recueillir des informations normalisées avec des domaines, des catégories d</w:t>
      </w:r>
      <w:r w:rsidR="00A241C9" w:rsidRPr="0056182D">
        <w:rPr>
          <w:rFonts w:eastAsia="SimSun"/>
          <w:lang w:val="fr-FR"/>
        </w:rPr>
        <w:t>'</w:t>
      </w:r>
      <w:r w:rsidR="00CC427E" w:rsidRPr="0056182D">
        <w:rPr>
          <w:rFonts w:eastAsia="SimSun"/>
          <w:lang w:val="fr-FR"/>
        </w:rPr>
        <w:t>initiatives de renforcement des capacités et des échéances bien définis.</w:t>
      </w:r>
    </w:p>
    <w:p w14:paraId="29F7FC36" w14:textId="03B46427" w:rsidR="00CC427E" w:rsidRPr="0056182D" w:rsidRDefault="00CF3E07" w:rsidP="00CF3E07">
      <w:pPr>
        <w:pStyle w:val="enumlev1"/>
        <w:rPr>
          <w:rFonts w:eastAsia="SimSun"/>
          <w:lang w:val="fr-FR"/>
        </w:rPr>
      </w:pPr>
      <w:r w:rsidRPr="0056182D">
        <w:rPr>
          <w:rFonts w:eastAsia="SimSun"/>
          <w:lang w:val="fr-FR"/>
        </w:rPr>
        <w:t>7)</w:t>
      </w:r>
      <w:r w:rsidRPr="0056182D">
        <w:rPr>
          <w:rFonts w:eastAsia="SimSun"/>
          <w:lang w:val="fr-FR"/>
        </w:rPr>
        <w:tab/>
      </w:r>
      <w:r w:rsidR="00CC427E" w:rsidRPr="0056182D">
        <w:rPr>
          <w:rFonts w:eastAsia="SimSun"/>
          <w:lang w:val="fr-FR"/>
        </w:rPr>
        <w:t>L</w:t>
      </w:r>
      <w:r w:rsidR="00A241C9" w:rsidRPr="0056182D">
        <w:rPr>
          <w:rFonts w:eastAsia="SimSun"/>
          <w:lang w:val="fr-FR"/>
        </w:rPr>
        <w:t>'</w:t>
      </w:r>
      <w:r w:rsidR="00CC427E" w:rsidRPr="0056182D">
        <w:rPr>
          <w:rFonts w:eastAsia="SimSun"/>
          <w:lang w:val="fr-FR"/>
        </w:rPr>
        <w:t xml:space="preserve">UIT devrait continuer de fournir une tribune de dialogue et </w:t>
      </w:r>
      <w:r w:rsidR="000D6796" w:rsidRPr="0056182D">
        <w:rPr>
          <w:rFonts w:eastAsia="SimSun"/>
          <w:lang w:val="fr-FR"/>
        </w:rPr>
        <w:t>d'échange</w:t>
      </w:r>
      <w:r w:rsidR="00CC427E" w:rsidRPr="0056182D">
        <w:rPr>
          <w:rFonts w:eastAsia="SimSun"/>
          <w:lang w:val="fr-FR"/>
        </w:rPr>
        <w:t xml:space="preserve"> de connaissances au niveau mondial dans le domaine du renforcement des capacités et des compétences numériques, afin de </w:t>
      </w:r>
      <w:r w:rsidR="000D6796" w:rsidRPr="0056182D">
        <w:rPr>
          <w:rFonts w:eastAsia="SimSun"/>
          <w:lang w:val="fr-FR"/>
        </w:rPr>
        <w:t>partager</w:t>
      </w:r>
      <w:r w:rsidR="00CC427E" w:rsidRPr="0056182D">
        <w:rPr>
          <w:rFonts w:eastAsia="SimSun"/>
          <w:lang w:val="fr-FR"/>
        </w:rPr>
        <w:t xml:space="preserve"> les ressources et l</w:t>
      </w:r>
      <w:r w:rsidR="00A241C9" w:rsidRPr="0056182D">
        <w:rPr>
          <w:rFonts w:eastAsia="SimSun"/>
          <w:lang w:val="fr-FR"/>
        </w:rPr>
        <w:t>'</w:t>
      </w:r>
      <w:r w:rsidR="00CC427E" w:rsidRPr="0056182D">
        <w:rPr>
          <w:rFonts w:eastAsia="SimSun"/>
          <w:lang w:val="fr-FR"/>
        </w:rPr>
        <w:t>infrastructure de formation à travers le monde.</w:t>
      </w:r>
    </w:p>
    <w:p w14:paraId="29936A93" w14:textId="7E9B46FD" w:rsidR="00CC427E" w:rsidRPr="0056182D" w:rsidRDefault="00CF3E07" w:rsidP="0088155B">
      <w:pPr>
        <w:pStyle w:val="Heading1"/>
        <w:rPr>
          <w:lang w:val="fr-FR"/>
        </w:rPr>
      </w:pPr>
      <w:r w:rsidRPr="0056182D">
        <w:rPr>
          <w:lang w:val="fr-FR"/>
        </w:rPr>
        <w:t>2</w:t>
      </w:r>
      <w:r w:rsidRPr="0056182D">
        <w:rPr>
          <w:lang w:val="fr-FR"/>
        </w:rPr>
        <w:tab/>
      </w:r>
      <w:r w:rsidR="00CC427E" w:rsidRPr="0056182D">
        <w:rPr>
          <w:lang w:val="fr-FR"/>
        </w:rPr>
        <w:t>Travaux menés à bien par le Groupe GCBI en 2019</w:t>
      </w:r>
    </w:p>
    <w:p w14:paraId="176C63C5" w14:textId="62EF3AA4" w:rsidR="00CC427E" w:rsidRPr="0056182D" w:rsidRDefault="00CC427E" w:rsidP="00CF3E07">
      <w:pPr>
        <w:tabs>
          <w:tab w:val="left" w:pos="567"/>
        </w:tabs>
        <w:spacing w:after="120"/>
        <w:rPr>
          <w:szCs w:val="24"/>
          <w:lang w:val="fr-FR"/>
        </w:rPr>
      </w:pPr>
      <w:r w:rsidRPr="0056182D">
        <w:rPr>
          <w:szCs w:val="24"/>
          <w:lang w:val="fr-FR"/>
        </w:rPr>
        <w:t>L</w:t>
      </w:r>
      <w:r w:rsidR="000D6796" w:rsidRPr="0056182D">
        <w:rPr>
          <w:szCs w:val="24"/>
          <w:lang w:val="fr-FR"/>
        </w:rPr>
        <w:t>a</w:t>
      </w:r>
      <w:r w:rsidRPr="0056182D">
        <w:rPr>
          <w:szCs w:val="24"/>
          <w:lang w:val="fr-FR"/>
        </w:rPr>
        <w:t xml:space="preserve"> Président</w:t>
      </w:r>
      <w:r w:rsidR="000D6796" w:rsidRPr="0056182D">
        <w:rPr>
          <w:szCs w:val="24"/>
          <w:lang w:val="fr-FR"/>
        </w:rPr>
        <w:t>e</w:t>
      </w:r>
      <w:r w:rsidRPr="0056182D">
        <w:rPr>
          <w:szCs w:val="24"/>
          <w:lang w:val="fr-FR"/>
        </w:rPr>
        <w:t xml:space="preserve"> du Groupe GCBI, en étroite collaboration avec la Vice-Présidente, a coordonné les travaux du Groupe afin de mettre en œuvre les résultats de la réunion. Le Groupe a été divisé en trois groupes de travail, chargés d</w:t>
      </w:r>
      <w:r w:rsidR="00A241C9" w:rsidRPr="0056182D">
        <w:rPr>
          <w:szCs w:val="24"/>
          <w:lang w:val="fr-FR"/>
        </w:rPr>
        <w:t>'</w:t>
      </w:r>
      <w:r w:rsidRPr="0056182D">
        <w:rPr>
          <w:szCs w:val="24"/>
          <w:lang w:val="fr-FR"/>
        </w:rPr>
        <w:t>examiner les questions suivantes:</w:t>
      </w:r>
    </w:p>
    <w:p w14:paraId="343C324B" w14:textId="4CF32AA3" w:rsidR="00CC427E" w:rsidRPr="0056182D" w:rsidRDefault="00CF3E07" w:rsidP="00CF3E07">
      <w:pPr>
        <w:pStyle w:val="enumlev1"/>
        <w:rPr>
          <w:lang w:val="fr-FR"/>
        </w:rPr>
      </w:pPr>
      <w:r w:rsidRPr="0056182D">
        <w:rPr>
          <w:lang w:val="fr-FR"/>
        </w:rPr>
        <w:t>a)</w:t>
      </w:r>
      <w:r w:rsidRPr="0056182D">
        <w:rPr>
          <w:lang w:val="fr-FR"/>
        </w:rPr>
        <w:tab/>
      </w:r>
      <w:r w:rsidR="00CC427E" w:rsidRPr="0056182D">
        <w:rPr>
          <w:b/>
          <w:bCs/>
          <w:lang w:val="fr-FR"/>
        </w:rPr>
        <w:t>Cadre de renforcement des capacités</w:t>
      </w:r>
      <w:r w:rsidR="00CC427E" w:rsidRPr="0056182D">
        <w:rPr>
          <w:lang w:val="fr-FR"/>
        </w:rPr>
        <w:t xml:space="preserve"> </w:t>
      </w:r>
      <w:r w:rsidRPr="0056182D">
        <w:rPr>
          <w:lang w:val="fr-FR"/>
        </w:rPr>
        <w:t>–</w:t>
      </w:r>
      <w:r w:rsidRPr="0056182D">
        <w:rPr>
          <w:b/>
          <w:bCs/>
          <w:lang w:val="fr-FR"/>
        </w:rPr>
        <w:t xml:space="preserve"> </w:t>
      </w:r>
      <w:r w:rsidR="00CC427E" w:rsidRPr="0056182D">
        <w:rPr>
          <w:lang w:val="fr-FR"/>
        </w:rPr>
        <w:t>l</w:t>
      </w:r>
      <w:r w:rsidR="00A241C9" w:rsidRPr="0056182D">
        <w:rPr>
          <w:lang w:val="fr-FR"/>
        </w:rPr>
        <w:t>'</w:t>
      </w:r>
      <w:r w:rsidR="00CC427E" w:rsidRPr="0056182D">
        <w:rPr>
          <w:lang w:val="fr-FR"/>
        </w:rPr>
        <w:t>objectif de ce groupe était d</w:t>
      </w:r>
      <w:r w:rsidR="00A241C9" w:rsidRPr="0056182D">
        <w:rPr>
          <w:lang w:val="fr-FR"/>
        </w:rPr>
        <w:t>'</w:t>
      </w:r>
      <w:r w:rsidR="00CC427E" w:rsidRPr="0056182D">
        <w:rPr>
          <w:lang w:val="fr-FR"/>
        </w:rPr>
        <w:t>élaborer un document concernant un cadre de renforcement des capacités, comprenant une liste des taxonomies en matière de renforcement des capacités et une classification des activités de l</w:t>
      </w:r>
      <w:r w:rsidR="00A241C9" w:rsidRPr="0056182D">
        <w:rPr>
          <w:lang w:val="fr-FR"/>
        </w:rPr>
        <w:t>'</w:t>
      </w:r>
      <w:r w:rsidR="00CC427E" w:rsidRPr="0056182D">
        <w:rPr>
          <w:lang w:val="fr-FR"/>
        </w:rPr>
        <w:t>UIT en la matière. Ce cadre aidera l</w:t>
      </w:r>
      <w:r w:rsidR="00A241C9" w:rsidRPr="0056182D">
        <w:rPr>
          <w:lang w:val="fr-FR"/>
        </w:rPr>
        <w:t>'</w:t>
      </w:r>
      <w:r w:rsidR="00CC427E" w:rsidRPr="0056182D">
        <w:rPr>
          <w:lang w:val="fr-FR"/>
        </w:rPr>
        <w:t>UIT à définir une terminologie dans le domaine du renforcement des capacités et des compétences, afin de faciliter la normalisation des termes utilisés et la classification des activités de renforcement des capacités déployées par l</w:t>
      </w:r>
      <w:r w:rsidR="00A241C9" w:rsidRPr="0056182D">
        <w:rPr>
          <w:lang w:val="fr-FR"/>
        </w:rPr>
        <w:t>'</w:t>
      </w:r>
      <w:r w:rsidR="00CC427E" w:rsidRPr="0056182D">
        <w:rPr>
          <w:lang w:val="fr-FR"/>
        </w:rPr>
        <w:t xml:space="preserve">UIT. </w:t>
      </w:r>
    </w:p>
    <w:p w14:paraId="046223CB" w14:textId="17382DDA" w:rsidR="00CC427E" w:rsidRPr="0056182D" w:rsidRDefault="00CF3E07" w:rsidP="00CF3E07">
      <w:pPr>
        <w:pStyle w:val="enumlev1"/>
        <w:rPr>
          <w:lang w:val="fr-FR"/>
        </w:rPr>
      </w:pPr>
      <w:r w:rsidRPr="0056182D">
        <w:rPr>
          <w:lang w:val="fr-FR"/>
        </w:rPr>
        <w:t>b)</w:t>
      </w:r>
      <w:r w:rsidRPr="0056182D">
        <w:rPr>
          <w:lang w:val="fr-FR"/>
        </w:rPr>
        <w:tab/>
      </w:r>
      <w:r w:rsidR="00CC427E" w:rsidRPr="0056182D">
        <w:rPr>
          <w:b/>
          <w:bCs/>
          <w:lang w:val="fr-FR"/>
        </w:rPr>
        <w:t xml:space="preserve">Bilan </w:t>
      </w:r>
      <w:r w:rsidRPr="0056182D">
        <w:rPr>
          <w:lang w:val="fr-FR"/>
        </w:rPr>
        <w:t>–</w:t>
      </w:r>
      <w:r w:rsidR="00CC427E" w:rsidRPr="0056182D">
        <w:rPr>
          <w:b/>
          <w:bCs/>
          <w:lang w:val="fr-FR"/>
        </w:rPr>
        <w:t xml:space="preserve"> </w:t>
      </w:r>
      <w:r w:rsidR="00CC427E" w:rsidRPr="0056182D">
        <w:rPr>
          <w:lang w:val="fr-FR"/>
        </w:rPr>
        <w:t>ce groupe avait pour objectif de définir une méthode fondée sur des bases factuelles afin de dresser un bilan, le but étant de renforcer la capacité consultative du Groupe GCBI.</w:t>
      </w:r>
    </w:p>
    <w:p w14:paraId="4403CD3B" w14:textId="48EBFA6B" w:rsidR="00CC427E" w:rsidRPr="0056182D" w:rsidRDefault="00CF3E07" w:rsidP="00CF3E07">
      <w:pPr>
        <w:pStyle w:val="enumlev1"/>
        <w:rPr>
          <w:lang w:val="fr-FR"/>
        </w:rPr>
      </w:pPr>
      <w:r w:rsidRPr="0056182D">
        <w:rPr>
          <w:lang w:val="fr-FR"/>
        </w:rPr>
        <w:t>c)</w:t>
      </w:r>
      <w:r w:rsidRPr="0056182D">
        <w:rPr>
          <w:lang w:val="fr-FR"/>
        </w:rPr>
        <w:tab/>
      </w:r>
      <w:r w:rsidR="00CC427E" w:rsidRPr="0056182D">
        <w:rPr>
          <w:b/>
          <w:bCs/>
          <w:lang w:val="fr-FR"/>
        </w:rPr>
        <w:t xml:space="preserve">Ciblage </w:t>
      </w:r>
      <w:r w:rsidRPr="0056182D">
        <w:rPr>
          <w:lang w:val="fr-FR"/>
        </w:rPr>
        <w:t>–</w:t>
      </w:r>
      <w:r w:rsidR="00CC427E" w:rsidRPr="0056182D">
        <w:rPr>
          <w:lang w:val="fr-FR"/>
        </w:rPr>
        <w:t xml:space="preserve"> l</w:t>
      </w:r>
      <w:r w:rsidR="00A241C9" w:rsidRPr="0056182D">
        <w:rPr>
          <w:lang w:val="fr-FR"/>
        </w:rPr>
        <w:t>'</w:t>
      </w:r>
      <w:r w:rsidR="00CC427E" w:rsidRPr="0056182D">
        <w:rPr>
          <w:lang w:val="fr-FR"/>
        </w:rPr>
        <w:t>objectif de ce groupe était de fournir un nouveau modèle permettant de cibler le public, notamment en dressant une cartographie des parties prenantes et en segmentant et étudiant les nouveaux besoins en matière de renforcement des capacités qui vont au-delà des thèmes traités dans les initiatives régionales.</w:t>
      </w:r>
    </w:p>
    <w:p w14:paraId="60E529E5" w14:textId="656431DD" w:rsidR="00CC427E" w:rsidRPr="0056182D" w:rsidRDefault="00CC427E" w:rsidP="00CF3E07">
      <w:pPr>
        <w:tabs>
          <w:tab w:val="left" w:pos="567"/>
        </w:tabs>
        <w:spacing w:after="120"/>
        <w:rPr>
          <w:szCs w:val="24"/>
          <w:lang w:val="fr-FR"/>
        </w:rPr>
      </w:pPr>
      <w:r w:rsidRPr="0056182D">
        <w:rPr>
          <w:szCs w:val="24"/>
          <w:lang w:val="fr-FR"/>
        </w:rPr>
        <w:t>Le Groupe est convenu d</w:t>
      </w:r>
      <w:r w:rsidR="00A241C9" w:rsidRPr="0056182D">
        <w:rPr>
          <w:szCs w:val="24"/>
          <w:lang w:val="fr-FR"/>
        </w:rPr>
        <w:t>'</w:t>
      </w:r>
      <w:r w:rsidRPr="0056182D">
        <w:rPr>
          <w:szCs w:val="24"/>
          <w:lang w:val="fr-FR"/>
        </w:rPr>
        <w:t>entamer l</w:t>
      </w:r>
      <w:r w:rsidR="00A241C9" w:rsidRPr="0056182D">
        <w:rPr>
          <w:szCs w:val="24"/>
          <w:lang w:val="fr-FR"/>
        </w:rPr>
        <w:t>'</w:t>
      </w:r>
      <w:r w:rsidRPr="0056182D">
        <w:rPr>
          <w:szCs w:val="24"/>
          <w:lang w:val="fr-FR"/>
        </w:rPr>
        <w:t>élaboration d</w:t>
      </w:r>
      <w:r w:rsidR="00A241C9" w:rsidRPr="0056182D">
        <w:rPr>
          <w:szCs w:val="24"/>
          <w:lang w:val="fr-FR"/>
        </w:rPr>
        <w:t>'</w:t>
      </w:r>
      <w:r w:rsidRPr="0056182D">
        <w:rPr>
          <w:szCs w:val="24"/>
          <w:lang w:val="fr-FR"/>
        </w:rPr>
        <w:t>un cadre pour le renforcement des capacités à titre prioritaire.</w:t>
      </w:r>
    </w:p>
    <w:p w14:paraId="528531BF" w14:textId="6C76E870" w:rsidR="00CC427E" w:rsidRPr="0056182D" w:rsidRDefault="00CC427E" w:rsidP="00CF3E07">
      <w:pPr>
        <w:tabs>
          <w:tab w:val="left" w:pos="567"/>
        </w:tabs>
        <w:spacing w:after="120"/>
        <w:rPr>
          <w:szCs w:val="24"/>
          <w:lang w:val="fr-FR"/>
        </w:rPr>
      </w:pPr>
      <w:r w:rsidRPr="0056182D">
        <w:rPr>
          <w:szCs w:val="24"/>
          <w:lang w:val="fr-FR"/>
        </w:rPr>
        <w:t>Une réunion virtuelle de la commission de direction du Groupe a eu lieu en août 2019, afin de convenir des modalités d</w:t>
      </w:r>
      <w:r w:rsidR="00A241C9" w:rsidRPr="0056182D">
        <w:rPr>
          <w:szCs w:val="24"/>
          <w:lang w:val="fr-FR"/>
        </w:rPr>
        <w:t>'</w:t>
      </w:r>
      <w:r w:rsidRPr="0056182D">
        <w:rPr>
          <w:szCs w:val="24"/>
          <w:lang w:val="fr-FR"/>
        </w:rPr>
        <w:t>élaboration du document.</w:t>
      </w:r>
      <w:r w:rsidR="00A241C9" w:rsidRPr="0056182D">
        <w:rPr>
          <w:szCs w:val="24"/>
          <w:lang w:val="fr-FR"/>
        </w:rPr>
        <w:t xml:space="preserve"> </w:t>
      </w:r>
      <w:r w:rsidRPr="0056182D">
        <w:rPr>
          <w:szCs w:val="24"/>
          <w:lang w:val="fr-FR"/>
        </w:rPr>
        <w:t>Le Groupe s</w:t>
      </w:r>
      <w:r w:rsidR="00A241C9" w:rsidRPr="0056182D">
        <w:rPr>
          <w:szCs w:val="24"/>
          <w:lang w:val="fr-FR"/>
        </w:rPr>
        <w:t>'</w:t>
      </w:r>
      <w:r w:rsidRPr="0056182D">
        <w:rPr>
          <w:szCs w:val="24"/>
          <w:lang w:val="fr-FR"/>
        </w:rPr>
        <w:t>est scindé en trois équipes pour rédiger trois parties de ce document, à savoir les considérations générales et l</w:t>
      </w:r>
      <w:r w:rsidR="00A241C9" w:rsidRPr="0056182D">
        <w:rPr>
          <w:szCs w:val="24"/>
          <w:lang w:val="fr-FR"/>
        </w:rPr>
        <w:t>'</w:t>
      </w:r>
      <w:r w:rsidRPr="0056182D">
        <w:rPr>
          <w:szCs w:val="24"/>
          <w:lang w:val="fr-FR"/>
        </w:rPr>
        <w:t>examen de la terminologie globale; la liste des termes et définitions relatifs au renforcement des capacités (taxonomie); et l</w:t>
      </w:r>
      <w:r w:rsidR="00A241C9" w:rsidRPr="0056182D">
        <w:rPr>
          <w:szCs w:val="24"/>
          <w:lang w:val="fr-FR"/>
        </w:rPr>
        <w:t>'</w:t>
      </w:r>
      <w:r w:rsidRPr="0056182D">
        <w:rPr>
          <w:szCs w:val="24"/>
          <w:lang w:val="fr-FR"/>
        </w:rPr>
        <w:t>analyse des activités de l</w:t>
      </w:r>
      <w:r w:rsidR="00A241C9" w:rsidRPr="0056182D">
        <w:rPr>
          <w:szCs w:val="24"/>
          <w:lang w:val="fr-FR"/>
        </w:rPr>
        <w:t>'</w:t>
      </w:r>
      <w:r w:rsidRPr="0056182D">
        <w:rPr>
          <w:szCs w:val="24"/>
          <w:lang w:val="fr-FR"/>
        </w:rPr>
        <w:t>UIT en matière de renforcement des compétences et des capacités et la classification de ces activités conformément à la taxonomie proposée.</w:t>
      </w:r>
    </w:p>
    <w:p w14:paraId="5AD25A61" w14:textId="06E28435" w:rsidR="00CC427E" w:rsidRPr="0056182D" w:rsidRDefault="00CC427E" w:rsidP="00CF3E07">
      <w:pPr>
        <w:tabs>
          <w:tab w:val="left" w:pos="567"/>
        </w:tabs>
        <w:spacing w:after="120"/>
        <w:rPr>
          <w:szCs w:val="24"/>
          <w:lang w:val="fr-FR"/>
        </w:rPr>
      </w:pPr>
      <w:r w:rsidRPr="0056182D">
        <w:rPr>
          <w:szCs w:val="24"/>
          <w:lang w:val="fr-FR"/>
        </w:rPr>
        <w:t>La version finale du document a été soumise pour examen au secrétariat de l</w:t>
      </w:r>
      <w:r w:rsidR="00A241C9" w:rsidRPr="0056182D">
        <w:rPr>
          <w:szCs w:val="24"/>
          <w:lang w:val="fr-FR"/>
        </w:rPr>
        <w:t>'</w:t>
      </w:r>
      <w:r w:rsidRPr="0056182D">
        <w:rPr>
          <w:szCs w:val="24"/>
          <w:lang w:val="fr-FR"/>
        </w:rPr>
        <w:t>UIT en décembre</w:t>
      </w:r>
      <w:r w:rsidR="0088155B" w:rsidRPr="0056182D">
        <w:rPr>
          <w:szCs w:val="24"/>
          <w:lang w:val="fr-FR"/>
        </w:rPr>
        <w:t> </w:t>
      </w:r>
      <w:r w:rsidRPr="0056182D">
        <w:rPr>
          <w:szCs w:val="24"/>
          <w:lang w:val="fr-FR"/>
        </w:rPr>
        <w:t>2019.</w:t>
      </w:r>
    </w:p>
    <w:p w14:paraId="52E22DF4" w14:textId="686A9688" w:rsidR="00CC427E" w:rsidRPr="0056182D" w:rsidRDefault="00CF3E07" w:rsidP="00CF3E07">
      <w:pPr>
        <w:pStyle w:val="Heading1"/>
        <w:rPr>
          <w:lang w:val="fr-FR"/>
        </w:rPr>
      </w:pPr>
      <w:r w:rsidRPr="0056182D">
        <w:rPr>
          <w:lang w:val="fr-FR"/>
        </w:rPr>
        <w:t>3</w:t>
      </w:r>
      <w:r w:rsidRPr="0056182D">
        <w:rPr>
          <w:lang w:val="fr-FR"/>
        </w:rPr>
        <w:tab/>
      </w:r>
      <w:r w:rsidR="00CC427E" w:rsidRPr="0056182D">
        <w:rPr>
          <w:lang w:val="fr-FR"/>
        </w:rPr>
        <w:t>Huitième réunion du Groupe GCBI</w:t>
      </w:r>
    </w:p>
    <w:p w14:paraId="53A008B5" w14:textId="4A09C700" w:rsidR="00D040F7" w:rsidRPr="0056182D" w:rsidRDefault="00CC427E" w:rsidP="00CF3E07">
      <w:pPr>
        <w:rPr>
          <w:lang w:val="fr-FR"/>
        </w:rPr>
      </w:pPr>
      <w:r w:rsidRPr="0056182D">
        <w:rPr>
          <w:lang w:val="fr-FR"/>
        </w:rPr>
        <w:t>La huitième réunion du Groupe GCBI aura lieu les 23 et 24 mars 2020 à Genève.</w:t>
      </w:r>
    </w:p>
    <w:p w14:paraId="3D7AFD18" w14:textId="77777777" w:rsidR="002770B1" w:rsidRPr="0056182D" w:rsidRDefault="003C58BF" w:rsidP="00CF3E07">
      <w:pPr>
        <w:tabs>
          <w:tab w:val="clear" w:pos="794"/>
          <w:tab w:val="clear" w:pos="1191"/>
          <w:tab w:val="clear" w:pos="1588"/>
          <w:tab w:val="clear" w:pos="1985"/>
        </w:tabs>
        <w:spacing w:after="120"/>
        <w:jc w:val="center"/>
        <w:rPr>
          <w:lang w:val="fr-FR"/>
        </w:rPr>
      </w:pPr>
      <w:r w:rsidRPr="0056182D">
        <w:rPr>
          <w:lang w:val="fr-FR"/>
        </w:rPr>
        <w:t>_____________</w:t>
      </w:r>
      <w:r w:rsidR="004122C5" w:rsidRPr="0056182D">
        <w:rPr>
          <w:lang w:val="fr-FR"/>
        </w:rPr>
        <w:t>_</w:t>
      </w:r>
      <w:r w:rsidR="00922EC1" w:rsidRPr="0056182D">
        <w:rPr>
          <w:lang w:val="fr-FR"/>
        </w:rPr>
        <w:t>_</w:t>
      </w:r>
    </w:p>
    <w:sectPr w:rsidR="002770B1" w:rsidRPr="0056182D"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3DACF" w14:textId="77777777" w:rsidR="00CC427E" w:rsidRDefault="00CC427E">
      <w:r>
        <w:separator/>
      </w:r>
    </w:p>
  </w:endnote>
  <w:endnote w:type="continuationSeparator" w:id="0">
    <w:p w14:paraId="5317D00A" w14:textId="77777777" w:rsidR="00CC427E" w:rsidRDefault="00CC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A970" w14:textId="79F5673B" w:rsidR="00721657" w:rsidRPr="00A525CC" w:rsidRDefault="00721657" w:rsidP="00A525CC">
    <w:pPr>
      <w:pStyle w:val="Footer"/>
      <w:rPr>
        <w:caps w:val="0"/>
        <w:sz w:val="18"/>
        <w:szCs w:val="18"/>
        <w:lang w:val="en-US"/>
      </w:rPr>
    </w:pPr>
    <w:r w:rsidRPr="00CF3E07">
      <w:rPr>
        <w:caps w:val="0"/>
        <w:szCs w:val="16"/>
      </w:rPr>
      <w:fldChar w:fldCharType="begin"/>
    </w:r>
    <w:r w:rsidRPr="00CF3E07">
      <w:rPr>
        <w:caps w:val="0"/>
        <w:szCs w:val="16"/>
        <w:lang w:val="en-US"/>
      </w:rPr>
      <w:instrText xml:space="preserve"> FILENAME \p \* MERGEFORMAT </w:instrText>
    </w:r>
    <w:r w:rsidRPr="00CF3E07">
      <w:rPr>
        <w:caps w:val="0"/>
        <w:szCs w:val="16"/>
      </w:rPr>
      <w:fldChar w:fldCharType="separate"/>
    </w:r>
    <w:r w:rsidR="0056182D">
      <w:rPr>
        <w:caps w:val="0"/>
        <w:szCs w:val="16"/>
        <w:lang w:val="en-US"/>
      </w:rPr>
      <w:t>P:\FRA\ITU-D\CONF-D\TDAG20\000\027F.docx</w:t>
    </w:r>
    <w:r w:rsidRPr="00CF3E07">
      <w:rPr>
        <w:caps w:val="0"/>
        <w:szCs w:val="16"/>
        <w:lang w:val="en-US"/>
      </w:rPr>
      <w:fldChar w:fldCharType="end"/>
    </w:r>
    <w:r w:rsidR="00CF3E07" w:rsidRPr="00CF3E07">
      <w:rPr>
        <w:caps w:val="0"/>
        <w:szCs w:val="16"/>
        <w:lang w:val="en-US"/>
      </w:rPr>
      <w:t xml:space="preserve"> (467655)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A454E1" w:rsidRPr="004D495C" w14:paraId="1DB784AD" w14:textId="77777777" w:rsidTr="004E3CF5">
      <w:tc>
        <w:tcPr>
          <w:tcW w:w="1526" w:type="dxa"/>
          <w:tcBorders>
            <w:top w:val="single" w:sz="4" w:space="0" w:color="000000"/>
          </w:tcBorders>
          <w:shd w:val="clear" w:color="auto" w:fill="auto"/>
        </w:tcPr>
        <w:p w14:paraId="1E094027" w14:textId="77777777"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3EEE425" w14:textId="77777777" w:rsidR="00A454E1" w:rsidRPr="004D495C" w:rsidRDefault="00A454E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5EB34052" w14:textId="623F231D" w:rsidR="00A454E1" w:rsidRPr="00CC427E" w:rsidRDefault="00CC427E" w:rsidP="00CC427E">
          <w:pPr>
            <w:pStyle w:val="FirstFooter"/>
            <w:tabs>
              <w:tab w:val="left" w:pos="0"/>
            </w:tabs>
            <w:rPr>
              <w:sz w:val="18"/>
              <w:szCs w:val="18"/>
              <w:lang w:val="fr-CH"/>
            </w:rPr>
          </w:pPr>
          <w:r w:rsidRPr="00CC427E">
            <w:rPr>
              <w:sz w:val="18"/>
              <w:szCs w:val="18"/>
              <w:lang w:val="fr-CH"/>
            </w:rPr>
            <w:t>Mme Eun-Ju Kim, Chef du Département du pôle de connaissances numériques (DKH), Bureau de développement des télécommunications</w:t>
          </w:r>
        </w:p>
      </w:tc>
    </w:tr>
    <w:tr w:rsidR="00CC427E" w:rsidRPr="004D495C" w14:paraId="73D56DDD" w14:textId="77777777" w:rsidTr="004E3CF5">
      <w:tc>
        <w:tcPr>
          <w:tcW w:w="1526" w:type="dxa"/>
          <w:shd w:val="clear" w:color="auto" w:fill="auto"/>
        </w:tcPr>
        <w:p w14:paraId="24699021" w14:textId="77777777" w:rsidR="00CC427E" w:rsidRPr="00CC427E" w:rsidRDefault="00CC427E" w:rsidP="00CC427E">
          <w:pPr>
            <w:pStyle w:val="FirstFooter"/>
            <w:tabs>
              <w:tab w:val="left" w:pos="1559"/>
              <w:tab w:val="left" w:pos="3828"/>
            </w:tabs>
            <w:rPr>
              <w:sz w:val="20"/>
              <w:lang w:val="fr-CH"/>
            </w:rPr>
          </w:pPr>
        </w:p>
      </w:tc>
      <w:tc>
        <w:tcPr>
          <w:tcW w:w="2410" w:type="dxa"/>
          <w:shd w:val="clear" w:color="auto" w:fill="auto"/>
        </w:tcPr>
        <w:p w14:paraId="00CB0D12" w14:textId="77777777" w:rsidR="00CC427E" w:rsidRPr="004D495C" w:rsidRDefault="00CC427E" w:rsidP="00CC427E">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08C11F2B" w14:textId="79DCF689" w:rsidR="00CC427E" w:rsidRPr="00E5653A" w:rsidRDefault="00CC427E" w:rsidP="00CC427E">
          <w:pPr>
            <w:pStyle w:val="FirstFooter"/>
            <w:tabs>
              <w:tab w:val="left" w:pos="2302"/>
            </w:tabs>
            <w:rPr>
              <w:sz w:val="18"/>
              <w:szCs w:val="18"/>
              <w:lang w:val="en-US"/>
            </w:rPr>
          </w:pPr>
          <w:bookmarkStart w:id="7" w:name="PhoneNo"/>
          <w:bookmarkEnd w:id="7"/>
          <w:r>
            <w:rPr>
              <w:sz w:val="18"/>
              <w:szCs w:val="18"/>
              <w:lang w:val="en-US"/>
            </w:rPr>
            <w:t>+41 22 7305472</w:t>
          </w:r>
        </w:p>
      </w:tc>
    </w:tr>
    <w:tr w:rsidR="00CC427E" w:rsidRPr="00CC427E" w14:paraId="541CD77B" w14:textId="77777777" w:rsidTr="004E3CF5">
      <w:tc>
        <w:tcPr>
          <w:tcW w:w="1526" w:type="dxa"/>
          <w:shd w:val="clear" w:color="auto" w:fill="auto"/>
        </w:tcPr>
        <w:p w14:paraId="5DE4BA4C" w14:textId="77777777" w:rsidR="00CC427E" w:rsidRPr="004D495C" w:rsidRDefault="00CC427E" w:rsidP="00CC427E">
          <w:pPr>
            <w:pStyle w:val="FirstFooter"/>
            <w:tabs>
              <w:tab w:val="left" w:pos="1559"/>
              <w:tab w:val="left" w:pos="3828"/>
            </w:tabs>
            <w:rPr>
              <w:sz w:val="20"/>
              <w:lang w:val="en-US"/>
            </w:rPr>
          </w:pPr>
        </w:p>
      </w:tc>
      <w:tc>
        <w:tcPr>
          <w:tcW w:w="2410" w:type="dxa"/>
          <w:shd w:val="clear" w:color="auto" w:fill="auto"/>
        </w:tcPr>
        <w:p w14:paraId="2ACBD359" w14:textId="77777777" w:rsidR="00CC427E" w:rsidRPr="004D495C" w:rsidRDefault="00CC427E" w:rsidP="00CC427E">
          <w:pPr>
            <w:pStyle w:val="FirstFooter"/>
            <w:tabs>
              <w:tab w:val="left" w:pos="2302"/>
            </w:tabs>
            <w:rPr>
              <w:sz w:val="18"/>
              <w:szCs w:val="18"/>
              <w:lang w:val="en-US"/>
            </w:rPr>
          </w:pPr>
          <w:r>
            <w:rPr>
              <w:sz w:val="18"/>
              <w:szCs w:val="18"/>
              <w:lang w:val="en-US"/>
            </w:rPr>
            <w:t>Courriel:</w:t>
          </w:r>
        </w:p>
      </w:tc>
      <w:bookmarkStart w:id="8" w:name="Email"/>
      <w:bookmarkEnd w:id="8"/>
      <w:tc>
        <w:tcPr>
          <w:tcW w:w="5987" w:type="dxa"/>
          <w:shd w:val="clear" w:color="auto" w:fill="auto"/>
        </w:tcPr>
        <w:p w14:paraId="6877B9B9" w14:textId="7763E4E8" w:rsidR="00CC427E" w:rsidRPr="00E5653A" w:rsidRDefault="00CC427E" w:rsidP="00CC427E">
          <w:pPr>
            <w:pStyle w:val="FirstFooter"/>
            <w:tabs>
              <w:tab w:val="left" w:pos="2302"/>
            </w:tabs>
            <w:rPr>
              <w:sz w:val="18"/>
              <w:szCs w:val="18"/>
              <w:lang w:val="en-US"/>
            </w:rPr>
          </w:pPr>
          <w:r>
            <w:fldChar w:fldCharType="begin"/>
          </w:r>
          <w:r w:rsidRPr="00CC427E">
            <w:rPr>
              <w:lang w:val="en-US"/>
            </w:rPr>
            <w:instrText xml:space="preserve"> HYPERLINK "mailto:eun-ju.kim@itu.int" </w:instrText>
          </w:r>
          <w:r>
            <w:fldChar w:fldCharType="separate"/>
          </w:r>
          <w:r w:rsidRPr="00CC427E">
            <w:rPr>
              <w:rStyle w:val="Hyperlink"/>
              <w:lang w:val="en-US"/>
            </w:rPr>
            <w:t>eun-ju.kim@itu.int</w:t>
          </w:r>
          <w:r>
            <w:rPr>
              <w:rStyle w:val="Hyperlink"/>
            </w:rPr>
            <w:fldChar w:fldCharType="end"/>
          </w:r>
        </w:p>
      </w:tc>
    </w:tr>
  </w:tbl>
  <w:p w14:paraId="71836B63" w14:textId="77777777" w:rsidR="00A454E1" w:rsidRPr="00CC427E" w:rsidRDefault="00A454E1" w:rsidP="00B80157">
    <w:pPr>
      <w:pStyle w:val="Footer"/>
      <w:jc w:val="center"/>
      <w:rPr>
        <w:lang w:val="en-US"/>
      </w:rPr>
    </w:pPr>
  </w:p>
  <w:p w14:paraId="59BBAFC5" w14:textId="18EEC081" w:rsidR="00721657" w:rsidRPr="008802F9" w:rsidRDefault="009524F2"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45963" w14:textId="77777777" w:rsidR="00CC427E" w:rsidRDefault="00CC427E">
      <w:r>
        <w:t>____________________</w:t>
      </w:r>
    </w:p>
  </w:footnote>
  <w:footnote w:type="continuationSeparator" w:id="0">
    <w:p w14:paraId="101B94A9" w14:textId="77777777" w:rsidR="00CC427E" w:rsidRDefault="00CC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86CD" w14:textId="3B19F706" w:rsidR="00A525CC" w:rsidRPr="0088155B" w:rsidRDefault="00A525CC"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88155B">
      <w:rPr>
        <w:sz w:val="22"/>
        <w:szCs w:val="22"/>
      </w:rPr>
      <w:tab/>
    </w:r>
    <w:r w:rsidRPr="0088155B">
      <w:rPr>
        <w:sz w:val="22"/>
        <w:szCs w:val="22"/>
        <w:lang w:val="de-CH"/>
      </w:rPr>
      <w:t>TDAG</w:t>
    </w:r>
    <w:r w:rsidR="008F20EB" w:rsidRPr="0088155B">
      <w:rPr>
        <w:sz w:val="22"/>
        <w:szCs w:val="22"/>
        <w:lang w:val="de-CH"/>
      </w:rPr>
      <w:t>-</w:t>
    </w:r>
    <w:r w:rsidR="002577C1" w:rsidRPr="0088155B">
      <w:rPr>
        <w:sz w:val="22"/>
        <w:szCs w:val="22"/>
        <w:lang w:val="de-CH"/>
      </w:rPr>
      <w:t>20</w:t>
    </w:r>
    <w:r w:rsidRPr="0088155B">
      <w:rPr>
        <w:sz w:val="22"/>
        <w:szCs w:val="22"/>
        <w:lang w:val="de-CH"/>
      </w:rPr>
      <w:t>/</w:t>
    </w:r>
    <w:r w:rsidR="00CC427E" w:rsidRPr="0088155B">
      <w:rPr>
        <w:sz w:val="22"/>
        <w:szCs w:val="22"/>
        <w:lang w:val="de-CH"/>
      </w:rPr>
      <w:t>27</w:t>
    </w:r>
    <w:r w:rsidRPr="0088155B">
      <w:rPr>
        <w:sz w:val="22"/>
        <w:szCs w:val="22"/>
        <w:lang w:val="de-CH"/>
      </w:rPr>
      <w:t>-</w:t>
    </w:r>
    <w:r w:rsidR="00B533E9" w:rsidRPr="0088155B">
      <w:rPr>
        <w:sz w:val="22"/>
        <w:szCs w:val="22"/>
        <w:lang w:val="de-CH"/>
      </w:rPr>
      <w:t>F</w:t>
    </w:r>
    <w:r w:rsidRPr="0088155B">
      <w:rPr>
        <w:sz w:val="22"/>
        <w:szCs w:val="22"/>
        <w:lang w:val="de-CH"/>
      </w:rPr>
      <w:tab/>
      <w:t xml:space="preserve">Page </w:t>
    </w:r>
    <w:r w:rsidRPr="0088155B">
      <w:rPr>
        <w:sz w:val="22"/>
        <w:szCs w:val="22"/>
      </w:rPr>
      <w:fldChar w:fldCharType="begin"/>
    </w:r>
    <w:r w:rsidRPr="0088155B">
      <w:rPr>
        <w:sz w:val="22"/>
        <w:szCs w:val="22"/>
        <w:lang w:val="de-CH"/>
      </w:rPr>
      <w:instrText xml:space="preserve"> PAGE </w:instrText>
    </w:r>
    <w:r w:rsidRPr="0088155B">
      <w:rPr>
        <w:sz w:val="22"/>
        <w:szCs w:val="22"/>
      </w:rPr>
      <w:fldChar w:fldCharType="separate"/>
    </w:r>
    <w:r w:rsidR="0078113B" w:rsidRPr="0088155B">
      <w:rPr>
        <w:noProof/>
        <w:sz w:val="22"/>
        <w:szCs w:val="22"/>
        <w:lang w:val="de-CH"/>
      </w:rPr>
      <w:t>2</w:t>
    </w:r>
    <w:r w:rsidRPr="0088155B">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C7E91"/>
    <w:multiLevelType w:val="hybridMultilevel"/>
    <w:tmpl w:val="90AA6A4E"/>
    <w:lvl w:ilvl="0" w:tplc="C7BC1E90">
      <w:start w:val="1"/>
      <w:numFmt w:val="bullet"/>
      <w:lvlText w:val=""/>
      <w:lvlJc w:val="left"/>
      <w:pPr>
        <w:ind w:left="720" w:hanging="360"/>
      </w:pPr>
      <w:rPr>
        <w:rFonts w:ascii="Symbol" w:hAnsi="Symbol" w:hint="default"/>
      </w:rPr>
    </w:lvl>
    <w:lvl w:ilvl="1" w:tplc="DC8C793C" w:tentative="1">
      <w:start w:val="1"/>
      <w:numFmt w:val="bullet"/>
      <w:lvlText w:val="o"/>
      <w:lvlJc w:val="left"/>
      <w:pPr>
        <w:ind w:left="1440" w:hanging="360"/>
      </w:pPr>
      <w:rPr>
        <w:rFonts w:ascii="Courier New" w:hAnsi="Courier New" w:cs="Courier New" w:hint="default"/>
      </w:rPr>
    </w:lvl>
    <w:lvl w:ilvl="2" w:tplc="8050162E" w:tentative="1">
      <w:start w:val="1"/>
      <w:numFmt w:val="bullet"/>
      <w:lvlText w:val=""/>
      <w:lvlJc w:val="left"/>
      <w:pPr>
        <w:ind w:left="2160" w:hanging="360"/>
      </w:pPr>
      <w:rPr>
        <w:rFonts w:ascii="Wingdings" w:hAnsi="Wingdings" w:hint="default"/>
      </w:rPr>
    </w:lvl>
    <w:lvl w:ilvl="3" w:tplc="50568740" w:tentative="1">
      <w:start w:val="1"/>
      <w:numFmt w:val="bullet"/>
      <w:lvlText w:val=""/>
      <w:lvlJc w:val="left"/>
      <w:pPr>
        <w:ind w:left="2880" w:hanging="360"/>
      </w:pPr>
      <w:rPr>
        <w:rFonts w:ascii="Symbol" w:hAnsi="Symbol" w:hint="default"/>
      </w:rPr>
    </w:lvl>
    <w:lvl w:ilvl="4" w:tplc="2CDC802E" w:tentative="1">
      <w:start w:val="1"/>
      <w:numFmt w:val="bullet"/>
      <w:lvlText w:val="o"/>
      <w:lvlJc w:val="left"/>
      <w:pPr>
        <w:ind w:left="3600" w:hanging="360"/>
      </w:pPr>
      <w:rPr>
        <w:rFonts w:ascii="Courier New" w:hAnsi="Courier New" w:cs="Courier New" w:hint="default"/>
      </w:rPr>
    </w:lvl>
    <w:lvl w:ilvl="5" w:tplc="C7905EA8" w:tentative="1">
      <w:start w:val="1"/>
      <w:numFmt w:val="bullet"/>
      <w:lvlText w:val=""/>
      <w:lvlJc w:val="left"/>
      <w:pPr>
        <w:ind w:left="4320" w:hanging="360"/>
      </w:pPr>
      <w:rPr>
        <w:rFonts w:ascii="Wingdings" w:hAnsi="Wingdings" w:hint="default"/>
      </w:rPr>
    </w:lvl>
    <w:lvl w:ilvl="6" w:tplc="E642297C" w:tentative="1">
      <w:start w:val="1"/>
      <w:numFmt w:val="bullet"/>
      <w:lvlText w:val=""/>
      <w:lvlJc w:val="left"/>
      <w:pPr>
        <w:ind w:left="5040" w:hanging="360"/>
      </w:pPr>
      <w:rPr>
        <w:rFonts w:ascii="Symbol" w:hAnsi="Symbol" w:hint="default"/>
      </w:rPr>
    </w:lvl>
    <w:lvl w:ilvl="7" w:tplc="CA0A9F7A" w:tentative="1">
      <w:start w:val="1"/>
      <w:numFmt w:val="bullet"/>
      <w:lvlText w:val="o"/>
      <w:lvlJc w:val="left"/>
      <w:pPr>
        <w:ind w:left="5760" w:hanging="360"/>
      </w:pPr>
      <w:rPr>
        <w:rFonts w:ascii="Courier New" w:hAnsi="Courier New" w:cs="Courier New" w:hint="default"/>
      </w:rPr>
    </w:lvl>
    <w:lvl w:ilvl="8" w:tplc="BCFCA894"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7EB654C"/>
    <w:multiLevelType w:val="hybridMultilevel"/>
    <w:tmpl w:val="5C08069C"/>
    <w:lvl w:ilvl="0" w:tplc="00E0E6CC">
      <w:start w:val="1"/>
      <w:numFmt w:val="decimal"/>
      <w:lvlText w:val="%1."/>
      <w:lvlJc w:val="left"/>
      <w:pPr>
        <w:ind w:left="360" w:hanging="360"/>
      </w:pPr>
      <w:rPr>
        <w:rFonts w:hint="default"/>
      </w:rPr>
    </w:lvl>
    <w:lvl w:ilvl="1" w:tplc="AC0E07E8">
      <w:start w:val="1"/>
      <w:numFmt w:val="lowerLetter"/>
      <w:lvlText w:val="%2)"/>
      <w:lvlJc w:val="left"/>
      <w:pPr>
        <w:ind w:left="1080" w:hanging="360"/>
      </w:pPr>
      <w:rPr>
        <w:rFonts w:hint="default"/>
      </w:rPr>
    </w:lvl>
    <w:lvl w:ilvl="2" w:tplc="C332C79E" w:tentative="1">
      <w:start w:val="1"/>
      <w:numFmt w:val="lowerRoman"/>
      <w:lvlText w:val="%3."/>
      <w:lvlJc w:val="right"/>
      <w:pPr>
        <w:ind w:left="1800" w:hanging="180"/>
      </w:pPr>
    </w:lvl>
    <w:lvl w:ilvl="3" w:tplc="6C46221E" w:tentative="1">
      <w:start w:val="1"/>
      <w:numFmt w:val="decimal"/>
      <w:lvlText w:val="%4."/>
      <w:lvlJc w:val="left"/>
      <w:pPr>
        <w:ind w:left="2520" w:hanging="360"/>
      </w:pPr>
    </w:lvl>
    <w:lvl w:ilvl="4" w:tplc="2E107F82" w:tentative="1">
      <w:start w:val="1"/>
      <w:numFmt w:val="lowerLetter"/>
      <w:lvlText w:val="%5."/>
      <w:lvlJc w:val="left"/>
      <w:pPr>
        <w:ind w:left="3240" w:hanging="360"/>
      </w:pPr>
    </w:lvl>
    <w:lvl w:ilvl="5" w:tplc="2CEA8CDC" w:tentative="1">
      <w:start w:val="1"/>
      <w:numFmt w:val="lowerRoman"/>
      <w:lvlText w:val="%6."/>
      <w:lvlJc w:val="right"/>
      <w:pPr>
        <w:ind w:left="3960" w:hanging="180"/>
      </w:pPr>
    </w:lvl>
    <w:lvl w:ilvl="6" w:tplc="44EED8FA" w:tentative="1">
      <w:start w:val="1"/>
      <w:numFmt w:val="decimal"/>
      <w:lvlText w:val="%7."/>
      <w:lvlJc w:val="left"/>
      <w:pPr>
        <w:ind w:left="4680" w:hanging="360"/>
      </w:pPr>
    </w:lvl>
    <w:lvl w:ilvl="7" w:tplc="A6E2A71C" w:tentative="1">
      <w:start w:val="1"/>
      <w:numFmt w:val="lowerLetter"/>
      <w:lvlText w:val="%8."/>
      <w:lvlJc w:val="left"/>
      <w:pPr>
        <w:ind w:left="5400" w:hanging="360"/>
      </w:pPr>
    </w:lvl>
    <w:lvl w:ilvl="8" w:tplc="86C6EED6" w:tentative="1">
      <w:start w:val="1"/>
      <w:numFmt w:val="lowerRoman"/>
      <w:lvlText w:val="%9."/>
      <w:lvlJc w:val="right"/>
      <w:pPr>
        <w:ind w:left="6120" w:hanging="180"/>
      </w:pPr>
    </w:lvl>
  </w:abstractNum>
  <w:abstractNum w:abstractNumId="3" w15:restartNumberingAfterBreak="0">
    <w:nsid w:val="7F121F4F"/>
    <w:multiLevelType w:val="hybridMultilevel"/>
    <w:tmpl w:val="A0661024"/>
    <w:lvl w:ilvl="0" w:tplc="BC0A4DA6">
      <w:start w:val="1"/>
      <w:numFmt w:val="decimal"/>
      <w:lvlText w:val="%1."/>
      <w:lvlJc w:val="left"/>
      <w:pPr>
        <w:ind w:left="360" w:hanging="360"/>
      </w:pPr>
    </w:lvl>
    <w:lvl w:ilvl="1" w:tplc="4BB85EFC" w:tentative="1">
      <w:start w:val="1"/>
      <w:numFmt w:val="lowerLetter"/>
      <w:lvlText w:val="%2."/>
      <w:lvlJc w:val="left"/>
      <w:pPr>
        <w:ind w:left="1080" w:hanging="360"/>
      </w:pPr>
    </w:lvl>
    <w:lvl w:ilvl="2" w:tplc="43C8B4A4" w:tentative="1">
      <w:start w:val="1"/>
      <w:numFmt w:val="lowerRoman"/>
      <w:lvlText w:val="%3."/>
      <w:lvlJc w:val="right"/>
      <w:pPr>
        <w:ind w:left="1800" w:hanging="180"/>
      </w:pPr>
    </w:lvl>
    <w:lvl w:ilvl="3" w:tplc="8084C520" w:tentative="1">
      <w:start w:val="1"/>
      <w:numFmt w:val="decimal"/>
      <w:lvlText w:val="%4."/>
      <w:lvlJc w:val="left"/>
      <w:pPr>
        <w:ind w:left="2520" w:hanging="360"/>
      </w:pPr>
    </w:lvl>
    <w:lvl w:ilvl="4" w:tplc="F55A3198" w:tentative="1">
      <w:start w:val="1"/>
      <w:numFmt w:val="lowerLetter"/>
      <w:lvlText w:val="%5."/>
      <w:lvlJc w:val="left"/>
      <w:pPr>
        <w:ind w:left="3240" w:hanging="360"/>
      </w:pPr>
    </w:lvl>
    <w:lvl w:ilvl="5" w:tplc="F5E6FDBC" w:tentative="1">
      <w:start w:val="1"/>
      <w:numFmt w:val="lowerRoman"/>
      <w:lvlText w:val="%6."/>
      <w:lvlJc w:val="right"/>
      <w:pPr>
        <w:ind w:left="3960" w:hanging="180"/>
      </w:pPr>
    </w:lvl>
    <w:lvl w:ilvl="6" w:tplc="D04454C6" w:tentative="1">
      <w:start w:val="1"/>
      <w:numFmt w:val="decimal"/>
      <w:lvlText w:val="%7."/>
      <w:lvlJc w:val="left"/>
      <w:pPr>
        <w:ind w:left="4680" w:hanging="360"/>
      </w:pPr>
    </w:lvl>
    <w:lvl w:ilvl="7" w:tplc="8C260F5E" w:tentative="1">
      <w:start w:val="1"/>
      <w:numFmt w:val="lowerLetter"/>
      <w:lvlText w:val="%8."/>
      <w:lvlJc w:val="left"/>
      <w:pPr>
        <w:ind w:left="5400" w:hanging="360"/>
      </w:pPr>
    </w:lvl>
    <w:lvl w:ilvl="8" w:tplc="04FEFFCE"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7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D6796"/>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82D"/>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F69"/>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64102"/>
    <w:rsid w:val="00772290"/>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155B"/>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524F2"/>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241C9"/>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27E"/>
    <w:rsid w:val="00CC4B75"/>
    <w:rsid w:val="00CC732E"/>
    <w:rsid w:val="00CD2FCD"/>
    <w:rsid w:val="00CD7207"/>
    <w:rsid w:val="00CE0DBE"/>
    <w:rsid w:val="00CE5E4D"/>
    <w:rsid w:val="00CF02C4"/>
    <w:rsid w:val="00CF167F"/>
    <w:rsid w:val="00CF3E07"/>
    <w:rsid w:val="00CF72E5"/>
    <w:rsid w:val="00D013EE"/>
    <w:rsid w:val="00D01F54"/>
    <w:rsid w:val="00D040F7"/>
    <w:rsid w:val="00D04A76"/>
    <w:rsid w:val="00D10FC7"/>
    <w:rsid w:val="00D1519F"/>
    <w:rsid w:val="00D15523"/>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64D"/>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674170"/>
  <w15:docId w15:val="{3295992B-C135-4D9A-AE10-67FF5D07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CC427E"/>
    <w:rPr>
      <w:color w:val="800080" w:themeColor="followedHyperlink"/>
      <w:u w:val="single"/>
    </w:rPr>
  </w:style>
  <w:style w:type="character" w:customStyle="1" w:styleId="ListParagraphChar">
    <w:name w:val="List Paragraph Char"/>
    <w:aliases w:val="List Paragraph1 Char,List Paragraph11 Char,Recommendation Char"/>
    <w:basedOn w:val="DefaultParagraphFont"/>
    <w:link w:val="ListParagraph"/>
    <w:uiPriority w:val="34"/>
    <w:rsid w:val="00CC427E"/>
    <w:rPr>
      <w:rFonts w:asciiTheme="minorHAnsi" w:hAnsiTheme="minorHAnsi"/>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1423-C624-4EB3-ADDC-A95A8D64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31</TotalTime>
  <Pages>4</Pages>
  <Words>1722</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cp:lastModifiedBy>
  <cp:revision>9</cp:revision>
  <cp:lastPrinted>2014-11-04T09:22:00Z</cp:lastPrinted>
  <dcterms:created xsi:type="dcterms:W3CDTF">2020-02-12T08:16:00Z</dcterms:created>
  <dcterms:modified xsi:type="dcterms:W3CDTF">2020-03-10T13:35:00Z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